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F7027" w14:textId="77777777" w:rsidR="00B77B29" w:rsidRDefault="00B77B29" w:rsidP="00170856">
      <w:pPr>
        <w:jc w:val="both"/>
        <w:rPr>
          <w:rFonts w:ascii="Arial" w:hAnsi="Arial" w:cs="Arial"/>
          <w:b/>
          <w:sz w:val="24"/>
          <w:szCs w:val="24"/>
        </w:rPr>
      </w:pPr>
    </w:p>
    <w:p w14:paraId="073FCC05" w14:textId="6047247B" w:rsidR="00170856" w:rsidRPr="00B77B29" w:rsidRDefault="00170856" w:rsidP="00B77B29">
      <w:pPr>
        <w:pStyle w:val="GvdeMetni2"/>
      </w:pPr>
      <w:r w:rsidRPr="00B77B29">
        <w:t>An uncommon cause of intestinal obstruction:  Paraduodenal Hernia</w:t>
      </w:r>
    </w:p>
    <w:p w14:paraId="35829151" w14:textId="77777777" w:rsidR="00170856" w:rsidRPr="00D71188" w:rsidRDefault="00170856" w:rsidP="00170856">
      <w:pPr>
        <w:jc w:val="both"/>
        <w:rPr>
          <w:rFonts w:ascii="Arial" w:hAnsi="Arial" w:cs="Arial"/>
          <w:sz w:val="24"/>
          <w:szCs w:val="24"/>
        </w:rPr>
      </w:pPr>
    </w:p>
    <w:p w14:paraId="56C7D952" w14:textId="77777777" w:rsidR="00B77B29" w:rsidRDefault="00B77B29" w:rsidP="00170856">
      <w:pPr>
        <w:jc w:val="both"/>
        <w:rPr>
          <w:rFonts w:ascii="Arial" w:hAnsi="Arial" w:cs="Arial"/>
          <w:b/>
          <w:sz w:val="24"/>
          <w:szCs w:val="24"/>
        </w:rPr>
      </w:pPr>
    </w:p>
    <w:p w14:paraId="43BC687B" w14:textId="77777777" w:rsidR="00B77B29" w:rsidRDefault="00B77B29" w:rsidP="00170856">
      <w:pPr>
        <w:jc w:val="both"/>
        <w:rPr>
          <w:rFonts w:ascii="Arial" w:hAnsi="Arial" w:cs="Arial"/>
          <w:b/>
          <w:sz w:val="24"/>
          <w:szCs w:val="24"/>
        </w:rPr>
      </w:pPr>
    </w:p>
    <w:p w14:paraId="3B08E451" w14:textId="77777777" w:rsidR="00066552" w:rsidRDefault="00066552" w:rsidP="00170856">
      <w:pPr>
        <w:jc w:val="both"/>
        <w:rPr>
          <w:rFonts w:ascii="Arial" w:hAnsi="Arial" w:cs="Arial"/>
          <w:b/>
          <w:sz w:val="24"/>
          <w:szCs w:val="24"/>
        </w:rPr>
      </w:pPr>
      <w:r w:rsidRPr="00D71188">
        <w:rPr>
          <w:rFonts w:ascii="Arial" w:hAnsi="Arial" w:cs="Arial"/>
          <w:b/>
          <w:sz w:val="24"/>
          <w:szCs w:val="24"/>
        </w:rPr>
        <w:t>ABSTRACT</w:t>
      </w:r>
      <w:r>
        <w:rPr>
          <w:rFonts w:ascii="Arial" w:hAnsi="Arial" w:cs="Arial"/>
          <w:b/>
          <w:sz w:val="24"/>
          <w:szCs w:val="24"/>
        </w:rPr>
        <w:t>:</w:t>
      </w:r>
    </w:p>
    <w:p w14:paraId="6D0D9E6C" w14:textId="3AFDF0BA" w:rsidR="00170856" w:rsidRPr="00D71188" w:rsidRDefault="00066552" w:rsidP="00170856">
      <w:pPr>
        <w:jc w:val="both"/>
        <w:rPr>
          <w:rFonts w:ascii="Arial" w:hAnsi="Arial" w:cs="Arial"/>
          <w:sz w:val="24"/>
          <w:szCs w:val="24"/>
        </w:rPr>
      </w:pPr>
      <w:r>
        <w:rPr>
          <w:rFonts w:ascii="Arial" w:hAnsi="Arial" w:cs="Arial"/>
          <w:b/>
          <w:sz w:val="24"/>
          <w:szCs w:val="24"/>
        </w:rPr>
        <w:t xml:space="preserve"> </w:t>
      </w:r>
      <w:r w:rsidR="00170856" w:rsidRPr="00D71188">
        <w:rPr>
          <w:rFonts w:ascii="Arial" w:hAnsi="Arial" w:cs="Arial"/>
          <w:sz w:val="24"/>
          <w:szCs w:val="24"/>
        </w:rPr>
        <w:t>Paradudenal hernias are rare cause</w:t>
      </w:r>
      <w:r w:rsidR="00170856">
        <w:rPr>
          <w:rFonts w:ascii="Arial" w:hAnsi="Arial" w:cs="Arial"/>
          <w:sz w:val="24"/>
          <w:szCs w:val="24"/>
        </w:rPr>
        <w:t>s</w:t>
      </w:r>
      <w:r w:rsidR="00170856" w:rsidRPr="00D71188">
        <w:rPr>
          <w:rFonts w:ascii="Arial" w:hAnsi="Arial" w:cs="Arial"/>
          <w:sz w:val="24"/>
          <w:szCs w:val="24"/>
        </w:rPr>
        <w:t xml:space="preserve"> of small bowel obstruction that constitutes </w:t>
      </w:r>
      <w:r w:rsidR="00170856">
        <w:rPr>
          <w:rFonts w:ascii="Arial" w:hAnsi="Arial" w:cs="Arial"/>
          <w:sz w:val="24"/>
          <w:szCs w:val="24"/>
        </w:rPr>
        <w:t xml:space="preserve">approximately </w:t>
      </w:r>
      <w:r w:rsidR="00170856" w:rsidRPr="00D71188">
        <w:rPr>
          <w:rFonts w:ascii="Arial" w:hAnsi="Arial" w:cs="Arial"/>
          <w:sz w:val="24"/>
          <w:szCs w:val="24"/>
        </w:rPr>
        <w:t xml:space="preserve">half of the internal hernias. </w:t>
      </w:r>
      <w:r w:rsidR="00170856">
        <w:rPr>
          <w:rFonts w:ascii="Arial" w:hAnsi="Arial" w:cs="Arial"/>
          <w:sz w:val="24"/>
          <w:szCs w:val="24"/>
        </w:rPr>
        <w:t>P</w:t>
      </w:r>
      <w:r w:rsidR="00170856" w:rsidRPr="00D71188">
        <w:rPr>
          <w:rFonts w:ascii="Arial" w:hAnsi="Arial" w:cs="Arial"/>
          <w:sz w:val="24"/>
          <w:szCs w:val="24"/>
        </w:rPr>
        <w:t xml:space="preserve">aradudenal </w:t>
      </w:r>
      <w:r w:rsidR="00170856">
        <w:rPr>
          <w:rFonts w:ascii="Arial" w:hAnsi="Arial" w:cs="Arial"/>
          <w:sz w:val="24"/>
          <w:szCs w:val="24"/>
        </w:rPr>
        <w:t xml:space="preserve">hernias are seen </w:t>
      </w:r>
      <w:r w:rsidR="00170856" w:rsidRPr="00D71188">
        <w:rPr>
          <w:rFonts w:ascii="Arial" w:hAnsi="Arial" w:cs="Arial"/>
          <w:sz w:val="24"/>
          <w:szCs w:val="24"/>
        </w:rPr>
        <w:t xml:space="preserve">more </w:t>
      </w:r>
      <w:r w:rsidR="00170856">
        <w:rPr>
          <w:rFonts w:ascii="Arial" w:hAnsi="Arial" w:cs="Arial"/>
          <w:sz w:val="24"/>
          <w:szCs w:val="24"/>
        </w:rPr>
        <w:t xml:space="preserve">commonly </w:t>
      </w:r>
      <w:r w:rsidR="00291DED">
        <w:rPr>
          <w:rFonts w:ascii="Arial" w:hAnsi="Arial" w:cs="Arial"/>
          <w:sz w:val="24"/>
          <w:szCs w:val="24"/>
        </w:rPr>
        <w:t>o</w:t>
      </w:r>
      <w:r w:rsidR="00170856">
        <w:rPr>
          <w:rFonts w:ascii="Arial" w:hAnsi="Arial" w:cs="Arial"/>
          <w:sz w:val="24"/>
          <w:szCs w:val="24"/>
        </w:rPr>
        <w:t xml:space="preserve">n the left side when compared to </w:t>
      </w:r>
      <w:r w:rsidR="00170856" w:rsidRPr="00D71188">
        <w:rPr>
          <w:rFonts w:ascii="Arial" w:hAnsi="Arial" w:cs="Arial"/>
          <w:sz w:val="24"/>
          <w:szCs w:val="24"/>
        </w:rPr>
        <w:t>the right</w:t>
      </w:r>
      <w:r w:rsidR="00B77B29">
        <w:rPr>
          <w:rFonts w:ascii="Arial" w:hAnsi="Arial" w:cs="Arial"/>
          <w:sz w:val="24"/>
          <w:szCs w:val="24"/>
        </w:rPr>
        <w:t xml:space="preserve"> side. </w:t>
      </w:r>
      <w:r w:rsidR="00170856" w:rsidRPr="00D71188">
        <w:rPr>
          <w:rFonts w:ascii="Arial" w:hAnsi="Arial" w:cs="Arial"/>
          <w:sz w:val="24"/>
          <w:szCs w:val="24"/>
        </w:rPr>
        <w:t>C</w:t>
      </w:r>
      <w:r w:rsidR="00170856">
        <w:rPr>
          <w:rFonts w:ascii="Arial" w:hAnsi="Arial" w:cs="Arial"/>
          <w:sz w:val="24"/>
          <w:szCs w:val="24"/>
        </w:rPr>
        <w:t xml:space="preserve">omputed tomography </w:t>
      </w:r>
      <w:r w:rsidR="00170856" w:rsidRPr="00D71188">
        <w:rPr>
          <w:rFonts w:ascii="Arial" w:hAnsi="Arial" w:cs="Arial"/>
          <w:sz w:val="24"/>
          <w:szCs w:val="24"/>
        </w:rPr>
        <w:t xml:space="preserve"> is an important diagnostic tool in the preoperative evaluation of </w:t>
      </w:r>
      <w:r w:rsidR="00170856">
        <w:rPr>
          <w:rFonts w:ascii="Arial" w:hAnsi="Arial" w:cs="Arial"/>
          <w:sz w:val="24"/>
          <w:szCs w:val="24"/>
        </w:rPr>
        <w:t xml:space="preserve">these </w:t>
      </w:r>
      <w:r w:rsidR="00170856" w:rsidRPr="00D71188">
        <w:rPr>
          <w:rFonts w:ascii="Arial" w:hAnsi="Arial" w:cs="Arial"/>
          <w:sz w:val="24"/>
          <w:szCs w:val="24"/>
        </w:rPr>
        <w:t xml:space="preserve">patients. We presented </w:t>
      </w:r>
      <w:r w:rsidR="00170856">
        <w:rPr>
          <w:rFonts w:ascii="Arial" w:hAnsi="Arial" w:cs="Arial"/>
          <w:sz w:val="24"/>
          <w:szCs w:val="24"/>
        </w:rPr>
        <w:t xml:space="preserve">a case of a </w:t>
      </w:r>
      <w:r w:rsidR="00170856" w:rsidRPr="00D71188">
        <w:rPr>
          <w:rFonts w:ascii="Arial" w:hAnsi="Arial" w:cs="Arial"/>
          <w:sz w:val="24"/>
          <w:szCs w:val="24"/>
        </w:rPr>
        <w:t xml:space="preserve"> patient who was admitted to the emergency department with the complaints of ileus and diagnosed as paradudenal hernia.</w:t>
      </w:r>
    </w:p>
    <w:p w14:paraId="3E8398CF" w14:textId="77777777" w:rsidR="00170856" w:rsidRPr="00D71188" w:rsidRDefault="00170856" w:rsidP="00170856">
      <w:pPr>
        <w:tabs>
          <w:tab w:val="left" w:pos="5670"/>
        </w:tabs>
        <w:jc w:val="both"/>
        <w:rPr>
          <w:rFonts w:ascii="Arial" w:hAnsi="Arial" w:cs="Arial"/>
          <w:sz w:val="24"/>
          <w:szCs w:val="24"/>
        </w:rPr>
      </w:pPr>
      <w:r w:rsidRPr="00D71188">
        <w:rPr>
          <w:rFonts w:ascii="Arial" w:hAnsi="Arial" w:cs="Arial"/>
          <w:sz w:val="24"/>
          <w:szCs w:val="24"/>
        </w:rPr>
        <w:t>Key</w:t>
      </w:r>
      <w:r>
        <w:rPr>
          <w:rFonts w:ascii="Arial" w:hAnsi="Arial" w:cs="Arial"/>
          <w:sz w:val="24"/>
          <w:szCs w:val="24"/>
        </w:rPr>
        <w:t>w</w:t>
      </w:r>
      <w:r w:rsidRPr="00D71188">
        <w:rPr>
          <w:rFonts w:ascii="Arial" w:hAnsi="Arial" w:cs="Arial"/>
          <w:sz w:val="24"/>
          <w:szCs w:val="24"/>
        </w:rPr>
        <w:t>ords:İnternal hernia, Paraduodenal hernia</w:t>
      </w:r>
      <w:r>
        <w:rPr>
          <w:rFonts w:ascii="Arial" w:hAnsi="Arial" w:cs="Arial"/>
          <w:sz w:val="24"/>
          <w:szCs w:val="24"/>
        </w:rPr>
        <w:tab/>
      </w:r>
    </w:p>
    <w:p w14:paraId="598A158A" w14:textId="52E79902" w:rsidR="00170856" w:rsidRDefault="00170856" w:rsidP="00170856">
      <w:pPr>
        <w:jc w:val="both"/>
        <w:rPr>
          <w:rFonts w:ascii="Arial" w:hAnsi="Arial" w:cs="Arial"/>
          <w:sz w:val="24"/>
          <w:szCs w:val="24"/>
        </w:rPr>
      </w:pPr>
    </w:p>
    <w:p w14:paraId="19E5C42F" w14:textId="77777777" w:rsidR="00B77B29" w:rsidRPr="00D71188" w:rsidRDefault="00B77B29" w:rsidP="00170856">
      <w:pPr>
        <w:jc w:val="both"/>
        <w:rPr>
          <w:rFonts w:ascii="Arial" w:hAnsi="Arial" w:cs="Arial"/>
          <w:sz w:val="24"/>
          <w:szCs w:val="24"/>
        </w:rPr>
      </w:pPr>
    </w:p>
    <w:p w14:paraId="21692EE5" w14:textId="77777777" w:rsidR="00170856" w:rsidRPr="00066552" w:rsidRDefault="00170856" w:rsidP="00170856">
      <w:pPr>
        <w:jc w:val="both"/>
        <w:rPr>
          <w:rFonts w:ascii="Arial" w:hAnsi="Arial" w:cs="Arial"/>
          <w:b/>
          <w:sz w:val="24"/>
          <w:szCs w:val="24"/>
        </w:rPr>
      </w:pPr>
      <w:r w:rsidRPr="00066552">
        <w:rPr>
          <w:rFonts w:ascii="Arial" w:hAnsi="Arial" w:cs="Arial"/>
          <w:b/>
          <w:sz w:val="24"/>
          <w:szCs w:val="24"/>
        </w:rPr>
        <w:t>INTRODUCTION:</w:t>
      </w:r>
    </w:p>
    <w:p w14:paraId="5B38BFE9" w14:textId="50D7F85E" w:rsidR="00170856" w:rsidRPr="00D71188" w:rsidRDefault="00066552" w:rsidP="00170856">
      <w:pPr>
        <w:jc w:val="both"/>
        <w:rPr>
          <w:rFonts w:ascii="Arial" w:hAnsi="Arial" w:cs="Arial"/>
          <w:sz w:val="24"/>
          <w:szCs w:val="24"/>
        </w:rPr>
      </w:pPr>
      <w:r>
        <w:rPr>
          <w:rFonts w:ascii="Arial" w:hAnsi="Arial" w:cs="Arial"/>
          <w:sz w:val="24"/>
          <w:szCs w:val="24"/>
        </w:rPr>
        <w:t xml:space="preserve">      </w:t>
      </w:r>
      <w:r w:rsidR="00170856" w:rsidRPr="00D71188">
        <w:rPr>
          <w:rFonts w:ascii="Arial" w:hAnsi="Arial" w:cs="Arial"/>
          <w:sz w:val="24"/>
          <w:szCs w:val="24"/>
        </w:rPr>
        <w:t xml:space="preserve">Paradudenal hernias are </w:t>
      </w:r>
      <w:r w:rsidR="00170856">
        <w:rPr>
          <w:rFonts w:ascii="Arial" w:hAnsi="Arial" w:cs="Arial"/>
          <w:sz w:val="24"/>
          <w:szCs w:val="24"/>
        </w:rPr>
        <w:t xml:space="preserve"> </w:t>
      </w:r>
      <w:r w:rsidR="00170856" w:rsidRPr="00D71188">
        <w:rPr>
          <w:rFonts w:ascii="Arial" w:hAnsi="Arial" w:cs="Arial"/>
          <w:sz w:val="24"/>
          <w:szCs w:val="24"/>
        </w:rPr>
        <w:t>rare cause</w:t>
      </w:r>
      <w:r w:rsidR="00170856">
        <w:rPr>
          <w:rFonts w:ascii="Arial" w:hAnsi="Arial" w:cs="Arial"/>
          <w:sz w:val="24"/>
          <w:szCs w:val="24"/>
        </w:rPr>
        <w:t>s</w:t>
      </w:r>
      <w:r w:rsidR="00170856" w:rsidRPr="00D71188">
        <w:rPr>
          <w:rFonts w:ascii="Arial" w:hAnsi="Arial" w:cs="Arial"/>
          <w:sz w:val="24"/>
          <w:szCs w:val="24"/>
        </w:rPr>
        <w:t xml:space="preserve"> of small bowel obstruction that constitutes </w:t>
      </w:r>
      <w:r w:rsidR="00170856">
        <w:rPr>
          <w:rFonts w:ascii="Arial" w:hAnsi="Arial" w:cs="Arial"/>
          <w:sz w:val="24"/>
          <w:szCs w:val="24"/>
        </w:rPr>
        <w:t xml:space="preserve">approximately </w:t>
      </w:r>
      <w:r w:rsidR="00170856" w:rsidRPr="00D71188">
        <w:rPr>
          <w:rFonts w:ascii="Arial" w:hAnsi="Arial" w:cs="Arial"/>
          <w:sz w:val="24"/>
          <w:szCs w:val="24"/>
        </w:rPr>
        <w:t>half of the internal hernias. Left paradudenal hernia</w:t>
      </w:r>
      <w:r w:rsidR="00170856">
        <w:rPr>
          <w:rFonts w:ascii="Arial" w:hAnsi="Arial" w:cs="Arial"/>
          <w:sz w:val="24"/>
          <w:szCs w:val="24"/>
        </w:rPr>
        <w:t xml:space="preserve">s </w:t>
      </w:r>
      <w:r w:rsidR="00170856" w:rsidRPr="00D71188">
        <w:rPr>
          <w:rFonts w:ascii="Arial" w:hAnsi="Arial" w:cs="Arial"/>
          <w:sz w:val="24"/>
          <w:szCs w:val="24"/>
        </w:rPr>
        <w:t xml:space="preserve"> </w:t>
      </w:r>
      <w:r w:rsidR="00170856">
        <w:rPr>
          <w:rFonts w:ascii="Arial" w:hAnsi="Arial" w:cs="Arial"/>
          <w:sz w:val="24"/>
          <w:szCs w:val="24"/>
        </w:rPr>
        <w:t>are</w:t>
      </w:r>
      <w:r w:rsidR="00170856" w:rsidRPr="00D71188">
        <w:rPr>
          <w:rFonts w:ascii="Arial" w:hAnsi="Arial" w:cs="Arial"/>
          <w:sz w:val="24"/>
          <w:szCs w:val="24"/>
        </w:rPr>
        <w:t xml:space="preserve"> three times more common than the right</w:t>
      </w:r>
      <w:r w:rsidR="00170856">
        <w:rPr>
          <w:rFonts w:ascii="Arial" w:hAnsi="Arial" w:cs="Arial"/>
          <w:sz w:val="24"/>
          <w:szCs w:val="24"/>
        </w:rPr>
        <w:t xml:space="preserve"> ones (1)</w:t>
      </w:r>
      <w:r w:rsidR="00170856" w:rsidRPr="00D71188">
        <w:rPr>
          <w:rFonts w:ascii="Arial" w:hAnsi="Arial" w:cs="Arial"/>
          <w:sz w:val="24"/>
          <w:szCs w:val="24"/>
        </w:rPr>
        <w:t>.</w:t>
      </w:r>
      <w:r w:rsidR="00170856">
        <w:rPr>
          <w:rFonts w:ascii="Arial" w:hAnsi="Arial" w:cs="Arial"/>
          <w:sz w:val="24"/>
          <w:szCs w:val="24"/>
        </w:rPr>
        <w:t xml:space="preserve"> Computed tomography (</w:t>
      </w:r>
      <w:r w:rsidR="00170856" w:rsidRPr="00D71188">
        <w:rPr>
          <w:rFonts w:ascii="Arial" w:hAnsi="Arial" w:cs="Arial"/>
          <w:sz w:val="24"/>
          <w:szCs w:val="24"/>
        </w:rPr>
        <w:t>CT</w:t>
      </w:r>
      <w:r w:rsidR="00170856">
        <w:rPr>
          <w:rFonts w:ascii="Arial" w:hAnsi="Arial" w:cs="Arial"/>
          <w:sz w:val="24"/>
          <w:szCs w:val="24"/>
        </w:rPr>
        <w:t>)</w:t>
      </w:r>
      <w:r w:rsidR="00170856" w:rsidRPr="00D71188">
        <w:rPr>
          <w:rFonts w:ascii="Arial" w:hAnsi="Arial" w:cs="Arial"/>
          <w:sz w:val="24"/>
          <w:szCs w:val="24"/>
        </w:rPr>
        <w:t xml:space="preserve"> is an important diagnostic tool in the preoperative evaluation of patients</w:t>
      </w:r>
      <w:r w:rsidR="00170856">
        <w:rPr>
          <w:rFonts w:ascii="Arial" w:hAnsi="Arial" w:cs="Arial"/>
          <w:sz w:val="24"/>
          <w:szCs w:val="24"/>
        </w:rPr>
        <w:t xml:space="preserve">. </w:t>
      </w:r>
      <w:r w:rsidR="00170856" w:rsidRPr="00D71188">
        <w:rPr>
          <w:rFonts w:ascii="Arial" w:hAnsi="Arial" w:cs="Arial"/>
          <w:sz w:val="24"/>
          <w:szCs w:val="24"/>
        </w:rPr>
        <w:t xml:space="preserve">Although it is difficult to </w:t>
      </w:r>
      <w:r w:rsidR="00170856">
        <w:rPr>
          <w:rFonts w:ascii="Arial" w:hAnsi="Arial" w:cs="Arial"/>
          <w:sz w:val="24"/>
          <w:szCs w:val="24"/>
        </w:rPr>
        <w:t>consider paraduodenal hernias among</w:t>
      </w:r>
      <w:r w:rsidR="00170856" w:rsidRPr="00D71188">
        <w:rPr>
          <w:rFonts w:ascii="Arial" w:hAnsi="Arial" w:cs="Arial"/>
          <w:sz w:val="24"/>
          <w:szCs w:val="24"/>
        </w:rPr>
        <w:t xml:space="preserve"> the differential diagnosis, it is an important clinical </w:t>
      </w:r>
      <w:r w:rsidR="00170856">
        <w:rPr>
          <w:rFonts w:ascii="Arial" w:hAnsi="Arial" w:cs="Arial"/>
          <w:sz w:val="24"/>
          <w:szCs w:val="24"/>
        </w:rPr>
        <w:t>presenation</w:t>
      </w:r>
      <w:r w:rsidR="00170856" w:rsidRPr="00D71188">
        <w:rPr>
          <w:rFonts w:ascii="Arial" w:hAnsi="Arial" w:cs="Arial"/>
          <w:sz w:val="24"/>
          <w:szCs w:val="24"/>
        </w:rPr>
        <w:t xml:space="preserve"> that may </w:t>
      </w:r>
      <w:r w:rsidR="00170856">
        <w:rPr>
          <w:rFonts w:ascii="Arial" w:hAnsi="Arial" w:cs="Arial"/>
          <w:sz w:val="24"/>
          <w:szCs w:val="24"/>
        </w:rPr>
        <w:t xml:space="preserve">eventually </w:t>
      </w:r>
      <w:r w:rsidR="00170856" w:rsidRPr="00D71188">
        <w:rPr>
          <w:rFonts w:ascii="Arial" w:hAnsi="Arial" w:cs="Arial"/>
          <w:sz w:val="24"/>
          <w:szCs w:val="24"/>
        </w:rPr>
        <w:t xml:space="preserve">lead to necrosis of the intestines. Contrasted abdominal tomography is highly effective in </w:t>
      </w:r>
      <w:r w:rsidR="00170856">
        <w:rPr>
          <w:rFonts w:ascii="Arial" w:hAnsi="Arial" w:cs="Arial"/>
          <w:sz w:val="24"/>
          <w:szCs w:val="24"/>
        </w:rPr>
        <w:t xml:space="preserve">aiding the </w:t>
      </w:r>
      <w:r w:rsidR="00170856" w:rsidRPr="00D71188">
        <w:rPr>
          <w:rFonts w:ascii="Arial" w:hAnsi="Arial" w:cs="Arial"/>
          <w:sz w:val="24"/>
          <w:szCs w:val="24"/>
        </w:rPr>
        <w:t>diagnosis</w:t>
      </w:r>
      <w:r w:rsidR="00170856">
        <w:rPr>
          <w:rFonts w:ascii="Arial" w:hAnsi="Arial" w:cs="Arial"/>
          <w:sz w:val="24"/>
          <w:szCs w:val="24"/>
        </w:rPr>
        <w:t>.</w:t>
      </w:r>
      <w:r w:rsidR="00170856" w:rsidRPr="00D71188">
        <w:rPr>
          <w:rFonts w:ascii="Arial" w:hAnsi="Arial" w:cs="Arial"/>
          <w:sz w:val="24"/>
          <w:szCs w:val="24"/>
        </w:rPr>
        <w:t xml:space="preserve"> In this article, we present </w:t>
      </w:r>
      <w:r w:rsidR="00170856">
        <w:rPr>
          <w:rFonts w:ascii="Arial" w:hAnsi="Arial" w:cs="Arial"/>
          <w:sz w:val="24"/>
          <w:szCs w:val="24"/>
        </w:rPr>
        <w:t xml:space="preserve">case of </w:t>
      </w:r>
      <w:r w:rsidR="00170856" w:rsidRPr="00D71188">
        <w:rPr>
          <w:rFonts w:ascii="Arial" w:hAnsi="Arial" w:cs="Arial"/>
          <w:sz w:val="24"/>
          <w:szCs w:val="24"/>
        </w:rPr>
        <w:t xml:space="preserve">a 52-year-old male patient who </w:t>
      </w:r>
      <w:r w:rsidR="00170856">
        <w:rPr>
          <w:rFonts w:ascii="Arial" w:hAnsi="Arial" w:cs="Arial"/>
          <w:sz w:val="24"/>
          <w:szCs w:val="24"/>
        </w:rPr>
        <w:t xml:space="preserve">was </w:t>
      </w:r>
      <w:r w:rsidR="00170856" w:rsidRPr="00D71188">
        <w:rPr>
          <w:rFonts w:ascii="Arial" w:hAnsi="Arial" w:cs="Arial"/>
          <w:sz w:val="24"/>
          <w:szCs w:val="24"/>
        </w:rPr>
        <w:t>admitted to the emergency department with the complaints of ileus and diagnosed as</w:t>
      </w:r>
      <w:r w:rsidR="00170856">
        <w:rPr>
          <w:rFonts w:ascii="Arial" w:hAnsi="Arial" w:cs="Arial"/>
          <w:sz w:val="24"/>
          <w:szCs w:val="24"/>
        </w:rPr>
        <w:t xml:space="preserve"> left </w:t>
      </w:r>
      <w:r w:rsidR="00170856" w:rsidRPr="00D71188">
        <w:rPr>
          <w:rFonts w:ascii="Arial" w:hAnsi="Arial" w:cs="Arial"/>
          <w:sz w:val="24"/>
          <w:szCs w:val="24"/>
        </w:rPr>
        <w:t xml:space="preserve"> paradudenal hernia</w:t>
      </w:r>
      <w:r w:rsidR="00170856">
        <w:rPr>
          <w:rFonts w:ascii="Arial" w:hAnsi="Arial" w:cs="Arial"/>
          <w:sz w:val="24"/>
          <w:szCs w:val="24"/>
        </w:rPr>
        <w:t>.</w:t>
      </w:r>
    </w:p>
    <w:p w14:paraId="2B273ABE" w14:textId="77777777" w:rsidR="00170856" w:rsidRPr="00D71188" w:rsidRDefault="00170856" w:rsidP="00170856">
      <w:pPr>
        <w:spacing w:after="0" w:line="240" w:lineRule="auto"/>
        <w:jc w:val="both"/>
        <w:rPr>
          <w:rFonts w:ascii="Arial" w:hAnsi="Arial" w:cs="Arial"/>
          <w:sz w:val="24"/>
          <w:szCs w:val="24"/>
        </w:rPr>
      </w:pPr>
    </w:p>
    <w:p w14:paraId="778AF161" w14:textId="77777777" w:rsidR="00B77B29" w:rsidRDefault="00B77B29" w:rsidP="00170856">
      <w:pPr>
        <w:jc w:val="both"/>
        <w:rPr>
          <w:rFonts w:ascii="Arial" w:hAnsi="Arial" w:cs="Arial"/>
          <w:sz w:val="24"/>
          <w:szCs w:val="24"/>
        </w:rPr>
      </w:pPr>
    </w:p>
    <w:p w14:paraId="1B05507C" w14:textId="285B00F0" w:rsidR="00170856" w:rsidRPr="00066552" w:rsidRDefault="00170856" w:rsidP="00170856">
      <w:pPr>
        <w:jc w:val="both"/>
        <w:rPr>
          <w:rFonts w:ascii="Arial" w:hAnsi="Arial" w:cs="Arial"/>
          <w:b/>
          <w:sz w:val="24"/>
          <w:szCs w:val="24"/>
        </w:rPr>
      </w:pPr>
      <w:r w:rsidRPr="00066552">
        <w:rPr>
          <w:rFonts w:ascii="Arial" w:hAnsi="Arial" w:cs="Arial"/>
          <w:b/>
          <w:sz w:val="24"/>
          <w:szCs w:val="24"/>
        </w:rPr>
        <w:t>CASE REPORT:</w:t>
      </w:r>
    </w:p>
    <w:p w14:paraId="35ED6722" w14:textId="5F167B98" w:rsidR="00170856" w:rsidRDefault="00170856" w:rsidP="00170856">
      <w:pPr>
        <w:jc w:val="both"/>
        <w:rPr>
          <w:rFonts w:ascii="Arial" w:hAnsi="Arial" w:cs="Arial"/>
          <w:sz w:val="24"/>
          <w:szCs w:val="24"/>
        </w:rPr>
      </w:pPr>
      <w:r w:rsidRPr="00D71188">
        <w:rPr>
          <w:rFonts w:ascii="Arial" w:hAnsi="Arial" w:cs="Arial"/>
          <w:sz w:val="24"/>
          <w:szCs w:val="24"/>
        </w:rPr>
        <w:t xml:space="preserve"> </w:t>
      </w:r>
      <w:r w:rsidR="00066552">
        <w:rPr>
          <w:rFonts w:ascii="Arial" w:hAnsi="Arial" w:cs="Arial"/>
          <w:sz w:val="24"/>
          <w:szCs w:val="24"/>
        </w:rPr>
        <w:t xml:space="preserve">     </w:t>
      </w:r>
      <w:r w:rsidRPr="00D71188">
        <w:rPr>
          <w:rFonts w:ascii="Arial" w:hAnsi="Arial" w:cs="Arial"/>
          <w:sz w:val="24"/>
          <w:szCs w:val="24"/>
        </w:rPr>
        <w:t>A 52</w:t>
      </w:r>
      <w:r>
        <w:rPr>
          <w:rFonts w:ascii="Arial" w:hAnsi="Arial" w:cs="Arial"/>
          <w:sz w:val="24"/>
          <w:szCs w:val="24"/>
        </w:rPr>
        <w:t>-</w:t>
      </w:r>
      <w:r w:rsidRPr="00D71188">
        <w:rPr>
          <w:rFonts w:ascii="Arial" w:hAnsi="Arial" w:cs="Arial"/>
          <w:sz w:val="24"/>
          <w:szCs w:val="24"/>
        </w:rPr>
        <w:t>year</w:t>
      </w:r>
      <w:r>
        <w:rPr>
          <w:rFonts w:ascii="Arial" w:hAnsi="Arial" w:cs="Arial"/>
          <w:sz w:val="24"/>
          <w:szCs w:val="24"/>
        </w:rPr>
        <w:t>-</w:t>
      </w:r>
      <w:r w:rsidRPr="00D71188">
        <w:rPr>
          <w:rFonts w:ascii="Arial" w:hAnsi="Arial" w:cs="Arial"/>
          <w:sz w:val="24"/>
          <w:szCs w:val="24"/>
        </w:rPr>
        <w:t xml:space="preserve">old male patient with abdominal pain, dyspepsia and vomiting symptoms exists for the last two days </w:t>
      </w:r>
      <w:r>
        <w:rPr>
          <w:rFonts w:ascii="Arial" w:hAnsi="Arial" w:cs="Arial"/>
          <w:sz w:val="24"/>
          <w:szCs w:val="24"/>
        </w:rPr>
        <w:t xml:space="preserve">was </w:t>
      </w:r>
      <w:r w:rsidRPr="00D71188">
        <w:rPr>
          <w:rFonts w:ascii="Arial" w:hAnsi="Arial" w:cs="Arial"/>
          <w:sz w:val="24"/>
          <w:szCs w:val="24"/>
        </w:rPr>
        <w:t xml:space="preserve">admitted to </w:t>
      </w:r>
      <w:r>
        <w:rPr>
          <w:rFonts w:ascii="Arial" w:hAnsi="Arial" w:cs="Arial"/>
          <w:sz w:val="24"/>
          <w:szCs w:val="24"/>
        </w:rPr>
        <w:t xml:space="preserve">the </w:t>
      </w:r>
      <w:r w:rsidRPr="00D71188">
        <w:rPr>
          <w:rFonts w:ascii="Arial" w:hAnsi="Arial" w:cs="Arial"/>
          <w:sz w:val="24"/>
          <w:szCs w:val="24"/>
        </w:rPr>
        <w:t>emergency service</w:t>
      </w:r>
      <w:r>
        <w:rPr>
          <w:rFonts w:ascii="Arial" w:hAnsi="Arial" w:cs="Arial"/>
          <w:sz w:val="24"/>
          <w:szCs w:val="24"/>
        </w:rPr>
        <w:t xml:space="preserve">. </w:t>
      </w:r>
      <w:r w:rsidRPr="00D71188">
        <w:rPr>
          <w:rFonts w:ascii="Arial" w:hAnsi="Arial" w:cs="Arial"/>
          <w:sz w:val="24"/>
          <w:szCs w:val="24"/>
        </w:rPr>
        <w:t>He had previously undergone laparoscopic cholecystectomy and had long-term complaints of bloating and vomiting</w:t>
      </w:r>
      <w:r>
        <w:rPr>
          <w:rFonts w:ascii="Arial" w:hAnsi="Arial" w:cs="Arial"/>
          <w:sz w:val="24"/>
          <w:szCs w:val="24"/>
        </w:rPr>
        <w:t>.</w:t>
      </w:r>
      <w:r w:rsidRPr="00D71188">
        <w:rPr>
          <w:rFonts w:ascii="Arial" w:hAnsi="Arial" w:cs="Arial"/>
          <w:sz w:val="24"/>
          <w:szCs w:val="24"/>
        </w:rPr>
        <w:t xml:space="preserve"> On physical examination, there was minimal distension in the abdomen, </w:t>
      </w:r>
      <w:r>
        <w:rPr>
          <w:rFonts w:ascii="Arial" w:hAnsi="Arial" w:cs="Arial"/>
          <w:sz w:val="24"/>
          <w:szCs w:val="24"/>
        </w:rPr>
        <w:t xml:space="preserve">without any </w:t>
      </w:r>
      <w:r w:rsidRPr="00D71188">
        <w:rPr>
          <w:rFonts w:ascii="Arial" w:hAnsi="Arial" w:cs="Arial"/>
          <w:sz w:val="24"/>
          <w:szCs w:val="24"/>
        </w:rPr>
        <w:t>muscular defense or rebound. In the laboratory tests white blood cell count was 7000 / μL hemoglobin 15 g / dL.</w:t>
      </w:r>
      <w:r>
        <w:rPr>
          <w:rFonts w:ascii="Arial" w:hAnsi="Arial" w:cs="Arial"/>
          <w:sz w:val="24"/>
          <w:szCs w:val="24"/>
        </w:rPr>
        <w:t>, routine b</w:t>
      </w:r>
      <w:r w:rsidRPr="00D71188">
        <w:rPr>
          <w:rFonts w:ascii="Arial" w:hAnsi="Arial" w:cs="Arial"/>
          <w:sz w:val="24"/>
          <w:szCs w:val="24"/>
        </w:rPr>
        <w:t xml:space="preserve">iochemistry and bleeding time values ​​were within normal limits. Direct abdominal x-ray showed small bowel-type air-fluid levels. Contrast abdomen tomography showed that the small intestine was leveled and </w:t>
      </w:r>
      <w:r w:rsidRPr="00D71188">
        <w:rPr>
          <w:rFonts w:ascii="Arial" w:hAnsi="Arial" w:cs="Arial"/>
          <w:sz w:val="24"/>
          <w:szCs w:val="24"/>
        </w:rPr>
        <w:lastRenderedPageBreak/>
        <w:t>collected in an area such as in a sac (Figure 1</w:t>
      </w:r>
      <w:r w:rsidR="00B77B29">
        <w:rPr>
          <w:rFonts w:ascii="Arial" w:hAnsi="Arial" w:cs="Arial"/>
          <w:sz w:val="24"/>
          <w:szCs w:val="24"/>
        </w:rPr>
        <w:t>a</w:t>
      </w:r>
      <w:r w:rsidRPr="00D71188">
        <w:rPr>
          <w:rFonts w:ascii="Arial" w:hAnsi="Arial" w:cs="Arial"/>
          <w:sz w:val="24"/>
          <w:szCs w:val="24"/>
        </w:rPr>
        <w:t>)</w:t>
      </w:r>
      <w:r w:rsidR="00B77B29">
        <w:rPr>
          <w:rFonts w:ascii="Arial" w:hAnsi="Arial" w:cs="Arial"/>
          <w:sz w:val="24"/>
          <w:szCs w:val="24"/>
        </w:rPr>
        <w:t>.Vascular structures in hernia sac extends to the hernia neck</w:t>
      </w:r>
      <w:r w:rsidR="00066552" w:rsidRPr="00D71188">
        <w:rPr>
          <w:rFonts w:ascii="Arial" w:hAnsi="Arial" w:cs="Arial"/>
          <w:sz w:val="24"/>
          <w:szCs w:val="24"/>
        </w:rPr>
        <w:t>(Figure 1</w:t>
      </w:r>
      <w:r w:rsidR="00066552">
        <w:rPr>
          <w:rFonts w:ascii="Arial" w:hAnsi="Arial" w:cs="Arial"/>
          <w:sz w:val="24"/>
          <w:szCs w:val="24"/>
        </w:rPr>
        <w:t>b</w:t>
      </w:r>
      <w:r w:rsidR="00066552" w:rsidRPr="00D71188">
        <w:rPr>
          <w:rFonts w:ascii="Arial" w:hAnsi="Arial" w:cs="Arial"/>
          <w:sz w:val="24"/>
          <w:szCs w:val="24"/>
        </w:rPr>
        <w:t>)</w:t>
      </w:r>
      <w:r w:rsidR="00066552">
        <w:rPr>
          <w:rFonts w:ascii="Arial" w:hAnsi="Arial" w:cs="Arial"/>
          <w:sz w:val="24"/>
          <w:szCs w:val="24"/>
        </w:rPr>
        <w:t>..</w:t>
      </w:r>
    </w:p>
    <w:p w14:paraId="15F3AA15" w14:textId="6C7955D6" w:rsidR="00291DED" w:rsidRPr="00B77B29" w:rsidRDefault="00B77B29" w:rsidP="00B77B29">
      <w:pPr>
        <w:tabs>
          <w:tab w:val="center" w:pos="4536"/>
        </w:tabs>
        <w:jc w:val="both"/>
        <w:rPr>
          <w:rFonts w:ascii="Arial" w:hAnsi="Arial" w:cs="Arial"/>
          <w:sz w:val="24"/>
          <w:szCs w:val="24"/>
        </w:rPr>
      </w:pPr>
      <w:r w:rsidRPr="00B77B29">
        <w:rPr>
          <w:rFonts w:ascii="Arial" w:hAnsi="Arial" w:cs="Arial"/>
          <w:b/>
          <w:sz w:val="24"/>
          <w:szCs w:val="24"/>
        </w:rPr>
        <w:t xml:space="preserve">Figure 1a </w:t>
      </w:r>
      <w:r w:rsidR="00291DED" w:rsidRPr="00B77B29">
        <w:rPr>
          <w:rFonts w:ascii="Arial" w:hAnsi="Arial" w:cs="Arial"/>
          <w:b/>
          <w:sz w:val="24"/>
          <w:szCs w:val="24"/>
        </w:rPr>
        <w:t xml:space="preserve">  </w:t>
      </w:r>
      <w:r w:rsidRPr="00B77B29">
        <w:rPr>
          <w:rFonts w:ascii="Arial" w:hAnsi="Arial" w:cs="Arial"/>
          <w:b/>
          <w:sz w:val="24"/>
          <w:szCs w:val="24"/>
        </w:rPr>
        <w:t xml:space="preserve">                                                  Figure 1b</w:t>
      </w:r>
      <w:r>
        <w:rPr>
          <w:rFonts w:ascii="Arial" w:hAnsi="Arial" w:cs="Arial"/>
          <w:sz w:val="24"/>
          <w:szCs w:val="24"/>
        </w:rPr>
        <w:t xml:space="preserve">. </w:t>
      </w:r>
      <w:r w:rsidRPr="00B77B29">
        <w:rPr>
          <w:rFonts w:ascii="Arial" w:hAnsi="Arial" w:cs="Arial"/>
          <w:sz w:val="24"/>
          <w:szCs w:val="24"/>
        </w:rPr>
        <w:t xml:space="preserve">  </w:t>
      </w:r>
    </w:p>
    <w:p w14:paraId="6F9A6521" w14:textId="2072D1B5" w:rsidR="00170856" w:rsidRPr="00D71188" w:rsidRDefault="00291DED" w:rsidP="00170856">
      <w:pPr>
        <w:jc w:val="both"/>
        <w:rPr>
          <w:rFonts w:ascii="Arial" w:hAnsi="Arial" w:cs="Arial"/>
          <w:sz w:val="24"/>
          <w:szCs w:val="24"/>
        </w:rPr>
      </w:pPr>
      <w:r w:rsidRPr="00D71188">
        <w:rPr>
          <w:rFonts w:ascii="Arial" w:hAnsi="Arial" w:cs="Arial"/>
          <w:sz w:val="24"/>
          <w:szCs w:val="24"/>
        </w:rPr>
        <w:drawing>
          <wp:anchor distT="0" distB="0" distL="114300" distR="114300" simplePos="0" relativeHeight="251660288" behindDoc="1" locked="0" layoutInCell="1" allowOverlap="1" wp14:anchorId="1F0DA8EF" wp14:editId="0B49F0F4">
            <wp:simplePos x="0" y="0"/>
            <wp:positionH relativeFrom="column">
              <wp:posOffset>5080</wp:posOffset>
            </wp:positionH>
            <wp:positionV relativeFrom="paragraph">
              <wp:posOffset>33020</wp:posOffset>
            </wp:positionV>
            <wp:extent cx="2733675" cy="1697355"/>
            <wp:effectExtent l="0" t="0" r="9525" b="0"/>
            <wp:wrapNone/>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cstate="print">
                      <a:extLst>
                        <a:ext uri="{28A0092B-C50C-407E-A947-70E740481C1C}">
                          <a14:useLocalDpi xmlns:a14="http://schemas.microsoft.com/office/drawing/2010/main" val="0"/>
                        </a:ext>
                      </a:extLst>
                    </a:blip>
                    <a:srcRect l="7430" t="20862" r="4668" b="21721"/>
                    <a:stretch>
                      <a:fillRect/>
                    </a:stretch>
                  </pic:blipFill>
                  <pic:spPr>
                    <a:xfrm>
                      <a:off x="0" y="0"/>
                      <a:ext cx="2733675" cy="1697355"/>
                    </a:xfrm>
                    <a:prstGeom prst="rect">
                      <a:avLst/>
                    </a:prstGeom>
                    <a:ln/>
                  </pic:spPr>
                </pic:pic>
              </a:graphicData>
            </a:graphic>
            <wp14:sizeRelH relativeFrom="margin">
              <wp14:pctWidth>0</wp14:pctWidth>
            </wp14:sizeRelH>
          </wp:anchor>
        </w:drawing>
      </w:r>
      <w:r w:rsidRPr="00D71188">
        <w:rPr>
          <w:rFonts w:ascii="Arial" w:hAnsi="Arial" w:cs="Arial"/>
          <w:sz w:val="24"/>
          <w:szCs w:val="24"/>
        </w:rPr>
        <w:drawing>
          <wp:anchor distT="0" distB="0" distL="114300" distR="114300" simplePos="0" relativeHeight="251661312" behindDoc="1" locked="0" layoutInCell="1" allowOverlap="1" wp14:anchorId="149A609A" wp14:editId="5399436A">
            <wp:simplePos x="0" y="0"/>
            <wp:positionH relativeFrom="column">
              <wp:posOffset>2861945</wp:posOffset>
            </wp:positionH>
            <wp:positionV relativeFrom="paragraph">
              <wp:posOffset>13970</wp:posOffset>
            </wp:positionV>
            <wp:extent cx="2838450" cy="1714500"/>
            <wp:effectExtent l="0" t="0" r="0" b="0"/>
            <wp:wrapSquare wrapText="bothSides"/>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cstate="print">
                      <a:extLst>
                        <a:ext uri="{28A0092B-C50C-407E-A947-70E740481C1C}">
                          <a14:useLocalDpi xmlns:a14="http://schemas.microsoft.com/office/drawing/2010/main" val="0"/>
                        </a:ext>
                      </a:extLst>
                    </a:blip>
                    <a:srcRect l="3684" t="11691" r="1525" b="21585"/>
                    <a:stretch>
                      <a:fillRect/>
                    </a:stretch>
                  </pic:blipFill>
                  <pic:spPr>
                    <a:xfrm>
                      <a:off x="0" y="0"/>
                      <a:ext cx="2838450" cy="1714500"/>
                    </a:xfrm>
                    <a:prstGeom prst="rect">
                      <a:avLst/>
                    </a:prstGeom>
                    <a:ln/>
                  </pic:spPr>
                </pic:pic>
              </a:graphicData>
            </a:graphic>
          </wp:anchor>
        </w:drawing>
      </w:r>
    </w:p>
    <w:p w14:paraId="230B38F4" w14:textId="77777777" w:rsidR="00291DED" w:rsidRDefault="00170856" w:rsidP="00170856">
      <w:pPr>
        <w:jc w:val="both"/>
        <w:rPr>
          <w:rFonts w:ascii="Arial" w:hAnsi="Arial" w:cs="Arial"/>
          <w:sz w:val="24"/>
          <w:szCs w:val="24"/>
        </w:rPr>
      </w:pPr>
      <w:r w:rsidRPr="00D71188">
        <w:rPr>
          <w:rFonts w:ascii="Arial" w:hAnsi="Arial" w:cs="Arial"/>
          <w:sz w:val="24"/>
          <w:szCs w:val="24"/>
        </w:rPr>
        <w:t>F</w:t>
      </w:r>
    </w:p>
    <w:p w14:paraId="62696338" w14:textId="77777777" w:rsidR="00291DED" w:rsidRDefault="00291DED" w:rsidP="00170856">
      <w:pPr>
        <w:jc w:val="both"/>
        <w:rPr>
          <w:rFonts w:ascii="Arial" w:hAnsi="Arial" w:cs="Arial"/>
          <w:sz w:val="24"/>
          <w:szCs w:val="24"/>
        </w:rPr>
      </w:pPr>
    </w:p>
    <w:p w14:paraId="0E332B65" w14:textId="77777777" w:rsidR="00291DED" w:rsidRDefault="00291DED" w:rsidP="00170856">
      <w:pPr>
        <w:jc w:val="both"/>
        <w:rPr>
          <w:rFonts w:ascii="Arial" w:hAnsi="Arial" w:cs="Arial"/>
          <w:sz w:val="24"/>
          <w:szCs w:val="24"/>
        </w:rPr>
      </w:pPr>
    </w:p>
    <w:p w14:paraId="1A5B155F" w14:textId="77777777" w:rsidR="00291DED" w:rsidRDefault="00291DED" w:rsidP="00170856">
      <w:pPr>
        <w:jc w:val="both"/>
        <w:rPr>
          <w:rFonts w:ascii="Arial" w:hAnsi="Arial" w:cs="Arial"/>
          <w:sz w:val="24"/>
          <w:szCs w:val="24"/>
        </w:rPr>
      </w:pPr>
    </w:p>
    <w:p w14:paraId="0F0F84DC" w14:textId="77777777" w:rsidR="00291DED" w:rsidRDefault="00291DED" w:rsidP="00170856">
      <w:pPr>
        <w:jc w:val="both"/>
        <w:rPr>
          <w:rFonts w:ascii="Arial" w:hAnsi="Arial" w:cs="Arial"/>
          <w:sz w:val="24"/>
          <w:szCs w:val="24"/>
        </w:rPr>
      </w:pPr>
    </w:p>
    <w:p w14:paraId="1126A4C4" w14:textId="5DBEDAF6" w:rsidR="00170856" w:rsidRPr="00D71188" w:rsidRDefault="00291DED" w:rsidP="00B77B29">
      <w:pPr>
        <w:pStyle w:val="GvdeMetni"/>
      </w:pPr>
      <w:r>
        <w:t>F</w:t>
      </w:r>
      <w:r w:rsidR="00170856" w:rsidRPr="00D71188">
        <w:t xml:space="preserve">igure 1: </w:t>
      </w:r>
      <w:r w:rsidR="00B77B29" w:rsidRPr="00D71188">
        <w:t xml:space="preserve">Contrast abdomen tomography </w:t>
      </w:r>
      <w:r w:rsidR="00B77B29">
        <w:t xml:space="preserve"> showing </w:t>
      </w:r>
      <w:r>
        <w:t>(a)</w:t>
      </w:r>
      <w:r w:rsidR="008D165A">
        <w:t xml:space="preserve"> </w:t>
      </w:r>
      <w:r w:rsidR="00B77B29">
        <w:t>l</w:t>
      </w:r>
      <w:r w:rsidR="00170856" w:rsidRPr="00D71188">
        <w:t>eveling, enlargement of the small intestine and collection of the intestines in an area such as in the sac.</w:t>
      </w:r>
      <w:r w:rsidR="00B77B29">
        <w:t>,</w:t>
      </w:r>
      <w:r>
        <w:t>(b)</w:t>
      </w:r>
      <w:r w:rsidR="008D165A">
        <w:t xml:space="preserve"> </w:t>
      </w:r>
      <w:r w:rsidR="00B77B29">
        <w:t>v</w:t>
      </w:r>
      <w:r w:rsidR="00170856" w:rsidRPr="00D71188">
        <w:t>ascular structures extending to hernia</w:t>
      </w:r>
      <w:r w:rsidR="00170856">
        <w:t xml:space="preserve"> </w:t>
      </w:r>
      <w:r w:rsidR="00170856" w:rsidRPr="00D71188">
        <w:t>neck.</w:t>
      </w:r>
    </w:p>
    <w:p w14:paraId="5F8589D2" w14:textId="494E5F6B" w:rsidR="00066552" w:rsidRDefault="00170856" w:rsidP="00170856">
      <w:pPr>
        <w:jc w:val="both"/>
        <w:rPr>
          <w:rFonts w:ascii="Arial" w:hAnsi="Arial" w:cs="Arial"/>
          <w:sz w:val="24"/>
          <w:szCs w:val="24"/>
        </w:rPr>
      </w:pPr>
      <w:r w:rsidRPr="00D71188">
        <w:rPr>
          <w:rFonts w:ascii="Arial" w:hAnsi="Arial" w:cs="Arial"/>
          <w:sz w:val="24"/>
          <w:szCs w:val="24"/>
        </w:rPr>
        <w:t xml:space="preserve">    </w:t>
      </w:r>
      <w:r w:rsidR="00570267">
        <w:rPr>
          <w:rFonts w:ascii="Arial" w:hAnsi="Arial" w:cs="Arial"/>
          <w:sz w:val="24"/>
          <w:szCs w:val="24"/>
        </w:rPr>
        <w:t xml:space="preserve"> </w:t>
      </w:r>
    </w:p>
    <w:p w14:paraId="128BBDC3" w14:textId="346740FF" w:rsidR="00170856" w:rsidRPr="00D71188" w:rsidRDefault="00066552" w:rsidP="00170856">
      <w:pPr>
        <w:jc w:val="both"/>
        <w:rPr>
          <w:rFonts w:ascii="Arial" w:hAnsi="Arial" w:cs="Arial"/>
          <w:sz w:val="24"/>
          <w:szCs w:val="24"/>
        </w:rPr>
      </w:pPr>
      <w:r>
        <w:rPr>
          <w:rFonts w:ascii="Arial" w:hAnsi="Arial" w:cs="Arial"/>
          <w:sz w:val="24"/>
          <w:szCs w:val="24"/>
        </w:rPr>
        <w:t xml:space="preserve">    </w:t>
      </w:r>
      <w:r w:rsidR="00170856" w:rsidRPr="00D71188">
        <w:rPr>
          <w:rFonts w:ascii="Arial" w:hAnsi="Arial" w:cs="Arial"/>
          <w:sz w:val="24"/>
          <w:szCs w:val="24"/>
        </w:rPr>
        <w:t xml:space="preserve"> </w:t>
      </w:r>
      <w:r w:rsidR="00170856">
        <w:rPr>
          <w:rFonts w:ascii="Arial" w:hAnsi="Arial" w:cs="Arial"/>
          <w:sz w:val="24"/>
          <w:szCs w:val="24"/>
        </w:rPr>
        <w:t>The p</w:t>
      </w:r>
      <w:r w:rsidR="00170856" w:rsidRPr="00D71188">
        <w:rPr>
          <w:rFonts w:ascii="Arial" w:hAnsi="Arial" w:cs="Arial"/>
          <w:sz w:val="24"/>
          <w:szCs w:val="24"/>
        </w:rPr>
        <w:t>atient</w:t>
      </w:r>
      <w:r w:rsidR="00170856">
        <w:rPr>
          <w:rFonts w:ascii="Arial" w:hAnsi="Arial" w:cs="Arial"/>
          <w:sz w:val="24"/>
          <w:szCs w:val="24"/>
        </w:rPr>
        <w:t xml:space="preserve"> was</w:t>
      </w:r>
      <w:r w:rsidR="00170856" w:rsidRPr="00D71188">
        <w:rPr>
          <w:rFonts w:ascii="Arial" w:hAnsi="Arial" w:cs="Arial"/>
          <w:sz w:val="24"/>
          <w:szCs w:val="24"/>
        </w:rPr>
        <w:t xml:space="preserve"> hospitalized with the diagnosis of intestinal obstruction. During follow-up, his complaints did not regress and  he was taken to the operation</w:t>
      </w:r>
      <w:r w:rsidR="00170856">
        <w:rPr>
          <w:rFonts w:ascii="Arial" w:hAnsi="Arial" w:cs="Arial"/>
          <w:sz w:val="24"/>
          <w:szCs w:val="24"/>
        </w:rPr>
        <w:t>.</w:t>
      </w:r>
      <w:r w:rsidR="00170856" w:rsidRPr="00D71188">
        <w:rPr>
          <w:rFonts w:ascii="Arial" w:hAnsi="Arial" w:cs="Arial"/>
          <w:sz w:val="24"/>
          <w:szCs w:val="24"/>
        </w:rPr>
        <w:t xml:space="preserve"> The operation revealed that all small intestines were covered with a peritoneal membrane and herniated into the left paraduodenal space (Figure 2). The hernia sac was opened and intestines were mobilized. The blood supply to the intestines was normal</w:t>
      </w:r>
      <w:r w:rsidR="00170856">
        <w:rPr>
          <w:rFonts w:ascii="Arial" w:hAnsi="Arial" w:cs="Arial"/>
          <w:sz w:val="24"/>
          <w:szCs w:val="24"/>
        </w:rPr>
        <w:t>.</w:t>
      </w:r>
      <w:r w:rsidR="00170856" w:rsidRPr="00D71188">
        <w:rPr>
          <w:rFonts w:ascii="Arial" w:hAnsi="Arial" w:cs="Arial"/>
          <w:sz w:val="24"/>
          <w:szCs w:val="24"/>
        </w:rPr>
        <w:t>Peritoneal gap</w:t>
      </w:r>
      <w:r w:rsidR="00170856">
        <w:rPr>
          <w:rFonts w:ascii="Arial" w:hAnsi="Arial" w:cs="Arial"/>
          <w:sz w:val="24"/>
          <w:szCs w:val="24"/>
        </w:rPr>
        <w:t xml:space="preserve"> was</w:t>
      </w:r>
      <w:r w:rsidR="00170856" w:rsidRPr="00D71188">
        <w:rPr>
          <w:rFonts w:ascii="Arial" w:hAnsi="Arial" w:cs="Arial"/>
          <w:sz w:val="24"/>
          <w:szCs w:val="24"/>
        </w:rPr>
        <w:t xml:space="preserve"> closed(Fig. 3). The patient was discharged on the postoperative 4th day.</w:t>
      </w:r>
    </w:p>
    <w:p w14:paraId="15FB8B0E" w14:textId="77777777" w:rsidR="00170856" w:rsidRPr="00D71188" w:rsidRDefault="00170856" w:rsidP="00170856">
      <w:pPr>
        <w:jc w:val="both"/>
        <w:rPr>
          <w:rFonts w:ascii="Arial" w:hAnsi="Arial" w:cs="Arial"/>
          <w:sz w:val="24"/>
          <w:szCs w:val="24"/>
        </w:rPr>
      </w:pPr>
    </w:p>
    <w:p w14:paraId="6E1247D0" w14:textId="020236F4" w:rsidR="00170856" w:rsidRPr="00D71188" w:rsidRDefault="00291DED" w:rsidP="00170856">
      <w:pPr>
        <w:jc w:val="both"/>
        <w:rPr>
          <w:rFonts w:ascii="Arial" w:hAnsi="Arial" w:cs="Arial"/>
          <w:sz w:val="24"/>
          <w:szCs w:val="24"/>
        </w:rPr>
      </w:pPr>
      <w:r w:rsidRPr="00D71188">
        <w:rPr>
          <w:rFonts w:ascii="Arial" w:hAnsi="Arial" w:cs="Arial"/>
          <w:sz w:val="24"/>
          <w:szCs w:val="24"/>
        </w:rPr>
        <w:drawing>
          <wp:anchor distT="0" distB="0" distL="114300" distR="114300" simplePos="0" relativeHeight="251659264" behindDoc="0" locked="0" layoutInCell="1" allowOverlap="1" wp14:anchorId="69A22202" wp14:editId="27F61EA3">
            <wp:simplePos x="0" y="0"/>
            <wp:positionH relativeFrom="margin">
              <wp:posOffset>3111500</wp:posOffset>
            </wp:positionH>
            <wp:positionV relativeFrom="paragraph">
              <wp:posOffset>6350</wp:posOffset>
            </wp:positionV>
            <wp:extent cx="2792095" cy="2229485"/>
            <wp:effectExtent l="0" t="0" r="0" b="0"/>
            <wp:wrapSquare wrapText="bothSides" distT="0" distB="0" distL="114300" distR="11430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cstate="print"/>
                    <a:srcRect l="9144" t="26681" r="25825" b="33860"/>
                    <a:stretch>
                      <a:fillRect/>
                    </a:stretch>
                  </pic:blipFill>
                  <pic:spPr>
                    <a:xfrm>
                      <a:off x="0" y="0"/>
                      <a:ext cx="2792095" cy="2229485"/>
                    </a:xfrm>
                    <a:prstGeom prst="rect">
                      <a:avLst/>
                    </a:prstGeom>
                    <a:ln/>
                  </pic:spPr>
                </pic:pic>
              </a:graphicData>
            </a:graphic>
          </wp:anchor>
        </w:drawing>
      </w:r>
      <w:r w:rsidR="00170856" w:rsidRPr="00D71188">
        <w:rPr>
          <w:rFonts w:ascii="Arial" w:hAnsi="Arial" w:cs="Arial"/>
          <w:sz w:val="24"/>
          <w:szCs w:val="24"/>
        </w:rPr>
        <w:drawing>
          <wp:inline distT="0" distB="0" distL="0" distR="0" wp14:anchorId="028C240C" wp14:editId="1FBD9A92">
            <wp:extent cx="2876827" cy="2308276"/>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cstate="print"/>
                    <a:srcRect l="-3302" t="18392" r="250" b="31956"/>
                    <a:stretch>
                      <a:fillRect/>
                    </a:stretch>
                  </pic:blipFill>
                  <pic:spPr>
                    <a:xfrm>
                      <a:off x="0" y="0"/>
                      <a:ext cx="2876827" cy="2308276"/>
                    </a:xfrm>
                    <a:prstGeom prst="rect">
                      <a:avLst/>
                    </a:prstGeom>
                    <a:ln/>
                  </pic:spPr>
                </pic:pic>
              </a:graphicData>
            </a:graphic>
          </wp:inline>
        </w:drawing>
      </w:r>
    </w:p>
    <w:p w14:paraId="4E59EB73" w14:textId="5EFDB8F4" w:rsidR="00170856" w:rsidRPr="00291DED" w:rsidRDefault="00170856" w:rsidP="00170856">
      <w:pPr>
        <w:jc w:val="both"/>
        <w:rPr>
          <w:rFonts w:ascii="Arial" w:hAnsi="Arial" w:cs="Arial"/>
          <w:sz w:val="24"/>
          <w:szCs w:val="24"/>
        </w:rPr>
      </w:pPr>
      <w:r w:rsidRPr="00291DED">
        <w:rPr>
          <w:rFonts w:ascii="Arial" w:hAnsi="Arial" w:cs="Arial"/>
          <w:b/>
          <w:sz w:val="24"/>
          <w:szCs w:val="24"/>
        </w:rPr>
        <w:t xml:space="preserve">Figure 2: </w:t>
      </w:r>
      <w:r w:rsidRPr="00291DED">
        <w:rPr>
          <w:rFonts w:ascii="Arial" w:hAnsi="Arial" w:cs="Arial"/>
          <w:sz w:val="24"/>
          <w:szCs w:val="24"/>
        </w:rPr>
        <w:t xml:space="preserve">                                                        </w:t>
      </w:r>
      <w:r w:rsidR="00291DED">
        <w:rPr>
          <w:rFonts w:ascii="Arial" w:hAnsi="Arial" w:cs="Arial"/>
          <w:sz w:val="24"/>
          <w:szCs w:val="24"/>
        </w:rPr>
        <w:t xml:space="preserve">  </w:t>
      </w:r>
      <w:r w:rsidRPr="00291DED">
        <w:rPr>
          <w:rFonts w:ascii="Arial" w:hAnsi="Arial" w:cs="Arial"/>
          <w:b/>
          <w:sz w:val="24"/>
          <w:szCs w:val="24"/>
        </w:rPr>
        <w:t xml:space="preserve">Figure 3: </w:t>
      </w:r>
    </w:p>
    <w:p w14:paraId="11ECB50F" w14:textId="77777777" w:rsidR="00291DED" w:rsidRDefault="00170856" w:rsidP="00170856">
      <w:pPr>
        <w:jc w:val="both"/>
        <w:rPr>
          <w:rFonts w:ascii="Arial" w:hAnsi="Arial" w:cs="Arial"/>
          <w:sz w:val="24"/>
          <w:szCs w:val="24"/>
        </w:rPr>
      </w:pPr>
      <w:r w:rsidRPr="00291DED">
        <w:rPr>
          <w:rFonts w:ascii="Arial" w:hAnsi="Arial" w:cs="Arial"/>
          <w:sz w:val="24"/>
          <w:szCs w:val="24"/>
        </w:rPr>
        <w:t xml:space="preserve">İntestines are covered with  hernia sac  </w:t>
      </w:r>
      <w:r w:rsidR="00291DED">
        <w:rPr>
          <w:rFonts w:ascii="Arial" w:hAnsi="Arial" w:cs="Arial"/>
          <w:sz w:val="24"/>
          <w:szCs w:val="24"/>
        </w:rPr>
        <w:t xml:space="preserve">  </w:t>
      </w:r>
      <w:r w:rsidR="00291DED" w:rsidRPr="00291DED">
        <w:rPr>
          <w:rFonts w:ascii="Arial" w:hAnsi="Arial" w:cs="Arial"/>
          <w:sz w:val="24"/>
          <w:szCs w:val="24"/>
        </w:rPr>
        <w:t xml:space="preserve">       </w:t>
      </w:r>
      <w:r w:rsidRPr="00291DED">
        <w:rPr>
          <w:rFonts w:ascii="Arial" w:hAnsi="Arial" w:cs="Arial"/>
          <w:sz w:val="24"/>
          <w:szCs w:val="24"/>
        </w:rPr>
        <w:t xml:space="preserve">After the hernia  sac opened  and  </w:t>
      </w:r>
      <w:r w:rsidR="00291DED">
        <w:rPr>
          <w:rFonts w:ascii="Arial" w:hAnsi="Arial" w:cs="Arial"/>
          <w:sz w:val="24"/>
          <w:szCs w:val="24"/>
        </w:rPr>
        <w:t xml:space="preserve">    </w:t>
      </w:r>
    </w:p>
    <w:p w14:paraId="6AAA8267" w14:textId="691A622E" w:rsidR="00170856" w:rsidRPr="00291DED" w:rsidRDefault="00291DED" w:rsidP="00170856">
      <w:pPr>
        <w:jc w:val="both"/>
        <w:rPr>
          <w:rFonts w:ascii="Arial" w:hAnsi="Arial" w:cs="Arial"/>
          <w:sz w:val="24"/>
          <w:szCs w:val="24"/>
        </w:rPr>
      </w:pPr>
      <w:r>
        <w:rPr>
          <w:rFonts w:ascii="Arial" w:hAnsi="Arial" w:cs="Arial"/>
          <w:sz w:val="24"/>
          <w:szCs w:val="24"/>
        </w:rPr>
        <w:t xml:space="preserve">                                                                         </w:t>
      </w:r>
      <w:r w:rsidRPr="00291DED">
        <w:rPr>
          <w:rFonts w:ascii="Arial" w:hAnsi="Arial" w:cs="Arial"/>
          <w:sz w:val="24"/>
          <w:szCs w:val="24"/>
        </w:rPr>
        <w:t xml:space="preserve">intestines   mobilized.             </w:t>
      </w:r>
      <w:r w:rsidR="00170856" w:rsidRPr="00291DED">
        <w:rPr>
          <w:rFonts w:ascii="Arial" w:hAnsi="Arial" w:cs="Arial"/>
          <w:sz w:val="24"/>
          <w:szCs w:val="24"/>
        </w:rPr>
        <w:t xml:space="preserve">                                                                                      </w:t>
      </w:r>
    </w:p>
    <w:p w14:paraId="2A598B47" w14:textId="61FA1A8F" w:rsidR="00170856" w:rsidRPr="00291DED" w:rsidRDefault="00170856" w:rsidP="00170856">
      <w:pPr>
        <w:jc w:val="both"/>
        <w:rPr>
          <w:rFonts w:ascii="Arial" w:hAnsi="Arial" w:cs="Arial"/>
          <w:sz w:val="18"/>
          <w:szCs w:val="18"/>
        </w:rPr>
      </w:pPr>
      <w:r w:rsidRPr="00291DED">
        <w:rPr>
          <w:rFonts w:ascii="Arial" w:hAnsi="Arial" w:cs="Arial"/>
          <w:sz w:val="18"/>
          <w:szCs w:val="18"/>
        </w:rPr>
        <w:t xml:space="preserve">                                                                                 </w:t>
      </w:r>
    </w:p>
    <w:p w14:paraId="4840DECF" w14:textId="77777777" w:rsidR="00170856" w:rsidRPr="00066552" w:rsidRDefault="00170856" w:rsidP="00170856">
      <w:pPr>
        <w:jc w:val="both"/>
        <w:rPr>
          <w:rFonts w:ascii="Arial" w:hAnsi="Arial" w:cs="Arial"/>
          <w:b/>
          <w:sz w:val="24"/>
          <w:szCs w:val="24"/>
        </w:rPr>
      </w:pPr>
      <w:r w:rsidRPr="00066552">
        <w:rPr>
          <w:rFonts w:ascii="Arial" w:hAnsi="Arial" w:cs="Arial"/>
          <w:b/>
          <w:sz w:val="24"/>
          <w:szCs w:val="24"/>
        </w:rPr>
        <w:lastRenderedPageBreak/>
        <w:t>DISCUSSION:</w:t>
      </w:r>
    </w:p>
    <w:p w14:paraId="7BB097FE" w14:textId="2691DB85" w:rsidR="00170856" w:rsidRPr="00D71188" w:rsidRDefault="00066552" w:rsidP="00291DED">
      <w:pPr>
        <w:pStyle w:val="GvdeMetni"/>
      </w:pPr>
      <w:bookmarkStart w:id="0" w:name="_gjdgxs" w:colFirst="0" w:colLast="0"/>
      <w:bookmarkEnd w:id="0"/>
      <w:r>
        <w:t xml:space="preserve">    </w:t>
      </w:r>
      <w:r w:rsidR="00F32380">
        <w:t xml:space="preserve">  </w:t>
      </w:r>
      <w:r w:rsidR="00170856" w:rsidRPr="00D71188">
        <w:t xml:space="preserve">Internal hernias are defined as the herniation of the internal organ from a congenital or acquired cavity in the abdominal cavity.  According to Hansmann and Morton’s study on 967 cases, the internal hernias are divided </w:t>
      </w:r>
      <w:r w:rsidR="00170856">
        <w:t xml:space="preserve">into </w:t>
      </w:r>
      <w:r w:rsidR="00170856" w:rsidRPr="00D71188">
        <w:t>7 main types by its location: paraduodenal, foramen of Winslow, pericecal, intersigmoid, transmesenteric, transomental and retroanastomotic</w:t>
      </w:r>
      <w:r w:rsidR="00170856">
        <w:t xml:space="preserve"> </w:t>
      </w:r>
      <w:r w:rsidR="00170856" w:rsidRPr="00D71188">
        <w:t>(2). In addition, Liew and colleagues identified 25 different internal hernias according to their anatomical location (3).</w:t>
      </w:r>
    </w:p>
    <w:p w14:paraId="40C3E196" w14:textId="630088ED" w:rsidR="00170856" w:rsidRPr="00D71188" w:rsidRDefault="00170856" w:rsidP="00170856">
      <w:pPr>
        <w:jc w:val="both"/>
        <w:rPr>
          <w:rFonts w:ascii="Arial" w:hAnsi="Arial" w:cs="Arial"/>
          <w:sz w:val="24"/>
          <w:szCs w:val="24"/>
        </w:rPr>
      </w:pPr>
      <w:bookmarkStart w:id="1" w:name="_30j0zll" w:colFirst="0" w:colLast="0"/>
      <w:bookmarkEnd w:id="1"/>
      <w:r w:rsidRPr="00D71188">
        <w:rPr>
          <w:rFonts w:ascii="Arial" w:hAnsi="Arial" w:cs="Arial"/>
          <w:sz w:val="24"/>
          <w:szCs w:val="24"/>
        </w:rPr>
        <w:t xml:space="preserve">  </w:t>
      </w:r>
      <w:r w:rsidR="00066552">
        <w:rPr>
          <w:rFonts w:ascii="Arial" w:hAnsi="Arial" w:cs="Arial"/>
          <w:sz w:val="24"/>
          <w:szCs w:val="24"/>
        </w:rPr>
        <w:t xml:space="preserve">  </w:t>
      </w:r>
      <w:r w:rsidR="00F32380">
        <w:rPr>
          <w:rFonts w:ascii="Arial" w:hAnsi="Arial" w:cs="Arial"/>
          <w:sz w:val="24"/>
          <w:szCs w:val="24"/>
        </w:rPr>
        <w:t xml:space="preserve">  </w:t>
      </w:r>
      <w:r w:rsidRPr="00D71188">
        <w:rPr>
          <w:rFonts w:ascii="Arial" w:hAnsi="Arial" w:cs="Arial"/>
          <w:sz w:val="24"/>
          <w:szCs w:val="24"/>
        </w:rPr>
        <w:t xml:space="preserve">Paraduodenal hernias are a subgroup of internal hernias, constitute 50% of internal hernias and 1% of small bowel obstruction. Firstly Andrews pointed </w:t>
      </w:r>
      <w:r>
        <w:rPr>
          <w:rFonts w:ascii="Arial" w:hAnsi="Arial" w:cs="Arial"/>
          <w:sz w:val="24"/>
          <w:szCs w:val="24"/>
        </w:rPr>
        <w:t>out</w:t>
      </w:r>
      <w:r w:rsidRPr="00D71188">
        <w:rPr>
          <w:rFonts w:ascii="Arial" w:hAnsi="Arial" w:cs="Arial"/>
          <w:sz w:val="24"/>
          <w:szCs w:val="24"/>
        </w:rPr>
        <w:t xml:space="preserve"> the congenital malrotation occurred in paraduodenal hernias</w:t>
      </w:r>
      <w:r>
        <w:rPr>
          <w:rFonts w:ascii="Arial" w:hAnsi="Arial" w:cs="Arial"/>
          <w:sz w:val="24"/>
          <w:szCs w:val="24"/>
        </w:rPr>
        <w:t xml:space="preserve"> </w:t>
      </w:r>
      <w:r w:rsidRPr="00D71188">
        <w:rPr>
          <w:rFonts w:ascii="Arial" w:hAnsi="Arial" w:cs="Arial"/>
          <w:sz w:val="24"/>
          <w:szCs w:val="24"/>
        </w:rPr>
        <w:t xml:space="preserve">(4). Paraduodenal hernias are divided to two groups as right and left. In paraduodenal hernias, herniated abdominal content in retrocolic area named as fossa of Waldeyer at right , fossa of Landzert at left. Paraduodenal hernias  are generally seen in </w:t>
      </w:r>
      <w:r>
        <w:rPr>
          <w:rFonts w:ascii="Arial" w:hAnsi="Arial" w:cs="Arial"/>
          <w:sz w:val="24"/>
          <w:szCs w:val="24"/>
        </w:rPr>
        <w:t xml:space="preserve">the </w:t>
      </w:r>
      <w:r w:rsidRPr="00D71188">
        <w:rPr>
          <w:rFonts w:ascii="Arial" w:hAnsi="Arial" w:cs="Arial"/>
          <w:sz w:val="24"/>
          <w:szCs w:val="24"/>
        </w:rPr>
        <w:t>4th and 5th decades</w:t>
      </w:r>
      <w:r>
        <w:rPr>
          <w:rFonts w:ascii="Arial" w:hAnsi="Arial" w:cs="Arial"/>
          <w:sz w:val="24"/>
          <w:szCs w:val="24"/>
        </w:rPr>
        <w:t xml:space="preserve"> of life</w:t>
      </w:r>
      <w:r w:rsidRPr="00D71188">
        <w:rPr>
          <w:rFonts w:ascii="Arial" w:hAnsi="Arial" w:cs="Arial"/>
          <w:sz w:val="24"/>
          <w:szCs w:val="24"/>
        </w:rPr>
        <w:t>, more frequent in males</w:t>
      </w:r>
      <w:r>
        <w:rPr>
          <w:rFonts w:ascii="Arial" w:hAnsi="Arial" w:cs="Arial"/>
          <w:sz w:val="24"/>
          <w:szCs w:val="24"/>
        </w:rPr>
        <w:t xml:space="preserve"> and occurs three times more commonly on the left side (5).</w:t>
      </w:r>
      <w:r w:rsidRPr="00D71188">
        <w:rPr>
          <w:rFonts w:ascii="Arial" w:hAnsi="Arial" w:cs="Arial"/>
          <w:sz w:val="24"/>
          <w:szCs w:val="24"/>
        </w:rPr>
        <w:t>.</w:t>
      </w:r>
    </w:p>
    <w:p w14:paraId="35B20A24" w14:textId="46BD30A8" w:rsidR="00170856" w:rsidRPr="00D71188" w:rsidRDefault="00170856" w:rsidP="00170856">
      <w:pPr>
        <w:jc w:val="both"/>
        <w:rPr>
          <w:rFonts w:ascii="Arial" w:hAnsi="Arial" w:cs="Arial"/>
          <w:sz w:val="24"/>
          <w:szCs w:val="24"/>
        </w:rPr>
      </w:pPr>
      <w:bookmarkStart w:id="2" w:name="_1fob9te" w:colFirst="0" w:colLast="0"/>
      <w:bookmarkEnd w:id="2"/>
      <w:r w:rsidRPr="00D71188">
        <w:rPr>
          <w:rFonts w:ascii="Arial" w:hAnsi="Arial" w:cs="Arial"/>
          <w:sz w:val="24"/>
          <w:szCs w:val="24"/>
        </w:rPr>
        <w:t xml:space="preserve">  </w:t>
      </w:r>
      <w:r w:rsidR="00066552">
        <w:rPr>
          <w:rFonts w:ascii="Arial" w:hAnsi="Arial" w:cs="Arial"/>
          <w:sz w:val="24"/>
          <w:szCs w:val="24"/>
        </w:rPr>
        <w:t xml:space="preserve">   </w:t>
      </w:r>
      <w:r w:rsidR="00F32380">
        <w:rPr>
          <w:rFonts w:ascii="Arial" w:hAnsi="Arial" w:cs="Arial"/>
          <w:sz w:val="24"/>
          <w:szCs w:val="24"/>
        </w:rPr>
        <w:t xml:space="preserve"> </w:t>
      </w:r>
      <w:r w:rsidRPr="00D71188">
        <w:rPr>
          <w:rFonts w:ascii="Arial" w:hAnsi="Arial" w:cs="Arial"/>
          <w:sz w:val="24"/>
          <w:szCs w:val="24"/>
        </w:rPr>
        <w:t xml:space="preserve">Clinical manifestationsinclude cramp-style pain, nausea, vomiting, distension, and clinical conditions ranging from </w:t>
      </w:r>
      <w:r>
        <w:rPr>
          <w:rFonts w:ascii="Arial" w:hAnsi="Arial" w:cs="Arial"/>
          <w:sz w:val="24"/>
          <w:szCs w:val="24"/>
        </w:rPr>
        <w:t>ileus</w:t>
      </w:r>
      <w:r w:rsidRPr="00D71188">
        <w:rPr>
          <w:rFonts w:ascii="Arial" w:hAnsi="Arial" w:cs="Arial"/>
          <w:sz w:val="24"/>
          <w:szCs w:val="24"/>
        </w:rPr>
        <w:t xml:space="preserve"> to</w:t>
      </w:r>
      <w:r>
        <w:rPr>
          <w:rFonts w:ascii="Arial" w:hAnsi="Arial" w:cs="Arial"/>
          <w:sz w:val="24"/>
          <w:szCs w:val="24"/>
        </w:rPr>
        <w:t xml:space="preserve"> shock due to</w:t>
      </w:r>
      <w:r w:rsidRPr="00D71188">
        <w:rPr>
          <w:rFonts w:ascii="Arial" w:hAnsi="Arial" w:cs="Arial"/>
          <w:sz w:val="24"/>
          <w:szCs w:val="24"/>
        </w:rPr>
        <w:t xml:space="preserve"> herniated bowel segment</w:t>
      </w:r>
      <w:r>
        <w:rPr>
          <w:rFonts w:ascii="Arial" w:hAnsi="Arial" w:cs="Arial"/>
          <w:sz w:val="24"/>
          <w:szCs w:val="24"/>
        </w:rPr>
        <w:t>.</w:t>
      </w:r>
      <w:r w:rsidRPr="00D71188">
        <w:rPr>
          <w:rFonts w:ascii="Arial" w:hAnsi="Arial" w:cs="Arial"/>
          <w:sz w:val="24"/>
          <w:szCs w:val="24"/>
        </w:rPr>
        <w:t xml:space="preserve"> Until 50% of the patients are diagnosed, there is a history of intermediate ileus </w:t>
      </w:r>
      <w:r>
        <w:rPr>
          <w:rFonts w:ascii="Arial" w:hAnsi="Arial" w:cs="Arial"/>
          <w:sz w:val="24"/>
          <w:szCs w:val="24"/>
        </w:rPr>
        <w:t xml:space="preserve"> </w:t>
      </w:r>
      <w:r w:rsidRPr="00D71188">
        <w:rPr>
          <w:rFonts w:ascii="Arial" w:hAnsi="Arial" w:cs="Arial"/>
          <w:sz w:val="24"/>
          <w:szCs w:val="24"/>
        </w:rPr>
        <w:t>and the other 50% group is diagnosed incidentally (6).</w:t>
      </w:r>
    </w:p>
    <w:p w14:paraId="0A3BC7F8" w14:textId="2E8C2248" w:rsidR="00170856" w:rsidRPr="00D71188" w:rsidRDefault="00170856" w:rsidP="00170856">
      <w:pPr>
        <w:jc w:val="both"/>
        <w:rPr>
          <w:rFonts w:ascii="Arial" w:hAnsi="Arial" w:cs="Arial"/>
          <w:sz w:val="24"/>
          <w:szCs w:val="24"/>
        </w:rPr>
      </w:pPr>
      <w:r w:rsidRPr="00D71188">
        <w:rPr>
          <w:rFonts w:ascii="Arial" w:hAnsi="Arial" w:cs="Arial"/>
          <w:sz w:val="24"/>
          <w:szCs w:val="24"/>
        </w:rPr>
        <w:t xml:space="preserve"> </w:t>
      </w:r>
      <w:r w:rsidR="00066552">
        <w:rPr>
          <w:rFonts w:ascii="Arial" w:hAnsi="Arial" w:cs="Arial"/>
          <w:sz w:val="24"/>
          <w:szCs w:val="24"/>
        </w:rPr>
        <w:t xml:space="preserve">    </w:t>
      </w:r>
      <w:r w:rsidRPr="00D71188">
        <w:rPr>
          <w:rFonts w:ascii="Arial" w:hAnsi="Arial" w:cs="Arial"/>
          <w:sz w:val="24"/>
          <w:szCs w:val="24"/>
        </w:rPr>
        <w:t xml:space="preserve"> Radiological evaluation is very important in the diagnosis.</w:t>
      </w:r>
      <w:r>
        <w:rPr>
          <w:rFonts w:ascii="Arial" w:hAnsi="Arial" w:cs="Arial"/>
          <w:sz w:val="24"/>
          <w:szCs w:val="24"/>
        </w:rPr>
        <w:t xml:space="preserve"> </w:t>
      </w:r>
      <w:r w:rsidRPr="00D71188">
        <w:rPr>
          <w:rFonts w:ascii="Arial" w:hAnsi="Arial" w:cs="Arial"/>
          <w:sz w:val="24"/>
          <w:szCs w:val="24"/>
        </w:rPr>
        <w:t>Air-fluid levels can be seen at direct X-ray. In the barium examinations, dilated loops of  small intestine at the proximal of the obstruction</w:t>
      </w:r>
      <w:r>
        <w:rPr>
          <w:rFonts w:ascii="Arial" w:hAnsi="Arial" w:cs="Arial"/>
          <w:sz w:val="24"/>
          <w:szCs w:val="24"/>
        </w:rPr>
        <w:t xml:space="preserve"> can be seen</w:t>
      </w:r>
      <w:r w:rsidRPr="00D71188">
        <w:rPr>
          <w:rFonts w:ascii="Arial" w:hAnsi="Arial" w:cs="Arial"/>
          <w:sz w:val="24"/>
          <w:szCs w:val="24"/>
        </w:rPr>
        <w:t xml:space="preserve"> and slowed barium passage in the obstructed area</w:t>
      </w:r>
      <w:r>
        <w:rPr>
          <w:rFonts w:ascii="Arial" w:hAnsi="Arial" w:cs="Arial"/>
          <w:sz w:val="24"/>
          <w:szCs w:val="24"/>
        </w:rPr>
        <w:t xml:space="preserve"> can be noted</w:t>
      </w:r>
      <w:r w:rsidRPr="00D71188">
        <w:rPr>
          <w:rFonts w:ascii="Arial" w:hAnsi="Arial" w:cs="Arial"/>
          <w:sz w:val="24"/>
          <w:szCs w:val="24"/>
        </w:rPr>
        <w:t xml:space="preserve">. Arteriographs can show left deviation of jejunal or splenic artery. Ultrasonography may show an increase in thickness in small bowel walls or intraabdominal fluid. On computed tomography, the findings can be detected such as collecting the intestines form as mass without  capsule and the right or left deviation of the veins at the level of the </w:t>
      </w:r>
      <w:r>
        <w:rPr>
          <w:rFonts w:ascii="Arial" w:hAnsi="Arial" w:cs="Arial"/>
          <w:sz w:val="24"/>
          <w:szCs w:val="24"/>
        </w:rPr>
        <w:t>hernia neck</w:t>
      </w:r>
      <w:r w:rsidRPr="00D71188">
        <w:rPr>
          <w:rFonts w:ascii="Arial" w:hAnsi="Arial" w:cs="Arial"/>
          <w:sz w:val="24"/>
          <w:szCs w:val="24"/>
        </w:rPr>
        <w:t xml:space="preserve">(7). Although the imaging modalities </w:t>
      </w:r>
      <w:r>
        <w:rPr>
          <w:rFonts w:ascii="Arial" w:hAnsi="Arial" w:cs="Arial"/>
          <w:sz w:val="24"/>
          <w:szCs w:val="24"/>
        </w:rPr>
        <w:t>are helpful</w:t>
      </w:r>
      <w:r w:rsidRPr="00D71188">
        <w:rPr>
          <w:rFonts w:ascii="Arial" w:hAnsi="Arial" w:cs="Arial"/>
          <w:sz w:val="24"/>
          <w:szCs w:val="24"/>
        </w:rPr>
        <w:t xml:space="preserve">, the findings of paradudenal hernia were shaped within the framework of the ’Classic Empty Abdomen Sign’ which was defined by Kummer  in 1921 as the well-defined mass formed small intestines without passage of intestines to the real pelvis standing at upright position (8). </w:t>
      </w:r>
    </w:p>
    <w:p w14:paraId="3273341C" w14:textId="148489F4" w:rsidR="00170856" w:rsidRPr="00D71188" w:rsidRDefault="00170856" w:rsidP="00170856">
      <w:pPr>
        <w:jc w:val="both"/>
        <w:rPr>
          <w:rFonts w:ascii="Arial" w:hAnsi="Arial" w:cs="Arial"/>
          <w:sz w:val="24"/>
          <w:szCs w:val="24"/>
        </w:rPr>
      </w:pPr>
      <w:bookmarkStart w:id="3" w:name="_2et92p0" w:colFirst="0" w:colLast="0"/>
      <w:bookmarkEnd w:id="3"/>
      <w:r>
        <w:rPr>
          <w:rFonts w:ascii="Arial" w:hAnsi="Arial" w:cs="Arial"/>
          <w:sz w:val="24"/>
          <w:szCs w:val="24"/>
        </w:rPr>
        <w:t xml:space="preserve"> </w:t>
      </w:r>
      <w:r w:rsidR="00066552">
        <w:rPr>
          <w:rFonts w:ascii="Arial" w:hAnsi="Arial" w:cs="Arial"/>
          <w:sz w:val="24"/>
          <w:szCs w:val="24"/>
        </w:rPr>
        <w:t xml:space="preserve">    </w:t>
      </w:r>
      <w:r>
        <w:rPr>
          <w:rFonts w:ascii="Arial" w:hAnsi="Arial" w:cs="Arial"/>
          <w:sz w:val="24"/>
          <w:szCs w:val="24"/>
        </w:rPr>
        <w:t>As</w:t>
      </w:r>
      <w:r w:rsidRPr="00D71188">
        <w:rPr>
          <w:rFonts w:ascii="Arial" w:hAnsi="Arial" w:cs="Arial"/>
          <w:sz w:val="24"/>
          <w:szCs w:val="24"/>
        </w:rPr>
        <w:t xml:space="preserve"> surgical approach, open surgery technique is mostly used, but there are studies about laparoscopic approach (9). In operation, dilatation of the hernia neck or emptying of the content within the hernia sac with closure of the hernia neck can be applied</w:t>
      </w:r>
      <w:bookmarkStart w:id="4" w:name="_tyjcwt" w:colFirst="0" w:colLast="0"/>
      <w:bookmarkEnd w:id="4"/>
      <w:r w:rsidRPr="00D71188">
        <w:rPr>
          <w:rFonts w:ascii="Arial" w:hAnsi="Arial" w:cs="Arial"/>
          <w:sz w:val="24"/>
          <w:szCs w:val="24"/>
        </w:rPr>
        <w:t>. Additional surgical procedures may be required depending on the condition of the hernia. Since the hernia neck may be adjacent to right / left colic arteries, celiac artery and celiac vein, attention should be paid to the vascular structures mentioned above during the surgery (9).</w:t>
      </w:r>
    </w:p>
    <w:p w14:paraId="6C7CE4AB" w14:textId="6A466EB4" w:rsidR="00170856" w:rsidRDefault="00170856" w:rsidP="00170856">
      <w:pPr>
        <w:jc w:val="both"/>
        <w:rPr>
          <w:rFonts w:ascii="Arial" w:hAnsi="Arial" w:cs="Arial"/>
          <w:sz w:val="24"/>
          <w:szCs w:val="24"/>
        </w:rPr>
      </w:pPr>
      <w:r w:rsidRPr="00D71188">
        <w:rPr>
          <w:rFonts w:ascii="Arial" w:hAnsi="Arial" w:cs="Arial"/>
          <w:sz w:val="24"/>
          <w:szCs w:val="24"/>
        </w:rPr>
        <w:t xml:space="preserve">       Left paraduodenal hernias should be treated surgically as soon as they are diagnosed since they have the risk of intestinal ischemia associated with obstruction and strangulation</w:t>
      </w:r>
      <w:r>
        <w:rPr>
          <w:rFonts w:ascii="Arial" w:hAnsi="Arial" w:cs="Arial"/>
          <w:sz w:val="24"/>
          <w:szCs w:val="24"/>
        </w:rPr>
        <w:t>(10)</w:t>
      </w:r>
      <w:r w:rsidRPr="00D71188">
        <w:rPr>
          <w:rFonts w:ascii="Arial" w:hAnsi="Arial" w:cs="Arial"/>
          <w:sz w:val="24"/>
          <w:szCs w:val="24"/>
        </w:rPr>
        <w:t>.</w:t>
      </w:r>
    </w:p>
    <w:p w14:paraId="2B11CC27" w14:textId="77777777" w:rsidR="00F62C41" w:rsidRPr="00D71188" w:rsidRDefault="00F62C41" w:rsidP="00170856">
      <w:pPr>
        <w:jc w:val="both"/>
        <w:rPr>
          <w:rFonts w:ascii="Arial" w:hAnsi="Arial" w:cs="Arial"/>
          <w:sz w:val="24"/>
          <w:szCs w:val="24"/>
        </w:rPr>
      </w:pPr>
    </w:p>
    <w:p w14:paraId="591A8AAA" w14:textId="01CB09C7" w:rsidR="00F62C41" w:rsidRDefault="00F62C41" w:rsidP="00F62C41">
      <w:pPr>
        <w:pStyle w:val="Balk1"/>
      </w:pPr>
      <w:r w:rsidRPr="00F62C41">
        <w:lastRenderedPageBreak/>
        <w:t>COMPL</w:t>
      </w:r>
      <w:r>
        <w:t>I</w:t>
      </w:r>
      <w:r w:rsidRPr="00F62C41">
        <w:t>ANCE W</w:t>
      </w:r>
      <w:r>
        <w:t>I</w:t>
      </w:r>
      <w:r w:rsidRPr="00F62C41">
        <w:t>TH ETH</w:t>
      </w:r>
      <w:r>
        <w:t>I</w:t>
      </w:r>
      <w:r w:rsidRPr="00F62C41">
        <w:t>CAL STANDARDS</w:t>
      </w:r>
    </w:p>
    <w:p w14:paraId="5F623C3F" w14:textId="77777777" w:rsidR="00F62C41" w:rsidRPr="00F62C41" w:rsidRDefault="00F62C41" w:rsidP="00F62C41">
      <w:pPr>
        <w:rPr>
          <w:lang w:eastAsia="en-US"/>
        </w:rPr>
      </w:pPr>
    </w:p>
    <w:p w14:paraId="0E5D55AE" w14:textId="64D1C90F" w:rsidR="00170856" w:rsidRDefault="00F62C41" w:rsidP="00F62C4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Arial" w:eastAsiaTheme="minorHAnsi" w:hAnsi="Arial" w:cs="Arial"/>
          <w:noProof w:val="0"/>
          <w:color w:val="131413"/>
          <w:sz w:val="24"/>
          <w:szCs w:val="24"/>
          <w:lang w:eastAsia="en-US"/>
        </w:rPr>
      </w:pPr>
      <w:proofErr w:type="spellStart"/>
      <w:r w:rsidRPr="00F62C41">
        <w:rPr>
          <w:rFonts w:ascii="Arial" w:eastAsiaTheme="minorHAnsi" w:hAnsi="Arial" w:cs="Arial"/>
          <w:noProof w:val="0"/>
          <w:color w:val="131413"/>
          <w:sz w:val="24"/>
          <w:szCs w:val="24"/>
          <w:lang w:eastAsia="en-US"/>
        </w:rPr>
        <w:t>The</w:t>
      </w:r>
      <w:proofErr w:type="spellEnd"/>
      <w:r w:rsidRPr="00F62C41">
        <w:rPr>
          <w:rFonts w:ascii="Arial" w:eastAsiaTheme="minorHAnsi" w:hAnsi="Arial" w:cs="Arial"/>
          <w:noProof w:val="0"/>
          <w:color w:val="131413"/>
          <w:sz w:val="24"/>
          <w:szCs w:val="24"/>
          <w:lang w:eastAsia="en-US"/>
        </w:rPr>
        <w:t xml:space="preserve"> </w:t>
      </w:r>
      <w:proofErr w:type="spellStart"/>
      <w:r w:rsidRPr="00F62C41">
        <w:rPr>
          <w:rFonts w:ascii="Arial" w:eastAsiaTheme="minorHAnsi" w:hAnsi="Arial" w:cs="Arial"/>
          <w:noProof w:val="0"/>
          <w:color w:val="131413"/>
          <w:sz w:val="24"/>
          <w:szCs w:val="24"/>
          <w:lang w:eastAsia="en-US"/>
        </w:rPr>
        <w:t>authors</w:t>
      </w:r>
      <w:proofErr w:type="spellEnd"/>
      <w:r w:rsidRPr="00F62C41">
        <w:rPr>
          <w:rFonts w:ascii="Arial" w:eastAsiaTheme="minorHAnsi" w:hAnsi="Arial" w:cs="Arial"/>
          <w:noProof w:val="0"/>
          <w:color w:val="131413"/>
          <w:sz w:val="24"/>
          <w:szCs w:val="24"/>
          <w:lang w:eastAsia="en-US"/>
        </w:rPr>
        <w:t xml:space="preserve"> </w:t>
      </w:r>
      <w:proofErr w:type="spellStart"/>
      <w:r w:rsidRPr="00F62C41">
        <w:rPr>
          <w:rFonts w:ascii="Arial" w:eastAsiaTheme="minorHAnsi" w:hAnsi="Arial" w:cs="Arial"/>
          <w:noProof w:val="0"/>
          <w:color w:val="131413"/>
          <w:sz w:val="24"/>
          <w:szCs w:val="24"/>
          <w:lang w:eastAsia="en-US"/>
        </w:rPr>
        <w:t>declare</w:t>
      </w:r>
      <w:proofErr w:type="spellEnd"/>
      <w:r w:rsidRPr="00F62C41">
        <w:rPr>
          <w:rFonts w:ascii="Arial" w:eastAsiaTheme="minorHAnsi" w:hAnsi="Arial" w:cs="Arial"/>
          <w:noProof w:val="0"/>
          <w:color w:val="131413"/>
          <w:sz w:val="24"/>
          <w:szCs w:val="24"/>
          <w:lang w:eastAsia="en-US"/>
        </w:rPr>
        <w:t xml:space="preserve"> </w:t>
      </w:r>
      <w:proofErr w:type="spellStart"/>
      <w:r w:rsidRPr="00F62C41">
        <w:rPr>
          <w:rFonts w:ascii="Arial" w:eastAsiaTheme="minorHAnsi" w:hAnsi="Arial" w:cs="Arial"/>
          <w:noProof w:val="0"/>
          <w:color w:val="131413"/>
          <w:sz w:val="24"/>
          <w:szCs w:val="24"/>
          <w:lang w:eastAsia="en-US"/>
        </w:rPr>
        <w:t>that</w:t>
      </w:r>
      <w:proofErr w:type="spellEnd"/>
      <w:r w:rsidRPr="00F62C41">
        <w:rPr>
          <w:rFonts w:ascii="Arial" w:eastAsiaTheme="minorHAnsi" w:hAnsi="Arial" w:cs="Arial"/>
          <w:noProof w:val="0"/>
          <w:color w:val="131413"/>
          <w:sz w:val="24"/>
          <w:szCs w:val="24"/>
          <w:lang w:eastAsia="en-US"/>
        </w:rPr>
        <w:t xml:space="preserve"> </w:t>
      </w:r>
      <w:proofErr w:type="spellStart"/>
      <w:r w:rsidRPr="00F62C41">
        <w:rPr>
          <w:rFonts w:ascii="Arial" w:eastAsiaTheme="minorHAnsi" w:hAnsi="Arial" w:cs="Arial"/>
          <w:noProof w:val="0"/>
          <w:color w:val="131413"/>
          <w:sz w:val="24"/>
          <w:szCs w:val="24"/>
          <w:lang w:eastAsia="en-US"/>
        </w:rPr>
        <w:t>they</w:t>
      </w:r>
      <w:proofErr w:type="spellEnd"/>
      <w:r w:rsidRPr="00F62C41">
        <w:rPr>
          <w:rFonts w:ascii="Arial" w:eastAsiaTheme="minorHAnsi" w:hAnsi="Arial" w:cs="Arial"/>
          <w:noProof w:val="0"/>
          <w:color w:val="131413"/>
          <w:sz w:val="24"/>
          <w:szCs w:val="24"/>
          <w:lang w:eastAsia="en-US"/>
        </w:rPr>
        <w:t xml:space="preserve"> </w:t>
      </w:r>
      <w:proofErr w:type="spellStart"/>
      <w:r w:rsidRPr="00F62C41">
        <w:rPr>
          <w:rFonts w:ascii="Arial" w:eastAsiaTheme="minorHAnsi" w:hAnsi="Arial" w:cs="Arial"/>
          <w:noProof w:val="0"/>
          <w:color w:val="131413"/>
          <w:sz w:val="24"/>
          <w:szCs w:val="24"/>
          <w:lang w:eastAsia="en-US"/>
        </w:rPr>
        <w:t>have</w:t>
      </w:r>
      <w:proofErr w:type="spellEnd"/>
      <w:r w:rsidRPr="00F62C41">
        <w:rPr>
          <w:rFonts w:ascii="Arial" w:eastAsiaTheme="minorHAnsi" w:hAnsi="Arial" w:cs="Arial"/>
          <w:noProof w:val="0"/>
          <w:color w:val="131413"/>
          <w:sz w:val="24"/>
          <w:szCs w:val="24"/>
          <w:lang w:eastAsia="en-US"/>
        </w:rPr>
        <w:t xml:space="preserve"> </w:t>
      </w:r>
      <w:proofErr w:type="spellStart"/>
      <w:r w:rsidRPr="00F62C41">
        <w:rPr>
          <w:rFonts w:ascii="Arial" w:eastAsiaTheme="minorHAnsi" w:hAnsi="Arial" w:cs="Arial"/>
          <w:noProof w:val="0"/>
          <w:color w:val="131413"/>
          <w:sz w:val="24"/>
          <w:szCs w:val="24"/>
          <w:lang w:eastAsia="en-US"/>
        </w:rPr>
        <w:t>no</w:t>
      </w:r>
      <w:proofErr w:type="spellEnd"/>
      <w:r w:rsidRPr="00F62C41">
        <w:rPr>
          <w:rFonts w:ascii="Arial" w:eastAsiaTheme="minorHAnsi" w:hAnsi="Arial" w:cs="Arial"/>
          <w:noProof w:val="0"/>
          <w:color w:val="131413"/>
          <w:sz w:val="24"/>
          <w:szCs w:val="24"/>
          <w:lang w:eastAsia="en-US"/>
        </w:rPr>
        <w:t xml:space="preserve"> </w:t>
      </w:r>
      <w:proofErr w:type="spellStart"/>
      <w:r w:rsidRPr="00F62C41">
        <w:rPr>
          <w:rFonts w:ascii="Arial" w:eastAsiaTheme="minorHAnsi" w:hAnsi="Arial" w:cs="Arial"/>
          <w:noProof w:val="0"/>
          <w:color w:val="131413"/>
          <w:sz w:val="24"/>
          <w:szCs w:val="24"/>
          <w:lang w:eastAsia="en-US"/>
        </w:rPr>
        <w:t>conflict</w:t>
      </w:r>
      <w:proofErr w:type="spellEnd"/>
      <w:r w:rsidRPr="00F62C41">
        <w:rPr>
          <w:rFonts w:ascii="Arial" w:eastAsiaTheme="minorHAnsi" w:hAnsi="Arial" w:cs="Arial"/>
          <w:noProof w:val="0"/>
          <w:color w:val="131413"/>
          <w:sz w:val="24"/>
          <w:szCs w:val="24"/>
          <w:lang w:eastAsia="en-US"/>
        </w:rPr>
        <w:t xml:space="preserve"> of</w:t>
      </w:r>
      <w:r>
        <w:rPr>
          <w:rFonts w:ascii="Arial" w:eastAsiaTheme="minorHAnsi" w:hAnsi="Arial" w:cs="Arial"/>
          <w:noProof w:val="0"/>
          <w:color w:val="131413"/>
          <w:sz w:val="24"/>
          <w:szCs w:val="24"/>
          <w:lang w:eastAsia="en-US"/>
        </w:rPr>
        <w:t xml:space="preserve"> </w:t>
      </w:r>
      <w:proofErr w:type="spellStart"/>
      <w:r w:rsidRPr="00F62C41">
        <w:rPr>
          <w:rFonts w:ascii="Arial" w:eastAsiaTheme="minorHAnsi" w:hAnsi="Arial" w:cs="Arial"/>
          <w:noProof w:val="0"/>
          <w:color w:val="131413"/>
          <w:sz w:val="24"/>
          <w:szCs w:val="24"/>
          <w:lang w:eastAsia="en-US"/>
        </w:rPr>
        <w:t>interest</w:t>
      </w:r>
      <w:proofErr w:type="spellEnd"/>
      <w:r w:rsidRPr="00F62C41">
        <w:rPr>
          <w:rFonts w:ascii="Arial" w:eastAsiaTheme="minorHAnsi" w:hAnsi="Arial" w:cs="Arial"/>
          <w:noProof w:val="0"/>
          <w:color w:val="131413"/>
          <w:sz w:val="24"/>
          <w:szCs w:val="24"/>
          <w:lang w:eastAsia="en-US"/>
        </w:rPr>
        <w:t>.</w:t>
      </w:r>
    </w:p>
    <w:p w14:paraId="5F1B3CEF" w14:textId="32FD79A9" w:rsidR="00F62C41" w:rsidRDefault="00F62C41" w:rsidP="00F62C4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Arial" w:eastAsiaTheme="minorHAnsi" w:hAnsi="Arial" w:cs="Arial"/>
          <w:noProof w:val="0"/>
          <w:color w:val="131413"/>
          <w:sz w:val="24"/>
          <w:szCs w:val="24"/>
          <w:lang w:eastAsia="en-US"/>
        </w:rPr>
      </w:pPr>
    </w:p>
    <w:p w14:paraId="41312442" w14:textId="77777777" w:rsidR="00F62C41" w:rsidRPr="00F62C41" w:rsidRDefault="00F62C41" w:rsidP="00F62C4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Arial" w:eastAsiaTheme="minorHAnsi" w:hAnsi="Arial" w:cs="Arial"/>
          <w:noProof w:val="0"/>
          <w:color w:val="131413"/>
          <w:sz w:val="24"/>
          <w:szCs w:val="24"/>
          <w:lang w:eastAsia="en-US"/>
        </w:rPr>
      </w:pPr>
    </w:p>
    <w:p w14:paraId="68555DCC" w14:textId="77777777" w:rsidR="00170856" w:rsidRPr="00066552" w:rsidRDefault="00170856" w:rsidP="00170856">
      <w:pPr>
        <w:jc w:val="both"/>
        <w:rPr>
          <w:rFonts w:ascii="Arial" w:hAnsi="Arial" w:cs="Arial"/>
          <w:b/>
          <w:sz w:val="24"/>
          <w:szCs w:val="24"/>
        </w:rPr>
      </w:pPr>
      <w:r w:rsidRPr="00066552">
        <w:rPr>
          <w:rFonts w:ascii="Arial" w:hAnsi="Arial" w:cs="Arial"/>
          <w:b/>
          <w:sz w:val="24"/>
          <w:szCs w:val="24"/>
        </w:rPr>
        <w:t>REFERENCES:</w:t>
      </w:r>
    </w:p>
    <w:p w14:paraId="04C48022" w14:textId="42481DB3" w:rsidR="003B0ED5" w:rsidRPr="003B0ED5" w:rsidRDefault="00170856" w:rsidP="003B0ED5">
      <w:pPr>
        <w:numPr>
          <w:ilvl w:val="0"/>
          <w:numId w:val="1"/>
        </w:numPr>
        <w:spacing w:after="0"/>
        <w:contextualSpacing/>
        <w:jc w:val="both"/>
        <w:rPr>
          <w:rFonts w:ascii="Arial" w:hAnsi="Arial" w:cs="Arial"/>
          <w:sz w:val="24"/>
          <w:szCs w:val="24"/>
        </w:rPr>
      </w:pPr>
      <w:bookmarkStart w:id="5" w:name="_3dy6vkm" w:colFirst="0" w:colLast="0"/>
      <w:bookmarkEnd w:id="5"/>
      <w:r w:rsidRPr="00D71188">
        <w:rPr>
          <w:rFonts w:ascii="Arial" w:hAnsi="Arial" w:cs="Arial"/>
          <w:sz w:val="24"/>
          <w:szCs w:val="24"/>
        </w:rPr>
        <w:t>Atasoy G,Temiz A, Albayrak Y, Yalcin A</w:t>
      </w:r>
      <w:r w:rsidR="003642E1">
        <w:rPr>
          <w:rFonts w:ascii="Arial" w:hAnsi="Arial" w:cs="Arial"/>
          <w:sz w:val="24"/>
          <w:szCs w:val="24"/>
        </w:rPr>
        <w:t xml:space="preserve"> </w:t>
      </w:r>
      <w:r w:rsidR="00F62C41">
        <w:rPr>
          <w:rFonts w:ascii="Arial" w:hAnsi="Arial" w:cs="Arial"/>
          <w:sz w:val="24"/>
          <w:szCs w:val="24"/>
        </w:rPr>
        <w:t>(</w:t>
      </w:r>
      <w:r w:rsidR="00F62C41" w:rsidRPr="00D71188">
        <w:rPr>
          <w:rFonts w:ascii="Arial" w:hAnsi="Arial" w:cs="Arial"/>
          <w:sz w:val="24"/>
          <w:szCs w:val="24"/>
        </w:rPr>
        <w:t>2017</w:t>
      </w:r>
      <w:r w:rsidR="00F62C41">
        <w:rPr>
          <w:rFonts w:ascii="Arial" w:hAnsi="Arial" w:cs="Arial"/>
          <w:sz w:val="24"/>
          <w:szCs w:val="24"/>
        </w:rPr>
        <w:t>)</w:t>
      </w:r>
      <w:r w:rsidR="00B73692">
        <w:rPr>
          <w:rFonts w:ascii="Arial" w:hAnsi="Arial" w:cs="Arial"/>
          <w:sz w:val="24"/>
          <w:szCs w:val="24"/>
        </w:rPr>
        <w:t xml:space="preserve"> </w:t>
      </w:r>
      <w:r w:rsidRPr="00D71188">
        <w:rPr>
          <w:rFonts w:ascii="Arial" w:hAnsi="Arial" w:cs="Arial"/>
          <w:sz w:val="24"/>
          <w:szCs w:val="24"/>
        </w:rPr>
        <w:t xml:space="preserve"> A rare case of left paraduodenal hernia: A case report. Arch Clin Exp Med</w:t>
      </w:r>
      <w:r w:rsidR="003B0ED5">
        <w:rPr>
          <w:rFonts w:ascii="Arial" w:hAnsi="Arial" w:cs="Arial"/>
          <w:sz w:val="24"/>
          <w:szCs w:val="24"/>
        </w:rPr>
        <w:t xml:space="preserve"> </w:t>
      </w:r>
      <w:r w:rsidR="00F62C41">
        <w:rPr>
          <w:rFonts w:ascii="Arial" w:hAnsi="Arial" w:cs="Arial"/>
          <w:sz w:val="24"/>
          <w:szCs w:val="24"/>
        </w:rPr>
        <w:t xml:space="preserve"> </w:t>
      </w:r>
      <w:r w:rsidRPr="00D71188">
        <w:rPr>
          <w:rFonts w:ascii="Arial" w:hAnsi="Arial" w:cs="Arial"/>
          <w:sz w:val="24"/>
          <w:szCs w:val="24"/>
        </w:rPr>
        <w:t>2(2):55-57.</w:t>
      </w:r>
    </w:p>
    <w:p w14:paraId="41540B42" w14:textId="73DFB092" w:rsidR="00170856" w:rsidRPr="00D71188" w:rsidRDefault="00170856" w:rsidP="00170856">
      <w:pPr>
        <w:numPr>
          <w:ilvl w:val="0"/>
          <w:numId w:val="1"/>
        </w:numPr>
        <w:spacing w:after="0"/>
        <w:contextualSpacing/>
        <w:jc w:val="both"/>
        <w:rPr>
          <w:rFonts w:ascii="Arial" w:hAnsi="Arial" w:cs="Arial"/>
          <w:sz w:val="24"/>
          <w:szCs w:val="24"/>
        </w:rPr>
      </w:pPr>
      <w:r w:rsidRPr="00D71188">
        <w:rPr>
          <w:rFonts w:ascii="Arial" w:hAnsi="Arial" w:cs="Arial"/>
          <w:sz w:val="24"/>
          <w:szCs w:val="24"/>
        </w:rPr>
        <w:t>Hansmann GH, Morton SA</w:t>
      </w:r>
      <w:r w:rsidR="003B0ED5">
        <w:rPr>
          <w:rFonts w:ascii="Arial" w:hAnsi="Arial" w:cs="Arial"/>
          <w:sz w:val="24"/>
          <w:szCs w:val="24"/>
        </w:rPr>
        <w:t xml:space="preserve"> </w:t>
      </w:r>
      <w:r w:rsidR="00F62C41">
        <w:rPr>
          <w:rFonts w:ascii="Arial" w:hAnsi="Arial" w:cs="Arial"/>
          <w:sz w:val="24"/>
          <w:szCs w:val="24"/>
        </w:rPr>
        <w:t>(</w:t>
      </w:r>
      <w:r w:rsidR="00F62C41" w:rsidRPr="00D71188">
        <w:rPr>
          <w:rFonts w:ascii="Arial" w:hAnsi="Arial" w:cs="Arial"/>
          <w:sz w:val="24"/>
          <w:szCs w:val="24"/>
        </w:rPr>
        <w:t>1939</w:t>
      </w:r>
      <w:r w:rsidR="00F62C41">
        <w:rPr>
          <w:rFonts w:ascii="Arial" w:hAnsi="Arial" w:cs="Arial"/>
          <w:sz w:val="24"/>
          <w:szCs w:val="24"/>
        </w:rPr>
        <w:t>)</w:t>
      </w:r>
      <w:r w:rsidRPr="00D71188">
        <w:rPr>
          <w:rFonts w:ascii="Arial" w:hAnsi="Arial" w:cs="Arial"/>
          <w:sz w:val="24"/>
          <w:szCs w:val="24"/>
        </w:rPr>
        <w:t xml:space="preserve"> Intraabdominal hernia: report of a case and review of the literature. Arch Surg</w:t>
      </w:r>
      <w:r w:rsidR="003B0ED5">
        <w:rPr>
          <w:rFonts w:ascii="Arial" w:hAnsi="Arial" w:cs="Arial"/>
          <w:sz w:val="24"/>
          <w:szCs w:val="24"/>
        </w:rPr>
        <w:t xml:space="preserve"> </w:t>
      </w:r>
      <w:r w:rsidRPr="00D71188">
        <w:rPr>
          <w:rFonts w:ascii="Arial" w:hAnsi="Arial" w:cs="Arial"/>
          <w:sz w:val="24"/>
          <w:szCs w:val="24"/>
        </w:rPr>
        <w:t>3:973-86</w:t>
      </w:r>
      <w:r w:rsidR="003642E1">
        <w:rPr>
          <w:rFonts w:ascii="Arial" w:hAnsi="Arial" w:cs="Arial"/>
          <w:sz w:val="24"/>
          <w:szCs w:val="24"/>
        </w:rPr>
        <w:t xml:space="preserve"> </w:t>
      </w:r>
    </w:p>
    <w:p w14:paraId="5040B52C" w14:textId="11A26154" w:rsidR="00170856" w:rsidRPr="00D71188" w:rsidRDefault="00170856" w:rsidP="00170856">
      <w:pPr>
        <w:numPr>
          <w:ilvl w:val="0"/>
          <w:numId w:val="1"/>
        </w:numPr>
        <w:spacing w:after="0"/>
        <w:contextualSpacing/>
        <w:jc w:val="both"/>
        <w:rPr>
          <w:rFonts w:ascii="Arial" w:hAnsi="Arial" w:cs="Arial"/>
          <w:sz w:val="24"/>
          <w:szCs w:val="24"/>
        </w:rPr>
      </w:pPr>
      <w:r w:rsidRPr="00D71188">
        <w:rPr>
          <w:rFonts w:ascii="Arial" w:hAnsi="Arial" w:cs="Arial"/>
          <w:sz w:val="24"/>
          <w:szCs w:val="24"/>
        </w:rPr>
        <w:t xml:space="preserve">Liew KL, Choong CS, Shiau GF, </w:t>
      </w:r>
      <w:r w:rsidR="003B0ED5">
        <w:rPr>
          <w:rFonts w:ascii="Arial" w:hAnsi="Arial" w:cs="Arial"/>
          <w:sz w:val="24"/>
          <w:szCs w:val="24"/>
        </w:rPr>
        <w:t>Yang WC</w:t>
      </w:r>
      <w:r w:rsidR="00785C70">
        <w:rPr>
          <w:rFonts w:ascii="Arial" w:hAnsi="Arial" w:cs="Arial"/>
          <w:sz w:val="24"/>
          <w:szCs w:val="24"/>
        </w:rPr>
        <w:t>, Su CM</w:t>
      </w:r>
      <w:r w:rsidRPr="00D71188">
        <w:rPr>
          <w:rFonts w:ascii="Arial" w:hAnsi="Arial" w:cs="Arial"/>
          <w:sz w:val="24"/>
          <w:szCs w:val="24"/>
        </w:rPr>
        <w:t xml:space="preserve"> </w:t>
      </w:r>
      <w:r w:rsidR="00F62C41">
        <w:rPr>
          <w:rFonts w:ascii="Arial" w:hAnsi="Arial" w:cs="Arial"/>
          <w:sz w:val="24"/>
          <w:szCs w:val="24"/>
        </w:rPr>
        <w:t>(</w:t>
      </w:r>
      <w:r w:rsidR="00F62C41" w:rsidRPr="00D71188">
        <w:rPr>
          <w:rFonts w:ascii="Arial" w:hAnsi="Arial" w:cs="Arial"/>
          <w:sz w:val="24"/>
          <w:szCs w:val="24"/>
        </w:rPr>
        <w:t>1999</w:t>
      </w:r>
      <w:r w:rsidR="00F62C41">
        <w:rPr>
          <w:rFonts w:ascii="Arial" w:hAnsi="Arial" w:cs="Arial"/>
          <w:sz w:val="24"/>
          <w:szCs w:val="24"/>
        </w:rPr>
        <w:t xml:space="preserve">) </w:t>
      </w:r>
      <w:r w:rsidRPr="00D71188">
        <w:rPr>
          <w:rFonts w:ascii="Arial" w:hAnsi="Arial" w:cs="Arial"/>
          <w:sz w:val="24"/>
          <w:szCs w:val="24"/>
        </w:rPr>
        <w:t>Descending mesocolon defect herniation: case report. Changgeng Yi Xue Za Zhi</w:t>
      </w:r>
      <w:r w:rsidR="003B0ED5">
        <w:rPr>
          <w:rFonts w:ascii="Arial" w:hAnsi="Arial" w:cs="Arial"/>
          <w:sz w:val="24"/>
          <w:szCs w:val="24"/>
        </w:rPr>
        <w:t xml:space="preserve"> </w:t>
      </w:r>
      <w:r w:rsidRPr="00D71188">
        <w:rPr>
          <w:rFonts w:ascii="Arial" w:hAnsi="Arial" w:cs="Arial"/>
          <w:sz w:val="24"/>
          <w:szCs w:val="24"/>
        </w:rPr>
        <w:t>22:133-7</w:t>
      </w:r>
      <w:r w:rsidR="003642E1">
        <w:rPr>
          <w:rFonts w:ascii="Arial" w:hAnsi="Arial" w:cs="Arial"/>
          <w:sz w:val="24"/>
          <w:szCs w:val="24"/>
        </w:rPr>
        <w:t xml:space="preserve"> </w:t>
      </w:r>
    </w:p>
    <w:p w14:paraId="5D733CCA" w14:textId="4E30E5FD" w:rsidR="00170856" w:rsidRPr="00D71188" w:rsidRDefault="00170856" w:rsidP="00170856">
      <w:pPr>
        <w:numPr>
          <w:ilvl w:val="0"/>
          <w:numId w:val="1"/>
        </w:numPr>
        <w:spacing w:after="0"/>
        <w:contextualSpacing/>
        <w:jc w:val="both"/>
        <w:rPr>
          <w:rFonts w:ascii="Arial" w:hAnsi="Arial" w:cs="Arial"/>
          <w:sz w:val="24"/>
          <w:szCs w:val="24"/>
        </w:rPr>
      </w:pPr>
      <w:r w:rsidRPr="00D71188">
        <w:rPr>
          <w:rFonts w:ascii="Arial" w:hAnsi="Arial" w:cs="Arial"/>
          <w:sz w:val="24"/>
          <w:szCs w:val="24"/>
        </w:rPr>
        <w:t>Andrews</w:t>
      </w:r>
      <w:r w:rsidR="003642E1">
        <w:rPr>
          <w:rFonts w:ascii="Arial" w:hAnsi="Arial" w:cs="Arial"/>
          <w:sz w:val="24"/>
          <w:szCs w:val="24"/>
        </w:rPr>
        <w:t xml:space="preserve"> </w:t>
      </w:r>
      <w:r w:rsidRPr="00D71188">
        <w:rPr>
          <w:rFonts w:ascii="Arial" w:hAnsi="Arial" w:cs="Arial"/>
          <w:sz w:val="24"/>
          <w:szCs w:val="24"/>
        </w:rPr>
        <w:t xml:space="preserve"> E</w:t>
      </w:r>
      <w:r w:rsidR="003642E1">
        <w:rPr>
          <w:rFonts w:ascii="Arial" w:hAnsi="Arial" w:cs="Arial"/>
          <w:sz w:val="24"/>
          <w:szCs w:val="24"/>
        </w:rPr>
        <w:t xml:space="preserve"> </w:t>
      </w:r>
      <w:r w:rsidR="003B0ED5">
        <w:rPr>
          <w:rFonts w:ascii="Arial" w:hAnsi="Arial" w:cs="Arial"/>
          <w:sz w:val="24"/>
          <w:szCs w:val="24"/>
        </w:rPr>
        <w:t xml:space="preserve"> </w:t>
      </w:r>
      <w:r w:rsidR="00F62C41">
        <w:rPr>
          <w:rFonts w:ascii="Arial" w:hAnsi="Arial" w:cs="Arial"/>
          <w:sz w:val="24"/>
          <w:szCs w:val="24"/>
        </w:rPr>
        <w:t>(</w:t>
      </w:r>
      <w:r w:rsidR="00F62C41" w:rsidRPr="00D71188">
        <w:rPr>
          <w:rFonts w:ascii="Arial" w:hAnsi="Arial" w:cs="Arial"/>
          <w:sz w:val="24"/>
          <w:szCs w:val="24"/>
        </w:rPr>
        <w:t>1923</w:t>
      </w:r>
      <w:r w:rsidR="00F62C41">
        <w:rPr>
          <w:rFonts w:ascii="Arial" w:hAnsi="Arial" w:cs="Arial"/>
          <w:sz w:val="24"/>
          <w:szCs w:val="24"/>
        </w:rPr>
        <w:t>)</w:t>
      </w:r>
      <w:r w:rsidRPr="00D71188">
        <w:rPr>
          <w:rFonts w:ascii="Arial" w:hAnsi="Arial" w:cs="Arial"/>
          <w:sz w:val="24"/>
          <w:szCs w:val="24"/>
        </w:rPr>
        <w:t xml:space="preserve"> Duodenal Hernia, a Misnomer. Surg</w:t>
      </w:r>
      <w:r w:rsidR="003B0ED5">
        <w:rPr>
          <w:rFonts w:ascii="Arial" w:hAnsi="Arial" w:cs="Arial"/>
          <w:sz w:val="24"/>
          <w:szCs w:val="24"/>
        </w:rPr>
        <w:t xml:space="preserve"> </w:t>
      </w:r>
      <w:r w:rsidRPr="00D71188">
        <w:rPr>
          <w:rFonts w:ascii="Arial" w:hAnsi="Arial" w:cs="Arial"/>
          <w:sz w:val="24"/>
          <w:szCs w:val="24"/>
        </w:rPr>
        <w:t xml:space="preserve"> Gynec</w:t>
      </w:r>
      <w:r w:rsidR="003B0ED5">
        <w:rPr>
          <w:rFonts w:ascii="Arial" w:hAnsi="Arial" w:cs="Arial"/>
          <w:sz w:val="24"/>
          <w:szCs w:val="24"/>
        </w:rPr>
        <w:t xml:space="preserve"> </w:t>
      </w:r>
      <w:r w:rsidRPr="00D71188">
        <w:rPr>
          <w:rFonts w:ascii="Arial" w:hAnsi="Arial" w:cs="Arial"/>
          <w:sz w:val="24"/>
          <w:szCs w:val="24"/>
        </w:rPr>
        <w:t xml:space="preserve"> Obstet</w:t>
      </w:r>
      <w:r w:rsidR="003B0ED5">
        <w:rPr>
          <w:rFonts w:ascii="Arial" w:hAnsi="Arial" w:cs="Arial"/>
          <w:sz w:val="24"/>
          <w:szCs w:val="24"/>
        </w:rPr>
        <w:t xml:space="preserve">  </w:t>
      </w:r>
      <w:r w:rsidRPr="00D71188">
        <w:rPr>
          <w:rFonts w:ascii="Arial" w:hAnsi="Arial" w:cs="Arial"/>
          <w:sz w:val="24"/>
          <w:szCs w:val="24"/>
        </w:rPr>
        <w:t xml:space="preserve"> 37:740</w:t>
      </w:r>
      <w:r w:rsidR="003642E1">
        <w:rPr>
          <w:rFonts w:ascii="Arial" w:hAnsi="Arial" w:cs="Arial"/>
          <w:sz w:val="24"/>
          <w:szCs w:val="24"/>
        </w:rPr>
        <w:t xml:space="preserve"> </w:t>
      </w:r>
      <w:r w:rsidRPr="00D71188">
        <w:rPr>
          <w:rFonts w:ascii="Arial" w:hAnsi="Arial" w:cs="Arial"/>
          <w:sz w:val="24"/>
          <w:szCs w:val="24"/>
        </w:rPr>
        <w:t xml:space="preserve"> </w:t>
      </w:r>
    </w:p>
    <w:p w14:paraId="28EFE920" w14:textId="5C606E2C" w:rsidR="00170856" w:rsidRPr="00D71188" w:rsidRDefault="00170856" w:rsidP="00170856">
      <w:pPr>
        <w:numPr>
          <w:ilvl w:val="0"/>
          <w:numId w:val="1"/>
        </w:numPr>
        <w:spacing w:after="0"/>
        <w:contextualSpacing/>
        <w:jc w:val="both"/>
        <w:rPr>
          <w:rFonts w:ascii="Arial" w:hAnsi="Arial" w:cs="Arial"/>
          <w:sz w:val="24"/>
          <w:szCs w:val="24"/>
        </w:rPr>
      </w:pPr>
      <w:r w:rsidRPr="00D71188">
        <w:rPr>
          <w:rFonts w:ascii="Arial" w:hAnsi="Arial" w:cs="Arial"/>
          <w:sz w:val="24"/>
          <w:szCs w:val="24"/>
        </w:rPr>
        <w:t>Manji R, Warnock GL</w:t>
      </w:r>
      <w:r w:rsidR="003B0ED5">
        <w:rPr>
          <w:rFonts w:ascii="Arial" w:hAnsi="Arial" w:cs="Arial"/>
          <w:sz w:val="24"/>
          <w:szCs w:val="24"/>
        </w:rPr>
        <w:t xml:space="preserve"> (</w:t>
      </w:r>
      <w:r w:rsidR="003B0ED5" w:rsidRPr="00D71188">
        <w:rPr>
          <w:rFonts w:ascii="Arial" w:hAnsi="Arial" w:cs="Arial"/>
          <w:sz w:val="24"/>
          <w:szCs w:val="24"/>
        </w:rPr>
        <w:t>2001</w:t>
      </w:r>
      <w:r w:rsidR="003B0ED5">
        <w:rPr>
          <w:rFonts w:ascii="Arial" w:hAnsi="Arial" w:cs="Arial"/>
          <w:sz w:val="24"/>
          <w:szCs w:val="24"/>
        </w:rPr>
        <w:t xml:space="preserve">) </w:t>
      </w:r>
      <w:r w:rsidRPr="00D71188">
        <w:rPr>
          <w:rFonts w:ascii="Arial" w:hAnsi="Arial" w:cs="Arial"/>
          <w:sz w:val="24"/>
          <w:szCs w:val="24"/>
        </w:rPr>
        <w:t>Left paraduodenal hernia: an unusual cause of small-bowel obstruction. Can J Surg</w:t>
      </w:r>
      <w:r w:rsidR="003B0ED5">
        <w:rPr>
          <w:rFonts w:ascii="Arial" w:hAnsi="Arial" w:cs="Arial"/>
          <w:sz w:val="24"/>
          <w:szCs w:val="24"/>
        </w:rPr>
        <w:t xml:space="preserve"> </w:t>
      </w:r>
      <w:r w:rsidRPr="00D71188">
        <w:rPr>
          <w:rFonts w:ascii="Arial" w:hAnsi="Arial" w:cs="Arial"/>
          <w:sz w:val="24"/>
          <w:szCs w:val="24"/>
        </w:rPr>
        <w:t>44:455-7</w:t>
      </w:r>
      <w:r w:rsidR="003642E1">
        <w:rPr>
          <w:rFonts w:ascii="Arial" w:hAnsi="Arial" w:cs="Arial"/>
          <w:sz w:val="24"/>
          <w:szCs w:val="24"/>
        </w:rPr>
        <w:t xml:space="preserve"> </w:t>
      </w:r>
    </w:p>
    <w:p w14:paraId="16CF3F01" w14:textId="294925CF" w:rsidR="00170856" w:rsidRPr="00D71188" w:rsidRDefault="00170856" w:rsidP="00170856">
      <w:pPr>
        <w:numPr>
          <w:ilvl w:val="0"/>
          <w:numId w:val="1"/>
        </w:numPr>
        <w:spacing w:after="0" w:line="240" w:lineRule="auto"/>
        <w:contextualSpacing/>
        <w:jc w:val="both"/>
        <w:rPr>
          <w:rFonts w:ascii="Arial" w:hAnsi="Arial" w:cs="Arial"/>
          <w:sz w:val="24"/>
          <w:szCs w:val="24"/>
        </w:rPr>
      </w:pPr>
      <w:r w:rsidRPr="00D71188">
        <w:rPr>
          <w:rFonts w:ascii="Arial" w:hAnsi="Arial" w:cs="Arial"/>
          <w:sz w:val="24"/>
          <w:szCs w:val="24"/>
        </w:rPr>
        <w:t xml:space="preserve">Huang YM, Chou AS, Wu YK, Wu CC, Lee MC, Chen HT, </w:t>
      </w:r>
      <w:r w:rsidR="00785C70">
        <w:rPr>
          <w:rFonts w:ascii="Arial" w:hAnsi="Arial" w:cs="Arial"/>
          <w:sz w:val="24"/>
          <w:szCs w:val="24"/>
        </w:rPr>
        <w:t>Chang YJ</w:t>
      </w:r>
      <w:r w:rsidR="003B0ED5">
        <w:rPr>
          <w:rFonts w:ascii="Arial" w:hAnsi="Arial" w:cs="Arial"/>
          <w:sz w:val="24"/>
          <w:szCs w:val="24"/>
        </w:rPr>
        <w:t xml:space="preserve"> </w:t>
      </w:r>
      <w:r w:rsidR="00B73692">
        <w:rPr>
          <w:rFonts w:ascii="Arial" w:hAnsi="Arial" w:cs="Arial"/>
          <w:sz w:val="24"/>
          <w:szCs w:val="24"/>
        </w:rPr>
        <w:t xml:space="preserve"> </w:t>
      </w:r>
      <w:r w:rsidR="003B0ED5">
        <w:rPr>
          <w:rFonts w:ascii="Arial" w:hAnsi="Arial" w:cs="Arial"/>
          <w:sz w:val="24"/>
          <w:szCs w:val="24"/>
        </w:rPr>
        <w:t>(</w:t>
      </w:r>
      <w:r w:rsidR="003B0ED5" w:rsidRPr="00D71188">
        <w:rPr>
          <w:rFonts w:ascii="Arial" w:hAnsi="Arial" w:cs="Arial"/>
          <w:sz w:val="24"/>
          <w:szCs w:val="24"/>
        </w:rPr>
        <w:t>2005</w:t>
      </w:r>
      <w:r w:rsidR="003B0ED5">
        <w:rPr>
          <w:rFonts w:ascii="Arial" w:hAnsi="Arial" w:cs="Arial"/>
          <w:sz w:val="24"/>
          <w:szCs w:val="24"/>
        </w:rPr>
        <w:t>)</w:t>
      </w:r>
      <w:r w:rsidRPr="00D71188">
        <w:rPr>
          <w:rFonts w:ascii="Arial" w:hAnsi="Arial" w:cs="Arial"/>
          <w:sz w:val="24"/>
          <w:szCs w:val="24"/>
        </w:rPr>
        <w:t xml:space="preserve"> Left paraduodenal hernia presenting as recurrent small bowel obstruction. World J Gastroenterol</w:t>
      </w:r>
      <w:r w:rsidR="00303496">
        <w:rPr>
          <w:rFonts w:ascii="Arial" w:hAnsi="Arial" w:cs="Arial"/>
          <w:sz w:val="24"/>
          <w:szCs w:val="24"/>
        </w:rPr>
        <w:t xml:space="preserve"> </w:t>
      </w:r>
      <w:bookmarkStart w:id="6" w:name="_GoBack"/>
      <w:bookmarkEnd w:id="6"/>
      <w:r w:rsidR="003B0ED5">
        <w:rPr>
          <w:rFonts w:ascii="Arial" w:hAnsi="Arial" w:cs="Arial"/>
          <w:sz w:val="24"/>
          <w:szCs w:val="24"/>
        </w:rPr>
        <w:t xml:space="preserve"> </w:t>
      </w:r>
      <w:r w:rsidRPr="00D71188">
        <w:rPr>
          <w:rFonts w:ascii="Arial" w:hAnsi="Arial" w:cs="Arial"/>
          <w:sz w:val="24"/>
          <w:szCs w:val="24"/>
        </w:rPr>
        <w:t>11:6557-9</w:t>
      </w:r>
      <w:r w:rsidR="003642E1">
        <w:rPr>
          <w:rFonts w:ascii="Arial" w:hAnsi="Arial" w:cs="Arial"/>
          <w:sz w:val="24"/>
          <w:szCs w:val="24"/>
        </w:rPr>
        <w:t xml:space="preserve"> </w:t>
      </w:r>
    </w:p>
    <w:p w14:paraId="27B0BCB1" w14:textId="73898530" w:rsidR="00170856" w:rsidRPr="00D71188" w:rsidRDefault="00170856" w:rsidP="00170856">
      <w:pPr>
        <w:numPr>
          <w:ilvl w:val="0"/>
          <w:numId w:val="1"/>
        </w:numPr>
        <w:spacing w:after="0" w:line="240" w:lineRule="auto"/>
        <w:contextualSpacing/>
        <w:jc w:val="both"/>
        <w:rPr>
          <w:rFonts w:ascii="Arial" w:hAnsi="Arial" w:cs="Arial"/>
          <w:sz w:val="24"/>
          <w:szCs w:val="24"/>
        </w:rPr>
      </w:pPr>
      <w:r w:rsidRPr="00D71188">
        <w:rPr>
          <w:rFonts w:ascii="Arial" w:hAnsi="Arial" w:cs="Arial"/>
          <w:sz w:val="24"/>
          <w:szCs w:val="24"/>
        </w:rPr>
        <w:t>Blachar A, Federle MP, Dodson SF</w:t>
      </w:r>
      <w:r w:rsidR="003B0ED5">
        <w:rPr>
          <w:rFonts w:ascii="Arial" w:hAnsi="Arial" w:cs="Arial"/>
          <w:sz w:val="24"/>
          <w:szCs w:val="24"/>
        </w:rPr>
        <w:t xml:space="preserve">  (</w:t>
      </w:r>
      <w:r w:rsidR="003B0ED5" w:rsidRPr="00D71188">
        <w:rPr>
          <w:rFonts w:ascii="Arial" w:hAnsi="Arial" w:cs="Arial"/>
          <w:sz w:val="24"/>
          <w:szCs w:val="24"/>
        </w:rPr>
        <w:t>2001</w:t>
      </w:r>
      <w:r w:rsidR="003B0ED5">
        <w:rPr>
          <w:rFonts w:ascii="Arial" w:hAnsi="Arial" w:cs="Arial"/>
          <w:sz w:val="24"/>
          <w:szCs w:val="24"/>
        </w:rPr>
        <w:t>)</w:t>
      </w:r>
      <w:r w:rsidR="00B73692">
        <w:rPr>
          <w:rFonts w:ascii="Arial" w:hAnsi="Arial" w:cs="Arial"/>
          <w:sz w:val="24"/>
          <w:szCs w:val="24"/>
        </w:rPr>
        <w:t xml:space="preserve"> </w:t>
      </w:r>
      <w:r w:rsidR="003B0ED5">
        <w:rPr>
          <w:rFonts w:ascii="Arial" w:hAnsi="Arial" w:cs="Arial"/>
          <w:sz w:val="24"/>
          <w:szCs w:val="24"/>
        </w:rPr>
        <w:t xml:space="preserve"> </w:t>
      </w:r>
      <w:r w:rsidRPr="00D71188">
        <w:rPr>
          <w:rFonts w:ascii="Arial" w:hAnsi="Arial" w:cs="Arial"/>
          <w:sz w:val="24"/>
          <w:szCs w:val="24"/>
        </w:rPr>
        <w:t>Internal hernia: clinical and imaging findings in 17 patients with emphasis on CT criteria. Radiology</w:t>
      </w:r>
      <w:r w:rsidR="003B0ED5">
        <w:rPr>
          <w:rFonts w:ascii="Arial" w:hAnsi="Arial" w:cs="Arial"/>
          <w:sz w:val="24"/>
          <w:szCs w:val="24"/>
        </w:rPr>
        <w:t xml:space="preserve"> </w:t>
      </w:r>
      <w:r w:rsidRPr="00D71188">
        <w:rPr>
          <w:rFonts w:ascii="Arial" w:hAnsi="Arial" w:cs="Arial"/>
          <w:sz w:val="24"/>
          <w:szCs w:val="24"/>
        </w:rPr>
        <w:t>218:68–74</w:t>
      </w:r>
      <w:r w:rsidR="003642E1">
        <w:rPr>
          <w:rFonts w:ascii="Arial" w:hAnsi="Arial" w:cs="Arial"/>
          <w:sz w:val="24"/>
          <w:szCs w:val="24"/>
        </w:rPr>
        <w:t xml:space="preserve"> </w:t>
      </w:r>
    </w:p>
    <w:p w14:paraId="42439609" w14:textId="69E5DF95" w:rsidR="00170856" w:rsidRPr="00D71188" w:rsidRDefault="00170856" w:rsidP="00170856">
      <w:pPr>
        <w:numPr>
          <w:ilvl w:val="0"/>
          <w:numId w:val="1"/>
        </w:numPr>
        <w:spacing w:after="0"/>
        <w:contextualSpacing/>
        <w:jc w:val="both"/>
        <w:rPr>
          <w:rFonts w:ascii="Arial" w:hAnsi="Arial" w:cs="Arial"/>
          <w:sz w:val="24"/>
          <w:szCs w:val="24"/>
        </w:rPr>
      </w:pPr>
      <w:r w:rsidRPr="00D71188">
        <w:rPr>
          <w:rFonts w:ascii="Arial" w:hAnsi="Arial" w:cs="Arial"/>
          <w:sz w:val="24"/>
          <w:szCs w:val="24"/>
        </w:rPr>
        <w:t xml:space="preserve">Kummer E </w:t>
      </w:r>
      <w:r w:rsidR="00B73692">
        <w:rPr>
          <w:rFonts w:ascii="Arial" w:hAnsi="Arial" w:cs="Arial"/>
          <w:sz w:val="24"/>
          <w:szCs w:val="24"/>
        </w:rPr>
        <w:t xml:space="preserve"> </w:t>
      </w:r>
      <w:r w:rsidR="003B0ED5">
        <w:rPr>
          <w:rFonts w:ascii="Arial" w:hAnsi="Arial" w:cs="Arial"/>
          <w:sz w:val="24"/>
          <w:szCs w:val="24"/>
        </w:rPr>
        <w:t>(</w:t>
      </w:r>
      <w:r w:rsidR="003B0ED5" w:rsidRPr="00D71188">
        <w:rPr>
          <w:rFonts w:ascii="Arial" w:hAnsi="Arial" w:cs="Arial"/>
          <w:sz w:val="24"/>
          <w:szCs w:val="24"/>
        </w:rPr>
        <w:t>1921</w:t>
      </w:r>
      <w:r w:rsidR="003B0ED5">
        <w:rPr>
          <w:rFonts w:ascii="Arial" w:hAnsi="Arial" w:cs="Arial"/>
          <w:sz w:val="24"/>
          <w:szCs w:val="24"/>
        </w:rPr>
        <w:t>)</w:t>
      </w:r>
      <w:r w:rsidR="00785C70">
        <w:rPr>
          <w:rFonts w:ascii="Arial" w:hAnsi="Arial" w:cs="Arial"/>
          <w:sz w:val="24"/>
          <w:szCs w:val="24"/>
        </w:rPr>
        <w:t xml:space="preserve"> </w:t>
      </w:r>
      <w:r w:rsidR="00B73692">
        <w:rPr>
          <w:rFonts w:ascii="Arial" w:hAnsi="Arial" w:cs="Arial"/>
          <w:sz w:val="24"/>
          <w:szCs w:val="24"/>
        </w:rPr>
        <w:t xml:space="preserve"> </w:t>
      </w:r>
      <w:r w:rsidRPr="00D71188">
        <w:rPr>
          <w:rFonts w:ascii="Arial" w:hAnsi="Arial" w:cs="Arial"/>
          <w:sz w:val="24"/>
          <w:szCs w:val="24"/>
        </w:rPr>
        <w:t xml:space="preserve">Signes radiologiques de la hernie interne duodenojejunale. J Radiol Electrol </w:t>
      </w:r>
      <w:r w:rsidR="003B0ED5">
        <w:rPr>
          <w:rFonts w:ascii="Arial" w:hAnsi="Arial" w:cs="Arial"/>
          <w:sz w:val="24"/>
          <w:szCs w:val="24"/>
        </w:rPr>
        <w:t xml:space="preserve"> </w:t>
      </w:r>
      <w:r w:rsidRPr="00D71188">
        <w:rPr>
          <w:rFonts w:ascii="Arial" w:hAnsi="Arial" w:cs="Arial"/>
          <w:sz w:val="24"/>
          <w:szCs w:val="24"/>
        </w:rPr>
        <w:t>5:362–8</w:t>
      </w:r>
      <w:r w:rsidR="003642E1">
        <w:rPr>
          <w:rFonts w:ascii="Arial" w:hAnsi="Arial" w:cs="Arial"/>
          <w:sz w:val="24"/>
          <w:szCs w:val="24"/>
        </w:rPr>
        <w:t xml:space="preserve"> </w:t>
      </w:r>
    </w:p>
    <w:p w14:paraId="35DFB8E7" w14:textId="6DFF9228" w:rsidR="00170856" w:rsidRPr="00D71188" w:rsidRDefault="00170856" w:rsidP="00170856">
      <w:pPr>
        <w:numPr>
          <w:ilvl w:val="0"/>
          <w:numId w:val="1"/>
        </w:numPr>
        <w:spacing w:after="0" w:line="240" w:lineRule="auto"/>
        <w:contextualSpacing/>
        <w:jc w:val="both"/>
        <w:rPr>
          <w:rFonts w:ascii="Arial" w:hAnsi="Arial" w:cs="Arial"/>
          <w:color w:val="auto"/>
          <w:sz w:val="24"/>
          <w:szCs w:val="24"/>
        </w:rPr>
      </w:pPr>
      <w:r w:rsidRPr="00D71188">
        <w:rPr>
          <w:rFonts w:ascii="Arial" w:hAnsi="Arial" w:cs="Arial"/>
          <w:color w:val="auto"/>
          <w:sz w:val="24"/>
          <w:szCs w:val="24"/>
          <w:highlight w:val="white"/>
        </w:rPr>
        <w:t>Parmar BPS, Parmar RS</w:t>
      </w:r>
      <w:r w:rsidR="00B73692">
        <w:rPr>
          <w:rFonts w:ascii="Arial" w:hAnsi="Arial" w:cs="Arial"/>
          <w:color w:val="auto"/>
          <w:sz w:val="24"/>
          <w:szCs w:val="24"/>
          <w:highlight w:val="white"/>
        </w:rPr>
        <w:t xml:space="preserve"> </w:t>
      </w:r>
      <w:r w:rsidR="003B0ED5">
        <w:rPr>
          <w:rFonts w:ascii="Arial" w:hAnsi="Arial" w:cs="Arial"/>
          <w:color w:val="auto"/>
          <w:sz w:val="24"/>
          <w:szCs w:val="24"/>
          <w:highlight w:val="white"/>
        </w:rPr>
        <w:t>(</w:t>
      </w:r>
      <w:r w:rsidR="003B0ED5" w:rsidRPr="00D71188">
        <w:rPr>
          <w:rFonts w:ascii="Arial" w:hAnsi="Arial" w:cs="Arial"/>
          <w:color w:val="auto"/>
          <w:sz w:val="24"/>
          <w:szCs w:val="24"/>
          <w:highlight w:val="white"/>
        </w:rPr>
        <w:t>2010</w:t>
      </w:r>
      <w:r w:rsidR="003B0ED5">
        <w:rPr>
          <w:rFonts w:ascii="Arial" w:hAnsi="Arial" w:cs="Arial"/>
          <w:color w:val="auto"/>
          <w:sz w:val="24"/>
          <w:szCs w:val="24"/>
          <w:highlight w:val="white"/>
        </w:rPr>
        <w:t>)</w:t>
      </w:r>
      <w:r w:rsidR="00B73692">
        <w:rPr>
          <w:rFonts w:ascii="Arial" w:hAnsi="Arial" w:cs="Arial"/>
          <w:color w:val="auto"/>
          <w:sz w:val="24"/>
          <w:szCs w:val="24"/>
          <w:highlight w:val="white"/>
        </w:rPr>
        <w:t xml:space="preserve"> </w:t>
      </w:r>
      <w:r w:rsidRPr="00D71188">
        <w:rPr>
          <w:rFonts w:ascii="Arial" w:hAnsi="Arial" w:cs="Arial"/>
          <w:color w:val="auto"/>
          <w:sz w:val="24"/>
          <w:szCs w:val="24"/>
          <w:highlight w:val="white"/>
        </w:rPr>
        <w:t>Laparoscopic management of left paraduodenal hernia. Journal of Minimal Access Surgery</w:t>
      </w:r>
      <w:r w:rsidR="003B0ED5">
        <w:rPr>
          <w:rFonts w:ascii="Arial" w:hAnsi="Arial" w:cs="Arial"/>
          <w:color w:val="auto"/>
          <w:sz w:val="24"/>
          <w:szCs w:val="24"/>
          <w:highlight w:val="white"/>
        </w:rPr>
        <w:t xml:space="preserve"> </w:t>
      </w:r>
      <w:r w:rsidRPr="00D71188">
        <w:rPr>
          <w:rFonts w:ascii="Arial" w:hAnsi="Arial" w:cs="Arial"/>
          <w:color w:val="auto"/>
          <w:sz w:val="24"/>
          <w:szCs w:val="24"/>
          <w:highlight w:val="white"/>
        </w:rPr>
        <w:t>6(4):122-124</w:t>
      </w:r>
      <w:r w:rsidR="003642E1">
        <w:rPr>
          <w:rFonts w:ascii="Arial" w:hAnsi="Arial" w:cs="Arial"/>
          <w:color w:val="auto"/>
          <w:sz w:val="24"/>
          <w:szCs w:val="24"/>
          <w:highlight w:val="white"/>
        </w:rPr>
        <w:t xml:space="preserve"> </w:t>
      </w:r>
      <w:r w:rsidRPr="00D71188">
        <w:rPr>
          <w:rFonts w:ascii="Arial" w:hAnsi="Arial" w:cs="Arial"/>
          <w:color w:val="auto"/>
          <w:sz w:val="24"/>
          <w:szCs w:val="24"/>
          <w:highlight w:val="white"/>
        </w:rPr>
        <w:t xml:space="preserve"> </w:t>
      </w:r>
      <w:r w:rsidR="003B0ED5">
        <w:rPr>
          <w:rFonts w:ascii="Arial" w:hAnsi="Arial" w:cs="Arial"/>
          <w:color w:val="auto"/>
          <w:sz w:val="24"/>
          <w:szCs w:val="24"/>
        </w:rPr>
        <w:t xml:space="preserve"> </w:t>
      </w:r>
      <w:r w:rsidRPr="00D71188">
        <w:rPr>
          <w:rFonts w:ascii="Arial" w:hAnsi="Arial" w:cs="Arial"/>
          <w:color w:val="auto"/>
          <w:sz w:val="24"/>
          <w:szCs w:val="24"/>
        </w:rPr>
        <w:t xml:space="preserve"> </w:t>
      </w:r>
    </w:p>
    <w:p w14:paraId="62C54364" w14:textId="3B98F8AB" w:rsidR="00170856" w:rsidRPr="00D71188" w:rsidRDefault="00170856" w:rsidP="00170856">
      <w:pPr>
        <w:numPr>
          <w:ilvl w:val="0"/>
          <w:numId w:val="1"/>
        </w:numPr>
        <w:spacing w:after="0" w:line="240" w:lineRule="auto"/>
        <w:contextualSpacing/>
        <w:jc w:val="both"/>
        <w:rPr>
          <w:rFonts w:ascii="Arial" w:hAnsi="Arial" w:cs="Arial"/>
          <w:sz w:val="24"/>
          <w:szCs w:val="24"/>
        </w:rPr>
      </w:pPr>
      <w:r w:rsidRPr="00D71188">
        <w:rPr>
          <w:rFonts w:ascii="Arial" w:hAnsi="Arial" w:cs="Arial"/>
          <w:sz w:val="24"/>
          <w:szCs w:val="24"/>
        </w:rPr>
        <w:t>Al-khyatt W, Aggarwal S, Birchall J, Rowlands TE</w:t>
      </w:r>
      <w:r w:rsidR="003B0ED5">
        <w:rPr>
          <w:rFonts w:ascii="Arial" w:hAnsi="Arial" w:cs="Arial"/>
          <w:sz w:val="24"/>
          <w:szCs w:val="24"/>
        </w:rPr>
        <w:t xml:space="preserve"> (</w:t>
      </w:r>
      <w:r w:rsidR="003B0ED5" w:rsidRPr="00D71188">
        <w:rPr>
          <w:rFonts w:ascii="Arial" w:hAnsi="Arial" w:cs="Arial"/>
          <w:sz w:val="24"/>
          <w:szCs w:val="24"/>
        </w:rPr>
        <w:t>2013</w:t>
      </w:r>
      <w:r w:rsidR="003B0ED5">
        <w:rPr>
          <w:rFonts w:ascii="Arial" w:hAnsi="Arial" w:cs="Arial"/>
          <w:sz w:val="24"/>
          <w:szCs w:val="24"/>
        </w:rPr>
        <w:t>)</w:t>
      </w:r>
      <w:r w:rsidRPr="00D71188">
        <w:rPr>
          <w:rFonts w:ascii="Arial" w:hAnsi="Arial" w:cs="Arial"/>
          <w:sz w:val="24"/>
          <w:szCs w:val="24"/>
        </w:rPr>
        <w:t xml:space="preserve"> Acute intestinal obstruction secondary to left paraduodenal hernia: a case report and literature review. World J Emerg Surg</w:t>
      </w:r>
      <w:r w:rsidR="003B0ED5">
        <w:rPr>
          <w:rFonts w:ascii="Arial" w:hAnsi="Arial" w:cs="Arial"/>
          <w:sz w:val="24"/>
          <w:szCs w:val="24"/>
        </w:rPr>
        <w:t xml:space="preserve">  </w:t>
      </w:r>
      <w:r w:rsidRPr="00D71188">
        <w:rPr>
          <w:rFonts w:ascii="Arial" w:hAnsi="Arial" w:cs="Arial"/>
          <w:sz w:val="24"/>
          <w:szCs w:val="24"/>
        </w:rPr>
        <w:t>8:5</w:t>
      </w:r>
      <w:r w:rsidR="003642E1">
        <w:rPr>
          <w:rFonts w:ascii="Arial" w:hAnsi="Arial" w:cs="Arial"/>
          <w:sz w:val="24"/>
          <w:szCs w:val="24"/>
        </w:rPr>
        <w:t xml:space="preserve"> </w:t>
      </w:r>
    </w:p>
    <w:p w14:paraId="12AF66CC" w14:textId="77777777" w:rsidR="005F3709" w:rsidRDefault="005F3709"/>
    <w:sectPr w:rsidR="005F37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6333"/>
    <w:multiLevelType w:val="hybridMultilevel"/>
    <w:tmpl w:val="61009FB6"/>
    <w:lvl w:ilvl="0" w:tplc="833E4B40">
      <w:start w:val="1"/>
      <w:numFmt w:val="lowerLetter"/>
      <w:lvlText w:val="%1)"/>
      <w:lvlJc w:val="left"/>
      <w:pPr>
        <w:ind w:left="4755" w:hanging="439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9873D10"/>
    <w:multiLevelType w:val="multilevel"/>
    <w:tmpl w:val="BB50729C"/>
    <w:lvl w:ilvl="0">
      <w:start w:val="1"/>
      <w:numFmt w:val="decimal"/>
      <w:lvlText w:val="%1."/>
      <w:lvlJc w:val="left"/>
      <w:pPr>
        <w:ind w:left="720" w:hanging="360"/>
      </w:pPr>
      <w:rPr>
        <w:rFonts w:ascii="Times New Roman" w:eastAsia="Times New Roman" w:hAnsi="Times New Roman" w:cs="Times New Roman"/>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CA4"/>
    <w:rsid w:val="00062CA4"/>
    <w:rsid w:val="00066552"/>
    <w:rsid w:val="00170856"/>
    <w:rsid w:val="00291DED"/>
    <w:rsid w:val="00303496"/>
    <w:rsid w:val="00324C3F"/>
    <w:rsid w:val="003642E1"/>
    <w:rsid w:val="003B0ED5"/>
    <w:rsid w:val="003C3DCD"/>
    <w:rsid w:val="00522C0E"/>
    <w:rsid w:val="00570267"/>
    <w:rsid w:val="005F3709"/>
    <w:rsid w:val="00785C70"/>
    <w:rsid w:val="008D165A"/>
    <w:rsid w:val="009A78A9"/>
    <w:rsid w:val="00B73692"/>
    <w:rsid w:val="00B77B29"/>
    <w:rsid w:val="00F32380"/>
    <w:rsid w:val="00F62C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5A5E8"/>
  <w15:chartTrackingRefBased/>
  <w15:docId w15:val="{60C6C02C-46D6-4E29-B9C0-AF346C842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0856"/>
    <w:pPr>
      <w:pBdr>
        <w:top w:val="nil"/>
        <w:left w:val="nil"/>
        <w:bottom w:val="nil"/>
        <w:right w:val="nil"/>
        <w:between w:val="nil"/>
      </w:pBdr>
    </w:pPr>
    <w:rPr>
      <w:rFonts w:ascii="Calibri" w:eastAsia="Calibri" w:hAnsi="Calibri" w:cs="Calibri"/>
      <w:noProof/>
      <w:color w:val="000000"/>
      <w:lang w:eastAsia="tr-TR"/>
    </w:rPr>
  </w:style>
  <w:style w:type="paragraph" w:styleId="Balk1">
    <w:name w:val="heading 1"/>
    <w:basedOn w:val="Normal"/>
    <w:next w:val="Normal"/>
    <w:link w:val="Balk1Char"/>
    <w:uiPriority w:val="9"/>
    <w:qFormat/>
    <w:rsid w:val="00F62C41"/>
    <w:pPr>
      <w:keepNext/>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outlineLvl w:val="0"/>
    </w:pPr>
    <w:rPr>
      <w:rFonts w:ascii="Arial" w:eastAsiaTheme="minorHAnsi" w:hAnsi="Arial" w:cs="Arial"/>
      <w:b/>
      <w:noProof w:val="0"/>
      <w:color w:val="131413"/>
      <w:sz w:val="24"/>
      <w:szCs w:val="24"/>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91DED"/>
    <w:pPr>
      <w:ind w:left="720"/>
      <w:contextualSpacing/>
    </w:pPr>
  </w:style>
  <w:style w:type="paragraph" w:styleId="GvdeMetni">
    <w:name w:val="Body Text"/>
    <w:basedOn w:val="Normal"/>
    <w:link w:val="GvdeMetniChar"/>
    <w:uiPriority w:val="99"/>
    <w:unhideWhenUsed/>
    <w:rsid w:val="00291DED"/>
    <w:pPr>
      <w:jc w:val="both"/>
    </w:pPr>
    <w:rPr>
      <w:rFonts w:ascii="Arial" w:hAnsi="Arial" w:cs="Arial"/>
      <w:sz w:val="24"/>
      <w:szCs w:val="24"/>
    </w:rPr>
  </w:style>
  <w:style w:type="character" w:customStyle="1" w:styleId="GvdeMetniChar">
    <w:name w:val="Gövde Metni Char"/>
    <w:basedOn w:val="VarsaylanParagrafYazTipi"/>
    <w:link w:val="GvdeMetni"/>
    <w:uiPriority w:val="99"/>
    <w:rsid w:val="00291DED"/>
    <w:rPr>
      <w:rFonts w:ascii="Arial" w:eastAsia="Calibri" w:hAnsi="Arial" w:cs="Arial"/>
      <w:noProof/>
      <w:color w:val="000000"/>
      <w:sz w:val="24"/>
      <w:szCs w:val="24"/>
      <w:lang w:eastAsia="tr-TR"/>
    </w:rPr>
  </w:style>
  <w:style w:type="paragraph" w:styleId="GvdeMetni2">
    <w:name w:val="Body Text 2"/>
    <w:basedOn w:val="Normal"/>
    <w:link w:val="GvdeMetni2Char"/>
    <w:uiPriority w:val="99"/>
    <w:unhideWhenUsed/>
    <w:rsid w:val="00B77B29"/>
    <w:pPr>
      <w:jc w:val="both"/>
    </w:pPr>
    <w:rPr>
      <w:rFonts w:ascii="Arial" w:hAnsi="Arial" w:cs="Arial"/>
      <w:b/>
      <w:sz w:val="32"/>
      <w:szCs w:val="32"/>
    </w:rPr>
  </w:style>
  <w:style w:type="character" w:customStyle="1" w:styleId="GvdeMetni2Char">
    <w:name w:val="Gövde Metni 2 Char"/>
    <w:basedOn w:val="VarsaylanParagrafYazTipi"/>
    <w:link w:val="GvdeMetni2"/>
    <w:uiPriority w:val="99"/>
    <w:rsid w:val="00B77B29"/>
    <w:rPr>
      <w:rFonts w:ascii="Arial" w:eastAsia="Calibri" w:hAnsi="Arial" w:cs="Arial"/>
      <w:b/>
      <w:noProof/>
      <w:color w:val="000000"/>
      <w:sz w:val="32"/>
      <w:szCs w:val="32"/>
      <w:lang w:eastAsia="tr-TR"/>
    </w:rPr>
  </w:style>
  <w:style w:type="character" w:customStyle="1" w:styleId="Balk1Char">
    <w:name w:val="Başlık 1 Char"/>
    <w:basedOn w:val="VarsaylanParagrafYazTipi"/>
    <w:link w:val="Balk1"/>
    <w:uiPriority w:val="9"/>
    <w:rsid w:val="00F62C41"/>
    <w:rPr>
      <w:rFonts w:ascii="Arial" w:hAnsi="Arial" w:cs="Arial"/>
      <w:b/>
      <w:color w:val="13141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4</Pages>
  <Words>1193</Words>
  <Characters>6806</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Ufuk Memiş</dc:creator>
  <cp:keywords/>
  <dc:description/>
  <cp:lastModifiedBy>Ufuk Memiş</cp:lastModifiedBy>
  <cp:revision>9</cp:revision>
  <dcterms:created xsi:type="dcterms:W3CDTF">2019-01-09T18:17:00Z</dcterms:created>
  <dcterms:modified xsi:type="dcterms:W3CDTF">2019-01-16T20:23:00Z</dcterms:modified>
</cp:coreProperties>
</file>