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Times New Roman" w:hAnsi="Times New Roman" w:cs="Times New Roman"/>
          <w:b/>
          <w:sz w:val="28"/>
          <w:szCs w:val="28"/>
        </w:rPr>
      </w:pPr>
    </w:p>
    <w:p>
      <w:pPr>
        <w:rPr>
          <w:rFonts w:ascii="Times New Roman" w:hAnsi="Times New Roman" w:cs="Times New Roman"/>
          <w:b/>
          <w:sz w:val="28"/>
          <w:szCs w:val="28"/>
        </w:rPr>
      </w:pPr>
      <w:bookmarkStart w:id="0" w:name="OLE_LINK8"/>
      <w:r>
        <w:rPr>
          <w:rFonts w:ascii="Arial" w:hAnsi="Arial" w:eastAsia="Times New Roman" w:cs="Arial"/>
          <w:b/>
          <w:bCs/>
          <w:color w:val="000000"/>
          <w:sz w:val="27"/>
          <w:szCs w:val="27"/>
        </w:rPr>
        <w:t>A comparison of health-related quality of life among knee osteoarthritis patients in two cities in Pakistan</w:t>
      </w:r>
      <w:r>
        <w:rPr>
          <w:rFonts w:ascii="Times New Roman" w:hAnsi="Times New Roman" w:cs="Times New Roman"/>
          <w:b/>
          <w:bCs/>
          <w:sz w:val="28"/>
          <w:szCs w:val="28"/>
        </w:rPr>
        <w:t xml:space="preserve">          </w:t>
      </w:r>
    </w:p>
    <w:p>
      <w:pPr>
        <w:spacing w:after="0" w:line="259" w:lineRule="auto"/>
        <w:ind w:left="28"/>
        <w:jc w:val="center"/>
        <w:rPr>
          <w:lang w:bidi="en-GB"/>
        </w:rPr>
      </w:pPr>
      <w:r>
        <w:rPr>
          <w:rFonts w:ascii="Times New Roman" w:hAnsi="Times New Roman" w:cs="Times New Roman"/>
          <w:b/>
          <w:bCs/>
          <w:sz w:val="28"/>
          <w:szCs w:val="28"/>
        </w:rPr>
        <w:t xml:space="preserve"> </w:t>
      </w:r>
      <w:r>
        <w:rPr>
          <w:b/>
          <w:lang w:bidi="en-GB"/>
        </w:rPr>
        <w:t>Saeed Taj Din</w:t>
      </w:r>
      <w:r>
        <w:rPr>
          <w:b/>
          <w:sz w:val="20"/>
          <w:vertAlign w:val="superscript"/>
          <w:lang w:bidi="en-GB"/>
        </w:rPr>
        <w:t xml:space="preserve">1 </w:t>
      </w:r>
      <w:r>
        <w:rPr>
          <w:b/>
          <w:lang w:bidi="en-GB"/>
        </w:rPr>
        <w:t>and Hafiza Tayaba</w:t>
      </w:r>
      <w:r>
        <w:rPr>
          <w:b/>
          <w:sz w:val="20"/>
          <w:vertAlign w:val="superscript"/>
          <w:lang w:bidi="en-GB"/>
        </w:rPr>
        <w:t>2</w:t>
      </w:r>
    </w:p>
    <w:p>
      <w:pPr>
        <w:spacing w:after="0" w:line="259" w:lineRule="auto"/>
        <w:ind w:left="28"/>
        <w:jc w:val="center"/>
        <w:rPr>
          <w:lang w:bidi="en-GB"/>
        </w:rPr>
      </w:pPr>
      <w:r>
        <w:rPr>
          <w:rFonts w:ascii="Times New Roman" w:hAnsi="Times New Roman" w:cs="Times New Roman"/>
          <w:b/>
          <w:bCs/>
          <w:sz w:val="28"/>
          <w:szCs w:val="28"/>
        </w:rPr>
        <w:t xml:space="preserve">                                </w:t>
      </w:r>
      <w:r>
        <w:rPr>
          <w:b/>
          <w:lang w:bidi="en-GB"/>
        </w:rPr>
        <w:t xml:space="preserve"> </w:t>
      </w:r>
    </w:p>
    <w:p>
      <w:pPr>
        <w:ind w:left="22" w:right="25"/>
        <w:rPr>
          <w:lang w:bidi="en-GB"/>
        </w:rPr>
      </w:pPr>
      <w:r>
        <w:rPr>
          <w:sz w:val="16"/>
          <w:vertAlign w:val="superscript"/>
          <w:lang w:bidi="en-GB"/>
        </w:rPr>
        <w:t>1</w:t>
      </w:r>
      <w:r>
        <w:rPr>
          <w:lang w:bidi="en-GB"/>
        </w:rPr>
        <w:t xml:space="preserve">Assistant Professor of Orthopaedic Surgery, </w:t>
      </w:r>
      <w:bookmarkStart w:id="1" w:name="OLE_LINK1"/>
      <w:r>
        <w:rPr>
          <w:lang w:bidi="en-GB"/>
        </w:rPr>
        <w:t>Azra Naheed Medical College, Lahore, Pakistan</w:t>
      </w:r>
    </w:p>
    <w:bookmarkEnd w:id="1"/>
    <w:p>
      <w:pPr>
        <w:spacing w:after="195"/>
        <w:ind w:left="22" w:right="25"/>
        <w:rPr>
          <w:lang w:bidi="en-GB"/>
        </w:rPr>
      </w:pPr>
      <w:r>
        <w:rPr>
          <w:sz w:val="16"/>
          <w:vertAlign w:val="superscript"/>
          <w:lang w:bidi="en-GB"/>
        </w:rPr>
        <w:t xml:space="preserve">2 </w:t>
      </w:r>
      <w:r>
        <w:rPr>
          <w:lang w:bidi="en-GB"/>
        </w:rPr>
        <w:t xml:space="preserve"> Physical Therapist, City hospital, Sialkot, Pakistam</w:t>
      </w:r>
    </w:p>
    <w:p>
      <w:pPr>
        <w:spacing w:after="109"/>
        <w:ind w:left="22" w:right="25"/>
        <w:rPr>
          <w:lang w:bidi="en-GB"/>
        </w:rPr>
      </w:pPr>
      <w:r>
        <w:rPr>
          <w:b/>
          <w:color w:val="3E3672"/>
          <w:sz w:val="20"/>
          <w:lang w:bidi="en-GB"/>
        </w:rPr>
        <w:t>*Corresponding Author:</w:t>
      </w:r>
      <w:r>
        <w:rPr>
          <w:lang w:bidi="en-GB"/>
        </w:rPr>
        <w:t xml:space="preserve"> Saeed Taj din, Orthopaedic Surgery, Azra naheed medical college, Lahore, Pakistam.54000 E.mail. </w:t>
      </w:r>
      <w:r>
        <w:fldChar w:fldCharType="begin"/>
      </w:r>
      <w:r>
        <w:instrText xml:space="preserve"> HYPERLINK "mailto:drsaeedpk2003@yahoo.com" </w:instrText>
      </w:r>
      <w:r>
        <w:fldChar w:fldCharType="separate"/>
      </w:r>
      <w:r>
        <w:rPr>
          <w:rStyle w:val="15"/>
          <w:lang w:bidi="en-GB"/>
        </w:rPr>
        <w:t>drsaeedpk2003@yahoo.com</w:t>
      </w:r>
      <w:r>
        <w:rPr>
          <w:rStyle w:val="15"/>
          <w:lang w:bidi="en-GB"/>
        </w:rPr>
        <w:fldChar w:fldCharType="end"/>
      </w:r>
      <w:r>
        <w:rPr>
          <w:lang w:bidi="en-GB"/>
        </w:rPr>
        <w:t xml:space="preserve"> </w:t>
      </w:r>
    </w:p>
    <w:p>
      <w:pPr>
        <w:tabs>
          <w:tab w:val="center" w:pos="4680"/>
          <w:tab w:val="left" w:pos="7365"/>
        </w:tabs>
        <w:autoSpaceDE w:val="0"/>
        <w:autoSpaceDN w:val="0"/>
        <w:adjustRightInd w:val="0"/>
        <w:spacing w:line="360" w:lineRule="auto"/>
        <w:rPr>
          <w:rFonts w:ascii="Times New Roman" w:hAnsi="Times New Roman" w:eastAsia="Times New Roman" w:cs="Times New Roman"/>
          <w:b/>
          <w:sz w:val="28"/>
          <w:szCs w:val="28"/>
        </w:rPr>
      </w:pPr>
    </w:p>
    <w:p>
      <w:pPr>
        <w:tabs>
          <w:tab w:val="center" w:pos="4680"/>
          <w:tab w:val="left" w:pos="7365"/>
        </w:tabs>
        <w:autoSpaceDE w:val="0"/>
        <w:autoSpaceDN w:val="0"/>
        <w:adjustRightInd w:val="0"/>
        <w:spacing w:line="360" w:lineRule="auto"/>
        <w:rPr>
          <w:rFonts w:ascii="Times New Roman" w:hAnsi="Times New Roman" w:eastAsia="Calibri" w:cs="Times New Roman"/>
          <w:sz w:val="24"/>
          <w:szCs w:val="24"/>
        </w:rPr>
      </w:pPr>
      <w:r>
        <w:rPr>
          <w:rFonts w:ascii="Times New Roman" w:hAnsi="Times New Roman" w:eastAsia="Times New Roman" w:cs="Times New Roman"/>
          <w:b/>
          <w:sz w:val="28"/>
          <w:szCs w:val="28"/>
        </w:rPr>
        <w:t>Abstract</w:t>
      </w:r>
    </w:p>
    <w:p>
      <w:pPr>
        <w:autoSpaceDE w:val="0"/>
        <w:autoSpaceDN w:val="0"/>
        <w:adjustRightInd w:val="0"/>
        <w:spacing w:line="480" w:lineRule="auto"/>
        <w:rPr>
          <w:shd w:val="clear" w:color="auto" w:fill="FFFFFF"/>
        </w:rPr>
      </w:pPr>
      <w:bookmarkStart w:id="2" w:name="OLE_LINK7"/>
      <w:r>
        <w:rPr>
          <w:rFonts w:ascii="Times New Roman" w:hAnsi="Times New Roman" w:eastAsia="Times New Roman" w:cs="Times New Roman"/>
          <w:b/>
          <w:sz w:val="24"/>
          <w:szCs w:val="24"/>
        </w:rPr>
        <w:t>Background:</w:t>
      </w:r>
      <w:r>
        <w:rPr>
          <w:rFonts w:ascii="Times New Roman" w:hAnsi="Times New Roman" w:cs="Times New Roman"/>
          <w:sz w:val="24"/>
          <w:szCs w:val="24"/>
          <w:shd w:val="clear" w:color="auto" w:fill="FFFFFF"/>
        </w:rPr>
        <w:t xml:space="preserve"> Osteoarthritis (OA) is a major cause of disability that impacts health and activities of daily living, mostly affecting the hip and knee joints. Patients commonly present with symptoms of stiffness and pain in the affected joints. As an age-related chronic disease of the joint cartilage, degenerative osteoarthritis is very common among elderly people worldwide.</w:t>
      </w:r>
    </w:p>
    <w:p>
      <w:pPr>
        <w:autoSpaceDE w:val="0"/>
        <w:autoSpaceDN w:val="0"/>
        <w:adjustRightInd w:val="0"/>
        <w:spacing w:line="480" w:lineRule="auto"/>
        <w:rPr>
          <w:rFonts w:ascii="Times New Roman" w:hAnsi="Times New Roman" w:cs="Times New Roman"/>
          <w:sz w:val="24"/>
          <w:szCs w:val="24"/>
          <w:shd w:val="clear" w:color="auto" w:fill="FFFFFF"/>
        </w:rPr>
      </w:pPr>
      <w:r>
        <w:rPr>
          <w:rFonts w:ascii="Times New Roman" w:hAnsi="Times New Roman" w:cs="Times New Roman"/>
          <w:b/>
          <w:shd w:val="clear" w:color="auto" w:fill="FFFFFF"/>
        </w:rPr>
        <w:t>Objective</w:t>
      </w:r>
      <w:r>
        <w:rPr>
          <w:rFonts w:ascii="Times New Roman" w:hAnsi="Times New Roman" w:cs="Times New Roman"/>
          <w:sz w:val="24"/>
          <w:szCs w:val="24"/>
          <w:shd w:val="clear" w:color="auto" w:fill="FFFFFF"/>
        </w:rPr>
        <w:t>: To compare health-related quality of life among patients with knee osteoarthritis in two cities in Pakistan: Lahore and Sialkot.</w:t>
      </w:r>
    </w:p>
    <w:p>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Method: </w:t>
      </w:r>
      <w:r>
        <w:rPr>
          <w:rFonts w:ascii="Times New Roman" w:hAnsi="Times New Roman" w:cs="Times New Roman"/>
          <w:sz w:val="24"/>
          <w:szCs w:val="24"/>
          <w:shd w:val="clear" w:color="auto" w:fill="FFFFFF"/>
        </w:rPr>
        <w:t>In a cross-sectional comparative study, data were collected from patients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(N = 158; 105 female; 53 male)</w:t>
      </w:r>
      <w:r>
        <w:rPr>
          <w:rFonts w:ascii="Times New Roman" w:hAnsi="Times New Roman" w:cs="Times New Roman"/>
          <w:sz w:val="24"/>
          <w:szCs w:val="24"/>
        </w:rPr>
        <w:t xml:space="preserve"> aged 40 years or older, based on inclusion criteria adopted from government and private hospitals and clinics in Lahore and Sialkot</w:t>
      </w:r>
      <w:r>
        <w:rPr>
          <w:rFonts w:ascii="Times New Roman" w:hAnsi="Times New Roman" w:cs="Times New Roman"/>
          <w:sz w:val="24"/>
          <w:szCs w:val="24"/>
          <w:shd w:val="clear" w:color="auto" w:fill="FFFFFF"/>
        </w:rPr>
        <w:t xml:space="preserve"> and using the SF12 questionnaire </w:t>
      </w:r>
      <w:r>
        <w:rPr>
          <w:rFonts w:ascii="Times New Roman" w:hAnsi="Times New Roman" w:cs="Times New Roman"/>
          <w:sz w:val="24"/>
          <w:szCs w:val="24"/>
        </w:rPr>
        <w:t>and convenience sampling. The sample was evenly divided between the two cities.</w:t>
      </w:r>
    </w:p>
    <w:p>
      <w:pPr>
        <w:autoSpaceDE w:val="0"/>
        <w:autoSpaceDN w:val="0"/>
        <w:adjustRightInd w:val="0"/>
        <w:spacing w:line="480" w:lineRule="auto"/>
        <w:rPr>
          <w:rFonts w:ascii="Times New Roman" w:hAnsi="Times New Roman" w:cs="Times New Roman"/>
          <w:b/>
          <w:sz w:val="24"/>
          <w:szCs w:val="24"/>
        </w:rPr>
      </w:pPr>
      <w:r>
        <w:rPr>
          <w:rFonts w:ascii="Times New Roman" w:hAnsi="Times New Roman" w:eastAsia="Times New Roman" w:cs="Times New Roman"/>
          <w:b/>
          <w:sz w:val="24"/>
          <w:szCs w:val="24"/>
        </w:rPr>
        <w:t>Result</w:t>
      </w:r>
      <w:r>
        <w:rPr>
          <w:rFonts w:ascii="Times New Roman" w:hAnsi="Times New Roman" w:cs="Times New Roman"/>
          <w:sz w:val="24"/>
          <w:szCs w:val="24"/>
        </w:rPr>
        <w:t xml:space="preserve">s: Earlier studies have shown that lifestyle in major urban centers is more sedentary than in smaller cities. However, </w:t>
      </w:r>
      <w:r>
        <w:rPr>
          <w:rFonts w:ascii="Times New Roman" w:hAnsi="Times New Roman" w:eastAsia="Times New Roman" w:cs="Times New Roman"/>
          <w:sz w:val="24"/>
          <w:szCs w:val="24"/>
        </w:rPr>
        <w:t xml:space="preserve">independent sample t-testing (p = 0.57) revealed </w:t>
      </w:r>
      <w:r>
        <w:rPr>
          <w:rFonts w:ascii="Times New Roman" w:hAnsi="Times New Roman" w:cs="Times New Roman"/>
          <w:sz w:val="24"/>
          <w:szCs w:val="24"/>
        </w:rPr>
        <w:t xml:space="preserve">no significant difference in </w:t>
      </w:r>
      <w:r>
        <w:rPr>
          <w:rFonts w:ascii="Times New Roman" w:hAnsi="Times New Roman" w:eastAsia="Times New Roman" w:cs="Times New Roman"/>
          <w:sz w:val="24"/>
          <w:szCs w:val="24"/>
        </w:rPr>
        <w:t>health-related quality of life</w:t>
      </w:r>
      <w:r>
        <w:rPr>
          <w:rFonts w:ascii="Times New Roman" w:hAnsi="Times New Roman" w:cs="Times New Roman"/>
          <w:sz w:val="24"/>
          <w:szCs w:val="24"/>
        </w:rPr>
        <w:t xml:space="preserve"> between knee osteoarthritis patients in Lahore (a major urban center) and Sialkot (which is less urbanized). </w:t>
      </w:r>
    </w:p>
    <w:p>
      <w:pPr>
        <w:autoSpaceDE w:val="0"/>
        <w:autoSpaceDN w:val="0"/>
        <w:adjustRightInd w:val="0"/>
        <w:spacing w:line="480" w:lineRule="auto"/>
        <w:rPr>
          <w:rFonts w:ascii="Times New Roman" w:hAnsi="Times New Roman" w:cs="Times New Roman"/>
          <w:sz w:val="24"/>
          <w:szCs w:val="24"/>
        </w:rPr>
      </w:pPr>
      <w:r>
        <w:rPr>
          <w:rFonts w:ascii="Times New Roman" w:hAnsi="Times New Roman" w:eastAsia="Times New Roman" w:cs="Times New Roman"/>
          <w:b/>
          <w:sz w:val="24"/>
          <w:szCs w:val="24"/>
        </w:rPr>
        <w:t>Conclusion</w:t>
      </w:r>
      <w:r>
        <w:rPr>
          <w:rFonts w:ascii="Times New Roman" w:hAnsi="Times New Roman" w:cs="Times New Roman"/>
          <w:sz w:val="24"/>
          <w:szCs w:val="24"/>
        </w:rPr>
        <w:t>: Health-related quality of life in knee OA patients in Lahore and Sialkot was effectively the same in terms of disability level and awareness.</w:t>
      </w:r>
    </w:p>
    <w:bookmarkEnd w:id="2"/>
    <w:p>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Keywords: </w:t>
      </w:r>
      <w:bookmarkStart w:id="3" w:name="OLE_LINK2"/>
      <w:r>
        <w:rPr>
          <w:rFonts w:ascii="Times New Roman" w:hAnsi="Times New Roman" w:cs="Times New Roman"/>
          <w:sz w:val="24"/>
          <w:szCs w:val="24"/>
        </w:rPr>
        <w:t>osteoarthritis, activities of daily living, health-related quality of life</w:t>
      </w:r>
      <w:bookmarkEnd w:id="3"/>
    </w:p>
    <w:p>
      <w:pPr>
        <w:spacing w:line="480" w:lineRule="auto"/>
        <w:rPr>
          <w:rFonts w:ascii="Times New Roman" w:hAnsi="Times New Roman" w:cs="Times New Roman"/>
          <w:b/>
          <w:sz w:val="28"/>
          <w:szCs w:val="28"/>
          <w:shd w:val="clear" w:color="auto" w:fill="FFFFFF"/>
        </w:rPr>
      </w:pPr>
    </w:p>
    <w:p>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Introduction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Osteoarthritis (OA) is a chronic disease of the joint, in which bone and joint cartilage break down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&lt;EndNote&gt;&lt;Cite&gt;&lt;Author&gt;Petkovic&lt;/Author&gt;&lt;Year&gt;2015&lt;/Year&gt;&lt;RecNum&gt;27&lt;/RecNum&gt;&lt;DisplayText&gt;[1]&lt;/DisplayText&gt;&lt;record&gt;&lt;rec-number&gt;27&lt;/rec-number&gt;&lt;foreign-keys&gt;&lt;key app="EN" db-id="0a5wfrxtxft0r0ezdr45v5efzsvxresfw2z0"&gt;27&lt;/key&gt;&lt;/foreign-keys&gt;&lt;ref-type name="Journal Article"&gt;17&lt;/ref-type&gt;&lt;contributors&gt;&lt;authors&gt;&lt;author&gt;Petkovic, Jennifer&lt;/author&gt;&lt;author&gt;Epstein, Jonathan&lt;/author&gt;&lt;author&gt;Buchbinder, Rachelle&lt;/author&gt;&lt;author&gt;Welch, Vivian&lt;/author&gt;&lt;author&gt;Rader, Tamara&lt;/author&gt;&lt;author&gt;Lyddiatt, Anne&lt;/author&gt;&lt;author&gt;Clerehan, Rosemary&lt;/author&gt;&lt;author&gt;Christensen, Robin&lt;/author&gt;&lt;author&gt;Boonen, Annelies&lt;/author&gt;&lt;author&gt;Goel, Niti&lt;/author&gt;&lt;/authors&gt;&lt;/contributors&gt;&lt;titles&gt;&lt;title&gt;Toward ensuring health equity: readability and cultural equivalence of OMERACT patient-reported outcome measures&lt;/title&gt;&lt;secondary-title&gt;The Journal of rheumatology&lt;/secondary-title&gt;&lt;/titles&gt;&lt;periodical&gt;&lt;full-title&gt;The Journal of Rheumatology&lt;/full-title&gt;&lt;/periodical&gt;&lt;pages&gt;jrheum. 141168&lt;/pages&gt;&lt;dates&gt;&lt;year&gt;2015&lt;/year&gt;&lt;/dates&gt;&lt;isbn&gt;0315-162X&lt;/isbn&gt;&lt;urls&gt;&lt;/urls&gt;&lt;/record&gt;&lt;/Cite&gt;&lt;/EndNote&gt;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"_ENREF_1" \o "Petkovic, 2015 #27" </w:instrText>
      </w:r>
      <w:r>
        <w:fldChar w:fldCharType="separate"/>
      </w: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OA is the most common type of joint disease among elderly people worldwide in both developing and developed countries, with significant consequences for health and activities of daily living (ADL). Symptoms include stiffness, pain, debilitating and significant disability, and poor performance of physical and social tasks, impacting the individual’s general health and causing difficulty in walking, squatting, and stair climbing</w:t>
      </w:r>
      <w:r>
        <w:rPr>
          <w:shd w:val="clear" w:color="auto" w:fill="FFFFFF"/>
        </w:rPr>
        <w:t>.</w:t>
      </w:r>
      <w:r>
        <w:rPr>
          <w:rFonts w:ascii="Times New Roman" w:hAnsi="Times New Roman" w:cs="Times New Roman"/>
          <w:sz w:val="24"/>
          <w:szCs w:val="24"/>
          <w:shd w:val="clear" w:color="auto" w:fill="FFFFFF"/>
        </w:rPr>
        <w:t xml:space="preserve"> Older people who have been diagnosed with OA are also likely to be long-term users of medication and physical therapy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&lt;EndNote&gt;&lt;Cite&gt;&lt;Author&gt;Zakaria&lt;/Author&gt;&lt;Year&gt;2009&lt;/Year&gt;&lt;RecNum&gt;8&lt;/RecNum&gt;&lt;DisplayText&gt;[2, 3]&lt;/DisplayText&gt;&lt;record&gt;&lt;rec-number&gt;8&lt;/rec-number&gt;&lt;foreign-keys&gt;&lt;key app="EN" db-id="0a5wfrxtxft0r0ezdr45v5efzsvxresfw2z0"&gt;8&lt;/key&gt;&lt;/foreign-keys&gt;&lt;ref-type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Cite&gt;&lt;Author&gt;Hassanein&lt;/Author&gt;&lt;Year&gt;2015&lt;/Year&gt;&lt;RecNum&gt;9&lt;/RecNum&gt;&lt;record&gt;&lt;rec-number&gt;9&lt;/rec-number&gt;&lt;foreign-keys&gt;&lt;key app="EN" db-id="0a5wfrxtxft0r0ezdr45v5efzsvxresfw2z0"&gt;9&lt;/key&gt;&lt;/foreign-keys&gt;&lt;ref-type name="Journal Article"&gt;17&lt;/ref-type&gt;&lt;contributors&gt;&lt;authors&gt;&lt;author&gt;Hassanein, Mohammed&lt;/author&gt;&lt;author&gt;Shamssain, Mohammed&lt;/author&gt;&lt;author&gt;Hassan, Nageeb&lt;/author&gt;&lt;/authors&gt;&lt;/contributors&gt;&lt;titles&gt;&lt;title&gt;Health Related Quality of Life among Osteoarthritis Patients: A Comparison of Traditional Non-Steroidal Anti-Inflammatory Drugs and Selective COX-2 Inhibitors in the United Arab Emirates Using the SF-36&lt;/title&gt;&lt;secondary-title&gt;Pharmacology &amp;amp; Pharmacy&lt;/secondary-title&gt;&lt;/titles&gt;&lt;periodical&gt;&lt;full-title&gt;Pharmacology &amp;amp; Pharmacy&lt;/full-title&gt;&lt;/periodical&gt;&lt;pages&gt;232&lt;/pages&gt;&lt;volume&gt;6&lt;/volume&gt;&lt;number&gt;04&lt;/number&gt;&lt;dates&gt;&lt;year&gt;2015&lt;/year&gt;&lt;/dates&gt;&lt;urls&gt;&lt;/urls&gt;&lt;/record&gt;&lt;/Cite&gt;&lt;/EndNote&gt;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"_ENREF_2" \o "Zakaria, 2009 #8" </w:instrText>
      </w:r>
      <w:r>
        <w:fldChar w:fldCharType="separate"/>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fldChar w:fldCharType="begin"/>
      </w:r>
      <w:r>
        <w:instrText xml:space="preserve"> HYPERLINK \l "_ENREF_3" \o "Hassanein, 2015 #9" </w:instrText>
      </w:r>
      <w:r>
        <w:fldChar w:fldCharType="separate"/>
      </w: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Helvetica" w:hAnsi="Helvetica" w:cs="Helvetica"/>
          <w:sz w:val="21"/>
          <w:szCs w:val="21"/>
          <w:shd w:val="clear" w:color="auto" w:fill="FFFFFF"/>
        </w:rPr>
        <w:t xml:space="preserve">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is evidence that the prevalence of OA continues to increase, affecting 10–20% of the elder population, and it is likely to be the seventh most common disease by 2020. The condition is more prevalent among women and elderly people than among men aged 45–65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&lt;EndNote&gt;&lt;Cite&gt;&lt;Author&gt;Jordan&lt;/Author&gt;&lt;Year&gt;2007&lt;/Year&gt;&lt;RecNum&gt;14&lt;/RecNum&gt;&lt;DisplayText&gt;[4]&lt;/DisplayText&gt;&lt;record&gt;&lt;rec-number&gt;14&lt;/rec-number&gt;&lt;foreign-keys&gt;&lt;key app="EN" db-id="0a5wfrxtxft0r0ezdr45v5efzsvxresfw2z0"&gt;14&lt;/key&gt;&lt;/foreign-keys&gt;&lt;ref-type name="Journal Article"&gt;17&lt;/ref-type&gt;&lt;contributors&gt;&lt;authors&gt;&lt;author&gt;Jordan, Joanne M&lt;/author&gt;&lt;author&gt;Helmick, Charles G&lt;/author&gt;&lt;author&gt;Renner, Jordan B&lt;/author&gt;&lt;author&gt;Luta, Gheorghe&lt;/author&gt;&lt;author&gt;Dragomir, Anca D&lt;/author&gt;&lt;author&gt;Woodard, Janice&lt;/author&gt;&lt;author&gt;Fang, Fang&lt;/author&gt;&lt;author&gt;Schwartz, Todd A&lt;/author&gt;&lt;author&gt;Abbate, Lauren M&lt;/author&gt;&lt;author&gt;Callahan, Leigh F&lt;/author&gt;&lt;/authors&gt;&lt;/contributors&gt;&lt;titles&gt;&lt;title&gt;Prevalence of knee symptoms and radiographic and symptomatic knee osteoarthritis in African Americans and Caucasians: the Johnston County Osteoarthritis Project&lt;/title&gt;&lt;secondary-title&gt;The Journal of rheumatology&lt;/secondary-title&gt;&lt;/titles&gt;&lt;periodical&gt;&lt;full-title&gt;The Journal of Rheumatology&lt;/full-title&gt;&lt;/periodical&gt;&lt;pages&gt;172-180&lt;/pages&gt;&lt;volume&gt;34&lt;/volume&gt;&lt;number&gt;1&lt;/number&gt;&lt;dates&gt;&lt;year&gt;2007&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"_ENREF_4" \o "Jordan, 2007 #14" </w:instrText>
      </w:r>
      <w:r>
        <w:fldChar w:fldCharType="separate"/>
      </w:r>
      <w:r>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Other evidence suggests that knee OA is more common than hip OA, notably among people of Asian origin; that pain increases by 23% after the age of 55 and by 39% after the age of 65 years</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&lt;EndNote&gt;&lt;Cite&gt;&lt;Author&gt;Zakaria&lt;/Author&gt;&lt;Year&gt;2009&lt;/Year&gt;&lt;RecNum&gt;10&lt;/RecNum&gt;&lt;DisplayText&gt;[5]&lt;/DisplayText&gt;&lt;record&gt;&lt;rec-number&gt;10&lt;/rec-number&gt;&lt;foreign-keys&gt;&lt;key app="EN" db-id="0a5wfrxtxft0r0ezdr45v5efzsvxresfw2z0"&gt;10&lt;/key&gt;&lt;/foreign-keys&gt;&lt;ref-type name="Journal Article"&gt;17&lt;/ref-type&gt;&lt;contributors&gt;&lt;authors&gt;&lt;author&gt;Zakaria, Z. F.&lt;/author&gt;&lt;author&gt;Bakar, A. A.&lt;/author&gt;&lt;author&gt;Hasmoni, H. M.&lt;/author&gt;&lt;author&gt;Rani, F. A.&lt;/author&gt;&lt;author&gt;Kadir, S. A.&lt;/author&gt;&lt;/authors&gt;&lt;/contributors&gt;&lt;auth-address&gt;Putrajaya Health Clinic, Presint 9, 62250 Putrajaya, Malaysia.&lt;/auth-address&gt;&lt;titles&gt;&lt;title&gt;Health-related quality of life in patients with knee osteoarthritis attending two primary care clinics in Malaysia: a cross-sectional study&lt;/title&gt;&lt;secondary-title&gt;Asia Pac Fam Med&lt;/secondary-title&gt;&lt;alt-title&gt;Asia Pacific family medicine&lt;/alt-title&gt;&lt;/titles&gt;&lt;alt-periodical&gt;&lt;full-title&gt;Asia Pacific family medicine&lt;/full-title&gt;&lt;/alt-periodical&gt;&lt;pages&gt;10&lt;/pages&gt;&lt;volume&gt;8&lt;/volume&gt;&lt;number&gt;1&lt;/number&gt;&lt;edition&gt;2010/01/20&lt;/edition&gt;&lt;dates&gt;&lt;year&gt;2009&lt;/year&gt;&lt;pub-dates&gt;&lt;date&gt;Dec 31&lt;/date&gt;&lt;/pub-dates&gt;&lt;/dates&gt;&lt;isbn&gt;1444-1683&lt;/isbn&gt;&lt;accession-num&gt;20084190&lt;/accession-num&gt;&lt;urls&gt;&lt;/urls&gt;&lt;custom2&gt;Pmc2807850&lt;/custom2&gt;&lt;electronic-resource-num&gt;10.1186/1447-056x-8-10&lt;/electronic-resource-num&gt;&lt;remote-database-provider&gt;Nlm&lt;/remote-database-provider&gt;&lt;language&gt;eng&lt;/language&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2</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In general, OA is thought to affect 14.7% of women and 10.5% of men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&lt;EndNote&gt;&lt;Cite&gt;&lt;Author&gt;Grotle&lt;/Author&gt;&lt;Year&gt;2008&lt;/Year&gt;&lt;RecNum&gt;11&lt;/RecNum&gt;&lt;DisplayText&gt;[6]&lt;/DisplayText&gt;&lt;record&gt;&lt;rec-number&gt;11&lt;/rec-number&gt;&lt;foreign-keys&gt;&lt;key app="EN" db-id="0a5wfrxtxft0r0ezdr45v5efzsvxresfw2z0"&gt;11&lt;/key&gt;&lt;/foreign-keys&gt;&lt;ref-type name="Journal Article"&gt;17&lt;/ref-type&gt;&lt;contributors&gt;&lt;authors&gt;&lt;author&gt;Grotle, Margreth&lt;/author&gt;&lt;author&gt;Hagen, Kaare Birger&lt;/author&gt;&lt;author&gt;Natvig, Baard&lt;/author&gt;&lt;author&gt;Dahl, Fredrik A&lt;/author&gt;&lt;author&gt;Kvien, Tore Kristian&lt;/author&gt;&lt;/authors&gt;&lt;/contributors&gt;&lt;titles&gt;&lt;title&gt;Prevalence and burden of osteoarthritis: results from a population survey in Norway&lt;/title&gt;&lt;secondary-title&gt;The Journal of Rheumatology&lt;/secondary-title&gt;&lt;/titles&gt;&lt;periodical&gt;&lt;full-title&gt;The Journal of Rheumatology&lt;/full-title&gt;&lt;/periodical&gt;&lt;pages&gt;677-684&lt;/pages&gt;&lt;volume&gt;35&lt;/volume&gt;&lt;number&gt;4&lt;/number&gt;&lt;dates&gt;&lt;year&gt;2008&lt;/year&gt;&lt;/dates&gt;&lt;urls&gt;&lt;related-urls&gt;&lt;url&gt;http://www.jrheum.org/content/jrheum/35/4/677.full.pdf&lt;/url&gt;&lt;/related-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5</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OA of the knee affects 11% of women and 7% of men, and a 40% increase in incidence is forecast by 2025 [</w:t>
      </w:r>
      <w:r>
        <w:t>6 – 8]</w:t>
      </w:r>
      <w:r>
        <w:rPr>
          <w:rFonts w:ascii="Times New Roman" w:hAnsi="Times New Roman" w:cs="Times New Roman"/>
          <w:sz w:val="24"/>
          <w:szCs w:val="24"/>
          <w:shd w:val="clear" w:color="auto" w:fill="FFFFFF"/>
        </w:rPr>
        <w:t xml:space="preserve">. Among younger people aged 25–35, the main causes of knee OA are trauma, poor nutrition, prolonged knee bending, and ligamentous injury while obesity is the major cause of bilateral knee OA </w: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L0NpdGU+PC9FbmROb3RlPnAA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PEVuZE5vdGU+PENpdGU+PEF1dGhvcj5Sb29zPC9BdXRob3I+PFllYXI+MjAwNTwvWWVhcj48UmVj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9 - 11</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Health-related quality of life is improved by better assessment and early diagnosis of OA </w:t>
      </w:r>
      <w:r>
        <w:rPr>
          <w:rFonts w:ascii="Times New Roman" w:hAnsi="Times New Roman" w:cs="Times New Roman"/>
          <w:sz w:val="24"/>
          <w:szCs w:val="24"/>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Pr>
          <w:rFonts w:ascii="Times New Roman" w:hAnsi="Times New Roman" w:cs="Times New Roman"/>
          <w:sz w:val="24"/>
          <w:szCs w:val="24"/>
          <w:shd w:val="clear" w:color="auto" w:fill="FFFFFF"/>
        </w:rPr>
        <w:instrText xml:space="preserve"> ADDIN EN.CITE </w:instrText>
      </w:r>
      <w:r>
        <w:rPr>
          <w:rFonts w:ascii="Times New Roman" w:hAnsi="Times New Roman" w:cs="Times New Roman"/>
          <w:sz w:val="24"/>
          <w:szCs w:val="24"/>
          <w:shd w:val="clear" w:color="auto" w:fill="FFFFFF"/>
        </w:rPr>
        <w:fldChar w:fldCharType="begin">
          <w:fldData xml:space="preserve">PEVuZE5vdGU+PENpdGU+PEF1dGhvcj5TYWxhZmZpPC9BdXRob3I+PFllYXI+MjAwNTwvWWVhcj48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b2RpY2FsPjxwYWdlcz4yOS0zNzwvcGFnZXM+PHZvbHVtZT4yNDwvdm9sdW1lPjxudW1iZXI+MTwv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</w:fldData>
        </w:fldChar>
      </w:r>
      <w:r>
        <w:rPr>
          <w:rFonts w:ascii="Times New Roman" w:hAnsi="Times New Roman" w:cs="Times New Roman"/>
          <w:sz w:val="24"/>
          <w:szCs w:val="24"/>
          <w:shd w:val="clear" w:color="auto" w:fill="FFFFFF"/>
        </w:rPr>
        <w:instrText xml:space="preserve"> ADDIN EN.CITE.DATA </w:instrTex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12</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Physical activity improves quality of life among knee OA patients, and regular exercise reduces the risk of diseases such as diabetes, osteoporosis, hypertension, and obesity. As a key element in managing knee OA, maintaining regular exercise is challenging for these patients. Early diagnosis helps to control the disease more effectively, and patient education and behavior intervention is of great help in slowing its </w:t>
      </w:r>
      <w:r>
        <w:t>progression.[13</w:t>
      </w:r>
      <w:r>
        <w:rPr>
          <w:rFonts w:ascii="Times New Roman" w:hAnsi="Times New Roman" w:cs="Times New Roman"/>
          <w:sz w:val="24"/>
          <w:szCs w:val="24"/>
          <w:shd w:val="clear" w:color="auto" w:fill="FFFFFF"/>
        </w:rPr>
        <w:t xml:space="preserve"> -15].</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objective of the present study was to compare health-related quality of life among knee OA patients in Lahore and Sialkot. Degenerative joint disease commonly affects weight-bearing joints, especially the knee joints, and the patient’s quality of life is further undermined by a lack of understanding of the disease and the need for lifestyle modification. The study rationale is that these patients’ quality of life can be enhanced by educating the general population about knee OA. The null hypothesis was that there is no difference in quality of life among patients of knee OA; the alternative hypothesis was that there is a difference in the quality of life of knee OA patients in Sialkot and Lahore. </w:t>
      </w:r>
    </w:p>
    <w:p>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 xml:space="preserve"> </w:t>
      </w:r>
    </w:p>
    <w:p>
      <w:pPr>
        <w:spacing w:line="480" w:lineRule="auto"/>
        <w:rPr>
          <w:rFonts w:ascii="Times New Roman" w:hAnsi="Times New Roman" w:cs="Times New Roman"/>
          <w:sz w:val="28"/>
          <w:szCs w:val="28"/>
          <w:shd w:val="clear" w:color="auto" w:fill="FFFFFF"/>
        </w:rPr>
      </w:pPr>
      <w:r>
        <w:rPr>
          <w:rFonts w:ascii="Times New Roman" w:hAnsi="Times New Roman" w:cs="Times New Roman"/>
          <w:b/>
          <w:bCs/>
          <w:sz w:val="24"/>
          <w:szCs w:val="24"/>
          <w:shd w:val="clear" w:color="auto" w:fill="FFFFFF"/>
        </w:rPr>
        <w:t>Literature Review</w:t>
      </w:r>
    </w:p>
    <w:p>
      <w:pPr>
        <w:spacing w:line="480" w:lineRule="auto"/>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FFFFF"/>
        </w:rPr>
        <w:t xml:space="preserve">One </w:t>
      </w:r>
      <w:r>
        <w:rPr>
          <w:rFonts w:ascii="Times New Roman" w:hAnsi="Times New Roman" w:cs="Times New Roman"/>
          <w:spacing w:val="4"/>
          <w:sz w:val="24"/>
          <w:szCs w:val="24"/>
          <w:shd w:val="clear" w:color="auto" w:fill="FCFCFC"/>
        </w:rPr>
        <w:t>cross-sectional study [</w:t>
      </w:r>
      <w:r>
        <w:rPr>
          <w:rFonts w:hint="eastAsia" w:ascii="Times New Roman" w:hAnsi="Times New Roman" w:cs="Times New Roman"/>
          <w:spacing w:val="4"/>
          <w:sz w:val="24"/>
          <w:szCs w:val="24"/>
          <w:shd w:val="clear" w:color="auto" w:fill="FCFCFC"/>
          <w:lang w:val="en-US" w:eastAsia="zh-CN"/>
        </w:rPr>
        <w:t>12</w:t>
      </w:r>
      <w:r>
        <w:rPr>
          <w:rFonts w:ascii="Times New Roman" w:hAnsi="Times New Roman" w:cs="Times New Roman"/>
          <w:spacing w:val="4"/>
          <w:sz w:val="24"/>
          <w:szCs w:val="24"/>
          <w:shd w:val="clear" w:color="auto" w:fill="FCFCFC"/>
        </w:rPr>
        <w:t xml:space="preserve">] assessed quality of life among knee OA patients and the elder population using the WOMAC and SF-36 questionnaires. Based on a sample of 244 patients (145 female, 99 male) aged more than 50 years, they concluded that health-related quality of life issues were linked to radiographic changes </w:t>
      </w:r>
      <w:r>
        <w:rPr>
          <w:rFonts w:ascii="Times New Roman" w:hAnsi="Times New Roman" w:cs="Times New Roman"/>
          <w:spacing w:val="4"/>
          <w:sz w:val="24"/>
          <w:szCs w:val="24"/>
          <w:shd w:val="clear" w:color="auto" w:fill="FCFCFC"/>
        </w:rPr>
        <w:fldChar w:fldCharType="begin"/>
      </w:r>
      <w:r>
        <w:rPr>
          <w:rFonts w:ascii="Times New Roman" w:hAnsi="Times New Roman" w:cs="Times New Roman"/>
          <w:spacing w:val="4"/>
          <w:sz w:val="24"/>
          <w:szCs w:val="24"/>
          <w:shd w:val="clear" w:color="auto" w:fill="FCFCFC"/>
        </w:rPr>
        <w:instrText xml:space="preserve"> ADDIN EN.CITE &lt;EndNote&gt;&lt;Cite&gt;&lt;Author&gt;Salaffi&lt;/Author&gt;&lt;Year&gt;2005&lt;/Year&gt;&lt;RecNum&gt;28&lt;/RecNum&gt;&lt;DisplayText&gt;[18]&lt;/DisplayText&gt;&lt;record&gt;&lt;rec-number&gt;28&lt;/rec-number&gt;&lt;foreign-keys&gt;&lt;key app="EN" db-id="0a5wfrxtxft0r0ezdr45v5efzsvxresfw2z0"&gt;28&lt;/key&gt;&lt;/foreign-keys&gt;&lt;ref-type name="Journal Article"&gt;17&lt;/ref-type&gt;&lt;contributors&gt;&lt;authors&gt;&lt;author&gt;Salaffi, Fausto&lt;/author&gt;&lt;author&gt;Carotti, Marina&lt;/author&gt;&lt;author&gt;Grassi, Walter&lt;/author&gt;&lt;/authors&gt;&lt;/contributors&gt;&lt;titles&gt;&lt;title&gt;Health-related quality of life in patients with hip or knee osteoarthritis: comparison of generic and disease-specific instruments&lt;/title&gt;&lt;secondary-title&gt;Clinical Rheumatology&lt;/secondary-title&gt;&lt;/titles&gt;&lt;periodical&gt;&lt;full-title&gt;Clin Rheumatol&lt;/full-title&gt;&lt;abbr-1&gt;Clinical rheumatology&lt;/abbr-1&gt;&lt;/periodical&gt;&lt;pages&gt;29-37&lt;/pages&gt;&lt;volume&gt;24&lt;/volume&gt;&lt;number&gt;1&lt;/number&gt;&lt;dates&gt;&lt;year&gt;2005&lt;/year&gt;&lt;pub-dates&gt;&lt;date&gt;February 01&lt;/date&gt;&lt;/pub-dates&gt;&lt;/dates&gt;&lt;isbn&gt;1434-9949&lt;/isbn&gt;&lt;label&gt;Salaffi2005&lt;/label&gt;&lt;work-type&gt;journal article&lt;/work-type&gt;&lt;urls&gt;&lt;related-urls&gt;&lt;url&gt;https://doi.org/10.1007/s10067-004-0965-9&lt;/url&gt;&lt;/related-urls&gt;&lt;/urls&gt;&lt;electronic-resource-num&gt;10.1007/s10067-004-0965-9&lt;/electronic-resource-num&gt;&lt;/record&gt;&lt;/Cite&gt;&lt;/EndNote&gt;</w:instrText>
      </w:r>
      <w:r>
        <w:rPr>
          <w:rFonts w:ascii="Times New Roman" w:hAnsi="Times New Roman" w:cs="Times New Roman"/>
          <w:spacing w:val="4"/>
          <w:sz w:val="24"/>
          <w:szCs w:val="24"/>
          <w:shd w:val="clear" w:color="auto" w:fill="FCFCFC"/>
        </w:rPr>
        <w:fldChar w:fldCharType="separate"/>
      </w:r>
      <w:r>
        <w:rPr>
          <w:rFonts w:ascii="Times New Roman" w:hAnsi="Times New Roman" w:cs="Times New Roman"/>
          <w:spacing w:val="4"/>
          <w:sz w:val="24"/>
          <w:szCs w:val="24"/>
          <w:shd w:val="clear" w:color="auto" w:fill="FCFCFC"/>
        </w:rPr>
        <w:t>[</w:t>
      </w:r>
      <w:r>
        <w:t>12</w:t>
      </w:r>
      <w:r>
        <w:rPr>
          <w:rFonts w:ascii="Times New Roman" w:hAnsi="Times New Roman" w:cs="Times New Roman"/>
          <w:spacing w:val="4"/>
          <w:sz w:val="24"/>
          <w:szCs w:val="24"/>
          <w:shd w:val="clear" w:color="auto" w:fill="FCFCFC"/>
        </w:rPr>
        <w:t>]</w:t>
      </w:r>
      <w:r>
        <w:rPr>
          <w:rFonts w:ascii="Times New Roman" w:hAnsi="Times New Roman" w:cs="Times New Roman"/>
          <w:spacing w:val="4"/>
          <w:sz w:val="24"/>
          <w:szCs w:val="24"/>
          <w:shd w:val="clear" w:color="auto" w:fill="FCFCFC"/>
        </w:rPr>
        <w:fldChar w:fldCharType="end"/>
      </w:r>
      <w:r>
        <w:rPr>
          <w:rFonts w:ascii="Times New Roman" w:hAnsi="Times New Roman" w:cs="Times New Roman"/>
          <w:spacing w:val="4"/>
          <w:sz w:val="24"/>
          <w:szCs w:val="24"/>
          <w:shd w:val="clear" w:color="auto" w:fill="FCFCFC"/>
        </w:rPr>
        <w:t>. Another study</w:t>
      </w:r>
      <w:r>
        <w:rPr>
          <w:rFonts w:ascii="Times New Roman" w:hAnsi="Times New Roman" w:cs="Times New Roman"/>
          <w:sz w:val="24"/>
          <w:szCs w:val="24"/>
          <w:shd w:val="clear" w:color="auto" w:fill="FFFFFF"/>
        </w:rPr>
        <w:t xml:space="preserve"> used the SF-36 questionnaire to</w:t>
      </w:r>
      <w:r>
        <w:rPr>
          <w:rFonts w:ascii="Times New Roman" w:hAnsi="Times New Roman" w:cs="Times New Roman"/>
          <w:spacing w:val="4"/>
          <w:sz w:val="24"/>
          <w:szCs w:val="24"/>
          <w:shd w:val="clear" w:color="auto" w:fill="FCFCFC"/>
        </w:rPr>
        <w:t xml:space="preserve"> investigate quality of life among </w:t>
      </w:r>
      <w:r>
        <w:rPr>
          <w:rFonts w:ascii="Times New Roman" w:hAnsi="Times New Roman" w:cs="Times New Roman"/>
          <w:sz w:val="24"/>
          <w:szCs w:val="24"/>
          <w:shd w:val="clear" w:color="auto" w:fill="FFFFFF"/>
        </w:rPr>
        <w:t xml:space="preserve">151 </w:t>
      </w:r>
      <w:r>
        <w:rPr>
          <w:rFonts w:ascii="Times New Roman" w:hAnsi="Times New Roman" w:cs="Times New Roman"/>
          <w:spacing w:val="4"/>
          <w:sz w:val="24"/>
          <w:szCs w:val="24"/>
          <w:shd w:val="clear" w:color="auto" w:fill="FCFCFC"/>
        </w:rPr>
        <w:t xml:space="preserve">knee OA </w:t>
      </w:r>
      <w:r>
        <w:rPr>
          <w:rFonts w:ascii="Times New Roman" w:hAnsi="Times New Roman" w:cs="Times New Roman"/>
          <w:sz w:val="24"/>
          <w:szCs w:val="24"/>
          <w:shd w:val="clear" w:color="auto" w:fill="FFFFFF"/>
        </w:rPr>
        <w:t>patients aged 65–75 years in primary care clinics [</w:t>
      </w:r>
      <w:r>
        <w:rPr>
          <w:rFonts w:hint="eastAsia" w:ascii="Times New Roman" w:hAnsi="Times New Roman" w:cs="Times New Roman"/>
          <w:sz w:val="24"/>
          <w:szCs w:val="24"/>
          <w:shd w:val="clear" w:color="auto" w:fill="FFFFFF"/>
          <w:lang w:val="en-US" w:eastAsia="zh-CN"/>
        </w:rPr>
        <w:t>2</w:t>
      </w:r>
      <w:r>
        <w:rPr>
          <w:rFonts w:ascii="Times New Roman" w:hAnsi="Times New Roman" w:cs="Times New Roman"/>
          <w:sz w:val="24"/>
          <w:szCs w:val="24"/>
          <w:shd w:val="clear" w:color="auto" w:fill="FFFFFF"/>
        </w:rPr>
        <w:t>]. The cross sectional study revealed that OA patients who attend primary care clinics had poor quality of life</w:t>
      </w:r>
      <w:r>
        <w:rPr>
          <w:rFonts w:hint="eastAsia" w:ascii="Times New Roman" w:hAnsi="Times New Roman" w:cs="Times New Roman"/>
          <w:sz w:val="24"/>
          <w:szCs w:val="24"/>
          <w:shd w:val="clear" w:color="auto" w:fill="FFFFFF"/>
          <w:lang w:val="en-US" w:eastAsia="zh-CN"/>
        </w:rPr>
        <w:t xml:space="preserve"> due to OA with positive affects on ADL and mental health</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&lt;EndNote&gt;&lt;Cite&gt;&lt;Author&gt;Zakaria&lt;/Author&gt;&lt;Year&gt;2009&lt;/Year&gt;&lt;RecNum&gt;29&lt;/RecNum&gt;&lt;DisplayText&gt;[2]&lt;/DisplayText&gt;&lt;record&gt;&lt;rec-number&gt;29&lt;/rec-number&gt;&lt;foreign-keys&gt;&lt;key app="EN" db-id="0a5wfrxtxft0r0ezdr45v5efzsvxresfw2z0"&gt;29&lt;/key&gt;&lt;/foreign-keys&gt;&lt;ref-type name="Journal Article"&gt;17&lt;/ref-type&gt;&lt;contributors&gt;&lt;authors&gt;&lt;author&gt;Zakaria, Zainal F&lt;/author&gt;&lt;author&gt;Bakar, Azman A&lt;/author&gt;&lt;author&gt;Hasmoni, Hadzri M&lt;/author&gt;&lt;author&gt;Rani, Fauzi A&lt;/author&gt;&lt;author&gt;Kadir, Samiah A&lt;/author&gt;&lt;/authors&gt;&lt;/contributors&gt;&lt;titles&gt;&lt;title&gt;Health-related quality of life in patients with knee osteoarthritis attending two primary care clinics in Malaysia: a cross-sectional study&lt;/title&gt;&lt;secondary-title&gt;Asia Pacific family medicine&lt;/secondary-title&gt;&lt;/titles&gt;&lt;periodical&gt;&lt;full-title&gt;Asia Pacific family medicine&lt;/full-title&gt;&lt;/periodical&gt;&lt;pages&gt;10&lt;/pages&gt;&lt;volume&gt;8&lt;/volume&gt;&lt;number&gt;1&lt;/number&gt;&lt;dates&gt;&lt;year&gt;2009&lt;/year&gt;&lt;/dates&gt;&lt;isbn&gt;1447-056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"_ENREF_2" \o "Zakaria, 2009 #8" </w:instrText>
      </w:r>
      <w:r>
        <w:fldChar w:fldCharType="separate"/>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 xml:space="preserve">. </w:t>
      </w:r>
      <w:r>
        <w:rPr>
          <w:rFonts w:ascii="Times New Roman" w:hAnsi="Times New Roman" w:cs="Times New Roman"/>
          <w:sz w:val="24"/>
          <w:szCs w:val="24"/>
          <w:shd w:val="clear" w:color="auto" w:fill="FFFFFF"/>
        </w:rPr>
        <w:t xml:space="preserve">Another cohort study of 276 patients with severe knee OA and 228 patients with hip OA used the WOMAC questionnaire to measure pain and stiffness one month after knee and hip replacement procedures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&lt;EndNote&gt;&lt;Cite&gt;&lt;Author&gt;Jones&lt;/Author&gt;&lt;Year&gt;2000&lt;/Year&gt;&lt;RecNum&gt;30&lt;/RecNum&gt;&lt;DisplayText&gt;[19]&lt;/DisplayText&gt;&lt;record&gt;&lt;rec-number&gt;30&lt;/rec-number&gt;&lt;foreign-keys&gt;&lt;key app="EN" db-id="0a5wfrxtxft0r0ezdr45v5efzsvxresfw2z0"&gt;30&lt;/key&gt;&lt;/foreign-keys&gt;&lt;ref-type name="Journal Article"&gt;17&lt;/ref-type&gt;&lt;contributors&gt;&lt;authors&gt;&lt;author&gt;Jones, C ALLYSON&lt;/author&gt;&lt;author&gt;Voaklander, DONALD C&lt;/author&gt;&lt;author&gt;Johnston, DW&lt;/author&gt;&lt;author&gt;Suarez-Almazor, MARIA E&lt;/author&gt;&lt;/authors&gt;&lt;/contributors&gt;&lt;titles&gt;&lt;title&gt;Health related quality of life outcomes after total hip and knee arthroplasties in a community based population&lt;/title&gt;&lt;secondary-title&gt;The Journal of rheumatology&lt;/secondary-title&gt;&lt;/titles&gt;&lt;periodical&gt;&lt;full-title&gt;The Journal of Rheumatology&lt;/full-title&gt;&lt;/periodical&gt;&lt;pages&gt;1745-1752&lt;/pages&gt;&lt;volume&gt;27&lt;/volume&gt;&lt;number&gt;7&lt;/number&gt;&lt;dates&gt;&lt;year&gt;2000&lt;/year&gt;&lt;/dates&gt;&lt;isbn&gt;0315-162X&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16</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The findings indicated that pain and stiffness of the knee and hip were reduced following joint replacement, and that quality of life improved</w:t>
      </w:r>
      <w:r>
        <w:rPr>
          <w:rFonts w:ascii="Times New Roman" w:hAnsi="Times New Roman" w:cs="Times New Roman"/>
          <w:spacing w:val="4"/>
          <w:sz w:val="24"/>
          <w:szCs w:val="24"/>
          <w:shd w:val="clear" w:color="auto" w:fill="FCFCFC"/>
        </w:rPr>
        <w:t xml:space="preserve">. </w:t>
      </w:r>
      <w:r>
        <w:rPr>
          <w:rStyle w:val="15"/>
          <w:rFonts w:ascii="Times New Roman" w:hAnsi="Times New Roman" w:cs="Times New Roman"/>
          <w:color w:val="auto"/>
          <w:sz w:val="24"/>
          <w:szCs w:val="24"/>
          <w:u w:val="none"/>
          <w:shd w:val="clear" w:color="auto" w:fill="FFFFFF"/>
        </w:rPr>
        <w:t>Another</w:t>
      </w:r>
      <w:r>
        <w:rPr>
          <w:rFonts w:ascii="Times New Roman" w:hAnsi="Times New Roman" w:cs="Times New Roman"/>
          <w:sz w:val="24"/>
          <w:szCs w:val="24"/>
          <w:shd w:val="clear" w:color="auto" w:fill="FFFFFF"/>
        </w:rPr>
        <w:t xml:space="preserve"> cross-sectional study assessing quality of life in OA patients concluded that better treatment and exercise improve patients’ social, physical, and psychological status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&lt;EndNote&gt;&lt;Cite&gt;&lt;Author&gt;Jack Farr&lt;/Author&gt;&lt;Year&gt;2013&lt;/Year&gt;&lt;RecNum&gt;31&lt;/RecNum&gt;&lt;DisplayText&gt;[8]&lt;/DisplayText&gt;&lt;record&gt;&lt;rec-number&gt;31&lt;/rec-number&gt;&lt;foreign-keys&gt;&lt;key app="EN" db-id="0a5wfrxtxft0r0ezdr45v5efzsvxresfw2z0"&gt;31&lt;/key&gt;&lt;/foreign-keys&gt;&lt;ref-type name="Journal Article"&gt;17&lt;/ref-type&gt;&lt;contributors&gt;&lt;authors&gt;&lt;author&gt;Jack Farr, II&lt;/author&gt;&lt;author&gt;Miller, Larry E&lt;/author&gt;&lt;author&gt;Block, Jon E&lt;/author&gt;&lt;/authors&gt;&lt;/contributors&gt;&lt;titles&gt;&lt;title&gt;Quality of life in patients with knee osteoarthritis: a commentary on nonsurgical and surgical treatments&lt;/title&gt;&lt;secondary-title&gt;The open orthopaedics journal&lt;/secondary-title&gt;&lt;/titles&gt;&lt;periodical&gt;&lt;full-title&gt;The open orthopaedics journal&lt;/full-title&gt;&lt;/periodical&gt;&lt;pages&gt;619&lt;/pages&gt;&lt;volume&gt;7&lt;/volume&gt;&lt;dates&gt;&lt;year&gt;2013&lt;/year&gt;&lt;/dates&gt;&lt;urls&gt;&lt;/urls&gt;&lt;/record&gt;&lt;/Cite&gt;&lt;/EndNote&gt;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7</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pacing w:val="4"/>
          <w:sz w:val="24"/>
          <w:szCs w:val="24"/>
          <w:shd w:val="clear" w:color="auto" w:fill="FCFCFC"/>
        </w:rPr>
        <w:t>.</w:t>
      </w:r>
      <w:r>
        <w:rPr>
          <w:rFonts w:ascii="Times New Roman" w:hAnsi="Times New Roman" w:cs="Times New Roman"/>
          <w:sz w:val="24"/>
          <w:szCs w:val="24"/>
          <w:shd w:val="clear" w:color="auto" w:fill="FFFFFF"/>
        </w:rPr>
        <w:t xml:space="preserve"> Araujo et al.’s cross-sectional analysis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&lt;EndNote&gt;&lt;Cite&gt;&lt;Author&gt;Araujo&lt;/Author&gt;&lt;Year&gt;2016&lt;/Year&gt;&lt;RecNum&gt;33&lt;/RecNum&gt;&lt;DisplayText&gt;[9]&lt;/DisplayText&gt;&lt;record&gt;&lt;rec-number&gt;33&lt;/rec-number&gt;&lt;foreign-keys&gt;&lt;key app="EN" db-id="0a5wfrxtxft0r0ezdr45v5efzsvxresfw2z0"&gt;33&lt;/key&gt;&lt;/foreign-keys&gt;&lt;ref-type name="Journal Article"&gt;17&lt;/ref-type&gt;&lt;contributors&gt;&lt;authors&gt;&lt;author&gt;Araujo, Ivan Luis Andrade&lt;/author&gt;&lt;author&gt;Castro, Martha Cavalcante&lt;/author&gt;&lt;author&gt;Daltro, Carla&lt;/author&gt;&lt;author&gt;Matos, Marcos Almeida&lt;/author&gt;&lt;/authors&gt;&lt;/contributors&gt;&lt;titles&gt;&lt;title&gt;Quality of life and functional independence in patients with osteoarthritis of the knee&lt;/title&gt;&lt;secondary-title&gt;Knee surgery &amp;amp; related research&lt;/secondary-title&gt;&lt;/titles&gt;&lt;periodical&gt;&lt;full-title&gt;Knee surgery &amp;amp; related research&lt;/full-title&gt;&lt;/periodical&gt;&lt;pages&gt;219&lt;/pages&gt;&lt;volume&gt;28&lt;/volume&gt;&lt;number&gt;3&lt;/number&gt;&lt;dates&gt;&lt;year&gt;2016&lt;/year&gt;&lt;/dates&gt;&lt;urls&gt;&lt;/urls&gt;&lt;/record&gt;&lt;/Cite&gt;&lt;/EndNote&gt;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t>8</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concluded that functional independence positively affects quality of life. In their </w:t>
      </w:r>
      <w:r>
        <w:rPr>
          <w:rFonts w:ascii="Times New Roman" w:hAnsi="Times New Roman" w:eastAsia="Arial Unicode MS" w:cs="Times New Roman"/>
          <w:sz w:val="24"/>
          <w:szCs w:val="24"/>
          <w:shd w:val="clear" w:color="auto" w:fill="FFFFFF"/>
        </w:rPr>
        <w:t xml:space="preserve">comparative cross-sectional study, </w:t>
      </w:r>
      <w:r>
        <w:rPr>
          <w:rFonts w:ascii="Times New Roman" w:hAnsi="Times New Roman" w:cs="Times New Roman"/>
          <w:sz w:val="24"/>
          <w:szCs w:val="24"/>
          <w:shd w:val="clear" w:color="auto" w:fill="FFFFFF"/>
        </w:rPr>
        <w:t>Murillo</w:t>
      </w:r>
      <w:r>
        <w:rPr>
          <w:rFonts w:ascii="Times New Roman" w:hAnsi="Times New Roman" w:eastAsia="Arial Unicode MS" w:cs="Times New Roman"/>
          <w:sz w:val="24"/>
          <w:szCs w:val="24"/>
          <w:shd w:val="clear" w:color="auto" w:fill="FFFFFF"/>
        </w:rPr>
        <w:t xml:space="preserve"> et al. investigated how osteoarthritis and comorbidities including diabetes, hypertension, and end-stage renal conditions affected health and concluded that osteoarthritis requires greater consideration [17]. Another </w:t>
      </w:r>
      <w:r>
        <w:rPr>
          <w:rFonts w:ascii="Times New Roman" w:hAnsi="Times New Roman" w:cs="Times New Roman"/>
          <w:sz w:val="24"/>
          <w:szCs w:val="24"/>
          <w:shd w:val="clear" w:color="auto" w:fill="FFFFFF"/>
        </w:rPr>
        <w:t xml:space="preserve">study confirmed that joint anatomy is disrupted as the disease progresses, and that there is no cure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EN.CITE &lt;EndNote&gt;&lt;Cite&gt;&lt;Author&gt;Nunez&lt;/Author&gt;&lt;Year&gt;2007&lt;/Year&gt;&lt;RecNum&gt;35&lt;/RecNum&gt;&lt;DisplayText&gt;[21]&lt;/DisplayText&gt;&lt;record&gt;&lt;rec-number&gt;35&lt;/rec-number&gt;&lt;foreign-keys&gt;&lt;key app="EN" db-id="0a5wfrxtxft0r0ezdr45v5efzsvxresfw2z0"&gt;35&lt;/key&gt;&lt;/foreign-keys&gt;&lt;ref-type name="Journal Article"&gt;17&lt;/ref-type&gt;&lt;contributors&gt;&lt;authors&gt;&lt;author&gt;Nunez, M&lt;/author&gt;&lt;author&gt;Nunez, E&lt;/author&gt;&lt;author&gt;Segur, JM&lt;/author&gt;&lt;author&gt;Maculé, F&lt;/author&gt;&lt;author&gt;Sanchez, A&lt;/author&gt;&lt;author&gt;Hernández, Ma V&lt;/author&gt;&lt;author&gt;Vilalta, C&lt;/author&gt;&lt;/authors&gt;&lt;/contributors&gt;&lt;titles&gt;&lt;title&gt;Health-related quality of life and costs in patients with osteoarthritis on waiting list for total knee replacement&lt;/title&gt;&lt;secondary-title&gt;Osteoarthritis and cartilage&lt;/secondary-title&gt;&lt;/titles&gt;&lt;periodical&gt;&lt;full-title&gt;Osteoarthritis and cartilage&lt;/full-title&gt;&lt;/periodical&gt;&lt;pages&gt;258-265&lt;/pages&gt;&lt;volume&gt;15&lt;/volume&gt;&lt;number&gt;3&lt;/number&gt;&lt;dates&gt;&lt;year&gt;2007&lt;/year&gt;&lt;/dates&gt;&lt;isbn&gt;1063-4584&lt;/isbn&gt;&lt;urls&gt;&lt;/urls&gt;&lt;/record&gt;&lt;/Cite&gt;&lt;/EndNote&gt;</w:instrText>
      </w:r>
      <w:r>
        <w:rPr>
          <w:rFonts w:ascii="Times New Roman" w:hAnsi="Times New Roman" w:cs="Times New Roman"/>
          <w:sz w:val="24"/>
          <w:szCs w:val="24"/>
          <w:shd w:val="clear" w:color="auto" w:fill="FFFFFF"/>
        </w:rPr>
        <w:fldChar w:fldCharType="separate"/>
      </w:r>
      <w:r>
        <w:rPr>
          <w:rFonts w:ascii="Times New Roman" w:hAnsi="Times New Roman" w:cs="Times New Roman"/>
          <w:sz w:val="24"/>
          <w:szCs w:val="24"/>
          <w:shd w:val="clear" w:color="auto" w:fill="FFFFFF"/>
        </w:rPr>
        <w:t>[</w:t>
      </w:r>
      <w:r>
        <w:fldChar w:fldCharType="begin"/>
      </w:r>
      <w:r>
        <w:instrText xml:space="preserve"> HYPERLINK \l "_ENREF_21" \o "Nunez, 2007 #35" </w:instrText>
      </w:r>
      <w:r>
        <w:fldChar w:fldCharType="separate"/>
      </w: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In one randomized control trial </w:t>
      </w:r>
      <w:r>
        <w:rPr>
          <w:rFonts w:ascii="Times New Roman" w:hAnsi="Times New Roman" w:cs="Times New Roman"/>
          <w:sz w:val="24"/>
          <w:szCs w:val="24"/>
          <w:shd w:val="clear" w:color="auto" w:fill="FAFAFA"/>
        </w:rPr>
        <w:fldChar w:fldCharType="begin"/>
      </w:r>
      <w:r>
        <w:rPr>
          <w:rFonts w:ascii="Times New Roman" w:hAnsi="Times New Roman" w:cs="Times New Roman"/>
          <w:sz w:val="24"/>
          <w:szCs w:val="24"/>
          <w:shd w:val="clear" w:color="auto" w:fill="FAFAFA"/>
        </w:rPr>
        <w:instrText xml:space="preserve"> ADDIN EN.CITE &lt;EndNote&gt;&lt;Cite&gt;&lt;Author&gt;Nunez&lt;/Author&gt;&lt;Year&gt;2006&lt;/Year&gt;&lt;RecNum&gt;36&lt;/RecNum&gt;&lt;DisplayText&gt;[22]&lt;/DisplayText&gt;&lt;record&gt;&lt;rec-number&gt;36&lt;/rec-number&gt;&lt;foreign-keys&gt;&lt;key app="EN" db-id="0a5wfrxtxft0r0ezdr45v5efzsvxresfw2z0"&gt;36&lt;/key&gt;&lt;/foreign-keys&gt;&lt;ref-type name="Journal Article"&gt;17&lt;/ref-type&gt;&lt;contributors&gt;&lt;authors&gt;&lt;author&gt;Nunez, M&lt;/author&gt;&lt;author&gt;Nunez, E&lt;/author&gt;&lt;author&gt;Segur, JM&lt;/author&gt;&lt;author&gt;Macule, F&lt;/author&gt;&lt;author&gt;Quinto, L&lt;/author&gt;&lt;author&gt;Hernandez, MV&lt;/author&gt;&lt;author&gt;Vilalta, C&lt;/author&gt;&lt;/authors&gt;&lt;/contributors&gt;&lt;titles&gt;&lt;title&gt;The effect of an educational program to improve health-related quality of life in patients with osteoarthritis on waiting list for total knee replacement: a randomized study&lt;/title&gt;&lt;secondary-title&gt;Osteoarthritis and cartilage&lt;/secondary-title&gt;&lt;/titles&gt;&lt;periodical&gt;&lt;full-title&gt;Osteoarthritis and cartilage&lt;/full-title&gt;&lt;/periodical&gt;&lt;pages&gt;279-285&lt;/pages&gt;&lt;volume&gt;14&lt;/volume&gt;&lt;number&gt;3&lt;/number&gt;&lt;dates&gt;&lt;year&gt;2006&lt;/year&gt;&lt;/dates&gt;&lt;isbn&gt;1063-4584&lt;/isbn&gt;&lt;urls&gt;&lt;/urls&gt;&lt;/record&gt;&lt;/Cite&gt;&lt;/EndNote&gt;</w:instrText>
      </w:r>
      <w:r>
        <w:rPr>
          <w:rFonts w:ascii="Times New Roman" w:hAnsi="Times New Roman" w:cs="Times New Roman"/>
          <w:sz w:val="24"/>
          <w:szCs w:val="24"/>
          <w:shd w:val="clear" w:color="auto" w:fill="FAFAFA"/>
        </w:rPr>
        <w:fldChar w:fldCharType="separate"/>
      </w:r>
      <w:r>
        <w:rPr>
          <w:rFonts w:ascii="Times New Roman" w:hAnsi="Times New Roman" w:cs="Times New Roman"/>
          <w:sz w:val="24"/>
          <w:szCs w:val="24"/>
          <w:shd w:val="clear" w:color="auto" w:fill="FAFAFA"/>
        </w:rPr>
        <w:t>[</w:t>
      </w:r>
      <w:r>
        <w:t>18</w:t>
      </w:r>
      <w:r>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AFAFA"/>
        </w:rPr>
        <w:fldChar w:fldCharType="end"/>
      </w:r>
      <w:r>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FFFFF"/>
        </w:rPr>
        <w:t xml:space="preserve"> patients diagnosed with osteoarthritis and waiting for joint replacement were divided into two groups—one receiving both pharmacological treatment and</w:t>
      </w:r>
      <w:r>
        <w:rPr>
          <w:rFonts w:ascii="Helvetica" w:hAnsi="Helvetica" w:cs="Helvetica"/>
          <w:sz w:val="18"/>
          <w:szCs w:val="18"/>
          <w:shd w:val="clear" w:color="auto" w:fill="FAFAFA"/>
        </w:rPr>
        <w:t xml:space="preserve"> </w:t>
      </w:r>
      <w:r>
        <w:rPr>
          <w:rFonts w:ascii="Times New Roman" w:hAnsi="Times New Roman" w:cs="Times New Roman"/>
          <w:sz w:val="24"/>
          <w:szCs w:val="24"/>
          <w:shd w:val="clear" w:color="auto" w:fill="FAFAFA"/>
        </w:rPr>
        <w:t>therapeutic education on functional readaptation (TEFR), and the other receiving only pharmacological treatment. The findings indicated that the negative impact of osteoarthritis was substantially reduced in the former group.</w:t>
      </w:r>
    </w:p>
    <w:p>
      <w:pPr>
        <w:spacing w:line="480" w:lineRule="auto"/>
        <w:rPr>
          <w:rFonts w:ascii="Times New Roman" w:hAnsi="Times New Roman" w:cs="Times New Roman"/>
          <w:spacing w:val="4"/>
          <w:sz w:val="24"/>
          <w:szCs w:val="24"/>
          <w:shd w:val="clear" w:color="auto" w:fill="FCFCFC"/>
        </w:rPr>
      </w:pPr>
      <w:r>
        <w:rPr>
          <w:rFonts w:ascii="Times New Roman" w:hAnsi="Times New Roman" w:cs="Times New Roman"/>
          <w:sz w:val="24"/>
          <w:szCs w:val="24"/>
          <w:shd w:val="clear" w:color="auto" w:fill="FAFAFA"/>
        </w:rPr>
        <w:t>It seems clear from the literature review that OA of the knee joint impacts significantly on quality of life, and that patients in urban areas and those who understand the disease process exhibit good health-related activity levels. In the present study, the finding that results were the same in two urban areas (one more urbanized) indicates that greater awareness of osteoarthritis is needed in developing countries to improve health-related quality of life.</w:t>
      </w:r>
    </w:p>
    <w:p>
      <w:pPr>
        <w:spacing w:line="480" w:lineRule="auto"/>
        <w:rPr>
          <w:rFonts w:ascii="Times New Roman" w:hAnsi="Times New Roman" w:cs="Times New Roman"/>
          <w:sz w:val="28"/>
          <w:szCs w:val="28"/>
        </w:rPr>
      </w:pPr>
      <w:r>
        <w:rPr>
          <w:rFonts w:ascii="Times New Roman" w:hAnsi="Times New Roman" w:cs="Times New Roman"/>
          <w:b/>
          <w:sz w:val="28"/>
          <w:szCs w:val="28"/>
        </w:rPr>
        <w:t>METHODOLOGY</w:t>
      </w:r>
    </w:p>
    <w:p>
      <w:pPr>
        <w:spacing w:line="480" w:lineRule="auto"/>
        <w:rPr>
          <w:rFonts w:ascii="Times New Roman" w:hAnsi="Times New Roman" w:cs="Times New Roman"/>
          <w:b/>
          <w:sz w:val="24"/>
          <w:szCs w:val="24"/>
        </w:rPr>
      </w:pPr>
      <w:bookmarkStart w:id="4" w:name="OLE_LINK3"/>
      <w:r>
        <w:rPr>
          <w:rFonts w:ascii="Times New Roman" w:hAnsi="Times New Roman" w:cs="Times New Roman"/>
          <w:b/>
          <w:sz w:val="24"/>
          <w:szCs w:val="24"/>
        </w:rPr>
        <w:t>STUDY DESIGN</w:t>
      </w:r>
      <w:bookmarkEnd w:id="4"/>
      <w:r>
        <w:rPr>
          <w:rFonts w:ascii="Times New Roman" w:hAnsi="Times New Roman" w:cs="Times New Roman"/>
          <w:b/>
          <w:sz w:val="24"/>
          <w:szCs w:val="24"/>
        </w:rPr>
        <w:t xml:space="preserve">: </w:t>
      </w:r>
      <w:r>
        <w:rPr>
          <w:rFonts w:ascii="Times New Roman" w:hAnsi="Times New Roman" w:cs="Times New Roman"/>
          <w:sz w:val="24"/>
          <w:szCs w:val="24"/>
        </w:rPr>
        <w:t>Comparative cross-sectional</w:t>
      </w:r>
      <w:r>
        <w:rPr>
          <w:rFonts w:ascii="Times New Roman" w:hAnsi="Times New Roman" w:cs="Times New Roman"/>
          <w:b/>
          <w:sz w:val="24"/>
          <w:szCs w:val="24"/>
        </w:rPr>
        <w:t xml:space="preserve"> </w:t>
      </w:r>
      <w:r>
        <w:rPr>
          <w:rFonts w:ascii="Times New Roman" w:hAnsi="Times New Roman" w:cs="Times New Roman"/>
          <w:sz w:val="24"/>
          <w:szCs w:val="24"/>
        </w:rPr>
        <w:t>study</w:t>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STUDY AREA: </w:t>
      </w:r>
      <w:r>
        <w:rPr>
          <w:rFonts w:ascii="Times New Roman" w:hAnsi="Times New Roman" w:cs="Times New Roman"/>
          <w:sz w:val="24"/>
          <w:szCs w:val="24"/>
        </w:rPr>
        <w:t xml:space="preserve">Lahore (population 11,126,285) is Pakistan’s second largest city and is more urbanized than Sialkot, the country’s thirteenth largest city, which has a population of 655,852 (based on 2017 census figures). The prevalence of OA in urban areas of Pakistan is 28%; in rural areas, it is 25%. The centers selected for the purposes of this study were the </w:t>
      </w:r>
      <w:bookmarkStart w:id="5" w:name="OLE_LINK4"/>
      <w:r>
        <w:rPr>
          <w:rFonts w:ascii="Times New Roman" w:hAnsi="Times New Roman" w:cs="Times New Roman"/>
          <w:sz w:val="24"/>
          <w:szCs w:val="24"/>
        </w:rPr>
        <w:t>Government Sardar Baigum Hospital, Sialkot; the Government Khawaja Safdar Hospital, Sialkot; the Chauhdry Mohammed Akram Teaching and Research Hospital, Lahore; and the Saeed Orthopedic and Medical Center, Lahore.</w:t>
      </w:r>
    </w:p>
    <w:bookmarkEnd w:id="5"/>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STUDY DURATION: </w:t>
      </w:r>
      <w:r>
        <w:rPr>
          <w:rFonts w:ascii="Times New Roman" w:hAnsi="Times New Roman" w:cs="Times New Roman"/>
          <w:sz w:val="24"/>
          <w:szCs w:val="24"/>
        </w:rPr>
        <w:t>The study was completed during the six-month period from November 2018 to April 2019.</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SAMPLE SIZE: </w:t>
      </w:r>
      <w:r>
        <w:rPr>
          <w:rFonts w:ascii="Times New Roman" w:hAnsi="Times New Roman" w:cs="Times New Roman"/>
          <w:bCs/>
          <w:sz w:val="24"/>
          <w:szCs w:val="24"/>
        </w:rPr>
        <w:t>Of the 158 participating patients, 53 were male and 105 were female.</w:t>
      </w:r>
    </w:p>
    <w:p>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SAMPLING TECHNIQUE: </w:t>
      </w:r>
      <w:r>
        <w:rPr>
          <w:rFonts w:ascii="Times New Roman" w:hAnsi="Times New Roman" w:cs="Times New Roman"/>
          <w:sz w:val="24"/>
          <w:szCs w:val="24"/>
        </w:rPr>
        <w:t>Data were collected using convenience sampling.</w:t>
      </w:r>
    </w:p>
    <w:p>
      <w:pPr>
        <w:spacing w:line="480" w:lineRule="auto"/>
        <w:rPr>
          <w:rFonts w:ascii="Times New Roman" w:hAnsi="Times New Roman" w:cs="Times New Roman"/>
          <w:b/>
          <w:sz w:val="24"/>
          <w:szCs w:val="24"/>
        </w:rPr>
      </w:pPr>
      <w:r>
        <w:rPr>
          <w:rFonts w:ascii="Times New Roman" w:hAnsi="Times New Roman" w:cs="Times New Roman"/>
          <w:b/>
          <w:sz w:val="24"/>
          <w:szCs w:val="24"/>
        </w:rPr>
        <w:t>ELIGIBILITY CRITERIA:</w:t>
      </w:r>
    </w:p>
    <w:p>
      <w:pPr>
        <w:pStyle w:val="17"/>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Inclusion criteria:</w:t>
      </w:r>
    </w:p>
    <w:p>
      <w:pPr>
        <w:pStyle w:val="17"/>
        <w:spacing w:line="480" w:lineRule="auto"/>
        <w:rPr>
          <w:rFonts w:ascii="Times New Roman" w:hAnsi="Times New Roman" w:cs="Times New Roman"/>
          <w:sz w:val="24"/>
          <w:szCs w:val="24"/>
        </w:rPr>
      </w:pPr>
      <w:bookmarkStart w:id="6" w:name="OLE_LINK5"/>
      <w:r>
        <w:rPr>
          <w:rFonts w:ascii="Times New Roman" w:hAnsi="Times New Roman" w:cs="Times New Roman"/>
          <w:sz w:val="24"/>
          <w:szCs w:val="24"/>
        </w:rPr>
        <w:t>Diagnosis of knee OA (grade 3 or 4)</w:t>
      </w:r>
    </w:p>
    <w:p>
      <w:pPr>
        <w:pStyle w:val="17"/>
        <w:spacing w:line="480" w:lineRule="auto"/>
        <w:rPr>
          <w:rFonts w:ascii="Times New Roman" w:hAnsi="Times New Roman" w:cs="Times New Roman"/>
          <w:sz w:val="24"/>
          <w:szCs w:val="24"/>
        </w:rPr>
      </w:pPr>
      <w:r>
        <w:rPr>
          <w:rFonts w:ascii="Times New Roman" w:hAnsi="Times New Roman" w:cs="Times New Roman"/>
          <w:sz w:val="24"/>
          <w:szCs w:val="24"/>
        </w:rPr>
        <w:t>Age 40–80 yrs</w:t>
      </w:r>
      <w:bookmarkEnd w:id="6"/>
    </w:p>
    <w:p>
      <w:pPr>
        <w:pStyle w:val="17"/>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Exclusion criteria: </w:t>
      </w:r>
    </w:p>
    <w:p>
      <w:pPr>
        <w:pStyle w:val="17"/>
        <w:spacing w:line="480" w:lineRule="auto"/>
        <w:rPr>
          <w:rFonts w:ascii="Times New Roman" w:hAnsi="Times New Roman" w:cs="Times New Roman"/>
          <w:sz w:val="24"/>
          <w:szCs w:val="24"/>
          <w:lang w:eastAsia="zh-CN"/>
        </w:rPr>
      </w:pPr>
      <w:bookmarkStart w:id="7" w:name="OLE_LINK6"/>
      <w:r>
        <w:rPr>
          <w:rFonts w:ascii="Times New Roman" w:hAnsi="Times New Roman" w:cs="Times New Roman"/>
          <w:sz w:val="24"/>
          <w:szCs w:val="24"/>
        </w:rPr>
        <w:t>Any history of systemic disorder (e.g., rheumatoid arthritis, ankylosing spondylitis)</w:t>
      </w:r>
    </w:p>
    <w:p>
      <w:pPr>
        <w:pStyle w:val="17"/>
        <w:spacing w:line="480" w:lineRule="auto"/>
        <w:rPr>
          <w:rFonts w:ascii="Times New Roman" w:hAnsi="Times New Roman" w:cs="Times New Roman"/>
          <w:sz w:val="24"/>
          <w:szCs w:val="24"/>
          <w:lang w:eastAsia="zh-CN"/>
        </w:rPr>
      </w:pPr>
      <w:r>
        <w:rPr>
          <w:rFonts w:ascii="Times New Roman" w:hAnsi="Times New Roman" w:cs="Times New Roman"/>
          <w:sz w:val="24"/>
          <w:szCs w:val="24"/>
        </w:rPr>
        <w:t>Any history of malignancy</w:t>
      </w:r>
    </w:p>
    <w:p>
      <w:pPr>
        <w:pStyle w:val="17"/>
        <w:spacing w:line="480" w:lineRule="auto"/>
        <w:rPr>
          <w:rFonts w:ascii="Times New Roman" w:hAnsi="Times New Roman" w:cs="Times New Roman"/>
          <w:sz w:val="24"/>
          <w:szCs w:val="24"/>
          <w:lang w:eastAsia="zh-CN"/>
        </w:rPr>
      </w:pPr>
      <w:r>
        <w:rPr>
          <w:rFonts w:ascii="Times New Roman" w:hAnsi="Times New Roman" w:cs="Times New Roman"/>
          <w:sz w:val="24"/>
          <w:szCs w:val="24"/>
        </w:rPr>
        <w:t>History of trauma</w:t>
      </w:r>
    </w:p>
    <w:p>
      <w:pPr>
        <w:pStyle w:val="17"/>
        <w:spacing w:line="480" w:lineRule="auto"/>
        <w:rPr>
          <w:rFonts w:ascii="Times New Roman" w:hAnsi="Times New Roman" w:cs="Times New Roman"/>
          <w:sz w:val="24"/>
          <w:szCs w:val="24"/>
          <w:lang w:eastAsia="zh-CN"/>
        </w:rPr>
      </w:pPr>
      <w:r>
        <w:rPr>
          <w:rFonts w:ascii="Times New Roman" w:hAnsi="Times New Roman" w:cs="Times New Roman"/>
          <w:sz w:val="24"/>
          <w:szCs w:val="24"/>
        </w:rPr>
        <w:t>Previous knee surgery</w:t>
      </w:r>
    </w:p>
    <w:p>
      <w:pPr>
        <w:pStyle w:val="17"/>
        <w:spacing w:line="480" w:lineRule="auto"/>
        <w:rPr>
          <w:rFonts w:ascii="Times New Roman" w:hAnsi="Times New Roman" w:cs="Times New Roman"/>
          <w:sz w:val="24"/>
          <w:szCs w:val="24"/>
          <w:lang w:eastAsia="zh-CN"/>
        </w:rPr>
      </w:pPr>
      <w:r>
        <w:rPr>
          <w:rFonts w:ascii="Times New Roman" w:hAnsi="Times New Roman" w:cs="Times New Roman"/>
          <w:sz w:val="24"/>
          <w:szCs w:val="24"/>
        </w:rPr>
        <w:t>Congenital musculoskeletal deformity (e.g., scoliosis, kyphosis</w:t>
      </w:r>
      <w:r>
        <w:rPr>
          <w:rFonts w:ascii="Times New Roman" w:hAnsi="Times New Roman" w:cs="Times New Roman"/>
          <w:sz w:val="24"/>
          <w:szCs w:val="24"/>
          <w:lang w:eastAsia="zh-CN"/>
        </w:rPr>
        <w:t>)</w:t>
      </w:r>
    </w:p>
    <w:bookmarkEnd w:id="7"/>
    <w:p>
      <w:pPr>
        <w:spacing w:line="480" w:lineRule="auto"/>
        <w:rPr>
          <w:rFonts w:ascii="Times New Roman" w:hAnsi="Times New Roman" w:cs="Times New Roman"/>
          <w:sz w:val="24"/>
          <w:szCs w:val="24"/>
        </w:rPr>
      </w:pPr>
      <w:r>
        <w:rPr>
          <w:rFonts w:ascii="Times New Roman" w:hAnsi="Times New Roman" w:cs="Times New Roman"/>
          <w:b/>
          <w:sz w:val="24"/>
          <w:szCs w:val="24"/>
        </w:rPr>
        <w:t xml:space="preserve">DATA COLLECTION TOOL: </w:t>
      </w:r>
      <w:r>
        <w:rPr>
          <w:rFonts w:ascii="Times New Roman" w:hAnsi="Times New Roman" w:cs="Times New Roman"/>
          <w:sz w:val="24"/>
          <w:szCs w:val="24"/>
        </w:rPr>
        <w:t>SF-12 questionnaire</w:t>
      </w:r>
    </w:p>
    <w:p>
      <w:pPr>
        <w:spacing w:line="480" w:lineRule="auto"/>
        <w:rPr>
          <w:rFonts w:ascii="Times New Roman" w:hAnsi="Times New Roman" w:cs="Times New Roman"/>
          <w:sz w:val="24"/>
          <w:szCs w:val="24"/>
        </w:rPr>
      </w:pPr>
      <w:r>
        <w:rPr>
          <w:rFonts w:ascii="Times New Roman" w:hAnsi="Times New Roman" w:cs="Times New Roman"/>
          <w:b/>
          <w:sz w:val="24"/>
          <w:szCs w:val="24"/>
        </w:rPr>
        <w:t>DATA COLLECTION PROCEDURE</w:t>
      </w:r>
      <w:r>
        <w:rPr>
          <w:rFonts w:ascii="Times New Roman" w:hAnsi="Times New Roman" w:cs="Times New Roman"/>
          <w:sz w:val="24"/>
          <w:szCs w:val="24"/>
        </w:rPr>
        <w:t xml:space="preserve">: Comparative cross-sectional study, using convenience sampling to recruit older patients according to the inclusion criteria of participating Government and private hospitals and clinics in Lahore and Sialkot. The researcher remained anonymous, and all data were collected in a single session. After giving informed consent, patients were asked to complete the SF-12 V2 questionnaire to measure health-related quality of life. </w:t>
      </w:r>
    </w:p>
    <w:p>
      <w:pPr>
        <w:spacing w:line="480" w:lineRule="auto"/>
        <w:rPr>
          <w:rFonts w:ascii="Times New Roman" w:hAnsi="Times New Roman" w:cs="Times New Roman"/>
          <w:b/>
          <w:sz w:val="24"/>
          <w:szCs w:val="24"/>
        </w:rPr>
      </w:pPr>
      <w:r>
        <w:rPr>
          <w:rFonts w:ascii="Times New Roman" w:hAnsi="Times New Roman" w:cs="Times New Roman"/>
          <w:b/>
          <w:sz w:val="24"/>
          <w:szCs w:val="24"/>
        </w:rPr>
        <w:t>STATISTICAL PROCEDURE:</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SPSS 12 was used for data analysis, based on chi square and independent sample t-tests. </w:t>
      </w:r>
    </w:p>
    <w:p>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OPERATIONAL DEFINITION:</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12 items of the</w:t>
      </w:r>
      <w:r>
        <w:rPr>
          <w:rFonts w:ascii="Times New Roman" w:hAnsi="Times New Roman" w:cs="Times New Roman"/>
          <w:b/>
          <w:sz w:val="24"/>
          <w:szCs w:val="24"/>
          <w:shd w:val="clear" w:color="auto" w:fill="FFFFFF"/>
        </w:rPr>
        <w:t xml:space="preserve"> SF-12V2 </w:t>
      </w:r>
      <w:r>
        <w:rPr>
          <w:rFonts w:ascii="Times New Roman" w:hAnsi="Times New Roman" w:cs="Times New Roman"/>
          <w:sz w:val="24"/>
          <w:szCs w:val="24"/>
          <w:shd w:val="clear" w:color="auto" w:fill="FFFFFF"/>
        </w:rPr>
        <w:t>questionnaire address four issues: general health, mental stress, disturbance of ADL, and social activity. (SF-12 v2 is the short form of SF-36.) Individual scoring is based on the following formula:</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Transformation of score = actual raw score – lowest possible raw score * 100</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Possible raw score </w:t>
      </w:r>
    </w:p>
    <w:p>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Validity/reliability of SF-12v2 is </w:t>
      </w:r>
      <w:r>
        <w:rPr>
          <w:rFonts w:ascii="Times New Roman" w:hAnsi="Times New Roman" w:cs="Times New Roman"/>
          <w:b/>
          <w:sz w:val="24"/>
          <w:szCs w:val="24"/>
          <w:shd w:val="clear" w:color="auto" w:fill="FFFFFF"/>
        </w:rPr>
        <w:t>0.93–0.96.</w:t>
      </w:r>
    </w:p>
    <w:p>
      <w:pPr>
        <w:rPr>
          <w:rFonts w:ascii="Times New Roman" w:hAnsi="Times New Roman" w:cs="Times New Roman"/>
          <w:b/>
          <w:bCs/>
          <w:sz w:val="24"/>
          <w:szCs w:val="24"/>
          <w:shd w:val="clear" w:color="auto" w:fill="FFFFFF"/>
        </w:rPr>
      </w:pPr>
    </w:p>
    <w:p>
      <w:pPr>
        <w:rPr>
          <w:rFonts w:ascii="Times New Roman" w:hAnsi="Times New Roman" w:cs="Times New Roman"/>
          <w:b/>
          <w:sz w:val="28"/>
          <w:szCs w:val="28"/>
          <w:shd w:val="clear" w:color="auto" w:fill="FFFFFF"/>
        </w:rPr>
      </w:pPr>
      <w:r>
        <w:rPr>
          <w:rFonts w:ascii="Times New Roman" w:hAnsi="Times New Roman" w:cs="Times New Roman"/>
          <w:b/>
          <w:bCs/>
          <w:sz w:val="28"/>
          <w:szCs w:val="28"/>
          <w:shd w:val="clear" w:color="auto" w:fill="FFFFFF"/>
        </w:rPr>
        <w:t>ETHICAL ISSUES</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Permission secured from hospital authorities and departments </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Consent form ensuring participants’ privacy </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Ethical standards maintained throughout </w:t>
      </w:r>
    </w:p>
    <w:p>
      <w:pPr>
        <w:spacing w:line="240" w:lineRule="auto"/>
        <w:rPr>
          <w:rFonts w:ascii="Times New Roman" w:hAnsi="Times New Roman" w:cs="Times New Roman"/>
          <w:b/>
          <w:color w:val="000000"/>
          <w:sz w:val="28"/>
          <w:szCs w:val="28"/>
          <w:shd w:val="clear" w:color="auto" w:fill="FFFFFF"/>
        </w:rPr>
      </w:pPr>
    </w:p>
    <w:p>
      <w:p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RESULTS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Of 158 knee OA patients who participated in the study (53 male and 105 female), participants were drawn equally from Lahore and Sialkot (79 from each city), with a mean age of 48.53 years (see Tables 1 and 2). </w:t>
      </w: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1</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w:t>
      </w:r>
      <w:r>
        <w:rPr>
          <w:rFonts w:ascii="Times New Roman" w:hAnsi="Times New Roman" w:eastAsia="Times New Roman" w:cs="Times New Roman"/>
          <w:b w:val="0"/>
          <w:bCs w:val="0"/>
          <w:color w:val="auto"/>
          <w:sz w:val="24"/>
          <w:szCs w:val="24"/>
        </w:rPr>
        <w:t>Socio-demographic profile (qualitative variables)</w:t>
      </w:r>
    </w:p>
    <w:tbl>
      <w:tblPr>
        <w:tblStyle w:val="12"/>
        <w:tblW w:w="8171" w:type="dxa"/>
        <w:tblInd w:w="93" w:type="dxa"/>
        <w:tblLayout w:type="fixed"/>
        <w:tblCellMar>
          <w:top w:w="0" w:type="dxa"/>
          <w:left w:w="108" w:type="dxa"/>
          <w:bottom w:w="0" w:type="dxa"/>
          <w:right w:w="108" w:type="dxa"/>
        </w:tblCellMar>
      </w:tblPr>
      <w:tblGrid>
        <w:gridCol w:w="1641"/>
        <w:gridCol w:w="2188"/>
        <w:gridCol w:w="2120"/>
        <w:gridCol w:w="2222"/>
      </w:tblGrid>
      <w:tr>
        <w:tblPrEx>
          <w:tblCellMar>
            <w:top w:w="0" w:type="dxa"/>
            <w:left w:w="108" w:type="dxa"/>
            <w:bottom w:w="0" w:type="dxa"/>
            <w:right w:w="108" w:type="dxa"/>
          </w:tblCellMar>
        </w:tblPrEx>
        <w:trPr>
          <w:trHeight w:val="1339" w:hRule="atLeast"/>
        </w:trPr>
        <w:tc>
          <w:tcPr>
            <w:tcW w:w="3829" w:type="dxa"/>
            <w:gridSpan w:val="2"/>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Variable</w:t>
            </w:r>
          </w:p>
        </w:tc>
        <w:tc>
          <w:tcPr>
            <w:tcW w:w="212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Frequency</w:t>
            </w:r>
          </w:p>
        </w:tc>
        <w:tc>
          <w:tcPr>
            <w:tcW w:w="2222"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Percentage</w:t>
            </w:r>
          </w:p>
        </w:tc>
      </w:tr>
      <w:tr>
        <w:tblPrEx>
          <w:tblCellMar>
            <w:top w:w="0" w:type="dxa"/>
            <w:left w:w="108" w:type="dxa"/>
            <w:bottom w:w="0" w:type="dxa"/>
            <w:right w:w="108" w:type="dxa"/>
          </w:tblCellMar>
        </w:tblPrEx>
        <w:trPr>
          <w:trHeight w:val="505" w:hRule="atLeast"/>
        </w:trPr>
        <w:tc>
          <w:tcPr>
            <w:tcW w:w="1641"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Gender</w:t>
            </w: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Male</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33.5</w:t>
            </w:r>
          </w:p>
        </w:tc>
      </w:tr>
      <w:tr>
        <w:tblPrEx>
          <w:tblCellMar>
            <w:top w:w="0" w:type="dxa"/>
            <w:left w:w="108" w:type="dxa"/>
            <w:bottom w:w="0" w:type="dxa"/>
            <w:right w:w="108" w:type="dxa"/>
          </w:tblCellMar>
        </w:tblPrEx>
        <w:trPr>
          <w:trHeight w:val="505" w:hRule="atLeast"/>
        </w:trPr>
        <w:tc>
          <w:tcPr>
            <w:tcW w:w="1641"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Female</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66.5</w:t>
            </w:r>
          </w:p>
        </w:tc>
      </w:tr>
      <w:tr>
        <w:tblPrEx>
          <w:tblCellMar>
            <w:top w:w="0" w:type="dxa"/>
            <w:left w:w="108" w:type="dxa"/>
            <w:bottom w:w="0" w:type="dxa"/>
            <w:right w:w="108" w:type="dxa"/>
          </w:tblCellMar>
        </w:tblPrEx>
        <w:trPr>
          <w:trHeight w:val="505" w:hRule="atLeast"/>
        </w:trPr>
        <w:tc>
          <w:tcPr>
            <w:tcW w:w="1641"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City</w:t>
            </w: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Lahore</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50.0</w:t>
            </w:r>
          </w:p>
        </w:tc>
      </w:tr>
      <w:tr>
        <w:tblPrEx>
          <w:tblCellMar>
            <w:top w:w="0" w:type="dxa"/>
            <w:left w:w="108" w:type="dxa"/>
            <w:bottom w:w="0" w:type="dxa"/>
            <w:right w:w="108" w:type="dxa"/>
          </w:tblCellMar>
        </w:tblPrEx>
        <w:trPr>
          <w:trHeight w:val="505" w:hRule="atLeast"/>
        </w:trPr>
        <w:tc>
          <w:tcPr>
            <w:tcW w:w="1641"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p>
        </w:tc>
        <w:tc>
          <w:tcPr>
            <w:tcW w:w="218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Sialkot</w:t>
            </w:r>
          </w:p>
        </w:tc>
        <w:tc>
          <w:tcPr>
            <w:tcW w:w="21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222"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50.0</w:t>
            </w:r>
          </w:p>
        </w:tc>
      </w:tr>
    </w:tbl>
    <w:p>
      <w:pPr>
        <w:rPr>
          <w:rFonts w:ascii="Times New Roman" w:hAnsi="Times New Roman" w:eastAsia="Calibri" w:cs="Times New Roman"/>
          <w:color w:val="000000"/>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2</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w:t>
      </w:r>
      <w:r>
        <w:rPr>
          <w:rFonts w:ascii="Times New Roman" w:hAnsi="Times New Roman" w:eastAsia="Times New Roman" w:cs="Times New Roman"/>
          <w:b w:val="0"/>
          <w:bCs w:val="0"/>
          <w:color w:val="auto"/>
          <w:sz w:val="24"/>
          <w:szCs w:val="24"/>
        </w:rPr>
        <w:t>Socio-demographic profile (quantitative variables)</w:t>
      </w:r>
    </w:p>
    <w:tbl>
      <w:tblPr>
        <w:tblStyle w:val="12"/>
        <w:tblW w:w="7989" w:type="dxa"/>
        <w:tblInd w:w="93" w:type="dxa"/>
        <w:tblLayout w:type="fixed"/>
        <w:tblCellMar>
          <w:top w:w="0" w:type="dxa"/>
          <w:left w:w="108" w:type="dxa"/>
          <w:bottom w:w="0" w:type="dxa"/>
          <w:right w:w="108" w:type="dxa"/>
        </w:tblCellMar>
      </w:tblPr>
      <w:tblGrid>
        <w:gridCol w:w="1536"/>
        <w:gridCol w:w="1598"/>
        <w:gridCol w:w="1659"/>
        <w:gridCol w:w="1598"/>
        <w:gridCol w:w="1598"/>
      </w:tblGrid>
      <w:tr>
        <w:tblPrEx>
          <w:tblCellMar>
            <w:top w:w="0" w:type="dxa"/>
            <w:left w:w="108" w:type="dxa"/>
            <w:bottom w:w="0" w:type="dxa"/>
            <w:right w:w="108" w:type="dxa"/>
          </w:tblCellMar>
        </w:tblPrEx>
        <w:trPr>
          <w:trHeight w:val="972" w:hRule="atLeast"/>
        </w:trPr>
        <w:tc>
          <w:tcPr>
            <w:tcW w:w="1536"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Age</w:t>
            </w:r>
          </w:p>
        </w:tc>
        <w:tc>
          <w:tcPr>
            <w:tcW w:w="159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Minimum</w:t>
            </w:r>
          </w:p>
        </w:tc>
        <w:tc>
          <w:tcPr>
            <w:tcW w:w="1659"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Maximum</w:t>
            </w:r>
          </w:p>
        </w:tc>
        <w:tc>
          <w:tcPr>
            <w:tcW w:w="159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Mean</w:t>
            </w:r>
          </w:p>
        </w:tc>
        <w:tc>
          <w:tcPr>
            <w:tcW w:w="159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SD</w:t>
            </w:r>
          </w:p>
        </w:tc>
      </w:tr>
      <w:tr>
        <w:tblPrEx>
          <w:tblCellMar>
            <w:top w:w="0" w:type="dxa"/>
            <w:left w:w="108" w:type="dxa"/>
            <w:bottom w:w="0" w:type="dxa"/>
            <w:right w:w="108" w:type="dxa"/>
          </w:tblCellMar>
        </w:tblPrEx>
        <w:trPr>
          <w:trHeight w:val="972" w:hRule="atLeast"/>
        </w:trPr>
        <w:tc>
          <w:tcPr>
            <w:tcW w:w="153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color w:val="000000"/>
                <w:sz w:val="24"/>
                <w:szCs w:val="24"/>
              </w:rPr>
            </w:pPr>
          </w:p>
        </w:tc>
        <w:tc>
          <w:tcPr>
            <w:tcW w:w="159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41.00</w:t>
            </w:r>
          </w:p>
        </w:tc>
        <w:tc>
          <w:tcPr>
            <w:tcW w:w="1659"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80.00</w:t>
            </w:r>
          </w:p>
        </w:tc>
        <w:tc>
          <w:tcPr>
            <w:tcW w:w="159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48.53</w:t>
            </w:r>
          </w:p>
        </w:tc>
        <w:tc>
          <w:tcPr>
            <w:tcW w:w="159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10.36</w:t>
            </w:r>
          </w:p>
        </w:tc>
      </w:tr>
    </w:tbl>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Tables 3, 4 and 5 summarize responses to the </w:t>
      </w:r>
      <w:r>
        <w:rPr>
          <w:rFonts w:ascii="Times New Roman" w:hAnsi="Times New Roman" w:cs="Times New Roman"/>
          <w:b/>
          <w:sz w:val="24"/>
          <w:szCs w:val="24"/>
          <w:shd w:val="clear" w:color="auto" w:fill="FFFFFF"/>
        </w:rPr>
        <w:t xml:space="preserve">SF-12V2 </w:t>
      </w:r>
      <w:r>
        <w:rPr>
          <w:rFonts w:ascii="Times New Roman" w:hAnsi="Times New Roman" w:cs="Times New Roman"/>
          <w:sz w:val="24"/>
          <w:szCs w:val="24"/>
          <w:shd w:val="clear" w:color="auto" w:fill="FFFFFF"/>
        </w:rPr>
        <w:t>questionnaire.</w:t>
      </w: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3</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w:t>
      </w:r>
      <w:r>
        <w:rPr>
          <w:rFonts w:ascii="Times New Roman" w:hAnsi="Times New Roman" w:cs="Times New Roman"/>
          <w:b w:val="0"/>
          <w:sz w:val="24"/>
          <w:szCs w:val="24"/>
          <w:shd w:val="clear" w:color="auto" w:fill="FFFFFF"/>
        </w:rPr>
        <w:t>SF-12V2 r</w:t>
      </w:r>
      <w:r>
        <w:rPr>
          <w:rFonts w:ascii="Times New Roman" w:hAnsi="Times New Roman" w:eastAsia="Times New Roman" w:cs="Times New Roman"/>
          <w:b w:val="0"/>
          <w:bCs w:val="0"/>
          <w:color w:val="auto"/>
          <w:sz w:val="24"/>
          <w:szCs w:val="24"/>
        </w:rPr>
        <w:t>esponses: General health</w:t>
      </w:r>
    </w:p>
    <w:tbl>
      <w:tblPr>
        <w:tblStyle w:val="12"/>
        <w:tblW w:w="9412" w:type="dxa"/>
        <w:tblInd w:w="93" w:type="dxa"/>
        <w:tblLayout w:type="fixed"/>
        <w:tblCellMar>
          <w:top w:w="0" w:type="dxa"/>
          <w:left w:w="108" w:type="dxa"/>
          <w:bottom w:w="0" w:type="dxa"/>
          <w:right w:w="108" w:type="dxa"/>
        </w:tblCellMar>
      </w:tblPr>
      <w:tblGrid>
        <w:gridCol w:w="1280"/>
        <w:gridCol w:w="1860"/>
        <w:gridCol w:w="1300"/>
        <w:gridCol w:w="1540"/>
        <w:gridCol w:w="1236"/>
        <w:gridCol w:w="1236"/>
        <w:gridCol w:w="960"/>
      </w:tblGrid>
      <w:tr>
        <w:tblPrEx>
          <w:tblCellMar>
            <w:top w:w="0" w:type="dxa"/>
            <w:left w:w="108" w:type="dxa"/>
            <w:bottom w:w="0" w:type="dxa"/>
            <w:right w:w="108" w:type="dxa"/>
          </w:tblCellMar>
        </w:tblPrEx>
        <w:trPr>
          <w:trHeight w:val="855" w:hRule="atLeast"/>
        </w:trPr>
        <w:tc>
          <w:tcPr>
            <w:tcW w:w="1280"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General </w:t>
            </w:r>
          </w:p>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Health</w:t>
            </w:r>
          </w:p>
        </w:tc>
        <w:tc>
          <w:tcPr>
            <w:tcW w:w="7172" w:type="dxa"/>
            <w:gridSpan w:val="5"/>
            <w:tcBorders>
              <w:top w:val="single" w:color="auto" w:sz="4" w:space="0"/>
              <w:left w:val="nil"/>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In general, would you say your health is</w:t>
            </w:r>
          </w:p>
        </w:tc>
        <w:tc>
          <w:tcPr>
            <w:tcW w:w="960"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p-value</w:t>
            </w:r>
          </w:p>
        </w:tc>
      </w:tr>
      <w:tr>
        <w:tblPrEx>
          <w:tblCellMar>
            <w:top w:w="0" w:type="dxa"/>
            <w:left w:w="108" w:type="dxa"/>
            <w:bottom w:w="0" w:type="dxa"/>
            <w:right w:w="108" w:type="dxa"/>
          </w:tblCellMar>
        </w:tblPrEx>
        <w:trPr>
          <w:trHeight w:val="615" w:hRule="atLeast"/>
        </w:trPr>
        <w:tc>
          <w:tcPr>
            <w:tcW w:w="128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860"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Excellent</w:t>
            </w:r>
          </w:p>
        </w:tc>
        <w:tc>
          <w:tcPr>
            <w:tcW w:w="1300"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Very good</w:t>
            </w:r>
          </w:p>
        </w:tc>
        <w:tc>
          <w:tcPr>
            <w:tcW w:w="1540"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Good</w:t>
            </w:r>
          </w:p>
        </w:tc>
        <w:tc>
          <w:tcPr>
            <w:tcW w:w="123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Fair</w:t>
            </w:r>
          </w:p>
        </w:tc>
        <w:tc>
          <w:tcPr>
            <w:tcW w:w="123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Poor</w:t>
            </w: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rPr>
          <w:trHeight w:val="600" w:hRule="atLeast"/>
        </w:trPr>
        <w:tc>
          <w:tcPr>
            <w:tcW w:w="128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86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12(15.2%)</w:t>
            </w:r>
          </w:p>
        </w:tc>
        <w:tc>
          <w:tcPr>
            <w:tcW w:w="15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0.57</w:t>
            </w:r>
          </w:p>
        </w:tc>
      </w:tr>
      <w:tr>
        <w:tblPrEx>
          <w:tblCellMar>
            <w:top w:w="0" w:type="dxa"/>
            <w:left w:w="108" w:type="dxa"/>
            <w:bottom w:w="0" w:type="dxa"/>
            <w:right w:w="108" w:type="dxa"/>
          </w:tblCellMar>
        </w:tblPrEx>
        <w:trPr>
          <w:trHeight w:val="600" w:hRule="atLeast"/>
        </w:trPr>
        <w:tc>
          <w:tcPr>
            <w:tcW w:w="128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n=79</w:t>
            </w:r>
          </w:p>
        </w:tc>
        <w:tc>
          <w:tcPr>
            <w:tcW w:w="186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3(3.8%)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5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23(29.1%)</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28(35.4%)</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8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n=158</w:t>
            </w:r>
          </w:p>
        </w:tc>
        <w:tc>
          <w:tcPr>
            <w:tcW w:w="186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9(5.7%)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22(13.9%)</w:t>
            </w:r>
          </w:p>
        </w:tc>
        <w:tc>
          <w:tcPr>
            <w:tcW w:w="15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49(31%)</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54(34.2%)</w:t>
            </w:r>
          </w:p>
        </w:tc>
        <w:tc>
          <w:tcPr>
            <w:tcW w:w="123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24(15.2%)</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bl>
    <w:p>
      <w:pPr>
        <w:rPr>
          <w:rFonts w:ascii="Times New Roman" w:hAnsi="Times New Roman" w:eastAsia="Calibri" w:cs="Times New Roman"/>
          <w:color w:val="000000"/>
          <w:sz w:val="24"/>
          <w:szCs w:val="24"/>
        </w:rPr>
      </w:pPr>
    </w:p>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4</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w:t>
      </w:r>
      <w:r>
        <w:rPr>
          <w:rFonts w:ascii="Times New Roman" w:hAnsi="Times New Roman" w:cs="Times New Roman"/>
          <w:b w:val="0"/>
          <w:sz w:val="24"/>
          <w:szCs w:val="24"/>
          <w:shd w:val="clear" w:color="auto" w:fill="FFFFFF"/>
        </w:rPr>
        <w:t>SF-12V2 r</w:t>
      </w:r>
      <w:r>
        <w:rPr>
          <w:rFonts w:ascii="Times New Roman" w:hAnsi="Times New Roman" w:eastAsia="Times New Roman" w:cs="Times New Roman"/>
          <w:b w:val="0"/>
          <w:bCs w:val="0"/>
          <w:color w:val="auto"/>
          <w:sz w:val="24"/>
          <w:szCs w:val="24"/>
        </w:rPr>
        <w:t>esponses: Activities of daily living</w:t>
      </w:r>
    </w:p>
    <w:tbl>
      <w:tblPr>
        <w:tblStyle w:val="12"/>
        <w:tblW w:w="9122" w:type="dxa"/>
        <w:tblInd w:w="93" w:type="dxa"/>
        <w:tblLayout w:type="fixed"/>
        <w:tblCellMar>
          <w:top w:w="0" w:type="dxa"/>
          <w:left w:w="108" w:type="dxa"/>
          <w:bottom w:w="0" w:type="dxa"/>
          <w:right w:w="108" w:type="dxa"/>
        </w:tblCellMar>
      </w:tblPr>
      <w:tblGrid>
        <w:gridCol w:w="1682"/>
        <w:gridCol w:w="2445"/>
        <w:gridCol w:w="1708"/>
        <w:gridCol w:w="2024"/>
        <w:gridCol w:w="1263"/>
      </w:tblGrid>
      <w:tr>
        <w:tblPrEx>
          <w:tblCellMar>
            <w:top w:w="0" w:type="dxa"/>
            <w:left w:w="108" w:type="dxa"/>
            <w:bottom w:w="0" w:type="dxa"/>
            <w:right w:w="108" w:type="dxa"/>
          </w:tblCellMar>
        </w:tblPrEx>
        <w:trPr>
          <w:trHeight w:val="617" w:hRule="atLeast"/>
        </w:trPr>
        <w:tc>
          <w:tcPr>
            <w:tcW w:w="168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ADL</w:t>
            </w:r>
          </w:p>
        </w:tc>
        <w:tc>
          <w:tcPr>
            <w:tcW w:w="2445"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Limited a lot</w:t>
            </w:r>
          </w:p>
        </w:tc>
        <w:tc>
          <w:tcPr>
            <w:tcW w:w="1708"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Limited a little</w:t>
            </w:r>
          </w:p>
        </w:tc>
        <w:tc>
          <w:tcPr>
            <w:tcW w:w="2024"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Not limited</w:t>
            </w:r>
          </w:p>
        </w:tc>
        <w:tc>
          <w:tcPr>
            <w:tcW w:w="1263"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p-value</w:t>
            </w:r>
          </w:p>
        </w:tc>
      </w:tr>
      <w:tr>
        <w:tblPrEx>
          <w:tblCellMar>
            <w:top w:w="0" w:type="dxa"/>
            <w:left w:w="108" w:type="dxa"/>
            <w:bottom w:w="0" w:type="dxa"/>
            <w:right w:w="108" w:type="dxa"/>
          </w:tblCellMar>
        </w:tblPrEx>
        <w:trPr>
          <w:trHeight w:val="802" w:hRule="atLeast"/>
        </w:trPr>
        <w:tc>
          <w:tcPr>
            <w:tcW w:w="9122" w:type="dxa"/>
            <w:gridSpan w:val="5"/>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Limitations in moderate activities (e.g., moving a table, pushing a vacuum cleaner, bowling, playing golf)</w:t>
            </w:r>
          </w:p>
        </w:tc>
      </w:tr>
      <w:tr>
        <w:tblPrEx>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2445"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70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43(54.4%)</w:t>
            </w:r>
          </w:p>
        </w:tc>
        <w:tc>
          <w:tcPr>
            <w:tcW w:w="202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12(15.2%)</w:t>
            </w:r>
          </w:p>
        </w:tc>
        <w:tc>
          <w:tcPr>
            <w:tcW w:w="1263"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0.53</w:t>
            </w:r>
          </w:p>
        </w:tc>
      </w:tr>
      <w:tr>
        <w:tblPrEx>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2445"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22(27.8%)</w:t>
            </w:r>
          </w:p>
        </w:tc>
        <w:tc>
          <w:tcPr>
            <w:tcW w:w="170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49(62%)</w:t>
            </w:r>
          </w:p>
        </w:tc>
        <w:tc>
          <w:tcPr>
            <w:tcW w:w="202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2445"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46(29.1%)</w:t>
            </w:r>
          </w:p>
        </w:tc>
        <w:tc>
          <w:tcPr>
            <w:tcW w:w="1708"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92(58.2%)</w:t>
            </w:r>
          </w:p>
        </w:tc>
        <w:tc>
          <w:tcPr>
            <w:tcW w:w="202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20(12.7%)</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787" w:hRule="atLeast"/>
        </w:trPr>
        <w:tc>
          <w:tcPr>
            <w:tcW w:w="9122" w:type="dxa"/>
            <w:gridSpan w:val="5"/>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Limitations in climbing several flights of stairs</w:t>
            </w:r>
          </w:p>
        </w:tc>
      </w:tr>
      <w:tr>
        <w:tblPrEx>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2445"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70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37(46.8%)</w:t>
            </w:r>
          </w:p>
        </w:tc>
        <w:tc>
          <w:tcPr>
            <w:tcW w:w="202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18(22.8%)</w:t>
            </w:r>
          </w:p>
        </w:tc>
        <w:tc>
          <w:tcPr>
            <w:tcW w:w="1263"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0.58</w:t>
            </w:r>
          </w:p>
        </w:tc>
      </w:tr>
      <w:tr>
        <w:tblPrEx>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2445"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32(40.5%)</w:t>
            </w:r>
          </w:p>
        </w:tc>
        <w:tc>
          <w:tcPr>
            <w:tcW w:w="170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39(49.4%)</w:t>
            </w:r>
          </w:p>
        </w:tc>
        <w:tc>
          <w:tcPr>
            <w:tcW w:w="202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17" w:hRule="atLeast"/>
        </w:trPr>
        <w:tc>
          <w:tcPr>
            <w:tcW w:w="1682"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2445"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56(35.4%)</w:t>
            </w:r>
          </w:p>
        </w:tc>
        <w:tc>
          <w:tcPr>
            <w:tcW w:w="1708"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76(48.1%)</w:t>
            </w:r>
          </w:p>
        </w:tc>
        <w:tc>
          <w:tcPr>
            <w:tcW w:w="202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26(16.5%)</w:t>
            </w:r>
          </w:p>
        </w:tc>
        <w:tc>
          <w:tcPr>
            <w:tcW w:w="1263"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bl>
    <w:p>
      <w:pPr>
        <w:rPr>
          <w:rFonts w:ascii="Times New Roman" w:hAnsi="Times New Roman" w:cs="Times New Roman"/>
          <w:sz w:val="24"/>
          <w:szCs w:val="24"/>
        </w:rPr>
      </w:pPr>
    </w:p>
    <w:p>
      <w:pPr>
        <w:pStyle w:val="3"/>
        <w:keepNext/>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 xml:space="preserve">Table </w:t>
      </w:r>
      <w:r>
        <w:rPr>
          <w:rFonts w:ascii="Times New Roman" w:hAnsi="Times New Roman" w:eastAsia="Times New Roman" w:cs="Times New Roman"/>
          <w:bCs w:val="0"/>
          <w:color w:val="auto"/>
          <w:sz w:val="24"/>
          <w:szCs w:val="24"/>
        </w:rPr>
        <w:fldChar w:fldCharType="begin"/>
      </w:r>
      <w:r>
        <w:rPr>
          <w:rFonts w:ascii="Times New Roman" w:hAnsi="Times New Roman" w:eastAsia="Times New Roman" w:cs="Times New Roman"/>
          <w:bCs w:val="0"/>
          <w:color w:val="auto"/>
          <w:sz w:val="24"/>
          <w:szCs w:val="24"/>
        </w:rPr>
        <w:instrText xml:space="preserve"> SEQ Table \* ARABIC </w:instrText>
      </w:r>
      <w:r>
        <w:rPr>
          <w:rFonts w:ascii="Times New Roman" w:hAnsi="Times New Roman" w:eastAsia="Times New Roman" w:cs="Times New Roman"/>
          <w:bCs w:val="0"/>
          <w:color w:val="auto"/>
          <w:sz w:val="24"/>
          <w:szCs w:val="24"/>
        </w:rPr>
        <w:fldChar w:fldCharType="separate"/>
      </w:r>
      <w:r>
        <w:rPr>
          <w:rFonts w:ascii="Times New Roman" w:hAnsi="Times New Roman" w:eastAsia="Times New Roman" w:cs="Times New Roman"/>
          <w:bCs w:val="0"/>
          <w:color w:val="auto"/>
          <w:sz w:val="24"/>
          <w:szCs w:val="24"/>
        </w:rPr>
        <w:t>5</w:t>
      </w:r>
      <w:r>
        <w:rPr>
          <w:rFonts w:ascii="Times New Roman" w:hAnsi="Times New Roman" w:eastAsia="Times New Roman" w:cs="Times New Roman"/>
          <w:bCs w:val="0"/>
          <w:color w:val="auto"/>
          <w:sz w:val="24"/>
          <w:szCs w:val="24"/>
        </w:rPr>
        <w:fldChar w:fldCharType="end"/>
      </w:r>
      <w:r>
        <w:rPr>
          <w:rFonts w:ascii="Times New Roman" w:hAnsi="Times New Roman" w:eastAsia="Times New Roman" w:cs="Times New Roman"/>
          <w:bCs w:val="0"/>
          <w:color w:val="auto"/>
          <w:sz w:val="24"/>
          <w:szCs w:val="24"/>
        </w:rPr>
        <w:t xml:space="preserve"> </w:t>
      </w:r>
      <w:r>
        <w:rPr>
          <w:rFonts w:ascii="Times New Roman" w:hAnsi="Times New Roman" w:cs="Times New Roman"/>
          <w:b w:val="0"/>
          <w:sz w:val="24"/>
          <w:szCs w:val="24"/>
          <w:shd w:val="clear" w:color="auto" w:fill="FFFFFF"/>
        </w:rPr>
        <w:t>SF-12V2 r</w:t>
      </w:r>
      <w:r>
        <w:rPr>
          <w:rFonts w:ascii="Times New Roman" w:hAnsi="Times New Roman" w:eastAsia="Times New Roman" w:cs="Times New Roman"/>
          <w:b w:val="0"/>
          <w:bCs w:val="0"/>
          <w:color w:val="auto"/>
          <w:sz w:val="24"/>
          <w:szCs w:val="24"/>
        </w:rPr>
        <w:t>esponses:</w:t>
      </w:r>
      <w:r>
        <w:rPr>
          <w:rFonts w:ascii="Times New Roman" w:hAnsi="Times New Roman" w:eastAsia="Times New Roman" w:cs="Times New Roman"/>
          <w:bCs w:val="0"/>
          <w:color w:val="auto"/>
          <w:sz w:val="24"/>
          <w:szCs w:val="24"/>
        </w:rPr>
        <w:t xml:space="preserve"> Mental stress and social activity</w:t>
      </w:r>
    </w:p>
    <w:tbl>
      <w:tblPr>
        <w:tblStyle w:val="12"/>
        <w:tblW w:w="8980" w:type="dxa"/>
        <w:tblInd w:w="93" w:type="dxa"/>
        <w:tblLayout w:type="fixed"/>
        <w:tblCellMar>
          <w:top w:w="0" w:type="dxa"/>
          <w:left w:w="108" w:type="dxa"/>
          <w:bottom w:w="0" w:type="dxa"/>
          <w:right w:w="108" w:type="dxa"/>
        </w:tblCellMar>
      </w:tblPr>
      <w:tblGrid>
        <w:gridCol w:w="1260"/>
        <w:gridCol w:w="1280"/>
        <w:gridCol w:w="1420"/>
        <w:gridCol w:w="1420"/>
        <w:gridCol w:w="1300"/>
        <w:gridCol w:w="1340"/>
        <w:gridCol w:w="960"/>
      </w:tblGrid>
      <w:tr>
        <w:tblPrEx>
          <w:tblCellMar>
            <w:top w:w="0" w:type="dxa"/>
            <w:left w:w="108" w:type="dxa"/>
            <w:bottom w:w="0" w:type="dxa"/>
            <w:right w:w="108" w:type="dxa"/>
          </w:tblCellMar>
        </w:tblPrEx>
        <w:trPr>
          <w:trHeight w:val="945" w:hRule="atLeast"/>
        </w:trPr>
        <w:tc>
          <w:tcPr>
            <w:tcW w:w="126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Mental Stress and Social Activity </w:t>
            </w:r>
          </w:p>
        </w:tc>
        <w:tc>
          <w:tcPr>
            <w:tcW w:w="128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All of the time</w:t>
            </w:r>
          </w:p>
        </w:tc>
        <w:tc>
          <w:tcPr>
            <w:tcW w:w="142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Most of the time</w:t>
            </w:r>
          </w:p>
        </w:tc>
        <w:tc>
          <w:tcPr>
            <w:tcW w:w="142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Some of the time</w:t>
            </w:r>
          </w:p>
        </w:tc>
        <w:tc>
          <w:tcPr>
            <w:tcW w:w="130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A little of the time</w:t>
            </w:r>
          </w:p>
        </w:tc>
        <w:tc>
          <w:tcPr>
            <w:tcW w:w="1340" w:type="dxa"/>
            <w:tcBorders>
              <w:top w:val="single" w:color="auto" w:sz="4" w:space="0"/>
              <w:left w:val="nil"/>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None of the time</w:t>
            </w:r>
          </w:p>
        </w:tc>
        <w:tc>
          <w:tcPr>
            <w:tcW w:w="96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w:t>
            </w:r>
          </w:p>
        </w:tc>
      </w:tr>
      <w:tr>
        <w:tblPrEx>
          <w:tblCellMar>
            <w:top w:w="0" w:type="dxa"/>
            <w:left w:w="108" w:type="dxa"/>
            <w:bottom w:w="0" w:type="dxa"/>
            <w:right w:w="108" w:type="dxa"/>
          </w:tblCellMar>
        </w:tblPrEx>
        <w:trPr>
          <w:trHeight w:val="825"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During the past 4 weeks, have you accomplished less than you would like due to physical health issues?</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32(40.5%)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29(36.7%)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3(3.8%)</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0.48</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30(38%)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34(43%)</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0(0%)</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62(39.2%)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63(39.9%)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12(7.6%)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9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During the past 4 weeks, were you limited in work or other activities due to physical health issues?</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27(34.2%)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0.11</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39(49.4%)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27(34.2%)</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7(8.9%)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15(9.5%)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66(41.8%)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53(33.5%)</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18(11.4%)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6(3.8%)</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9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have you accomplished less than you would like due to emotional problems?</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12(15.2%)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29(36.7%)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23(29.1%)</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0.86</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30(38%)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28(35.4%)</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21(13.3%)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59(37.3%)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51(32.3%)</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25(15.8%)</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78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were you less careful in your work or other activities due to emotional problems?</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25(31.6%)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28(35.4%)</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0.19</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39(49.4%)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9(11.4%)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18(11.4%)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64(40.5%)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49(31%)</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24(15.2%)</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87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to what extent did pain interfere with your normal work (both work outside the home and housework)?</w:t>
            </w:r>
          </w:p>
        </w:tc>
      </w:tr>
      <w:tr>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13(16.5%)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37(46.8%)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0.11</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7(8.9%)</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19(24.1%)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17(21.5%)</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12(7.6%)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32(20.3%)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58(36.7%)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27(17.1%)</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29(18.4%)</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510" w:hRule="atLeast"/>
        </w:trPr>
        <w:tc>
          <w:tcPr>
            <w:tcW w:w="8980" w:type="dxa"/>
            <w:gridSpan w:val="7"/>
            <w:tcBorders>
              <w:top w:val="single" w:color="auto" w:sz="4" w:space="0"/>
              <w:left w:val="single" w:color="auto" w:sz="4" w:space="0"/>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have you felt calm and peaceful?</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19(24.1%)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31(39.2%)</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0.18</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16(20.3%)</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30(38%)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31(39.2%)</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0(0%)</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8(5.1%)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35(22.2%)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61(38.6%)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52(32.9%)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60" w:hRule="atLeast"/>
        </w:trPr>
        <w:tc>
          <w:tcPr>
            <w:tcW w:w="8980" w:type="dxa"/>
            <w:gridSpan w:val="7"/>
            <w:tcBorders>
              <w:top w:val="single" w:color="auto" w:sz="4" w:space="0"/>
              <w:left w:val="single" w:color="auto" w:sz="4" w:space="0"/>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have you had a lot of energy?</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17(21.5%)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6(7.6%)</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0.43</w:t>
            </w:r>
          </w:p>
        </w:tc>
      </w:tr>
      <w:tr>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27(34.2%)</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32(40.5%)</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4(5.1%)</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8(5.1%)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31(19.6%)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53(33.5%)</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56(35.4%)</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10(6.3%)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570" w:hRule="atLeast"/>
        </w:trPr>
        <w:tc>
          <w:tcPr>
            <w:tcW w:w="8980" w:type="dxa"/>
            <w:gridSpan w:val="7"/>
            <w:tcBorders>
              <w:top w:val="single" w:color="auto" w:sz="4" w:space="0"/>
              <w:left w:val="single" w:color="auto" w:sz="4" w:space="0"/>
              <w:bottom w:val="single" w:color="auto" w:sz="4" w:space="0"/>
              <w:right w:val="single" w:color="000000" w:sz="4" w:space="0"/>
            </w:tcBorders>
            <w:noWrap/>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have you felt downhearted and depressed?</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8(10.1%)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22(27.8%)</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10(12.7%)</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0.83</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1(1.3%)</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19(12%)</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48(30.4%)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50(31.6%)</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30(19%)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11(7%)</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780" w:hRule="atLeast"/>
        </w:trPr>
        <w:tc>
          <w:tcPr>
            <w:tcW w:w="8980" w:type="dxa"/>
            <w:gridSpan w:val="7"/>
            <w:tcBorders>
              <w:top w:val="single" w:color="auto" w:sz="4" w:space="0"/>
              <w:left w:val="single" w:color="auto"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sz w:val="24"/>
                <w:szCs w:val="24"/>
              </w:rPr>
              <w:t>During the past 4 weeks, how much of the time has your physical health or emotional problems interfered with your social activities?</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21(26.6%)</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29(36.7%)</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11(13.9%)</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4(5.1%)</w:t>
            </w:r>
          </w:p>
        </w:tc>
        <w:tc>
          <w:tcPr>
            <w:tcW w:w="960" w:type="dxa"/>
            <w:vMerge w:val="restart"/>
            <w:tcBorders>
              <w:top w:val="nil"/>
              <w:left w:val="single" w:color="auto" w:sz="4" w:space="0"/>
              <w:bottom w:val="single" w:color="000000"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0.83</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79</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13(16.5%)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24(30.4%)</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26(32.9%)</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14(17.7%)</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2(2.5%)</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n = 158</w:t>
            </w:r>
          </w:p>
        </w:tc>
        <w:tc>
          <w:tcPr>
            <w:tcW w:w="128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27(17.1%)</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45(28.5%)</w:t>
            </w:r>
          </w:p>
        </w:tc>
        <w:tc>
          <w:tcPr>
            <w:tcW w:w="142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55(34.8%)</w:t>
            </w:r>
          </w:p>
        </w:tc>
        <w:tc>
          <w:tcPr>
            <w:tcW w:w="130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25(15.8%)</w:t>
            </w:r>
          </w:p>
        </w:tc>
        <w:tc>
          <w:tcPr>
            <w:tcW w:w="134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6(3.8%)</w:t>
            </w:r>
          </w:p>
        </w:tc>
        <w:tc>
          <w:tcPr>
            <w:tcW w:w="9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24"/>
                <w:szCs w:val="24"/>
              </w:rPr>
            </w:pPr>
          </w:p>
        </w:tc>
      </w:tr>
    </w:tbl>
    <w:p>
      <w:pPr>
        <w:spacing w:line="480" w:lineRule="auto"/>
        <w:rPr>
          <w:b/>
          <w:sz w:val="28"/>
        </w:rPr>
      </w:pPr>
      <w:r>
        <w:rPr>
          <w:rFonts w:ascii="Times New Roman" w:hAnsi="Times New Roman" w:eastAsia="Times New Roman" w:cs="Times New Roman"/>
          <w:sz w:val="24"/>
          <w:szCs w:val="24"/>
          <w:u w:val="single"/>
        </w:rPr>
        <w:t xml:space="preserve">     </w:t>
      </w:r>
    </w:p>
    <w:p>
      <w:pPr>
        <w:pStyle w:val="3"/>
        <w:keepNex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Table </w:t>
      </w:r>
      <w:r>
        <w:rPr>
          <w:rFonts w:ascii="Times New Roman" w:hAnsi="Times New Roman" w:eastAsia="Times New Roman" w:cs="Times New Roman"/>
          <w:color w:val="auto"/>
          <w:sz w:val="24"/>
          <w:szCs w:val="24"/>
        </w:rPr>
        <w:fldChar w:fldCharType="begin"/>
      </w:r>
      <w:r>
        <w:rPr>
          <w:rFonts w:ascii="Times New Roman" w:hAnsi="Times New Roman" w:eastAsia="Times New Roman" w:cs="Times New Roman"/>
          <w:color w:val="auto"/>
          <w:sz w:val="24"/>
          <w:szCs w:val="24"/>
        </w:rPr>
        <w:instrText xml:space="preserve"> SEQ Table \* ARABIC </w:instrText>
      </w:r>
      <w:r>
        <w:rPr>
          <w:rFonts w:ascii="Times New Roman" w:hAnsi="Times New Roman" w:eastAsia="Times New Roman" w:cs="Times New Roman"/>
          <w:color w:val="auto"/>
          <w:sz w:val="24"/>
          <w:szCs w:val="24"/>
        </w:rPr>
        <w:fldChar w:fldCharType="separate"/>
      </w:r>
      <w:r>
        <w:rPr>
          <w:rFonts w:ascii="Times New Roman" w:hAnsi="Times New Roman" w:eastAsia="Times New Roman" w:cs="Times New Roman"/>
          <w:color w:val="auto"/>
          <w:sz w:val="24"/>
          <w:szCs w:val="24"/>
        </w:rPr>
        <w:t>6</w:t>
      </w:r>
      <w:r>
        <w:rPr>
          <w:rFonts w:ascii="Times New Roman" w:hAnsi="Times New Roman" w:eastAsia="Times New Roman" w:cs="Times New Roman"/>
          <w:color w:val="auto"/>
          <w:sz w:val="24"/>
          <w:szCs w:val="24"/>
        </w:rPr>
        <w:fldChar w:fldCharType="end"/>
      </w:r>
      <w:r>
        <w:rPr>
          <w:rFonts w:ascii="Times New Roman" w:hAnsi="Times New Roman" w:eastAsia="Times New Roman" w:cs="Times New Roman"/>
          <w:color w:val="auto"/>
          <w:sz w:val="24"/>
          <w:szCs w:val="24"/>
        </w:rPr>
        <w:t xml:space="preserve"> Comparison of health-related quality of life in Lahore and Sialkot</w:t>
      </w:r>
    </w:p>
    <w:tbl>
      <w:tblPr>
        <w:tblStyle w:val="12"/>
        <w:tblW w:w="6993" w:type="dxa"/>
        <w:tblInd w:w="93" w:type="dxa"/>
        <w:tblLayout w:type="fixed"/>
        <w:tblCellMar>
          <w:top w:w="0" w:type="dxa"/>
          <w:left w:w="108" w:type="dxa"/>
          <w:bottom w:w="0" w:type="dxa"/>
          <w:right w:w="108" w:type="dxa"/>
        </w:tblCellMar>
      </w:tblPr>
      <w:tblGrid>
        <w:gridCol w:w="2543"/>
        <w:gridCol w:w="1554"/>
        <w:gridCol w:w="1766"/>
        <w:gridCol w:w="1130"/>
      </w:tblGrid>
      <w:tr>
        <w:tblPrEx>
          <w:tblCellMar>
            <w:top w:w="0" w:type="dxa"/>
            <w:left w:w="108" w:type="dxa"/>
            <w:bottom w:w="0" w:type="dxa"/>
            <w:right w:w="108" w:type="dxa"/>
          </w:tblCellMar>
        </w:tblPrEx>
        <w:trPr>
          <w:trHeight w:val="976" w:hRule="atLeast"/>
        </w:trPr>
        <w:tc>
          <w:tcPr>
            <w:tcW w:w="254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p>
        </w:tc>
        <w:tc>
          <w:tcPr>
            <w:tcW w:w="1554"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Lahore</w:t>
            </w:r>
          </w:p>
        </w:tc>
        <w:tc>
          <w:tcPr>
            <w:tcW w:w="1766"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Sialkot</w:t>
            </w:r>
          </w:p>
        </w:tc>
        <w:tc>
          <w:tcPr>
            <w:tcW w:w="1130" w:type="dxa"/>
            <w:tcBorders>
              <w:top w:val="single" w:color="auto" w:sz="4" w:space="0"/>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p-value</w:t>
            </w:r>
          </w:p>
        </w:tc>
      </w:tr>
      <w:tr>
        <w:tblPrEx>
          <w:tblCellMar>
            <w:top w:w="0" w:type="dxa"/>
            <w:left w:w="108" w:type="dxa"/>
            <w:bottom w:w="0" w:type="dxa"/>
            <w:right w:w="108" w:type="dxa"/>
          </w:tblCellMar>
        </w:tblPrEx>
        <w:trPr>
          <w:trHeight w:val="1024" w:hRule="atLeast"/>
        </w:trPr>
        <w:tc>
          <w:tcPr>
            <w:tcW w:w="2543" w:type="dxa"/>
            <w:tcBorders>
              <w:top w:val="nil"/>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SF-12 Scale</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Score</w:t>
            </w:r>
          </w:p>
        </w:tc>
        <w:tc>
          <w:tcPr>
            <w:tcW w:w="1554"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32.29±4.97</w:t>
            </w:r>
          </w:p>
        </w:tc>
        <w:tc>
          <w:tcPr>
            <w:tcW w:w="1766"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31.89±4.6</w:t>
            </w:r>
          </w:p>
        </w:tc>
        <w:tc>
          <w:tcPr>
            <w:tcW w:w="1130" w:type="dxa"/>
            <w:tcBorders>
              <w:top w:val="nil"/>
              <w:left w:val="nil"/>
              <w:bottom w:val="single" w:color="auto" w:sz="4" w:space="0"/>
              <w:right w:val="single" w:color="auto" w:sz="4" w:space="0"/>
            </w:tcBorders>
            <w:noWrap/>
            <w:vAlign w:val="cente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0.57</w:t>
            </w:r>
          </w:p>
        </w:tc>
      </w:tr>
    </w:tbl>
    <w:p>
      <w:pPr>
        <w:rPr>
          <w:rFonts w:ascii="Times New Roman" w:hAnsi="Times New Roman" w:eastAsia="Calibri" w:cs="Times New Roman"/>
          <w:b/>
          <w:color w:val="000000"/>
          <w:sz w:val="24"/>
          <w:szCs w:val="24"/>
        </w:rPr>
      </w:pP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Table 6 compares participants’ health-related quality of life in the two cities as measured by SF-12. The mean scores were 32.29±4.97 (Lahore) and 31.89±4.6 (Sialkot). Based on the independent sample t test, the p-value of 0.57 indicates that there is no significant difference between these two groups in terms of health-related quality of life. According to these results, participants from both cities experienced the same disability level in terms of ADL and exhibited the same level of awareness regarding osteoarthritis. (A p-value of less than 0.05 would be considered significant.)</w:t>
      </w:r>
    </w:p>
    <w:p>
      <w:pPr>
        <w:pStyle w:val="17"/>
        <w:spacing w:line="480" w:lineRule="auto"/>
        <w:ind w:left="0"/>
        <w:rPr>
          <w:rFonts w:ascii="Times New Roman" w:hAnsi="Times New Roman" w:cs="Times New Roman"/>
          <w:sz w:val="28"/>
          <w:szCs w:val="28"/>
        </w:rPr>
      </w:pPr>
      <w:r>
        <w:rPr>
          <w:rFonts w:ascii="Times New Roman" w:hAnsi="Times New Roman" w:cs="Times New Roman"/>
          <w:b/>
          <w:sz w:val="28"/>
          <w:szCs w:val="28"/>
        </w:rPr>
        <w:t>Discussion</w:t>
      </w:r>
    </w:p>
    <w:p>
      <w:pPr>
        <w:spacing w:line="480" w:lineRule="auto"/>
        <w:rPr>
          <w:rFonts w:ascii="Times New Roman" w:hAnsi="Times New Roman" w:cs="Times New Roman"/>
          <w:sz w:val="24"/>
          <w:szCs w:val="24"/>
        </w:rPr>
      </w:pPr>
      <w:r>
        <w:rPr>
          <w:rFonts w:ascii="Times New Roman" w:hAnsi="Times New Roman" w:cs="Times New Roman"/>
          <w:sz w:val="24"/>
          <w:szCs w:val="24"/>
        </w:rPr>
        <w:t>The aim of this study was to measure health-related quality of life among knee OA patients in order to help care providers and physical therapists to understand the impact of the disease. The sample was evenly divided between Lahore and Sialkot; the former is a major urban center while the latter is less urbanized. Although previous studies have found that lifestyle in major urban centers is more sedentary than in smaller cities, there was no significant difference between patients in these two cities in relation to ADL.</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participants included a number of patients with severe OA who met the criteria for knee replacement. This has been identified as the most effective treatment for knee OA, but the available financial resources are insufficient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&lt;EndNote&gt;&lt;Cite&gt;&lt;Author&gt;Fransen&lt;/Author&gt;&lt;Year&gt;2011&lt;/Year&gt;&lt;RecNum&gt;57&lt;/RecNum&gt;&lt;DisplayText&gt;[23]&lt;/DisplayText&gt;&lt;record&gt;&lt;rec-number&gt;57&lt;/rec-number&gt;&lt;foreign-keys&gt;&lt;key app="EN" db-id="0a5wfrxtxft0r0ezdr45v5efzsvxresfw2z0"&gt;57&lt;/key&gt;&lt;/foreign-keys&gt;&lt;ref-type name="Journal Article"&gt;17&lt;/ref-type&gt;&lt;contributors&gt;&lt;authors&gt;&lt;author&gt;Fransen, Marlene&lt;/author&gt;&lt;author&gt;Bridgett, Lisa&lt;/author&gt;&lt;author&gt;March, Lyn&lt;/author&gt;&lt;author&gt;Hoy, Damian&lt;/author&gt;&lt;author&gt;Penserga, Ester&lt;/author&gt;&lt;author&gt;Brooks, Peter&lt;/author&gt;&lt;/authors&gt;&lt;/contributors&gt;&lt;titles&gt;&lt;title&gt;The epidemiology of osteoarthritis in Asia&lt;/title&gt;&lt;secondary-title&gt;International journal of rheumatic diseases&lt;/secondary-title&gt;&lt;/titles&gt;&lt;periodical&gt;&lt;full-title&gt;International journal of rheumatic diseases&lt;/full-title&gt;&lt;/periodical&gt;&lt;pages&gt;113-121&lt;/pages&gt;&lt;volume&gt;14&lt;/volume&gt;&lt;number&gt;2&lt;/number&gt;&lt;dates&gt;&lt;year&gt;2011&lt;/year&gt;&lt;/dates&gt;&lt;isbn&gt;1756-1841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r>
        <w:t>20</w:t>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pPr>
        <w:spacing w:line="480" w:lineRule="auto"/>
        <w:rPr>
          <w:rFonts w:ascii="Times New Roman" w:hAnsi="Times New Roman" w:cs="Times New Roman"/>
          <w:sz w:val="24"/>
          <w:szCs w:val="24"/>
        </w:rPr>
      </w:pPr>
      <w:r>
        <w:rPr>
          <w:rFonts w:ascii="Times New Roman" w:hAnsi="Times New Roman" w:cs="Times New Roman"/>
          <w:sz w:val="24"/>
          <w:szCs w:val="24"/>
        </w:rPr>
        <w:t>The present findings align with previous evidence that knee OA reduces social activity. An earlier study [</w:t>
      </w:r>
      <w:r>
        <w:rPr>
          <w:rFonts w:hint="eastAsia" w:ascii="Times New Roman" w:hAnsi="Times New Roman" w:cs="Times New Roman"/>
          <w:sz w:val="24"/>
          <w:szCs w:val="24"/>
          <w:lang w:val="en-US" w:eastAsia="zh-CN"/>
        </w:rPr>
        <w:t>21</w:t>
      </w:r>
      <w:r>
        <w:rPr>
          <w:rFonts w:ascii="Times New Roman" w:hAnsi="Times New Roman" w:cs="Times New Roman"/>
          <w:sz w:val="24"/>
          <w:szCs w:val="24"/>
        </w:rPr>
        <w:t>] found that 83.5% of patients indicated severe or some limitation when climbing stairs and during housework. In</w:t>
      </w:r>
      <w:r>
        <w:rPr>
          <w:rFonts w:hint="eastAsia" w:ascii="Times New Roman" w:hAnsi="Times New Roman" w:cs="Times New Roman"/>
          <w:sz w:val="24"/>
          <w:szCs w:val="24"/>
          <w:lang w:val="en-US" w:eastAsia="zh-CN"/>
        </w:rPr>
        <w:t xml:space="preserve"> another</w:t>
      </w:r>
      <w:r>
        <w:rPr>
          <w:rFonts w:ascii="Times New Roman" w:hAnsi="Times New Roman" w:cs="Times New Roman"/>
          <w:sz w:val="24"/>
          <w:szCs w:val="24"/>
        </w:rPr>
        <w:t xml:space="preserve"> study, 76% of OA patients felt depressed most or some of the time while 26% felt little or no depression. These results align with other evidence of high levels of depression among knee OA patients [21 - 23].</w:t>
      </w:r>
    </w:p>
    <w:p>
      <w:pPr>
        <w:spacing w:line="480" w:lineRule="auto"/>
        <w:rPr>
          <w:rFonts w:ascii="Times New Roman" w:hAnsi="Times New Roman" w:cs="Times New Roman"/>
          <w:sz w:val="24"/>
          <w:szCs w:val="24"/>
        </w:rPr>
      </w:pPr>
      <w:r>
        <w:rPr>
          <w:rFonts w:ascii="Times New Roman" w:hAnsi="Times New Roman" w:cs="Times New Roman"/>
          <w:sz w:val="24"/>
          <w:szCs w:val="24"/>
        </w:rPr>
        <w:t>Osteoarthritis is a degenerative disease that affects older populations everywhere. The present findings indicate that knee OA patients experience the greatest limitations in ADL, especially in relation to stair climbing and moderate activities such as cleaning the house. The study also confirms that a significant number of patients who experience these limitations also suffer from depression. These patients should be provided with the necessary resources to identify and address their concerns, including support groups and rehabilitative physical therapy, as their anxiety and pain can lead to depression [23]</w:t>
      </w:r>
    </w:p>
    <w:p>
      <w:pPr>
        <w:spacing w:line="480" w:lineRule="auto"/>
        <w:rPr>
          <w:rFonts w:ascii="Times New Roman" w:hAnsi="Times New Roman" w:cs="Times New Roman"/>
          <w:sz w:val="24"/>
          <w:szCs w:val="24"/>
        </w:rPr>
      </w:pPr>
      <w:r>
        <w:rPr>
          <w:rFonts w:ascii="Times New Roman" w:hAnsi="Times New Roman" w:cs="Times New Roman"/>
          <w:sz w:val="24"/>
          <w:szCs w:val="24"/>
        </w:rPr>
        <w:t>Orthopedic surgeons and physiotherapists can help to improve ADL among knee OA patients. Pain and swelling can be managed through lifestyle modification, medication, and physical therapy, all of which can reduce the impact of disease and so improve quality of life and social behavior.</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 xml:space="preserve">STUDY LIMITATIONS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study period was relatively short.</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Patients were reluctant to provide data.</w:t>
      </w:r>
    </w:p>
    <w:p>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The male-female ratio was not balanced.</w:t>
      </w:r>
    </w:p>
    <w:p>
      <w:pPr>
        <w:spacing w:line="480" w:lineRule="auto"/>
        <w:rPr>
          <w:rFonts w:ascii="Times New Roman" w:hAnsi="Times New Roman" w:cs="Times New Roman"/>
          <w:b/>
          <w:sz w:val="28"/>
          <w:szCs w:val="28"/>
        </w:rPr>
      </w:pPr>
    </w:p>
    <w:p>
      <w:pPr>
        <w:spacing w:line="480" w:lineRule="auto"/>
        <w:rPr>
          <w:rFonts w:ascii="Times New Roman" w:hAnsi="Times New Roman" w:cs="Times New Roman"/>
          <w:b/>
          <w:sz w:val="28"/>
          <w:szCs w:val="28"/>
        </w:rPr>
      </w:pPr>
      <w:r>
        <w:rPr>
          <w:rFonts w:ascii="Times New Roman" w:hAnsi="Times New Roman" w:cs="Times New Roman"/>
          <w:b/>
          <w:sz w:val="28"/>
          <w:szCs w:val="28"/>
        </w:rPr>
        <w:t>CONCLUSION</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We conclude that there is no difference in health-related quality of life among OA patients from Lahore and Sialkot.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pPr>
        <w:spacing w:line="480" w:lineRule="auto"/>
        <w:rPr>
          <w:rFonts w:ascii="Times New Roman" w:hAnsi="Times New Roman" w:cs="Times New Roman"/>
          <w:sz w:val="24"/>
          <w:szCs w:val="24"/>
          <w:shd w:val="clear" w:color="auto" w:fill="FFFFFF"/>
        </w:rPr>
      </w:pPr>
      <w:r>
        <w:rPr>
          <w:rFonts w:ascii="Times New Roman" w:hAnsi="Times New Roman" w:cs="Times New Roman"/>
          <w:b/>
          <w:sz w:val="28"/>
          <w:szCs w:val="28"/>
        </w:rPr>
        <w:t>RECOMMENDATION</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recommend that further research should be conducted in other cities and internationally for fuller comparison of health-related quality of life among OA knee patients in different settings.</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Counseling should be provided to ensure better compliance and education.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Early consultation is advisable with an orthopedic surgeon and physical therapist.  </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OA patients should receive counseling to relieve depression and to enhance quality of life.</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of the above are especially important in less urbanized and developing cities/countries.</w:t>
      </w:r>
    </w:p>
    <w:p>
      <w:pPr>
        <w:adjustRightInd w:val="0"/>
        <w:snapToGrid w:val="0"/>
        <w:spacing w:before="240" w:beforeLines="100" w:line="260" w:lineRule="atLeast"/>
        <w:rPr>
          <w:rFonts w:ascii="Times New Roman" w:hAnsi="Times New Roman" w:eastAsia="Times New Roman"/>
          <w:b/>
          <w:bCs/>
          <w:iCs/>
          <w:color w:val="190F13"/>
          <w:sz w:val="24"/>
        </w:rPr>
      </w:pPr>
      <w:r>
        <w:rPr>
          <w:rFonts w:ascii="Times New Roman" w:hAnsi="Times New Roman" w:eastAsia="Times New Roman"/>
          <w:b/>
          <w:bCs/>
          <w:iCs/>
          <w:color w:val="190F13"/>
          <w:sz w:val="24"/>
        </w:rPr>
        <w:t>DECLARATIONS</w:t>
      </w:r>
    </w:p>
    <w:p>
      <w:pPr>
        <w:spacing w:after="42"/>
        <w:ind w:left="22"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acknowledge the support of our parents and teachers.</w:t>
      </w:r>
    </w:p>
    <w:p>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Both authors made similar contributions to the study.</w:t>
      </w:r>
    </w:p>
    <w:p>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research received no financial assistance or funding.</w:t>
      </w:r>
    </w:p>
    <w:p>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are no conflicts of interest or ethical issues.</w:t>
      </w:r>
    </w:p>
    <w:p>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Informed consent was secured from all participants, and data were collected </w:t>
      </w:r>
      <w:r>
        <w:rPr>
          <w:rFonts w:hint="eastAsia" w:ascii="Times New Roman" w:hAnsi="Times New Roman" w:cs="Times New Roman"/>
          <w:sz w:val="24"/>
          <w:szCs w:val="24"/>
          <w:shd w:val="clear" w:color="auto" w:fill="FFFFFF"/>
          <w:lang w:val="en-US" w:eastAsia="zh-CN"/>
        </w:rPr>
        <w:t>p</w:t>
      </w:r>
      <w:r>
        <w:rPr>
          <w:rFonts w:ascii="Times New Roman" w:hAnsi="Times New Roman" w:cs="Times New Roman"/>
          <w:sz w:val="24"/>
          <w:szCs w:val="24"/>
          <w:shd w:val="clear" w:color="auto" w:fill="FFFFFF"/>
        </w:rPr>
        <w:t>r</w:t>
      </w:r>
      <w:r>
        <w:rPr>
          <w:rFonts w:hint="eastAsia" w:ascii="Times New Roman" w:hAnsi="Times New Roman" w:cs="Times New Roman"/>
          <w:sz w:val="24"/>
          <w:szCs w:val="24"/>
          <w:shd w:val="clear" w:color="auto" w:fill="FFFFFF"/>
          <w:lang w:val="en-US" w:eastAsia="zh-CN"/>
        </w:rPr>
        <w:t xml:space="preserve">o </w:t>
      </w:r>
      <w:r>
        <w:rPr>
          <w:rFonts w:ascii="Times New Roman" w:hAnsi="Times New Roman" w:cs="Times New Roman"/>
          <w:sz w:val="24"/>
          <w:szCs w:val="24"/>
          <w:shd w:val="clear" w:color="auto" w:fill="FFFFFF"/>
        </w:rPr>
        <w:t xml:space="preserve">forma. </w:t>
      </w:r>
    </w:p>
    <w:p>
      <w:pPr>
        <w:spacing w:after="42"/>
        <w:ind w:right="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Anonymity was protected throughout. </w:t>
      </w:r>
      <w:bookmarkStart w:id="10" w:name="_GoBack"/>
      <w:bookmarkEnd w:id="10"/>
    </w:p>
    <w:p>
      <w:pPr>
        <w:spacing w:after="160" w:line="259" w:lineRule="auto"/>
      </w:pPr>
    </w:p>
    <w:p>
      <w:p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REFERENCES</w:t>
      </w:r>
    </w:p>
    <w:p>
      <w:pPr>
        <w:spacing w:line="240" w:lineRule="auto"/>
        <w:rPr>
          <w:rFonts w:ascii="Times New Roman" w:hAnsi="Times New Roman" w:cs="Times New Roman"/>
          <w:b/>
          <w:color w:val="000000"/>
          <w:sz w:val="24"/>
          <w:szCs w:val="24"/>
          <w:shd w:val="clear" w:color="auto" w:fill="FFFFFF"/>
        </w:rPr>
      </w:pPr>
    </w:p>
    <w:p>
      <w:pPr>
        <w:numPr>
          <w:ilvl w:val="0"/>
          <w:numId w:val="2"/>
        </w:numPr>
        <w:rPr>
          <w:rFonts w:ascii="Arial" w:hAnsi="Arial" w:eastAsia="宋体" w:cs="Arial"/>
          <w:color w:val="222222"/>
          <w:sz w:val="19"/>
          <w:szCs w:val="19"/>
          <w:shd w:val="clear" w:color="auto" w:fill="FFFFFF"/>
        </w:rPr>
      </w:pPr>
      <w:r>
        <w:rPr>
          <w:rFonts w:hint="eastAsia" w:ascii="Arial" w:hAnsi="Arial" w:eastAsia="宋体" w:cs="Arial"/>
          <w:color w:val="222222"/>
          <w:sz w:val="19"/>
          <w:szCs w:val="19"/>
          <w:shd w:val="clear" w:color="auto" w:fill="FFFFFF"/>
        </w:rPr>
        <w:t>Petkovic, J. , Epstein, J. , Buchbinder, R. , Welch, V. , Rader, T. , &amp; Lyddiatt, A. , et al. (2015). Toward ensuring health equity: readability and cultural equivalence of omeract patient-reported outcome measures. The Journal of Rheumatology, jrheum.141168.</w:t>
      </w:r>
    </w:p>
    <w:p>
      <w:pPr>
        <w:numPr>
          <w:ilvl w:val="0"/>
          <w:numId w:val="2"/>
        </w:numPr>
        <w:rPr>
          <w:rFonts w:ascii="Arial" w:hAnsi="Arial" w:eastAsia="宋体" w:cs="Arial"/>
          <w:color w:val="0000FF"/>
          <w:sz w:val="19"/>
          <w:szCs w:val="19"/>
          <w:shd w:val="clear" w:color="auto" w:fill="FFFFFF"/>
        </w:rPr>
      </w:pPr>
      <w:r>
        <w:rPr>
          <w:rFonts w:hint="eastAsia" w:ascii="Arial" w:hAnsi="Arial" w:eastAsia="宋体" w:cs="Arial"/>
          <w:color w:val="0000FF"/>
          <w:sz w:val="19"/>
          <w:szCs w:val="19"/>
          <w:shd w:val="clear" w:color="auto" w:fill="FFFFFF"/>
        </w:rPr>
        <w:t>Zakaria, Z. F. , Bakar, A. A. , Hasmoni, H. M. , Rani, F. A. , &amp; Kadir, S. A. . (2009). Health-related quality of life in patients with knee osteoarthritis attending two primary care clinics in malaysia: a cross-sectional study. Asia Pacific Family Medicine,8(1), 10.</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Hassanein, M., Shamssain, M., &amp; Hassan, N. (2015). Health Related Quality of Life among Osteoarthritis Patients: A Comparison of Traditional Non-Steroidal Anti-Inflammatory Drugs and Selective COX-2 Inhibitors in the United Arab Emirates Using the SF-36. </w:t>
      </w:r>
      <w:r>
        <w:rPr>
          <w:rFonts w:ascii="Arial" w:hAnsi="Arial" w:eastAsia="宋体" w:cs="Arial"/>
          <w:i/>
          <w:color w:val="222222"/>
          <w:sz w:val="19"/>
          <w:szCs w:val="19"/>
          <w:shd w:val="clear" w:color="auto" w:fill="FFFFFF"/>
        </w:rPr>
        <w:t>Pharmacology &amp; Pharmacy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6</w:t>
      </w:r>
      <w:r>
        <w:rPr>
          <w:rFonts w:ascii="Arial" w:hAnsi="Arial" w:eastAsia="宋体" w:cs="Arial"/>
          <w:color w:val="222222"/>
          <w:sz w:val="19"/>
          <w:szCs w:val="19"/>
          <w:shd w:val="clear" w:color="auto" w:fill="FFFFFF"/>
        </w:rPr>
        <w:t>(04), 232.</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Jordan, J. M., Helmick, C. G., Renner, J. B., Luta, G., Dragomir, A. D., Woodard, J., ... &amp; Kalsbeek, W. D. (2007). Prevalence of knee symptoms and radiographic and symptomatic knee osteoarthritis in African Americans and Caucasians: the Johnston County Osteoarthritis Project. </w:t>
      </w:r>
      <w:r>
        <w:rPr>
          <w:rFonts w:ascii="Arial" w:hAnsi="Arial" w:eastAsia="宋体" w:cs="Arial"/>
          <w:i/>
          <w:color w:val="222222"/>
          <w:sz w:val="19"/>
          <w:szCs w:val="19"/>
          <w:shd w:val="clear" w:color="auto" w:fill="FFFFFF"/>
        </w:rPr>
        <w:t>The Journal of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34</w:t>
      </w:r>
      <w:r>
        <w:rPr>
          <w:rFonts w:ascii="Arial" w:hAnsi="Arial" w:eastAsia="宋体" w:cs="Arial"/>
          <w:color w:val="222222"/>
          <w:sz w:val="19"/>
          <w:szCs w:val="19"/>
          <w:shd w:val="clear" w:color="auto" w:fill="FFFFFF"/>
        </w:rPr>
        <w:t>(1), 172-180.</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Grotle, M., Hagen, K. B., Natvig, B., Dahl, F. A., &amp; Kvien, T. K. (2008). Prevalence and burden of osteoarthritis: results from a population survey in Norway. </w:t>
      </w:r>
      <w:r>
        <w:rPr>
          <w:rFonts w:ascii="Arial" w:hAnsi="Arial" w:eastAsia="宋体" w:cs="Arial"/>
          <w:i/>
          <w:color w:val="222222"/>
          <w:sz w:val="19"/>
          <w:szCs w:val="19"/>
          <w:shd w:val="clear" w:color="auto" w:fill="FFFFFF"/>
        </w:rPr>
        <w:t>The Journal of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35</w:t>
      </w:r>
      <w:r>
        <w:rPr>
          <w:rFonts w:ascii="Arial" w:hAnsi="Arial" w:eastAsia="宋体" w:cs="Arial"/>
          <w:color w:val="222222"/>
          <w:sz w:val="19"/>
          <w:szCs w:val="19"/>
          <w:shd w:val="clear" w:color="auto" w:fill="FFFFFF"/>
        </w:rPr>
        <w:t>(4), 677-684.</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Felson, D. T., Naimark, A., Anderson, J., Kazis, L., Castelli, W., &amp; Meenan, R. F. (1987). The prevalence of knee osteoarthritis in the elderly. The Framingham Osteoarthritis Study. </w:t>
      </w:r>
      <w:r>
        <w:rPr>
          <w:rFonts w:ascii="Arial" w:hAnsi="Arial" w:eastAsia="宋体" w:cs="Arial"/>
          <w:i/>
          <w:color w:val="222222"/>
          <w:sz w:val="19"/>
          <w:szCs w:val="19"/>
          <w:shd w:val="clear" w:color="auto" w:fill="FFFFFF"/>
        </w:rPr>
        <w:t>Arthritis &amp; Rheumatism: Official Journal of the American College of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30</w:t>
      </w:r>
      <w:r>
        <w:rPr>
          <w:rFonts w:ascii="Arial" w:hAnsi="Arial" w:eastAsia="宋体" w:cs="Arial"/>
          <w:color w:val="222222"/>
          <w:sz w:val="19"/>
          <w:szCs w:val="19"/>
          <w:shd w:val="clear" w:color="auto" w:fill="FFFFFF"/>
        </w:rPr>
        <w:t>(8), 914-918.</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Jack Farr, I. I., Miller, L. E., &amp; Block, J. E. (2013). Quality of life in patients with knee osteoarthritis: a commentary on nonsurgical and surgical treatments. </w:t>
      </w:r>
      <w:r>
        <w:rPr>
          <w:rFonts w:ascii="Arial" w:hAnsi="Arial" w:eastAsia="宋体" w:cs="Arial"/>
          <w:i/>
          <w:color w:val="222222"/>
          <w:sz w:val="19"/>
          <w:szCs w:val="19"/>
          <w:shd w:val="clear" w:color="auto" w:fill="FFFFFF"/>
        </w:rPr>
        <w:t>The open orthopaedics journal</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7</w:t>
      </w:r>
      <w:r>
        <w:rPr>
          <w:rFonts w:ascii="Arial" w:hAnsi="Arial" w:eastAsia="宋体" w:cs="Arial"/>
          <w:color w:val="222222"/>
          <w:sz w:val="19"/>
          <w:szCs w:val="19"/>
          <w:shd w:val="clear" w:color="auto" w:fill="FFFFFF"/>
        </w:rPr>
        <w:t>, 619.</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Araujo, I. L. A., Castro, M. C., Daltro, C., &amp; Matos, M. A. (2016). Quality of life and functional independence in patients with osteoarthritis of the knee. </w:t>
      </w:r>
      <w:r>
        <w:rPr>
          <w:rFonts w:ascii="Arial" w:hAnsi="Arial" w:eastAsia="宋体" w:cs="Arial"/>
          <w:i/>
          <w:color w:val="222222"/>
          <w:sz w:val="19"/>
          <w:szCs w:val="19"/>
          <w:shd w:val="clear" w:color="auto" w:fill="FFFFFF"/>
        </w:rPr>
        <w:t>Knee surgery &amp; related research</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28</w:t>
      </w:r>
      <w:r>
        <w:rPr>
          <w:rFonts w:ascii="Arial" w:hAnsi="Arial" w:eastAsia="宋体" w:cs="Arial"/>
          <w:color w:val="222222"/>
          <w:sz w:val="19"/>
          <w:szCs w:val="19"/>
          <w:shd w:val="clear" w:color="auto" w:fill="FFFFFF"/>
        </w:rPr>
        <w:t>(3), 219.</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Roos, E. M. (2005). Joint injury causes knee osteoarthritis in young adults. </w:t>
      </w:r>
      <w:r>
        <w:rPr>
          <w:rFonts w:ascii="Arial" w:hAnsi="Arial" w:eastAsia="宋体" w:cs="Arial"/>
          <w:i/>
          <w:color w:val="222222"/>
          <w:sz w:val="19"/>
          <w:szCs w:val="19"/>
          <w:shd w:val="clear" w:color="auto" w:fill="FFFFFF"/>
        </w:rPr>
        <w:t>Current opinion in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17</w:t>
      </w:r>
      <w:r>
        <w:rPr>
          <w:rFonts w:ascii="Arial" w:hAnsi="Arial" w:eastAsia="宋体" w:cs="Arial"/>
          <w:color w:val="222222"/>
          <w:sz w:val="19"/>
          <w:szCs w:val="19"/>
          <w:shd w:val="clear" w:color="auto" w:fill="FFFFFF"/>
        </w:rPr>
        <w:t>(2), 195-200.</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Andriacchi, T. P., &amp; Mündermann, A. (2006). The role of ambulatory mechanics in the initiation and progression of knee osteoarthritis. </w:t>
      </w:r>
      <w:r>
        <w:rPr>
          <w:rFonts w:ascii="Arial" w:hAnsi="Arial" w:eastAsia="宋体" w:cs="Arial"/>
          <w:i/>
          <w:color w:val="222222"/>
          <w:sz w:val="19"/>
          <w:szCs w:val="19"/>
          <w:shd w:val="clear" w:color="auto" w:fill="FFFFFF"/>
        </w:rPr>
        <w:t>Current opinion in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18</w:t>
      </w:r>
      <w:r>
        <w:rPr>
          <w:rFonts w:ascii="Arial" w:hAnsi="Arial" w:eastAsia="宋体" w:cs="Arial"/>
          <w:color w:val="222222"/>
          <w:sz w:val="19"/>
          <w:szCs w:val="19"/>
          <w:shd w:val="clear" w:color="auto" w:fill="FFFFFF"/>
        </w:rPr>
        <w:t>(5), 514-518.</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Anderson, J. J., &amp; Felson, D. T. (1988). Factors associated with osteoarthritis of the knee in the first national Health and Nutrition Examination Survey (HANES I) evidence for an association with overweight, race, and physical demands of work. </w:t>
      </w:r>
      <w:r>
        <w:rPr>
          <w:rFonts w:ascii="Arial" w:hAnsi="Arial" w:eastAsia="宋体" w:cs="Arial"/>
          <w:i/>
          <w:color w:val="222222"/>
          <w:sz w:val="19"/>
          <w:szCs w:val="19"/>
          <w:shd w:val="clear" w:color="auto" w:fill="FFFFFF"/>
        </w:rPr>
        <w:t>American journal of epidemiology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128</w:t>
      </w:r>
      <w:r>
        <w:rPr>
          <w:rFonts w:ascii="Arial" w:hAnsi="Arial" w:eastAsia="宋体" w:cs="Arial"/>
          <w:color w:val="222222"/>
          <w:sz w:val="19"/>
          <w:szCs w:val="19"/>
          <w:shd w:val="clear" w:color="auto" w:fill="FFFFFF"/>
        </w:rPr>
        <w:t>(1), 179-189.</w:t>
      </w:r>
    </w:p>
    <w:p>
      <w:pPr>
        <w:numPr>
          <w:ilvl w:val="0"/>
          <w:numId w:val="2"/>
        </w:numPr>
        <w:rPr>
          <w:rFonts w:ascii="Arial" w:hAnsi="Arial" w:eastAsia="宋体" w:cs="Arial"/>
          <w:color w:val="0000FF"/>
          <w:sz w:val="19"/>
          <w:szCs w:val="19"/>
          <w:shd w:val="clear" w:color="auto" w:fill="FFFFFF"/>
        </w:rPr>
      </w:pPr>
      <w:r>
        <w:rPr>
          <w:rFonts w:ascii="Arial" w:hAnsi="Arial" w:eastAsia="宋体" w:cs="Arial"/>
          <w:color w:val="0000FF"/>
          <w:sz w:val="19"/>
          <w:szCs w:val="19"/>
          <w:shd w:val="clear" w:color="auto" w:fill="FFFFFF"/>
        </w:rPr>
        <w:t>Salaffi, F., Carotti, M., &amp; Grassi, W. (2005). Health-related quality of life in patients with hip or knee osteoarthritis: comparison of generic and disease-specific instruments. </w:t>
      </w:r>
      <w:r>
        <w:rPr>
          <w:rFonts w:ascii="Arial" w:hAnsi="Arial" w:eastAsia="宋体" w:cs="Arial"/>
          <w:i/>
          <w:color w:val="0000FF"/>
          <w:sz w:val="19"/>
          <w:szCs w:val="19"/>
          <w:shd w:val="clear" w:color="auto" w:fill="FFFFFF"/>
        </w:rPr>
        <w:t>Clinical rheumatology</w:t>
      </w:r>
      <w:r>
        <w:rPr>
          <w:rFonts w:ascii="Arial" w:hAnsi="Arial" w:eastAsia="宋体" w:cs="Arial"/>
          <w:color w:val="0000FF"/>
          <w:sz w:val="19"/>
          <w:szCs w:val="19"/>
          <w:shd w:val="clear" w:color="auto" w:fill="FFFFFF"/>
        </w:rPr>
        <w:t>, </w:t>
      </w:r>
      <w:r>
        <w:rPr>
          <w:rFonts w:ascii="Arial" w:hAnsi="Arial" w:eastAsia="宋体" w:cs="Arial"/>
          <w:i/>
          <w:color w:val="0000FF"/>
          <w:sz w:val="19"/>
          <w:szCs w:val="19"/>
          <w:shd w:val="clear" w:color="auto" w:fill="FFFFFF"/>
        </w:rPr>
        <w:t>24</w:t>
      </w:r>
      <w:r>
        <w:rPr>
          <w:rFonts w:ascii="Arial" w:hAnsi="Arial" w:eastAsia="宋体" w:cs="Arial"/>
          <w:color w:val="0000FF"/>
          <w:sz w:val="19"/>
          <w:szCs w:val="19"/>
          <w:shd w:val="clear" w:color="auto" w:fill="FFFFFF"/>
        </w:rPr>
        <w:t>(1), 29-37.</w:t>
      </w:r>
    </w:p>
    <w:p>
      <w:pPr>
        <w:numPr>
          <w:ilvl w:val="0"/>
          <w:numId w:val="2"/>
        </w:numPr>
        <w:rPr>
          <w:rFonts w:ascii="Arial" w:hAnsi="Arial" w:eastAsia="宋体" w:cs="Arial"/>
          <w:color w:val="0000FF"/>
          <w:sz w:val="19"/>
          <w:szCs w:val="19"/>
          <w:shd w:val="clear" w:color="auto" w:fill="FFFFFF"/>
        </w:rPr>
      </w:pPr>
      <w:r>
        <w:rPr>
          <w:rFonts w:ascii="Arial" w:hAnsi="Arial" w:eastAsia="宋体" w:cs="Arial"/>
          <w:color w:val="0000FF"/>
          <w:sz w:val="19"/>
          <w:szCs w:val="19"/>
          <w:shd w:val="clear" w:color="auto" w:fill="FFFFFF"/>
        </w:rPr>
        <w:t>De Jong, O. R. W., Hopman‐Rock, M., Tak, E. C. M. P., &amp; Klazinga, N. S. (2004). An implementation study of two evidence‐based exercise and health education programmes for older adults with osteoarthritis of the knee and hip. </w:t>
      </w:r>
      <w:r>
        <w:rPr>
          <w:rFonts w:ascii="Arial" w:hAnsi="Arial" w:eastAsia="宋体" w:cs="Arial"/>
          <w:i/>
          <w:color w:val="0000FF"/>
          <w:sz w:val="19"/>
          <w:szCs w:val="19"/>
          <w:shd w:val="clear" w:color="auto" w:fill="FFFFFF"/>
        </w:rPr>
        <w:t>Health education research</w:t>
      </w:r>
      <w:r>
        <w:rPr>
          <w:rFonts w:ascii="Arial" w:hAnsi="Arial" w:eastAsia="宋体" w:cs="Arial"/>
          <w:color w:val="0000FF"/>
          <w:sz w:val="19"/>
          <w:szCs w:val="19"/>
          <w:shd w:val="clear" w:color="auto" w:fill="FFFFFF"/>
        </w:rPr>
        <w:t>, </w:t>
      </w:r>
      <w:r>
        <w:rPr>
          <w:rFonts w:ascii="Arial" w:hAnsi="Arial" w:eastAsia="宋体" w:cs="Arial"/>
          <w:i/>
          <w:color w:val="0000FF"/>
          <w:sz w:val="19"/>
          <w:szCs w:val="19"/>
          <w:shd w:val="clear" w:color="auto" w:fill="FFFFFF"/>
        </w:rPr>
        <w:t>19</w:t>
      </w:r>
      <w:r>
        <w:rPr>
          <w:rFonts w:ascii="Arial" w:hAnsi="Arial" w:eastAsia="宋体" w:cs="Arial"/>
          <w:color w:val="0000FF"/>
          <w:sz w:val="19"/>
          <w:szCs w:val="19"/>
          <w:shd w:val="clear" w:color="auto" w:fill="FFFFFF"/>
        </w:rPr>
        <w:t>(3), 316-325.</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Brosseau, L., Wells, G. A., Kenny, G. P., Reid, R., Maetzel, A., Tugwell, P., ... &amp; Chen, L. (2012). The implementation of a community-based aerobic walking program for mild to moderate knee osteoarthritis (OA): a knowledge translation (KT) randomized controlled trial (RCT): Part I: The Uptake of the Ottawa Panel clinical practice guidelines (CPGs). </w:t>
      </w:r>
      <w:r>
        <w:rPr>
          <w:rFonts w:ascii="Arial" w:hAnsi="Arial" w:eastAsia="宋体" w:cs="Arial"/>
          <w:i/>
          <w:color w:val="222222"/>
          <w:sz w:val="19"/>
          <w:szCs w:val="19"/>
          <w:shd w:val="clear" w:color="auto" w:fill="FFFFFF"/>
        </w:rPr>
        <w:t>BMC public health</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12</w:t>
      </w:r>
      <w:r>
        <w:rPr>
          <w:rFonts w:ascii="Arial" w:hAnsi="Arial" w:eastAsia="宋体" w:cs="Arial"/>
          <w:color w:val="222222"/>
          <w:sz w:val="19"/>
          <w:szCs w:val="19"/>
          <w:shd w:val="clear" w:color="auto" w:fill="FFFFFF"/>
        </w:rPr>
        <w:t>(1), 871.</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Kanavaki, A. M., Rushton, A., Efstathiou, N., Alrushud, A., Klocke, R., Abhishek, A., &amp; Duda, J. L. (2017). Barriers and facilitators of physical activity in knee and hip osteoarthritis: a systematic review of qualitative evidence. </w:t>
      </w:r>
      <w:r>
        <w:rPr>
          <w:rFonts w:ascii="Arial" w:hAnsi="Arial" w:eastAsia="宋体" w:cs="Arial"/>
          <w:i/>
          <w:color w:val="222222"/>
          <w:sz w:val="19"/>
          <w:szCs w:val="19"/>
          <w:shd w:val="clear" w:color="auto" w:fill="FFFFFF"/>
        </w:rPr>
        <w:t>BMJ open</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7</w:t>
      </w:r>
      <w:r>
        <w:rPr>
          <w:rFonts w:ascii="Arial" w:hAnsi="Arial" w:eastAsia="宋体" w:cs="Arial"/>
          <w:color w:val="222222"/>
          <w:sz w:val="19"/>
          <w:szCs w:val="19"/>
          <w:shd w:val="clear" w:color="auto" w:fill="FFFFFF"/>
        </w:rPr>
        <w:t>(12), e017042.</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Jones, C. A., Voaklander, D. C., Johnston, D. W., &amp; Suarez-Almazor, M. E. (2000). Health related quality of life outcomes after total hip and knee arthroplasties in a community based population. </w:t>
      </w:r>
      <w:r>
        <w:rPr>
          <w:rFonts w:ascii="Arial" w:hAnsi="Arial" w:eastAsia="宋体" w:cs="Arial"/>
          <w:i/>
          <w:color w:val="222222"/>
          <w:sz w:val="19"/>
          <w:szCs w:val="19"/>
          <w:shd w:val="clear" w:color="auto" w:fill="FFFFFF"/>
        </w:rPr>
        <w:t>The Journal of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27</w:t>
      </w:r>
      <w:r>
        <w:rPr>
          <w:rFonts w:ascii="Arial" w:hAnsi="Arial" w:eastAsia="宋体" w:cs="Arial"/>
          <w:color w:val="222222"/>
          <w:sz w:val="19"/>
          <w:szCs w:val="19"/>
          <w:shd w:val="clear" w:color="auto" w:fill="FFFFFF"/>
        </w:rPr>
        <w:t>(7), 1745-1752.</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Murillo, Y. A., Almagro, R. M., Campos-González, I. D., &amp; Cardiel, M. H. (2015). Health related quality of life in rheumatoid arthritis, osteoarthritis, diabetes mellitus, end stage renal disease and geriatric subjects. Experience from a General Hospital in Mexico. </w:t>
      </w:r>
      <w:r>
        <w:rPr>
          <w:rFonts w:ascii="Arial" w:hAnsi="Arial" w:eastAsia="宋体" w:cs="Arial"/>
          <w:i/>
          <w:color w:val="222222"/>
          <w:sz w:val="19"/>
          <w:szCs w:val="19"/>
          <w:shd w:val="clear" w:color="auto" w:fill="FFFFFF"/>
        </w:rPr>
        <w:t>Reumatología Clínica (English Edition)</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11</w:t>
      </w:r>
      <w:r>
        <w:rPr>
          <w:rFonts w:ascii="Arial" w:hAnsi="Arial" w:eastAsia="宋体" w:cs="Arial"/>
          <w:color w:val="222222"/>
          <w:sz w:val="19"/>
          <w:szCs w:val="19"/>
          <w:shd w:val="clear" w:color="auto" w:fill="FFFFFF"/>
        </w:rPr>
        <w:t>(2), 68-72.</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Nunez, M., Nunez, E., Segur, J. M., Maculé, F., Sanchez, A., Hernández, M. V., &amp; Vilalta, C. (2007). Health-related quality of life and costs in patients with osteoarthritis on waiting list for total knee replacement. </w:t>
      </w:r>
      <w:r>
        <w:rPr>
          <w:rFonts w:ascii="Arial" w:hAnsi="Arial" w:eastAsia="宋体" w:cs="Arial"/>
          <w:i/>
          <w:color w:val="222222"/>
          <w:sz w:val="19"/>
          <w:szCs w:val="19"/>
          <w:shd w:val="clear" w:color="auto" w:fill="FFFFFF"/>
        </w:rPr>
        <w:t>Osteoarthritis and cartilage</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15</w:t>
      </w:r>
      <w:r>
        <w:rPr>
          <w:rFonts w:ascii="Arial" w:hAnsi="Arial" w:eastAsia="宋体" w:cs="Arial"/>
          <w:color w:val="222222"/>
          <w:sz w:val="19"/>
          <w:szCs w:val="19"/>
          <w:shd w:val="clear" w:color="auto" w:fill="FFFFFF"/>
        </w:rPr>
        <w:t>(3), 258-265.</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Fransen, M., Bridgett, L., March, L., Hoy, D., Penserga, E., &amp; Brooks, P. (2011). The epidemiology of osteoarthritis in Asia. </w:t>
      </w:r>
      <w:r>
        <w:rPr>
          <w:rFonts w:ascii="Arial" w:hAnsi="Arial" w:eastAsia="宋体" w:cs="Arial"/>
          <w:i/>
          <w:color w:val="222222"/>
          <w:sz w:val="19"/>
          <w:szCs w:val="19"/>
          <w:shd w:val="clear" w:color="auto" w:fill="FFFFFF"/>
        </w:rPr>
        <w:t>International journal of rheumatic diseases</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14</w:t>
      </w:r>
      <w:r>
        <w:rPr>
          <w:rFonts w:ascii="Arial" w:hAnsi="Arial" w:eastAsia="宋体" w:cs="Arial"/>
          <w:color w:val="222222"/>
          <w:sz w:val="19"/>
          <w:szCs w:val="19"/>
          <w:shd w:val="clear" w:color="auto" w:fill="FFFFFF"/>
        </w:rPr>
        <w:t>(2), 113-121.</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Vaughan, M. W., Felson, D. T., LaValley, M. P., Orsmond, G. I., Niu, J., Lewis, C. E., ... &amp; Keysor, J. J. (2017). Perceived Community Environmental Factors and Risk of Five‐Year Participation Restriction Among Older Adults With or at Risk of Knee Osteoarthritis. </w:t>
      </w:r>
      <w:r>
        <w:rPr>
          <w:rFonts w:ascii="Arial" w:hAnsi="Arial" w:eastAsia="宋体" w:cs="Arial"/>
          <w:i/>
          <w:color w:val="222222"/>
          <w:sz w:val="19"/>
          <w:szCs w:val="19"/>
          <w:shd w:val="clear" w:color="auto" w:fill="FFFFFF"/>
        </w:rPr>
        <w:t>Arthritis care &amp; research</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69</w:t>
      </w:r>
      <w:r>
        <w:rPr>
          <w:rFonts w:ascii="Arial" w:hAnsi="Arial" w:eastAsia="宋体" w:cs="Arial"/>
          <w:color w:val="222222"/>
          <w:sz w:val="19"/>
          <w:szCs w:val="19"/>
          <w:shd w:val="clear" w:color="auto" w:fill="FFFFFF"/>
        </w:rPr>
        <w:t>(7), 952-958.</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Fukutani, N., Iijima, H., Aoyama, T., Yamamoto, Y., Hiraoka, M., Miyanobu, K., ... &amp; Matsuda, S. (2016). Knee pain during activities of daily living and its relationship with physical activity in patients with early and severe knee osteoarthritis. </w:t>
      </w:r>
      <w:r>
        <w:rPr>
          <w:rFonts w:ascii="Arial" w:hAnsi="Arial" w:eastAsia="宋体" w:cs="Arial"/>
          <w:i/>
          <w:color w:val="222222"/>
          <w:sz w:val="19"/>
          <w:szCs w:val="19"/>
          <w:shd w:val="clear" w:color="auto" w:fill="FFFFFF"/>
        </w:rPr>
        <w:t>Clinical rheumatology</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35</w:t>
      </w:r>
      <w:r>
        <w:rPr>
          <w:rFonts w:ascii="Arial" w:hAnsi="Arial" w:eastAsia="宋体" w:cs="Arial"/>
          <w:color w:val="222222"/>
          <w:sz w:val="19"/>
          <w:szCs w:val="19"/>
          <w:shd w:val="clear" w:color="auto" w:fill="FFFFFF"/>
        </w:rPr>
        <w:t>(9), 2307-2316.</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Sherman, A. M. (2003). Social relations and depressive symptoms in older adults with knee osteoarthritis. </w:t>
      </w:r>
      <w:r>
        <w:rPr>
          <w:rFonts w:ascii="Arial" w:hAnsi="Arial" w:eastAsia="宋体" w:cs="Arial"/>
          <w:i/>
          <w:color w:val="222222"/>
          <w:sz w:val="19"/>
          <w:szCs w:val="19"/>
          <w:shd w:val="clear" w:color="auto" w:fill="FFFFFF"/>
        </w:rPr>
        <w:t>Social science &amp; medicine</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56</w:t>
      </w:r>
      <w:r>
        <w:rPr>
          <w:rFonts w:ascii="Arial" w:hAnsi="Arial" w:eastAsia="宋体" w:cs="Arial"/>
          <w:color w:val="222222"/>
          <w:sz w:val="19"/>
          <w:szCs w:val="19"/>
          <w:shd w:val="clear" w:color="auto" w:fill="FFFFFF"/>
        </w:rPr>
        <w:t>(2), 247-257.</w:t>
      </w:r>
    </w:p>
    <w:p>
      <w:pPr>
        <w:numPr>
          <w:ilvl w:val="0"/>
          <w:numId w:val="2"/>
        </w:numPr>
        <w:rPr>
          <w:rFonts w:ascii="Arial" w:hAnsi="Arial" w:eastAsia="宋体" w:cs="Arial"/>
          <w:color w:val="222222"/>
          <w:sz w:val="19"/>
          <w:szCs w:val="19"/>
          <w:shd w:val="clear" w:color="auto" w:fill="FFFFFF"/>
        </w:rPr>
      </w:pPr>
      <w:r>
        <w:rPr>
          <w:rFonts w:ascii="Arial" w:hAnsi="Arial" w:eastAsia="宋体" w:cs="Arial"/>
          <w:color w:val="222222"/>
          <w:sz w:val="19"/>
          <w:szCs w:val="19"/>
          <w:shd w:val="clear" w:color="auto" w:fill="FFFFFF"/>
        </w:rPr>
        <w:t>Abbasnia, V. S. (2016). The effect of Citrus Aurantium flowers aqueous extract on sleeping time and the level of anxiety in mice. </w:t>
      </w:r>
      <w:r>
        <w:rPr>
          <w:rFonts w:ascii="Arial" w:hAnsi="Arial" w:eastAsia="宋体" w:cs="Arial"/>
          <w:i/>
          <w:color w:val="222222"/>
          <w:sz w:val="19"/>
          <w:szCs w:val="19"/>
          <w:shd w:val="clear" w:color="auto" w:fill="FFFFFF"/>
        </w:rPr>
        <w:t>Journal of Birjand University of Medical Sciences</w:t>
      </w:r>
      <w:r>
        <w:rPr>
          <w:rFonts w:ascii="Arial" w:hAnsi="Arial" w:eastAsia="宋体" w:cs="Arial"/>
          <w:color w:val="222222"/>
          <w:sz w:val="19"/>
          <w:szCs w:val="19"/>
          <w:shd w:val="clear" w:color="auto" w:fill="FFFFFF"/>
        </w:rPr>
        <w:t>, </w:t>
      </w:r>
      <w:r>
        <w:rPr>
          <w:rFonts w:ascii="Arial" w:hAnsi="Arial" w:eastAsia="宋体" w:cs="Arial"/>
          <w:i/>
          <w:color w:val="222222"/>
          <w:sz w:val="19"/>
          <w:szCs w:val="19"/>
          <w:shd w:val="clear" w:color="auto" w:fill="FFFFFF"/>
        </w:rPr>
        <w:t>23</w:t>
      </w:r>
      <w:r>
        <w:rPr>
          <w:rFonts w:ascii="Arial" w:hAnsi="Arial" w:eastAsia="宋体" w:cs="Arial"/>
          <w:color w:val="222222"/>
          <w:sz w:val="19"/>
          <w:szCs w:val="19"/>
          <w:shd w:val="clear" w:color="auto" w:fill="FFFFFF"/>
        </w:rPr>
        <w:t>(4), 307-314.</w:t>
      </w:r>
    </w:p>
    <w:bookmarkEnd w:id="0"/>
    <w:p>
      <w:p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pPr>
        <w:rPr>
          <w:rFonts w:ascii="Times New Roman" w:hAnsi="Times New Roman" w:eastAsia="Times New Roman" w:cs="Times New Roman"/>
          <w:b/>
          <w:bCs/>
          <w:iCs/>
          <w:sz w:val="28"/>
          <w:szCs w:val="28"/>
        </w:rPr>
      </w:pPr>
      <w:bookmarkStart w:id="8" w:name="_Toc527750678"/>
      <w:r>
        <w:rPr>
          <w:rFonts w:ascii="Times New Roman" w:hAnsi="Times New Roman" w:eastAsia="Times New Roman" w:cs="Times New Roman"/>
          <w:b/>
          <w:bCs/>
          <w:iCs/>
          <w:sz w:val="28"/>
          <w:szCs w:val="28"/>
        </w:rPr>
        <w:t>APPENDIX</w:t>
      </w:r>
      <w:bookmarkEnd w:id="8"/>
      <w:r>
        <w:rPr>
          <w:rFonts w:ascii="Times New Roman" w:hAnsi="Times New Roman" w:eastAsia="Times New Roman" w:cs="Times New Roman"/>
          <w:b/>
          <w:bCs/>
          <w:iCs/>
          <w:sz w:val="28"/>
          <w:szCs w:val="28"/>
        </w:rPr>
        <w:t xml:space="preserve"> </w:t>
      </w:r>
    </w:p>
    <w:p>
      <w:pPr>
        <w:keepNext/>
        <w:spacing w:after="60" w:line="480" w:lineRule="auto"/>
        <w:outlineLvl w:val="1"/>
        <w:rPr>
          <w:rFonts w:ascii="Times New Roman" w:hAnsi="Times New Roman" w:eastAsia="Times New Roman" w:cs="Times New Roman"/>
          <w:b/>
          <w:bCs/>
          <w:iCs/>
          <w:sz w:val="24"/>
          <w:szCs w:val="24"/>
        </w:rPr>
      </w:pPr>
      <w:bookmarkStart w:id="9" w:name="_Toc527750679"/>
      <w:r>
        <w:rPr>
          <w:rFonts w:ascii="Times New Roman" w:hAnsi="Times New Roman" w:eastAsia="Times New Roman" w:cs="Times New Roman"/>
          <w:b/>
          <w:bCs/>
          <w:iCs/>
          <w:sz w:val="24"/>
          <w:szCs w:val="24"/>
        </w:rPr>
        <w:t>CONSENT FORM:</w:t>
      </w:r>
      <w:bookmarkEnd w:id="9"/>
    </w:p>
    <w:p>
      <w:pPr>
        <w:spacing w:line="480" w:lineRule="auto"/>
        <w:rPr>
          <w:rFonts w:ascii="Times New Roman" w:hAnsi="Times New Roman" w:cs="Times New Roman"/>
          <w:sz w:val="24"/>
          <w:szCs w:val="24"/>
        </w:rPr>
      </w:pPr>
      <w:r>
        <w:rPr>
          <w:rFonts w:ascii="Times New Roman" w:hAnsi="Times New Roman" w:cs="Times New Roman"/>
          <w:sz w:val="24"/>
          <w:szCs w:val="24"/>
        </w:rPr>
        <w:t>Respected participant, the study in which you will participate relates to females and males with and without osteoarthritis. Please give approval for your participation by completing the following form.</w:t>
      </w:r>
    </w:p>
    <w:p>
      <w:pPr>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confirm that I have read and understand the information about the study.</w:t>
      </w:r>
    </w:p>
    <w:p>
      <w:pPr>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understand that participation is voluntary and that I am free to withdraw at any time, without giving any reason.</w:t>
      </w:r>
    </w:p>
    <w:p>
      <w:pPr>
        <w:numPr>
          <w:ilvl w:val="0"/>
          <w:numId w:val="3"/>
        </w:num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 agree to take part in this study and to provide the following personal details to the researcher for the purpose of contacting me directly to arrange a research interview.</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Gender; _______ Age; _______ Date; ______________ </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Phone no; ____________________________________</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Hospital name: ________________________________</w:t>
      </w:r>
    </w:p>
    <w:p>
      <w:pPr>
        <w:spacing w:line="480" w:lineRule="auto"/>
        <w:contextualSpacing/>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pPr>
        <w:spacing w:line="480" w:lineRule="auto"/>
        <w:contextualSpacing/>
        <w:rPr>
          <w:rFonts w:ascii="Times New Roman" w:hAnsi="Times New Roman" w:cs="Times New Roman"/>
          <w:sz w:val="24"/>
          <w:szCs w:val="24"/>
        </w:rPr>
      </w:pPr>
    </w:p>
    <w:p>
      <w:pPr>
        <w:spacing w:line="480" w:lineRule="auto"/>
        <w:contextualSpacing/>
        <w:rPr>
          <w:rFonts w:ascii="Times New Roman" w:hAnsi="Times New Roman" w:cs="Times New Roman"/>
          <w:sz w:val="24"/>
          <w:szCs w:val="24"/>
        </w:rPr>
      </w:pPr>
    </w:p>
    <w:sectPr>
      <w:footerReference r:id="rId3" w:type="default"/>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97469"/>
    </w:sdtPr>
    <w:sdtContent>
      <w:p>
        <w:pPr>
          <w:pStyle w:val="7"/>
          <w:jc w:val="right"/>
        </w:pPr>
        <w:r>
          <w:fldChar w:fldCharType="begin"/>
        </w:r>
        <w:r>
          <w:instrText xml:space="preserve"> PAGE   \* MERGEFORMAT </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376A"/>
    <w:multiLevelType w:val="multilevel"/>
    <w:tmpl w:val="19AA37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FA0DD6"/>
    <w:multiLevelType w:val="multilevel"/>
    <w:tmpl w:val="1AFA0DD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DDB7EEF"/>
    <w:multiLevelType w:val="singleLevel"/>
    <w:tmpl w:val="5DDB7EEF"/>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5wfrxtxft0r0ezdr45v5efzsvxresfw2z0&quot;&gt;My EndNote Library&lt;record-ids&gt;&lt;item&gt;6&lt;/item&gt;&lt;item&gt;7&lt;/item&gt;&lt;item&gt;8&lt;/item&gt;&lt;item&gt;9&lt;/item&gt;&lt;item&gt;10&lt;/item&gt;&lt;item&gt;11&lt;/item&gt;&lt;item&gt;12&lt;/item&gt;&lt;item&gt;13&lt;/item&gt;&lt;item&gt;14&lt;/item&gt;&lt;item&gt;15&lt;/item&gt;&lt;item&gt;16&lt;/item&gt;&lt;item&gt;17&lt;/item&gt;&lt;item&gt;19&lt;/item&gt;&lt;item&gt;20&lt;/item&gt;&lt;item&gt;27&lt;/item&gt;&lt;item&gt;28&lt;/item&gt;&lt;item&gt;29&lt;/item&gt;&lt;item&gt;30&lt;/item&gt;&lt;item&gt;31&lt;/item&gt;&lt;item&gt;32&lt;/item&gt;&lt;item&gt;33&lt;/item&gt;&lt;item&gt;34&lt;/item&gt;&lt;item&gt;35&lt;/item&gt;&lt;item&gt;36&lt;/item&gt;&lt;item&gt;57&lt;/item&gt;&lt;item&gt;59&lt;/item&gt;&lt;item&gt;60&lt;/item&gt;&lt;item&gt;61&lt;/item&gt;&lt;item&gt;62&lt;/item&gt;&lt;/record-ids&gt;&lt;/item&gt;&lt;/Libraries&gt;"/>
  </w:docVars>
  <w:rsids>
    <w:rsidRoot w:val="00F755D1"/>
    <w:rsid w:val="0000096D"/>
    <w:rsid w:val="000056F0"/>
    <w:rsid w:val="000072C3"/>
    <w:rsid w:val="00007722"/>
    <w:rsid w:val="000105C9"/>
    <w:rsid w:val="00013256"/>
    <w:rsid w:val="000322AA"/>
    <w:rsid w:val="00034889"/>
    <w:rsid w:val="00040759"/>
    <w:rsid w:val="00040856"/>
    <w:rsid w:val="00051035"/>
    <w:rsid w:val="00051740"/>
    <w:rsid w:val="000565B0"/>
    <w:rsid w:val="00057589"/>
    <w:rsid w:val="00060AE2"/>
    <w:rsid w:val="00060AF5"/>
    <w:rsid w:val="000727E4"/>
    <w:rsid w:val="00075632"/>
    <w:rsid w:val="000759D8"/>
    <w:rsid w:val="0007702C"/>
    <w:rsid w:val="000810F8"/>
    <w:rsid w:val="00082CF1"/>
    <w:rsid w:val="00083868"/>
    <w:rsid w:val="000842F7"/>
    <w:rsid w:val="00086344"/>
    <w:rsid w:val="00095981"/>
    <w:rsid w:val="000A713D"/>
    <w:rsid w:val="000B078F"/>
    <w:rsid w:val="000B4616"/>
    <w:rsid w:val="000C4DE2"/>
    <w:rsid w:val="000C7B70"/>
    <w:rsid w:val="000C7E32"/>
    <w:rsid w:val="000D0ABA"/>
    <w:rsid w:val="000E298D"/>
    <w:rsid w:val="000E306C"/>
    <w:rsid w:val="000E692A"/>
    <w:rsid w:val="000F03EB"/>
    <w:rsid w:val="000F10EA"/>
    <w:rsid w:val="000F3611"/>
    <w:rsid w:val="00106448"/>
    <w:rsid w:val="00106D49"/>
    <w:rsid w:val="001132F9"/>
    <w:rsid w:val="001150FD"/>
    <w:rsid w:val="00115C92"/>
    <w:rsid w:val="00127B42"/>
    <w:rsid w:val="00132F40"/>
    <w:rsid w:val="001353CE"/>
    <w:rsid w:val="001416F1"/>
    <w:rsid w:val="00142C39"/>
    <w:rsid w:val="001457B9"/>
    <w:rsid w:val="00145B4C"/>
    <w:rsid w:val="00151995"/>
    <w:rsid w:val="001533B3"/>
    <w:rsid w:val="00164B23"/>
    <w:rsid w:val="001758A9"/>
    <w:rsid w:val="0017632F"/>
    <w:rsid w:val="00177370"/>
    <w:rsid w:val="0018032C"/>
    <w:rsid w:val="00184E5B"/>
    <w:rsid w:val="00187256"/>
    <w:rsid w:val="0019477F"/>
    <w:rsid w:val="00194F5F"/>
    <w:rsid w:val="00196B97"/>
    <w:rsid w:val="001A0457"/>
    <w:rsid w:val="001A16B5"/>
    <w:rsid w:val="001A4EF4"/>
    <w:rsid w:val="001A6F13"/>
    <w:rsid w:val="001B0FD1"/>
    <w:rsid w:val="001C04EE"/>
    <w:rsid w:val="001D651C"/>
    <w:rsid w:val="001E6F1C"/>
    <w:rsid w:val="001E72EE"/>
    <w:rsid w:val="001F7391"/>
    <w:rsid w:val="00201701"/>
    <w:rsid w:val="002076C1"/>
    <w:rsid w:val="00210D9C"/>
    <w:rsid w:val="0021468E"/>
    <w:rsid w:val="002256F1"/>
    <w:rsid w:val="00227FA5"/>
    <w:rsid w:val="00237FD2"/>
    <w:rsid w:val="00253593"/>
    <w:rsid w:val="00254323"/>
    <w:rsid w:val="002562C2"/>
    <w:rsid w:val="002725FA"/>
    <w:rsid w:val="00280C0D"/>
    <w:rsid w:val="0029437A"/>
    <w:rsid w:val="00294804"/>
    <w:rsid w:val="00297FC9"/>
    <w:rsid w:val="002A5664"/>
    <w:rsid w:val="002B1B37"/>
    <w:rsid w:val="002B4C14"/>
    <w:rsid w:val="002B69A0"/>
    <w:rsid w:val="002C0F0A"/>
    <w:rsid w:val="002C1483"/>
    <w:rsid w:val="002C509F"/>
    <w:rsid w:val="002D2CBD"/>
    <w:rsid w:val="002D5ED2"/>
    <w:rsid w:val="002E03E9"/>
    <w:rsid w:val="002E0DE4"/>
    <w:rsid w:val="002E14CE"/>
    <w:rsid w:val="002E61B9"/>
    <w:rsid w:val="002E7C09"/>
    <w:rsid w:val="002E7ED9"/>
    <w:rsid w:val="002F41F2"/>
    <w:rsid w:val="002F5709"/>
    <w:rsid w:val="002F7537"/>
    <w:rsid w:val="003015C9"/>
    <w:rsid w:val="00310620"/>
    <w:rsid w:val="0031752F"/>
    <w:rsid w:val="00320FF7"/>
    <w:rsid w:val="00326B43"/>
    <w:rsid w:val="00332702"/>
    <w:rsid w:val="003359F1"/>
    <w:rsid w:val="0033607E"/>
    <w:rsid w:val="00336B69"/>
    <w:rsid w:val="00337F85"/>
    <w:rsid w:val="0034077E"/>
    <w:rsid w:val="00340A65"/>
    <w:rsid w:val="003442FD"/>
    <w:rsid w:val="00363F63"/>
    <w:rsid w:val="00366D00"/>
    <w:rsid w:val="00367243"/>
    <w:rsid w:val="00370DF8"/>
    <w:rsid w:val="003748DF"/>
    <w:rsid w:val="00381645"/>
    <w:rsid w:val="00386CE5"/>
    <w:rsid w:val="003921BF"/>
    <w:rsid w:val="003A00A0"/>
    <w:rsid w:val="003A0F0C"/>
    <w:rsid w:val="003B25A6"/>
    <w:rsid w:val="003C11D8"/>
    <w:rsid w:val="003C1ECF"/>
    <w:rsid w:val="003C3B50"/>
    <w:rsid w:val="003C5552"/>
    <w:rsid w:val="003C6291"/>
    <w:rsid w:val="003D05E0"/>
    <w:rsid w:val="003D5549"/>
    <w:rsid w:val="003D5AD0"/>
    <w:rsid w:val="003F022D"/>
    <w:rsid w:val="004005C8"/>
    <w:rsid w:val="00400C85"/>
    <w:rsid w:val="004035BF"/>
    <w:rsid w:val="0041731B"/>
    <w:rsid w:val="00417D97"/>
    <w:rsid w:val="0042141D"/>
    <w:rsid w:val="004255B8"/>
    <w:rsid w:val="0042599B"/>
    <w:rsid w:val="00425A4E"/>
    <w:rsid w:val="00426003"/>
    <w:rsid w:val="00435EAF"/>
    <w:rsid w:val="0045252E"/>
    <w:rsid w:val="00452613"/>
    <w:rsid w:val="00452625"/>
    <w:rsid w:val="00454C50"/>
    <w:rsid w:val="004576B2"/>
    <w:rsid w:val="00457EA3"/>
    <w:rsid w:val="00461C9C"/>
    <w:rsid w:val="004763F3"/>
    <w:rsid w:val="00481144"/>
    <w:rsid w:val="00481E9A"/>
    <w:rsid w:val="004874F0"/>
    <w:rsid w:val="00493DB5"/>
    <w:rsid w:val="004A0DC0"/>
    <w:rsid w:val="004A291C"/>
    <w:rsid w:val="004A6647"/>
    <w:rsid w:val="004B09A9"/>
    <w:rsid w:val="004B40AD"/>
    <w:rsid w:val="004B6DBC"/>
    <w:rsid w:val="004C7A7A"/>
    <w:rsid w:val="004D66DA"/>
    <w:rsid w:val="004D6F4D"/>
    <w:rsid w:val="004E19B4"/>
    <w:rsid w:val="004E373B"/>
    <w:rsid w:val="004E5549"/>
    <w:rsid w:val="004E6DAA"/>
    <w:rsid w:val="004F213D"/>
    <w:rsid w:val="004F3EDC"/>
    <w:rsid w:val="004F4152"/>
    <w:rsid w:val="004F72AF"/>
    <w:rsid w:val="005015FF"/>
    <w:rsid w:val="00502E49"/>
    <w:rsid w:val="0051069A"/>
    <w:rsid w:val="005203DF"/>
    <w:rsid w:val="0052201B"/>
    <w:rsid w:val="00523A95"/>
    <w:rsid w:val="005252C7"/>
    <w:rsid w:val="0052748C"/>
    <w:rsid w:val="00535671"/>
    <w:rsid w:val="00536041"/>
    <w:rsid w:val="005511C1"/>
    <w:rsid w:val="00552D2C"/>
    <w:rsid w:val="00554769"/>
    <w:rsid w:val="005625AC"/>
    <w:rsid w:val="00570271"/>
    <w:rsid w:val="00586F44"/>
    <w:rsid w:val="0058703A"/>
    <w:rsid w:val="00595DC7"/>
    <w:rsid w:val="005964AC"/>
    <w:rsid w:val="00597A4A"/>
    <w:rsid w:val="00597F89"/>
    <w:rsid w:val="005A34C2"/>
    <w:rsid w:val="005B1A6B"/>
    <w:rsid w:val="005B3CF6"/>
    <w:rsid w:val="005B7C95"/>
    <w:rsid w:val="005C05B0"/>
    <w:rsid w:val="005C1D1F"/>
    <w:rsid w:val="005C1ED6"/>
    <w:rsid w:val="005C71D6"/>
    <w:rsid w:val="005E1886"/>
    <w:rsid w:val="005E5C34"/>
    <w:rsid w:val="005E6828"/>
    <w:rsid w:val="005F2D84"/>
    <w:rsid w:val="00601EEF"/>
    <w:rsid w:val="00603127"/>
    <w:rsid w:val="006056C4"/>
    <w:rsid w:val="006060FD"/>
    <w:rsid w:val="00611A23"/>
    <w:rsid w:val="00612C43"/>
    <w:rsid w:val="006133AE"/>
    <w:rsid w:val="00613ED7"/>
    <w:rsid w:val="006247A6"/>
    <w:rsid w:val="00626DCD"/>
    <w:rsid w:val="0063101E"/>
    <w:rsid w:val="006326FC"/>
    <w:rsid w:val="00634F11"/>
    <w:rsid w:val="00635CA3"/>
    <w:rsid w:val="0064102A"/>
    <w:rsid w:val="00641184"/>
    <w:rsid w:val="0064661E"/>
    <w:rsid w:val="00646C4D"/>
    <w:rsid w:val="006655C3"/>
    <w:rsid w:val="00666920"/>
    <w:rsid w:val="00666938"/>
    <w:rsid w:val="0067055A"/>
    <w:rsid w:val="006734A9"/>
    <w:rsid w:val="00681B09"/>
    <w:rsid w:val="006834EF"/>
    <w:rsid w:val="0068555A"/>
    <w:rsid w:val="006A33B8"/>
    <w:rsid w:val="006B2C60"/>
    <w:rsid w:val="006B3BCF"/>
    <w:rsid w:val="006B6FF9"/>
    <w:rsid w:val="006B718E"/>
    <w:rsid w:val="006B78D5"/>
    <w:rsid w:val="006C6E48"/>
    <w:rsid w:val="006D1E63"/>
    <w:rsid w:val="006D3A39"/>
    <w:rsid w:val="006D64F7"/>
    <w:rsid w:val="006D78FE"/>
    <w:rsid w:val="006F0EED"/>
    <w:rsid w:val="006F12CE"/>
    <w:rsid w:val="006F4F68"/>
    <w:rsid w:val="00700830"/>
    <w:rsid w:val="0070757A"/>
    <w:rsid w:val="0073129C"/>
    <w:rsid w:val="00732867"/>
    <w:rsid w:val="00734A62"/>
    <w:rsid w:val="00735A66"/>
    <w:rsid w:val="007363AF"/>
    <w:rsid w:val="0074342F"/>
    <w:rsid w:val="007453E1"/>
    <w:rsid w:val="00752E78"/>
    <w:rsid w:val="00760576"/>
    <w:rsid w:val="0076495D"/>
    <w:rsid w:val="00771E4F"/>
    <w:rsid w:val="00772EB3"/>
    <w:rsid w:val="00775F2B"/>
    <w:rsid w:val="00776065"/>
    <w:rsid w:val="007828B0"/>
    <w:rsid w:val="007936E4"/>
    <w:rsid w:val="007953B8"/>
    <w:rsid w:val="007A4610"/>
    <w:rsid w:val="007B6007"/>
    <w:rsid w:val="007C28E0"/>
    <w:rsid w:val="007D0815"/>
    <w:rsid w:val="007D23D0"/>
    <w:rsid w:val="007E1C53"/>
    <w:rsid w:val="007E2CF2"/>
    <w:rsid w:val="007F0353"/>
    <w:rsid w:val="007F1AA6"/>
    <w:rsid w:val="007F25FB"/>
    <w:rsid w:val="007F2812"/>
    <w:rsid w:val="007F69C6"/>
    <w:rsid w:val="00806075"/>
    <w:rsid w:val="00811C07"/>
    <w:rsid w:val="00816AFC"/>
    <w:rsid w:val="00822053"/>
    <w:rsid w:val="0082418C"/>
    <w:rsid w:val="00825604"/>
    <w:rsid w:val="00825F36"/>
    <w:rsid w:val="0082777E"/>
    <w:rsid w:val="00831AC2"/>
    <w:rsid w:val="00834F6E"/>
    <w:rsid w:val="00835607"/>
    <w:rsid w:val="00842E6C"/>
    <w:rsid w:val="0084373B"/>
    <w:rsid w:val="0084461A"/>
    <w:rsid w:val="00846C7F"/>
    <w:rsid w:val="00851F3B"/>
    <w:rsid w:val="00853B12"/>
    <w:rsid w:val="00855583"/>
    <w:rsid w:val="008609B0"/>
    <w:rsid w:val="00860B29"/>
    <w:rsid w:val="00860C7F"/>
    <w:rsid w:val="008624AB"/>
    <w:rsid w:val="00865672"/>
    <w:rsid w:val="008722B0"/>
    <w:rsid w:val="008835F0"/>
    <w:rsid w:val="0088604E"/>
    <w:rsid w:val="00887F5E"/>
    <w:rsid w:val="00890E2E"/>
    <w:rsid w:val="008916BC"/>
    <w:rsid w:val="008A3F93"/>
    <w:rsid w:val="008A716B"/>
    <w:rsid w:val="008B014F"/>
    <w:rsid w:val="008B0C65"/>
    <w:rsid w:val="008B1111"/>
    <w:rsid w:val="008B262C"/>
    <w:rsid w:val="008B527D"/>
    <w:rsid w:val="008C0828"/>
    <w:rsid w:val="008C4E1F"/>
    <w:rsid w:val="008C790A"/>
    <w:rsid w:val="008D0D42"/>
    <w:rsid w:val="008D1A62"/>
    <w:rsid w:val="008D3C1B"/>
    <w:rsid w:val="008D4DE5"/>
    <w:rsid w:val="008D51F7"/>
    <w:rsid w:val="008D562B"/>
    <w:rsid w:val="008E1BF5"/>
    <w:rsid w:val="008F0866"/>
    <w:rsid w:val="008F52B4"/>
    <w:rsid w:val="0090089D"/>
    <w:rsid w:val="00902A79"/>
    <w:rsid w:val="00911C26"/>
    <w:rsid w:val="00914E28"/>
    <w:rsid w:val="009173CE"/>
    <w:rsid w:val="009209E7"/>
    <w:rsid w:val="00931A1E"/>
    <w:rsid w:val="00944F1B"/>
    <w:rsid w:val="0095006D"/>
    <w:rsid w:val="0096037F"/>
    <w:rsid w:val="00962893"/>
    <w:rsid w:val="00964C2F"/>
    <w:rsid w:val="009678A4"/>
    <w:rsid w:val="00967FA9"/>
    <w:rsid w:val="00971944"/>
    <w:rsid w:val="00982DC4"/>
    <w:rsid w:val="009832D2"/>
    <w:rsid w:val="00983F15"/>
    <w:rsid w:val="00990CEB"/>
    <w:rsid w:val="00992154"/>
    <w:rsid w:val="00994718"/>
    <w:rsid w:val="009B3311"/>
    <w:rsid w:val="009B3C43"/>
    <w:rsid w:val="009C3D4C"/>
    <w:rsid w:val="009D54E0"/>
    <w:rsid w:val="009D646E"/>
    <w:rsid w:val="009E0615"/>
    <w:rsid w:val="009F1524"/>
    <w:rsid w:val="009F4551"/>
    <w:rsid w:val="00A0158E"/>
    <w:rsid w:val="00A126B4"/>
    <w:rsid w:val="00A1599C"/>
    <w:rsid w:val="00A23983"/>
    <w:rsid w:val="00A52AF4"/>
    <w:rsid w:val="00A61C77"/>
    <w:rsid w:val="00A61FAC"/>
    <w:rsid w:val="00A73414"/>
    <w:rsid w:val="00A7738A"/>
    <w:rsid w:val="00A8006B"/>
    <w:rsid w:val="00A82D1C"/>
    <w:rsid w:val="00A86BB1"/>
    <w:rsid w:val="00A87BF0"/>
    <w:rsid w:val="00A90702"/>
    <w:rsid w:val="00A9302F"/>
    <w:rsid w:val="00A944D1"/>
    <w:rsid w:val="00AA2402"/>
    <w:rsid w:val="00AA30EE"/>
    <w:rsid w:val="00AA52DA"/>
    <w:rsid w:val="00AA5F14"/>
    <w:rsid w:val="00AA630C"/>
    <w:rsid w:val="00AA6AB4"/>
    <w:rsid w:val="00AB0E9F"/>
    <w:rsid w:val="00AB5E7B"/>
    <w:rsid w:val="00AB650D"/>
    <w:rsid w:val="00AC1CE7"/>
    <w:rsid w:val="00AC1D91"/>
    <w:rsid w:val="00AC5204"/>
    <w:rsid w:val="00AC7D68"/>
    <w:rsid w:val="00AD3813"/>
    <w:rsid w:val="00AD5197"/>
    <w:rsid w:val="00AD5934"/>
    <w:rsid w:val="00AE1C07"/>
    <w:rsid w:val="00AE3F72"/>
    <w:rsid w:val="00AE6D05"/>
    <w:rsid w:val="00AF05A1"/>
    <w:rsid w:val="00B02CF6"/>
    <w:rsid w:val="00B04816"/>
    <w:rsid w:val="00B06890"/>
    <w:rsid w:val="00B1505C"/>
    <w:rsid w:val="00B2249C"/>
    <w:rsid w:val="00B300B9"/>
    <w:rsid w:val="00B316EF"/>
    <w:rsid w:val="00B32282"/>
    <w:rsid w:val="00B34C47"/>
    <w:rsid w:val="00B35775"/>
    <w:rsid w:val="00B46356"/>
    <w:rsid w:val="00B50BBC"/>
    <w:rsid w:val="00B5176A"/>
    <w:rsid w:val="00B51ECC"/>
    <w:rsid w:val="00B52724"/>
    <w:rsid w:val="00B57F11"/>
    <w:rsid w:val="00B62053"/>
    <w:rsid w:val="00B63256"/>
    <w:rsid w:val="00B64AB2"/>
    <w:rsid w:val="00B7308C"/>
    <w:rsid w:val="00B74778"/>
    <w:rsid w:val="00B82C1B"/>
    <w:rsid w:val="00B91AED"/>
    <w:rsid w:val="00B91B49"/>
    <w:rsid w:val="00BA5A4A"/>
    <w:rsid w:val="00BA7776"/>
    <w:rsid w:val="00BC3AD7"/>
    <w:rsid w:val="00BC4068"/>
    <w:rsid w:val="00BC6D33"/>
    <w:rsid w:val="00BC70A1"/>
    <w:rsid w:val="00BC75A2"/>
    <w:rsid w:val="00BC7BD4"/>
    <w:rsid w:val="00BD23E2"/>
    <w:rsid w:val="00BD7EE3"/>
    <w:rsid w:val="00BE05D9"/>
    <w:rsid w:val="00BE2136"/>
    <w:rsid w:val="00BE29C5"/>
    <w:rsid w:val="00BE415B"/>
    <w:rsid w:val="00BF00EB"/>
    <w:rsid w:val="00BF1AE7"/>
    <w:rsid w:val="00BF4621"/>
    <w:rsid w:val="00BF7A9C"/>
    <w:rsid w:val="00C001B0"/>
    <w:rsid w:val="00C00479"/>
    <w:rsid w:val="00C0300B"/>
    <w:rsid w:val="00C12DEB"/>
    <w:rsid w:val="00C1553D"/>
    <w:rsid w:val="00C20748"/>
    <w:rsid w:val="00C27EFB"/>
    <w:rsid w:val="00C300A9"/>
    <w:rsid w:val="00C32CD9"/>
    <w:rsid w:val="00C36DB3"/>
    <w:rsid w:val="00C4204A"/>
    <w:rsid w:val="00C42557"/>
    <w:rsid w:val="00C42DA3"/>
    <w:rsid w:val="00C5134A"/>
    <w:rsid w:val="00C5284A"/>
    <w:rsid w:val="00C530B0"/>
    <w:rsid w:val="00C55AA3"/>
    <w:rsid w:val="00C65018"/>
    <w:rsid w:val="00C65542"/>
    <w:rsid w:val="00C66672"/>
    <w:rsid w:val="00C70467"/>
    <w:rsid w:val="00C70A12"/>
    <w:rsid w:val="00C77403"/>
    <w:rsid w:val="00C774D5"/>
    <w:rsid w:val="00C83B66"/>
    <w:rsid w:val="00C83E25"/>
    <w:rsid w:val="00C84E40"/>
    <w:rsid w:val="00C91130"/>
    <w:rsid w:val="00C9136C"/>
    <w:rsid w:val="00C93F1D"/>
    <w:rsid w:val="00C94B4D"/>
    <w:rsid w:val="00CA3783"/>
    <w:rsid w:val="00CA6226"/>
    <w:rsid w:val="00CC0F97"/>
    <w:rsid w:val="00CD2028"/>
    <w:rsid w:val="00CD7187"/>
    <w:rsid w:val="00CE5FE6"/>
    <w:rsid w:val="00CF5714"/>
    <w:rsid w:val="00D01245"/>
    <w:rsid w:val="00D04C28"/>
    <w:rsid w:val="00D12344"/>
    <w:rsid w:val="00D17F3A"/>
    <w:rsid w:val="00D20D2E"/>
    <w:rsid w:val="00D22524"/>
    <w:rsid w:val="00D30962"/>
    <w:rsid w:val="00D31F07"/>
    <w:rsid w:val="00D334FF"/>
    <w:rsid w:val="00D35350"/>
    <w:rsid w:val="00D41099"/>
    <w:rsid w:val="00D55AA7"/>
    <w:rsid w:val="00D5671A"/>
    <w:rsid w:val="00D60D28"/>
    <w:rsid w:val="00D74E24"/>
    <w:rsid w:val="00D75452"/>
    <w:rsid w:val="00D763D6"/>
    <w:rsid w:val="00D773E2"/>
    <w:rsid w:val="00D804FB"/>
    <w:rsid w:val="00D81719"/>
    <w:rsid w:val="00D82D95"/>
    <w:rsid w:val="00D86484"/>
    <w:rsid w:val="00DA5973"/>
    <w:rsid w:val="00DA7E85"/>
    <w:rsid w:val="00DB75EB"/>
    <w:rsid w:val="00DC05E4"/>
    <w:rsid w:val="00DC1D2E"/>
    <w:rsid w:val="00DC599E"/>
    <w:rsid w:val="00DC5DE6"/>
    <w:rsid w:val="00DC6A16"/>
    <w:rsid w:val="00DD286B"/>
    <w:rsid w:val="00DD514A"/>
    <w:rsid w:val="00DE0644"/>
    <w:rsid w:val="00DE2E57"/>
    <w:rsid w:val="00DE50D1"/>
    <w:rsid w:val="00DF26A7"/>
    <w:rsid w:val="00DF4637"/>
    <w:rsid w:val="00E03795"/>
    <w:rsid w:val="00E0417E"/>
    <w:rsid w:val="00E043D7"/>
    <w:rsid w:val="00E0521F"/>
    <w:rsid w:val="00E065D1"/>
    <w:rsid w:val="00E22B6B"/>
    <w:rsid w:val="00E24D5C"/>
    <w:rsid w:val="00E26D3D"/>
    <w:rsid w:val="00E275DB"/>
    <w:rsid w:val="00E33732"/>
    <w:rsid w:val="00E344E3"/>
    <w:rsid w:val="00E401B1"/>
    <w:rsid w:val="00E41A7B"/>
    <w:rsid w:val="00E42CA6"/>
    <w:rsid w:val="00E51237"/>
    <w:rsid w:val="00E5421C"/>
    <w:rsid w:val="00E56640"/>
    <w:rsid w:val="00E6089F"/>
    <w:rsid w:val="00E61A35"/>
    <w:rsid w:val="00E648C3"/>
    <w:rsid w:val="00E64C1B"/>
    <w:rsid w:val="00E70335"/>
    <w:rsid w:val="00E703DB"/>
    <w:rsid w:val="00E7082E"/>
    <w:rsid w:val="00E719A1"/>
    <w:rsid w:val="00E71C04"/>
    <w:rsid w:val="00E7325B"/>
    <w:rsid w:val="00E87D2F"/>
    <w:rsid w:val="00E97DFE"/>
    <w:rsid w:val="00EA13E8"/>
    <w:rsid w:val="00EA1647"/>
    <w:rsid w:val="00EA6F34"/>
    <w:rsid w:val="00EC00CC"/>
    <w:rsid w:val="00EC361E"/>
    <w:rsid w:val="00EC63A7"/>
    <w:rsid w:val="00EC704A"/>
    <w:rsid w:val="00ED5214"/>
    <w:rsid w:val="00ED6AEF"/>
    <w:rsid w:val="00EE0FC5"/>
    <w:rsid w:val="00EE54F0"/>
    <w:rsid w:val="00EF00E3"/>
    <w:rsid w:val="00EF43B7"/>
    <w:rsid w:val="00F12D37"/>
    <w:rsid w:val="00F130A9"/>
    <w:rsid w:val="00F1439E"/>
    <w:rsid w:val="00F16CCC"/>
    <w:rsid w:val="00F171F7"/>
    <w:rsid w:val="00F202A0"/>
    <w:rsid w:val="00F336CF"/>
    <w:rsid w:val="00F34E50"/>
    <w:rsid w:val="00F35D09"/>
    <w:rsid w:val="00F41827"/>
    <w:rsid w:val="00F44897"/>
    <w:rsid w:val="00F50F02"/>
    <w:rsid w:val="00F52E79"/>
    <w:rsid w:val="00F53F57"/>
    <w:rsid w:val="00F65AD2"/>
    <w:rsid w:val="00F66F66"/>
    <w:rsid w:val="00F717BE"/>
    <w:rsid w:val="00F755D1"/>
    <w:rsid w:val="00F932D9"/>
    <w:rsid w:val="00F978D6"/>
    <w:rsid w:val="00FA0B3D"/>
    <w:rsid w:val="00FA0CF7"/>
    <w:rsid w:val="00FA473E"/>
    <w:rsid w:val="00FA5B08"/>
    <w:rsid w:val="00FB02BA"/>
    <w:rsid w:val="00FB5FD7"/>
    <w:rsid w:val="00FB76B2"/>
    <w:rsid w:val="00FC2E75"/>
    <w:rsid w:val="00FD2A8C"/>
    <w:rsid w:val="00FF34CE"/>
    <w:rsid w:val="01E406E4"/>
    <w:rsid w:val="066C335E"/>
    <w:rsid w:val="08221533"/>
    <w:rsid w:val="0D780313"/>
    <w:rsid w:val="10697CC7"/>
    <w:rsid w:val="111E2E48"/>
    <w:rsid w:val="1A546A2C"/>
    <w:rsid w:val="353F1364"/>
    <w:rsid w:val="3602244A"/>
    <w:rsid w:val="36151BC8"/>
    <w:rsid w:val="4D79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semiHidden/>
    <w:unhideWhenUsed/>
    <w:qFormat/>
    <w:uiPriority w:val="35"/>
    <w:pPr>
      <w:spacing w:line="240" w:lineRule="auto"/>
    </w:pPr>
    <w:rPr>
      <w:rFonts w:ascii="Calibri" w:hAnsi="Calibri" w:eastAsia="Calibri" w:cs="Calibri"/>
      <w:b/>
      <w:bCs/>
      <w:color w:val="4F81BD" w:themeColor="accent1"/>
      <w:sz w:val="18"/>
      <w:szCs w:val="18"/>
      <w14:textFill>
        <w14:solidFill>
          <w14:schemeClr w14:val="accent1"/>
        </w14:solidFill>
      </w14:textFill>
    </w:rPr>
  </w:style>
  <w:style w:type="paragraph" w:styleId="4">
    <w:name w:val="annotation text"/>
    <w:basedOn w:val="1"/>
    <w:link w:val="33"/>
    <w:semiHidden/>
    <w:unhideWhenUsed/>
    <w:qFormat/>
    <w:uiPriority w:val="99"/>
    <w:pPr>
      <w:spacing w:line="240" w:lineRule="auto"/>
    </w:pPr>
    <w:rPr>
      <w:sz w:val="20"/>
      <w:szCs w:val="20"/>
    </w:rPr>
  </w:style>
  <w:style w:type="paragraph" w:styleId="5">
    <w:name w:val="toc 3"/>
    <w:basedOn w:val="1"/>
    <w:next w:val="1"/>
    <w:semiHidden/>
    <w:unhideWhenUsed/>
    <w:qFormat/>
    <w:uiPriority w:val="39"/>
    <w:pPr>
      <w:spacing w:after="100"/>
      <w:ind w:left="440"/>
    </w:pPr>
    <w:rPr>
      <w:lang w:eastAsia="ja-JP"/>
    </w:rPr>
  </w:style>
  <w:style w:type="paragraph" w:styleId="6">
    <w:name w:val="Balloon Text"/>
    <w:basedOn w:val="1"/>
    <w:link w:val="22"/>
    <w:semiHidden/>
    <w:unhideWhenUsed/>
    <w:uiPriority w:val="99"/>
    <w:pPr>
      <w:spacing w:after="0" w:line="240" w:lineRule="auto"/>
    </w:pPr>
    <w:rPr>
      <w:rFonts w:ascii="Tahoma" w:hAnsi="Tahoma" w:cs="Tahoma"/>
      <w:sz w:val="20"/>
      <w:szCs w:val="16"/>
    </w:rPr>
  </w:style>
  <w:style w:type="paragraph" w:styleId="7">
    <w:name w:val="footer"/>
    <w:basedOn w:val="1"/>
    <w:link w:val="32"/>
    <w:unhideWhenUsed/>
    <w:qFormat/>
    <w:uiPriority w:val="99"/>
    <w:pPr>
      <w:tabs>
        <w:tab w:val="center" w:pos="4680"/>
        <w:tab w:val="right" w:pos="9360"/>
      </w:tabs>
      <w:spacing w:after="0" w:line="240" w:lineRule="auto"/>
    </w:pPr>
    <w:rPr>
      <w:rFonts w:eastAsiaTheme="minorHAnsi"/>
    </w:rPr>
  </w:style>
  <w:style w:type="paragraph" w:styleId="8">
    <w:name w:val="header"/>
    <w:basedOn w:val="1"/>
    <w:link w:val="31"/>
    <w:unhideWhenUsed/>
    <w:qFormat/>
    <w:uiPriority w:val="99"/>
    <w:pPr>
      <w:tabs>
        <w:tab w:val="center" w:pos="4680"/>
        <w:tab w:val="right" w:pos="9360"/>
      </w:tabs>
      <w:spacing w:after="0" w:line="240" w:lineRule="auto"/>
    </w:pPr>
    <w:rPr>
      <w:rFonts w:eastAsiaTheme="minorHAnsi"/>
    </w:rPr>
  </w:style>
  <w:style w:type="paragraph" w:styleId="9">
    <w:name w:val="toc 1"/>
    <w:basedOn w:val="1"/>
    <w:next w:val="1"/>
    <w:semiHidden/>
    <w:unhideWhenUsed/>
    <w:qFormat/>
    <w:uiPriority w:val="39"/>
    <w:pPr>
      <w:spacing w:after="100"/>
    </w:pPr>
    <w:rPr>
      <w:lang w:eastAsia="ja-JP"/>
    </w:rPr>
  </w:style>
  <w:style w:type="paragraph" w:styleId="10">
    <w:name w:val="toc 2"/>
    <w:basedOn w:val="1"/>
    <w:next w:val="1"/>
    <w:unhideWhenUsed/>
    <w:qFormat/>
    <w:uiPriority w:val="39"/>
    <w:pPr>
      <w:spacing w:after="100"/>
      <w:ind w:left="220"/>
    </w:pPr>
  </w:style>
  <w:style w:type="paragraph" w:styleId="11">
    <w:name w:val="annotation subject"/>
    <w:basedOn w:val="4"/>
    <w:next w:val="4"/>
    <w:link w:val="34"/>
    <w:semiHidden/>
    <w:unhideWhenUsed/>
    <w:qFormat/>
    <w:uiPriority w:val="99"/>
    <w:rPr>
      <w:b/>
      <w:bCs/>
    </w:rPr>
  </w:style>
  <w:style w:type="table" w:styleId="13">
    <w:name w:val="Table Grid"/>
    <w:basedOn w:val="1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16"/>
      <w:szCs w:val="16"/>
    </w:rPr>
  </w:style>
  <w:style w:type="paragraph" w:styleId="17">
    <w:name w:val="List Paragraph"/>
    <w:basedOn w:val="1"/>
    <w:qFormat/>
    <w:uiPriority w:val="34"/>
    <w:pPr>
      <w:ind w:left="720"/>
      <w:contextualSpacing/>
    </w:pPr>
  </w:style>
  <w:style w:type="paragraph" w:styleId="1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9">
    <w:name w:val="Character Style 1"/>
    <w:qFormat/>
    <w:uiPriority w:val="99"/>
    <w:rPr>
      <w:color w:val="000000"/>
      <w:sz w:val="24"/>
      <w:szCs w:val="24"/>
    </w:rPr>
  </w:style>
  <w:style w:type="character" w:customStyle="1" w:styleId="20">
    <w:name w:val="Heading 1 Char"/>
    <w:basedOn w:val="14"/>
    <w:link w:val="2"/>
    <w:qFormat/>
    <w:uiPriority w:val="9"/>
    <w:rPr>
      <w:rFonts w:asciiTheme="majorHAnsi" w:hAnsiTheme="majorHAnsi" w:eastAsiaTheme="majorEastAsia" w:cstheme="majorBidi"/>
      <w:b/>
      <w:bCs/>
      <w:color w:val="376092" w:themeColor="accent1" w:themeShade="BF"/>
      <w:sz w:val="28"/>
      <w:szCs w:val="28"/>
    </w:rPr>
  </w:style>
  <w:style w:type="paragraph" w:customStyle="1" w:styleId="21">
    <w:name w:val="TOC Heading1"/>
    <w:basedOn w:val="2"/>
    <w:next w:val="1"/>
    <w:unhideWhenUsed/>
    <w:qFormat/>
    <w:uiPriority w:val="39"/>
    <w:pPr>
      <w:outlineLvl w:val="9"/>
    </w:pPr>
    <w:rPr>
      <w:rFonts w:ascii="Times New Roman" w:hAnsi="Times New Roman"/>
      <w:color w:val="auto"/>
    </w:rPr>
  </w:style>
  <w:style w:type="character" w:customStyle="1" w:styleId="22">
    <w:name w:val="Balloon Text Char"/>
    <w:basedOn w:val="14"/>
    <w:link w:val="6"/>
    <w:semiHidden/>
    <w:qFormat/>
    <w:uiPriority w:val="99"/>
    <w:rPr>
      <w:rFonts w:ascii="Tahoma" w:hAnsi="Tahoma" w:cs="Tahoma" w:eastAsiaTheme="minorEastAsia"/>
      <w:szCs w:val="16"/>
      <w:lang w:val="en-US" w:eastAsia="en-US"/>
    </w:rPr>
  </w:style>
  <w:style w:type="character" w:customStyle="1" w:styleId="23">
    <w:name w:val="highlight"/>
    <w:basedOn w:val="14"/>
    <w:qFormat/>
    <w:uiPriority w:val="0"/>
  </w:style>
  <w:style w:type="paragraph" w:customStyle="1" w:styleId="24">
    <w:name w:val="EndNote Bibliography Title"/>
    <w:basedOn w:val="1"/>
    <w:link w:val="25"/>
    <w:qFormat/>
    <w:uiPriority w:val="0"/>
    <w:pPr>
      <w:spacing w:after="0"/>
      <w:jc w:val="center"/>
    </w:pPr>
    <w:rPr>
      <w:rFonts w:ascii="Calibri" w:hAnsi="Calibri" w:eastAsiaTheme="minorHAnsi"/>
    </w:rPr>
  </w:style>
  <w:style w:type="character" w:customStyle="1" w:styleId="25">
    <w:name w:val="EndNote Bibliography Title Char"/>
    <w:basedOn w:val="14"/>
    <w:link w:val="24"/>
    <w:qFormat/>
    <w:uiPriority w:val="0"/>
    <w:rPr>
      <w:rFonts w:ascii="Calibri" w:hAnsi="Calibri"/>
    </w:rPr>
  </w:style>
  <w:style w:type="paragraph" w:customStyle="1" w:styleId="26">
    <w:name w:val="EndNote Bibliography"/>
    <w:basedOn w:val="1"/>
    <w:link w:val="27"/>
    <w:qFormat/>
    <w:uiPriority w:val="0"/>
    <w:pPr>
      <w:spacing w:line="240" w:lineRule="auto"/>
    </w:pPr>
    <w:rPr>
      <w:rFonts w:ascii="Calibri" w:hAnsi="Calibri" w:eastAsiaTheme="minorHAnsi"/>
    </w:rPr>
  </w:style>
  <w:style w:type="character" w:customStyle="1" w:styleId="27">
    <w:name w:val="EndNote Bibliography Char"/>
    <w:basedOn w:val="14"/>
    <w:link w:val="26"/>
    <w:qFormat/>
    <w:uiPriority w:val="0"/>
    <w:rPr>
      <w:rFonts w:ascii="Calibri" w:hAnsi="Calibri"/>
    </w:rPr>
  </w:style>
  <w:style w:type="character" w:customStyle="1" w:styleId="28">
    <w:name w:val="authors__name"/>
    <w:basedOn w:val="14"/>
    <w:qFormat/>
    <w:uiPriority w:val="0"/>
  </w:style>
  <w:style w:type="character" w:customStyle="1" w:styleId="29">
    <w:name w:val="authorname"/>
    <w:basedOn w:val="14"/>
    <w:qFormat/>
    <w:uiPriority w:val="0"/>
  </w:style>
  <w:style w:type="character" w:customStyle="1" w:styleId="30">
    <w:name w:val="abstract--author-name"/>
    <w:basedOn w:val="14"/>
    <w:qFormat/>
    <w:uiPriority w:val="0"/>
  </w:style>
  <w:style w:type="character" w:customStyle="1" w:styleId="31">
    <w:name w:val="Header Char"/>
    <w:basedOn w:val="14"/>
    <w:link w:val="8"/>
    <w:qFormat/>
    <w:uiPriority w:val="99"/>
  </w:style>
  <w:style w:type="character" w:customStyle="1" w:styleId="32">
    <w:name w:val="Footer Char"/>
    <w:basedOn w:val="14"/>
    <w:link w:val="7"/>
    <w:qFormat/>
    <w:uiPriority w:val="99"/>
  </w:style>
  <w:style w:type="character" w:customStyle="1" w:styleId="33">
    <w:name w:val="Comment Text Char"/>
    <w:basedOn w:val="14"/>
    <w:link w:val="4"/>
    <w:semiHidden/>
    <w:qFormat/>
    <w:uiPriority w:val="99"/>
    <w:rPr>
      <w:rFonts w:eastAsiaTheme="minorEastAsia"/>
      <w:lang w:val="en-US" w:eastAsia="en-US"/>
    </w:rPr>
  </w:style>
  <w:style w:type="character" w:customStyle="1" w:styleId="34">
    <w:name w:val="Comment Subject Char"/>
    <w:basedOn w:val="33"/>
    <w:link w:val="11"/>
    <w:semiHidden/>
    <w:qFormat/>
    <w:uiPriority w:val="99"/>
    <w:rPr>
      <w:rFonts w:eastAsiaTheme="minorEastAsia"/>
      <w:b/>
      <w:bCs/>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DBD92-4006-5646-9215-CF4B7979AEDC}">
  <ds:schemaRefs/>
</ds:datastoreItem>
</file>

<file path=docProps/app.xml><?xml version="1.0" encoding="utf-8"?>
<Properties xmlns="http://schemas.openxmlformats.org/officeDocument/2006/extended-properties" xmlns:vt="http://schemas.openxmlformats.org/officeDocument/2006/docPropsVTypes">
  <Template>Normal</Template>
  <Pages>1</Pages>
  <Words>5865</Words>
  <Characters>33437</Characters>
  <Lines>278</Lines>
  <Paragraphs>78</Paragraphs>
  <TotalTime>8</TotalTime>
  <ScaleCrop>false</ScaleCrop>
  <LinksUpToDate>false</LinksUpToDate>
  <CharactersWithSpaces>39224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2019-11-23T13:40:00Z</dcterms:created>
  <dc:creator>hpp</dc:creator>
  <cp:lastModifiedBy>lala</cp:lastModifiedBy>
  <cp:lastPrinted>2018-10-26T19:44:00Z</cp:lastPrinted>
  <dcterms:modified xsi:type="dcterms:W3CDTF">2019-11-27T01:45:52Z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