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71ED" w14:textId="77777777" w:rsidR="009C6A2A" w:rsidRDefault="004F729E">
      <w:pPr>
        <w:pStyle w:val="ListeParagraf"/>
        <w:widowControl/>
        <w:ind w:left="0"/>
        <w:jc w:val="left"/>
        <w:rPr>
          <w:rFonts w:ascii="Times New Roman" w:hAnsi="Times New Roman"/>
          <w:b/>
          <w:sz w:val="24"/>
        </w:rPr>
      </w:pPr>
      <w:bookmarkStart w:id="0" w:name="OLE_LINK10"/>
      <w:bookmarkStart w:id="1" w:name="_Hlk26257845"/>
      <w:r>
        <w:rPr>
          <w:rFonts w:ascii="Times New Roman" w:hAnsi="Times New Roman"/>
          <w:b/>
          <w:sz w:val="24"/>
        </w:rPr>
        <w:t>Research Article</w:t>
      </w:r>
    </w:p>
    <w:bookmarkEnd w:id="0"/>
    <w:p w14:paraId="3C8263F8" w14:textId="77777777" w:rsidR="009C6A2A" w:rsidRDefault="004F729E">
      <w:pPr>
        <w:spacing w:line="360" w:lineRule="auto"/>
        <w:jc w:val="left"/>
        <w:rPr>
          <w:rStyle w:val="normaltxt1"/>
          <w:rFonts w:ascii="Times New Roman" w:hAnsi="Times New Roman" w:cs="Times New Roman" w:hint="default"/>
          <w:b/>
          <w:bCs/>
          <w:color w:val="auto"/>
          <w:sz w:val="28"/>
          <w:szCs w:val="24"/>
        </w:rPr>
      </w:pPr>
      <w:r>
        <w:rPr>
          <w:rStyle w:val="normaltxt1"/>
          <w:rFonts w:ascii="Times New Roman" w:hAnsi="Times New Roman" w:cs="Times New Roman" w:hint="default"/>
          <w:b/>
          <w:bCs/>
          <w:color w:val="auto"/>
          <w:sz w:val="28"/>
          <w:szCs w:val="24"/>
        </w:rPr>
        <w:t xml:space="preserve">The Results of a Long-Term Follow-up of Bilateral Single Port </w:t>
      </w:r>
      <w:proofErr w:type="spellStart"/>
      <w:r>
        <w:rPr>
          <w:rStyle w:val="normaltxt1"/>
          <w:rFonts w:ascii="Times New Roman" w:hAnsi="Times New Roman" w:cs="Times New Roman" w:hint="default"/>
          <w:b/>
          <w:bCs/>
          <w:color w:val="auto"/>
          <w:sz w:val="28"/>
          <w:szCs w:val="24"/>
        </w:rPr>
        <w:t>Sympathicotomy</w:t>
      </w:r>
      <w:proofErr w:type="spellEnd"/>
      <w:r>
        <w:rPr>
          <w:rStyle w:val="normaltxt1"/>
          <w:rFonts w:ascii="Times New Roman" w:hAnsi="Times New Roman" w:cs="Times New Roman" w:hint="default"/>
          <w:b/>
          <w:bCs/>
          <w:color w:val="auto"/>
          <w:sz w:val="28"/>
          <w:szCs w:val="24"/>
        </w:rPr>
        <w:t xml:space="preserve"> in Primary Hyperhidrosis: Should We Perform </w:t>
      </w:r>
      <w:bookmarkStart w:id="2" w:name="_GoBack"/>
      <w:bookmarkEnd w:id="2"/>
      <w:r>
        <w:rPr>
          <w:rStyle w:val="normaltxt1"/>
          <w:rFonts w:ascii="Times New Roman" w:hAnsi="Times New Roman" w:cs="Times New Roman" w:hint="default"/>
          <w:b/>
          <w:bCs/>
          <w:color w:val="auto"/>
          <w:sz w:val="28"/>
          <w:szCs w:val="24"/>
        </w:rPr>
        <w:t>This Surgery?</w:t>
      </w:r>
    </w:p>
    <w:p w14:paraId="7141F6E2" w14:textId="77777777" w:rsidR="009C6A2A" w:rsidRDefault="004F729E">
      <w:pPr>
        <w:spacing w:line="360" w:lineRule="auto"/>
        <w:jc w:val="left"/>
        <w:rPr>
          <w:rFonts w:ascii="Times New Roman" w:hAnsi="Times New Roman"/>
          <w:b/>
          <w:bCs/>
          <w:color w:val="000000" w:themeColor="text1"/>
          <w:szCs w:val="21"/>
          <w:shd w:val="clear" w:color="auto" w:fill="FFFFFF"/>
        </w:rPr>
      </w:pPr>
      <w:proofErr w:type="spellStart"/>
      <w:r>
        <w:rPr>
          <w:rFonts w:ascii="Times New Roman" w:hAnsi="Times New Roman"/>
          <w:b/>
          <w:bCs/>
          <w:color w:val="000000" w:themeColor="text1"/>
          <w:szCs w:val="21"/>
          <w:shd w:val="clear" w:color="auto" w:fill="FFFFFF"/>
        </w:rPr>
        <w:t>Timuçin</w:t>
      </w:r>
      <w:proofErr w:type="spellEnd"/>
      <w:r>
        <w:rPr>
          <w:rFonts w:ascii="Times New Roman" w:hAnsi="Times New Roman"/>
          <w:b/>
          <w:bCs/>
          <w:color w:val="000000" w:themeColor="text1"/>
          <w:szCs w:val="21"/>
          <w:shd w:val="clear" w:color="auto" w:fill="FFFFFF"/>
        </w:rPr>
        <w:t xml:space="preserve"> ALAR</w:t>
      </w:r>
      <w:r>
        <w:rPr>
          <w:rFonts w:ascii="Times New Roman" w:hAnsi="Times New Roman"/>
          <w:b/>
          <w:bCs/>
          <w:color w:val="000000" w:themeColor="text1"/>
          <w:szCs w:val="21"/>
          <w:shd w:val="clear" w:color="auto" w:fill="FFFFFF"/>
          <w:vertAlign w:val="superscript"/>
        </w:rPr>
        <w:t>1</w:t>
      </w:r>
      <w:r>
        <w:rPr>
          <w:rFonts w:ascii="Times New Roman" w:hAnsi="Times New Roman"/>
          <w:b/>
          <w:bCs/>
          <w:color w:val="000000" w:themeColor="text1"/>
          <w:szCs w:val="21"/>
          <w:shd w:val="clear" w:color="auto" w:fill="FFFFFF"/>
        </w:rPr>
        <w:t xml:space="preserve">, </w:t>
      </w:r>
      <w:bookmarkStart w:id="3" w:name="OLE_LINK1"/>
      <w:r>
        <w:rPr>
          <w:rFonts w:ascii="Times New Roman" w:hAnsi="Times New Roman"/>
          <w:b/>
          <w:bCs/>
          <w:color w:val="000000" w:themeColor="text1"/>
          <w:szCs w:val="21"/>
          <w:shd w:val="clear" w:color="auto" w:fill="FFFFFF"/>
        </w:rPr>
        <w:t xml:space="preserve">İsmail </w:t>
      </w:r>
      <w:proofErr w:type="spellStart"/>
      <w:r>
        <w:rPr>
          <w:rFonts w:ascii="Times New Roman" w:hAnsi="Times New Roman"/>
          <w:b/>
          <w:bCs/>
          <w:color w:val="000000" w:themeColor="text1"/>
          <w:szCs w:val="21"/>
          <w:shd w:val="clear" w:color="auto" w:fill="FFFFFF"/>
        </w:rPr>
        <w:t>Ertuğrul</w:t>
      </w:r>
      <w:proofErr w:type="spellEnd"/>
      <w:r>
        <w:rPr>
          <w:rFonts w:ascii="Times New Roman" w:hAnsi="Times New Roman"/>
          <w:b/>
          <w:bCs/>
          <w:color w:val="000000" w:themeColor="text1"/>
          <w:szCs w:val="21"/>
          <w:shd w:val="clear" w:color="auto" w:fill="FFFFFF"/>
        </w:rPr>
        <w:t xml:space="preserve"> GEDİK</w:t>
      </w:r>
      <w:bookmarkEnd w:id="3"/>
      <w:r>
        <w:rPr>
          <w:rFonts w:ascii="Times New Roman" w:hAnsi="Times New Roman"/>
          <w:b/>
          <w:bCs/>
          <w:color w:val="000000" w:themeColor="text1"/>
          <w:szCs w:val="21"/>
          <w:shd w:val="clear" w:color="auto" w:fill="FFFFFF"/>
          <w:vertAlign w:val="superscript"/>
        </w:rPr>
        <w:t>1</w:t>
      </w:r>
    </w:p>
    <w:p w14:paraId="0AA93B7C" w14:textId="77777777" w:rsidR="009C6A2A" w:rsidRDefault="004F729E">
      <w:pPr>
        <w:spacing w:line="360" w:lineRule="auto"/>
        <w:jc w:val="left"/>
        <w:rPr>
          <w:rFonts w:ascii="Times New Roman" w:hAnsi="Times New Roman"/>
          <w:color w:val="000000" w:themeColor="text1"/>
          <w:szCs w:val="21"/>
          <w:shd w:val="clear" w:color="auto" w:fill="FFFFFF"/>
        </w:rPr>
      </w:pPr>
      <w:r>
        <w:rPr>
          <w:rFonts w:ascii="Times New Roman" w:hAnsi="Times New Roman"/>
          <w:color w:val="000000" w:themeColor="text1"/>
          <w:szCs w:val="21"/>
          <w:shd w:val="clear" w:color="auto" w:fill="FFFFFF"/>
          <w:vertAlign w:val="superscript"/>
        </w:rPr>
        <w:t>1</w:t>
      </w:r>
      <w:r>
        <w:rPr>
          <w:color w:val="000000" w:themeColor="text1"/>
        </w:rPr>
        <w:t xml:space="preserve"> </w:t>
      </w:r>
      <w:r>
        <w:rPr>
          <w:rFonts w:ascii="Times New Roman" w:hAnsi="Times New Roman"/>
          <w:color w:val="000000" w:themeColor="text1"/>
          <w:szCs w:val="21"/>
          <w:shd w:val="clear" w:color="auto" w:fill="FFFFFF"/>
        </w:rPr>
        <w:t xml:space="preserve">Department of Thoracic Surgery, </w:t>
      </w:r>
      <w:proofErr w:type="spellStart"/>
      <w:r>
        <w:rPr>
          <w:rFonts w:ascii="Times New Roman" w:hAnsi="Times New Roman"/>
          <w:color w:val="000000" w:themeColor="text1"/>
          <w:szCs w:val="21"/>
          <w:shd w:val="clear" w:color="auto" w:fill="FFFFFF"/>
        </w:rPr>
        <w:t>Çanakkale</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Onsekiz</w:t>
      </w:r>
      <w:proofErr w:type="spellEnd"/>
      <w:r>
        <w:rPr>
          <w:rFonts w:ascii="Times New Roman" w:hAnsi="Times New Roman"/>
          <w:color w:val="000000" w:themeColor="text1"/>
          <w:szCs w:val="21"/>
          <w:shd w:val="clear" w:color="auto" w:fill="FFFFFF"/>
        </w:rPr>
        <w:t xml:space="preserve"> Mart </w:t>
      </w:r>
      <w:r>
        <w:rPr>
          <w:rFonts w:ascii="Times New Roman" w:hAnsi="Times New Roman"/>
          <w:color w:val="000000" w:themeColor="text1"/>
          <w:szCs w:val="21"/>
          <w:shd w:val="clear" w:color="auto" w:fill="FFFFFF"/>
        </w:rPr>
        <w:t xml:space="preserve">University Medical Faculty, </w:t>
      </w:r>
      <w:proofErr w:type="spellStart"/>
      <w:r>
        <w:rPr>
          <w:rFonts w:ascii="Times New Roman" w:hAnsi="Times New Roman"/>
          <w:color w:val="000000" w:themeColor="text1"/>
          <w:szCs w:val="21"/>
          <w:shd w:val="clear" w:color="auto" w:fill="FFFFFF"/>
        </w:rPr>
        <w:t>Çanakkale</w:t>
      </w:r>
      <w:proofErr w:type="spellEnd"/>
      <w:r>
        <w:rPr>
          <w:rFonts w:ascii="Times New Roman" w:hAnsi="Times New Roman"/>
          <w:color w:val="000000" w:themeColor="text1"/>
          <w:szCs w:val="21"/>
          <w:shd w:val="clear" w:color="auto" w:fill="FFFFFF"/>
        </w:rPr>
        <w:t>, 17100, TURKEY.</w:t>
      </w:r>
    </w:p>
    <w:p w14:paraId="195BAF6F" w14:textId="77777777" w:rsidR="009C6A2A" w:rsidRDefault="004F729E">
      <w:pPr>
        <w:spacing w:line="360" w:lineRule="auto"/>
        <w:jc w:val="left"/>
        <w:rPr>
          <w:rFonts w:ascii="Times New Roman" w:hAnsi="Times New Roman"/>
          <w:color w:val="000000" w:themeColor="text1"/>
          <w:szCs w:val="21"/>
          <w:shd w:val="clear" w:color="auto" w:fill="FFFFFF"/>
        </w:rPr>
      </w:pPr>
      <w:r>
        <w:rPr>
          <w:rFonts w:ascii="Times New Roman" w:hAnsi="Times New Roman"/>
          <w:b/>
          <w:bCs/>
          <w:color w:val="000000" w:themeColor="text1"/>
          <w:szCs w:val="21"/>
          <w:shd w:val="clear" w:color="auto" w:fill="FFFFFF"/>
        </w:rPr>
        <w:t>Correspondence to</w:t>
      </w:r>
      <w:r>
        <w:rPr>
          <w:rFonts w:ascii="Times New Roman" w:hAnsi="Times New Roman"/>
          <w:color w:val="000000" w:themeColor="text1"/>
          <w:szCs w:val="21"/>
          <w:shd w:val="clear" w:color="auto" w:fill="FFFFFF"/>
        </w:rPr>
        <w:t xml:space="preserve">: Assoc. Prof./Dr. </w:t>
      </w:r>
      <w:proofErr w:type="spellStart"/>
      <w:r>
        <w:rPr>
          <w:rFonts w:ascii="Times New Roman" w:hAnsi="Times New Roman"/>
          <w:color w:val="000000" w:themeColor="text1"/>
          <w:szCs w:val="21"/>
          <w:shd w:val="clear" w:color="auto" w:fill="FFFFFF"/>
        </w:rPr>
        <w:t>Timuçin</w:t>
      </w:r>
      <w:proofErr w:type="spellEnd"/>
      <w:r>
        <w:rPr>
          <w:rFonts w:ascii="Times New Roman" w:hAnsi="Times New Roman"/>
          <w:color w:val="000000" w:themeColor="text1"/>
          <w:szCs w:val="21"/>
          <w:shd w:val="clear" w:color="auto" w:fill="FFFFFF"/>
        </w:rPr>
        <w:t xml:space="preserve"> ALAR, Department of Thoracic Surgery, </w:t>
      </w:r>
      <w:proofErr w:type="spellStart"/>
      <w:r>
        <w:rPr>
          <w:rFonts w:ascii="Times New Roman" w:hAnsi="Times New Roman"/>
          <w:color w:val="000000" w:themeColor="text1"/>
          <w:szCs w:val="21"/>
          <w:shd w:val="clear" w:color="auto" w:fill="FFFFFF"/>
        </w:rPr>
        <w:t>Çanakkale</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Onsekiz</w:t>
      </w:r>
      <w:proofErr w:type="spellEnd"/>
      <w:r>
        <w:rPr>
          <w:rFonts w:ascii="Times New Roman" w:hAnsi="Times New Roman"/>
          <w:color w:val="000000" w:themeColor="text1"/>
          <w:szCs w:val="21"/>
          <w:shd w:val="clear" w:color="auto" w:fill="FFFFFF"/>
        </w:rPr>
        <w:t xml:space="preserve"> Mart University Medical Faculty, </w:t>
      </w:r>
      <w:proofErr w:type="spellStart"/>
      <w:r>
        <w:rPr>
          <w:rFonts w:ascii="Times New Roman" w:hAnsi="Times New Roman"/>
          <w:color w:val="000000" w:themeColor="text1"/>
          <w:szCs w:val="21"/>
          <w:shd w:val="clear" w:color="auto" w:fill="FFFFFF"/>
        </w:rPr>
        <w:t>Çanakkale</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Onsekiz</w:t>
      </w:r>
      <w:proofErr w:type="spellEnd"/>
      <w:r>
        <w:rPr>
          <w:rFonts w:ascii="Times New Roman" w:hAnsi="Times New Roman"/>
          <w:color w:val="000000" w:themeColor="text1"/>
          <w:szCs w:val="21"/>
          <w:shd w:val="clear" w:color="auto" w:fill="FFFFFF"/>
        </w:rPr>
        <w:t xml:space="preserve"> Mart </w:t>
      </w:r>
      <w:proofErr w:type="spellStart"/>
      <w:r>
        <w:rPr>
          <w:rFonts w:ascii="Times New Roman" w:hAnsi="Times New Roman"/>
          <w:color w:val="000000" w:themeColor="text1"/>
          <w:szCs w:val="21"/>
          <w:shd w:val="clear" w:color="auto" w:fill="FFFFFF"/>
        </w:rPr>
        <w:t>Universitesi</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Tıp</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Fakultesi</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Gogus</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Cerrahisi</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Ana</w:t>
      </w:r>
      <w:r>
        <w:rPr>
          <w:rFonts w:ascii="Times New Roman" w:hAnsi="Times New Roman"/>
          <w:color w:val="000000" w:themeColor="text1"/>
          <w:szCs w:val="21"/>
          <w:shd w:val="clear" w:color="auto" w:fill="FFFFFF"/>
        </w:rPr>
        <w:t>bilim</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Dalı</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Terzioglu</w:t>
      </w:r>
      <w:proofErr w:type="spellEnd"/>
      <w:r>
        <w:rPr>
          <w:rFonts w:ascii="Times New Roman" w:hAnsi="Times New Roman"/>
          <w:color w:val="000000" w:themeColor="text1"/>
          <w:szCs w:val="21"/>
          <w:shd w:val="clear" w:color="auto" w:fill="FFFFFF"/>
        </w:rPr>
        <w:t xml:space="preserve"> </w:t>
      </w:r>
      <w:proofErr w:type="spellStart"/>
      <w:r>
        <w:rPr>
          <w:rFonts w:ascii="Times New Roman" w:hAnsi="Times New Roman"/>
          <w:color w:val="000000" w:themeColor="text1"/>
          <w:szCs w:val="21"/>
          <w:shd w:val="clear" w:color="auto" w:fill="FFFFFF"/>
        </w:rPr>
        <w:t>Girisi</w:t>
      </w:r>
      <w:proofErr w:type="spellEnd"/>
      <w:r>
        <w:rPr>
          <w:rFonts w:ascii="Times New Roman" w:hAnsi="Times New Roman"/>
          <w:color w:val="000000" w:themeColor="text1"/>
          <w:szCs w:val="21"/>
          <w:shd w:val="clear" w:color="auto" w:fill="FFFFFF"/>
        </w:rPr>
        <w:t>, Çanakkale,</w:t>
      </w:r>
      <w:proofErr w:type="gramStart"/>
      <w:r>
        <w:rPr>
          <w:rFonts w:ascii="Times New Roman" w:hAnsi="Times New Roman"/>
          <w:color w:val="000000" w:themeColor="text1"/>
          <w:szCs w:val="21"/>
          <w:shd w:val="clear" w:color="auto" w:fill="FFFFFF"/>
        </w:rPr>
        <w:t>17100,TURKEY</w:t>
      </w:r>
      <w:proofErr w:type="gramEnd"/>
      <w:r>
        <w:rPr>
          <w:rFonts w:ascii="Times New Roman" w:hAnsi="Times New Roman"/>
          <w:color w:val="000000" w:themeColor="text1"/>
          <w:szCs w:val="21"/>
          <w:shd w:val="clear" w:color="auto" w:fill="FFFFFF"/>
        </w:rPr>
        <w:t>,E-mail:timalar@yahoo.com; ORCID: http://orcid.org/0000-0002-4719-002X</w:t>
      </w:r>
    </w:p>
    <w:p w14:paraId="6D65EF51" w14:textId="77777777" w:rsidR="009C6A2A" w:rsidRDefault="009C6A2A">
      <w:pPr>
        <w:spacing w:line="360" w:lineRule="auto"/>
        <w:jc w:val="left"/>
        <w:rPr>
          <w:rStyle w:val="normaltxt1"/>
          <w:rFonts w:ascii="Times New Roman" w:hAnsi="Times New Roman" w:cs="Times New Roman" w:hint="default"/>
          <w:b/>
          <w:bCs/>
          <w:color w:val="auto"/>
          <w:sz w:val="28"/>
          <w:szCs w:val="24"/>
        </w:rPr>
      </w:pPr>
    </w:p>
    <w:p w14:paraId="7A9AE6E4" w14:textId="77777777" w:rsidR="009C6A2A" w:rsidRDefault="004F729E">
      <w:pPr>
        <w:tabs>
          <w:tab w:val="left" w:pos="1330"/>
        </w:tabs>
        <w:adjustRightInd w:val="0"/>
        <w:snapToGrid w:val="0"/>
        <w:spacing w:beforeLines="100" w:before="312"/>
        <w:rPr>
          <w:rFonts w:ascii="Times New Roman" w:eastAsia="Times New Roman" w:hAnsi="Times New Roman"/>
          <w:b/>
          <w:bCs/>
          <w:iCs/>
          <w:sz w:val="24"/>
        </w:rPr>
      </w:pPr>
      <w:r>
        <w:rPr>
          <w:rFonts w:ascii="Times New Roman" w:eastAsia="Times New Roman" w:hAnsi="Times New Roman"/>
          <w:b/>
          <w:bCs/>
          <w:iCs/>
          <w:sz w:val="24"/>
        </w:rPr>
        <w:t>Abstract</w:t>
      </w:r>
      <w:r>
        <w:rPr>
          <w:rFonts w:ascii="Times New Roman" w:eastAsia="Times New Roman" w:hAnsi="Times New Roman"/>
          <w:b/>
          <w:bCs/>
          <w:iCs/>
          <w:sz w:val="24"/>
        </w:rPr>
        <w:tab/>
      </w:r>
    </w:p>
    <w:p w14:paraId="584453ED" w14:textId="77777777" w:rsidR="009C6A2A" w:rsidRDefault="004F729E">
      <w:pPr>
        <w:adjustRightInd w:val="0"/>
        <w:spacing w:line="360" w:lineRule="auto"/>
        <w:rPr>
          <w:rFonts w:ascii="Times New Roman" w:hAnsi="Times New Roman"/>
          <w:b/>
          <w:bCs/>
          <w:sz w:val="20"/>
          <w:szCs w:val="20"/>
        </w:rPr>
      </w:pPr>
      <w:r>
        <w:rPr>
          <w:rFonts w:ascii="Times New Roman" w:hAnsi="Times New Roman"/>
          <w:b/>
          <w:bCs/>
          <w:sz w:val="20"/>
          <w:szCs w:val="20"/>
        </w:rPr>
        <w:t>Background:</w:t>
      </w:r>
      <w:r>
        <w:rPr>
          <w:rFonts w:ascii="Times New Roman" w:hAnsi="Times New Roman"/>
          <w:sz w:val="20"/>
          <w:szCs w:val="20"/>
        </w:rPr>
        <w:t xml:space="preserve"> Hyperhidrosis (HH), which refers to excessive sweating of the body in response to temperature or emotional stimuli rather than physiological stimuli, can adversely affect quality of life. In this prospective study, we </w:t>
      </w:r>
      <w:r>
        <w:rPr>
          <w:rFonts w:ascii="Times New Roman" w:hAnsi="Times New Roman"/>
          <w:sz w:val="20"/>
          <w:szCs w:val="20"/>
        </w:rPr>
        <w:t>investigated the long-term effects</w:t>
      </w:r>
      <w:r>
        <w:rPr>
          <w:rFonts w:ascii="Times New Roman" w:hAnsi="Times New Roman"/>
          <w:sz w:val="20"/>
          <w:szCs w:val="20"/>
        </w:rPr>
        <w:t xml:space="preserve">, development of complications, and patient satisfaction among those who underwent bilateral single-port endoscopic thoracic </w:t>
      </w:r>
      <w:proofErr w:type="spellStart"/>
      <w:r>
        <w:rPr>
          <w:rFonts w:ascii="Times New Roman" w:hAnsi="Times New Roman"/>
          <w:sz w:val="20"/>
          <w:szCs w:val="20"/>
        </w:rPr>
        <w:t>sympathecotomy</w:t>
      </w:r>
      <w:proofErr w:type="spellEnd"/>
      <w:r>
        <w:rPr>
          <w:rFonts w:ascii="Times New Roman" w:hAnsi="Times New Roman"/>
          <w:sz w:val="20"/>
          <w:szCs w:val="20"/>
        </w:rPr>
        <w:t xml:space="preserve"> (ETS) for HH. </w:t>
      </w:r>
    </w:p>
    <w:p w14:paraId="52FE67CF" w14:textId="77777777" w:rsidR="009C6A2A" w:rsidRDefault="004F729E">
      <w:pPr>
        <w:adjustRightInd w:val="0"/>
        <w:spacing w:line="360" w:lineRule="auto"/>
        <w:rPr>
          <w:rFonts w:ascii="Times New Roman" w:hAnsi="Times New Roman"/>
          <w:sz w:val="20"/>
          <w:szCs w:val="20"/>
        </w:rPr>
      </w:pPr>
      <w:r>
        <w:rPr>
          <w:rFonts w:ascii="Times New Roman" w:hAnsi="Times New Roman"/>
          <w:b/>
          <w:bCs/>
          <w:sz w:val="20"/>
          <w:szCs w:val="20"/>
        </w:rPr>
        <w:t>Methods:</w:t>
      </w:r>
      <w:r>
        <w:rPr>
          <w:rFonts w:ascii="Times New Roman" w:hAnsi="Times New Roman"/>
          <w:sz w:val="20"/>
          <w:szCs w:val="20"/>
        </w:rPr>
        <w:t xml:space="preserve"> Thirty-one patients who underwent bilateral single-port endoscopic thoracic </w:t>
      </w:r>
      <w:proofErr w:type="spellStart"/>
      <w:r>
        <w:rPr>
          <w:rFonts w:ascii="Times New Roman" w:hAnsi="Times New Roman"/>
          <w:sz w:val="20"/>
          <w:szCs w:val="20"/>
        </w:rPr>
        <w:t>sympathicotom</w:t>
      </w:r>
      <w:r>
        <w:rPr>
          <w:rFonts w:ascii="Times New Roman" w:hAnsi="Times New Roman"/>
          <w:sz w:val="20"/>
          <w:szCs w:val="20"/>
        </w:rPr>
        <w:t>y</w:t>
      </w:r>
      <w:proofErr w:type="spellEnd"/>
      <w:r>
        <w:rPr>
          <w:rFonts w:ascii="Times New Roman" w:hAnsi="Times New Roman"/>
          <w:sz w:val="20"/>
          <w:szCs w:val="20"/>
        </w:rPr>
        <w:t xml:space="preserve"> (ETS) for HH between January 2010 and November 2014 were enrolled in this study. The patients were followed up until July 2017. Patient satisfaction in terms of the primary complaint (PC) </w:t>
      </w:r>
      <w:r>
        <w:rPr>
          <w:rFonts w:ascii="Times New Roman" w:hAnsi="Times New Roman"/>
          <w:sz w:val="20"/>
          <w:szCs w:val="20"/>
        </w:rPr>
        <w:t xml:space="preserve">and complications, such as compensatory hyperhidrosis (CH), in </w:t>
      </w:r>
      <w:r>
        <w:rPr>
          <w:rFonts w:ascii="Times New Roman" w:hAnsi="Times New Roman"/>
          <w:sz w:val="20"/>
          <w:szCs w:val="20"/>
        </w:rPr>
        <w:t>the short and long term were recorded.</w:t>
      </w:r>
    </w:p>
    <w:p w14:paraId="5080A336" w14:textId="77777777" w:rsidR="009C6A2A" w:rsidRDefault="004F729E">
      <w:pPr>
        <w:adjustRightInd w:val="0"/>
        <w:spacing w:line="360" w:lineRule="auto"/>
        <w:rPr>
          <w:rFonts w:ascii="Times New Roman" w:hAnsi="Times New Roman"/>
          <w:sz w:val="20"/>
          <w:szCs w:val="20"/>
        </w:rPr>
      </w:pPr>
      <w:r>
        <w:rPr>
          <w:rFonts w:ascii="Times New Roman" w:hAnsi="Times New Roman"/>
          <w:b/>
          <w:bCs/>
          <w:sz w:val="20"/>
          <w:szCs w:val="20"/>
        </w:rPr>
        <w:t>Results:</w:t>
      </w:r>
      <w:r>
        <w:rPr>
          <w:rFonts w:ascii="Times New Roman" w:hAnsi="Times New Roman"/>
          <w:sz w:val="20"/>
          <w:szCs w:val="20"/>
        </w:rPr>
        <w:t xml:space="preserve"> The mean follow-up period was 60.6 ± 12.8 (min: 40, max: 89) </w:t>
      </w:r>
      <w:proofErr w:type="spellStart"/>
      <w:r>
        <w:rPr>
          <w:rFonts w:ascii="Times New Roman" w:hAnsi="Times New Roman"/>
          <w:sz w:val="20"/>
          <w:szCs w:val="20"/>
        </w:rPr>
        <w:t>mo</w:t>
      </w:r>
      <w:proofErr w:type="spellEnd"/>
      <w:r>
        <w:rPr>
          <w:rFonts w:ascii="Times New Roman" w:hAnsi="Times New Roman"/>
          <w:sz w:val="20"/>
          <w:szCs w:val="20"/>
        </w:rPr>
        <w:t xml:space="preserve"> postoperatively. When </w:t>
      </w:r>
      <w:r>
        <w:rPr>
          <w:rFonts w:ascii="Times New Roman" w:hAnsi="Times New Roman"/>
          <w:sz w:val="20"/>
          <w:szCs w:val="20"/>
        </w:rPr>
        <w:lastRenderedPageBreak/>
        <w:t>both the short- and long-term results were evaluated together, CH had no effect on patient satisfaction. However, persiste</w:t>
      </w:r>
      <w:r>
        <w:rPr>
          <w:rFonts w:ascii="Times New Roman" w:hAnsi="Times New Roman"/>
          <w:sz w:val="20"/>
          <w:szCs w:val="20"/>
        </w:rPr>
        <w:t>nce of the PC in both the short (</w:t>
      </w:r>
      <w:r>
        <w:rPr>
          <w:rFonts w:ascii="Times New Roman" w:hAnsi="Times New Roman"/>
          <w:i/>
          <w:sz w:val="20"/>
          <w:szCs w:val="20"/>
        </w:rPr>
        <w:t>p</w:t>
      </w:r>
      <w:r>
        <w:rPr>
          <w:rFonts w:ascii="Times New Roman" w:hAnsi="Times New Roman"/>
          <w:sz w:val="20"/>
          <w:szCs w:val="20"/>
        </w:rPr>
        <w:t xml:space="preserve"> = 0.020) and long term (</w:t>
      </w:r>
      <w:r>
        <w:rPr>
          <w:rFonts w:ascii="Times New Roman" w:hAnsi="Times New Roman"/>
          <w:i/>
          <w:sz w:val="20"/>
          <w:szCs w:val="20"/>
        </w:rPr>
        <w:t>p</w:t>
      </w:r>
      <w:r>
        <w:rPr>
          <w:rFonts w:ascii="Times New Roman" w:hAnsi="Times New Roman"/>
          <w:sz w:val="20"/>
          <w:szCs w:val="20"/>
        </w:rPr>
        <w:t xml:space="preserve"> = 0.001) had a significant effect on satisfaction.</w:t>
      </w:r>
    </w:p>
    <w:p w14:paraId="7202302C" w14:textId="06A094FC" w:rsidR="009C6A2A" w:rsidRDefault="004F729E">
      <w:pPr>
        <w:adjustRightInd w:val="0"/>
        <w:spacing w:line="360" w:lineRule="auto"/>
        <w:rPr>
          <w:rFonts w:ascii="Times New Roman" w:hAnsi="Times New Roman"/>
          <w:sz w:val="20"/>
          <w:szCs w:val="20"/>
        </w:rPr>
      </w:pPr>
      <w:r>
        <w:rPr>
          <w:rFonts w:ascii="Times New Roman" w:hAnsi="Times New Roman"/>
          <w:b/>
          <w:bCs/>
          <w:sz w:val="20"/>
          <w:szCs w:val="20"/>
        </w:rPr>
        <w:t>Conclusion:</w:t>
      </w:r>
      <w:r>
        <w:rPr>
          <w:rFonts w:ascii="Times New Roman" w:hAnsi="Times New Roman"/>
          <w:sz w:val="20"/>
          <w:szCs w:val="20"/>
        </w:rPr>
        <w:t xml:space="preserve"> The most important factor affecting patient satisfaction was PC persistence. Thus, further studies should be performed to enlighten </w:t>
      </w:r>
      <w:r>
        <w:rPr>
          <w:rFonts w:ascii="Times New Roman" w:hAnsi="Times New Roman"/>
          <w:sz w:val="20"/>
          <w:szCs w:val="20"/>
        </w:rPr>
        <w:t xml:space="preserve">this complication. even though it may </w:t>
      </w:r>
      <w:r w:rsidR="006E73F7">
        <w:rPr>
          <w:rFonts w:ascii="Times New Roman" w:hAnsi="Times New Roman"/>
          <w:sz w:val="20"/>
          <w:szCs w:val="20"/>
        </w:rPr>
        <w:t>regress</w:t>
      </w:r>
      <w:r>
        <w:rPr>
          <w:rFonts w:ascii="Times New Roman" w:hAnsi="Times New Roman"/>
          <w:sz w:val="20"/>
          <w:szCs w:val="20"/>
        </w:rPr>
        <w:t xml:space="preserve"> with time. Whether ETS is a permanent treatment that cannot successfully treat PC, possible complications and the ability to cope with them will seem to be open to debate as the most important issues that surgeon</w:t>
      </w:r>
      <w:r>
        <w:rPr>
          <w:rFonts w:ascii="Times New Roman" w:hAnsi="Times New Roman"/>
          <w:sz w:val="20"/>
          <w:szCs w:val="20"/>
        </w:rPr>
        <w:t xml:space="preserve">s will have to face </w:t>
      </w:r>
      <w:proofErr w:type="gramStart"/>
      <w:r>
        <w:rPr>
          <w:rFonts w:ascii="Times New Roman" w:hAnsi="Times New Roman"/>
          <w:sz w:val="20"/>
          <w:szCs w:val="20"/>
        </w:rPr>
        <w:t>in the near future</w:t>
      </w:r>
      <w:proofErr w:type="gramEnd"/>
      <w:r>
        <w:rPr>
          <w:rFonts w:ascii="Times New Roman" w:hAnsi="Times New Roman"/>
          <w:sz w:val="20"/>
          <w:szCs w:val="20"/>
        </w:rPr>
        <w:t>.</w:t>
      </w:r>
    </w:p>
    <w:p w14:paraId="48044C8D" w14:textId="77777777" w:rsidR="009C6A2A" w:rsidRDefault="004F729E">
      <w:pPr>
        <w:adjustRightInd w:val="0"/>
        <w:spacing w:line="360" w:lineRule="auto"/>
        <w:rPr>
          <w:rFonts w:ascii="Times New Roman" w:hAnsi="Times New Roman"/>
          <w:sz w:val="20"/>
          <w:szCs w:val="20"/>
        </w:rPr>
      </w:pPr>
      <w:r>
        <w:rPr>
          <w:rFonts w:ascii="Times New Roman" w:hAnsi="Times New Roman"/>
          <w:b/>
          <w:bCs/>
          <w:sz w:val="20"/>
          <w:szCs w:val="20"/>
        </w:rPr>
        <w:t>Keywords:</w:t>
      </w:r>
      <w:r>
        <w:rPr>
          <w:rFonts w:ascii="Times New Roman" w:hAnsi="Times New Roman"/>
          <w:sz w:val="20"/>
          <w:szCs w:val="20"/>
        </w:rPr>
        <w:t xml:space="preserve"> complication; hyperhidrosis; surgery; </w:t>
      </w:r>
      <w:proofErr w:type="spellStart"/>
      <w:r>
        <w:rPr>
          <w:rFonts w:ascii="Times New Roman" w:hAnsi="Times New Roman"/>
          <w:sz w:val="20"/>
          <w:szCs w:val="20"/>
        </w:rPr>
        <w:t>sympathicotomy</w:t>
      </w:r>
      <w:proofErr w:type="spellEnd"/>
    </w:p>
    <w:p w14:paraId="67F992A4" w14:textId="77777777" w:rsidR="009C6A2A" w:rsidRDefault="004F729E">
      <w:pPr>
        <w:adjustRightInd w:val="0"/>
        <w:spacing w:line="360" w:lineRule="auto"/>
        <w:rPr>
          <w:rFonts w:ascii="Times New Roman" w:hAnsi="Times New Roman"/>
          <w:sz w:val="24"/>
        </w:rPr>
      </w:pPr>
      <w:r>
        <w:rPr>
          <w:rFonts w:ascii="Times New Roman" w:hAnsi="Times New Roman"/>
          <w:b/>
          <w:sz w:val="24"/>
        </w:rPr>
        <w:t>Introduction</w:t>
      </w:r>
    </w:p>
    <w:p w14:paraId="6C7B7A1D"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 xml:space="preserve">Hyperhidrosis (HH) can be described as excessive sweating of the body that exceeds physiological </w:t>
      </w:r>
      <w:proofErr w:type="gramStart"/>
      <w:r>
        <w:rPr>
          <w:rFonts w:ascii="Times New Roman" w:hAnsi="Times New Roman"/>
          <w:sz w:val="20"/>
          <w:szCs w:val="20"/>
        </w:rPr>
        <w:t>needs</w:t>
      </w:r>
      <w:r>
        <w:rPr>
          <w:rFonts w:ascii="Times New Roman" w:hAnsi="Times New Roman"/>
          <w:sz w:val="20"/>
          <w:szCs w:val="20"/>
          <w:vertAlign w:val="superscript"/>
        </w:rPr>
        <w:t>[</w:t>
      </w:r>
      <w:proofErr w:type="gramEnd"/>
      <w:r>
        <w:rPr>
          <w:rFonts w:ascii="Times New Roman" w:hAnsi="Times New Roman"/>
          <w:sz w:val="20"/>
          <w:szCs w:val="20"/>
          <w:vertAlign w:val="superscript"/>
        </w:rPr>
        <w:t>1]</w:t>
      </w:r>
      <w:r>
        <w:rPr>
          <w:rFonts w:ascii="Times New Roman" w:hAnsi="Times New Roman"/>
          <w:sz w:val="20"/>
          <w:szCs w:val="20"/>
        </w:rPr>
        <w:t xml:space="preserve">. </w:t>
      </w:r>
      <w:r>
        <w:rPr>
          <w:rFonts w:ascii="Times New Roman" w:hAnsi="Times New Roman"/>
          <w:sz w:val="20"/>
          <w:szCs w:val="20"/>
        </w:rPr>
        <w:t>Hyperhidrosis may be primar</w:t>
      </w:r>
      <w:r>
        <w:rPr>
          <w:rFonts w:ascii="Times New Roman" w:hAnsi="Times New Roman"/>
          <w:sz w:val="20"/>
          <w:szCs w:val="20"/>
        </w:rPr>
        <w:t xml:space="preserve">y or secondary. Primary HH is the result of </w:t>
      </w:r>
      <w:proofErr w:type="spellStart"/>
      <w:r>
        <w:rPr>
          <w:rFonts w:ascii="Times New Roman" w:hAnsi="Times New Roman"/>
          <w:sz w:val="20"/>
          <w:szCs w:val="20"/>
        </w:rPr>
        <w:t>to</w:t>
      </w:r>
      <w:proofErr w:type="spellEnd"/>
      <w:r>
        <w:rPr>
          <w:rFonts w:ascii="Times New Roman" w:hAnsi="Times New Roman"/>
          <w:sz w:val="20"/>
          <w:szCs w:val="20"/>
        </w:rPr>
        <w:t xml:space="preserve"> overactivity of the sympathetic nervous system, whereas secondary HH is caused by various factors, such as malignancies, endocrine disorders (e.g., thyrotoxicosis), and some </w:t>
      </w:r>
      <w:proofErr w:type="gramStart"/>
      <w:r>
        <w:rPr>
          <w:rFonts w:ascii="Times New Roman" w:hAnsi="Times New Roman"/>
          <w:sz w:val="20"/>
          <w:szCs w:val="20"/>
        </w:rPr>
        <w:t>medications</w:t>
      </w:r>
      <w:r>
        <w:rPr>
          <w:rFonts w:ascii="Times New Roman" w:hAnsi="Times New Roman"/>
          <w:sz w:val="20"/>
          <w:szCs w:val="20"/>
          <w:vertAlign w:val="superscript"/>
        </w:rPr>
        <w:t>[</w:t>
      </w:r>
      <w:proofErr w:type="gramEnd"/>
      <w:r>
        <w:rPr>
          <w:rFonts w:ascii="Times New Roman" w:hAnsi="Times New Roman"/>
          <w:sz w:val="20"/>
          <w:szCs w:val="20"/>
          <w:vertAlign w:val="superscript"/>
        </w:rPr>
        <w:t>1-3]</w:t>
      </w:r>
      <w:r>
        <w:rPr>
          <w:rFonts w:ascii="Times New Roman" w:hAnsi="Times New Roman"/>
          <w:sz w:val="20"/>
          <w:szCs w:val="20"/>
        </w:rPr>
        <w:t>. Primary HH affect</w:t>
      </w:r>
      <w:r>
        <w:rPr>
          <w:rFonts w:ascii="Times New Roman" w:hAnsi="Times New Roman"/>
          <w:sz w:val="20"/>
          <w:szCs w:val="20"/>
        </w:rPr>
        <w:t xml:space="preserve">s facial, palmar, axillary, and plantar regions of the body, exhibiting regional and symmetrical involvement patterns due to sympathetic nervous system </w:t>
      </w:r>
      <w:proofErr w:type="gramStart"/>
      <w:r>
        <w:rPr>
          <w:rFonts w:ascii="Times New Roman" w:hAnsi="Times New Roman"/>
          <w:sz w:val="20"/>
          <w:szCs w:val="20"/>
        </w:rPr>
        <w:t>overactivity</w:t>
      </w:r>
      <w:r>
        <w:rPr>
          <w:rFonts w:ascii="Times New Roman" w:hAnsi="Times New Roman"/>
          <w:sz w:val="20"/>
          <w:szCs w:val="20"/>
          <w:vertAlign w:val="superscript"/>
        </w:rPr>
        <w:t>[</w:t>
      </w:r>
      <w:proofErr w:type="gramEnd"/>
      <w:r>
        <w:rPr>
          <w:rFonts w:ascii="Times New Roman" w:hAnsi="Times New Roman"/>
          <w:sz w:val="20"/>
          <w:szCs w:val="20"/>
          <w:vertAlign w:val="superscript"/>
        </w:rPr>
        <w:t>1,2]</w:t>
      </w:r>
      <w:r>
        <w:rPr>
          <w:rFonts w:ascii="Times New Roman" w:hAnsi="Times New Roman"/>
          <w:sz w:val="20"/>
          <w:szCs w:val="20"/>
        </w:rPr>
        <w:t xml:space="preserve">. </w:t>
      </w:r>
    </w:p>
    <w:p w14:paraId="5BAB3319"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 xml:space="preserve">Hyperhidrosis may be treated via medical or surgical approaches. Endoscopic thoracic </w:t>
      </w:r>
      <w:proofErr w:type="spellStart"/>
      <w:r>
        <w:rPr>
          <w:rFonts w:ascii="Times New Roman" w:hAnsi="Times New Roman"/>
          <w:sz w:val="20"/>
          <w:szCs w:val="20"/>
        </w:rPr>
        <w:t>sympathecotomy</w:t>
      </w:r>
      <w:proofErr w:type="spellEnd"/>
      <w:r>
        <w:rPr>
          <w:rFonts w:ascii="Times New Roman" w:hAnsi="Times New Roman"/>
          <w:sz w:val="20"/>
          <w:szCs w:val="20"/>
        </w:rPr>
        <w:t xml:space="preserve"> (ETS) is the most commonly used type of surgical treatment today. The surgery can be performed in a variety of ways, such as dissecting the sympathetic chai</w:t>
      </w:r>
      <w:r>
        <w:rPr>
          <w:rFonts w:ascii="Times New Roman" w:hAnsi="Times New Roman"/>
          <w:sz w:val="20"/>
          <w:szCs w:val="20"/>
        </w:rPr>
        <w:t>n in the thoracic region, thermal damage via electrocautery, or clipping</w:t>
      </w:r>
      <w:r>
        <w:rPr>
          <w:rFonts w:ascii="Times New Roman" w:hAnsi="Times New Roman"/>
          <w:sz w:val="20"/>
          <w:szCs w:val="20"/>
        </w:rPr>
        <w:t xml:space="preserve">. Among various ETS-related complications, which include a </w:t>
      </w:r>
      <w:proofErr w:type="spellStart"/>
      <w:r>
        <w:rPr>
          <w:rFonts w:ascii="Times New Roman" w:hAnsi="Times New Roman"/>
          <w:sz w:val="20"/>
          <w:szCs w:val="20"/>
        </w:rPr>
        <w:t>hemo</w:t>
      </w:r>
      <w:proofErr w:type="spellEnd"/>
      <w:r>
        <w:rPr>
          <w:rFonts w:ascii="Times New Roman" w:hAnsi="Times New Roman"/>
          <w:sz w:val="20"/>
          <w:szCs w:val="20"/>
        </w:rPr>
        <w:t>-pneumothorax, Horner’s syndrome, and bradycardia, the most important in terms of both patient and physician satisfact</w:t>
      </w:r>
      <w:r>
        <w:rPr>
          <w:rFonts w:ascii="Times New Roman" w:hAnsi="Times New Roman"/>
          <w:sz w:val="20"/>
          <w:szCs w:val="20"/>
        </w:rPr>
        <w:t>ion is compensatory hyperhidrosis (CH</w:t>
      </w:r>
      <w:proofErr w:type="gramStart"/>
      <w:r>
        <w:rPr>
          <w:rFonts w:ascii="Times New Roman" w:hAnsi="Times New Roman"/>
          <w:sz w:val="20"/>
          <w:szCs w:val="20"/>
        </w:rPr>
        <w:t>)</w:t>
      </w:r>
      <w:r>
        <w:rPr>
          <w:rFonts w:ascii="Times New Roman" w:hAnsi="Times New Roman"/>
          <w:sz w:val="20"/>
          <w:szCs w:val="20"/>
          <w:vertAlign w:val="superscript"/>
        </w:rPr>
        <w:t>[</w:t>
      </w:r>
      <w:proofErr w:type="gramEnd"/>
      <w:r>
        <w:rPr>
          <w:rFonts w:ascii="Times New Roman" w:hAnsi="Times New Roman"/>
          <w:sz w:val="20"/>
          <w:szCs w:val="20"/>
          <w:vertAlign w:val="superscript"/>
        </w:rPr>
        <w:t>4,5]</w:t>
      </w:r>
      <w:r>
        <w:rPr>
          <w:rFonts w:ascii="Times New Roman" w:hAnsi="Times New Roman"/>
          <w:sz w:val="20"/>
          <w:szCs w:val="20"/>
        </w:rPr>
        <w:t>.</w:t>
      </w:r>
    </w:p>
    <w:p w14:paraId="0210201B"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In this prospective study, we investigated the rate of complications, such as CH, and PC persistence</w:t>
      </w:r>
      <w:r>
        <w:rPr>
          <w:rFonts w:ascii="Times New Roman" w:hAnsi="Times New Roman"/>
          <w:sz w:val="20"/>
          <w:szCs w:val="20"/>
        </w:rPr>
        <w:t xml:space="preserve"> in the long-term postoperative period following bilateral single port ETS and the effects of these compl</w:t>
      </w:r>
      <w:r>
        <w:rPr>
          <w:rFonts w:ascii="Times New Roman" w:hAnsi="Times New Roman"/>
          <w:sz w:val="20"/>
          <w:szCs w:val="20"/>
        </w:rPr>
        <w:t xml:space="preserve">ications on patient satisfaction. </w:t>
      </w:r>
    </w:p>
    <w:p w14:paraId="516BD53B" w14:textId="77777777" w:rsidR="009C6A2A" w:rsidRDefault="004F729E">
      <w:pPr>
        <w:adjustRightInd w:val="0"/>
        <w:spacing w:line="360" w:lineRule="auto"/>
        <w:rPr>
          <w:rFonts w:ascii="Times New Roman" w:hAnsi="Times New Roman"/>
          <w:b/>
          <w:bCs/>
          <w:sz w:val="24"/>
        </w:rPr>
      </w:pPr>
      <w:r>
        <w:rPr>
          <w:rFonts w:ascii="Times New Roman" w:hAnsi="Times New Roman"/>
          <w:b/>
          <w:bCs/>
          <w:sz w:val="24"/>
        </w:rPr>
        <w:t>Methods</w:t>
      </w:r>
    </w:p>
    <w:p w14:paraId="30E00EC1"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lastRenderedPageBreak/>
        <w:t xml:space="preserve">Patients who had undergone single port ETS between January 2010 and November 2014 at </w:t>
      </w:r>
      <w:proofErr w:type="spellStart"/>
      <w:r>
        <w:rPr>
          <w:rFonts w:ascii="Times New Roman" w:hAnsi="Times New Roman"/>
          <w:sz w:val="20"/>
          <w:szCs w:val="20"/>
        </w:rPr>
        <w:t>Çanakkale</w:t>
      </w:r>
      <w:proofErr w:type="spellEnd"/>
      <w:r>
        <w:rPr>
          <w:rFonts w:ascii="Times New Roman" w:hAnsi="Times New Roman"/>
          <w:sz w:val="20"/>
          <w:szCs w:val="20"/>
        </w:rPr>
        <w:t xml:space="preserve"> </w:t>
      </w:r>
      <w:proofErr w:type="spellStart"/>
      <w:r>
        <w:rPr>
          <w:rFonts w:ascii="Times New Roman" w:hAnsi="Times New Roman"/>
          <w:sz w:val="20"/>
          <w:szCs w:val="20"/>
        </w:rPr>
        <w:t>Onsekiz</w:t>
      </w:r>
      <w:proofErr w:type="spellEnd"/>
      <w:r>
        <w:rPr>
          <w:rFonts w:ascii="Times New Roman" w:hAnsi="Times New Roman"/>
          <w:sz w:val="20"/>
          <w:szCs w:val="20"/>
        </w:rPr>
        <w:t xml:space="preserve"> Mart University Medical Faculty Thoracic Surgery Clinic were prospectively followed up until July 2017. </w:t>
      </w:r>
      <w:r>
        <w:rPr>
          <w:rFonts w:ascii="Times New Roman" w:hAnsi="Times New Roman"/>
          <w:sz w:val="20"/>
          <w:szCs w:val="20"/>
        </w:rPr>
        <w:t>During outpatient clinical examinations and telephone interviews, the patients were questioned about changes in CH and their PC in the postoperative period and their satisfaction with the operation.</w:t>
      </w:r>
    </w:p>
    <w:p w14:paraId="1EA2BF2F"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 xml:space="preserve">In the 6 </w:t>
      </w:r>
      <w:proofErr w:type="spellStart"/>
      <w:r>
        <w:rPr>
          <w:rFonts w:ascii="Times New Roman" w:hAnsi="Times New Roman"/>
          <w:sz w:val="20"/>
          <w:szCs w:val="20"/>
        </w:rPr>
        <w:t>mo</w:t>
      </w:r>
      <w:proofErr w:type="spellEnd"/>
      <w:r>
        <w:rPr>
          <w:rFonts w:ascii="Times New Roman" w:hAnsi="Times New Roman"/>
          <w:sz w:val="20"/>
          <w:szCs w:val="20"/>
        </w:rPr>
        <w:t xml:space="preserve"> prior to the single port ETS, all the patient</w:t>
      </w:r>
      <w:r>
        <w:rPr>
          <w:rFonts w:ascii="Times New Roman" w:hAnsi="Times New Roman"/>
          <w:sz w:val="20"/>
          <w:szCs w:val="20"/>
        </w:rPr>
        <w:t>s had received medical treatment. Despite this treatment, none of the patients experienced improvements in their PC. Prior to surgery, informed consent was obtained from each patient. In patients with HH affecting multiple areas, only the area most affecte</w:t>
      </w:r>
      <w:r>
        <w:rPr>
          <w:rFonts w:ascii="Times New Roman" w:hAnsi="Times New Roman"/>
          <w:sz w:val="20"/>
          <w:szCs w:val="20"/>
        </w:rPr>
        <w:t>d was treated. The ETS was performed using a 10-mm 0-degree thoracoscope (Karl Storz 26034 AA)</w:t>
      </w:r>
      <w:r>
        <w:rPr>
          <w:rFonts w:ascii="Times New Roman" w:hAnsi="Times New Roman"/>
          <w:sz w:val="20"/>
          <w:szCs w:val="20"/>
        </w:rPr>
        <w:t xml:space="preserve"> with a 6-mm working channel under general anesthesia via a double-lumen endotracheal tube. After the patient had been positioned in the lateral decubitus posi</w:t>
      </w:r>
      <w:r>
        <w:rPr>
          <w:rFonts w:ascii="Times New Roman" w:hAnsi="Times New Roman"/>
          <w:sz w:val="20"/>
          <w:szCs w:val="20"/>
        </w:rPr>
        <w:t xml:space="preserve">tion, a single </w:t>
      </w:r>
      <w:proofErr w:type="spellStart"/>
      <w:r>
        <w:rPr>
          <w:rFonts w:ascii="Times New Roman" w:hAnsi="Times New Roman"/>
          <w:sz w:val="20"/>
          <w:szCs w:val="20"/>
        </w:rPr>
        <w:t>thoracoport</w:t>
      </w:r>
      <w:proofErr w:type="spellEnd"/>
      <w:r>
        <w:rPr>
          <w:rFonts w:ascii="Times New Roman" w:hAnsi="Times New Roman"/>
          <w:sz w:val="20"/>
          <w:szCs w:val="20"/>
        </w:rPr>
        <w:t xml:space="preserve"> (width: 10.5 mm) was inserted into the thorax through a single incision of 11 mm at the intersection of the fourth intercostal space and mid-axillary line (Fig. 1). The sympathetic chain was cauterized by endoscopic electrocauter</w:t>
      </w:r>
      <w:r>
        <w:rPr>
          <w:rFonts w:ascii="Times New Roman" w:hAnsi="Times New Roman"/>
          <w:sz w:val="20"/>
          <w:szCs w:val="20"/>
        </w:rPr>
        <w:t xml:space="preserve">y from the T2 for fascial hyperhidrosis, T3 for palmar hyperhidrosis, T4 for axillary hyperhidrosis, and T5 for plantar hyperhidrosis. In addition, during the </w:t>
      </w:r>
      <w:proofErr w:type="spellStart"/>
      <w:r>
        <w:rPr>
          <w:rFonts w:ascii="Times New Roman" w:hAnsi="Times New Roman"/>
          <w:sz w:val="20"/>
          <w:szCs w:val="20"/>
        </w:rPr>
        <w:t>sympathecotomy</w:t>
      </w:r>
      <w:proofErr w:type="spellEnd"/>
      <w:r>
        <w:rPr>
          <w:rFonts w:ascii="Times New Roman" w:hAnsi="Times New Roman"/>
          <w:sz w:val="20"/>
          <w:szCs w:val="20"/>
        </w:rPr>
        <w:t xml:space="preserve"> of the T2-T3, the presence of the nerve of Kuntz was verified, and the nerve tissu</w:t>
      </w:r>
      <w:r>
        <w:rPr>
          <w:rFonts w:ascii="Times New Roman" w:hAnsi="Times New Roman"/>
          <w:sz w:val="20"/>
          <w:szCs w:val="20"/>
        </w:rPr>
        <w:t>e was cauterized. The rib bed was cauterized laterally for an additional 2 cm t</w:t>
      </w:r>
      <w:r>
        <w:rPr>
          <w:rFonts w:ascii="Times New Roman" w:hAnsi="Times New Roman"/>
          <w:sz w:val="20"/>
          <w:szCs w:val="20"/>
        </w:rPr>
        <w:t>o allow the dissection of possible bypassing nerve fibers</w:t>
      </w:r>
      <w:r>
        <w:rPr>
          <w:rFonts w:ascii="Times New Roman" w:hAnsi="Times New Roman"/>
          <w:sz w:val="20"/>
          <w:szCs w:val="20"/>
        </w:rPr>
        <w:t>. After hemorrhage control, the air in the pleural cavity was evacuated via a small catheter. The incision line wa</w:t>
      </w:r>
      <w:r>
        <w:rPr>
          <w:rFonts w:ascii="Times New Roman" w:hAnsi="Times New Roman"/>
          <w:sz w:val="20"/>
          <w:szCs w:val="20"/>
        </w:rPr>
        <w:t>s closed by subcutaneous suturing, and the same procedure was repeated on the other side.</w:t>
      </w:r>
    </w:p>
    <w:p w14:paraId="2E1C69E6"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On the postoperative first day, the patients were evaluated by a physical examination, posterior-anterior chest X-ray, hemogram, and blood biochemistry tests. Pati</w:t>
      </w:r>
      <w:r>
        <w:rPr>
          <w:rFonts w:ascii="Times New Roman" w:hAnsi="Times New Roman"/>
          <w:sz w:val="20"/>
          <w:szCs w:val="20"/>
        </w:rPr>
        <w:t>ents whose physical examination and examination results revealed no abnormalities were discharged from the hospital on the first postoperative day. The patients were referred to the outpatient clinic on the seventh postoperative day and reevaluated via a p</w:t>
      </w:r>
      <w:r>
        <w:rPr>
          <w:rFonts w:ascii="Times New Roman" w:hAnsi="Times New Roman"/>
          <w:sz w:val="20"/>
          <w:szCs w:val="20"/>
        </w:rPr>
        <w:t>hysical examination and posterior-anterior chest X-ray. In the third postoperative month and again in the third postoperative year, all the patients were interviewed by telephone. They were questioned about their HH status, CH status, and satisfaction with</w:t>
      </w:r>
      <w:r>
        <w:rPr>
          <w:rFonts w:ascii="Times New Roman" w:hAnsi="Times New Roman"/>
          <w:sz w:val="20"/>
          <w:szCs w:val="20"/>
        </w:rPr>
        <w:t xml:space="preserve"> the operation. They were asked to rate their HH at the site of the PC from 0 to 10, where 0 represented no sweating, and 10 represented the most severe sweating.</w:t>
      </w:r>
    </w:p>
    <w:p w14:paraId="131767A3"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lastRenderedPageBreak/>
        <w:t>The follow-up times were from the date of the operation to the last follow-up date (July 2017</w:t>
      </w:r>
      <w:r>
        <w:rPr>
          <w:rFonts w:ascii="Times New Roman" w:hAnsi="Times New Roman"/>
          <w:sz w:val="20"/>
          <w:szCs w:val="20"/>
        </w:rPr>
        <w:t xml:space="preserve">), expressed in months. </w:t>
      </w:r>
      <w:r>
        <w:rPr>
          <w:rFonts w:ascii="Times New Roman" w:hAnsi="Times New Roman"/>
          <w:sz w:val="20"/>
          <w:szCs w:val="20"/>
        </w:rPr>
        <w:t xml:space="preserve">Subsequently, cutoff values at 48, 60, and 72 </w:t>
      </w:r>
      <w:proofErr w:type="spellStart"/>
      <w:r>
        <w:rPr>
          <w:rFonts w:ascii="Times New Roman" w:hAnsi="Times New Roman"/>
          <w:sz w:val="20"/>
          <w:szCs w:val="20"/>
        </w:rPr>
        <w:t>mo</w:t>
      </w:r>
      <w:proofErr w:type="spellEnd"/>
      <w:r>
        <w:rPr>
          <w:rFonts w:ascii="Times New Roman" w:hAnsi="Times New Roman"/>
          <w:sz w:val="20"/>
          <w:szCs w:val="20"/>
        </w:rPr>
        <w:t xml:space="preserve"> were coded as a dichotomous variable for those below and above the follow-up period</w:t>
      </w:r>
      <w:r>
        <w:rPr>
          <w:rFonts w:ascii="Times New Roman" w:hAnsi="Times New Roman"/>
          <w:sz w:val="20"/>
          <w:szCs w:val="20"/>
        </w:rPr>
        <w:t>. The following parameters were coded as dichotomous variables: CH, PC, and patient satisfacti</w:t>
      </w:r>
      <w:r>
        <w:rPr>
          <w:rFonts w:ascii="Times New Roman" w:hAnsi="Times New Roman"/>
          <w:sz w:val="20"/>
          <w:szCs w:val="20"/>
        </w:rPr>
        <w:t>on. In terms of the latter, on the day of the interview, the patients were asked whether, given the choice, they would undergo the surgery again</w:t>
      </w:r>
      <w:r>
        <w:rPr>
          <w:rFonts w:ascii="Times New Roman" w:hAnsi="Times New Roman"/>
          <w:sz w:val="20"/>
          <w:szCs w:val="20"/>
        </w:rPr>
        <w:t xml:space="preserve">. The CH and PC intensities were coded as continuous variables ranging from 1 to 10. </w:t>
      </w:r>
    </w:p>
    <w:p w14:paraId="0478DE77"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The data were then tran</w:t>
      </w:r>
      <w:r>
        <w:rPr>
          <w:rFonts w:ascii="Times New Roman" w:hAnsi="Times New Roman"/>
          <w:sz w:val="20"/>
          <w:szCs w:val="20"/>
        </w:rPr>
        <w:t>sferred to a digital medium</w:t>
      </w:r>
      <w:r>
        <w:rPr>
          <w:rFonts w:ascii="Times New Roman" w:hAnsi="Times New Roman"/>
          <w:sz w:val="20"/>
          <w:szCs w:val="20"/>
        </w:rPr>
        <w:t>. The normal distribution matching of the continuous variables was examined for the frequency and distribution of variables</w:t>
      </w:r>
      <w:r>
        <w:rPr>
          <w:rFonts w:ascii="Times New Roman" w:hAnsi="Times New Roman"/>
          <w:sz w:val="20"/>
          <w:szCs w:val="20"/>
        </w:rPr>
        <w:t xml:space="preserve">. The relations between the continuous variables were analyzed using appropriate correlation tests, </w:t>
      </w:r>
      <w:r>
        <w:rPr>
          <w:rFonts w:ascii="Times New Roman" w:hAnsi="Times New Roman"/>
          <w:sz w:val="20"/>
          <w:szCs w:val="20"/>
        </w:rPr>
        <w:t xml:space="preserve">and the relations between the dichotomous variables were analyzed using a chi-square test and, if necessary, Fisher’s exact test. In all the analyses, statistical significance was accepted as a </w:t>
      </w:r>
      <w:r>
        <w:rPr>
          <w:rFonts w:ascii="Times New Roman" w:hAnsi="Times New Roman"/>
          <w:i/>
          <w:sz w:val="20"/>
          <w:szCs w:val="20"/>
        </w:rPr>
        <w:t>p</w:t>
      </w:r>
      <w:r>
        <w:rPr>
          <w:rFonts w:ascii="Times New Roman" w:hAnsi="Times New Roman"/>
          <w:sz w:val="20"/>
          <w:szCs w:val="20"/>
        </w:rPr>
        <w:t xml:space="preserve">-value of &lt; 0 .05. The absolute </w:t>
      </w:r>
      <w:r>
        <w:rPr>
          <w:rFonts w:ascii="Times New Roman" w:hAnsi="Times New Roman"/>
          <w:i/>
          <w:sz w:val="20"/>
          <w:szCs w:val="20"/>
        </w:rPr>
        <w:t xml:space="preserve">p </w:t>
      </w:r>
      <w:r>
        <w:rPr>
          <w:rFonts w:ascii="Times New Roman" w:hAnsi="Times New Roman"/>
          <w:sz w:val="20"/>
          <w:szCs w:val="20"/>
        </w:rPr>
        <w:t>values are given for the an</w:t>
      </w:r>
      <w:r>
        <w:rPr>
          <w:rFonts w:ascii="Times New Roman" w:hAnsi="Times New Roman"/>
          <w:sz w:val="20"/>
          <w:szCs w:val="20"/>
        </w:rPr>
        <w:t>alysis results.</w:t>
      </w:r>
    </w:p>
    <w:p w14:paraId="60519BC5" w14:textId="77777777" w:rsidR="009C6A2A" w:rsidRDefault="004F729E">
      <w:pPr>
        <w:adjustRightInd w:val="0"/>
        <w:spacing w:line="360" w:lineRule="auto"/>
        <w:rPr>
          <w:rFonts w:ascii="Times New Roman" w:hAnsi="Times New Roman"/>
          <w:b/>
          <w:bCs/>
          <w:sz w:val="24"/>
        </w:rPr>
      </w:pPr>
      <w:r>
        <w:rPr>
          <w:rFonts w:ascii="Times New Roman" w:hAnsi="Times New Roman"/>
          <w:b/>
          <w:bCs/>
          <w:sz w:val="24"/>
        </w:rPr>
        <w:t>Results</w:t>
      </w:r>
    </w:p>
    <w:p w14:paraId="35D1C256"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 xml:space="preserve">Thirty-one patients who underwent bilateral single port ETS at </w:t>
      </w:r>
      <w:proofErr w:type="spellStart"/>
      <w:r>
        <w:rPr>
          <w:rFonts w:ascii="Times New Roman" w:hAnsi="Times New Roman"/>
          <w:sz w:val="20"/>
          <w:szCs w:val="20"/>
        </w:rPr>
        <w:t>Çanakkale</w:t>
      </w:r>
      <w:proofErr w:type="spellEnd"/>
      <w:r>
        <w:rPr>
          <w:rFonts w:ascii="Times New Roman" w:hAnsi="Times New Roman"/>
          <w:sz w:val="20"/>
          <w:szCs w:val="20"/>
        </w:rPr>
        <w:t xml:space="preserve"> </w:t>
      </w:r>
      <w:proofErr w:type="spellStart"/>
      <w:r>
        <w:rPr>
          <w:rFonts w:ascii="Times New Roman" w:hAnsi="Times New Roman"/>
          <w:sz w:val="20"/>
          <w:szCs w:val="20"/>
        </w:rPr>
        <w:t>Onsekiz</w:t>
      </w:r>
      <w:proofErr w:type="spellEnd"/>
      <w:r>
        <w:rPr>
          <w:rFonts w:ascii="Times New Roman" w:hAnsi="Times New Roman"/>
          <w:sz w:val="20"/>
          <w:szCs w:val="20"/>
        </w:rPr>
        <w:t xml:space="preserve"> Mart University Medical Faculty Chest Surgery Clinic between January 2010 and November 2014 were included in the study. Sixteen (51.6%) of the </w:t>
      </w:r>
      <w:r>
        <w:rPr>
          <w:rFonts w:ascii="Times New Roman" w:hAnsi="Times New Roman"/>
          <w:sz w:val="20"/>
          <w:szCs w:val="20"/>
        </w:rPr>
        <w:t>patients were males, and 15 (48.4%) were females. The mean age of the patients was 24.13 ± 4.64 (min: 13, max: 34) y. In terms of the site of the PC, it was craniofacial in 6.5% (</w:t>
      </w:r>
      <w:r>
        <w:rPr>
          <w:rFonts w:ascii="Times New Roman" w:hAnsi="Times New Roman"/>
          <w:i/>
          <w:sz w:val="20"/>
          <w:szCs w:val="20"/>
        </w:rPr>
        <w:t>n</w:t>
      </w:r>
      <w:r>
        <w:rPr>
          <w:rFonts w:ascii="Times New Roman" w:hAnsi="Times New Roman"/>
          <w:sz w:val="20"/>
          <w:szCs w:val="20"/>
        </w:rPr>
        <w:t xml:space="preserve"> = 2) of cases, palmar-facial in 12.9% (</w:t>
      </w:r>
      <w:r>
        <w:rPr>
          <w:rFonts w:ascii="Times New Roman" w:hAnsi="Times New Roman"/>
          <w:i/>
          <w:sz w:val="20"/>
          <w:szCs w:val="20"/>
        </w:rPr>
        <w:t>n</w:t>
      </w:r>
      <w:r>
        <w:rPr>
          <w:rFonts w:ascii="Times New Roman" w:hAnsi="Times New Roman"/>
          <w:sz w:val="20"/>
          <w:szCs w:val="20"/>
        </w:rPr>
        <w:t xml:space="preserve"> = 4) of cases, palmar in 67.7% (</w:t>
      </w:r>
      <w:r>
        <w:rPr>
          <w:rFonts w:ascii="Times New Roman" w:hAnsi="Times New Roman"/>
          <w:i/>
          <w:sz w:val="20"/>
          <w:szCs w:val="20"/>
        </w:rPr>
        <w:t>n</w:t>
      </w:r>
      <w:r>
        <w:rPr>
          <w:rFonts w:ascii="Times New Roman" w:hAnsi="Times New Roman"/>
          <w:sz w:val="20"/>
          <w:szCs w:val="20"/>
        </w:rPr>
        <w:t xml:space="preserve"> </w:t>
      </w:r>
      <w:r>
        <w:rPr>
          <w:rFonts w:ascii="Times New Roman" w:hAnsi="Times New Roman"/>
          <w:sz w:val="20"/>
          <w:szCs w:val="20"/>
        </w:rPr>
        <w:t>= 21) of cases, axillary in 9.7% (</w:t>
      </w:r>
      <w:r>
        <w:rPr>
          <w:rFonts w:ascii="Times New Roman" w:hAnsi="Times New Roman"/>
          <w:i/>
          <w:sz w:val="20"/>
          <w:szCs w:val="20"/>
        </w:rPr>
        <w:t>n</w:t>
      </w:r>
      <w:r>
        <w:rPr>
          <w:rFonts w:ascii="Times New Roman" w:hAnsi="Times New Roman"/>
          <w:sz w:val="20"/>
          <w:szCs w:val="20"/>
        </w:rPr>
        <w:t xml:space="preserve"> = 3) of cases, and palmoplantar in 3.2% (</w:t>
      </w:r>
      <w:r>
        <w:rPr>
          <w:rFonts w:ascii="Times New Roman" w:hAnsi="Times New Roman"/>
          <w:i/>
          <w:sz w:val="20"/>
          <w:szCs w:val="20"/>
        </w:rPr>
        <w:t>n</w:t>
      </w:r>
      <w:r>
        <w:rPr>
          <w:rFonts w:ascii="Times New Roman" w:hAnsi="Times New Roman"/>
          <w:sz w:val="20"/>
          <w:szCs w:val="20"/>
        </w:rPr>
        <w:t xml:space="preserve"> = 1) of cases. </w:t>
      </w:r>
    </w:p>
    <w:p w14:paraId="4B193B0D"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The postoperative complications were a pneumothorax in one patient and a hemopneumothorax in one patient.</w:t>
      </w:r>
      <w:r>
        <w:rPr>
          <w:rFonts w:ascii="Times New Roman" w:hAnsi="Times New Roman"/>
          <w:sz w:val="20"/>
          <w:szCs w:val="20"/>
        </w:rPr>
        <w:t xml:space="preserve"> Tube thoracostomy was performed in the patient who d</w:t>
      </w:r>
      <w:r>
        <w:rPr>
          <w:rFonts w:ascii="Times New Roman" w:hAnsi="Times New Roman"/>
          <w:sz w:val="20"/>
          <w:szCs w:val="20"/>
        </w:rPr>
        <w:t>eveloped a hemopneumothorax, and air evacuation via thoracentesis was performed in the other patient. All the other patients were discharged on the first postoperative day. Thus, the average duration of the hospital stay was 1.13 ± 0.56 (min: 1, max: 4) d.</w:t>
      </w:r>
      <w:r>
        <w:rPr>
          <w:rFonts w:ascii="Times New Roman" w:hAnsi="Times New Roman"/>
          <w:sz w:val="20"/>
          <w:szCs w:val="20"/>
        </w:rPr>
        <w:t xml:space="preserve"> The mean follow-up period was 60.6 ± 12.8 (min: 40, max: 89) </w:t>
      </w:r>
      <w:proofErr w:type="spellStart"/>
      <w:r>
        <w:rPr>
          <w:rFonts w:ascii="Times New Roman" w:hAnsi="Times New Roman"/>
          <w:sz w:val="20"/>
          <w:szCs w:val="20"/>
        </w:rPr>
        <w:t>mo</w:t>
      </w:r>
      <w:proofErr w:type="spellEnd"/>
      <w:r>
        <w:rPr>
          <w:rFonts w:ascii="Times New Roman" w:hAnsi="Times New Roman"/>
          <w:sz w:val="20"/>
          <w:szCs w:val="20"/>
        </w:rPr>
        <w:t xml:space="preserve"> postoperatively.</w:t>
      </w:r>
    </w:p>
    <w:p w14:paraId="408A3991" w14:textId="6AB47AFE" w:rsidR="009C6A2A" w:rsidRDefault="004F729E">
      <w:pPr>
        <w:adjustRightInd w:val="0"/>
        <w:spacing w:line="360" w:lineRule="auto"/>
        <w:rPr>
          <w:rFonts w:ascii="Times New Roman" w:hAnsi="Times New Roman"/>
          <w:sz w:val="20"/>
          <w:szCs w:val="20"/>
        </w:rPr>
      </w:pPr>
      <w:r>
        <w:rPr>
          <w:rFonts w:ascii="Times New Roman" w:hAnsi="Times New Roman"/>
          <w:sz w:val="20"/>
          <w:szCs w:val="20"/>
        </w:rPr>
        <w:t>When the patients were questioned about their PC status, 10 (32.3%) of the 31 patients responded that their PC was not resolved. The remaining 21 cases responded that their P</w:t>
      </w:r>
      <w:r>
        <w:rPr>
          <w:rFonts w:ascii="Times New Roman" w:hAnsi="Times New Roman"/>
          <w:sz w:val="20"/>
          <w:szCs w:val="20"/>
        </w:rPr>
        <w:t>C was in remission</w:t>
      </w:r>
      <w:r>
        <w:rPr>
          <w:rFonts w:ascii="Times New Roman" w:hAnsi="Times New Roman"/>
          <w:sz w:val="20"/>
          <w:szCs w:val="20"/>
        </w:rPr>
        <w:t xml:space="preserve">. </w:t>
      </w:r>
      <w:r w:rsidR="006E73F7" w:rsidRPr="006E73F7">
        <w:rPr>
          <w:rFonts w:ascii="Times New Roman" w:hAnsi="Times New Roman"/>
          <w:sz w:val="20"/>
          <w:szCs w:val="20"/>
        </w:rPr>
        <w:t>In terms of PCs, the most frequent site was palmar HH (Table 1).</w:t>
      </w:r>
    </w:p>
    <w:p w14:paraId="2A99397D"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lastRenderedPageBreak/>
        <w:t>When the patients were asked about their CH status in the postoperative third-month, 15 (48.4%) of the 31 patients reported that they had develo</w:t>
      </w:r>
      <w:r>
        <w:rPr>
          <w:rFonts w:ascii="Times New Roman" w:hAnsi="Times New Roman"/>
          <w:sz w:val="20"/>
          <w:szCs w:val="20"/>
        </w:rPr>
        <w:t xml:space="preserve">ped CH. When questioned about the severity of the CH, the severity ranged from 3–10, with the most frequent CH site being the dorsal region (Tables 2 and 3). </w:t>
      </w:r>
    </w:p>
    <w:p w14:paraId="533F417B"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At the time of the final interview in July 2017, the patients were questioned about their satisfa</w:t>
      </w:r>
      <w:r>
        <w:rPr>
          <w:rFonts w:ascii="Times New Roman" w:hAnsi="Times New Roman"/>
          <w:sz w:val="20"/>
          <w:szCs w:val="20"/>
        </w:rPr>
        <w:t>ction with the surgery. Six (19%) of the 31 patients were dissatisfied with the surgery, and 81% of patients were satisfied</w:t>
      </w:r>
      <w:r>
        <w:rPr>
          <w:rFonts w:ascii="Times New Roman" w:hAnsi="Times New Roman"/>
          <w:sz w:val="20"/>
          <w:szCs w:val="20"/>
        </w:rPr>
        <w:t>. Five of the six (83%) patients who were not satisfied with the surgery had developed CH, and the PC was unresolved in five of th</w:t>
      </w:r>
      <w:r>
        <w:rPr>
          <w:rFonts w:ascii="Times New Roman" w:hAnsi="Times New Roman"/>
          <w:sz w:val="20"/>
          <w:szCs w:val="20"/>
        </w:rPr>
        <w:t xml:space="preserve">ese six (83%) cases (Tables 4 and 5). In total, seven patients </w:t>
      </w:r>
      <w:r>
        <w:rPr>
          <w:rFonts w:ascii="Times New Roman" w:hAnsi="Times New Roman"/>
          <w:sz w:val="20"/>
          <w:szCs w:val="20"/>
        </w:rPr>
        <w:t xml:space="preserve">indicated that if given the choice today, they would not have the surgery. Two of these seven patients developed CH </w:t>
      </w:r>
      <w:proofErr w:type="spellStart"/>
      <w:r>
        <w:rPr>
          <w:rFonts w:ascii="Times New Roman" w:hAnsi="Times New Roman"/>
          <w:sz w:val="20"/>
          <w:szCs w:val="20"/>
        </w:rPr>
        <w:t>postsurgery</w:t>
      </w:r>
      <w:proofErr w:type="spellEnd"/>
      <w:r>
        <w:rPr>
          <w:rFonts w:ascii="Times New Roman" w:hAnsi="Times New Roman"/>
          <w:sz w:val="20"/>
          <w:szCs w:val="20"/>
        </w:rPr>
        <w:t>, and the PC was unresolved in the other five cases. One patien</w:t>
      </w:r>
      <w:r>
        <w:rPr>
          <w:rFonts w:ascii="Times New Roman" w:hAnsi="Times New Roman"/>
          <w:sz w:val="20"/>
          <w:szCs w:val="20"/>
        </w:rPr>
        <w:t xml:space="preserve">t who was satisfied with the surgery reported that he would not undergo this surgery today. This patient had some relief from his PC, but it was not completely resolved. </w:t>
      </w:r>
    </w:p>
    <w:p w14:paraId="194B0721" w14:textId="5DA5B71C" w:rsidR="009C6A2A" w:rsidRDefault="004F729E">
      <w:pPr>
        <w:adjustRightInd w:val="0"/>
        <w:spacing w:line="360" w:lineRule="auto"/>
        <w:rPr>
          <w:rFonts w:ascii="Times New Roman" w:hAnsi="Times New Roman"/>
          <w:sz w:val="20"/>
          <w:szCs w:val="20"/>
        </w:rPr>
      </w:pPr>
      <w:r>
        <w:rPr>
          <w:rFonts w:ascii="Times New Roman" w:hAnsi="Times New Roman"/>
          <w:sz w:val="20"/>
          <w:szCs w:val="20"/>
        </w:rPr>
        <w:t>When the long-term follow-up of the cases was examined, the PC was resolved in two pa</w:t>
      </w:r>
      <w:r>
        <w:rPr>
          <w:rFonts w:ascii="Times New Roman" w:hAnsi="Times New Roman"/>
          <w:sz w:val="20"/>
          <w:szCs w:val="20"/>
        </w:rPr>
        <w:t>tients</w:t>
      </w:r>
      <w:r w:rsidR="006E73F7">
        <w:rPr>
          <w:rFonts w:ascii="Times New Roman" w:hAnsi="Times New Roman"/>
          <w:sz w:val="20"/>
          <w:szCs w:val="20"/>
        </w:rPr>
        <w:t xml:space="preserve"> out of 10</w:t>
      </w:r>
      <w:r>
        <w:rPr>
          <w:rFonts w:ascii="Times New Roman" w:hAnsi="Times New Roman"/>
          <w:sz w:val="20"/>
          <w:szCs w:val="20"/>
        </w:rPr>
        <w:t xml:space="preserve">, and CH developed in three patients. </w:t>
      </w:r>
      <w:r>
        <w:rPr>
          <w:rFonts w:ascii="Times New Roman" w:hAnsi="Times New Roman"/>
          <w:sz w:val="20"/>
          <w:szCs w:val="20"/>
        </w:rPr>
        <w:t>In total, there were 8 (25%) cases of PC persistence and 18 (58%) cases of CH persistence. Persistence of the PC affected patient satisfaction in both the short (</w:t>
      </w:r>
      <w:r>
        <w:rPr>
          <w:rFonts w:ascii="Times New Roman" w:hAnsi="Times New Roman"/>
          <w:i/>
          <w:sz w:val="20"/>
          <w:szCs w:val="20"/>
        </w:rPr>
        <w:t>p</w:t>
      </w:r>
      <w:r>
        <w:rPr>
          <w:rFonts w:ascii="Times New Roman" w:hAnsi="Times New Roman"/>
          <w:sz w:val="20"/>
          <w:szCs w:val="20"/>
        </w:rPr>
        <w:t xml:space="preserve"> = 0.007) and long term (</w:t>
      </w:r>
      <w:r>
        <w:rPr>
          <w:rFonts w:ascii="Times New Roman" w:hAnsi="Times New Roman"/>
          <w:i/>
          <w:sz w:val="20"/>
          <w:szCs w:val="20"/>
        </w:rPr>
        <w:t>p</w:t>
      </w:r>
      <w:r>
        <w:rPr>
          <w:rFonts w:ascii="Times New Roman" w:hAnsi="Times New Roman"/>
          <w:sz w:val="20"/>
          <w:szCs w:val="20"/>
        </w:rPr>
        <w:t xml:space="preserve"> = 0.001). In contrast, CH had no effect on patient satisfaction in either the short (</w:t>
      </w:r>
      <w:r>
        <w:rPr>
          <w:rFonts w:ascii="Times New Roman" w:hAnsi="Times New Roman"/>
          <w:i/>
          <w:sz w:val="20"/>
          <w:szCs w:val="20"/>
        </w:rPr>
        <w:t>p</w:t>
      </w:r>
      <w:r>
        <w:rPr>
          <w:rFonts w:ascii="Times New Roman" w:hAnsi="Times New Roman"/>
          <w:sz w:val="20"/>
          <w:szCs w:val="20"/>
        </w:rPr>
        <w:t xml:space="preserve"> = 0.083) or long term (p = 0.359).</w:t>
      </w:r>
    </w:p>
    <w:p w14:paraId="0A3E1E34" w14:textId="77777777" w:rsidR="009C6A2A" w:rsidRDefault="004F729E">
      <w:pPr>
        <w:adjustRightInd w:val="0"/>
        <w:spacing w:line="360" w:lineRule="auto"/>
        <w:rPr>
          <w:rFonts w:ascii="Times New Roman" w:hAnsi="Times New Roman"/>
          <w:b/>
          <w:bCs/>
          <w:sz w:val="24"/>
        </w:rPr>
      </w:pPr>
      <w:r>
        <w:rPr>
          <w:rFonts w:ascii="Times New Roman" w:hAnsi="Times New Roman"/>
          <w:b/>
          <w:bCs/>
          <w:sz w:val="24"/>
        </w:rPr>
        <w:t>Discussion</w:t>
      </w:r>
    </w:p>
    <w:p w14:paraId="0C197681"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Although the precise pathophysiological mechanism in HH is not known, excessive stimulation of t</w:t>
      </w:r>
      <w:r>
        <w:rPr>
          <w:rFonts w:ascii="Times New Roman" w:hAnsi="Times New Roman"/>
          <w:sz w:val="20"/>
          <w:szCs w:val="20"/>
        </w:rPr>
        <w:t xml:space="preserve">hermoregulatory and emotional sweating control centers or excessive secretion of acetylcholine by the sympathetic nervous system in response to stimulation of these centers may play a </w:t>
      </w:r>
      <w:proofErr w:type="gramStart"/>
      <w:r>
        <w:rPr>
          <w:rFonts w:ascii="Times New Roman" w:hAnsi="Times New Roman"/>
          <w:sz w:val="20"/>
          <w:szCs w:val="20"/>
        </w:rPr>
        <w:t>role</w:t>
      </w:r>
      <w:r>
        <w:rPr>
          <w:rFonts w:ascii="Times New Roman" w:hAnsi="Times New Roman"/>
          <w:sz w:val="20"/>
          <w:szCs w:val="20"/>
          <w:vertAlign w:val="superscript"/>
        </w:rPr>
        <w:t>[</w:t>
      </w:r>
      <w:proofErr w:type="gramEnd"/>
      <w:r>
        <w:rPr>
          <w:rFonts w:ascii="Times New Roman" w:hAnsi="Times New Roman"/>
          <w:sz w:val="20"/>
          <w:szCs w:val="20"/>
          <w:vertAlign w:val="superscript"/>
        </w:rPr>
        <w:t>3]</w:t>
      </w:r>
      <w:r>
        <w:rPr>
          <w:rFonts w:ascii="Times New Roman" w:hAnsi="Times New Roman"/>
          <w:sz w:val="20"/>
          <w:szCs w:val="20"/>
        </w:rPr>
        <w:t xml:space="preserve">. Individuals with primary HH, which usually begins in childhood </w:t>
      </w:r>
      <w:r>
        <w:rPr>
          <w:rFonts w:ascii="Times New Roman" w:hAnsi="Times New Roman"/>
          <w:sz w:val="20"/>
          <w:szCs w:val="20"/>
        </w:rPr>
        <w:t xml:space="preserve">or adolescence, generally consult a physician because of psychosocial problems caused by </w:t>
      </w:r>
      <w:proofErr w:type="gramStart"/>
      <w:r>
        <w:rPr>
          <w:rFonts w:ascii="Times New Roman" w:hAnsi="Times New Roman"/>
          <w:sz w:val="20"/>
          <w:szCs w:val="20"/>
        </w:rPr>
        <w:t>HH</w:t>
      </w:r>
      <w:r>
        <w:rPr>
          <w:rFonts w:ascii="Times New Roman" w:hAnsi="Times New Roman"/>
          <w:sz w:val="20"/>
          <w:szCs w:val="20"/>
          <w:vertAlign w:val="superscript"/>
        </w:rPr>
        <w:t>[</w:t>
      </w:r>
      <w:proofErr w:type="gramEnd"/>
      <w:r>
        <w:rPr>
          <w:rFonts w:ascii="Times New Roman" w:hAnsi="Times New Roman"/>
          <w:sz w:val="20"/>
          <w:szCs w:val="20"/>
          <w:vertAlign w:val="superscript"/>
        </w:rPr>
        <w:t>6]</w:t>
      </w:r>
      <w:r>
        <w:rPr>
          <w:rFonts w:ascii="Times New Roman" w:hAnsi="Times New Roman"/>
          <w:sz w:val="20"/>
          <w:szCs w:val="20"/>
        </w:rPr>
        <w:t>.</w:t>
      </w:r>
    </w:p>
    <w:p w14:paraId="47E3DC86" w14:textId="67F36661" w:rsidR="009C6A2A" w:rsidRDefault="004F729E">
      <w:pPr>
        <w:adjustRightInd w:val="0"/>
        <w:spacing w:line="360" w:lineRule="auto"/>
        <w:rPr>
          <w:rFonts w:ascii="Times New Roman" w:hAnsi="Times New Roman"/>
          <w:sz w:val="20"/>
          <w:szCs w:val="20"/>
        </w:rPr>
      </w:pPr>
      <w:r>
        <w:rPr>
          <w:rFonts w:ascii="Times New Roman" w:hAnsi="Times New Roman"/>
          <w:sz w:val="20"/>
          <w:szCs w:val="20"/>
        </w:rPr>
        <w:t xml:space="preserve">Medical therapy options for HH include topical or systemic antiperspirants, iontophoresis, botulinum toxin injections, laser therapy, and microwave </w:t>
      </w:r>
      <w:proofErr w:type="gramStart"/>
      <w:r>
        <w:rPr>
          <w:rFonts w:ascii="Times New Roman" w:hAnsi="Times New Roman"/>
          <w:sz w:val="20"/>
          <w:szCs w:val="20"/>
        </w:rPr>
        <w:t>therapy</w:t>
      </w:r>
      <w:r>
        <w:rPr>
          <w:rFonts w:ascii="Times New Roman" w:hAnsi="Times New Roman"/>
          <w:sz w:val="20"/>
          <w:szCs w:val="20"/>
          <w:vertAlign w:val="superscript"/>
        </w:rPr>
        <w:t>[</w:t>
      </w:r>
      <w:proofErr w:type="gramEnd"/>
      <w:r>
        <w:rPr>
          <w:rFonts w:ascii="Times New Roman" w:hAnsi="Times New Roman"/>
          <w:sz w:val="20"/>
          <w:szCs w:val="20"/>
          <w:vertAlign w:val="superscript"/>
        </w:rPr>
        <w:t>6]</w:t>
      </w:r>
      <w:r>
        <w:rPr>
          <w:rFonts w:ascii="Times New Roman" w:hAnsi="Times New Roman"/>
          <w:sz w:val="20"/>
          <w:szCs w:val="20"/>
        </w:rPr>
        <w:t xml:space="preserve">. </w:t>
      </w:r>
      <w:r>
        <w:rPr>
          <w:rFonts w:ascii="Times New Roman" w:hAnsi="Times New Roman"/>
          <w:sz w:val="20"/>
          <w:szCs w:val="20"/>
        </w:rPr>
        <w:t xml:space="preserve">Topical antiperspirant agents consist of a 20% solution of aluminum </w:t>
      </w:r>
      <w:proofErr w:type="gramStart"/>
      <w:r>
        <w:rPr>
          <w:rFonts w:ascii="Times New Roman" w:hAnsi="Times New Roman"/>
          <w:sz w:val="20"/>
          <w:szCs w:val="20"/>
        </w:rPr>
        <w:t>hydrochloride</w:t>
      </w:r>
      <w:r>
        <w:rPr>
          <w:rFonts w:ascii="Times New Roman" w:hAnsi="Times New Roman"/>
          <w:sz w:val="20"/>
          <w:szCs w:val="20"/>
          <w:vertAlign w:val="superscript"/>
        </w:rPr>
        <w:t>[</w:t>
      </w:r>
      <w:proofErr w:type="gramEnd"/>
      <w:r>
        <w:rPr>
          <w:rFonts w:ascii="Times New Roman" w:hAnsi="Times New Roman"/>
          <w:sz w:val="20"/>
          <w:szCs w:val="20"/>
          <w:vertAlign w:val="superscript"/>
        </w:rPr>
        <w:t>7]</w:t>
      </w:r>
      <w:r>
        <w:rPr>
          <w:rFonts w:ascii="Times New Roman" w:hAnsi="Times New Roman"/>
          <w:sz w:val="20"/>
          <w:szCs w:val="20"/>
        </w:rPr>
        <w:t xml:space="preserve">. Topical and systemic forms of anticholinergics include glycopyrrolate and </w:t>
      </w:r>
      <w:proofErr w:type="gramStart"/>
      <w:r>
        <w:rPr>
          <w:rFonts w:ascii="Times New Roman" w:hAnsi="Times New Roman"/>
          <w:sz w:val="20"/>
          <w:szCs w:val="20"/>
        </w:rPr>
        <w:t>oxybutynin</w:t>
      </w:r>
      <w:r>
        <w:rPr>
          <w:rFonts w:ascii="Times New Roman" w:hAnsi="Times New Roman"/>
          <w:sz w:val="20"/>
          <w:szCs w:val="20"/>
          <w:vertAlign w:val="superscript"/>
        </w:rPr>
        <w:t>[</w:t>
      </w:r>
      <w:proofErr w:type="gramEnd"/>
      <w:r>
        <w:rPr>
          <w:rFonts w:ascii="Times New Roman" w:hAnsi="Times New Roman"/>
          <w:sz w:val="20"/>
          <w:szCs w:val="20"/>
          <w:vertAlign w:val="superscript"/>
        </w:rPr>
        <w:t>7]</w:t>
      </w:r>
      <w:r>
        <w:rPr>
          <w:rFonts w:ascii="Times New Roman" w:hAnsi="Times New Roman"/>
          <w:sz w:val="20"/>
          <w:szCs w:val="20"/>
        </w:rPr>
        <w:t>. Iontophoresis is the treatment of choice for palmoplantar HH. The treatment is ba</w:t>
      </w:r>
      <w:r>
        <w:rPr>
          <w:rFonts w:ascii="Times New Roman" w:hAnsi="Times New Roman"/>
          <w:sz w:val="20"/>
          <w:szCs w:val="20"/>
        </w:rPr>
        <w:t xml:space="preserve">sed on the principle that the palmoplantar zone is kept in tap water in which a low </w:t>
      </w:r>
      <w:r>
        <w:rPr>
          <w:rFonts w:ascii="Times New Roman" w:hAnsi="Times New Roman"/>
          <w:sz w:val="20"/>
          <w:szCs w:val="20"/>
        </w:rPr>
        <w:lastRenderedPageBreak/>
        <w:t xml:space="preserve">voltage electrical current is applied for about 30 </w:t>
      </w:r>
      <w:proofErr w:type="gramStart"/>
      <w:r>
        <w:rPr>
          <w:rFonts w:ascii="Times New Roman" w:hAnsi="Times New Roman"/>
          <w:sz w:val="20"/>
          <w:szCs w:val="20"/>
        </w:rPr>
        <w:t>min</w:t>
      </w:r>
      <w:r>
        <w:rPr>
          <w:rFonts w:ascii="Times New Roman" w:hAnsi="Times New Roman"/>
          <w:sz w:val="20"/>
          <w:szCs w:val="20"/>
          <w:vertAlign w:val="superscript"/>
        </w:rPr>
        <w:t>[</w:t>
      </w:r>
      <w:proofErr w:type="gramEnd"/>
      <w:r>
        <w:rPr>
          <w:rFonts w:ascii="Times New Roman" w:hAnsi="Times New Roman"/>
          <w:sz w:val="20"/>
          <w:szCs w:val="20"/>
          <w:vertAlign w:val="superscript"/>
        </w:rPr>
        <w:t>8,9]</w:t>
      </w:r>
      <w:r>
        <w:rPr>
          <w:rFonts w:ascii="Times New Roman" w:hAnsi="Times New Roman"/>
          <w:sz w:val="20"/>
          <w:szCs w:val="20"/>
        </w:rPr>
        <w:t>.</w:t>
      </w:r>
      <w:r>
        <w:rPr>
          <w:rFonts w:ascii="Times New Roman" w:hAnsi="Times New Roman"/>
          <w:sz w:val="20"/>
          <w:szCs w:val="20"/>
        </w:rPr>
        <w:t xml:space="preserve"> Botulinum toxin A injections are used as a treatment for both palmoplantar and axillary HH. These provide a longer remission time than any other medical treatment, with remission of HH for about 6 </w:t>
      </w:r>
      <w:proofErr w:type="spellStart"/>
      <w:r>
        <w:rPr>
          <w:rFonts w:ascii="Times New Roman" w:hAnsi="Times New Roman"/>
          <w:sz w:val="20"/>
          <w:szCs w:val="20"/>
        </w:rPr>
        <w:t>mo</w:t>
      </w:r>
      <w:proofErr w:type="spellEnd"/>
      <w:r>
        <w:rPr>
          <w:rFonts w:ascii="Times New Roman" w:hAnsi="Times New Roman"/>
          <w:sz w:val="20"/>
          <w:szCs w:val="20"/>
        </w:rPr>
        <w:t xml:space="preserve"> post-</w:t>
      </w:r>
      <w:proofErr w:type="gramStart"/>
      <w:r>
        <w:rPr>
          <w:rFonts w:ascii="Times New Roman" w:hAnsi="Times New Roman"/>
          <w:sz w:val="20"/>
          <w:szCs w:val="20"/>
        </w:rPr>
        <w:t>treatment</w:t>
      </w:r>
      <w:r>
        <w:rPr>
          <w:rFonts w:ascii="Times New Roman" w:hAnsi="Times New Roman"/>
          <w:sz w:val="20"/>
          <w:szCs w:val="20"/>
          <w:vertAlign w:val="superscript"/>
        </w:rPr>
        <w:t>[</w:t>
      </w:r>
      <w:proofErr w:type="gramEnd"/>
      <w:r>
        <w:rPr>
          <w:rFonts w:ascii="Times New Roman" w:hAnsi="Times New Roman"/>
          <w:sz w:val="20"/>
          <w:szCs w:val="20"/>
          <w:vertAlign w:val="superscript"/>
        </w:rPr>
        <w:t>10]</w:t>
      </w:r>
      <w:r>
        <w:rPr>
          <w:rFonts w:ascii="Times New Roman" w:hAnsi="Times New Roman"/>
          <w:sz w:val="20"/>
          <w:szCs w:val="20"/>
        </w:rPr>
        <w:t xml:space="preserve">. In terms of laser treatment, a </w:t>
      </w:r>
      <w:proofErr w:type="spellStart"/>
      <w:r>
        <w:rPr>
          <w:rFonts w:ascii="Times New Roman" w:hAnsi="Times New Roman"/>
          <w:sz w:val="20"/>
          <w:szCs w:val="20"/>
        </w:rPr>
        <w:t>neod</w:t>
      </w:r>
      <w:r>
        <w:rPr>
          <w:rFonts w:ascii="Times New Roman" w:hAnsi="Times New Roman"/>
          <w:sz w:val="20"/>
          <w:szCs w:val="20"/>
        </w:rPr>
        <w:t>ynium</w:t>
      </w:r>
      <w:proofErr w:type="spellEnd"/>
      <w:r>
        <w:rPr>
          <w:rFonts w:ascii="Times New Roman" w:hAnsi="Times New Roman"/>
          <w:sz w:val="20"/>
          <w:szCs w:val="20"/>
        </w:rPr>
        <w:t xml:space="preserve"> yttrium aluminum garnet laser is used for </w:t>
      </w:r>
      <w:proofErr w:type="gramStart"/>
      <w:r>
        <w:rPr>
          <w:rFonts w:ascii="Times New Roman" w:hAnsi="Times New Roman"/>
          <w:sz w:val="20"/>
          <w:szCs w:val="20"/>
        </w:rPr>
        <w:t>HH</w:t>
      </w:r>
      <w:r>
        <w:rPr>
          <w:rFonts w:ascii="Times New Roman" w:hAnsi="Times New Roman"/>
          <w:sz w:val="20"/>
          <w:szCs w:val="20"/>
          <w:vertAlign w:val="superscript"/>
        </w:rPr>
        <w:t>[</w:t>
      </w:r>
      <w:proofErr w:type="gramEnd"/>
      <w:r>
        <w:rPr>
          <w:rFonts w:ascii="Times New Roman" w:hAnsi="Times New Roman"/>
          <w:sz w:val="20"/>
          <w:szCs w:val="20"/>
          <w:vertAlign w:val="superscript"/>
        </w:rPr>
        <w:t>11]</w:t>
      </w:r>
      <w:r>
        <w:rPr>
          <w:rFonts w:ascii="Times New Roman" w:hAnsi="Times New Roman"/>
          <w:sz w:val="20"/>
          <w:szCs w:val="20"/>
        </w:rPr>
        <w:t xml:space="preserve">. In microwave therapy, thermolysis of eccrine sweat glands is conducted. The main difference of this </w:t>
      </w:r>
      <w:r w:rsidR="008A791B">
        <w:rPr>
          <w:rFonts w:ascii="Times New Roman" w:hAnsi="Times New Roman"/>
          <w:sz w:val="20"/>
          <w:szCs w:val="20"/>
        </w:rPr>
        <w:t xml:space="preserve">treatment </w:t>
      </w:r>
      <w:r>
        <w:rPr>
          <w:rFonts w:ascii="Times New Roman" w:hAnsi="Times New Roman"/>
          <w:sz w:val="20"/>
          <w:szCs w:val="20"/>
        </w:rPr>
        <w:t xml:space="preserve">method is that it is </w:t>
      </w:r>
      <w:proofErr w:type="gramStart"/>
      <w:r>
        <w:rPr>
          <w:rFonts w:ascii="Times New Roman" w:hAnsi="Times New Roman"/>
          <w:sz w:val="20"/>
          <w:szCs w:val="20"/>
        </w:rPr>
        <w:t>irreversible</w:t>
      </w:r>
      <w:r>
        <w:rPr>
          <w:rFonts w:ascii="Times New Roman" w:hAnsi="Times New Roman"/>
          <w:sz w:val="20"/>
          <w:szCs w:val="20"/>
          <w:vertAlign w:val="superscript"/>
        </w:rPr>
        <w:t>[</w:t>
      </w:r>
      <w:proofErr w:type="gramEnd"/>
      <w:r>
        <w:rPr>
          <w:rFonts w:ascii="Times New Roman" w:hAnsi="Times New Roman"/>
          <w:sz w:val="20"/>
          <w:szCs w:val="20"/>
          <w:vertAlign w:val="superscript"/>
        </w:rPr>
        <w:t>12]</w:t>
      </w:r>
      <w:r>
        <w:rPr>
          <w:rFonts w:ascii="Times New Roman" w:hAnsi="Times New Roman"/>
          <w:sz w:val="20"/>
          <w:szCs w:val="20"/>
        </w:rPr>
        <w:t xml:space="preserve">. </w:t>
      </w:r>
      <w:r>
        <w:rPr>
          <w:rFonts w:ascii="Times New Roman" w:hAnsi="Times New Roman"/>
          <w:sz w:val="20"/>
          <w:szCs w:val="20"/>
        </w:rPr>
        <w:t>The main disadvantage of medical treatments for HH as comp</w:t>
      </w:r>
      <w:r>
        <w:rPr>
          <w:rFonts w:ascii="Times New Roman" w:hAnsi="Times New Roman"/>
          <w:sz w:val="20"/>
          <w:szCs w:val="20"/>
        </w:rPr>
        <w:t xml:space="preserve">ared to surgical treatment is that medical therapy offers only a temporary solution to an ongoing problem, and the treatments </w:t>
      </w:r>
      <w:proofErr w:type="gramStart"/>
      <w:r>
        <w:rPr>
          <w:rFonts w:ascii="Times New Roman" w:hAnsi="Times New Roman"/>
          <w:sz w:val="20"/>
          <w:szCs w:val="20"/>
        </w:rPr>
        <w:t>have to</w:t>
      </w:r>
      <w:proofErr w:type="gramEnd"/>
      <w:r>
        <w:rPr>
          <w:rFonts w:ascii="Times New Roman" w:hAnsi="Times New Roman"/>
          <w:sz w:val="20"/>
          <w:szCs w:val="20"/>
        </w:rPr>
        <w:t xml:space="preserve"> be repeated. An important advantage of medical therapy versus surgical treatment is the absence of CH, which is a complica</w:t>
      </w:r>
      <w:r>
        <w:rPr>
          <w:rFonts w:ascii="Times New Roman" w:hAnsi="Times New Roman"/>
          <w:sz w:val="20"/>
          <w:szCs w:val="20"/>
        </w:rPr>
        <w:t xml:space="preserve">tion of surgery. For this reason, all HH patients are advised to receive medical treatment for at least 6 </w:t>
      </w:r>
      <w:proofErr w:type="spellStart"/>
      <w:r>
        <w:rPr>
          <w:rFonts w:ascii="Times New Roman" w:hAnsi="Times New Roman"/>
          <w:sz w:val="20"/>
          <w:szCs w:val="20"/>
        </w:rPr>
        <w:t>mo</w:t>
      </w:r>
      <w:proofErr w:type="spellEnd"/>
      <w:r>
        <w:rPr>
          <w:rFonts w:ascii="Times New Roman" w:hAnsi="Times New Roman"/>
          <w:sz w:val="20"/>
          <w:szCs w:val="20"/>
        </w:rPr>
        <w:t xml:space="preserve"> before considering surgery. If the medical treatment is unsuccessful, with success defined as patient satisfaction, surgery is an option. In the pr</w:t>
      </w:r>
      <w:r>
        <w:rPr>
          <w:rFonts w:ascii="Times New Roman" w:hAnsi="Times New Roman"/>
          <w:sz w:val="20"/>
          <w:szCs w:val="20"/>
        </w:rPr>
        <w:t xml:space="preserve">esent study, none of the patients had satisfactory outcomes prior to undergoing surgery. </w:t>
      </w:r>
    </w:p>
    <w:p w14:paraId="073CA8BE" w14:textId="14465F85" w:rsidR="009C6A2A" w:rsidRDefault="008A791B">
      <w:pPr>
        <w:adjustRightInd w:val="0"/>
        <w:spacing w:line="360" w:lineRule="auto"/>
        <w:rPr>
          <w:rFonts w:ascii="Times New Roman" w:hAnsi="Times New Roman"/>
          <w:sz w:val="20"/>
          <w:szCs w:val="20"/>
        </w:rPr>
      </w:pPr>
      <w:r w:rsidRPr="008A791B">
        <w:rPr>
          <w:rFonts w:ascii="Times New Roman" w:hAnsi="Times New Roman"/>
          <w:sz w:val="20"/>
          <w:szCs w:val="20"/>
        </w:rPr>
        <w:t>CH, a complication of ETS, refers to excessive sweating affecting various parts of the body.</w:t>
      </w:r>
      <w:r>
        <w:rPr>
          <w:rFonts w:ascii="Times New Roman" w:hAnsi="Times New Roman"/>
          <w:sz w:val="20"/>
          <w:szCs w:val="20"/>
        </w:rPr>
        <w:t xml:space="preserve"> </w:t>
      </w:r>
      <w:r w:rsidR="004F729E">
        <w:rPr>
          <w:rFonts w:ascii="Times New Roman" w:hAnsi="Times New Roman"/>
          <w:sz w:val="20"/>
          <w:szCs w:val="20"/>
        </w:rPr>
        <w:t>The mechanism underlying the development CH is not known. Although some au</w:t>
      </w:r>
      <w:r w:rsidR="004F729E">
        <w:rPr>
          <w:rFonts w:ascii="Times New Roman" w:hAnsi="Times New Roman"/>
          <w:sz w:val="20"/>
          <w:szCs w:val="20"/>
        </w:rPr>
        <w:t>thors have argued that this condition develops because of negative feedback stimuli of the sympathetic chain cannot reach the hypothalamus,</w:t>
      </w:r>
      <w:r w:rsidR="004F729E">
        <w:rPr>
          <w:rFonts w:ascii="Times New Roman" w:hAnsi="Times New Roman"/>
          <w:sz w:val="20"/>
          <w:szCs w:val="20"/>
        </w:rPr>
        <w:t xml:space="preserve"> there is no scientific evidence to support this </w:t>
      </w:r>
      <w:proofErr w:type="gramStart"/>
      <w:r w:rsidR="004F729E">
        <w:rPr>
          <w:rFonts w:ascii="Times New Roman" w:hAnsi="Times New Roman"/>
          <w:sz w:val="20"/>
          <w:szCs w:val="20"/>
        </w:rPr>
        <w:t>hypothesis</w:t>
      </w:r>
      <w:r w:rsidR="004F729E">
        <w:rPr>
          <w:rFonts w:ascii="Times New Roman" w:hAnsi="Times New Roman"/>
          <w:sz w:val="20"/>
          <w:szCs w:val="20"/>
          <w:vertAlign w:val="superscript"/>
        </w:rPr>
        <w:t>[</w:t>
      </w:r>
      <w:proofErr w:type="gramEnd"/>
      <w:r w:rsidR="004F729E">
        <w:rPr>
          <w:rFonts w:ascii="Times New Roman" w:hAnsi="Times New Roman"/>
          <w:sz w:val="20"/>
          <w:szCs w:val="20"/>
          <w:vertAlign w:val="superscript"/>
        </w:rPr>
        <w:t>13,14]</w:t>
      </w:r>
      <w:r w:rsidR="004F729E">
        <w:rPr>
          <w:rFonts w:ascii="Times New Roman" w:hAnsi="Times New Roman"/>
          <w:sz w:val="20"/>
          <w:szCs w:val="20"/>
        </w:rPr>
        <w:t>. Approximately 3–98% of patients develop CH aft</w:t>
      </w:r>
      <w:r w:rsidR="004F729E">
        <w:rPr>
          <w:rFonts w:ascii="Times New Roman" w:hAnsi="Times New Roman"/>
          <w:sz w:val="20"/>
          <w:szCs w:val="20"/>
        </w:rPr>
        <w:t>er ETS, and it is most commonly observed in the trunk area</w:t>
      </w:r>
      <w:r w:rsidR="004F729E">
        <w:rPr>
          <w:rFonts w:ascii="Times New Roman" w:hAnsi="Times New Roman"/>
          <w:sz w:val="20"/>
          <w:szCs w:val="20"/>
        </w:rPr>
        <w:t xml:space="preserve">. It is not possible to predict who may develop CH and how severe it may </w:t>
      </w:r>
      <w:proofErr w:type="gramStart"/>
      <w:r w:rsidR="004F729E">
        <w:rPr>
          <w:rFonts w:ascii="Times New Roman" w:hAnsi="Times New Roman"/>
          <w:sz w:val="20"/>
          <w:szCs w:val="20"/>
        </w:rPr>
        <w:t>become</w:t>
      </w:r>
      <w:r w:rsidR="004F729E">
        <w:rPr>
          <w:rFonts w:ascii="Times New Roman" w:hAnsi="Times New Roman"/>
          <w:sz w:val="20"/>
          <w:szCs w:val="20"/>
          <w:vertAlign w:val="superscript"/>
        </w:rPr>
        <w:t>[</w:t>
      </w:r>
      <w:proofErr w:type="gramEnd"/>
      <w:r w:rsidR="004F729E">
        <w:rPr>
          <w:rFonts w:ascii="Times New Roman" w:hAnsi="Times New Roman"/>
          <w:sz w:val="20"/>
          <w:szCs w:val="20"/>
          <w:vertAlign w:val="superscript"/>
        </w:rPr>
        <w:t>4,5,13,15]</w:t>
      </w:r>
      <w:r w:rsidR="004F729E">
        <w:rPr>
          <w:rFonts w:ascii="Times New Roman" w:hAnsi="Times New Roman"/>
          <w:sz w:val="20"/>
          <w:szCs w:val="20"/>
        </w:rPr>
        <w:t xml:space="preserve">. Although some studies showed that a </w:t>
      </w:r>
      <w:proofErr w:type="spellStart"/>
      <w:r w:rsidR="004F729E">
        <w:rPr>
          <w:rFonts w:ascii="Times New Roman" w:hAnsi="Times New Roman"/>
          <w:sz w:val="20"/>
          <w:szCs w:val="20"/>
        </w:rPr>
        <w:t>sympathecotomy</w:t>
      </w:r>
      <w:proofErr w:type="spellEnd"/>
      <w:r w:rsidR="004F729E">
        <w:rPr>
          <w:rFonts w:ascii="Times New Roman" w:hAnsi="Times New Roman"/>
          <w:sz w:val="20"/>
          <w:szCs w:val="20"/>
        </w:rPr>
        <w:t xml:space="preserve"> at the T2 level or a sympathectomy at multiple level</w:t>
      </w:r>
      <w:r w:rsidR="004F729E">
        <w:rPr>
          <w:rFonts w:ascii="Times New Roman" w:hAnsi="Times New Roman"/>
          <w:sz w:val="20"/>
          <w:szCs w:val="20"/>
        </w:rPr>
        <w:t xml:space="preserve">s and older age increased the risk of developing CH, other studies contradicted these </w:t>
      </w:r>
      <w:proofErr w:type="gramStart"/>
      <w:r w:rsidR="004F729E">
        <w:rPr>
          <w:rFonts w:ascii="Times New Roman" w:hAnsi="Times New Roman"/>
          <w:sz w:val="20"/>
          <w:szCs w:val="20"/>
        </w:rPr>
        <w:t>findings</w:t>
      </w:r>
      <w:r w:rsidR="004F729E">
        <w:rPr>
          <w:rFonts w:ascii="Times New Roman" w:hAnsi="Times New Roman"/>
          <w:sz w:val="20"/>
          <w:szCs w:val="20"/>
          <w:vertAlign w:val="superscript"/>
        </w:rPr>
        <w:t>[</w:t>
      </w:r>
      <w:proofErr w:type="gramEnd"/>
      <w:r w:rsidR="004F729E">
        <w:rPr>
          <w:rFonts w:ascii="Times New Roman" w:hAnsi="Times New Roman"/>
          <w:sz w:val="20"/>
          <w:szCs w:val="20"/>
          <w:vertAlign w:val="superscript"/>
        </w:rPr>
        <w:t>13,16-18]</w:t>
      </w:r>
      <w:r w:rsidR="004F729E">
        <w:rPr>
          <w:rFonts w:ascii="Times New Roman" w:hAnsi="Times New Roman"/>
          <w:sz w:val="20"/>
          <w:szCs w:val="20"/>
        </w:rPr>
        <w:t xml:space="preserve">. In our study, in the short term, the rate of CH was 48%, whereas it was 58% in the long term. CH developed most commonly in the trunk region, </w:t>
      </w:r>
      <w:proofErr w:type="gramStart"/>
      <w:r w:rsidR="004F729E">
        <w:rPr>
          <w:rFonts w:ascii="Times New Roman" w:hAnsi="Times New Roman"/>
          <w:sz w:val="20"/>
          <w:szCs w:val="20"/>
        </w:rPr>
        <w:t xml:space="preserve">similar </w:t>
      </w:r>
      <w:r w:rsidR="004F729E">
        <w:rPr>
          <w:rFonts w:ascii="Times New Roman" w:hAnsi="Times New Roman"/>
          <w:sz w:val="20"/>
          <w:szCs w:val="20"/>
        </w:rPr>
        <w:t>to</w:t>
      </w:r>
      <w:proofErr w:type="gramEnd"/>
      <w:r w:rsidR="004F729E">
        <w:rPr>
          <w:rFonts w:ascii="Times New Roman" w:hAnsi="Times New Roman"/>
          <w:sz w:val="20"/>
          <w:szCs w:val="20"/>
        </w:rPr>
        <w:t xml:space="preserve"> the scientific literature on this subject</w:t>
      </w:r>
      <w:r w:rsidR="004F729E">
        <w:rPr>
          <w:rFonts w:ascii="Times New Roman" w:hAnsi="Times New Roman"/>
          <w:sz w:val="20"/>
          <w:szCs w:val="20"/>
        </w:rPr>
        <w:t>.</w:t>
      </w:r>
    </w:p>
    <w:p w14:paraId="146D71A0" w14:textId="7FEA49E6" w:rsidR="009C6A2A" w:rsidRDefault="004F729E">
      <w:pPr>
        <w:adjustRightInd w:val="0"/>
        <w:spacing w:line="360" w:lineRule="auto"/>
        <w:rPr>
          <w:rFonts w:ascii="Times New Roman" w:hAnsi="Times New Roman"/>
          <w:sz w:val="20"/>
          <w:szCs w:val="20"/>
        </w:rPr>
      </w:pPr>
      <w:r>
        <w:rPr>
          <w:rFonts w:ascii="Times New Roman" w:hAnsi="Times New Roman"/>
          <w:sz w:val="20"/>
          <w:szCs w:val="20"/>
        </w:rPr>
        <w:t>Previous research reported that the development of CH and PC persistence were the two most important factors affecting patient satisfaction after ETS operations</w:t>
      </w:r>
      <w:r w:rsidR="008A791B" w:rsidRPr="008A791B">
        <w:rPr>
          <w:rFonts w:ascii="Times New Roman" w:hAnsi="Times New Roman"/>
          <w:sz w:val="20"/>
          <w:szCs w:val="20"/>
          <w:vertAlign w:val="superscript"/>
        </w:rPr>
        <w:t xml:space="preserve"> </w:t>
      </w:r>
      <w:r w:rsidR="008A791B">
        <w:rPr>
          <w:rFonts w:ascii="Times New Roman" w:hAnsi="Times New Roman"/>
          <w:sz w:val="20"/>
          <w:szCs w:val="20"/>
          <w:vertAlign w:val="superscript"/>
        </w:rPr>
        <w:t>[13,17,19]</w:t>
      </w:r>
      <w:r>
        <w:rPr>
          <w:rFonts w:ascii="Times New Roman" w:hAnsi="Times New Roman"/>
          <w:sz w:val="20"/>
          <w:szCs w:val="20"/>
        </w:rPr>
        <w:t>. In the literature, the reported rates of P</w:t>
      </w:r>
      <w:r>
        <w:rPr>
          <w:rFonts w:ascii="Times New Roman" w:hAnsi="Times New Roman"/>
          <w:sz w:val="20"/>
          <w:szCs w:val="20"/>
        </w:rPr>
        <w:t>C persistence range from 0 to 21.4%</w:t>
      </w:r>
      <w:r w:rsidR="008A791B">
        <w:rPr>
          <w:rFonts w:ascii="Times New Roman" w:hAnsi="Times New Roman"/>
          <w:sz w:val="20"/>
          <w:szCs w:val="20"/>
        </w:rPr>
        <w:t xml:space="preserve"> </w:t>
      </w:r>
      <w:r>
        <w:rPr>
          <w:rFonts w:ascii="Times New Roman" w:hAnsi="Times New Roman"/>
          <w:sz w:val="20"/>
          <w:szCs w:val="20"/>
          <w:vertAlign w:val="superscript"/>
        </w:rPr>
        <w:t>[13,17,19]</w:t>
      </w:r>
      <w:r>
        <w:rPr>
          <w:rFonts w:ascii="Times New Roman" w:hAnsi="Times New Roman"/>
          <w:sz w:val="20"/>
          <w:szCs w:val="20"/>
        </w:rPr>
        <w:t>. The rates in the present study were comparable to those found in the literature, with rates of 32% in the short-term follow up and 25% in the long-term follow up. An interesting finding in the present study wa</w:t>
      </w:r>
      <w:r>
        <w:rPr>
          <w:rFonts w:ascii="Times New Roman" w:hAnsi="Times New Roman"/>
          <w:sz w:val="20"/>
          <w:szCs w:val="20"/>
        </w:rPr>
        <w:t>s that PC persistence was the most important factor affecting patient satisfaction in the long term</w:t>
      </w:r>
      <w:r>
        <w:rPr>
          <w:rFonts w:ascii="Times New Roman" w:hAnsi="Times New Roman"/>
          <w:sz w:val="20"/>
          <w:szCs w:val="20"/>
        </w:rPr>
        <w:t>.</w:t>
      </w:r>
    </w:p>
    <w:p w14:paraId="5C3AC65D" w14:textId="13FD3114" w:rsidR="009C6A2A" w:rsidRDefault="004F729E">
      <w:pPr>
        <w:adjustRightInd w:val="0"/>
        <w:spacing w:line="360" w:lineRule="auto"/>
        <w:rPr>
          <w:rFonts w:ascii="Times New Roman" w:hAnsi="Times New Roman"/>
          <w:sz w:val="20"/>
          <w:szCs w:val="20"/>
        </w:rPr>
      </w:pPr>
      <w:r>
        <w:rPr>
          <w:rFonts w:ascii="Times New Roman" w:hAnsi="Times New Roman"/>
          <w:sz w:val="20"/>
          <w:szCs w:val="20"/>
        </w:rPr>
        <w:lastRenderedPageBreak/>
        <w:t>In previous studies on HH, the postoperative follow-up period was less than 1 y, with most follow-ups lasting approximately 6 mo</w:t>
      </w:r>
      <w:r>
        <w:rPr>
          <w:rFonts w:ascii="Times New Roman" w:hAnsi="Times New Roman"/>
          <w:sz w:val="20"/>
          <w:szCs w:val="20"/>
        </w:rPr>
        <w:t xml:space="preserve">. Thus, knowledge is </w:t>
      </w:r>
      <w:r>
        <w:rPr>
          <w:rFonts w:ascii="Times New Roman" w:hAnsi="Times New Roman"/>
          <w:sz w:val="20"/>
          <w:szCs w:val="20"/>
        </w:rPr>
        <w:t>limited on the status of HH among these patients over the long term. In the present study, the patients were followed up for a mean of 60 mo. As shown by the results</w:t>
      </w:r>
      <w:proofErr w:type="gramStart"/>
      <w:r>
        <w:rPr>
          <w:rFonts w:ascii="Times New Roman" w:hAnsi="Times New Roman"/>
          <w:sz w:val="20"/>
          <w:szCs w:val="20"/>
        </w:rPr>
        <w:t xml:space="preserve">, </w:t>
      </w:r>
      <w:r w:rsidR="006E73F7" w:rsidRPr="006E73F7">
        <w:rPr>
          <w:rFonts w:ascii="Times New Roman" w:hAnsi="Times New Roman"/>
          <w:sz w:val="20"/>
          <w:szCs w:val="20"/>
        </w:rPr>
        <w:t>,</w:t>
      </w:r>
      <w:proofErr w:type="gramEnd"/>
      <w:r w:rsidR="006E73F7" w:rsidRPr="006E73F7">
        <w:rPr>
          <w:rFonts w:ascii="Times New Roman" w:hAnsi="Times New Roman"/>
          <w:sz w:val="20"/>
          <w:szCs w:val="20"/>
        </w:rPr>
        <w:t xml:space="preserve"> CH was not associated with patient dissatisfaction.</w:t>
      </w:r>
      <w:r>
        <w:rPr>
          <w:rFonts w:ascii="Times New Roman" w:hAnsi="Times New Roman"/>
          <w:sz w:val="20"/>
          <w:szCs w:val="20"/>
        </w:rPr>
        <w:t xml:space="preserve"> In contrast, whil</w:t>
      </w:r>
      <w:r>
        <w:rPr>
          <w:rFonts w:ascii="Times New Roman" w:hAnsi="Times New Roman"/>
          <w:sz w:val="20"/>
          <w:szCs w:val="20"/>
        </w:rPr>
        <w:t>e a decrease in PC was observed, there was also a decrease in the patient satisfaction.</w:t>
      </w:r>
      <w:r>
        <w:rPr>
          <w:rFonts w:ascii="Times New Roman" w:hAnsi="Times New Roman"/>
          <w:sz w:val="20"/>
          <w:szCs w:val="20"/>
        </w:rPr>
        <w:t xml:space="preserve"> Thus, the most important factor affecting patient satisfaction was continuation of the PC in contrast to our current knowledge</w:t>
      </w:r>
      <w:r>
        <w:rPr>
          <w:rFonts w:ascii="Times New Roman" w:hAnsi="Times New Roman"/>
          <w:sz w:val="20"/>
          <w:szCs w:val="20"/>
        </w:rPr>
        <w:t xml:space="preserve">. </w:t>
      </w:r>
    </w:p>
    <w:p w14:paraId="558D9CDD"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According to a previous study, th</w:t>
      </w:r>
      <w:r>
        <w:rPr>
          <w:rFonts w:ascii="Times New Roman" w:hAnsi="Times New Roman"/>
          <w:sz w:val="20"/>
          <w:szCs w:val="20"/>
        </w:rPr>
        <w:t xml:space="preserve">e results of intermittent unilateral ETS for reducing CH, which affects patient satisfaction in the short term, are promising, although the duration of the follow-up in the study was only 1 </w:t>
      </w:r>
      <w:proofErr w:type="gramStart"/>
      <w:r>
        <w:rPr>
          <w:rFonts w:ascii="Times New Roman" w:hAnsi="Times New Roman"/>
          <w:sz w:val="20"/>
          <w:szCs w:val="20"/>
        </w:rPr>
        <w:t>y</w:t>
      </w:r>
      <w:r>
        <w:rPr>
          <w:rFonts w:ascii="Times New Roman" w:hAnsi="Times New Roman"/>
          <w:sz w:val="20"/>
          <w:szCs w:val="20"/>
          <w:vertAlign w:val="superscript"/>
        </w:rPr>
        <w:t>[</w:t>
      </w:r>
      <w:proofErr w:type="gramEnd"/>
      <w:r>
        <w:rPr>
          <w:rFonts w:ascii="Times New Roman" w:hAnsi="Times New Roman"/>
          <w:sz w:val="20"/>
          <w:szCs w:val="20"/>
          <w:vertAlign w:val="superscript"/>
        </w:rPr>
        <w:t>20]</w:t>
      </w:r>
      <w:r>
        <w:rPr>
          <w:rFonts w:ascii="Times New Roman" w:hAnsi="Times New Roman"/>
          <w:sz w:val="20"/>
          <w:szCs w:val="20"/>
        </w:rPr>
        <w:t>. However, the hospital costs associated with intermittent un</w:t>
      </w:r>
      <w:r>
        <w:rPr>
          <w:rFonts w:ascii="Times New Roman" w:hAnsi="Times New Roman"/>
          <w:sz w:val="20"/>
          <w:szCs w:val="20"/>
        </w:rPr>
        <w:t xml:space="preserve">ilateral ETS seem to be disadvantages, with the procedure requiring two surgeries, two anesthesia sessions, and two hospitalizations. </w:t>
      </w:r>
      <w:r>
        <w:rPr>
          <w:rFonts w:ascii="Times New Roman" w:hAnsi="Times New Roman"/>
          <w:sz w:val="20"/>
          <w:szCs w:val="20"/>
        </w:rPr>
        <w:t xml:space="preserve">We believe that the primary goal of surgery should be complete resolution of the PC. Self-remission of the PC with age </w:t>
      </w:r>
      <w:r>
        <w:rPr>
          <w:rFonts w:ascii="Times New Roman" w:hAnsi="Times New Roman"/>
          <w:sz w:val="20"/>
          <w:szCs w:val="20"/>
        </w:rPr>
        <w:t xml:space="preserve">should also be seen as a disadvantage for the </w:t>
      </w:r>
      <w:proofErr w:type="gramStart"/>
      <w:r>
        <w:rPr>
          <w:rFonts w:ascii="Times New Roman" w:hAnsi="Times New Roman"/>
          <w:sz w:val="20"/>
          <w:szCs w:val="20"/>
        </w:rPr>
        <w:t>ETS</w:t>
      </w:r>
      <w:r>
        <w:rPr>
          <w:rFonts w:ascii="Times New Roman" w:hAnsi="Times New Roman"/>
          <w:sz w:val="20"/>
          <w:szCs w:val="20"/>
          <w:vertAlign w:val="superscript"/>
        </w:rPr>
        <w:t>[</w:t>
      </w:r>
      <w:proofErr w:type="gramEnd"/>
      <w:r>
        <w:rPr>
          <w:rFonts w:ascii="Times New Roman" w:hAnsi="Times New Roman"/>
          <w:sz w:val="20"/>
          <w:szCs w:val="20"/>
          <w:vertAlign w:val="superscript"/>
        </w:rPr>
        <w:t>21</w:t>
      </w:r>
      <w:r>
        <w:rPr>
          <w:rFonts w:ascii="Times New Roman" w:hAnsi="Times New Roman"/>
          <w:sz w:val="20"/>
          <w:szCs w:val="20"/>
          <w:vertAlign w:val="superscript"/>
        </w:rPr>
        <w:t>]</w:t>
      </w:r>
      <w:r>
        <w:rPr>
          <w:rFonts w:ascii="Times New Roman" w:hAnsi="Times New Roman"/>
          <w:sz w:val="20"/>
          <w:szCs w:val="20"/>
        </w:rPr>
        <w:t>. The possibility that the PC may regress in time</w:t>
      </w:r>
      <w:r>
        <w:rPr>
          <w:rFonts w:ascii="Times New Roman" w:hAnsi="Times New Roman"/>
          <w:sz w:val="20"/>
          <w:szCs w:val="20"/>
        </w:rPr>
        <w:t>, combined with the fact that PC persistence rather than CH affects patient satisfaction, casts doubts on the feasibility of ETS for HH.</w:t>
      </w:r>
    </w:p>
    <w:p w14:paraId="4BEE0A4A"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 xml:space="preserve">The </w:t>
      </w:r>
      <w:r>
        <w:rPr>
          <w:rFonts w:ascii="Times New Roman" w:hAnsi="Times New Roman"/>
          <w:sz w:val="20"/>
          <w:szCs w:val="20"/>
        </w:rPr>
        <w:t>present study has some limitations. The number of cases (</w:t>
      </w:r>
      <w:r>
        <w:rPr>
          <w:rFonts w:ascii="Times New Roman" w:hAnsi="Times New Roman"/>
          <w:i/>
          <w:sz w:val="20"/>
          <w:szCs w:val="20"/>
        </w:rPr>
        <w:t>N</w:t>
      </w:r>
      <w:r>
        <w:rPr>
          <w:rFonts w:ascii="Times New Roman" w:hAnsi="Times New Roman"/>
          <w:sz w:val="20"/>
          <w:szCs w:val="20"/>
        </w:rPr>
        <w:t xml:space="preserve"> = 31) may be considered low as compared with that in other studies on ETS. In addition, we did compare the ETS method with medical treatment methods in terms of patient satisfaction. Furthermore, w</w:t>
      </w:r>
      <w:r>
        <w:rPr>
          <w:rFonts w:ascii="Times New Roman" w:hAnsi="Times New Roman"/>
          <w:sz w:val="20"/>
          <w:szCs w:val="20"/>
        </w:rPr>
        <w:t>e did not use standardized questionnaires to assess quality of life and patient satisfaction with ETS. Thus, the answers we obtained in our interviews may be considered “subjective.” As with all forms of “satisfaction,” the term “patient satisfaction” is s</w:t>
      </w:r>
      <w:r>
        <w:rPr>
          <w:rFonts w:ascii="Times New Roman" w:hAnsi="Times New Roman"/>
          <w:sz w:val="20"/>
          <w:szCs w:val="20"/>
        </w:rPr>
        <w:t xml:space="preserve">ubjective. The development of standardized questionnaires on quality of life and patient satisfaction with ETS would improve the objectivity of patient responses. </w:t>
      </w:r>
    </w:p>
    <w:p w14:paraId="54FE6FA2" w14:textId="77777777" w:rsidR="009C6A2A" w:rsidRDefault="004F729E">
      <w:pPr>
        <w:tabs>
          <w:tab w:val="left" w:pos="6358"/>
        </w:tabs>
        <w:adjustRightInd w:val="0"/>
        <w:spacing w:line="360" w:lineRule="auto"/>
        <w:rPr>
          <w:rFonts w:ascii="Times New Roman" w:hAnsi="Times New Roman"/>
          <w:b/>
          <w:bCs/>
          <w:sz w:val="24"/>
        </w:rPr>
      </w:pPr>
      <w:r>
        <w:rPr>
          <w:rFonts w:ascii="Times New Roman" w:hAnsi="Times New Roman"/>
          <w:b/>
          <w:bCs/>
          <w:sz w:val="24"/>
        </w:rPr>
        <w:t>Conclusion</w:t>
      </w:r>
      <w:r>
        <w:rPr>
          <w:rFonts w:ascii="Times New Roman" w:hAnsi="Times New Roman"/>
          <w:b/>
          <w:bCs/>
          <w:sz w:val="24"/>
        </w:rPr>
        <w:tab/>
      </w:r>
    </w:p>
    <w:p w14:paraId="400D75A4" w14:textId="77777777" w:rsidR="009C6A2A" w:rsidRDefault="004F729E">
      <w:pPr>
        <w:adjustRightInd w:val="0"/>
        <w:spacing w:line="360" w:lineRule="auto"/>
        <w:rPr>
          <w:rFonts w:ascii="Times New Roman" w:hAnsi="Times New Roman"/>
          <w:sz w:val="20"/>
          <w:szCs w:val="20"/>
        </w:rPr>
      </w:pPr>
      <w:r>
        <w:rPr>
          <w:rFonts w:ascii="Times New Roman" w:hAnsi="Times New Roman"/>
          <w:sz w:val="20"/>
          <w:szCs w:val="20"/>
        </w:rPr>
        <w:t>For HH, ETS is the only treatment that has been proven to be successful in th</w:t>
      </w:r>
      <w:r>
        <w:rPr>
          <w:rFonts w:ascii="Times New Roman" w:hAnsi="Times New Roman"/>
          <w:sz w:val="20"/>
          <w:szCs w:val="20"/>
        </w:rPr>
        <w:t>e long term. The two most important factors affecting patient satisfaction after ETS are the continuation of the PC and CH. Intermittent unilateral ETS may be considered an alternative surgical approach for CH, although the likelihood of CH may increase in</w:t>
      </w:r>
      <w:r>
        <w:rPr>
          <w:rFonts w:ascii="Times New Roman" w:hAnsi="Times New Roman"/>
          <w:sz w:val="20"/>
          <w:szCs w:val="20"/>
        </w:rPr>
        <w:t xml:space="preserve"> the long term. Furthermore, the PC of HH may regress with age. This treatment should be described as temporary (at least until the end of the adolescence period) rather than permanent.</w:t>
      </w:r>
      <w:r>
        <w:rPr>
          <w:rFonts w:ascii="Times New Roman" w:hAnsi="Times New Roman"/>
          <w:sz w:val="20"/>
          <w:szCs w:val="20"/>
        </w:rPr>
        <w:t xml:space="preserve"> The decision whether to perform this surgery is up to the </w:t>
      </w:r>
      <w:r>
        <w:rPr>
          <w:rFonts w:ascii="Times New Roman" w:hAnsi="Times New Roman"/>
          <w:sz w:val="20"/>
          <w:szCs w:val="20"/>
        </w:rPr>
        <w:t xml:space="preserve">surgeon. However, the decision </w:t>
      </w:r>
      <w:r>
        <w:rPr>
          <w:rFonts w:ascii="Times New Roman" w:hAnsi="Times New Roman"/>
          <w:sz w:val="20"/>
          <w:szCs w:val="20"/>
        </w:rPr>
        <w:lastRenderedPageBreak/>
        <w:t>whether to be treated with surgery for HH should be the patients after all these data have been conveyed</w:t>
      </w:r>
      <w:r>
        <w:rPr>
          <w:rFonts w:ascii="Times New Roman" w:hAnsi="Times New Roman"/>
          <w:sz w:val="20"/>
          <w:szCs w:val="20"/>
        </w:rPr>
        <w:t>.</w:t>
      </w:r>
    </w:p>
    <w:p w14:paraId="1575EB55" w14:textId="77777777" w:rsidR="009C6A2A" w:rsidRDefault="009C6A2A">
      <w:pPr>
        <w:adjustRightInd w:val="0"/>
        <w:spacing w:line="360" w:lineRule="auto"/>
        <w:rPr>
          <w:rFonts w:ascii="Times New Roman" w:hAnsi="Times New Roman"/>
          <w:sz w:val="20"/>
          <w:szCs w:val="20"/>
        </w:rPr>
      </w:pPr>
    </w:p>
    <w:p w14:paraId="67D1D8CB" w14:textId="77777777" w:rsidR="009C6A2A" w:rsidRDefault="004F729E">
      <w:pPr>
        <w:adjustRightInd w:val="0"/>
        <w:snapToGrid w:val="0"/>
        <w:spacing w:beforeLines="100" w:before="312" w:line="260" w:lineRule="atLeast"/>
        <w:rPr>
          <w:rFonts w:ascii="Times New Roman" w:eastAsia="Times New Roman" w:hAnsi="Times New Roman"/>
          <w:b/>
          <w:bCs/>
          <w:iCs/>
          <w:sz w:val="24"/>
        </w:rPr>
      </w:pPr>
      <w:r>
        <w:rPr>
          <w:rFonts w:ascii="Times New Roman" w:eastAsia="Times New Roman" w:hAnsi="Times New Roman"/>
          <w:b/>
          <w:bCs/>
          <w:iCs/>
          <w:sz w:val="24"/>
        </w:rPr>
        <w:t>Declarations</w:t>
      </w:r>
    </w:p>
    <w:p w14:paraId="7876D76F" w14:textId="77777777" w:rsidR="009C6A2A" w:rsidRDefault="004F729E">
      <w:pPr>
        <w:widowControl/>
        <w:adjustRightInd w:val="0"/>
        <w:snapToGrid w:val="0"/>
        <w:spacing w:beforeLines="50" w:before="156" w:line="260" w:lineRule="atLeast"/>
        <w:rPr>
          <w:rFonts w:ascii="Times New Roman" w:hAnsi="Times New Roman"/>
          <w:b/>
          <w:bCs/>
          <w:iCs/>
          <w:kern w:val="0"/>
          <w:sz w:val="22"/>
          <w:szCs w:val="22"/>
        </w:rPr>
      </w:pPr>
      <w:r>
        <w:rPr>
          <w:rFonts w:ascii="Times New Roman" w:hAnsi="Times New Roman"/>
          <w:b/>
          <w:bCs/>
          <w:iCs/>
          <w:kern w:val="0"/>
          <w:sz w:val="22"/>
          <w:szCs w:val="22"/>
        </w:rPr>
        <w:t>Authors’ contributions</w:t>
      </w:r>
    </w:p>
    <w:p w14:paraId="0233A88D" w14:textId="77777777" w:rsidR="009C6A2A" w:rsidRDefault="004F729E">
      <w:pPr>
        <w:spacing w:line="360" w:lineRule="auto"/>
        <w:jc w:val="left"/>
        <w:rPr>
          <w:rFonts w:ascii="Times New Roman" w:hAnsi="Times New Roman"/>
          <w:kern w:val="0"/>
          <w:sz w:val="20"/>
          <w:szCs w:val="20"/>
        </w:rPr>
      </w:pPr>
      <w:r>
        <w:rPr>
          <w:rFonts w:ascii="Times New Roman" w:hAnsi="Times New Roman"/>
          <w:kern w:val="0"/>
          <w:sz w:val="20"/>
          <w:szCs w:val="20"/>
        </w:rPr>
        <w:t>Made substantial contributions to conception and design of the study and perfor</w:t>
      </w:r>
      <w:r>
        <w:rPr>
          <w:rFonts w:ascii="Times New Roman" w:hAnsi="Times New Roman"/>
          <w:kern w:val="0"/>
          <w:sz w:val="20"/>
          <w:szCs w:val="20"/>
        </w:rPr>
        <w:t>med data analysis and interpretation: Alar T and Gedik İ E.</w:t>
      </w:r>
    </w:p>
    <w:p w14:paraId="12D5DA01" w14:textId="77777777" w:rsidR="009C6A2A" w:rsidRDefault="004F729E">
      <w:pPr>
        <w:spacing w:line="360" w:lineRule="auto"/>
        <w:jc w:val="left"/>
        <w:rPr>
          <w:rFonts w:ascii="Times New Roman" w:hAnsi="Times New Roman"/>
          <w:kern w:val="0"/>
          <w:sz w:val="20"/>
          <w:szCs w:val="20"/>
        </w:rPr>
      </w:pPr>
      <w:r>
        <w:rPr>
          <w:rFonts w:ascii="Times New Roman" w:hAnsi="Times New Roman"/>
          <w:kern w:val="0"/>
          <w:sz w:val="20"/>
          <w:szCs w:val="20"/>
        </w:rPr>
        <w:t>Performed data acquisition, as well as provided administrative, technical, and material support: Alar T and Gedik İ E.</w:t>
      </w:r>
    </w:p>
    <w:p w14:paraId="3119155C" w14:textId="77777777" w:rsidR="009C6A2A" w:rsidRDefault="004F729E">
      <w:pPr>
        <w:spacing w:line="360" w:lineRule="auto"/>
        <w:jc w:val="left"/>
        <w:rPr>
          <w:rFonts w:ascii="Times New Roman" w:hAnsi="Times New Roman"/>
          <w:b/>
          <w:bCs/>
          <w:kern w:val="0"/>
          <w:sz w:val="22"/>
          <w:szCs w:val="22"/>
        </w:rPr>
      </w:pPr>
      <w:r>
        <w:rPr>
          <w:rFonts w:ascii="Times New Roman" w:hAnsi="Times New Roman"/>
          <w:b/>
          <w:bCs/>
          <w:kern w:val="0"/>
          <w:sz w:val="22"/>
          <w:szCs w:val="22"/>
        </w:rPr>
        <w:t>Availability of data and materials</w:t>
      </w:r>
    </w:p>
    <w:p w14:paraId="2A552F5C" w14:textId="77777777" w:rsidR="009C6A2A" w:rsidRDefault="004F729E">
      <w:pPr>
        <w:widowControl/>
        <w:adjustRightInd w:val="0"/>
        <w:snapToGrid w:val="0"/>
        <w:spacing w:beforeLines="50" w:before="156" w:line="260" w:lineRule="atLeast"/>
        <w:rPr>
          <w:rFonts w:ascii="Times New Roman" w:hAnsi="Times New Roman"/>
          <w:kern w:val="0"/>
          <w:sz w:val="20"/>
          <w:szCs w:val="20"/>
        </w:rPr>
      </w:pPr>
      <w:r>
        <w:rPr>
          <w:rFonts w:ascii="Times New Roman" w:hAnsi="Times New Roman"/>
          <w:kern w:val="0"/>
          <w:sz w:val="20"/>
          <w:szCs w:val="20"/>
        </w:rPr>
        <w:t>Not applicable.</w:t>
      </w:r>
    </w:p>
    <w:p w14:paraId="21069419" w14:textId="77777777" w:rsidR="009C6A2A" w:rsidRDefault="004F729E">
      <w:pPr>
        <w:widowControl/>
        <w:adjustRightInd w:val="0"/>
        <w:snapToGrid w:val="0"/>
        <w:spacing w:beforeLines="50" w:before="156" w:line="260" w:lineRule="atLeast"/>
        <w:rPr>
          <w:rFonts w:ascii="Times New Roman" w:hAnsi="Times New Roman"/>
          <w:b/>
          <w:bCs/>
          <w:iCs/>
          <w:kern w:val="0"/>
          <w:sz w:val="22"/>
          <w:szCs w:val="22"/>
        </w:rPr>
      </w:pPr>
      <w:r>
        <w:rPr>
          <w:rFonts w:ascii="Times New Roman" w:hAnsi="Times New Roman"/>
          <w:b/>
          <w:bCs/>
          <w:iCs/>
          <w:kern w:val="0"/>
          <w:sz w:val="22"/>
          <w:szCs w:val="22"/>
        </w:rPr>
        <w:t xml:space="preserve">Financial support and </w:t>
      </w:r>
      <w:r>
        <w:rPr>
          <w:rFonts w:ascii="Times New Roman" w:hAnsi="Times New Roman"/>
          <w:b/>
          <w:bCs/>
          <w:iCs/>
          <w:kern w:val="0"/>
          <w:sz w:val="22"/>
          <w:szCs w:val="22"/>
        </w:rPr>
        <w:t>sponsorship</w:t>
      </w:r>
    </w:p>
    <w:p w14:paraId="146C34FD" w14:textId="77777777" w:rsidR="009C6A2A" w:rsidRDefault="004F729E">
      <w:pPr>
        <w:spacing w:line="360" w:lineRule="auto"/>
        <w:jc w:val="left"/>
        <w:rPr>
          <w:rFonts w:ascii="Times New Roman" w:hAnsi="Times New Roman"/>
          <w:sz w:val="20"/>
          <w:szCs w:val="20"/>
        </w:rPr>
      </w:pPr>
      <w:r>
        <w:rPr>
          <w:rFonts w:ascii="Times New Roman" w:hAnsi="Times New Roman"/>
          <w:kern w:val="0"/>
          <w:sz w:val="20"/>
          <w:szCs w:val="20"/>
        </w:rPr>
        <w:t>None.</w:t>
      </w:r>
    </w:p>
    <w:p w14:paraId="16398057" w14:textId="77777777" w:rsidR="009C6A2A" w:rsidRDefault="004F729E">
      <w:pPr>
        <w:widowControl/>
        <w:adjustRightInd w:val="0"/>
        <w:snapToGrid w:val="0"/>
        <w:spacing w:beforeLines="50" w:before="156" w:line="260" w:lineRule="atLeast"/>
        <w:rPr>
          <w:rFonts w:ascii="Times New Roman" w:hAnsi="Times New Roman"/>
          <w:b/>
          <w:bCs/>
          <w:iCs/>
          <w:kern w:val="0"/>
          <w:sz w:val="22"/>
          <w:szCs w:val="22"/>
        </w:rPr>
      </w:pPr>
      <w:r>
        <w:rPr>
          <w:rFonts w:ascii="Times New Roman" w:hAnsi="Times New Roman"/>
          <w:b/>
          <w:bCs/>
          <w:iCs/>
          <w:kern w:val="0"/>
          <w:sz w:val="22"/>
          <w:szCs w:val="22"/>
        </w:rPr>
        <w:t>Conflicts of interest</w:t>
      </w:r>
    </w:p>
    <w:p w14:paraId="36FD4673" w14:textId="77777777" w:rsidR="009C6A2A" w:rsidRDefault="004F729E">
      <w:pPr>
        <w:spacing w:line="360" w:lineRule="auto"/>
        <w:jc w:val="left"/>
        <w:rPr>
          <w:rFonts w:ascii="Times New Roman" w:hAnsi="Times New Roman"/>
          <w:kern w:val="0"/>
          <w:sz w:val="20"/>
          <w:szCs w:val="20"/>
        </w:rPr>
      </w:pPr>
      <w:r>
        <w:rPr>
          <w:rFonts w:ascii="Times New Roman" w:hAnsi="Times New Roman"/>
          <w:kern w:val="0"/>
          <w:sz w:val="20"/>
          <w:szCs w:val="20"/>
        </w:rPr>
        <w:t>All authors declare that there are no conflicts of interest.</w:t>
      </w:r>
    </w:p>
    <w:p w14:paraId="2D847023" w14:textId="77777777" w:rsidR="009C6A2A" w:rsidRDefault="004F729E">
      <w:pPr>
        <w:widowControl/>
        <w:adjustRightInd w:val="0"/>
        <w:snapToGrid w:val="0"/>
        <w:spacing w:beforeLines="50" w:before="156" w:line="260" w:lineRule="atLeast"/>
        <w:rPr>
          <w:rFonts w:ascii="Times New Roman" w:hAnsi="Times New Roman"/>
          <w:b/>
          <w:bCs/>
          <w:iCs/>
          <w:kern w:val="0"/>
          <w:sz w:val="22"/>
          <w:szCs w:val="22"/>
        </w:rPr>
      </w:pPr>
      <w:r>
        <w:rPr>
          <w:rFonts w:ascii="Times New Roman" w:hAnsi="Times New Roman"/>
          <w:b/>
          <w:bCs/>
          <w:iCs/>
          <w:kern w:val="0"/>
          <w:sz w:val="22"/>
          <w:szCs w:val="22"/>
        </w:rPr>
        <w:t>Ethical approval and consent to participate</w:t>
      </w:r>
    </w:p>
    <w:p w14:paraId="4CCEB7B2" w14:textId="77777777" w:rsidR="009C6A2A" w:rsidRDefault="004F729E">
      <w:pPr>
        <w:spacing w:line="360" w:lineRule="auto"/>
        <w:jc w:val="left"/>
        <w:rPr>
          <w:rFonts w:ascii="Times New Roman" w:hAnsi="Times New Roman"/>
          <w:kern w:val="0"/>
          <w:sz w:val="20"/>
          <w:szCs w:val="20"/>
        </w:rPr>
      </w:pPr>
      <w:r>
        <w:rPr>
          <w:rFonts w:ascii="Times New Roman" w:hAnsi="Times New Roman"/>
          <w:kern w:val="0"/>
          <w:sz w:val="20"/>
          <w:szCs w:val="20"/>
        </w:rPr>
        <w:t>Not applicable.</w:t>
      </w:r>
    </w:p>
    <w:p w14:paraId="3169FE5B" w14:textId="77777777" w:rsidR="009C6A2A" w:rsidRDefault="004F729E">
      <w:pPr>
        <w:widowControl/>
        <w:adjustRightInd w:val="0"/>
        <w:snapToGrid w:val="0"/>
        <w:spacing w:beforeLines="50" w:before="156" w:line="260" w:lineRule="atLeast"/>
        <w:rPr>
          <w:rFonts w:ascii="Times New Roman" w:hAnsi="Times New Roman"/>
          <w:b/>
          <w:bCs/>
          <w:iCs/>
          <w:kern w:val="0"/>
          <w:sz w:val="22"/>
          <w:szCs w:val="22"/>
        </w:rPr>
      </w:pPr>
      <w:r>
        <w:rPr>
          <w:rFonts w:ascii="Times New Roman" w:hAnsi="Times New Roman"/>
          <w:b/>
          <w:bCs/>
          <w:iCs/>
          <w:kern w:val="0"/>
          <w:sz w:val="22"/>
          <w:szCs w:val="22"/>
        </w:rPr>
        <w:t>Consent for publication</w:t>
      </w:r>
    </w:p>
    <w:p w14:paraId="4A4FC8F7" w14:textId="77777777" w:rsidR="009C6A2A" w:rsidRDefault="004F729E">
      <w:pPr>
        <w:spacing w:line="360" w:lineRule="auto"/>
        <w:jc w:val="left"/>
        <w:rPr>
          <w:rFonts w:ascii="Times New Roman" w:hAnsi="Times New Roman"/>
          <w:kern w:val="0"/>
          <w:sz w:val="20"/>
          <w:szCs w:val="20"/>
        </w:rPr>
      </w:pPr>
      <w:r>
        <w:rPr>
          <w:rFonts w:ascii="Times New Roman" w:hAnsi="Times New Roman"/>
          <w:kern w:val="0"/>
          <w:sz w:val="20"/>
          <w:szCs w:val="20"/>
        </w:rPr>
        <w:t>Not applicable.</w:t>
      </w:r>
    </w:p>
    <w:p w14:paraId="71DD98C0" w14:textId="77777777" w:rsidR="009C6A2A" w:rsidRDefault="004F729E">
      <w:pPr>
        <w:adjustRightInd w:val="0"/>
        <w:spacing w:line="360" w:lineRule="auto"/>
        <w:rPr>
          <w:rFonts w:ascii="Times New Roman" w:hAnsi="Times New Roman"/>
          <w:b/>
          <w:color w:val="000000" w:themeColor="text1"/>
          <w:sz w:val="24"/>
        </w:rPr>
      </w:pPr>
      <w:r>
        <w:rPr>
          <w:rFonts w:ascii="Times New Roman" w:hAnsi="Times New Roman"/>
          <w:b/>
          <w:color w:val="000000" w:themeColor="text1"/>
          <w:sz w:val="24"/>
        </w:rPr>
        <w:t>REFERENCES</w:t>
      </w:r>
    </w:p>
    <w:p w14:paraId="5D39E29A"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1.</w:t>
      </w:r>
      <w:r>
        <w:rPr>
          <w:rFonts w:ascii="Times New Roman" w:hAnsi="Times New Roman"/>
          <w:color w:val="000000" w:themeColor="text1"/>
          <w:sz w:val="20"/>
          <w:szCs w:val="20"/>
        </w:rPr>
        <w:tab/>
        <w:t>Smith, F. C. T. (2013) Hyperhidrosis. Sur</w:t>
      </w:r>
      <w:r>
        <w:rPr>
          <w:rFonts w:ascii="Times New Roman" w:hAnsi="Times New Roman"/>
          <w:color w:val="000000" w:themeColor="text1"/>
          <w:sz w:val="20"/>
          <w:szCs w:val="20"/>
        </w:rPr>
        <w:t>gery 31,251-255</w:t>
      </w:r>
    </w:p>
    <w:p w14:paraId="10B71AAB"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2.</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Stefaniak</w:t>
      </w:r>
      <w:proofErr w:type="spellEnd"/>
      <w:r>
        <w:rPr>
          <w:rFonts w:ascii="Times New Roman" w:hAnsi="Times New Roman"/>
          <w:color w:val="000000" w:themeColor="text1"/>
          <w:sz w:val="20"/>
          <w:szCs w:val="20"/>
        </w:rPr>
        <w:t xml:space="preserve">, T. J., and </w:t>
      </w:r>
      <w:proofErr w:type="spellStart"/>
      <w:r>
        <w:rPr>
          <w:rFonts w:ascii="Times New Roman" w:hAnsi="Times New Roman"/>
          <w:color w:val="000000" w:themeColor="text1"/>
          <w:sz w:val="20"/>
          <w:szCs w:val="20"/>
        </w:rPr>
        <w:t>Ćwigoń</w:t>
      </w:r>
      <w:proofErr w:type="spellEnd"/>
      <w:r>
        <w:rPr>
          <w:rFonts w:ascii="Times New Roman" w:hAnsi="Times New Roman"/>
          <w:color w:val="000000" w:themeColor="text1"/>
          <w:sz w:val="20"/>
          <w:szCs w:val="20"/>
        </w:rPr>
        <w:t xml:space="preserve">, M. (2013) Long-term results of thoracic sympathectomy for primary hyperhidrosis. Pol </w:t>
      </w:r>
      <w:proofErr w:type="spellStart"/>
      <w:r>
        <w:rPr>
          <w:rFonts w:ascii="Times New Roman" w:hAnsi="Times New Roman"/>
          <w:color w:val="000000" w:themeColor="text1"/>
          <w:sz w:val="20"/>
          <w:szCs w:val="20"/>
        </w:rPr>
        <w:t>Przegl</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Chir</w:t>
      </w:r>
      <w:proofErr w:type="spellEnd"/>
      <w:r>
        <w:rPr>
          <w:rFonts w:ascii="Times New Roman" w:hAnsi="Times New Roman"/>
          <w:color w:val="000000" w:themeColor="text1"/>
          <w:sz w:val="20"/>
          <w:szCs w:val="20"/>
        </w:rPr>
        <w:t>. 85,247-252</w:t>
      </w:r>
    </w:p>
    <w:p w14:paraId="5B86DB1A"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3.</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Stashak</w:t>
      </w:r>
      <w:proofErr w:type="spellEnd"/>
      <w:r>
        <w:rPr>
          <w:rFonts w:ascii="Times New Roman" w:hAnsi="Times New Roman"/>
          <w:color w:val="000000" w:themeColor="text1"/>
          <w:sz w:val="20"/>
          <w:szCs w:val="20"/>
        </w:rPr>
        <w:t xml:space="preserve">, A-B., Brewer, J. D. (2014) Management of Hyperhidrosis. Clinical, Cosmetic and </w:t>
      </w:r>
      <w:r>
        <w:rPr>
          <w:rFonts w:ascii="Times New Roman" w:hAnsi="Times New Roman"/>
          <w:color w:val="000000" w:themeColor="text1"/>
          <w:sz w:val="20"/>
          <w:szCs w:val="20"/>
        </w:rPr>
        <w:lastRenderedPageBreak/>
        <w:t>Investigational Dermatology 7,285–299</w:t>
      </w:r>
    </w:p>
    <w:p w14:paraId="5F904B23"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4.</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Drott</w:t>
      </w:r>
      <w:proofErr w:type="spellEnd"/>
      <w:r>
        <w:rPr>
          <w:rFonts w:ascii="Times New Roman" w:hAnsi="Times New Roman"/>
          <w:color w:val="000000" w:themeColor="text1"/>
          <w:sz w:val="20"/>
          <w:szCs w:val="20"/>
        </w:rPr>
        <w:t xml:space="preserve">, C., </w:t>
      </w:r>
      <w:proofErr w:type="spellStart"/>
      <w:r>
        <w:rPr>
          <w:rFonts w:ascii="Times New Roman" w:hAnsi="Times New Roman"/>
          <w:color w:val="000000" w:themeColor="text1"/>
          <w:sz w:val="20"/>
          <w:szCs w:val="20"/>
        </w:rPr>
        <w:t>Gothberg</w:t>
      </w:r>
      <w:proofErr w:type="spellEnd"/>
      <w:r>
        <w:rPr>
          <w:rFonts w:ascii="Times New Roman" w:hAnsi="Times New Roman"/>
          <w:color w:val="000000" w:themeColor="text1"/>
          <w:sz w:val="20"/>
          <w:szCs w:val="20"/>
        </w:rPr>
        <w:t xml:space="preserve">, G., and </w:t>
      </w:r>
      <w:proofErr w:type="spellStart"/>
      <w:r>
        <w:rPr>
          <w:rFonts w:ascii="Times New Roman" w:hAnsi="Times New Roman"/>
          <w:color w:val="000000" w:themeColor="text1"/>
          <w:sz w:val="20"/>
          <w:szCs w:val="20"/>
        </w:rPr>
        <w:t>Claes</w:t>
      </w:r>
      <w:proofErr w:type="spellEnd"/>
      <w:r>
        <w:rPr>
          <w:rFonts w:ascii="Times New Roman" w:hAnsi="Times New Roman"/>
          <w:color w:val="000000" w:themeColor="text1"/>
          <w:sz w:val="20"/>
          <w:szCs w:val="20"/>
        </w:rPr>
        <w:t xml:space="preserve">, G. (1995) Endoscopic transthoracic sympathectomy: an efficient and safe method for the treatment of hyperhidrosis. J Am </w:t>
      </w:r>
      <w:proofErr w:type="spellStart"/>
      <w:r>
        <w:rPr>
          <w:rFonts w:ascii="Times New Roman" w:hAnsi="Times New Roman"/>
          <w:color w:val="000000" w:themeColor="text1"/>
          <w:sz w:val="20"/>
          <w:szCs w:val="20"/>
        </w:rPr>
        <w:t>Acad</w:t>
      </w:r>
      <w:proofErr w:type="spellEnd"/>
      <w:r>
        <w:rPr>
          <w:rFonts w:ascii="Times New Roman" w:hAnsi="Times New Roman"/>
          <w:color w:val="000000" w:themeColor="text1"/>
          <w:sz w:val="20"/>
          <w:szCs w:val="20"/>
        </w:rPr>
        <w:t xml:space="preserve"> Dermatol. 33,78-78</w:t>
      </w:r>
    </w:p>
    <w:p w14:paraId="3D9F5DA0"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5.</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Chwajol</w:t>
      </w:r>
      <w:proofErr w:type="spellEnd"/>
      <w:r>
        <w:rPr>
          <w:rFonts w:ascii="Times New Roman" w:hAnsi="Times New Roman"/>
          <w:color w:val="000000" w:themeColor="text1"/>
          <w:sz w:val="20"/>
          <w:szCs w:val="20"/>
        </w:rPr>
        <w:t xml:space="preserve">, M., </w:t>
      </w:r>
      <w:proofErr w:type="spellStart"/>
      <w:r>
        <w:rPr>
          <w:rFonts w:ascii="Times New Roman" w:hAnsi="Times New Roman"/>
          <w:color w:val="000000" w:themeColor="text1"/>
          <w:sz w:val="20"/>
          <w:szCs w:val="20"/>
        </w:rPr>
        <w:t>Barrenechea</w:t>
      </w:r>
      <w:proofErr w:type="spellEnd"/>
      <w:r>
        <w:rPr>
          <w:rFonts w:ascii="Times New Roman" w:hAnsi="Times New Roman"/>
          <w:color w:val="000000" w:themeColor="text1"/>
          <w:sz w:val="20"/>
          <w:szCs w:val="20"/>
        </w:rPr>
        <w:t>, I. J.,</w:t>
      </w:r>
      <w:r>
        <w:rPr>
          <w:rFonts w:ascii="Times New Roman" w:hAnsi="Times New Roman"/>
          <w:color w:val="000000" w:themeColor="text1"/>
          <w:sz w:val="20"/>
          <w:szCs w:val="20"/>
        </w:rPr>
        <w:t xml:space="preserve"> Chakraborty, S., Lesser, J. B., Connery, C. P., and </w:t>
      </w:r>
      <w:proofErr w:type="spellStart"/>
      <w:r>
        <w:rPr>
          <w:rFonts w:ascii="Times New Roman" w:hAnsi="Times New Roman"/>
          <w:color w:val="000000" w:themeColor="text1"/>
          <w:sz w:val="20"/>
          <w:szCs w:val="20"/>
        </w:rPr>
        <w:t>Perin</w:t>
      </w:r>
      <w:proofErr w:type="spellEnd"/>
      <w:r>
        <w:rPr>
          <w:rFonts w:ascii="Times New Roman" w:hAnsi="Times New Roman"/>
          <w:color w:val="000000" w:themeColor="text1"/>
          <w:sz w:val="20"/>
          <w:szCs w:val="20"/>
        </w:rPr>
        <w:t>, N. I. (2009) Impact of compensatory hyperhidrosis on patient satisfaction after endoscopic thoracic sympathectomy. Neurosurgery. 64,511-518</w:t>
      </w:r>
    </w:p>
    <w:p w14:paraId="25D789C9"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6.</w:t>
      </w:r>
      <w:r>
        <w:rPr>
          <w:rFonts w:ascii="Times New Roman" w:hAnsi="Times New Roman"/>
          <w:color w:val="000000" w:themeColor="text1"/>
          <w:sz w:val="20"/>
          <w:szCs w:val="20"/>
        </w:rPr>
        <w:tab/>
        <w:t>Brown, A. L., Gordon, J., and Hill, S. (2014) Hyperhi</w:t>
      </w:r>
      <w:r>
        <w:rPr>
          <w:rFonts w:ascii="Times New Roman" w:hAnsi="Times New Roman"/>
          <w:color w:val="000000" w:themeColor="text1"/>
          <w:sz w:val="20"/>
          <w:szCs w:val="20"/>
        </w:rPr>
        <w:t xml:space="preserve">drosis: review of recent advances and new therapeutic options for primary hyperhidrosis. </w:t>
      </w:r>
      <w:proofErr w:type="spellStart"/>
      <w:r>
        <w:rPr>
          <w:rFonts w:ascii="Times New Roman" w:hAnsi="Times New Roman"/>
          <w:color w:val="000000" w:themeColor="text1"/>
          <w:sz w:val="20"/>
          <w:szCs w:val="20"/>
        </w:rPr>
        <w:t>Curr</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Opin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Pediatr</w:t>
      </w:r>
      <w:proofErr w:type="spellEnd"/>
      <w:r>
        <w:rPr>
          <w:rFonts w:ascii="Times New Roman" w:hAnsi="Times New Roman"/>
          <w:color w:val="000000" w:themeColor="text1"/>
          <w:sz w:val="20"/>
          <w:szCs w:val="20"/>
        </w:rPr>
        <w:t xml:space="preserve"> 26,460–465</w:t>
      </w:r>
    </w:p>
    <w:p w14:paraId="58CDA282"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7.</w:t>
      </w:r>
      <w:r>
        <w:rPr>
          <w:rFonts w:ascii="Times New Roman" w:hAnsi="Times New Roman"/>
          <w:color w:val="000000" w:themeColor="text1"/>
          <w:sz w:val="20"/>
          <w:szCs w:val="20"/>
        </w:rPr>
        <w:tab/>
        <w:t xml:space="preserve">Wozniacki, L., and </w:t>
      </w:r>
      <w:proofErr w:type="spellStart"/>
      <w:r>
        <w:rPr>
          <w:rFonts w:ascii="Times New Roman" w:hAnsi="Times New Roman"/>
          <w:color w:val="000000" w:themeColor="text1"/>
          <w:sz w:val="20"/>
          <w:szCs w:val="20"/>
        </w:rPr>
        <w:t>Zubilewicz</w:t>
      </w:r>
      <w:proofErr w:type="spellEnd"/>
      <w:r>
        <w:rPr>
          <w:rFonts w:ascii="Times New Roman" w:hAnsi="Times New Roman"/>
          <w:color w:val="000000" w:themeColor="text1"/>
          <w:sz w:val="20"/>
          <w:szCs w:val="20"/>
        </w:rPr>
        <w:t xml:space="preserve">, T. (2009) Primary hyperhidrosis controlled with oxybutynin after unsuccessful surgical </w:t>
      </w:r>
      <w:r>
        <w:rPr>
          <w:rFonts w:ascii="Times New Roman" w:hAnsi="Times New Roman"/>
          <w:color w:val="000000" w:themeColor="text1"/>
          <w:sz w:val="20"/>
          <w:szCs w:val="20"/>
        </w:rPr>
        <w:t xml:space="preserve">treatment. Clin Exp Dermatol. </w:t>
      </w:r>
      <w:proofErr w:type="gramStart"/>
      <w:r>
        <w:rPr>
          <w:rFonts w:ascii="Times New Roman" w:hAnsi="Times New Roman"/>
          <w:color w:val="000000" w:themeColor="text1"/>
          <w:sz w:val="20"/>
          <w:szCs w:val="20"/>
        </w:rPr>
        <w:t>34:e</w:t>
      </w:r>
      <w:proofErr w:type="gramEnd"/>
      <w:r>
        <w:rPr>
          <w:rFonts w:ascii="Times New Roman" w:hAnsi="Times New Roman"/>
          <w:color w:val="000000" w:themeColor="text1"/>
          <w:sz w:val="20"/>
          <w:szCs w:val="20"/>
        </w:rPr>
        <w:t>990-991</w:t>
      </w:r>
    </w:p>
    <w:p w14:paraId="63E041CC"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8.</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Ozcan</w:t>
      </w:r>
      <w:proofErr w:type="spellEnd"/>
      <w:r>
        <w:rPr>
          <w:rFonts w:ascii="Times New Roman" w:hAnsi="Times New Roman"/>
          <w:color w:val="000000" w:themeColor="text1"/>
          <w:sz w:val="20"/>
          <w:szCs w:val="20"/>
        </w:rPr>
        <w:t xml:space="preserve">, D., and </w:t>
      </w:r>
      <w:proofErr w:type="spellStart"/>
      <w:r>
        <w:rPr>
          <w:rFonts w:ascii="Times New Roman" w:hAnsi="Times New Roman"/>
          <w:color w:val="000000" w:themeColor="text1"/>
          <w:sz w:val="20"/>
          <w:szCs w:val="20"/>
        </w:rPr>
        <w:t>Güleç</w:t>
      </w:r>
      <w:proofErr w:type="spellEnd"/>
      <w:r>
        <w:rPr>
          <w:rFonts w:ascii="Times New Roman" w:hAnsi="Times New Roman"/>
          <w:color w:val="000000" w:themeColor="text1"/>
          <w:sz w:val="20"/>
          <w:szCs w:val="20"/>
        </w:rPr>
        <w:t xml:space="preserve">, A. T. (2014) Compliance with tap water iontophoresis in patients with palmoplantar hyperhidrosis. J </w:t>
      </w:r>
      <w:proofErr w:type="spellStart"/>
      <w:r>
        <w:rPr>
          <w:rFonts w:ascii="Times New Roman" w:hAnsi="Times New Roman"/>
          <w:color w:val="000000" w:themeColor="text1"/>
          <w:sz w:val="20"/>
          <w:szCs w:val="20"/>
        </w:rPr>
        <w:t>Cutan</w:t>
      </w:r>
      <w:proofErr w:type="spellEnd"/>
      <w:r>
        <w:rPr>
          <w:rFonts w:ascii="Times New Roman" w:hAnsi="Times New Roman"/>
          <w:color w:val="000000" w:themeColor="text1"/>
          <w:sz w:val="20"/>
          <w:szCs w:val="20"/>
        </w:rPr>
        <w:t xml:space="preserve"> Med Surg. 18,109-113</w:t>
      </w:r>
    </w:p>
    <w:p w14:paraId="2D491085"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9.</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Siah</w:t>
      </w:r>
      <w:proofErr w:type="spellEnd"/>
      <w:r>
        <w:rPr>
          <w:rFonts w:ascii="Times New Roman" w:hAnsi="Times New Roman"/>
          <w:color w:val="000000" w:themeColor="text1"/>
          <w:sz w:val="20"/>
          <w:szCs w:val="20"/>
        </w:rPr>
        <w:t>, T. W., and Hampton, P. J. (2013) The effectiveness of</w:t>
      </w:r>
      <w:r>
        <w:rPr>
          <w:rFonts w:ascii="Times New Roman" w:hAnsi="Times New Roman"/>
          <w:color w:val="000000" w:themeColor="text1"/>
          <w:sz w:val="20"/>
          <w:szCs w:val="20"/>
        </w:rPr>
        <w:t xml:space="preserve"> tap water iontophoresis for palmoplantar hyperhidrosis using a Monday, Wednesday, and Friday treatment regime. Dermatol Online J. 19,14  </w:t>
      </w:r>
    </w:p>
    <w:p w14:paraId="670B76E3"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10.</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Lecouflet</w:t>
      </w:r>
      <w:proofErr w:type="spellEnd"/>
      <w:r>
        <w:rPr>
          <w:rFonts w:ascii="Times New Roman" w:hAnsi="Times New Roman"/>
          <w:color w:val="000000" w:themeColor="text1"/>
          <w:sz w:val="20"/>
          <w:szCs w:val="20"/>
        </w:rPr>
        <w:t xml:space="preserve">, M., </w:t>
      </w:r>
      <w:proofErr w:type="spellStart"/>
      <w:r>
        <w:rPr>
          <w:rFonts w:ascii="Times New Roman" w:hAnsi="Times New Roman"/>
          <w:color w:val="000000" w:themeColor="text1"/>
          <w:sz w:val="20"/>
          <w:szCs w:val="20"/>
        </w:rPr>
        <w:t>Leux</w:t>
      </w:r>
      <w:proofErr w:type="spellEnd"/>
      <w:r>
        <w:rPr>
          <w:rFonts w:ascii="Times New Roman" w:hAnsi="Times New Roman"/>
          <w:color w:val="000000" w:themeColor="text1"/>
          <w:sz w:val="20"/>
          <w:szCs w:val="20"/>
        </w:rPr>
        <w:t xml:space="preserve">, C., </w:t>
      </w:r>
      <w:proofErr w:type="spellStart"/>
      <w:r>
        <w:rPr>
          <w:rFonts w:ascii="Times New Roman" w:hAnsi="Times New Roman"/>
          <w:color w:val="000000" w:themeColor="text1"/>
          <w:sz w:val="20"/>
          <w:szCs w:val="20"/>
        </w:rPr>
        <w:t>Fenot</w:t>
      </w:r>
      <w:proofErr w:type="spellEnd"/>
      <w:r>
        <w:rPr>
          <w:rFonts w:ascii="Times New Roman" w:hAnsi="Times New Roman"/>
          <w:color w:val="000000" w:themeColor="text1"/>
          <w:sz w:val="20"/>
          <w:szCs w:val="20"/>
        </w:rPr>
        <w:t xml:space="preserve">, M., </w:t>
      </w:r>
      <w:proofErr w:type="spellStart"/>
      <w:r>
        <w:rPr>
          <w:rFonts w:ascii="Times New Roman" w:hAnsi="Times New Roman"/>
          <w:color w:val="000000" w:themeColor="text1"/>
          <w:sz w:val="20"/>
          <w:szCs w:val="20"/>
        </w:rPr>
        <w:t>Célerier</w:t>
      </w:r>
      <w:proofErr w:type="spellEnd"/>
      <w:r>
        <w:rPr>
          <w:rFonts w:ascii="Times New Roman" w:hAnsi="Times New Roman"/>
          <w:color w:val="000000" w:themeColor="text1"/>
          <w:sz w:val="20"/>
          <w:szCs w:val="20"/>
        </w:rPr>
        <w:t>, P., and Maillard, H. (2014) Duration of efficacy increases with the</w:t>
      </w:r>
      <w:r>
        <w:rPr>
          <w:rFonts w:ascii="Times New Roman" w:hAnsi="Times New Roman"/>
          <w:color w:val="000000" w:themeColor="text1"/>
          <w:sz w:val="20"/>
          <w:szCs w:val="20"/>
        </w:rPr>
        <w:t xml:space="preserve"> repetition of botulinum toxin A injections in primary palmar hyperhidrosis: A study of 28 patients. J Am </w:t>
      </w:r>
      <w:proofErr w:type="spellStart"/>
      <w:r>
        <w:rPr>
          <w:rFonts w:ascii="Times New Roman" w:hAnsi="Times New Roman"/>
          <w:color w:val="000000" w:themeColor="text1"/>
          <w:sz w:val="20"/>
          <w:szCs w:val="20"/>
        </w:rPr>
        <w:t>Acad</w:t>
      </w:r>
      <w:proofErr w:type="spellEnd"/>
      <w:r>
        <w:rPr>
          <w:rFonts w:ascii="Times New Roman" w:hAnsi="Times New Roman"/>
          <w:color w:val="000000" w:themeColor="text1"/>
          <w:sz w:val="20"/>
          <w:szCs w:val="20"/>
        </w:rPr>
        <w:t xml:space="preserve"> Dermatol. 70,1083-1087</w:t>
      </w:r>
    </w:p>
    <w:p w14:paraId="3DDCC1A0"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11.</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Letada</w:t>
      </w:r>
      <w:proofErr w:type="spellEnd"/>
      <w:r>
        <w:rPr>
          <w:rFonts w:ascii="Times New Roman" w:hAnsi="Times New Roman"/>
          <w:color w:val="000000" w:themeColor="text1"/>
          <w:sz w:val="20"/>
          <w:szCs w:val="20"/>
        </w:rPr>
        <w:t xml:space="preserve">, P. R., Landers, J. T., </w:t>
      </w:r>
      <w:proofErr w:type="spellStart"/>
      <w:r>
        <w:rPr>
          <w:rFonts w:ascii="Times New Roman" w:hAnsi="Times New Roman"/>
          <w:color w:val="000000" w:themeColor="text1"/>
          <w:sz w:val="20"/>
          <w:szCs w:val="20"/>
        </w:rPr>
        <w:t>Uebelhoer</w:t>
      </w:r>
      <w:proofErr w:type="spellEnd"/>
      <w:r>
        <w:rPr>
          <w:rFonts w:ascii="Times New Roman" w:hAnsi="Times New Roman"/>
          <w:color w:val="000000" w:themeColor="text1"/>
          <w:sz w:val="20"/>
          <w:szCs w:val="20"/>
        </w:rPr>
        <w:t xml:space="preserve">, N. S., and Shumaker, P. R. (2012) Treatment of focal axillary hyperhidrosis </w:t>
      </w:r>
      <w:r>
        <w:rPr>
          <w:rFonts w:ascii="Times New Roman" w:hAnsi="Times New Roman"/>
          <w:color w:val="000000" w:themeColor="text1"/>
          <w:sz w:val="20"/>
          <w:szCs w:val="20"/>
        </w:rPr>
        <w:t xml:space="preserve">using a </w:t>
      </w:r>
      <w:proofErr w:type="gramStart"/>
      <w:r>
        <w:rPr>
          <w:rFonts w:ascii="Times New Roman" w:hAnsi="Times New Roman"/>
          <w:color w:val="000000" w:themeColor="text1"/>
          <w:sz w:val="20"/>
          <w:szCs w:val="20"/>
        </w:rPr>
        <w:t>long pulsed</w:t>
      </w:r>
      <w:proofErr w:type="gramEnd"/>
      <w:r>
        <w:rPr>
          <w:rFonts w:ascii="Times New Roman" w:hAnsi="Times New Roman"/>
          <w:color w:val="000000" w:themeColor="text1"/>
          <w:sz w:val="20"/>
          <w:szCs w:val="20"/>
        </w:rPr>
        <w:t xml:space="preserve"> Nd: YAG 1064 nm laser at hair reduction settings. J Drugs Dermatol 11,59–63</w:t>
      </w:r>
    </w:p>
    <w:p w14:paraId="58FCE4D3"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12.</w:t>
      </w:r>
      <w:r>
        <w:rPr>
          <w:rFonts w:ascii="Times New Roman" w:hAnsi="Times New Roman"/>
          <w:color w:val="000000" w:themeColor="text1"/>
          <w:sz w:val="20"/>
          <w:szCs w:val="20"/>
        </w:rPr>
        <w:tab/>
        <w:t>Hong, H. C., Lupin, M., O’Shaughnessy, K. F. (2012) Clinical evaluation of a microwave device for treating axillary hyperhidrosis. Dermatol Surg 38,728-735</w:t>
      </w:r>
    </w:p>
    <w:p w14:paraId="78E35A5A"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13.</w:t>
      </w:r>
      <w:r>
        <w:rPr>
          <w:rFonts w:ascii="Times New Roman" w:hAnsi="Times New Roman"/>
          <w:color w:val="000000" w:themeColor="text1"/>
          <w:sz w:val="20"/>
          <w:szCs w:val="20"/>
        </w:rPr>
        <w:tab/>
        <w:t xml:space="preserve">Cai, S., Huang, S., An, J., Li, Y., Weng, Y., Liao, H., Chen, H., Liu, L., He, J., and Zhang, J. (2014) Effect of lowering or restricting sympathectomy levels on compensatory sweating. Clin </w:t>
      </w:r>
      <w:proofErr w:type="spellStart"/>
      <w:r>
        <w:rPr>
          <w:rFonts w:ascii="Times New Roman" w:hAnsi="Times New Roman"/>
          <w:color w:val="000000" w:themeColor="text1"/>
          <w:sz w:val="20"/>
          <w:szCs w:val="20"/>
        </w:rPr>
        <w:t>Auton</w:t>
      </w:r>
      <w:proofErr w:type="spellEnd"/>
      <w:r>
        <w:rPr>
          <w:rFonts w:ascii="Times New Roman" w:hAnsi="Times New Roman"/>
          <w:color w:val="000000" w:themeColor="text1"/>
          <w:sz w:val="20"/>
          <w:szCs w:val="20"/>
        </w:rPr>
        <w:t xml:space="preserve"> Res </w:t>
      </w:r>
      <w:r>
        <w:rPr>
          <w:rFonts w:ascii="Times New Roman" w:hAnsi="Times New Roman"/>
          <w:color w:val="000000" w:themeColor="text1"/>
          <w:sz w:val="20"/>
          <w:szCs w:val="20"/>
        </w:rPr>
        <w:lastRenderedPageBreak/>
        <w:t>24,143–149</w:t>
      </w:r>
    </w:p>
    <w:p w14:paraId="450E1785"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14.</w:t>
      </w:r>
      <w:r>
        <w:rPr>
          <w:rFonts w:ascii="Times New Roman" w:hAnsi="Times New Roman"/>
          <w:color w:val="000000" w:themeColor="text1"/>
          <w:sz w:val="20"/>
          <w:szCs w:val="20"/>
        </w:rPr>
        <w:tab/>
        <w:t xml:space="preserve">Chou, S. H., Kao, E. L., Lin, C. C., </w:t>
      </w:r>
      <w:r>
        <w:rPr>
          <w:rFonts w:ascii="Times New Roman" w:hAnsi="Times New Roman"/>
          <w:color w:val="000000" w:themeColor="text1"/>
          <w:sz w:val="20"/>
          <w:szCs w:val="20"/>
        </w:rPr>
        <w:t xml:space="preserve">Chang, Y. T., Huang, M. F. (2006) The importance of classification in sympathetic surgery and a proposed mechanism for compensatory hyperhidrosis: experience with 464 cases. Surg </w:t>
      </w:r>
      <w:proofErr w:type="spellStart"/>
      <w:r>
        <w:rPr>
          <w:rFonts w:ascii="Times New Roman" w:hAnsi="Times New Roman"/>
          <w:color w:val="000000" w:themeColor="text1"/>
          <w:sz w:val="20"/>
          <w:szCs w:val="20"/>
        </w:rPr>
        <w:t>Endosc</w:t>
      </w:r>
      <w:proofErr w:type="spellEnd"/>
      <w:r>
        <w:rPr>
          <w:rFonts w:ascii="Times New Roman" w:hAnsi="Times New Roman"/>
          <w:color w:val="000000" w:themeColor="text1"/>
          <w:sz w:val="20"/>
          <w:szCs w:val="20"/>
        </w:rPr>
        <w:t>. 20,1749–1753.</w:t>
      </w:r>
    </w:p>
    <w:p w14:paraId="48A927A7"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15. Waseem, M, Hajjar., Sami, A, Al-Nassar., </w:t>
      </w:r>
      <w:proofErr w:type="spellStart"/>
      <w:r>
        <w:rPr>
          <w:rFonts w:ascii="Times New Roman" w:hAnsi="Times New Roman"/>
          <w:color w:val="000000" w:themeColor="text1"/>
          <w:sz w:val="20"/>
          <w:szCs w:val="20"/>
        </w:rPr>
        <w:t>Heba</w:t>
      </w:r>
      <w:proofErr w:type="spellEnd"/>
      <w:r>
        <w:rPr>
          <w:rFonts w:ascii="Times New Roman" w:hAnsi="Times New Roman"/>
          <w:color w:val="000000" w:themeColor="text1"/>
          <w:sz w:val="20"/>
          <w:szCs w:val="20"/>
        </w:rPr>
        <w:t>, M, A</w:t>
      </w:r>
      <w:r>
        <w:rPr>
          <w:rFonts w:ascii="Times New Roman" w:hAnsi="Times New Roman"/>
          <w:color w:val="000000" w:themeColor="text1"/>
          <w:sz w:val="20"/>
          <w:szCs w:val="20"/>
        </w:rPr>
        <w:t>l-Sharif., Dana, M. Al-</w:t>
      </w:r>
      <w:proofErr w:type="spellStart"/>
      <w:r>
        <w:rPr>
          <w:rFonts w:ascii="Times New Roman" w:hAnsi="Times New Roman"/>
          <w:color w:val="000000" w:themeColor="text1"/>
          <w:sz w:val="20"/>
          <w:szCs w:val="20"/>
        </w:rPr>
        <w:t>Olayet</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Wejdan</w:t>
      </w:r>
      <w:proofErr w:type="spellEnd"/>
      <w:r>
        <w:rPr>
          <w:rFonts w:ascii="Times New Roman" w:hAnsi="Times New Roman"/>
          <w:color w:val="000000" w:themeColor="text1"/>
          <w:sz w:val="20"/>
          <w:szCs w:val="20"/>
        </w:rPr>
        <w:t>, S, Al-</w:t>
      </w:r>
      <w:proofErr w:type="spellStart"/>
      <w:r>
        <w:rPr>
          <w:rFonts w:ascii="Times New Roman" w:hAnsi="Times New Roman"/>
          <w:color w:val="000000" w:themeColor="text1"/>
          <w:sz w:val="20"/>
          <w:szCs w:val="20"/>
        </w:rPr>
        <w:t>Otiebi</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Alanoud</w:t>
      </w:r>
      <w:proofErr w:type="spellEnd"/>
      <w:r>
        <w:rPr>
          <w:rFonts w:ascii="Times New Roman" w:hAnsi="Times New Roman"/>
          <w:color w:val="000000" w:themeColor="text1"/>
          <w:sz w:val="20"/>
          <w:szCs w:val="20"/>
        </w:rPr>
        <w:t>, A, Al-</w:t>
      </w:r>
      <w:proofErr w:type="spellStart"/>
      <w:r>
        <w:rPr>
          <w:rFonts w:ascii="Times New Roman" w:hAnsi="Times New Roman"/>
          <w:color w:val="000000" w:themeColor="text1"/>
          <w:sz w:val="20"/>
          <w:szCs w:val="20"/>
        </w:rPr>
        <w:t>Huqayl</w:t>
      </w:r>
      <w:proofErr w:type="spellEnd"/>
      <w:r>
        <w:rPr>
          <w:rFonts w:ascii="Times New Roman" w:hAnsi="Times New Roman"/>
          <w:color w:val="000000" w:themeColor="text1"/>
          <w:sz w:val="20"/>
          <w:szCs w:val="20"/>
        </w:rPr>
        <w:t>., Adnan, W, Hajjar. (2019) The quality of life and satisfaction rate of patients with upper limb hyperhidrosis before and after bilateral endoscopic thoracic sympathectomy</w:t>
      </w:r>
    </w:p>
    <w:p w14:paraId="1C62FF72"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000000" w:themeColor="text1"/>
          <w:sz w:val="20"/>
          <w:szCs w:val="20"/>
        </w:rPr>
        <w:t>Saudi J</w:t>
      </w:r>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Anaesth</w:t>
      </w:r>
      <w:proofErr w:type="spellEnd"/>
      <w:r>
        <w:rPr>
          <w:rFonts w:ascii="Times New Roman" w:hAnsi="Times New Roman"/>
          <w:color w:val="000000" w:themeColor="text1"/>
          <w:sz w:val="20"/>
          <w:szCs w:val="20"/>
        </w:rPr>
        <w:t>. 13,16–22.</w:t>
      </w:r>
    </w:p>
    <w:p w14:paraId="1CEE80B9"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C00000"/>
          <w:sz w:val="20"/>
          <w:szCs w:val="20"/>
        </w:rPr>
        <w:t>16</w:t>
      </w:r>
      <w:r>
        <w:rPr>
          <w:rFonts w:ascii="Times New Roman" w:hAnsi="Times New Roman"/>
          <w:color w:val="000000" w:themeColor="text1"/>
          <w:sz w:val="20"/>
          <w:szCs w:val="20"/>
        </w:rPr>
        <w:t xml:space="preserve">. Baumgartner, F. J., Reyes, M., Sarkisyan, G. G., Iglesias, A., Reyes, E. (2011) Thoracoscopic </w:t>
      </w:r>
      <w:proofErr w:type="spellStart"/>
      <w:r>
        <w:rPr>
          <w:rFonts w:ascii="Times New Roman" w:hAnsi="Times New Roman"/>
          <w:color w:val="000000" w:themeColor="text1"/>
          <w:sz w:val="20"/>
          <w:szCs w:val="20"/>
        </w:rPr>
        <w:t>sympathicotomy</w:t>
      </w:r>
      <w:proofErr w:type="spellEnd"/>
      <w:r>
        <w:rPr>
          <w:rFonts w:ascii="Times New Roman" w:hAnsi="Times New Roman"/>
          <w:color w:val="000000" w:themeColor="text1"/>
          <w:sz w:val="20"/>
          <w:szCs w:val="20"/>
        </w:rPr>
        <w:t xml:space="preserve"> for disabling palmar hyperhidrosis: a prospective randomized comparison between two levels. Ann </w:t>
      </w:r>
      <w:proofErr w:type="spellStart"/>
      <w:r>
        <w:rPr>
          <w:rFonts w:ascii="Times New Roman" w:hAnsi="Times New Roman"/>
          <w:color w:val="000000" w:themeColor="text1"/>
          <w:sz w:val="20"/>
          <w:szCs w:val="20"/>
        </w:rPr>
        <w:t>Thorac</w:t>
      </w:r>
      <w:proofErr w:type="spellEnd"/>
      <w:r>
        <w:rPr>
          <w:rFonts w:ascii="Times New Roman" w:hAnsi="Times New Roman"/>
          <w:color w:val="000000" w:themeColor="text1"/>
          <w:sz w:val="20"/>
          <w:szCs w:val="20"/>
        </w:rPr>
        <w:t xml:space="preserve"> Surg. 92,2015–2019.</w:t>
      </w:r>
    </w:p>
    <w:p w14:paraId="04CCF78D"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C00000"/>
          <w:sz w:val="20"/>
          <w:szCs w:val="20"/>
        </w:rPr>
        <w:t>17</w:t>
      </w:r>
      <w:r>
        <w:rPr>
          <w:rFonts w:ascii="Times New Roman" w:hAnsi="Times New Roman"/>
          <w:color w:val="000000" w:themeColor="text1"/>
          <w:sz w:val="20"/>
          <w:szCs w:val="20"/>
        </w:rPr>
        <w:t>.</w:t>
      </w:r>
      <w:r>
        <w:rPr>
          <w:rFonts w:ascii="Times New Roman" w:hAnsi="Times New Roman"/>
          <w:color w:val="000000" w:themeColor="text1"/>
          <w:sz w:val="20"/>
          <w:szCs w:val="20"/>
        </w:rPr>
        <w:tab/>
        <w:t xml:space="preserve">Aoki, H., Sakai, T., Murata, H., </w:t>
      </w:r>
      <w:proofErr w:type="spellStart"/>
      <w:r>
        <w:rPr>
          <w:rFonts w:ascii="Times New Roman" w:hAnsi="Times New Roman"/>
          <w:color w:val="000000" w:themeColor="text1"/>
          <w:sz w:val="20"/>
          <w:szCs w:val="20"/>
        </w:rPr>
        <w:t>Sumikawa</w:t>
      </w:r>
      <w:proofErr w:type="spellEnd"/>
      <w:r>
        <w:rPr>
          <w:rFonts w:ascii="Times New Roman" w:hAnsi="Times New Roman"/>
          <w:color w:val="000000" w:themeColor="text1"/>
          <w:sz w:val="20"/>
          <w:szCs w:val="20"/>
        </w:rPr>
        <w:t xml:space="preserve">, K. (2014) Extent of sympathectomy affects postoperative compensatory sweating and satisfaction in patients with palmar hyperhidrosis. J </w:t>
      </w:r>
      <w:proofErr w:type="spellStart"/>
      <w:r>
        <w:rPr>
          <w:rFonts w:ascii="Times New Roman" w:hAnsi="Times New Roman"/>
          <w:color w:val="000000" w:themeColor="text1"/>
          <w:sz w:val="20"/>
          <w:szCs w:val="20"/>
        </w:rPr>
        <w:t>Anesth</w:t>
      </w:r>
      <w:proofErr w:type="spellEnd"/>
      <w:r>
        <w:rPr>
          <w:rFonts w:ascii="Times New Roman" w:hAnsi="Times New Roman"/>
          <w:color w:val="000000" w:themeColor="text1"/>
          <w:sz w:val="20"/>
          <w:szCs w:val="20"/>
        </w:rPr>
        <w:t>.  28,210–213.</w:t>
      </w:r>
    </w:p>
    <w:p w14:paraId="4641947E"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C00000"/>
          <w:sz w:val="20"/>
          <w:szCs w:val="20"/>
        </w:rPr>
        <w:t>18</w:t>
      </w:r>
      <w:r>
        <w:rPr>
          <w:rFonts w:ascii="Times New Roman" w:hAnsi="Times New Roman"/>
          <w:color w:val="000000" w:themeColor="text1"/>
          <w:sz w:val="20"/>
          <w:szCs w:val="20"/>
        </w:rPr>
        <w:t>.</w:t>
      </w:r>
      <w:r>
        <w:rPr>
          <w:rFonts w:ascii="Times New Roman" w:hAnsi="Times New Roman"/>
          <w:color w:val="000000" w:themeColor="text1"/>
          <w:sz w:val="20"/>
          <w:szCs w:val="20"/>
        </w:rPr>
        <w:tab/>
        <w:t xml:space="preserve">Licht PB, </w:t>
      </w:r>
      <w:proofErr w:type="spellStart"/>
      <w:r>
        <w:rPr>
          <w:rFonts w:ascii="Times New Roman" w:hAnsi="Times New Roman"/>
          <w:color w:val="000000" w:themeColor="text1"/>
          <w:sz w:val="20"/>
          <w:szCs w:val="20"/>
        </w:rPr>
        <w:t>Pilegaard</w:t>
      </w:r>
      <w:proofErr w:type="spellEnd"/>
      <w:r>
        <w:rPr>
          <w:rFonts w:ascii="Times New Roman" w:hAnsi="Times New Roman"/>
          <w:color w:val="000000" w:themeColor="text1"/>
          <w:sz w:val="20"/>
          <w:szCs w:val="20"/>
        </w:rPr>
        <w:t xml:space="preserve"> HK. Severity of compensatory</w:t>
      </w:r>
      <w:r>
        <w:rPr>
          <w:rFonts w:ascii="Times New Roman" w:hAnsi="Times New Roman"/>
          <w:color w:val="000000" w:themeColor="text1"/>
          <w:sz w:val="20"/>
          <w:szCs w:val="20"/>
        </w:rPr>
        <w:t xml:space="preserve"> sweating after thoracoscopic sympathectomy. Ann </w:t>
      </w:r>
      <w:proofErr w:type="spellStart"/>
      <w:r>
        <w:rPr>
          <w:rFonts w:ascii="Times New Roman" w:hAnsi="Times New Roman"/>
          <w:color w:val="000000" w:themeColor="text1"/>
          <w:sz w:val="20"/>
          <w:szCs w:val="20"/>
        </w:rPr>
        <w:t>Thorac</w:t>
      </w:r>
      <w:proofErr w:type="spellEnd"/>
      <w:r>
        <w:rPr>
          <w:rFonts w:ascii="Times New Roman" w:hAnsi="Times New Roman"/>
          <w:color w:val="000000" w:themeColor="text1"/>
          <w:sz w:val="20"/>
          <w:szCs w:val="20"/>
        </w:rPr>
        <w:t xml:space="preserve"> Surg. </w:t>
      </w:r>
      <w:proofErr w:type="gramStart"/>
      <w:r>
        <w:rPr>
          <w:rFonts w:ascii="Times New Roman" w:hAnsi="Times New Roman"/>
          <w:color w:val="000000" w:themeColor="text1"/>
          <w:sz w:val="20"/>
          <w:szCs w:val="20"/>
        </w:rPr>
        <w:t>2004;78:427</w:t>
      </w:r>
      <w:proofErr w:type="gramEnd"/>
      <w:r>
        <w:rPr>
          <w:rFonts w:ascii="Times New Roman" w:hAnsi="Times New Roman"/>
          <w:color w:val="000000" w:themeColor="text1"/>
          <w:sz w:val="20"/>
          <w:szCs w:val="20"/>
        </w:rPr>
        <w:t xml:space="preserve">–431. </w:t>
      </w:r>
    </w:p>
    <w:p w14:paraId="5CEA8F6C"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C00000"/>
          <w:sz w:val="20"/>
          <w:szCs w:val="20"/>
        </w:rPr>
        <w:t>19</w:t>
      </w:r>
      <w:r>
        <w:rPr>
          <w:rFonts w:ascii="Times New Roman" w:hAnsi="Times New Roman"/>
          <w:color w:val="000000" w:themeColor="text1"/>
          <w:sz w:val="20"/>
          <w:szCs w:val="20"/>
        </w:rPr>
        <w:t>.</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Delaplace</w:t>
      </w:r>
      <w:proofErr w:type="spellEnd"/>
      <w:r>
        <w:rPr>
          <w:rFonts w:ascii="Times New Roman" w:hAnsi="Times New Roman"/>
          <w:color w:val="000000" w:themeColor="text1"/>
          <w:sz w:val="20"/>
          <w:szCs w:val="20"/>
        </w:rPr>
        <w:t xml:space="preserve">, M., Dumont, P., Lorette, G., </w:t>
      </w:r>
      <w:proofErr w:type="spellStart"/>
      <w:r>
        <w:rPr>
          <w:rFonts w:ascii="Times New Roman" w:hAnsi="Times New Roman"/>
          <w:color w:val="000000" w:themeColor="text1"/>
          <w:sz w:val="20"/>
          <w:szCs w:val="20"/>
        </w:rPr>
        <w:t>Machet</w:t>
      </w:r>
      <w:proofErr w:type="spellEnd"/>
      <w:r>
        <w:rPr>
          <w:rFonts w:ascii="Times New Roman" w:hAnsi="Times New Roman"/>
          <w:color w:val="000000" w:themeColor="text1"/>
          <w:sz w:val="20"/>
          <w:szCs w:val="20"/>
        </w:rPr>
        <w:t xml:space="preserve">, L., </w:t>
      </w:r>
      <w:proofErr w:type="spellStart"/>
      <w:r>
        <w:rPr>
          <w:rFonts w:ascii="Times New Roman" w:hAnsi="Times New Roman"/>
          <w:color w:val="000000" w:themeColor="text1"/>
          <w:sz w:val="20"/>
          <w:szCs w:val="20"/>
        </w:rPr>
        <w:t>Lagier</w:t>
      </w:r>
      <w:proofErr w:type="spellEnd"/>
      <w:r>
        <w:rPr>
          <w:rFonts w:ascii="Times New Roman" w:hAnsi="Times New Roman"/>
          <w:color w:val="000000" w:themeColor="text1"/>
          <w:sz w:val="20"/>
          <w:szCs w:val="20"/>
        </w:rPr>
        <w:t xml:space="preserve">, L., </w:t>
      </w:r>
      <w:proofErr w:type="spellStart"/>
      <w:r>
        <w:rPr>
          <w:rFonts w:ascii="Times New Roman" w:hAnsi="Times New Roman"/>
          <w:color w:val="000000" w:themeColor="text1"/>
          <w:sz w:val="20"/>
          <w:szCs w:val="20"/>
        </w:rPr>
        <w:t>Maruani</w:t>
      </w:r>
      <w:proofErr w:type="spellEnd"/>
      <w:r>
        <w:rPr>
          <w:rFonts w:ascii="Times New Roman" w:hAnsi="Times New Roman"/>
          <w:color w:val="000000" w:themeColor="text1"/>
          <w:sz w:val="20"/>
          <w:szCs w:val="20"/>
        </w:rPr>
        <w:t xml:space="preserve">, A., </w:t>
      </w:r>
      <w:proofErr w:type="spellStart"/>
      <w:r>
        <w:rPr>
          <w:rFonts w:ascii="Times New Roman" w:hAnsi="Times New Roman"/>
          <w:color w:val="000000" w:themeColor="text1"/>
          <w:sz w:val="20"/>
          <w:szCs w:val="20"/>
        </w:rPr>
        <w:t>Samimi</w:t>
      </w:r>
      <w:proofErr w:type="spellEnd"/>
      <w:r>
        <w:rPr>
          <w:rFonts w:ascii="Times New Roman" w:hAnsi="Times New Roman"/>
          <w:color w:val="000000" w:themeColor="text1"/>
          <w:sz w:val="20"/>
          <w:szCs w:val="20"/>
        </w:rPr>
        <w:t>, M. (2015) Factors associated with long-term outcome of endoscopic thoracic sympathectom</w:t>
      </w:r>
      <w:r>
        <w:rPr>
          <w:rFonts w:ascii="Times New Roman" w:hAnsi="Times New Roman"/>
          <w:color w:val="000000" w:themeColor="text1"/>
          <w:sz w:val="20"/>
          <w:szCs w:val="20"/>
        </w:rPr>
        <w:t xml:space="preserve">y for palmar hyperhidrosis: a questionnaire survey in a cohort of French patients. Br J Dermatol. 172,805-807 </w:t>
      </w:r>
    </w:p>
    <w:p w14:paraId="2D8D006C" w14:textId="77777777" w:rsidR="009C6A2A" w:rsidRDefault="004F729E">
      <w:pPr>
        <w:adjustRightInd w:val="0"/>
        <w:spacing w:line="360" w:lineRule="auto"/>
        <w:rPr>
          <w:rFonts w:ascii="Times New Roman" w:hAnsi="Times New Roman"/>
          <w:color w:val="000000" w:themeColor="text1"/>
          <w:sz w:val="20"/>
          <w:szCs w:val="20"/>
        </w:rPr>
      </w:pPr>
      <w:r>
        <w:rPr>
          <w:rFonts w:ascii="Times New Roman" w:hAnsi="Times New Roman"/>
          <w:color w:val="C00000"/>
          <w:sz w:val="20"/>
          <w:szCs w:val="20"/>
        </w:rPr>
        <w:t>20</w:t>
      </w:r>
      <w:r>
        <w:rPr>
          <w:rFonts w:ascii="Times New Roman" w:hAnsi="Times New Roman"/>
          <w:color w:val="000000" w:themeColor="text1"/>
          <w:sz w:val="20"/>
          <w:szCs w:val="20"/>
        </w:rPr>
        <w:t>.</w:t>
      </w:r>
      <w:r>
        <w:rPr>
          <w:rFonts w:ascii="Times New Roman" w:hAnsi="Times New Roman"/>
          <w:color w:val="000000" w:themeColor="text1"/>
          <w:sz w:val="20"/>
          <w:szCs w:val="20"/>
        </w:rPr>
        <w:tab/>
        <w:t>Youssef, T., Soliman, M. (2015) Unilateral Sequential Endoscopic Thoracic Sympathectomy for Palmar Hyperhidrosis: A Proposed Technique to Ove</w:t>
      </w:r>
      <w:r>
        <w:rPr>
          <w:rFonts w:ascii="Times New Roman" w:hAnsi="Times New Roman"/>
          <w:color w:val="000000" w:themeColor="text1"/>
          <w:sz w:val="20"/>
          <w:szCs w:val="20"/>
        </w:rPr>
        <w:t xml:space="preserve">rcome Compensatory Hyperhidrosis and Improve Plantar Hyperhidrosis. Journal of </w:t>
      </w:r>
      <w:proofErr w:type="spellStart"/>
      <w:r>
        <w:rPr>
          <w:rFonts w:ascii="Times New Roman" w:hAnsi="Times New Roman"/>
          <w:color w:val="000000" w:themeColor="text1"/>
          <w:sz w:val="20"/>
          <w:szCs w:val="20"/>
        </w:rPr>
        <w:t>Laparoendoscopic</w:t>
      </w:r>
      <w:proofErr w:type="spellEnd"/>
      <w:r>
        <w:rPr>
          <w:rFonts w:ascii="Times New Roman" w:hAnsi="Times New Roman"/>
          <w:color w:val="000000" w:themeColor="text1"/>
          <w:sz w:val="20"/>
          <w:szCs w:val="20"/>
        </w:rPr>
        <w:t xml:space="preserve"> &amp; Advanced Surgical Techniques 2,370-374</w:t>
      </w:r>
    </w:p>
    <w:p w14:paraId="1555EF14" w14:textId="77777777" w:rsidR="009C6A2A" w:rsidRDefault="004F729E">
      <w:pPr>
        <w:adjustRightInd w:val="0"/>
        <w:spacing w:line="360" w:lineRule="auto"/>
        <w:rPr>
          <w:rFonts w:ascii="Times New Roman" w:hAnsi="Times New Roman"/>
          <w:sz w:val="24"/>
        </w:rPr>
      </w:pPr>
      <w:r>
        <w:rPr>
          <w:rFonts w:ascii="Times New Roman" w:hAnsi="Times New Roman"/>
          <w:color w:val="C00000"/>
          <w:sz w:val="20"/>
          <w:szCs w:val="20"/>
        </w:rPr>
        <w:t>21</w:t>
      </w:r>
      <w:r>
        <w:rPr>
          <w:rFonts w:ascii="Times New Roman" w:hAnsi="Times New Roman"/>
          <w:color w:val="000000" w:themeColor="text1"/>
          <w:sz w:val="20"/>
          <w:szCs w:val="20"/>
        </w:rPr>
        <w:t>.</w:t>
      </w:r>
      <w:r>
        <w:rPr>
          <w:rFonts w:ascii="Times New Roman" w:hAnsi="Times New Roman"/>
          <w:color w:val="000000" w:themeColor="text1"/>
          <w:sz w:val="20"/>
          <w:szCs w:val="20"/>
        </w:rPr>
        <w:tab/>
      </w:r>
      <w:proofErr w:type="spellStart"/>
      <w:r>
        <w:rPr>
          <w:rFonts w:ascii="Times New Roman" w:hAnsi="Times New Roman"/>
          <w:color w:val="000000" w:themeColor="text1"/>
          <w:sz w:val="20"/>
          <w:szCs w:val="20"/>
        </w:rPr>
        <w:t>Callejas</w:t>
      </w:r>
      <w:proofErr w:type="spellEnd"/>
      <w:r>
        <w:rPr>
          <w:rFonts w:ascii="Times New Roman" w:hAnsi="Times New Roman"/>
          <w:color w:val="000000" w:themeColor="text1"/>
          <w:sz w:val="20"/>
          <w:szCs w:val="20"/>
        </w:rPr>
        <w:t xml:space="preserve">, M. A., </w:t>
      </w:r>
      <w:proofErr w:type="spellStart"/>
      <w:r>
        <w:rPr>
          <w:rFonts w:ascii="Times New Roman" w:hAnsi="Times New Roman"/>
          <w:color w:val="000000" w:themeColor="text1"/>
          <w:sz w:val="20"/>
          <w:szCs w:val="20"/>
        </w:rPr>
        <w:t>Grimalt</w:t>
      </w:r>
      <w:proofErr w:type="spellEnd"/>
      <w:r>
        <w:rPr>
          <w:rFonts w:ascii="Times New Roman" w:hAnsi="Times New Roman"/>
          <w:color w:val="000000" w:themeColor="text1"/>
          <w:sz w:val="20"/>
          <w:szCs w:val="20"/>
        </w:rPr>
        <w:t xml:space="preserve">, R., </w:t>
      </w:r>
      <w:proofErr w:type="spellStart"/>
      <w:r>
        <w:rPr>
          <w:rFonts w:ascii="Times New Roman" w:hAnsi="Times New Roman"/>
          <w:color w:val="000000" w:themeColor="text1"/>
          <w:sz w:val="20"/>
          <w:szCs w:val="20"/>
        </w:rPr>
        <w:t>Cladellas</w:t>
      </w:r>
      <w:proofErr w:type="spellEnd"/>
      <w:r>
        <w:rPr>
          <w:rFonts w:ascii="Times New Roman" w:hAnsi="Times New Roman"/>
          <w:color w:val="000000" w:themeColor="text1"/>
          <w:sz w:val="20"/>
          <w:szCs w:val="20"/>
        </w:rPr>
        <w:t xml:space="preserve">, E. (2010) Hyperhidrosis Update. </w:t>
      </w:r>
      <w:proofErr w:type="spellStart"/>
      <w:r>
        <w:rPr>
          <w:rFonts w:ascii="Times New Roman" w:hAnsi="Times New Roman"/>
          <w:color w:val="000000" w:themeColor="text1"/>
          <w:sz w:val="20"/>
          <w:szCs w:val="20"/>
        </w:rPr>
        <w:t>Actas</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Dermosifiliogr</w:t>
      </w:r>
      <w:proofErr w:type="spellEnd"/>
      <w:r>
        <w:rPr>
          <w:rFonts w:ascii="Times New Roman" w:hAnsi="Times New Roman"/>
          <w:color w:val="000000" w:themeColor="text1"/>
          <w:sz w:val="20"/>
          <w:szCs w:val="20"/>
        </w:rPr>
        <w:t xml:space="preserve"> 101,110-118.</w:t>
      </w:r>
    </w:p>
    <w:p w14:paraId="1CC17C74" w14:textId="77777777" w:rsidR="009C6A2A" w:rsidRDefault="009C6A2A">
      <w:pPr>
        <w:pStyle w:val="EndNoteBibliography"/>
        <w:rPr>
          <w:rFonts w:ascii="Times New Roman" w:hAnsi="Times New Roman" w:cs="Times New Roman"/>
          <w:sz w:val="24"/>
        </w:rPr>
      </w:pPr>
    </w:p>
    <w:p w14:paraId="67118AA2" w14:textId="77777777" w:rsidR="008A791B" w:rsidRPr="009C6A2A" w:rsidRDefault="008A791B" w:rsidP="008A791B">
      <w:pPr>
        <w:jc w:val="left"/>
        <w:rPr>
          <w:rFonts w:ascii="Times New Roman" w:hAnsi="Times New Roman"/>
          <w:b/>
          <w:bCs/>
          <w:sz w:val="20"/>
          <w:szCs w:val="20"/>
          <w:rPrChange w:id="4" w:author="." w:date="2019-11-28T09:39:00Z">
            <w:rPr>
              <w:rFonts w:ascii="Times New Roman" w:hAnsi="Times New Roman"/>
              <w:b/>
              <w:bCs/>
              <w:color w:val="000000" w:themeColor="text1"/>
              <w:sz w:val="20"/>
              <w:szCs w:val="20"/>
            </w:rPr>
          </w:rPrChange>
        </w:rPr>
      </w:pPr>
      <w:r>
        <w:rPr>
          <w:rFonts w:ascii="Times New Roman" w:hAnsi="Times New Roman"/>
          <w:b/>
          <w:bCs/>
          <w:sz w:val="20"/>
          <w:szCs w:val="20"/>
        </w:rPr>
        <w:lastRenderedPageBreak/>
        <w:t xml:space="preserve">Figure 1. </w:t>
      </w:r>
      <w:r>
        <w:rPr>
          <w:rFonts w:ascii="Times New Roman" w:hAnsi="Times New Roman"/>
          <w:bCs/>
          <w:sz w:val="20"/>
          <w:szCs w:val="20"/>
        </w:rPr>
        <w:t>Thoracoscope Insertion through a Single Port Incision.</w:t>
      </w:r>
      <w:r>
        <w:rPr>
          <w:rFonts w:ascii="Times New Roman" w:hAnsi="Times New Roman"/>
          <w:b/>
          <w:bCs/>
          <w:sz w:val="20"/>
          <w:szCs w:val="20"/>
        </w:rPr>
        <w:t xml:space="preserve"> </w:t>
      </w:r>
      <w:r>
        <w:rPr>
          <w:rFonts w:ascii="Times New Roman" w:hAnsi="Times New Roman"/>
          <w:b/>
          <w:bCs/>
          <w:noProof/>
          <w:sz w:val="20"/>
          <w:szCs w:val="20"/>
          <w:lang w:val="en-IE" w:eastAsia="en-IE"/>
        </w:rPr>
        <w:drawing>
          <wp:inline distT="0" distB="0" distL="0" distR="0" wp14:anchorId="27005B32" wp14:editId="53B747AF">
            <wp:extent cx="4434205" cy="3325495"/>
            <wp:effectExtent l="0" t="0" r="0" b="1905"/>
            <wp:docPr id="1" name="Resim 1" descr="hastane odası, iç mekan, duvar, od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hastane odası, iç mekan, duvar, oda içeren bir resim&#10;&#10;Açıklama otomatik olarak oluşturuldu"/>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479406" cy="3359552"/>
                    </a:xfrm>
                    <a:prstGeom prst="rect">
                      <a:avLst/>
                    </a:prstGeom>
                  </pic:spPr>
                </pic:pic>
              </a:graphicData>
            </a:graphic>
          </wp:inline>
        </w:drawing>
      </w:r>
    </w:p>
    <w:p w14:paraId="22A7B92B" w14:textId="77777777" w:rsidR="008A791B" w:rsidRDefault="008A791B">
      <w:pPr>
        <w:widowControl/>
        <w:adjustRightInd w:val="0"/>
        <w:snapToGrid w:val="0"/>
        <w:spacing w:beforeLines="50" w:before="156" w:line="360" w:lineRule="auto"/>
        <w:jc w:val="left"/>
        <w:rPr>
          <w:rFonts w:ascii="Times New Roman" w:hAnsi="Times New Roman"/>
          <w:b/>
          <w:bCs/>
          <w:kern w:val="0"/>
          <w:sz w:val="20"/>
          <w:szCs w:val="20"/>
        </w:rPr>
      </w:pPr>
    </w:p>
    <w:p w14:paraId="5E00FD9E" w14:textId="77777777" w:rsidR="008A791B" w:rsidRDefault="008A791B">
      <w:pPr>
        <w:widowControl/>
        <w:adjustRightInd w:val="0"/>
        <w:snapToGrid w:val="0"/>
        <w:spacing w:beforeLines="50" w:before="156" w:line="360" w:lineRule="auto"/>
        <w:jc w:val="left"/>
        <w:rPr>
          <w:rFonts w:ascii="Times New Roman" w:hAnsi="Times New Roman"/>
          <w:b/>
          <w:bCs/>
          <w:kern w:val="0"/>
          <w:sz w:val="20"/>
          <w:szCs w:val="20"/>
        </w:rPr>
      </w:pPr>
    </w:p>
    <w:p w14:paraId="5E2A8A9C" w14:textId="17777CF2" w:rsidR="009C6A2A" w:rsidRDefault="004F729E">
      <w:pPr>
        <w:widowControl/>
        <w:adjustRightInd w:val="0"/>
        <w:snapToGrid w:val="0"/>
        <w:spacing w:beforeLines="50" w:before="156" w:line="360" w:lineRule="auto"/>
        <w:jc w:val="left"/>
        <w:rPr>
          <w:rFonts w:ascii="Times New Roman" w:hAnsi="Times New Roman"/>
          <w:kern w:val="0"/>
          <w:sz w:val="20"/>
          <w:szCs w:val="20"/>
        </w:rPr>
      </w:pPr>
      <w:r>
        <w:rPr>
          <w:rFonts w:ascii="Times New Roman" w:hAnsi="Times New Roman"/>
          <w:b/>
          <w:bCs/>
          <w:kern w:val="0"/>
          <w:sz w:val="20"/>
          <w:szCs w:val="20"/>
        </w:rPr>
        <w:t>Tabl</w:t>
      </w:r>
      <w:r>
        <w:rPr>
          <w:rFonts w:ascii="Times New Roman" w:hAnsi="Times New Roman"/>
          <w:b/>
          <w:bCs/>
          <w:kern w:val="0"/>
          <w:sz w:val="20"/>
          <w:szCs w:val="20"/>
        </w:rPr>
        <w:t xml:space="preserve">e 1. </w:t>
      </w:r>
      <w:r>
        <w:rPr>
          <w:rFonts w:ascii="Times New Roman" w:hAnsi="Times New Roman"/>
          <w:bCs/>
          <w:kern w:val="0"/>
          <w:sz w:val="20"/>
          <w:szCs w:val="20"/>
        </w:rPr>
        <w:t xml:space="preserve">Regional Distribution of </w:t>
      </w:r>
      <w:r w:rsidR="008A791B">
        <w:rPr>
          <w:rFonts w:ascii="Times New Roman" w:hAnsi="Times New Roman"/>
          <w:bCs/>
          <w:kern w:val="0"/>
          <w:sz w:val="20"/>
          <w:szCs w:val="20"/>
        </w:rPr>
        <w:t>Persistent</w:t>
      </w:r>
      <w:r>
        <w:rPr>
          <w:rFonts w:ascii="Times New Roman" w:hAnsi="Times New Roman"/>
          <w:bCs/>
          <w:kern w:val="0"/>
          <w:sz w:val="20"/>
          <w:szCs w:val="20"/>
        </w:rPr>
        <w:t xml:space="preserve"> Hyperhidrosis.</w:t>
      </w:r>
    </w:p>
    <w:tbl>
      <w:tblPr>
        <w:tblW w:w="3254" w:type="dxa"/>
        <w:jc w:val="center"/>
        <w:tblBorders>
          <w:bottom w:val="single" w:sz="8" w:space="0" w:color="auto"/>
        </w:tblBorders>
        <w:tblLayout w:type="fixed"/>
        <w:tblLook w:val="04A0" w:firstRow="1" w:lastRow="0" w:firstColumn="1" w:lastColumn="0" w:noHBand="0" w:noVBand="1"/>
      </w:tblPr>
      <w:tblGrid>
        <w:gridCol w:w="1543"/>
        <w:gridCol w:w="923"/>
        <w:gridCol w:w="788"/>
      </w:tblGrid>
      <w:tr w:rsidR="009C6A2A" w14:paraId="00A6E1FD" w14:textId="77777777">
        <w:trPr>
          <w:trHeight w:val="629"/>
          <w:jc w:val="center"/>
        </w:trPr>
        <w:tc>
          <w:tcPr>
            <w:tcW w:w="1543" w:type="dxa"/>
            <w:tcBorders>
              <w:top w:val="single" w:sz="8" w:space="0" w:color="auto"/>
              <w:left w:val="nil"/>
              <w:bottom w:val="single" w:sz="4" w:space="0" w:color="auto"/>
              <w:right w:val="nil"/>
              <w:tl2br w:val="nil"/>
              <w:tr2bl w:val="nil"/>
            </w:tcBorders>
            <w:shd w:val="clear" w:color="auto" w:fill="auto"/>
            <w:vAlign w:val="center"/>
          </w:tcPr>
          <w:p w14:paraId="2E57E581" w14:textId="77777777" w:rsidR="009C6A2A" w:rsidRDefault="004F729E">
            <w:pPr>
              <w:pStyle w:val="MDPI42tablebody"/>
              <w:spacing w:line="360" w:lineRule="auto"/>
              <w:jc w:val="center"/>
              <w:rPr>
                <w:rFonts w:ascii="Times New Roman" w:eastAsia="SimSun" w:hAnsi="Times New Roman"/>
                <w:b/>
                <w:color w:val="auto"/>
                <w:sz w:val="18"/>
                <w:szCs w:val="18"/>
                <w:lang w:eastAsia="zh-CN"/>
              </w:rPr>
            </w:pPr>
            <w:r>
              <w:rPr>
                <w:rFonts w:ascii="Times New Roman" w:eastAsia="SimSun" w:hAnsi="Times New Roman"/>
                <w:b/>
                <w:color w:val="auto"/>
                <w:sz w:val="18"/>
                <w:szCs w:val="18"/>
                <w:lang w:eastAsia="zh-CN"/>
              </w:rPr>
              <w:t>Region</w:t>
            </w:r>
          </w:p>
        </w:tc>
        <w:tc>
          <w:tcPr>
            <w:tcW w:w="923" w:type="dxa"/>
            <w:tcBorders>
              <w:top w:val="single" w:sz="8" w:space="0" w:color="auto"/>
              <w:bottom w:val="single" w:sz="4" w:space="0" w:color="auto"/>
              <w:right w:val="nil"/>
              <w:tl2br w:val="nil"/>
              <w:tr2bl w:val="nil"/>
            </w:tcBorders>
            <w:shd w:val="clear" w:color="auto" w:fill="auto"/>
            <w:vAlign w:val="center"/>
          </w:tcPr>
          <w:p w14:paraId="7D0C64A5" w14:textId="77777777" w:rsidR="009C6A2A" w:rsidRDefault="004F729E">
            <w:pPr>
              <w:pStyle w:val="MDPI42tablebody"/>
              <w:spacing w:line="360" w:lineRule="auto"/>
              <w:rPr>
                <w:rFonts w:ascii="Times New Roman" w:eastAsia="SimSun" w:hAnsi="Times New Roman"/>
                <w:b/>
                <w:i/>
                <w:iCs/>
                <w:color w:val="auto"/>
                <w:sz w:val="18"/>
                <w:szCs w:val="18"/>
                <w:lang w:eastAsia="zh-CN"/>
              </w:rPr>
            </w:pPr>
            <w:r>
              <w:rPr>
                <w:rFonts w:ascii="Times New Roman" w:eastAsia="SimSun" w:hAnsi="Times New Roman"/>
                <w:b/>
                <w:i/>
                <w:iCs/>
                <w:color w:val="auto"/>
                <w:sz w:val="18"/>
                <w:szCs w:val="18"/>
                <w:lang w:eastAsia="zh-CN"/>
              </w:rPr>
              <w:t>n</w:t>
            </w:r>
          </w:p>
        </w:tc>
        <w:tc>
          <w:tcPr>
            <w:tcW w:w="788" w:type="dxa"/>
            <w:tcBorders>
              <w:top w:val="single" w:sz="8" w:space="0" w:color="auto"/>
              <w:bottom w:val="single" w:sz="4" w:space="0" w:color="auto"/>
              <w:right w:val="nil"/>
              <w:tl2br w:val="nil"/>
              <w:tr2bl w:val="nil"/>
            </w:tcBorders>
            <w:shd w:val="clear" w:color="auto" w:fill="auto"/>
            <w:vAlign w:val="center"/>
          </w:tcPr>
          <w:p w14:paraId="5F7E0586" w14:textId="77777777" w:rsidR="009C6A2A" w:rsidRDefault="004F729E">
            <w:pPr>
              <w:pStyle w:val="MDPI42tablebody"/>
              <w:spacing w:line="360" w:lineRule="auto"/>
              <w:rPr>
                <w:rFonts w:ascii="Times New Roman" w:hAnsi="Times New Roman"/>
                <w:b/>
                <w:color w:val="auto"/>
                <w:sz w:val="18"/>
                <w:szCs w:val="18"/>
              </w:rPr>
            </w:pPr>
            <w:r>
              <w:rPr>
                <w:rFonts w:ascii="Times New Roman" w:eastAsia="SimSun" w:hAnsi="Times New Roman"/>
                <w:b/>
                <w:i/>
                <w:iCs/>
                <w:color w:val="auto"/>
                <w:sz w:val="18"/>
                <w:szCs w:val="18"/>
                <w:lang w:eastAsia="zh-CN"/>
              </w:rPr>
              <w:t>%</w:t>
            </w:r>
          </w:p>
        </w:tc>
      </w:tr>
      <w:tr w:rsidR="009C6A2A" w14:paraId="5561672A" w14:textId="77777777">
        <w:trPr>
          <w:trHeight w:val="20"/>
          <w:jc w:val="center"/>
        </w:trPr>
        <w:tc>
          <w:tcPr>
            <w:tcW w:w="1543" w:type="dxa"/>
            <w:shd w:val="clear" w:color="auto" w:fill="auto"/>
            <w:vAlign w:val="center"/>
          </w:tcPr>
          <w:p w14:paraId="1D386780" w14:textId="77777777" w:rsidR="009C6A2A" w:rsidRDefault="004F729E">
            <w:pPr>
              <w:pStyle w:val="MDPI42tablebody"/>
              <w:spacing w:line="360" w:lineRule="auto"/>
              <w:rPr>
                <w:rFonts w:ascii="Times New Roman" w:hAnsi="Times New Roman"/>
                <w:color w:val="auto"/>
                <w:sz w:val="18"/>
                <w:szCs w:val="18"/>
              </w:rPr>
            </w:pPr>
            <w:r>
              <w:rPr>
                <w:rFonts w:ascii="Times New Roman" w:eastAsia="SimSun" w:hAnsi="Times New Roman"/>
                <w:color w:val="auto"/>
                <w:sz w:val="18"/>
                <w:szCs w:val="18"/>
                <w:lang w:eastAsia="zh-CN"/>
              </w:rPr>
              <w:t>Craniofacial</w:t>
            </w:r>
          </w:p>
        </w:tc>
        <w:tc>
          <w:tcPr>
            <w:tcW w:w="923" w:type="dxa"/>
            <w:shd w:val="clear" w:color="auto" w:fill="auto"/>
            <w:vAlign w:val="center"/>
          </w:tcPr>
          <w:p w14:paraId="17E76302"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w:t>
            </w:r>
          </w:p>
        </w:tc>
        <w:tc>
          <w:tcPr>
            <w:tcW w:w="788" w:type="dxa"/>
            <w:shd w:val="clear" w:color="auto" w:fill="auto"/>
            <w:vAlign w:val="center"/>
          </w:tcPr>
          <w:p w14:paraId="22CE09F9" w14:textId="77777777" w:rsidR="009C6A2A" w:rsidRDefault="004F729E">
            <w:pPr>
              <w:pStyle w:val="MDPI42tablebody"/>
              <w:spacing w:line="360" w:lineRule="auto"/>
              <w:rPr>
                <w:rFonts w:ascii="Times New Roman" w:hAnsi="Times New Roman"/>
                <w:color w:val="auto"/>
                <w:sz w:val="18"/>
                <w:szCs w:val="18"/>
              </w:rPr>
            </w:pPr>
            <w:r>
              <w:rPr>
                <w:rFonts w:ascii="Times New Roman" w:hAnsi="Times New Roman"/>
                <w:color w:val="auto"/>
                <w:sz w:val="18"/>
                <w:szCs w:val="18"/>
              </w:rPr>
              <w:t>10</w:t>
            </w:r>
          </w:p>
        </w:tc>
      </w:tr>
      <w:tr w:rsidR="009C6A2A" w14:paraId="31D94344" w14:textId="77777777">
        <w:trPr>
          <w:trHeight w:val="20"/>
          <w:jc w:val="center"/>
        </w:trPr>
        <w:tc>
          <w:tcPr>
            <w:tcW w:w="1543" w:type="dxa"/>
            <w:shd w:val="clear" w:color="auto" w:fill="auto"/>
            <w:vAlign w:val="center"/>
          </w:tcPr>
          <w:p w14:paraId="14BFA651"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Palmar</w:t>
            </w:r>
          </w:p>
        </w:tc>
        <w:tc>
          <w:tcPr>
            <w:tcW w:w="923" w:type="dxa"/>
            <w:shd w:val="clear" w:color="auto" w:fill="auto"/>
            <w:vAlign w:val="center"/>
          </w:tcPr>
          <w:p w14:paraId="175C2A60"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5</w:t>
            </w:r>
          </w:p>
        </w:tc>
        <w:tc>
          <w:tcPr>
            <w:tcW w:w="788" w:type="dxa"/>
            <w:shd w:val="clear" w:color="auto" w:fill="auto"/>
            <w:vAlign w:val="center"/>
          </w:tcPr>
          <w:p w14:paraId="45D25A26"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50</w:t>
            </w:r>
          </w:p>
        </w:tc>
      </w:tr>
      <w:tr w:rsidR="009C6A2A" w14:paraId="2ABC1E15" w14:textId="77777777">
        <w:trPr>
          <w:trHeight w:val="20"/>
          <w:jc w:val="center"/>
        </w:trPr>
        <w:tc>
          <w:tcPr>
            <w:tcW w:w="1543" w:type="dxa"/>
            <w:shd w:val="clear" w:color="auto" w:fill="auto"/>
            <w:vAlign w:val="center"/>
          </w:tcPr>
          <w:p w14:paraId="76F64AE9" w14:textId="77777777" w:rsidR="009C6A2A" w:rsidRDefault="004F729E">
            <w:pPr>
              <w:pStyle w:val="MDPI42tablebody"/>
              <w:spacing w:line="360" w:lineRule="auto"/>
              <w:rPr>
                <w:rFonts w:ascii="Times New Roman" w:hAnsi="Times New Roman"/>
                <w:color w:val="auto"/>
                <w:sz w:val="18"/>
                <w:szCs w:val="18"/>
              </w:rPr>
            </w:pPr>
            <w:r>
              <w:rPr>
                <w:rFonts w:ascii="Times New Roman" w:eastAsia="SimSun" w:hAnsi="Times New Roman"/>
                <w:color w:val="auto"/>
                <w:sz w:val="18"/>
                <w:szCs w:val="18"/>
                <w:lang w:eastAsia="zh-CN"/>
              </w:rPr>
              <w:t>Axillary</w:t>
            </w:r>
          </w:p>
        </w:tc>
        <w:tc>
          <w:tcPr>
            <w:tcW w:w="923" w:type="dxa"/>
            <w:shd w:val="clear" w:color="auto" w:fill="auto"/>
            <w:vAlign w:val="center"/>
          </w:tcPr>
          <w:p w14:paraId="61A4CA39" w14:textId="77777777" w:rsidR="009C6A2A" w:rsidRDefault="004F729E">
            <w:pPr>
              <w:pStyle w:val="MDPI42tablebody"/>
              <w:spacing w:line="360" w:lineRule="auto"/>
              <w:rPr>
                <w:rFonts w:ascii="Times New Roman" w:hAnsi="Times New Roman"/>
                <w:color w:val="auto"/>
                <w:sz w:val="18"/>
                <w:szCs w:val="18"/>
              </w:rPr>
            </w:pPr>
            <w:r>
              <w:rPr>
                <w:rFonts w:ascii="Times New Roman" w:hAnsi="Times New Roman"/>
                <w:color w:val="auto"/>
                <w:sz w:val="18"/>
                <w:szCs w:val="18"/>
              </w:rPr>
              <w:t>3</w:t>
            </w:r>
          </w:p>
        </w:tc>
        <w:tc>
          <w:tcPr>
            <w:tcW w:w="788" w:type="dxa"/>
            <w:shd w:val="clear" w:color="auto" w:fill="auto"/>
            <w:vAlign w:val="center"/>
          </w:tcPr>
          <w:p w14:paraId="09EED709"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30</w:t>
            </w:r>
          </w:p>
        </w:tc>
      </w:tr>
      <w:tr w:rsidR="009C6A2A" w14:paraId="20421409" w14:textId="77777777">
        <w:trPr>
          <w:trHeight w:val="20"/>
          <w:jc w:val="center"/>
        </w:trPr>
        <w:tc>
          <w:tcPr>
            <w:tcW w:w="1543" w:type="dxa"/>
            <w:shd w:val="clear" w:color="auto" w:fill="auto"/>
            <w:vAlign w:val="center"/>
          </w:tcPr>
          <w:p w14:paraId="0DDACCBF"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Plantar</w:t>
            </w:r>
          </w:p>
        </w:tc>
        <w:tc>
          <w:tcPr>
            <w:tcW w:w="923" w:type="dxa"/>
            <w:shd w:val="clear" w:color="auto" w:fill="auto"/>
            <w:vAlign w:val="center"/>
          </w:tcPr>
          <w:p w14:paraId="1DED68F2"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w:t>
            </w:r>
          </w:p>
        </w:tc>
        <w:tc>
          <w:tcPr>
            <w:tcW w:w="788" w:type="dxa"/>
            <w:shd w:val="clear" w:color="auto" w:fill="auto"/>
            <w:vAlign w:val="center"/>
          </w:tcPr>
          <w:p w14:paraId="37DFD02D" w14:textId="77777777" w:rsidR="009C6A2A" w:rsidRDefault="004F729E">
            <w:pPr>
              <w:pStyle w:val="MDPI42tablebody"/>
              <w:spacing w:line="360" w:lineRule="auto"/>
              <w:rPr>
                <w:rFonts w:ascii="Times New Roman" w:eastAsia="SimSun" w:hAnsi="Times New Roman"/>
                <w:color w:val="auto"/>
                <w:sz w:val="18"/>
                <w:szCs w:val="18"/>
              </w:rPr>
            </w:pPr>
            <w:r>
              <w:rPr>
                <w:rFonts w:ascii="Times New Roman" w:eastAsia="SimSun" w:hAnsi="Times New Roman"/>
                <w:color w:val="auto"/>
                <w:sz w:val="18"/>
                <w:szCs w:val="18"/>
              </w:rPr>
              <w:t>10</w:t>
            </w:r>
          </w:p>
        </w:tc>
      </w:tr>
      <w:tr w:rsidR="009C6A2A" w14:paraId="3B801FA0" w14:textId="77777777">
        <w:trPr>
          <w:trHeight w:val="20"/>
          <w:jc w:val="center"/>
        </w:trPr>
        <w:tc>
          <w:tcPr>
            <w:tcW w:w="1543" w:type="dxa"/>
            <w:shd w:val="clear" w:color="auto" w:fill="auto"/>
            <w:vAlign w:val="center"/>
          </w:tcPr>
          <w:p w14:paraId="22074DE6"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Total</w:t>
            </w:r>
          </w:p>
        </w:tc>
        <w:tc>
          <w:tcPr>
            <w:tcW w:w="923" w:type="dxa"/>
            <w:shd w:val="clear" w:color="auto" w:fill="auto"/>
            <w:vAlign w:val="center"/>
          </w:tcPr>
          <w:p w14:paraId="0D4445FA"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10</w:t>
            </w:r>
          </w:p>
        </w:tc>
        <w:tc>
          <w:tcPr>
            <w:tcW w:w="788" w:type="dxa"/>
            <w:shd w:val="clear" w:color="auto" w:fill="auto"/>
            <w:vAlign w:val="center"/>
          </w:tcPr>
          <w:p w14:paraId="0F3D3DFF"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100</w:t>
            </w:r>
          </w:p>
        </w:tc>
      </w:tr>
    </w:tbl>
    <w:p w14:paraId="3D4A1B9C" w14:textId="77777777" w:rsidR="009C6A2A" w:rsidRDefault="009C6A2A">
      <w:pPr>
        <w:spacing w:line="360" w:lineRule="auto"/>
        <w:jc w:val="left"/>
        <w:rPr>
          <w:rFonts w:ascii="Times New Roman" w:hAnsi="Times New Roman"/>
          <w:b/>
          <w:bCs/>
          <w:kern w:val="0"/>
          <w:sz w:val="20"/>
          <w:szCs w:val="20"/>
        </w:rPr>
      </w:pPr>
    </w:p>
    <w:p w14:paraId="5F120B62" w14:textId="42741D3E" w:rsidR="009C6A2A" w:rsidRDefault="004F729E">
      <w:pPr>
        <w:spacing w:line="360" w:lineRule="auto"/>
        <w:jc w:val="left"/>
        <w:rPr>
          <w:rFonts w:ascii="Times New Roman" w:hAnsi="Times New Roman"/>
          <w:bCs/>
          <w:kern w:val="0"/>
          <w:sz w:val="20"/>
          <w:szCs w:val="20"/>
        </w:rPr>
      </w:pPr>
      <w:r>
        <w:rPr>
          <w:rFonts w:ascii="Times New Roman" w:hAnsi="Times New Roman"/>
          <w:b/>
          <w:bCs/>
          <w:kern w:val="0"/>
          <w:sz w:val="20"/>
          <w:szCs w:val="20"/>
        </w:rPr>
        <w:t xml:space="preserve">Table 2. </w:t>
      </w:r>
      <w:r>
        <w:rPr>
          <w:rFonts w:ascii="Times New Roman" w:hAnsi="Times New Roman"/>
          <w:bCs/>
          <w:kern w:val="0"/>
          <w:sz w:val="20"/>
          <w:szCs w:val="20"/>
        </w:rPr>
        <w:t>The Distribution of the Severity</w:t>
      </w:r>
      <w:r w:rsidR="008A791B">
        <w:rPr>
          <w:rFonts w:ascii="Times New Roman" w:hAnsi="Times New Roman"/>
          <w:bCs/>
          <w:kern w:val="0"/>
          <w:sz w:val="20"/>
          <w:szCs w:val="20"/>
        </w:rPr>
        <w:t xml:space="preserve"> Scores</w:t>
      </w:r>
      <w:r>
        <w:rPr>
          <w:rFonts w:ascii="Times New Roman" w:hAnsi="Times New Roman"/>
          <w:bCs/>
          <w:kern w:val="0"/>
          <w:sz w:val="20"/>
          <w:szCs w:val="20"/>
        </w:rPr>
        <w:t xml:space="preserve"> of </w:t>
      </w:r>
      <w:r>
        <w:rPr>
          <w:rFonts w:ascii="Times New Roman" w:hAnsi="Times New Roman"/>
          <w:bCs/>
          <w:kern w:val="0"/>
          <w:sz w:val="20"/>
          <w:szCs w:val="20"/>
        </w:rPr>
        <w:t>Compensatory Hyperhidrosis.</w:t>
      </w:r>
    </w:p>
    <w:tbl>
      <w:tblPr>
        <w:tblW w:w="3254" w:type="dxa"/>
        <w:jc w:val="center"/>
        <w:tblBorders>
          <w:bottom w:val="single" w:sz="8" w:space="0" w:color="auto"/>
        </w:tblBorders>
        <w:tblLayout w:type="fixed"/>
        <w:tblLook w:val="04A0" w:firstRow="1" w:lastRow="0" w:firstColumn="1" w:lastColumn="0" w:noHBand="0" w:noVBand="1"/>
      </w:tblPr>
      <w:tblGrid>
        <w:gridCol w:w="1543"/>
        <w:gridCol w:w="923"/>
        <w:gridCol w:w="788"/>
      </w:tblGrid>
      <w:tr w:rsidR="009C6A2A" w14:paraId="6C117FF1" w14:textId="77777777">
        <w:trPr>
          <w:trHeight w:val="629"/>
          <w:jc w:val="center"/>
        </w:trPr>
        <w:tc>
          <w:tcPr>
            <w:tcW w:w="1543" w:type="dxa"/>
            <w:tcBorders>
              <w:top w:val="single" w:sz="8" w:space="0" w:color="auto"/>
              <w:left w:val="nil"/>
              <w:bottom w:val="single" w:sz="4" w:space="0" w:color="auto"/>
              <w:right w:val="nil"/>
              <w:tl2br w:val="nil"/>
              <w:tr2bl w:val="nil"/>
            </w:tcBorders>
            <w:shd w:val="clear" w:color="auto" w:fill="auto"/>
            <w:vAlign w:val="center"/>
          </w:tcPr>
          <w:p w14:paraId="38A112FF" w14:textId="77777777" w:rsidR="009C6A2A" w:rsidRDefault="004F729E">
            <w:pPr>
              <w:pStyle w:val="MDPI42tablebody"/>
              <w:spacing w:line="360" w:lineRule="auto"/>
              <w:jc w:val="center"/>
              <w:rPr>
                <w:rFonts w:ascii="Times New Roman" w:eastAsia="SimSun" w:hAnsi="Times New Roman"/>
                <w:b/>
                <w:color w:val="auto"/>
                <w:sz w:val="18"/>
                <w:szCs w:val="18"/>
                <w:lang w:eastAsia="zh-CN"/>
              </w:rPr>
            </w:pPr>
            <w:r>
              <w:rPr>
                <w:rFonts w:ascii="Times New Roman" w:eastAsia="SimSun" w:hAnsi="Times New Roman"/>
                <w:b/>
                <w:color w:val="auto"/>
                <w:sz w:val="18"/>
                <w:szCs w:val="18"/>
                <w:lang w:eastAsia="zh-CN"/>
              </w:rPr>
              <w:t>Severity</w:t>
            </w:r>
          </w:p>
        </w:tc>
        <w:tc>
          <w:tcPr>
            <w:tcW w:w="923" w:type="dxa"/>
            <w:tcBorders>
              <w:top w:val="single" w:sz="8" w:space="0" w:color="auto"/>
              <w:bottom w:val="single" w:sz="4" w:space="0" w:color="auto"/>
              <w:right w:val="nil"/>
              <w:tl2br w:val="nil"/>
              <w:tr2bl w:val="nil"/>
            </w:tcBorders>
            <w:shd w:val="clear" w:color="auto" w:fill="auto"/>
            <w:vAlign w:val="center"/>
          </w:tcPr>
          <w:p w14:paraId="1662983B" w14:textId="77777777" w:rsidR="009C6A2A" w:rsidRDefault="004F729E">
            <w:pPr>
              <w:pStyle w:val="MDPI42tablebody"/>
              <w:spacing w:line="360" w:lineRule="auto"/>
              <w:jc w:val="center"/>
              <w:rPr>
                <w:rFonts w:ascii="Times New Roman" w:eastAsia="SimSun" w:hAnsi="Times New Roman"/>
                <w:b/>
                <w:i/>
                <w:iCs/>
                <w:color w:val="auto"/>
                <w:sz w:val="18"/>
                <w:szCs w:val="18"/>
                <w:lang w:eastAsia="zh-CN"/>
              </w:rPr>
            </w:pPr>
            <w:r>
              <w:rPr>
                <w:rFonts w:ascii="Times New Roman" w:eastAsia="SimSun" w:hAnsi="Times New Roman"/>
                <w:b/>
                <w:i/>
                <w:iCs/>
                <w:color w:val="auto"/>
                <w:sz w:val="18"/>
                <w:szCs w:val="18"/>
                <w:lang w:eastAsia="zh-CN"/>
              </w:rPr>
              <w:t>n</w:t>
            </w:r>
          </w:p>
        </w:tc>
        <w:tc>
          <w:tcPr>
            <w:tcW w:w="788" w:type="dxa"/>
            <w:tcBorders>
              <w:top w:val="single" w:sz="8" w:space="0" w:color="auto"/>
              <w:bottom w:val="single" w:sz="4" w:space="0" w:color="auto"/>
              <w:right w:val="nil"/>
              <w:tl2br w:val="nil"/>
              <w:tr2bl w:val="nil"/>
            </w:tcBorders>
            <w:shd w:val="clear" w:color="auto" w:fill="auto"/>
            <w:vAlign w:val="center"/>
          </w:tcPr>
          <w:p w14:paraId="5F76CFDF" w14:textId="77777777" w:rsidR="009C6A2A" w:rsidRDefault="004F729E">
            <w:pPr>
              <w:pStyle w:val="MDPI42tablebody"/>
              <w:spacing w:line="360" w:lineRule="auto"/>
              <w:rPr>
                <w:rFonts w:ascii="Times New Roman" w:hAnsi="Times New Roman"/>
                <w:b/>
                <w:color w:val="auto"/>
                <w:sz w:val="18"/>
                <w:szCs w:val="18"/>
              </w:rPr>
            </w:pPr>
            <w:r>
              <w:rPr>
                <w:rFonts w:ascii="Times New Roman" w:eastAsia="SimSun" w:hAnsi="Times New Roman"/>
                <w:b/>
                <w:i/>
                <w:iCs/>
                <w:color w:val="auto"/>
                <w:sz w:val="18"/>
                <w:szCs w:val="18"/>
                <w:lang w:eastAsia="zh-CN"/>
              </w:rPr>
              <w:t>%</w:t>
            </w:r>
          </w:p>
        </w:tc>
      </w:tr>
      <w:tr w:rsidR="009C6A2A" w14:paraId="627A6D2D" w14:textId="77777777">
        <w:trPr>
          <w:trHeight w:val="611"/>
          <w:jc w:val="center"/>
        </w:trPr>
        <w:tc>
          <w:tcPr>
            <w:tcW w:w="1543" w:type="dxa"/>
            <w:shd w:val="clear" w:color="auto" w:fill="auto"/>
            <w:vAlign w:val="center"/>
          </w:tcPr>
          <w:p w14:paraId="766629E6" w14:textId="77777777" w:rsidR="009C6A2A" w:rsidRDefault="004F729E">
            <w:pPr>
              <w:pStyle w:val="MDPI42tablebody"/>
              <w:spacing w:line="360" w:lineRule="auto"/>
              <w:rPr>
                <w:rFonts w:ascii="Times New Roman" w:hAnsi="Times New Roman"/>
                <w:color w:val="auto"/>
                <w:sz w:val="18"/>
                <w:szCs w:val="18"/>
              </w:rPr>
            </w:pPr>
            <w:r>
              <w:rPr>
                <w:rFonts w:ascii="Times New Roman" w:eastAsia="SimSun" w:hAnsi="Times New Roman"/>
                <w:color w:val="auto"/>
                <w:sz w:val="18"/>
                <w:szCs w:val="18"/>
                <w:lang w:eastAsia="zh-CN"/>
              </w:rPr>
              <w:t>3</w:t>
            </w:r>
          </w:p>
        </w:tc>
        <w:tc>
          <w:tcPr>
            <w:tcW w:w="923" w:type="dxa"/>
            <w:shd w:val="clear" w:color="auto" w:fill="auto"/>
            <w:vAlign w:val="center"/>
          </w:tcPr>
          <w:p w14:paraId="48624561"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w:t>
            </w:r>
          </w:p>
        </w:tc>
        <w:tc>
          <w:tcPr>
            <w:tcW w:w="788" w:type="dxa"/>
            <w:shd w:val="clear" w:color="auto" w:fill="auto"/>
            <w:vAlign w:val="center"/>
          </w:tcPr>
          <w:p w14:paraId="7D0C7892" w14:textId="77777777" w:rsidR="009C6A2A" w:rsidRDefault="004F729E">
            <w:pPr>
              <w:pStyle w:val="MDPI42tablebody"/>
              <w:spacing w:line="360" w:lineRule="auto"/>
              <w:rPr>
                <w:rFonts w:ascii="Times New Roman" w:hAnsi="Times New Roman"/>
                <w:color w:val="auto"/>
                <w:sz w:val="18"/>
                <w:szCs w:val="18"/>
              </w:rPr>
            </w:pPr>
            <w:r>
              <w:rPr>
                <w:rFonts w:ascii="Times New Roman" w:eastAsia="SimSun" w:hAnsi="Times New Roman"/>
                <w:color w:val="auto"/>
                <w:sz w:val="18"/>
                <w:szCs w:val="18"/>
                <w:lang w:eastAsia="zh-CN"/>
              </w:rPr>
              <w:t>6.8</w:t>
            </w:r>
          </w:p>
        </w:tc>
      </w:tr>
      <w:tr w:rsidR="009C6A2A" w14:paraId="3F4A6A50" w14:textId="77777777">
        <w:trPr>
          <w:trHeight w:val="301"/>
          <w:jc w:val="center"/>
        </w:trPr>
        <w:tc>
          <w:tcPr>
            <w:tcW w:w="1543" w:type="dxa"/>
            <w:shd w:val="clear" w:color="auto" w:fill="auto"/>
            <w:vAlign w:val="center"/>
          </w:tcPr>
          <w:p w14:paraId="0DBB462C" w14:textId="77777777" w:rsidR="009C6A2A" w:rsidRDefault="004F729E">
            <w:pPr>
              <w:pStyle w:val="MDPI42tablebody"/>
              <w:spacing w:line="360" w:lineRule="auto"/>
              <w:rPr>
                <w:rFonts w:ascii="Times New Roman" w:hAnsi="Times New Roman"/>
                <w:color w:val="auto"/>
                <w:sz w:val="18"/>
                <w:szCs w:val="18"/>
              </w:rPr>
            </w:pPr>
            <w:r>
              <w:rPr>
                <w:rFonts w:ascii="Times New Roman" w:eastAsia="SimSun" w:hAnsi="Times New Roman"/>
                <w:color w:val="auto"/>
                <w:sz w:val="18"/>
                <w:szCs w:val="18"/>
                <w:lang w:eastAsia="zh-CN"/>
              </w:rPr>
              <w:t>4</w:t>
            </w:r>
          </w:p>
        </w:tc>
        <w:tc>
          <w:tcPr>
            <w:tcW w:w="923" w:type="dxa"/>
            <w:shd w:val="clear" w:color="auto" w:fill="auto"/>
            <w:vAlign w:val="center"/>
          </w:tcPr>
          <w:p w14:paraId="647FABE5" w14:textId="77777777" w:rsidR="009C6A2A" w:rsidRDefault="004F729E">
            <w:pPr>
              <w:pStyle w:val="MDPI42tablebody"/>
              <w:spacing w:line="360" w:lineRule="auto"/>
              <w:rPr>
                <w:rFonts w:ascii="Times New Roman" w:hAnsi="Times New Roman"/>
                <w:color w:val="auto"/>
                <w:sz w:val="18"/>
                <w:szCs w:val="18"/>
              </w:rPr>
            </w:pPr>
            <w:r>
              <w:rPr>
                <w:rFonts w:ascii="Times New Roman" w:eastAsia="SimSun" w:hAnsi="Times New Roman"/>
                <w:color w:val="auto"/>
                <w:sz w:val="18"/>
                <w:szCs w:val="18"/>
                <w:lang w:eastAsia="zh-CN"/>
              </w:rPr>
              <w:t>2</w:t>
            </w:r>
          </w:p>
        </w:tc>
        <w:tc>
          <w:tcPr>
            <w:tcW w:w="788" w:type="dxa"/>
            <w:shd w:val="clear" w:color="auto" w:fill="auto"/>
            <w:vAlign w:val="center"/>
          </w:tcPr>
          <w:p w14:paraId="10F26CF3"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13.3</w:t>
            </w:r>
          </w:p>
        </w:tc>
      </w:tr>
      <w:tr w:rsidR="009C6A2A" w14:paraId="1F9E28D1" w14:textId="77777777">
        <w:trPr>
          <w:trHeight w:val="629"/>
          <w:jc w:val="center"/>
        </w:trPr>
        <w:tc>
          <w:tcPr>
            <w:tcW w:w="1543" w:type="dxa"/>
            <w:shd w:val="clear" w:color="auto" w:fill="auto"/>
            <w:vAlign w:val="center"/>
          </w:tcPr>
          <w:p w14:paraId="24DD5635"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lastRenderedPageBreak/>
              <w:t>5</w:t>
            </w:r>
          </w:p>
        </w:tc>
        <w:tc>
          <w:tcPr>
            <w:tcW w:w="923" w:type="dxa"/>
            <w:shd w:val="clear" w:color="auto" w:fill="auto"/>
            <w:vAlign w:val="center"/>
          </w:tcPr>
          <w:p w14:paraId="5A40EC3F"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2</w:t>
            </w:r>
          </w:p>
        </w:tc>
        <w:tc>
          <w:tcPr>
            <w:tcW w:w="788" w:type="dxa"/>
            <w:shd w:val="clear" w:color="auto" w:fill="auto"/>
            <w:vAlign w:val="center"/>
          </w:tcPr>
          <w:p w14:paraId="07B4012F" w14:textId="77777777" w:rsidR="009C6A2A" w:rsidRDefault="004F729E">
            <w:pPr>
              <w:pStyle w:val="MDPI42tablebody"/>
              <w:spacing w:line="360" w:lineRule="auto"/>
              <w:rPr>
                <w:rFonts w:ascii="Times New Roman" w:eastAsia="SimSun" w:hAnsi="Times New Roman"/>
                <w:color w:val="auto"/>
                <w:sz w:val="18"/>
                <w:szCs w:val="18"/>
              </w:rPr>
            </w:pPr>
            <w:r>
              <w:rPr>
                <w:rFonts w:ascii="Times New Roman" w:eastAsia="SimSun" w:hAnsi="Times New Roman"/>
                <w:color w:val="auto"/>
                <w:sz w:val="18"/>
                <w:szCs w:val="18"/>
                <w:lang w:eastAsia="zh-CN"/>
              </w:rPr>
              <w:t>13.3</w:t>
            </w:r>
          </w:p>
        </w:tc>
      </w:tr>
      <w:tr w:rsidR="009C6A2A" w14:paraId="12D37034" w14:textId="77777777">
        <w:trPr>
          <w:trHeight w:val="629"/>
          <w:jc w:val="center"/>
        </w:trPr>
        <w:tc>
          <w:tcPr>
            <w:tcW w:w="1543" w:type="dxa"/>
            <w:shd w:val="clear" w:color="auto" w:fill="auto"/>
            <w:vAlign w:val="center"/>
          </w:tcPr>
          <w:p w14:paraId="11908B02"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6</w:t>
            </w:r>
          </w:p>
        </w:tc>
        <w:tc>
          <w:tcPr>
            <w:tcW w:w="923" w:type="dxa"/>
            <w:shd w:val="clear" w:color="auto" w:fill="auto"/>
            <w:vAlign w:val="center"/>
          </w:tcPr>
          <w:p w14:paraId="71317E3A"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2</w:t>
            </w:r>
          </w:p>
        </w:tc>
        <w:tc>
          <w:tcPr>
            <w:tcW w:w="788" w:type="dxa"/>
            <w:shd w:val="clear" w:color="auto" w:fill="auto"/>
            <w:vAlign w:val="center"/>
          </w:tcPr>
          <w:p w14:paraId="12C4613F"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13.3</w:t>
            </w:r>
          </w:p>
        </w:tc>
      </w:tr>
      <w:tr w:rsidR="009C6A2A" w14:paraId="3D99C9D6" w14:textId="77777777">
        <w:trPr>
          <w:trHeight w:val="629"/>
          <w:jc w:val="center"/>
        </w:trPr>
        <w:tc>
          <w:tcPr>
            <w:tcW w:w="1543" w:type="dxa"/>
            <w:shd w:val="clear" w:color="auto" w:fill="auto"/>
            <w:vAlign w:val="center"/>
          </w:tcPr>
          <w:p w14:paraId="548424D9"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7</w:t>
            </w:r>
          </w:p>
        </w:tc>
        <w:tc>
          <w:tcPr>
            <w:tcW w:w="923" w:type="dxa"/>
            <w:shd w:val="clear" w:color="auto" w:fill="auto"/>
            <w:vAlign w:val="center"/>
          </w:tcPr>
          <w:p w14:paraId="6C868E3E"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3</w:t>
            </w:r>
          </w:p>
        </w:tc>
        <w:tc>
          <w:tcPr>
            <w:tcW w:w="788" w:type="dxa"/>
            <w:shd w:val="clear" w:color="auto" w:fill="auto"/>
            <w:vAlign w:val="center"/>
          </w:tcPr>
          <w:p w14:paraId="010BD292"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20</w:t>
            </w:r>
          </w:p>
        </w:tc>
      </w:tr>
      <w:tr w:rsidR="009C6A2A" w14:paraId="08A72BE6" w14:textId="77777777">
        <w:trPr>
          <w:trHeight w:val="629"/>
          <w:jc w:val="center"/>
        </w:trPr>
        <w:tc>
          <w:tcPr>
            <w:tcW w:w="1543" w:type="dxa"/>
            <w:shd w:val="clear" w:color="auto" w:fill="auto"/>
            <w:vAlign w:val="center"/>
          </w:tcPr>
          <w:p w14:paraId="4FE0E352"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8</w:t>
            </w:r>
          </w:p>
        </w:tc>
        <w:tc>
          <w:tcPr>
            <w:tcW w:w="923" w:type="dxa"/>
            <w:shd w:val="clear" w:color="auto" w:fill="auto"/>
            <w:vAlign w:val="center"/>
          </w:tcPr>
          <w:p w14:paraId="017D9829"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3</w:t>
            </w:r>
          </w:p>
        </w:tc>
        <w:tc>
          <w:tcPr>
            <w:tcW w:w="788" w:type="dxa"/>
            <w:shd w:val="clear" w:color="auto" w:fill="auto"/>
            <w:vAlign w:val="center"/>
          </w:tcPr>
          <w:p w14:paraId="4A43086D"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20</w:t>
            </w:r>
          </w:p>
        </w:tc>
      </w:tr>
      <w:tr w:rsidR="009C6A2A" w14:paraId="1B4E1BE6" w14:textId="77777777">
        <w:trPr>
          <w:trHeight w:val="629"/>
          <w:jc w:val="center"/>
        </w:trPr>
        <w:tc>
          <w:tcPr>
            <w:tcW w:w="1543" w:type="dxa"/>
            <w:shd w:val="clear" w:color="auto" w:fill="auto"/>
            <w:vAlign w:val="center"/>
          </w:tcPr>
          <w:p w14:paraId="104BBD85"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10</w:t>
            </w:r>
          </w:p>
        </w:tc>
        <w:tc>
          <w:tcPr>
            <w:tcW w:w="923" w:type="dxa"/>
            <w:shd w:val="clear" w:color="auto" w:fill="auto"/>
            <w:vAlign w:val="center"/>
          </w:tcPr>
          <w:p w14:paraId="44B25C2D"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2</w:t>
            </w:r>
          </w:p>
        </w:tc>
        <w:tc>
          <w:tcPr>
            <w:tcW w:w="788" w:type="dxa"/>
            <w:shd w:val="clear" w:color="auto" w:fill="auto"/>
            <w:vAlign w:val="center"/>
          </w:tcPr>
          <w:p w14:paraId="0987016B"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13.3</w:t>
            </w:r>
          </w:p>
        </w:tc>
      </w:tr>
      <w:tr w:rsidR="009C6A2A" w14:paraId="684669E7" w14:textId="77777777">
        <w:trPr>
          <w:trHeight w:val="629"/>
          <w:jc w:val="center"/>
        </w:trPr>
        <w:tc>
          <w:tcPr>
            <w:tcW w:w="1543" w:type="dxa"/>
            <w:tcBorders>
              <w:bottom w:val="single" w:sz="8" w:space="0" w:color="auto"/>
            </w:tcBorders>
            <w:shd w:val="clear" w:color="auto" w:fill="auto"/>
            <w:vAlign w:val="center"/>
          </w:tcPr>
          <w:p w14:paraId="1E90F89C"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Total</w:t>
            </w:r>
          </w:p>
        </w:tc>
        <w:tc>
          <w:tcPr>
            <w:tcW w:w="923" w:type="dxa"/>
            <w:tcBorders>
              <w:bottom w:val="single" w:sz="8" w:space="0" w:color="auto"/>
            </w:tcBorders>
            <w:shd w:val="clear" w:color="auto" w:fill="auto"/>
            <w:vAlign w:val="center"/>
          </w:tcPr>
          <w:p w14:paraId="3A9E3909"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15</w:t>
            </w:r>
          </w:p>
        </w:tc>
        <w:tc>
          <w:tcPr>
            <w:tcW w:w="788" w:type="dxa"/>
            <w:tcBorders>
              <w:bottom w:val="single" w:sz="8" w:space="0" w:color="auto"/>
            </w:tcBorders>
            <w:shd w:val="clear" w:color="auto" w:fill="auto"/>
            <w:vAlign w:val="center"/>
          </w:tcPr>
          <w:p w14:paraId="62FEE93B"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100</w:t>
            </w:r>
          </w:p>
        </w:tc>
      </w:tr>
    </w:tbl>
    <w:p w14:paraId="7059AB37" w14:textId="77777777" w:rsidR="009C6A2A" w:rsidRDefault="009C6A2A">
      <w:pPr>
        <w:spacing w:line="360" w:lineRule="auto"/>
        <w:jc w:val="left"/>
        <w:rPr>
          <w:rFonts w:ascii="Times New Roman" w:hAnsi="Times New Roman"/>
          <w:kern w:val="0"/>
          <w:sz w:val="20"/>
          <w:szCs w:val="20"/>
        </w:rPr>
      </w:pPr>
    </w:p>
    <w:p w14:paraId="3B0A5730" w14:textId="77777777" w:rsidR="009C6A2A" w:rsidRDefault="009C6A2A">
      <w:pPr>
        <w:widowControl/>
        <w:adjustRightInd w:val="0"/>
        <w:snapToGrid w:val="0"/>
        <w:spacing w:beforeLines="50" w:before="156" w:line="360" w:lineRule="auto"/>
        <w:jc w:val="left"/>
        <w:rPr>
          <w:rFonts w:ascii="Times New Roman" w:hAnsi="Times New Roman"/>
          <w:b/>
          <w:bCs/>
          <w:kern w:val="0"/>
          <w:sz w:val="20"/>
          <w:szCs w:val="20"/>
        </w:rPr>
      </w:pPr>
    </w:p>
    <w:p w14:paraId="16BFB02B" w14:textId="77777777" w:rsidR="009C6A2A" w:rsidRDefault="009C6A2A">
      <w:pPr>
        <w:widowControl/>
        <w:adjustRightInd w:val="0"/>
        <w:snapToGrid w:val="0"/>
        <w:spacing w:beforeLines="50" w:before="156" w:line="360" w:lineRule="auto"/>
        <w:jc w:val="left"/>
        <w:rPr>
          <w:rFonts w:ascii="Times New Roman" w:hAnsi="Times New Roman"/>
          <w:b/>
          <w:bCs/>
          <w:kern w:val="0"/>
          <w:sz w:val="20"/>
          <w:szCs w:val="20"/>
        </w:rPr>
      </w:pPr>
    </w:p>
    <w:p w14:paraId="52D63265" w14:textId="77777777" w:rsidR="009C6A2A" w:rsidRDefault="009C6A2A">
      <w:pPr>
        <w:widowControl/>
        <w:adjustRightInd w:val="0"/>
        <w:snapToGrid w:val="0"/>
        <w:spacing w:beforeLines="50" w:before="156" w:line="360" w:lineRule="auto"/>
        <w:jc w:val="left"/>
        <w:rPr>
          <w:rFonts w:ascii="Times New Roman" w:hAnsi="Times New Roman"/>
          <w:b/>
          <w:bCs/>
          <w:kern w:val="0"/>
          <w:sz w:val="20"/>
          <w:szCs w:val="20"/>
        </w:rPr>
      </w:pPr>
    </w:p>
    <w:p w14:paraId="7E581F2F" w14:textId="77777777" w:rsidR="009C6A2A" w:rsidRDefault="009C6A2A">
      <w:pPr>
        <w:widowControl/>
        <w:adjustRightInd w:val="0"/>
        <w:snapToGrid w:val="0"/>
        <w:spacing w:beforeLines="50" w:before="156" w:line="360" w:lineRule="auto"/>
        <w:jc w:val="left"/>
        <w:rPr>
          <w:rFonts w:ascii="Times New Roman" w:hAnsi="Times New Roman"/>
          <w:b/>
          <w:bCs/>
          <w:kern w:val="0"/>
          <w:sz w:val="20"/>
          <w:szCs w:val="20"/>
        </w:rPr>
      </w:pPr>
    </w:p>
    <w:p w14:paraId="15B14DC1" w14:textId="77777777" w:rsidR="009C6A2A" w:rsidRDefault="009C6A2A">
      <w:pPr>
        <w:widowControl/>
        <w:adjustRightInd w:val="0"/>
        <w:snapToGrid w:val="0"/>
        <w:spacing w:beforeLines="50" w:before="156" w:line="360" w:lineRule="auto"/>
        <w:jc w:val="left"/>
        <w:rPr>
          <w:rFonts w:ascii="Times New Roman" w:hAnsi="Times New Roman"/>
          <w:b/>
          <w:bCs/>
          <w:kern w:val="0"/>
          <w:sz w:val="20"/>
          <w:szCs w:val="20"/>
        </w:rPr>
      </w:pPr>
    </w:p>
    <w:p w14:paraId="4E00AC5F" w14:textId="77777777" w:rsidR="009C6A2A" w:rsidRDefault="004F729E">
      <w:pPr>
        <w:widowControl/>
        <w:adjustRightInd w:val="0"/>
        <w:snapToGrid w:val="0"/>
        <w:spacing w:beforeLines="50" w:before="156" w:line="360" w:lineRule="auto"/>
        <w:jc w:val="left"/>
        <w:rPr>
          <w:rFonts w:ascii="Times New Roman" w:hAnsi="Times New Roman"/>
          <w:kern w:val="0"/>
          <w:sz w:val="20"/>
          <w:szCs w:val="20"/>
        </w:rPr>
      </w:pPr>
      <w:r>
        <w:rPr>
          <w:rFonts w:ascii="Times New Roman" w:hAnsi="Times New Roman"/>
          <w:b/>
          <w:bCs/>
          <w:kern w:val="0"/>
          <w:sz w:val="20"/>
          <w:szCs w:val="20"/>
        </w:rPr>
        <w:t xml:space="preserve">Table 3. </w:t>
      </w:r>
      <w:r>
        <w:rPr>
          <w:rFonts w:ascii="Times New Roman" w:hAnsi="Times New Roman"/>
          <w:bCs/>
          <w:kern w:val="0"/>
          <w:sz w:val="20"/>
          <w:szCs w:val="20"/>
        </w:rPr>
        <w:t>The Regional Distribution of Compensatory Hyperhidrosis.</w:t>
      </w:r>
    </w:p>
    <w:tbl>
      <w:tblPr>
        <w:tblW w:w="3254" w:type="dxa"/>
        <w:jc w:val="center"/>
        <w:tblBorders>
          <w:bottom w:val="single" w:sz="8" w:space="0" w:color="auto"/>
        </w:tblBorders>
        <w:tblLayout w:type="fixed"/>
        <w:tblLook w:val="04A0" w:firstRow="1" w:lastRow="0" w:firstColumn="1" w:lastColumn="0" w:noHBand="0" w:noVBand="1"/>
      </w:tblPr>
      <w:tblGrid>
        <w:gridCol w:w="1543"/>
        <w:gridCol w:w="923"/>
        <w:gridCol w:w="788"/>
      </w:tblGrid>
      <w:tr w:rsidR="009C6A2A" w14:paraId="6873BC63" w14:textId="77777777">
        <w:trPr>
          <w:trHeight w:val="629"/>
          <w:jc w:val="center"/>
        </w:trPr>
        <w:tc>
          <w:tcPr>
            <w:tcW w:w="1543" w:type="dxa"/>
            <w:tcBorders>
              <w:top w:val="single" w:sz="8" w:space="0" w:color="auto"/>
              <w:left w:val="nil"/>
              <w:bottom w:val="single" w:sz="4" w:space="0" w:color="auto"/>
              <w:right w:val="nil"/>
              <w:tl2br w:val="nil"/>
              <w:tr2bl w:val="nil"/>
            </w:tcBorders>
            <w:shd w:val="clear" w:color="auto" w:fill="auto"/>
            <w:vAlign w:val="center"/>
          </w:tcPr>
          <w:p w14:paraId="0AE18864" w14:textId="77777777" w:rsidR="009C6A2A" w:rsidRDefault="004F729E">
            <w:pPr>
              <w:pStyle w:val="MDPI42tablebody"/>
              <w:spacing w:line="360" w:lineRule="auto"/>
              <w:jc w:val="center"/>
              <w:rPr>
                <w:rFonts w:ascii="Times New Roman" w:eastAsia="SimSun" w:hAnsi="Times New Roman"/>
                <w:b/>
                <w:color w:val="auto"/>
                <w:sz w:val="18"/>
                <w:szCs w:val="18"/>
                <w:lang w:eastAsia="zh-CN"/>
              </w:rPr>
            </w:pPr>
            <w:r>
              <w:rPr>
                <w:rFonts w:ascii="Times New Roman" w:eastAsia="SimSun" w:hAnsi="Times New Roman"/>
                <w:b/>
                <w:color w:val="auto"/>
                <w:sz w:val="18"/>
                <w:szCs w:val="18"/>
                <w:lang w:eastAsia="zh-CN"/>
              </w:rPr>
              <w:t>Location</w:t>
            </w:r>
          </w:p>
        </w:tc>
        <w:tc>
          <w:tcPr>
            <w:tcW w:w="923" w:type="dxa"/>
            <w:tcBorders>
              <w:top w:val="single" w:sz="8" w:space="0" w:color="auto"/>
              <w:bottom w:val="single" w:sz="4" w:space="0" w:color="auto"/>
              <w:right w:val="nil"/>
              <w:tl2br w:val="nil"/>
              <w:tr2bl w:val="nil"/>
            </w:tcBorders>
            <w:shd w:val="clear" w:color="auto" w:fill="auto"/>
            <w:vAlign w:val="center"/>
          </w:tcPr>
          <w:p w14:paraId="093A0992" w14:textId="77777777" w:rsidR="009C6A2A" w:rsidRDefault="004F729E">
            <w:pPr>
              <w:pStyle w:val="MDPI42tablebody"/>
              <w:spacing w:line="360" w:lineRule="auto"/>
              <w:rPr>
                <w:rFonts w:ascii="Times New Roman" w:eastAsia="SimSun" w:hAnsi="Times New Roman"/>
                <w:b/>
                <w:i/>
                <w:iCs/>
                <w:color w:val="auto"/>
                <w:sz w:val="18"/>
                <w:szCs w:val="18"/>
                <w:lang w:eastAsia="zh-CN"/>
              </w:rPr>
            </w:pPr>
            <w:r>
              <w:rPr>
                <w:rFonts w:ascii="Times New Roman" w:eastAsia="SimSun" w:hAnsi="Times New Roman"/>
                <w:b/>
                <w:i/>
                <w:iCs/>
                <w:color w:val="auto"/>
                <w:sz w:val="18"/>
                <w:szCs w:val="18"/>
                <w:lang w:eastAsia="zh-CN"/>
              </w:rPr>
              <w:t>n</w:t>
            </w:r>
          </w:p>
        </w:tc>
        <w:tc>
          <w:tcPr>
            <w:tcW w:w="788" w:type="dxa"/>
            <w:tcBorders>
              <w:top w:val="single" w:sz="8" w:space="0" w:color="auto"/>
              <w:bottom w:val="single" w:sz="4" w:space="0" w:color="auto"/>
              <w:right w:val="nil"/>
              <w:tl2br w:val="nil"/>
              <w:tr2bl w:val="nil"/>
            </w:tcBorders>
            <w:shd w:val="clear" w:color="auto" w:fill="auto"/>
            <w:vAlign w:val="center"/>
          </w:tcPr>
          <w:p w14:paraId="128DE415" w14:textId="77777777" w:rsidR="009C6A2A" w:rsidRDefault="004F729E">
            <w:pPr>
              <w:pStyle w:val="MDPI42tablebody"/>
              <w:spacing w:line="360" w:lineRule="auto"/>
              <w:rPr>
                <w:rFonts w:ascii="Times New Roman" w:hAnsi="Times New Roman"/>
                <w:b/>
                <w:color w:val="auto"/>
                <w:sz w:val="18"/>
                <w:szCs w:val="18"/>
              </w:rPr>
            </w:pPr>
            <w:r>
              <w:rPr>
                <w:rFonts w:ascii="Times New Roman" w:eastAsia="SimSun" w:hAnsi="Times New Roman"/>
                <w:b/>
                <w:i/>
                <w:iCs/>
                <w:color w:val="auto"/>
                <w:sz w:val="18"/>
                <w:szCs w:val="18"/>
                <w:lang w:eastAsia="zh-CN"/>
              </w:rPr>
              <w:t>%</w:t>
            </w:r>
          </w:p>
        </w:tc>
      </w:tr>
      <w:tr w:rsidR="009C6A2A" w14:paraId="72761E03" w14:textId="77777777">
        <w:trPr>
          <w:trHeight w:val="20"/>
          <w:jc w:val="center"/>
        </w:trPr>
        <w:tc>
          <w:tcPr>
            <w:tcW w:w="1543" w:type="dxa"/>
            <w:shd w:val="clear" w:color="auto" w:fill="auto"/>
            <w:vAlign w:val="center"/>
          </w:tcPr>
          <w:p w14:paraId="3B0F1C19" w14:textId="77777777" w:rsidR="009C6A2A" w:rsidRDefault="004F729E">
            <w:pPr>
              <w:pStyle w:val="MDPI42tablebody"/>
              <w:spacing w:line="360" w:lineRule="auto"/>
              <w:rPr>
                <w:rFonts w:ascii="Times New Roman" w:hAnsi="Times New Roman"/>
                <w:color w:val="auto"/>
                <w:sz w:val="18"/>
                <w:szCs w:val="18"/>
              </w:rPr>
            </w:pPr>
            <w:r>
              <w:rPr>
                <w:rFonts w:ascii="Times New Roman" w:eastAsia="SimSun" w:hAnsi="Times New Roman"/>
                <w:color w:val="auto"/>
                <w:sz w:val="18"/>
                <w:szCs w:val="18"/>
                <w:lang w:eastAsia="zh-CN"/>
              </w:rPr>
              <w:t>Dorsal</w:t>
            </w:r>
          </w:p>
        </w:tc>
        <w:tc>
          <w:tcPr>
            <w:tcW w:w="923" w:type="dxa"/>
            <w:shd w:val="clear" w:color="auto" w:fill="auto"/>
            <w:vAlign w:val="center"/>
          </w:tcPr>
          <w:p w14:paraId="4DB5C7C5"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9</w:t>
            </w:r>
          </w:p>
        </w:tc>
        <w:tc>
          <w:tcPr>
            <w:tcW w:w="788" w:type="dxa"/>
            <w:shd w:val="clear" w:color="auto" w:fill="auto"/>
            <w:vAlign w:val="center"/>
          </w:tcPr>
          <w:p w14:paraId="51BD9E7E" w14:textId="77777777" w:rsidR="009C6A2A" w:rsidRDefault="004F729E">
            <w:pPr>
              <w:pStyle w:val="MDPI42tablebody"/>
              <w:spacing w:line="360" w:lineRule="auto"/>
              <w:rPr>
                <w:rFonts w:ascii="Times New Roman" w:hAnsi="Times New Roman"/>
                <w:color w:val="auto"/>
                <w:sz w:val="18"/>
                <w:szCs w:val="18"/>
              </w:rPr>
            </w:pPr>
            <w:r>
              <w:rPr>
                <w:rFonts w:ascii="Times New Roman" w:hAnsi="Times New Roman"/>
                <w:color w:val="auto"/>
                <w:sz w:val="18"/>
                <w:szCs w:val="18"/>
              </w:rPr>
              <w:t>60</w:t>
            </w:r>
          </w:p>
        </w:tc>
      </w:tr>
      <w:tr w:rsidR="009C6A2A" w14:paraId="72D05CF1" w14:textId="77777777">
        <w:trPr>
          <w:trHeight w:val="20"/>
          <w:jc w:val="center"/>
        </w:trPr>
        <w:tc>
          <w:tcPr>
            <w:tcW w:w="1543" w:type="dxa"/>
            <w:shd w:val="clear" w:color="auto" w:fill="auto"/>
            <w:vAlign w:val="center"/>
          </w:tcPr>
          <w:p w14:paraId="386A5BEA"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Abdomen</w:t>
            </w:r>
          </w:p>
        </w:tc>
        <w:tc>
          <w:tcPr>
            <w:tcW w:w="923" w:type="dxa"/>
            <w:shd w:val="clear" w:color="auto" w:fill="auto"/>
            <w:vAlign w:val="center"/>
          </w:tcPr>
          <w:p w14:paraId="6354FF8A"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3</w:t>
            </w:r>
          </w:p>
        </w:tc>
        <w:tc>
          <w:tcPr>
            <w:tcW w:w="788" w:type="dxa"/>
            <w:shd w:val="clear" w:color="auto" w:fill="auto"/>
            <w:vAlign w:val="center"/>
          </w:tcPr>
          <w:p w14:paraId="4EDC41AD"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20</w:t>
            </w:r>
          </w:p>
        </w:tc>
      </w:tr>
      <w:tr w:rsidR="009C6A2A" w14:paraId="2E05CA2D" w14:textId="77777777">
        <w:trPr>
          <w:trHeight w:val="20"/>
          <w:jc w:val="center"/>
        </w:trPr>
        <w:tc>
          <w:tcPr>
            <w:tcW w:w="1543" w:type="dxa"/>
            <w:shd w:val="clear" w:color="auto" w:fill="auto"/>
            <w:vAlign w:val="center"/>
          </w:tcPr>
          <w:p w14:paraId="3E8A7440" w14:textId="77777777" w:rsidR="009C6A2A" w:rsidRDefault="004F729E">
            <w:pPr>
              <w:pStyle w:val="MDPI42tablebody"/>
              <w:spacing w:line="360" w:lineRule="auto"/>
              <w:rPr>
                <w:rFonts w:ascii="Times New Roman" w:hAnsi="Times New Roman"/>
                <w:color w:val="auto"/>
                <w:sz w:val="18"/>
                <w:szCs w:val="18"/>
              </w:rPr>
            </w:pPr>
            <w:r>
              <w:rPr>
                <w:rFonts w:ascii="Times New Roman" w:eastAsia="SimSun" w:hAnsi="Times New Roman"/>
                <w:color w:val="auto"/>
                <w:sz w:val="18"/>
                <w:szCs w:val="18"/>
                <w:lang w:eastAsia="zh-CN"/>
              </w:rPr>
              <w:t>Chest</w:t>
            </w:r>
          </w:p>
        </w:tc>
        <w:tc>
          <w:tcPr>
            <w:tcW w:w="923" w:type="dxa"/>
            <w:shd w:val="clear" w:color="auto" w:fill="auto"/>
            <w:vAlign w:val="center"/>
          </w:tcPr>
          <w:p w14:paraId="609A87E6" w14:textId="77777777" w:rsidR="009C6A2A" w:rsidRDefault="004F729E">
            <w:pPr>
              <w:pStyle w:val="MDPI42tablebody"/>
              <w:spacing w:line="360" w:lineRule="auto"/>
              <w:rPr>
                <w:rFonts w:ascii="Times New Roman" w:hAnsi="Times New Roman"/>
                <w:color w:val="auto"/>
                <w:sz w:val="18"/>
                <w:szCs w:val="18"/>
              </w:rPr>
            </w:pPr>
            <w:r>
              <w:rPr>
                <w:rFonts w:ascii="Times New Roman" w:hAnsi="Times New Roman"/>
                <w:color w:val="auto"/>
                <w:sz w:val="18"/>
                <w:szCs w:val="18"/>
              </w:rPr>
              <w:t>3</w:t>
            </w:r>
          </w:p>
        </w:tc>
        <w:tc>
          <w:tcPr>
            <w:tcW w:w="788" w:type="dxa"/>
            <w:shd w:val="clear" w:color="auto" w:fill="auto"/>
            <w:vAlign w:val="center"/>
          </w:tcPr>
          <w:p w14:paraId="235C7BCA"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20</w:t>
            </w:r>
          </w:p>
        </w:tc>
      </w:tr>
      <w:tr w:rsidR="009C6A2A" w14:paraId="5EBD2C75" w14:textId="77777777">
        <w:trPr>
          <w:trHeight w:val="20"/>
          <w:jc w:val="center"/>
        </w:trPr>
        <w:tc>
          <w:tcPr>
            <w:tcW w:w="1543" w:type="dxa"/>
            <w:shd w:val="clear" w:color="auto" w:fill="auto"/>
            <w:vAlign w:val="center"/>
          </w:tcPr>
          <w:p w14:paraId="2F29F95D"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Total</w:t>
            </w:r>
          </w:p>
        </w:tc>
        <w:tc>
          <w:tcPr>
            <w:tcW w:w="923" w:type="dxa"/>
            <w:shd w:val="clear" w:color="auto" w:fill="auto"/>
            <w:vAlign w:val="center"/>
          </w:tcPr>
          <w:p w14:paraId="78503687"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15</w:t>
            </w:r>
          </w:p>
        </w:tc>
        <w:tc>
          <w:tcPr>
            <w:tcW w:w="788" w:type="dxa"/>
            <w:shd w:val="clear" w:color="auto" w:fill="auto"/>
            <w:vAlign w:val="center"/>
          </w:tcPr>
          <w:p w14:paraId="3848DFC4"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100</w:t>
            </w:r>
          </w:p>
        </w:tc>
      </w:tr>
    </w:tbl>
    <w:p w14:paraId="1A5F5E92" w14:textId="77777777" w:rsidR="009C6A2A" w:rsidRDefault="009C6A2A">
      <w:pPr>
        <w:widowControl/>
        <w:adjustRightInd w:val="0"/>
        <w:snapToGrid w:val="0"/>
        <w:spacing w:beforeLines="50" w:before="156" w:line="360" w:lineRule="auto"/>
        <w:jc w:val="left"/>
        <w:rPr>
          <w:rFonts w:ascii="Times New Roman" w:hAnsi="Times New Roman"/>
          <w:b/>
          <w:bCs/>
          <w:kern w:val="0"/>
          <w:sz w:val="20"/>
          <w:szCs w:val="20"/>
        </w:rPr>
      </w:pPr>
    </w:p>
    <w:p w14:paraId="57BBC740" w14:textId="4E1BD894" w:rsidR="009C6A2A" w:rsidRDefault="004F729E">
      <w:pPr>
        <w:widowControl/>
        <w:adjustRightInd w:val="0"/>
        <w:snapToGrid w:val="0"/>
        <w:spacing w:beforeLines="50" w:before="156" w:line="360" w:lineRule="auto"/>
        <w:jc w:val="left"/>
        <w:rPr>
          <w:rFonts w:ascii="Times New Roman" w:hAnsi="Times New Roman"/>
          <w:kern w:val="0"/>
          <w:sz w:val="20"/>
          <w:szCs w:val="20"/>
        </w:rPr>
      </w:pPr>
      <w:r>
        <w:rPr>
          <w:rFonts w:ascii="Times New Roman" w:hAnsi="Times New Roman"/>
          <w:b/>
          <w:bCs/>
          <w:kern w:val="0"/>
          <w:sz w:val="20"/>
          <w:szCs w:val="20"/>
        </w:rPr>
        <w:t xml:space="preserve">Table 4. </w:t>
      </w:r>
      <w:r w:rsidR="008A791B" w:rsidRPr="008A791B">
        <w:rPr>
          <w:rFonts w:ascii="Times New Roman" w:hAnsi="Times New Roman"/>
          <w:bCs/>
          <w:kern w:val="0"/>
          <w:sz w:val="20"/>
          <w:szCs w:val="20"/>
        </w:rPr>
        <w:t>Patient satisfaction in relation to the primary complaint</w:t>
      </w:r>
    </w:p>
    <w:tbl>
      <w:tblPr>
        <w:tblW w:w="4042" w:type="dxa"/>
        <w:jc w:val="center"/>
        <w:tblBorders>
          <w:bottom w:val="single" w:sz="8" w:space="0" w:color="auto"/>
        </w:tblBorders>
        <w:tblLayout w:type="fixed"/>
        <w:tblLook w:val="04A0" w:firstRow="1" w:lastRow="0" w:firstColumn="1" w:lastColumn="0" w:noHBand="0" w:noVBand="1"/>
      </w:tblPr>
      <w:tblGrid>
        <w:gridCol w:w="1543"/>
        <w:gridCol w:w="923"/>
        <w:gridCol w:w="788"/>
        <w:gridCol w:w="788"/>
      </w:tblGrid>
      <w:tr w:rsidR="009C6A2A" w14:paraId="50C0FF4D" w14:textId="77777777">
        <w:trPr>
          <w:trHeight w:val="629"/>
          <w:jc w:val="center"/>
        </w:trPr>
        <w:tc>
          <w:tcPr>
            <w:tcW w:w="1543" w:type="dxa"/>
            <w:tcBorders>
              <w:top w:val="single" w:sz="8" w:space="0" w:color="auto"/>
              <w:left w:val="nil"/>
              <w:bottom w:val="nil"/>
              <w:right w:val="nil"/>
              <w:tl2br w:val="nil"/>
              <w:tr2bl w:val="nil"/>
            </w:tcBorders>
            <w:shd w:val="clear" w:color="auto" w:fill="auto"/>
            <w:vAlign w:val="center"/>
          </w:tcPr>
          <w:p w14:paraId="482BC3ED" w14:textId="77777777" w:rsidR="009C6A2A" w:rsidRDefault="009C6A2A">
            <w:pPr>
              <w:pStyle w:val="MDPI42tablebody"/>
              <w:spacing w:line="360" w:lineRule="auto"/>
              <w:rPr>
                <w:rFonts w:ascii="Times New Roman" w:eastAsia="SimSun" w:hAnsi="Times New Roman"/>
                <w:b/>
                <w:color w:val="auto"/>
                <w:sz w:val="18"/>
                <w:szCs w:val="18"/>
                <w:lang w:eastAsia="zh-CN"/>
              </w:rPr>
            </w:pPr>
          </w:p>
        </w:tc>
        <w:tc>
          <w:tcPr>
            <w:tcW w:w="1711" w:type="dxa"/>
            <w:gridSpan w:val="2"/>
            <w:tcBorders>
              <w:top w:val="single" w:sz="8" w:space="0" w:color="auto"/>
              <w:bottom w:val="nil"/>
              <w:right w:val="nil"/>
              <w:tl2br w:val="nil"/>
              <w:tr2bl w:val="nil"/>
            </w:tcBorders>
            <w:shd w:val="clear" w:color="auto" w:fill="auto"/>
            <w:vAlign w:val="center"/>
          </w:tcPr>
          <w:p w14:paraId="520842A6" w14:textId="77777777" w:rsidR="009C6A2A" w:rsidRDefault="004F729E">
            <w:pPr>
              <w:pStyle w:val="MDPI42tablebody"/>
              <w:spacing w:line="360" w:lineRule="auto"/>
              <w:rPr>
                <w:rFonts w:ascii="Times New Roman" w:eastAsia="SimSun" w:hAnsi="Times New Roman"/>
                <w:b/>
                <w:color w:val="auto"/>
                <w:sz w:val="18"/>
                <w:szCs w:val="18"/>
                <w:lang w:eastAsia="zh-CN"/>
              </w:rPr>
            </w:pPr>
            <w:r>
              <w:rPr>
                <w:rFonts w:ascii="Times New Roman" w:eastAsia="SimSun" w:hAnsi="Times New Roman"/>
                <w:b/>
                <w:color w:val="auto"/>
                <w:sz w:val="18"/>
                <w:szCs w:val="18"/>
                <w:lang w:eastAsia="zh-CN"/>
              </w:rPr>
              <w:t>Primary complaint</w:t>
            </w:r>
          </w:p>
        </w:tc>
        <w:tc>
          <w:tcPr>
            <w:tcW w:w="788" w:type="dxa"/>
            <w:tcBorders>
              <w:top w:val="single" w:sz="8" w:space="0" w:color="auto"/>
              <w:bottom w:val="nil"/>
              <w:right w:val="nil"/>
              <w:tl2br w:val="nil"/>
              <w:tr2bl w:val="nil"/>
            </w:tcBorders>
            <w:vAlign w:val="center"/>
          </w:tcPr>
          <w:p w14:paraId="21F1B532" w14:textId="77777777" w:rsidR="009C6A2A" w:rsidRDefault="009C6A2A">
            <w:pPr>
              <w:pStyle w:val="MDPI42tablebody"/>
              <w:spacing w:line="360" w:lineRule="auto"/>
              <w:jc w:val="center"/>
              <w:rPr>
                <w:rFonts w:ascii="Times New Roman" w:eastAsia="SimSun" w:hAnsi="Times New Roman"/>
                <w:b/>
                <w:color w:val="auto"/>
                <w:sz w:val="18"/>
                <w:szCs w:val="18"/>
                <w:lang w:eastAsia="zh-CN"/>
              </w:rPr>
            </w:pPr>
          </w:p>
        </w:tc>
      </w:tr>
      <w:tr w:rsidR="009C6A2A" w14:paraId="2D273206" w14:textId="77777777">
        <w:trPr>
          <w:trHeight w:val="629"/>
          <w:jc w:val="center"/>
        </w:trPr>
        <w:tc>
          <w:tcPr>
            <w:tcW w:w="1543" w:type="dxa"/>
            <w:tcBorders>
              <w:top w:val="nil"/>
              <w:left w:val="nil"/>
              <w:bottom w:val="single" w:sz="4" w:space="0" w:color="auto"/>
              <w:right w:val="nil"/>
              <w:tl2br w:val="nil"/>
              <w:tr2bl w:val="nil"/>
            </w:tcBorders>
            <w:shd w:val="clear" w:color="auto" w:fill="auto"/>
            <w:vAlign w:val="center"/>
          </w:tcPr>
          <w:p w14:paraId="170F1966" w14:textId="77777777" w:rsidR="009C6A2A" w:rsidRDefault="009C6A2A">
            <w:pPr>
              <w:pStyle w:val="MDPI42tablebody"/>
              <w:spacing w:line="360" w:lineRule="auto"/>
              <w:rPr>
                <w:rFonts w:ascii="Times New Roman" w:eastAsia="SimSun" w:hAnsi="Times New Roman"/>
                <w:b/>
                <w:color w:val="auto"/>
                <w:sz w:val="18"/>
                <w:szCs w:val="18"/>
                <w:lang w:eastAsia="zh-CN"/>
              </w:rPr>
            </w:pPr>
          </w:p>
        </w:tc>
        <w:tc>
          <w:tcPr>
            <w:tcW w:w="923" w:type="dxa"/>
            <w:tcBorders>
              <w:top w:val="nil"/>
              <w:bottom w:val="single" w:sz="4" w:space="0" w:color="auto"/>
              <w:right w:val="nil"/>
              <w:tl2br w:val="nil"/>
              <w:tr2bl w:val="nil"/>
            </w:tcBorders>
            <w:shd w:val="clear" w:color="auto" w:fill="auto"/>
            <w:vAlign w:val="center"/>
          </w:tcPr>
          <w:p w14:paraId="394E0B2A" w14:textId="77777777" w:rsidR="009C6A2A" w:rsidRDefault="004F729E">
            <w:pPr>
              <w:pStyle w:val="MDPI42tablebody"/>
              <w:spacing w:line="360" w:lineRule="auto"/>
              <w:rPr>
                <w:rFonts w:ascii="Times New Roman" w:eastAsia="SimSun" w:hAnsi="Times New Roman"/>
                <w:b/>
                <w:color w:val="auto"/>
                <w:sz w:val="18"/>
                <w:szCs w:val="18"/>
                <w:lang w:eastAsia="zh-CN"/>
              </w:rPr>
            </w:pPr>
            <w:r>
              <w:rPr>
                <w:rFonts w:ascii="Times New Roman" w:eastAsia="SimSun" w:hAnsi="Times New Roman"/>
                <w:b/>
                <w:color w:val="auto"/>
                <w:sz w:val="18"/>
                <w:szCs w:val="18"/>
                <w:lang w:eastAsia="zh-CN"/>
              </w:rPr>
              <w:t>-</w:t>
            </w:r>
          </w:p>
        </w:tc>
        <w:tc>
          <w:tcPr>
            <w:tcW w:w="788" w:type="dxa"/>
            <w:tcBorders>
              <w:top w:val="nil"/>
              <w:bottom w:val="single" w:sz="4" w:space="0" w:color="auto"/>
              <w:right w:val="nil"/>
              <w:tl2br w:val="nil"/>
              <w:tr2bl w:val="nil"/>
            </w:tcBorders>
            <w:shd w:val="clear" w:color="auto" w:fill="auto"/>
            <w:vAlign w:val="center"/>
          </w:tcPr>
          <w:p w14:paraId="020F0B13" w14:textId="77777777" w:rsidR="009C6A2A" w:rsidRDefault="004F729E">
            <w:pPr>
              <w:pStyle w:val="MDPI42tablebody"/>
              <w:spacing w:line="360" w:lineRule="auto"/>
              <w:rPr>
                <w:rFonts w:ascii="Times New Roman" w:hAnsi="Times New Roman"/>
                <w:b/>
                <w:color w:val="auto"/>
                <w:sz w:val="18"/>
                <w:szCs w:val="18"/>
              </w:rPr>
            </w:pPr>
            <w:r>
              <w:rPr>
                <w:rFonts w:ascii="Times New Roman" w:eastAsia="SimSun" w:hAnsi="Times New Roman"/>
                <w:b/>
                <w:color w:val="auto"/>
                <w:sz w:val="18"/>
                <w:szCs w:val="18"/>
                <w:lang w:eastAsia="zh-CN"/>
              </w:rPr>
              <w:t>+</w:t>
            </w:r>
          </w:p>
        </w:tc>
        <w:tc>
          <w:tcPr>
            <w:tcW w:w="788" w:type="dxa"/>
            <w:tcBorders>
              <w:top w:val="nil"/>
              <w:bottom w:val="single" w:sz="4" w:space="0" w:color="auto"/>
              <w:right w:val="nil"/>
              <w:tl2br w:val="nil"/>
              <w:tr2bl w:val="nil"/>
            </w:tcBorders>
            <w:vAlign w:val="center"/>
          </w:tcPr>
          <w:p w14:paraId="16288FF4" w14:textId="77777777" w:rsidR="009C6A2A" w:rsidRDefault="004F729E">
            <w:pPr>
              <w:pStyle w:val="MDPI42tablebody"/>
              <w:spacing w:line="360" w:lineRule="auto"/>
              <w:jc w:val="center"/>
              <w:rPr>
                <w:rFonts w:ascii="Times New Roman" w:eastAsia="SimSun" w:hAnsi="Times New Roman"/>
                <w:b/>
                <w:color w:val="auto"/>
                <w:sz w:val="18"/>
                <w:szCs w:val="18"/>
                <w:lang w:eastAsia="zh-CN"/>
              </w:rPr>
            </w:pPr>
            <w:r>
              <w:rPr>
                <w:rFonts w:ascii="Times New Roman" w:eastAsia="SimSun" w:hAnsi="Times New Roman"/>
                <w:b/>
                <w:color w:val="auto"/>
                <w:sz w:val="18"/>
                <w:szCs w:val="18"/>
                <w:lang w:eastAsia="zh-CN"/>
              </w:rPr>
              <w:t>Total</w:t>
            </w:r>
          </w:p>
        </w:tc>
      </w:tr>
      <w:tr w:rsidR="009C6A2A" w14:paraId="4340846C" w14:textId="77777777">
        <w:trPr>
          <w:trHeight w:val="20"/>
          <w:jc w:val="center"/>
        </w:trPr>
        <w:tc>
          <w:tcPr>
            <w:tcW w:w="1543" w:type="dxa"/>
            <w:shd w:val="clear" w:color="auto" w:fill="auto"/>
            <w:vAlign w:val="center"/>
          </w:tcPr>
          <w:p w14:paraId="53B6EB5E" w14:textId="77777777" w:rsidR="009C6A2A" w:rsidRDefault="004F729E">
            <w:pPr>
              <w:pStyle w:val="MDPI42tablebody"/>
              <w:spacing w:line="360" w:lineRule="auto"/>
              <w:rPr>
                <w:rFonts w:ascii="Times New Roman" w:hAnsi="Times New Roman"/>
                <w:b/>
                <w:bCs/>
                <w:color w:val="auto"/>
                <w:sz w:val="18"/>
                <w:szCs w:val="18"/>
              </w:rPr>
            </w:pPr>
            <w:r>
              <w:rPr>
                <w:rFonts w:ascii="Times New Roman" w:eastAsia="SimSun" w:hAnsi="Times New Roman"/>
                <w:b/>
                <w:bCs/>
                <w:color w:val="auto"/>
                <w:sz w:val="18"/>
                <w:szCs w:val="18"/>
                <w:lang w:eastAsia="zh-CN"/>
              </w:rPr>
              <w:t>Satisfaction</w:t>
            </w:r>
          </w:p>
        </w:tc>
        <w:tc>
          <w:tcPr>
            <w:tcW w:w="923" w:type="dxa"/>
            <w:shd w:val="clear" w:color="auto" w:fill="auto"/>
            <w:vAlign w:val="center"/>
          </w:tcPr>
          <w:p w14:paraId="2B705129" w14:textId="77777777" w:rsidR="009C6A2A" w:rsidRDefault="009C6A2A">
            <w:pPr>
              <w:pStyle w:val="MDPI42tablebody"/>
              <w:spacing w:line="360" w:lineRule="auto"/>
              <w:rPr>
                <w:rFonts w:ascii="Times New Roman" w:eastAsia="SimSun" w:hAnsi="Times New Roman"/>
                <w:color w:val="auto"/>
                <w:sz w:val="18"/>
                <w:szCs w:val="18"/>
                <w:lang w:eastAsia="zh-CN"/>
              </w:rPr>
            </w:pPr>
          </w:p>
        </w:tc>
        <w:tc>
          <w:tcPr>
            <w:tcW w:w="788" w:type="dxa"/>
            <w:shd w:val="clear" w:color="auto" w:fill="auto"/>
            <w:vAlign w:val="center"/>
          </w:tcPr>
          <w:p w14:paraId="0EE66DD6" w14:textId="77777777" w:rsidR="009C6A2A" w:rsidRDefault="009C6A2A">
            <w:pPr>
              <w:pStyle w:val="MDPI42tablebody"/>
              <w:spacing w:line="360" w:lineRule="auto"/>
              <w:rPr>
                <w:rFonts w:ascii="Times New Roman" w:hAnsi="Times New Roman"/>
                <w:color w:val="auto"/>
                <w:sz w:val="18"/>
                <w:szCs w:val="18"/>
              </w:rPr>
            </w:pPr>
          </w:p>
        </w:tc>
        <w:tc>
          <w:tcPr>
            <w:tcW w:w="788" w:type="dxa"/>
          </w:tcPr>
          <w:p w14:paraId="39105959" w14:textId="77777777" w:rsidR="009C6A2A" w:rsidRDefault="009C6A2A">
            <w:pPr>
              <w:pStyle w:val="MDPI42tablebody"/>
              <w:spacing w:line="360" w:lineRule="auto"/>
              <w:rPr>
                <w:rFonts w:ascii="Times New Roman" w:hAnsi="Times New Roman"/>
                <w:color w:val="auto"/>
                <w:sz w:val="18"/>
                <w:szCs w:val="18"/>
              </w:rPr>
            </w:pPr>
          </w:p>
        </w:tc>
      </w:tr>
      <w:tr w:rsidR="009C6A2A" w14:paraId="5DCCF1AC" w14:textId="77777777">
        <w:trPr>
          <w:trHeight w:val="20"/>
          <w:jc w:val="center"/>
        </w:trPr>
        <w:tc>
          <w:tcPr>
            <w:tcW w:w="1543" w:type="dxa"/>
            <w:shd w:val="clear" w:color="auto" w:fill="auto"/>
            <w:vAlign w:val="center"/>
          </w:tcPr>
          <w:p w14:paraId="1D24FBF4" w14:textId="77777777" w:rsidR="009C6A2A" w:rsidRDefault="004F729E">
            <w:pPr>
              <w:pStyle w:val="MDPI42tablebody"/>
              <w:spacing w:line="360" w:lineRule="auto"/>
              <w:jc w:val="center"/>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lastRenderedPageBreak/>
              <w:t>No</w:t>
            </w:r>
          </w:p>
        </w:tc>
        <w:tc>
          <w:tcPr>
            <w:tcW w:w="923" w:type="dxa"/>
            <w:shd w:val="clear" w:color="auto" w:fill="auto"/>
            <w:vAlign w:val="center"/>
          </w:tcPr>
          <w:p w14:paraId="2EE27584"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w:t>
            </w:r>
          </w:p>
        </w:tc>
        <w:tc>
          <w:tcPr>
            <w:tcW w:w="788" w:type="dxa"/>
            <w:shd w:val="clear" w:color="auto" w:fill="auto"/>
            <w:vAlign w:val="center"/>
          </w:tcPr>
          <w:p w14:paraId="40C3136F"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5</w:t>
            </w:r>
          </w:p>
        </w:tc>
        <w:tc>
          <w:tcPr>
            <w:tcW w:w="788" w:type="dxa"/>
          </w:tcPr>
          <w:p w14:paraId="16CD51EF"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6</w:t>
            </w:r>
          </w:p>
        </w:tc>
      </w:tr>
      <w:tr w:rsidR="009C6A2A" w14:paraId="2EA413B2" w14:textId="77777777">
        <w:trPr>
          <w:trHeight w:val="20"/>
          <w:jc w:val="center"/>
        </w:trPr>
        <w:tc>
          <w:tcPr>
            <w:tcW w:w="1543" w:type="dxa"/>
            <w:shd w:val="clear" w:color="auto" w:fill="auto"/>
            <w:vAlign w:val="center"/>
          </w:tcPr>
          <w:p w14:paraId="1A604800" w14:textId="77777777" w:rsidR="009C6A2A" w:rsidRDefault="004F729E">
            <w:pPr>
              <w:pStyle w:val="MDPI42tablebody"/>
              <w:spacing w:line="360" w:lineRule="auto"/>
              <w:jc w:val="center"/>
              <w:rPr>
                <w:rFonts w:ascii="Times New Roman" w:hAnsi="Times New Roman"/>
                <w:color w:val="auto"/>
                <w:sz w:val="18"/>
                <w:szCs w:val="18"/>
              </w:rPr>
            </w:pPr>
            <w:r>
              <w:rPr>
                <w:rFonts w:ascii="Times New Roman" w:hAnsi="Times New Roman"/>
                <w:color w:val="auto"/>
                <w:sz w:val="18"/>
                <w:szCs w:val="18"/>
              </w:rPr>
              <w:t>Yes</w:t>
            </w:r>
          </w:p>
        </w:tc>
        <w:tc>
          <w:tcPr>
            <w:tcW w:w="923" w:type="dxa"/>
            <w:shd w:val="clear" w:color="auto" w:fill="auto"/>
            <w:vAlign w:val="center"/>
          </w:tcPr>
          <w:p w14:paraId="7AB6ECC8" w14:textId="77777777" w:rsidR="009C6A2A" w:rsidRDefault="004F729E">
            <w:pPr>
              <w:pStyle w:val="MDPI42tablebody"/>
              <w:spacing w:line="360" w:lineRule="auto"/>
              <w:rPr>
                <w:rFonts w:ascii="Times New Roman" w:hAnsi="Times New Roman"/>
                <w:color w:val="auto"/>
                <w:sz w:val="18"/>
                <w:szCs w:val="18"/>
              </w:rPr>
            </w:pPr>
            <w:r>
              <w:rPr>
                <w:rFonts w:ascii="Times New Roman" w:hAnsi="Times New Roman"/>
                <w:color w:val="auto"/>
                <w:sz w:val="18"/>
                <w:szCs w:val="18"/>
              </w:rPr>
              <w:t>20</w:t>
            </w:r>
          </w:p>
        </w:tc>
        <w:tc>
          <w:tcPr>
            <w:tcW w:w="788" w:type="dxa"/>
            <w:shd w:val="clear" w:color="auto" w:fill="auto"/>
            <w:vAlign w:val="center"/>
          </w:tcPr>
          <w:p w14:paraId="56A6AB1E"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5</w:t>
            </w:r>
          </w:p>
        </w:tc>
        <w:tc>
          <w:tcPr>
            <w:tcW w:w="788" w:type="dxa"/>
          </w:tcPr>
          <w:p w14:paraId="52FF7E7B"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25</w:t>
            </w:r>
          </w:p>
        </w:tc>
      </w:tr>
      <w:tr w:rsidR="009C6A2A" w14:paraId="6E8BD79A" w14:textId="77777777">
        <w:trPr>
          <w:trHeight w:val="20"/>
          <w:jc w:val="center"/>
        </w:trPr>
        <w:tc>
          <w:tcPr>
            <w:tcW w:w="1543" w:type="dxa"/>
            <w:shd w:val="clear" w:color="auto" w:fill="auto"/>
            <w:vAlign w:val="center"/>
          </w:tcPr>
          <w:p w14:paraId="6794536D"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Total</w:t>
            </w:r>
          </w:p>
        </w:tc>
        <w:tc>
          <w:tcPr>
            <w:tcW w:w="923" w:type="dxa"/>
            <w:shd w:val="clear" w:color="auto" w:fill="auto"/>
            <w:vAlign w:val="center"/>
          </w:tcPr>
          <w:p w14:paraId="40516C8A"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21</w:t>
            </w:r>
          </w:p>
        </w:tc>
        <w:tc>
          <w:tcPr>
            <w:tcW w:w="788" w:type="dxa"/>
            <w:shd w:val="clear" w:color="auto" w:fill="auto"/>
            <w:vAlign w:val="center"/>
          </w:tcPr>
          <w:p w14:paraId="0EBDD236"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10</w:t>
            </w:r>
          </w:p>
        </w:tc>
        <w:tc>
          <w:tcPr>
            <w:tcW w:w="788" w:type="dxa"/>
          </w:tcPr>
          <w:p w14:paraId="2336208F"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31</w:t>
            </w:r>
          </w:p>
        </w:tc>
      </w:tr>
    </w:tbl>
    <w:p w14:paraId="05DB1DFE" w14:textId="221C72E1" w:rsidR="009C6A2A" w:rsidRDefault="004F729E">
      <w:pPr>
        <w:rPr>
          <w:rFonts w:ascii="Times New Roman" w:hAnsi="Times New Roman"/>
          <w:sz w:val="18"/>
          <w:szCs w:val="18"/>
        </w:rPr>
      </w:pPr>
      <w:r>
        <w:rPr>
          <w:rFonts w:ascii="Times New Roman" w:hAnsi="Times New Roman"/>
          <w:sz w:val="18"/>
          <w:szCs w:val="18"/>
        </w:rPr>
        <w:t>*</w:t>
      </w:r>
      <w:r>
        <w:rPr>
          <w:rFonts w:ascii="Times New Roman" w:hAnsi="Times New Roman"/>
          <w:i/>
          <w:sz w:val="18"/>
          <w:szCs w:val="18"/>
        </w:rPr>
        <w:t>p</w:t>
      </w:r>
      <w:r>
        <w:rPr>
          <w:rFonts w:ascii="Times New Roman" w:hAnsi="Times New Roman"/>
          <w:sz w:val="18"/>
          <w:szCs w:val="18"/>
        </w:rPr>
        <w:t xml:space="preserve"> &gt; 0.05, </w:t>
      </w:r>
      <w:r w:rsidR="008A791B" w:rsidRPr="008A791B">
        <w:rPr>
          <w:rFonts w:ascii="Times New Roman" w:hAnsi="Times New Roman"/>
          <w:sz w:val="18"/>
          <w:szCs w:val="18"/>
        </w:rPr>
        <w:t>Fisher’s exact test, p = 0.007.</w:t>
      </w:r>
    </w:p>
    <w:p w14:paraId="071EA67E" w14:textId="77777777" w:rsidR="009C6A2A" w:rsidRDefault="009C6A2A">
      <w:pPr>
        <w:widowControl/>
        <w:adjustRightInd w:val="0"/>
        <w:snapToGrid w:val="0"/>
        <w:spacing w:beforeLines="50" w:before="156" w:line="360" w:lineRule="auto"/>
        <w:jc w:val="left"/>
        <w:rPr>
          <w:rFonts w:ascii="Times New Roman" w:hAnsi="Times New Roman"/>
          <w:b/>
          <w:bCs/>
          <w:kern w:val="0"/>
          <w:sz w:val="20"/>
          <w:szCs w:val="20"/>
        </w:rPr>
      </w:pPr>
    </w:p>
    <w:p w14:paraId="3DE5ECB1" w14:textId="4028A616" w:rsidR="009C6A2A" w:rsidRDefault="004F729E">
      <w:pPr>
        <w:widowControl/>
        <w:adjustRightInd w:val="0"/>
        <w:snapToGrid w:val="0"/>
        <w:spacing w:beforeLines="50" w:before="156" w:line="360" w:lineRule="auto"/>
        <w:jc w:val="left"/>
        <w:rPr>
          <w:rFonts w:ascii="Times New Roman" w:hAnsi="Times New Roman"/>
          <w:kern w:val="0"/>
          <w:sz w:val="20"/>
          <w:szCs w:val="20"/>
        </w:rPr>
      </w:pPr>
      <w:r>
        <w:rPr>
          <w:rFonts w:ascii="Times New Roman" w:hAnsi="Times New Roman"/>
          <w:b/>
          <w:bCs/>
          <w:kern w:val="0"/>
          <w:sz w:val="20"/>
          <w:szCs w:val="20"/>
        </w:rPr>
        <w:t xml:space="preserve">Table 5. </w:t>
      </w:r>
      <w:r w:rsidR="008A791B" w:rsidRPr="008A791B">
        <w:rPr>
          <w:rFonts w:ascii="Times New Roman" w:hAnsi="Times New Roman"/>
          <w:bCs/>
          <w:kern w:val="0"/>
          <w:sz w:val="20"/>
          <w:szCs w:val="20"/>
        </w:rPr>
        <w:t>Patients satisfaction in relation to compensatory hyperhidrosis</w:t>
      </w:r>
    </w:p>
    <w:tbl>
      <w:tblPr>
        <w:tblW w:w="4042" w:type="dxa"/>
        <w:jc w:val="center"/>
        <w:tblBorders>
          <w:bottom w:val="single" w:sz="8" w:space="0" w:color="auto"/>
        </w:tblBorders>
        <w:tblLayout w:type="fixed"/>
        <w:tblLook w:val="04A0" w:firstRow="1" w:lastRow="0" w:firstColumn="1" w:lastColumn="0" w:noHBand="0" w:noVBand="1"/>
      </w:tblPr>
      <w:tblGrid>
        <w:gridCol w:w="1543"/>
        <w:gridCol w:w="923"/>
        <w:gridCol w:w="788"/>
        <w:gridCol w:w="788"/>
      </w:tblGrid>
      <w:tr w:rsidR="009C6A2A" w14:paraId="55E74577" w14:textId="77777777">
        <w:trPr>
          <w:trHeight w:val="629"/>
          <w:jc w:val="center"/>
        </w:trPr>
        <w:tc>
          <w:tcPr>
            <w:tcW w:w="1543" w:type="dxa"/>
            <w:tcBorders>
              <w:top w:val="single" w:sz="8" w:space="0" w:color="auto"/>
              <w:left w:val="nil"/>
              <w:bottom w:val="nil"/>
              <w:right w:val="nil"/>
              <w:tl2br w:val="nil"/>
              <w:tr2bl w:val="nil"/>
            </w:tcBorders>
            <w:shd w:val="clear" w:color="auto" w:fill="auto"/>
            <w:vAlign w:val="center"/>
          </w:tcPr>
          <w:p w14:paraId="3B825859" w14:textId="77777777" w:rsidR="009C6A2A" w:rsidRDefault="009C6A2A">
            <w:pPr>
              <w:pStyle w:val="MDPI42tablebody"/>
              <w:spacing w:line="360" w:lineRule="auto"/>
              <w:rPr>
                <w:rFonts w:ascii="Times New Roman" w:eastAsia="SimSun" w:hAnsi="Times New Roman"/>
                <w:b/>
                <w:color w:val="auto"/>
                <w:sz w:val="18"/>
                <w:szCs w:val="18"/>
                <w:lang w:eastAsia="zh-CN"/>
              </w:rPr>
            </w:pPr>
          </w:p>
        </w:tc>
        <w:tc>
          <w:tcPr>
            <w:tcW w:w="1711" w:type="dxa"/>
            <w:gridSpan w:val="2"/>
            <w:tcBorders>
              <w:top w:val="single" w:sz="8" w:space="0" w:color="auto"/>
              <w:bottom w:val="nil"/>
              <w:right w:val="nil"/>
              <w:tl2br w:val="nil"/>
              <w:tr2bl w:val="nil"/>
            </w:tcBorders>
            <w:shd w:val="clear" w:color="auto" w:fill="auto"/>
            <w:vAlign w:val="center"/>
          </w:tcPr>
          <w:p w14:paraId="12842567" w14:textId="77777777" w:rsidR="009C6A2A" w:rsidRDefault="004F729E">
            <w:pPr>
              <w:pStyle w:val="MDPI42tablebody"/>
              <w:spacing w:line="360" w:lineRule="auto"/>
              <w:rPr>
                <w:rFonts w:ascii="Times New Roman" w:eastAsia="SimSun" w:hAnsi="Times New Roman"/>
                <w:b/>
                <w:color w:val="auto"/>
                <w:sz w:val="18"/>
                <w:szCs w:val="18"/>
                <w:lang w:eastAsia="zh-CN"/>
              </w:rPr>
            </w:pPr>
            <w:r>
              <w:rPr>
                <w:rFonts w:ascii="Times New Roman" w:eastAsia="SimSun" w:hAnsi="Times New Roman"/>
                <w:b/>
                <w:color w:val="auto"/>
                <w:sz w:val="18"/>
                <w:szCs w:val="18"/>
                <w:lang w:eastAsia="zh-CN"/>
              </w:rPr>
              <w:t>Compensatory Hyperhidrosis</w:t>
            </w:r>
          </w:p>
        </w:tc>
        <w:tc>
          <w:tcPr>
            <w:tcW w:w="788" w:type="dxa"/>
            <w:tcBorders>
              <w:top w:val="single" w:sz="8" w:space="0" w:color="auto"/>
              <w:bottom w:val="nil"/>
              <w:right w:val="nil"/>
              <w:tl2br w:val="nil"/>
              <w:tr2bl w:val="nil"/>
            </w:tcBorders>
            <w:vAlign w:val="center"/>
          </w:tcPr>
          <w:p w14:paraId="729B9670" w14:textId="77777777" w:rsidR="009C6A2A" w:rsidRDefault="009C6A2A">
            <w:pPr>
              <w:pStyle w:val="MDPI42tablebody"/>
              <w:spacing w:line="360" w:lineRule="auto"/>
              <w:jc w:val="center"/>
              <w:rPr>
                <w:rFonts w:ascii="Times New Roman" w:eastAsia="SimSun" w:hAnsi="Times New Roman"/>
                <w:b/>
                <w:color w:val="auto"/>
                <w:sz w:val="18"/>
                <w:szCs w:val="18"/>
                <w:lang w:eastAsia="zh-CN"/>
              </w:rPr>
            </w:pPr>
          </w:p>
        </w:tc>
      </w:tr>
      <w:tr w:rsidR="009C6A2A" w14:paraId="6FE90EDC" w14:textId="77777777">
        <w:trPr>
          <w:trHeight w:val="629"/>
          <w:jc w:val="center"/>
        </w:trPr>
        <w:tc>
          <w:tcPr>
            <w:tcW w:w="1543" w:type="dxa"/>
            <w:tcBorders>
              <w:top w:val="nil"/>
              <w:left w:val="nil"/>
              <w:bottom w:val="single" w:sz="4" w:space="0" w:color="auto"/>
              <w:right w:val="nil"/>
              <w:tl2br w:val="nil"/>
              <w:tr2bl w:val="nil"/>
            </w:tcBorders>
            <w:shd w:val="clear" w:color="auto" w:fill="auto"/>
            <w:vAlign w:val="center"/>
          </w:tcPr>
          <w:p w14:paraId="2460CCF6" w14:textId="77777777" w:rsidR="009C6A2A" w:rsidRDefault="009C6A2A">
            <w:pPr>
              <w:pStyle w:val="MDPI42tablebody"/>
              <w:spacing w:line="360" w:lineRule="auto"/>
              <w:rPr>
                <w:rFonts w:ascii="Times New Roman" w:eastAsia="SimSun" w:hAnsi="Times New Roman"/>
                <w:b/>
                <w:color w:val="auto"/>
                <w:sz w:val="18"/>
                <w:szCs w:val="18"/>
                <w:lang w:eastAsia="zh-CN"/>
              </w:rPr>
            </w:pPr>
          </w:p>
        </w:tc>
        <w:tc>
          <w:tcPr>
            <w:tcW w:w="923" w:type="dxa"/>
            <w:tcBorders>
              <w:top w:val="nil"/>
              <w:bottom w:val="single" w:sz="4" w:space="0" w:color="auto"/>
              <w:right w:val="nil"/>
              <w:tl2br w:val="nil"/>
              <w:tr2bl w:val="nil"/>
            </w:tcBorders>
            <w:shd w:val="clear" w:color="auto" w:fill="auto"/>
            <w:vAlign w:val="center"/>
          </w:tcPr>
          <w:p w14:paraId="30A3ADF8" w14:textId="77777777" w:rsidR="009C6A2A" w:rsidRDefault="004F729E">
            <w:pPr>
              <w:pStyle w:val="MDPI42tablebody"/>
              <w:spacing w:line="360" w:lineRule="auto"/>
              <w:rPr>
                <w:rFonts w:ascii="Times New Roman" w:eastAsia="SimSun" w:hAnsi="Times New Roman"/>
                <w:b/>
                <w:color w:val="auto"/>
                <w:sz w:val="18"/>
                <w:szCs w:val="18"/>
                <w:lang w:eastAsia="zh-CN"/>
              </w:rPr>
            </w:pPr>
            <w:r>
              <w:rPr>
                <w:rFonts w:ascii="Times New Roman" w:eastAsia="SimSun" w:hAnsi="Times New Roman"/>
                <w:b/>
                <w:color w:val="auto"/>
                <w:sz w:val="18"/>
                <w:szCs w:val="18"/>
                <w:lang w:eastAsia="zh-CN"/>
              </w:rPr>
              <w:t>-</w:t>
            </w:r>
          </w:p>
        </w:tc>
        <w:tc>
          <w:tcPr>
            <w:tcW w:w="788" w:type="dxa"/>
            <w:tcBorders>
              <w:top w:val="nil"/>
              <w:bottom w:val="single" w:sz="4" w:space="0" w:color="auto"/>
              <w:right w:val="nil"/>
              <w:tl2br w:val="nil"/>
              <w:tr2bl w:val="nil"/>
            </w:tcBorders>
            <w:shd w:val="clear" w:color="auto" w:fill="auto"/>
            <w:vAlign w:val="center"/>
          </w:tcPr>
          <w:p w14:paraId="1255CA34" w14:textId="77777777" w:rsidR="009C6A2A" w:rsidRDefault="004F729E">
            <w:pPr>
              <w:pStyle w:val="MDPI42tablebody"/>
              <w:spacing w:line="360" w:lineRule="auto"/>
              <w:rPr>
                <w:rFonts w:ascii="Times New Roman" w:hAnsi="Times New Roman"/>
                <w:b/>
                <w:color w:val="auto"/>
                <w:sz w:val="18"/>
                <w:szCs w:val="18"/>
              </w:rPr>
            </w:pPr>
            <w:r>
              <w:rPr>
                <w:rFonts w:ascii="Times New Roman" w:eastAsia="SimSun" w:hAnsi="Times New Roman"/>
                <w:b/>
                <w:color w:val="auto"/>
                <w:sz w:val="18"/>
                <w:szCs w:val="18"/>
                <w:lang w:eastAsia="zh-CN"/>
              </w:rPr>
              <w:t>+</w:t>
            </w:r>
          </w:p>
        </w:tc>
        <w:tc>
          <w:tcPr>
            <w:tcW w:w="788" w:type="dxa"/>
            <w:tcBorders>
              <w:top w:val="nil"/>
              <w:bottom w:val="single" w:sz="4" w:space="0" w:color="auto"/>
              <w:right w:val="nil"/>
              <w:tl2br w:val="nil"/>
              <w:tr2bl w:val="nil"/>
            </w:tcBorders>
            <w:vAlign w:val="center"/>
          </w:tcPr>
          <w:p w14:paraId="003AEED5" w14:textId="77777777" w:rsidR="009C6A2A" w:rsidRDefault="004F729E">
            <w:pPr>
              <w:pStyle w:val="MDPI42tablebody"/>
              <w:spacing w:line="360" w:lineRule="auto"/>
              <w:jc w:val="center"/>
              <w:rPr>
                <w:rFonts w:ascii="Times New Roman" w:eastAsia="SimSun" w:hAnsi="Times New Roman"/>
                <w:b/>
                <w:color w:val="auto"/>
                <w:sz w:val="18"/>
                <w:szCs w:val="18"/>
                <w:lang w:eastAsia="zh-CN"/>
              </w:rPr>
            </w:pPr>
            <w:r>
              <w:rPr>
                <w:rFonts w:ascii="Times New Roman" w:eastAsia="SimSun" w:hAnsi="Times New Roman"/>
                <w:b/>
                <w:color w:val="auto"/>
                <w:sz w:val="18"/>
                <w:szCs w:val="18"/>
                <w:lang w:eastAsia="zh-CN"/>
              </w:rPr>
              <w:t>Total</w:t>
            </w:r>
          </w:p>
        </w:tc>
      </w:tr>
      <w:tr w:rsidR="009C6A2A" w14:paraId="4496562B" w14:textId="77777777">
        <w:trPr>
          <w:trHeight w:val="20"/>
          <w:jc w:val="center"/>
        </w:trPr>
        <w:tc>
          <w:tcPr>
            <w:tcW w:w="1543" w:type="dxa"/>
            <w:shd w:val="clear" w:color="auto" w:fill="auto"/>
            <w:vAlign w:val="center"/>
          </w:tcPr>
          <w:p w14:paraId="5AEBF194" w14:textId="77777777" w:rsidR="009C6A2A" w:rsidRDefault="004F729E">
            <w:pPr>
              <w:pStyle w:val="MDPI42tablebody"/>
              <w:spacing w:line="360" w:lineRule="auto"/>
              <w:rPr>
                <w:rFonts w:ascii="Times New Roman" w:hAnsi="Times New Roman"/>
                <w:b/>
                <w:bCs/>
                <w:color w:val="auto"/>
                <w:sz w:val="18"/>
                <w:szCs w:val="18"/>
              </w:rPr>
            </w:pPr>
            <w:r>
              <w:rPr>
                <w:rFonts w:ascii="Times New Roman" w:eastAsia="SimSun" w:hAnsi="Times New Roman"/>
                <w:b/>
                <w:bCs/>
                <w:color w:val="auto"/>
                <w:sz w:val="18"/>
                <w:szCs w:val="18"/>
                <w:lang w:eastAsia="zh-CN"/>
              </w:rPr>
              <w:t>Satisfaction</w:t>
            </w:r>
          </w:p>
        </w:tc>
        <w:tc>
          <w:tcPr>
            <w:tcW w:w="923" w:type="dxa"/>
            <w:shd w:val="clear" w:color="auto" w:fill="auto"/>
            <w:vAlign w:val="center"/>
          </w:tcPr>
          <w:p w14:paraId="289F92F5" w14:textId="77777777" w:rsidR="009C6A2A" w:rsidRDefault="009C6A2A">
            <w:pPr>
              <w:pStyle w:val="MDPI42tablebody"/>
              <w:spacing w:line="360" w:lineRule="auto"/>
              <w:rPr>
                <w:rFonts w:ascii="Times New Roman" w:eastAsia="SimSun" w:hAnsi="Times New Roman"/>
                <w:color w:val="auto"/>
                <w:sz w:val="18"/>
                <w:szCs w:val="18"/>
                <w:lang w:eastAsia="zh-CN"/>
              </w:rPr>
            </w:pPr>
          </w:p>
        </w:tc>
        <w:tc>
          <w:tcPr>
            <w:tcW w:w="788" w:type="dxa"/>
            <w:shd w:val="clear" w:color="auto" w:fill="auto"/>
            <w:vAlign w:val="center"/>
          </w:tcPr>
          <w:p w14:paraId="0CD592D4" w14:textId="77777777" w:rsidR="009C6A2A" w:rsidRDefault="009C6A2A">
            <w:pPr>
              <w:pStyle w:val="MDPI42tablebody"/>
              <w:spacing w:line="360" w:lineRule="auto"/>
              <w:rPr>
                <w:rFonts w:ascii="Times New Roman" w:hAnsi="Times New Roman"/>
                <w:color w:val="auto"/>
                <w:sz w:val="18"/>
                <w:szCs w:val="18"/>
              </w:rPr>
            </w:pPr>
          </w:p>
        </w:tc>
        <w:tc>
          <w:tcPr>
            <w:tcW w:w="788" w:type="dxa"/>
          </w:tcPr>
          <w:p w14:paraId="786E8FFA" w14:textId="77777777" w:rsidR="009C6A2A" w:rsidRDefault="009C6A2A">
            <w:pPr>
              <w:pStyle w:val="MDPI42tablebody"/>
              <w:spacing w:line="360" w:lineRule="auto"/>
              <w:rPr>
                <w:rFonts w:ascii="Times New Roman" w:hAnsi="Times New Roman"/>
                <w:color w:val="auto"/>
                <w:sz w:val="18"/>
                <w:szCs w:val="18"/>
              </w:rPr>
            </w:pPr>
          </w:p>
        </w:tc>
      </w:tr>
      <w:tr w:rsidR="009C6A2A" w14:paraId="03F2F118" w14:textId="77777777">
        <w:trPr>
          <w:trHeight w:val="20"/>
          <w:jc w:val="center"/>
        </w:trPr>
        <w:tc>
          <w:tcPr>
            <w:tcW w:w="1543" w:type="dxa"/>
            <w:shd w:val="clear" w:color="auto" w:fill="auto"/>
            <w:vAlign w:val="center"/>
          </w:tcPr>
          <w:p w14:paraId="56747C46" w14:textId="77777777" w:rsidR="009C6A2A" w:rsidRDefault="004F729E">
            <w:pPr>
              <w:pStyle w:val="MDPI42tablebody"/>
              <w:spacing w:line="360" w:lineRule="auto"/>
              <w:jc w:val="center"/>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No</w:t>
            </w:r>
          </w:p>
        </w:tc>
        <w:tc>
          <w:tcPr>
            <w:tcW w:w="923" w:type="dxa"/>
            <w:shd w:val="clear" w:color="auto" w:fill="auto"/>
            <w:vAlign w:val="center"/>
          </w:tcPr>
          <w:p w14:paraId="4DD05C4D"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w:t>
            </w:r>
          </w:p>
        </w:tc>
        <w:tc>
          <w:tcPr>
            <w:tcW w:w="788" w:type="dxa"/>
            <w:shd w:val="clear" w:color="auto" w:fill="auto"/>
            <w:vAlign w:val="center"/>
          </w:tcPr>
          <w:p w14:paraId="4D71CBC4"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5</w:t>
            </w:r>
          </w:p>
        </w:tc>
        <w:tc>
          <w:tcPr>
            <w:tcW w:w="788" w:type="dxa"/>
          </w:tcPr>
          <w:p w14:paraId="21A2F738"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6</w:t>
            </w:r>
          </w:p>
        </w:tc>
      </w:tr>
      <w:tr w:rsidR="009C6A2A" w14:paraId="3618EFB2" w14:textId="77777777">
        <w:trPr>
          <w:trHeight w:val="20"/>
          <w:jc w:val="center"/>
        </w:trPr>
        <w:tc>
          <w:tcPr>
            <w:tcW w:w="1543" w:type="dxa"/>
            <w:shd w:val="clear" w:color="auto" w:fill="auto"/>
            <w:vAlign w:val="center"/>
          </w:tcPr>
          <w:p w14:paraId="1A17DFB7" w14:textId="77777777" w:rsidR="009C6A2A" w:rsidRDefault="004F729E">
            <w:pPr>
              <w:pStyle w:val="MDPI42tablebody"/>
              <w:spacing w:line="360" w:lineRule="auto"/>
              <w:jc w:val="center"/>
              <w:rPr>
                <w:rFonts w:ascii="Times New Roman" w:hAnsi="Times New Roman"/>
                <w:color w:val="auto"/>
                <w:sz w:val="18"/>
                <w:szCs w:val="18"/>
              </w:rPr>
            </w:pPr>
            <w:r>
              <w:rPr>
                <w:rFonts w:ascii="Times New Roman" w:hAnsi="Times New Roman"/>
                <w:color w:val="auto"/>
                <w:sz w:val="18"/>
                <w:szCs w:val="18"/>
              </w:rPr>
              <w:t>Yes</w:t>
            </w:r>
          </w:p>
        </w:tc>
        <w:tc>
          <w:tcPr>
            <w:tcW w:w="923" w:type="dxa"/>
            <w:shd w:val="clear" w:color="auto" w:fill="auto"/>
            <w:vAlign w:val="center"/>
          </w:tcPr>
          <w:p w14:paraId="20EE3996" w14:textId="77777777" w:rsidR="009C6A2A" w:rsidRDefault="004F729E">
            <w:pPr>
              <w:pStyle w:val="MDPI42tablebody"/>
              <w:spacing w:line="360" w:lineRule="auto"/>
              <w:rPr>
                <w:rFonts w:ascii="Times New Roman" w:hAnsi="Times New Roman"/>
                <w:color w:val="auto"/>
                <w:sz w:val="18"/>
                <w:szCs w:val="18"/>
              </w:rPr>
            </w:pPr>
            <w:r>
              <w:rPr>
                <w:rFonts w:ascii="Times New Roman" w:hAnsi="Times New Roman"/>
                <w:color w:val="auto"/>
                <w:sz w:val="18"/>
                <w:szCs w:val="18"/>
              </w:rPr>
              <w:t>15</w:t>
            </w:r>
          </w:p>
        </w:tc>
        <w:tc>
          <w:tcPr>
            <w:tcW w:w="788" w:type="dxa"/>
            <w:shd w:val="clear" w:color="auto" w:fill="auto"/>
            <w:vAlign w:val="center"/>
          </w:tcPr>
          <w:p w14:paraId="6E23FB9E"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10</w:t>
            </w:r>
          </w:p>
        </w:tc>
        <w:tc>
          <w:tcPr>
            <w:tcW w:w="788" w:type="dxa"/>
          </w:tcPr>
          <w:p w14:paraId="7578CB37" w14:textId="77777777" w:rsidR="009C6A2A" w:rsidRDefault="004F729E">
            <w:pPr>
              <w:pStyle w:val="MDPI42tablebody"/>
              <w:spacing w:line="360" w:lineRule="auto"/>
              <w:rPr>
                <w:rFonts w:ascii="Times New Roman" w:eastAsia="SimSun" w:hAnsi="Times New Roman"/>
                <w:color w:val="auto"/>
                <w:sz w:val="18"/>
                <w:szCs w:val="18"/>
                <w:lang w:eastAsia="zh-CN"/>
              </w:rPr>
            </w:pPr>
            <w:r>
              <w:rPr>
                <w:rFonts w:ascii="Times New Roman" w:eastAsia="SimSun" w:hAnsi="Times New Roman"/>
                <w:color w:val="auto"/>
                <w:sz w:val="18"/>
                <w:szCs w:val="18"/>
                <w:lang w:eastAsia="zh-CN"/>
              </w:rPr>
              <w:t>25</w:t>
            </w:r>
          </w:p>
        </w:tc>
      </w:tr>
      <w:tr w:rsidR="009C6A2A" w14:paraId="4CA57D82" w14:textId="77777777">
        <w:trPr>
          <w:trHeight w:val="20"/>
          <w:jc w:val="center"/>
        </w:trPr>
        <w:tc>
          <w:tcPr>
            <w:tcW w:w="1543" w:type="dxa"/>
            <w:shd w:val="clear" w:color="auto" w:fill="auto"/>
            <w:vAlign w:val="center"/>
          </w:tcPr>
          <w:p w14:paraId="75B05D19"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Total</w:t>
            </w:r>
          </w:p>
        </w:tc>
        <w:tc>
          <w:tcPr>
            <w:tcW w:w="923" w:type="dxa"/>
            <w:shd w:val="clear" w:color="auto" w:fill="auto"/>
            <w:vAlign w:val="center"/>
          </w:tcPr>
          <w:p w14:paraId="09F07555"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16</w:t>
            </w:r>
          </w:p>
        </w:tc>
        <w:tc>
          <w:tcPr>
            <w:tcW w:w="788" w:type="dxa"/>
            <w:shd w:val="clear" w:color="auto" w:fill="auto"/>
            <w:vAlign w:val="center"/>
          </w:tcPr>
          <w:p w14:paraId="68D1EB0F"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15</w:t>
            </w:r>
          </w:p>
        </w:tc>
        <w:tc>
          <w:tcPr>
            <w:tcW w:w="788" w:type="dxa"/>
          </w:tcPr>
          <w:p w14:paraId="58338C98" w14:textId="77777777" w:rsidR="009C6A2A" w:rsidRDefault="004F729E">
            <w:pPr>
              <w:pStyle w:val="MDPI42tablebody"/>
              <w:spacing w:line="360" w:lineRule="auto"/>
              <w:rPr>
                <w:rFonts w:ascii="Times New Roman" w:eastAsia="SimSun" w:hAnsi="Times New Roman"/>
                <w:b/>
                <w:bCs/>
                <w:color w:val="auto"/>
                <w:sz w:val="18"/>
                <w:szCs w:val="18"/>
                <w:lang w:eastAsia="zh-CN"/>
              </w:rPr>
            </w:pPr>
            <w:r>
              <w:rPr>
                <w:rFonts w:ascii="Times New Roman" w:eastAsia="SimSun" w:hAnsi="Times New Roman"/>
                <w:b/>
                <w:bCs/>
                <w:color w:val="auto"/>
                <w:sz w:val="18"/>
                <w:szCs w:val="18"/>
                <w:lang w:eastAsia="zh-CN"/>
              </w:rPr>
              <w:t>31</w:t>
            </w:r>
          </w:p>
        </w:tc>
      </w:tr>
    </w:tbl>
    <w:p w14:paraId="03CCB959" w14:textId="75E7DCC8" w:rsidR="009C6A2A" w:rsidRDefault="004F729E">
      <w:pPr>
        <w:rPr>
          <w:rFonts w:ascii="Times New Roman" w:hAnsi="Times New Roman"/>
          <w:sz w:val="18"/>
          <w:szCs w:val="18"/>
        </w:rPr>
      </w:pPr>
      <w:r>
        <w:rPr>
          <w:rFonts w:ascii="Times New Roman" w:hAnsi="Times New Roman"/>
          <w:sz w:val="18"/>
          <w:szCs w:val="18"/>
        </w:rPr>
        <w:t>*</w:t>
      </w:r>
      <w:r>
        <w:rPr>
          <w:rFonts w:ascii="Times New Roman" w:hAnsi="Times New Roman"/>
          <w:i/>
          <w:sz w:val="18"/>
          <w:szCs w:val="18"/>
        </w:rPr>
        <w:t>p</w:t>
      </w:r>
      <w:r>
        <w:rPr>
          <w:rFonts w:ascii="Times New Roman" w:hAnsi="Times New Roman"/>
          <w:sz w:val="18"/>
          <w:szCs w:val="18"/>
        </w:rPr>
        <w:t xml:space="preserve"> &lt; 0.05, </w:t>
      </w:r>
      <w:r w:rsidR="008A791B" w:rsidRPr="008A791B">
        <w:rPr>
          <w:rFonts w:ascii="Times New Roman" w:hAnsi="Times New Roman"/>
          <w:sz w:val="18"/>
          <w:szCs w:val="18"/>
        </w:rPr>
        <w:t>Fisher’s exact test, p = 0.083.</w:t>
      </w:r>
    </w:p>
    <w:bookmarkEnd w:id="1"/>
    <w:p w14:paraId="7A43461B" w14:textId="77777777" w:rsidR="009C6A2A" w:rsidRDefault="009C6A2A">
      <w:pPr>
        <w:jc w:val="left"/>
        <w:rPr>
          <w:rFonts w:ascii="Times New Roman" w:hAnsi="Times New Roman"/>
          <w:b/>
          <w:bCs/>
          <w:sz w:val="20"/>
          <w:szCs w:val="20"/>
        </w:rPr>
      </w:pPr>
    </w:p>
    <w:sectPr w:rsidR="009C6A2A">
      <w:headerReference w:type="default" r:id="rId8"/>
      <w:pgSz w:w="11906" w:h="16838"/>
      <w:pgMar w:top="1440" w:right="1800" w:bottom="1440" w:left="1800" w:header="907" w:footer="992"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2FA7" w14:textId="77777777" w:rsidR="004F729E" w:rsidRDefault="004F729E">
      <w:pPr>
        <w:spacing w:after="0" w:line="240" w:lineRule="auto"/>
      </w:pPr>
      <w:r>
        <w:separator/>
      </w:r>
    </w:p>
  </w:endnote>
  <w:endnote w:type="continuationSeparator" w:id="0">
    <w:p w14:paraId="674586A7" w14:textId="77777777" w:rsidR="004F729E" w:rsidRDefault="004F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CAC3" w14:textId="77777777" w:rsidR="004F729E" w:rsidRDefault="004F729E">
      <w:pPr>
        <w:spacing w:after="0" w:line="240" w:lineRule="auto"/>
      </w:pPr>
      <w:r>
        <w:separator/>
      </w:r>
    </w:p>
  </w:footnote>
  <w:footnote w:type="continuationSeparator" w:id="0">
    <w:p w14:paraId="39E4FFC3" w14:textId="77777777" w:rsidR="004F729E" w:rsidRDefault="004F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5D00" w14:textId="77777777" w:rsidR="009C6A2A" w:rsidRDefault="009C6A2A">
    <w:pPr>
      <w:pStyle w:val="stBilgi"/>
      <w:pBdr>
        <w:bottom w:val="none" w:sz="0" w:space="1" w:color="auto"/>
      </w:pBdr>
      <w:jc w:val="left"/>
      <w:rPr>
        <w:b/>
        <w:bCs/>
        <w:color w:val="0C0C0C"/>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DC7151"/>
    <w:rsid w:val="00004B6C"/>
    <w:rsid w:val="00005597"/>
    <w:rsid w:val="000102E5"/>
    <w:rsid w:val="00031C44"/>
    <w:rsid w:val="00066422"/>
    <w:rsid w:val="00070D49"/>
    <w:rsid w:val="000900BB"/>
    <w:rsid w:val="00092B98"/>
    <w:rsid w:val="0009461F"/>
    <w:rsid w:val="000A1057"/>
    <w:rsid w:val="000B392B"/>
    <w:rsid w:val="000C0E74"/>
    <w:rsid w:val="000D7E1F"/>
    <w:rsid w:val="000E1CE5"/>
    <w:rsid w:val="000E262D"/>
    <w:rsid w:val="000E28A7"/>
    <w:rsid w:val="00124816"/>
    <w:rsid w:val="00127A77"/>
    <w:rsid w:val="0013418C"/>
    <w:rsid w:val="00137FCE"/>
    <w:rsid w:val="001473F9"/>
    <w:rsid w:val="00181D4C"/>
    <w:rsid w:val="00196F78"/>
    <w:rsid w:val="001A20A3"/>
    <w:rsid w:val="001D1B53"/>
    <w:rsid w:val="001D6E4D"/>
    <w:rsid w:val="001E0001"/>
    <w:rsid w:val="001E4853"/>
    <w:rsid w:val="0020752D"/>
    <w:rsid w:val="002146BF"/>
    <w:rsid w:val="00220BE5"/>
    <w:rsid w:val="00234ADD"/>
    <w:rsid w:val="002B42AB"/>
    <w:rsid w:val="002C076D"/>
    <w:rsid w:val="002F3D80"/>
    <w:rsid w:val="00306FD5"/>
    <w:rsid w:val="003416B8"/>
    <w:rsid w:val="00345072"/>
    <w:rsid w:val="0035075B"/>
    <w:rsid w:val="00360D9B"/>
    <w:rsid w:val="003618DC"/>
    <w:rsid w:val="003A465B"/>
    <w:rsid w:val="003A4F3A"/>
    <w:rsid w:val="00404100"/>
    <w:rsid w:val="00432877"/>
    <w:rsid w:val="004407F6"/>
    <w:rsid w:val="00490DB7"/>
    <w:rsid w:val="004D05ED"/>
    <w:rsid w:val="004F729E"/>
    <w:rsid w:val="00500067"/>
    <w:rsid w:val="00537443"/>
    <w:rsid w:val="00545206"/>
    <w:rsid w:val="00565D76"/>
    <w:rsid w:val="00590A47"/>
    <w:rsid w:val="005916DC"/>
    <w:rsid w:val="005B4CEC"/>
    <w:rsid w:val="005B5AF8"/>
    <w:rsid w:val="005D37E0"/>
    <w:rsid w:val="00601779"/>
    <w:rsid w:val="00603767"/>
    <w:rsid w:val="00615CBE"/>
    <w:rsid w:val="0062381C"/>
    <w:rsid w:val="006548F5"/>
    <w:rsid w:val="00655EFA"/>
    <w:rsid w:val="00694E11"/>
    <w:rsid w:val="006E73F7"/>
    <w:rsid w:val="00727EB7"/>
    <w:rsid w:val="00734CE5"/>
    <w:rsid w:val="007425A6"/>
    <w:rsid w:val="00742D51"/>
    <w:rsid w:val="00750B42"/>
    <w:rsid w:val="00760292"/>
    <w:rsid w:val="0077056D"/>
    <w:rsid w:val="00796465"/>
    <w:rsid w:val="007B371C"/>
    <w:rsid w:val="007B4238"/>
    <w:rsid w:val="007E132C"/>
    <w:rsid w:val="007E1DD2"/>
    <w:rsid w:val="007E7890"/>
    <w:rsid w:val="007F1787"/>
    <w:rsid w:val="00806996"/>
    <w:rsid w:val="00824B29"/>
    <w:rsid w:val="00836076"/>
    <w:rsid w:val="008647AC"/>
    <w:rsid w:val="00872E26"/>
    <w:rsid w:val="008A4AED"/>
    <w:rsid w:val="008A791B"/>
    <w:rsid w:val="008A7D2A"/>
    <w:rsid w:val="008B0A4E"/>
    <w:rsid w:val="008E2362"/>
    <w:rsid w:val="009340B8"/>
    <w:rsid w:val="00941A77"/>
    <w:rsid w:val="00966CCF"/>
    <w:rsid w:val="0098135A"/>
    <w:rsid w:val="00984078"/>
    <w:rsid w:val="009A1624"/>
    <w:rsid w:val="009C0E91"/>
    <w:rsid w:val="009C6A2A"/>
    <w:rsid w:val="009D25B1"/>
    <w:rsid w:val="009E42F6"/>
    <w:rsid w:val="009E72C2"/>
    <w:rsid w:val="009F1139"/>
    <w:rsid w:val="00A26F0D"/>
    <w:rsid w:val="00A420BF"/>
    <w:rsid w:val="00A479CF"/>
    <w:rsid w:val="00A63797"/>
    <w:rsid w:val="00A675D9"/>
    <w:rsid w:val="00A74C0F"/>
    <w:rsid w:val="00A82B3C"/>
    <w:rsid w:val="00AC47A3"/>
    <w:rsid w:val="00AC4905"/>
    <w:rsid w:val="00AC7386"/>
    <w:rsid w:val="00AC77FB"/>
    <w:rsid w:val="00AD4921"/>
    <w:rsid w:val="00AE1844"/>
    <w:rsid w:val="00AF119C"/>
    <w:rsid w:val="00B031BD"/>
    <w:rsid w:val="00B11704"/>
    <w:rsid w:val="00B11943"/>
    <w:rsid w:val="00B24D60"/>
    <w:rsid w:val="00B35F03"/>
    <w:rsid w:val="00B547EF"/>
    <w:rsid w:val="00B741CA"/>
    <w:rsid w:val="00B84609"/>
    <w:rsid w:val="00BA6108"/>
    <w:rsid w:val="00BE5D22"/>
    <w:rsid w:val="00BF2E6C"/>
    <w:rsid w:val="00C1487C"/>
    <w:rsid w:val="00C21E6A"/>
    <w:rsid w:val="00C250BD"/>
    <w:rsid w:val="00C30AEB"/>
    <w:rsid w:val="00C3116E"/>
    <w:rsid w:val="00C3591D"/>
    <w:rsid w:val="00C53DE7"/>
    <w:rsid w:val="00C60FB6"/>
    <w:rsid w:val="00C8256E"/>
    <w:rsid w:val="00C92A9B"/>
    <w:rsid w:val="00C92FEC"/>
    <w:rsid w:val="00C9331D"/>
    <w:rsid w:val="00C96281"/>
    <w:rsid w:val="00CF6081"/>
    <w:rsid w:val="00D15F2A"/>
    <w:rsid w:val="00D276C8"/>
    <w:rsid w:val="00D31577"/>
    <w:rsid w:val="00D3431C"/>
    <w:rsid w:val="00D459B2"/>
    <w:rsid w:val="00D46828"/>
    <w:rsid w:val="00D50869"/>
    <w:rsid w:val="00D516FC"/>
    <w:rsid w:val="00D81805"/>
    <w:rsid w:val="00D9783C"/>
    <w:rsid w:val="00D97A8D"/>
    <w:rsid w:val="00DB3A28"/>
    <w:rsid w:val="00DB637D"/>
    <w:rsid w:val="00DC6974"/>
    <w:rsid w:val="00DD000D"/>
    <w:rsid w:val="00E021FD"/>
    <w:rsid w:val="00E40905"/>
    <w:rsid w:val="00E41015"/>
    <w:rsid w:val="00E46AB7"/>
    <w:rsid w:val="00E83B8B"/>
    <w:rsid w:val="00EC4157"/>
    <w:rsid w:val="00EF66BF"/>
    <w:rsid w:val="00F06B81"/>
    <w:rsid w:val="00F17591"/>
    <w:rsid w:val="00F455A7"/>
    <w:rsid w:val="00F63DA7"/>
    <w:rsid w:val="00F75268"/>
    <w:rsid w:val="00F767C0"/>
    <w:rsid w:val="00F804C4"/>
    <w:rsid w:val="00F856EF"/>
    <w:rsid w:val="00F91CF6"/>
    <w:rsid w:val="00FA6A74"/>
    <w:rsid w:val="01FD3F87"/>
    <w:rsid w:val="024110D5"/>
    <w:rsid w:val="0392185D"/>
    <w:rsid w:val="03FF7506"/>
    <w:rsid w:val="04E62470"/>
    <w:rsid w:val="04F2546F"/>
    <w:rsid w:val="050122B9"/>
    <w:rsid w:val="05D13889"/>
    <w:rsid w:val="082D0D82"/>
    <w:rsid w:val="09185FF8"/>
    <w:rsid w:val="09A0089A"/>
    <w:rsid w:val="0C9E263F"/>
    <w:rsid w:val="0CE3274F"/>
    <w:rsid w:val="0E3352F0"/>
    <w:rsid w:val="0E5D597A"/>
    <w:rsid w:val="0E63677A"/>
    <w:rsid w:val="0E8B1D38"/>
    <w:rsid w:val="0ECE682C"/>
    <w:rsid w:val="101A28CE"/>
    <w:rsid w:val="104145E9"/>
    <w:rsid w:val="109A3E8D"/>
    <w:rsid w:val="111E14EE"/>
    <w:rsid w:val="1396229A"/>
    <w:rsid w:val="14776F8F"/>
    <w:rsid w:val="19505226"/>
    <w:rsid w:val="1A3B57C2"/>
    <w:rsid w:val="1ADB29BA"/>
    <w:rsid w:val="1CDD3D99"/>
    <w:rsid w:val="1DC0102F"/>
    <w:rsid w:val="1E754E83"/>
    <w:rsid w:val="1FB078AB"/>
    <w:rsid w:val="21AC6FBD"/>
    <w:rsid w:val="21BC02CF"/>
    <w:rsid w:val="226D1A0F"/>
    <w:rsid w:val="229B00F9"/>
    <w:rsid w:val="2582208B"/>
    <w:rsid w:val="25EC28C2"/>
    <w:rsid w:val="2751533C"/>
    <w:rsid w:val="287C4DFC"/>
    <w:rsid w:val="29FD1612"/>
    <w:rsid w:val="2A080588"/>
    <w:rsid w:val="2A3A7DF3"/>
    <w:rsid w:val="2B8A6176"/>
    <w:rsid w:val="2B8D766F"/>
    <w:rsid w:val="2BFB2FCB"/>
    <w:rsid w:val="2C482CC7"/>
    <w:rsid w:val="2FBF4E30"/>
    <w:rsid w:val="300A2338"/>
    <w:rsid w:val="30AA2D58"/>
    <w:rsid w:val="30B70245"/>
    <w:rsid w:val="315A5BE6"/>
    <w:rsid w:val="32052034"/>
    <w:rsid w:val="32FB7057"/>
    <w:rsid w:val="33F01D00"/>
    <w:rsid w:val="34F549D8"/>
    <w:rsid w:val="354445B6"/>
    <w:rsid w:val="35F61546"/>
    <w:rsid w:val="362839AE"/>
    <w:rsid w:val="36600B27"/>
    <w:rsid w:val="37E45A58"/>
    <w:rsid w:val="37F129DC"/>
    <w:rsid w:val="38772A96"/>
    <w:rsid w:val="38DD4464"/>
    <w:rsid w:val="3AC4178D"/>
    <w:rsid w:val="3C2229A2"/>
    <w:rsid w:val="3C551B69"/>
    <w:rsid w:val="3C6E6304"/>
    <w:rsid w:val="3C6E7F09"/>
    <w:rsid w:val="3CCA6AEC"/>
    <w:rsid w:val="3D337BF9"/>
    <w:rsid w:val="3D6C233B"/>
    <w:rsid w:val="3DD46CEF"/>
    <w:rsid w:val="3E966117"/>
    <w:rsid w:val="3FF825B3"/>
    <w:rsid w:val="409C32A8"/>
    <w:rsid w:val="4252437A"/>
    <w:rsid w:val="477E1A8A"/>
    <w:rsid w:val="477F4588"/>
    <w:rsid w:val="4854262A"/>
    <w:rsid w:val="492D6EEE"/>
    <w:rsid w:val="4A8B15A2"/>
    <w:rsid w:val="4AA21C03"/>
    <w:rsid w:val="4D1620AA"/>
    <w:rsid w:val="4EF3610E"/>
    <w:rsid w:val="50B12839"/>
    <w:rsid w:val="50E4434A"/>
    <w:rsid w:val="5119250D"/>
    <w:rsid w:val="51EB20C7"/>
    <w:rsid w:val="526E701A"/>
    <w:rsid w:val="537F726D"/>
    <w:rsid w:val="540C7BA8"/>
    <w:rsid w:val="54B01C28"/>
    <w:rsid w:val="556C11BE"/>
    <w:rsid w:val="55A60504"/>
    <w:rsid w:val="56093ED6"/>
    <w:rsid w:val="57380B5E"/>
    <w:rsid w:val="58046455"/>
    <w:rsid w:val="5A30246A"/>
    <w:rsid w:val="5B721CCB"/>
    <w:rsid w:val="5B7914B2"/>
    <w:rsid w:val="5BD773A0"/>
    <w:rsid w:val="5C0731EF"/>
    <w:rsid w:val="5D027DAC"/>
    <w:rsid w:val="5EAC688B"/>
    <w:rsid w:val="60FB08D3"/>
    <w:rsid w:val="626745FF"/>
    <w:rsid w:val="62D453C5"/>
    <w:rsid w:val="64253039"/>
    <w:rsid w:val="645863A4"/>
    <w:rsid w:val="64DA7525"/>
    <w:rsid w:val="65731058"/>
    <w:rsid w:val="65740D23"/>
    <w:rsid w:val="658D55F5"/>
    <w:rsid w:val="66865201"/>
    <w:rsid w:val="675F5141"/>
    <w:rsid w:val="677916AC"/>
    <w:rsid w:val="68326AEA"/>
    <w:rsid w:val="68DC7151"/>
    <w:rsid w:val="6BD95BC7"/>
    <w:rsid w:val="6C460174"/>
    <w:rsid w:val="6C6C578A"/>
    <w:rsid w:val="6DCB1686"/>
    <w:rsid w:val="6E3B03B7"/>
    <w:rsid w:val="6F695E77"/>
    <w:rsid w:val="70C023EB"/>
    <w:rsid w:val="71722EEC"/>
    <w:rsid w:val="72836CBD"/>
    <w:rsid w:val="738239C0"/>
    <w:rsid w:val="73A957DE"/>
    <w:rsid w:val="753A1891"/>
    <w:rsid w:val="78DC6A63"/>
    <w:rsid w:val="7B697578"/>
    <w:rsid w:val="7B832ACB"/>
    <w:rsid w:val="7C363007"/>
    <w:rsid w:val="7F51757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1A0F"/>
  <w15:docId w15:val="{71F326CE-EB8C-4085-926A-EB761566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200" w:line="276" w:lineRule="auto"/>
      <w:jc w:val="both"/>
    </w:pPr>
    <w:rPr>
      <w:rFonts w:ascii="Calibri" w:hAnsi="Calibri"/>
      <w:kern w:val="2"/>
      <w:sz w:val="21"/>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pPr>
      <w:spacing w:line="240" w:lineRule="auto"/>
    </w:pPr>
    <w:rPr>
      <w:sz w:val="20"/>
      <w:szCs w:val="20"/>
    </w:rPr>
  </w:style>
  <w:style w:type="paragraph" w:styleId="BalonMetni">
    <w:name w:val="Balloon Text"/>
    <w:basedOn w:val="Normal"/>
    <w:link w:val="BalonMetniChar"/>
    <w:pPr>
      <w:spacing w:after="0" w:line="240" w:lineRule="auto"/>
    </w:pPr>
    <w:rPr>
      <w:rFonts w:ascii="Tahoma" w:hAnsi="Tahoma" w:cs="Tahoma"/>
      <w:sz w:val="20"/>
      <w:szCs w:val="16"/>
    </w:rPr>
  </w:style>
  <w:style w:type="paragraph" w:styleId="AltBilgi">
    <w:name w:val="footer"/>
    <w:basedOn w:val="Normal"/>
    <w:qFormat/>
    <w:pPr>
      <w:tabs>
        <w:tab w:val="center" w:pos="4153"/>
        <w:tab w:val="right" w:pos="8306"/>
      </w:tabs>
      <w:snapToGrid w:val="0"/>
      <w:jc w:val="left"/>
    </w:pPr>
    <w:rPr>
      <w:sz w:val="18"/>
    </w:rPr>
  </w:style>
  <w:style w:type="paragraph" w:styleId="stBilgi">
    <w:name w:val="header"/>
    <w:basedOn w:val="Normal"/>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hAnsi="SimSun" w:cs="SimSun"/>
      <w:kern w:val="0"/>
      <w:sz w:val="24"/>
    </w:rPr>
  </w:style>
  <w:style w:type="paragraph" w:styleId="AklamaKonusu">
    <w:name w:val="annotation subject"/>
    <w:basedOn w:val="AklamaMetni"/>
    <w:next w:val="AklamaMetni"/>
    <w:link w:val="AklamaKonusuChar"/>
    <w:rPr>
      <w:b/>
      <w:bCs/>
    </w:rPr>
  </w:style>
  <w:style w:type="character" w:styleId="Kpr">
    <w:name w:val="Hyperlink"/>
    <w:qFormat/>
    <w:rPr>
      <w:color w:val="0000FF"/>
      <w:u w:val="single"/>
    </w:rPr>
  </w:style>
  <w:style w:type="character" w:styleId="AklamaBavurusu">
    <w:name w:val="annotation reference"/>
    <w:basedOn w:val="VarsaylanParagrafYazTipi"/>
    <w:rPr>
      <w:sz w:val="16"/>
      <w:szCs w:val="16"/>
    </w:rPr>
  </w:style>
  <w:style w:type="character" w:customStyle="1" w:styleId="normaltxt1">
    <w:name w:val="normaltxt1"/>
    <w:qFormat/>
    <w:rPr>
      <w:rFonts w:ascii="SimSun" w:eastAsia="SimSun" w:hAnsi="SimSun" w:cs="SimSun" w:hint="eastAsia"/>
      <w:color w:val="000000"/>
      <w:sz w:val="21"/>
      <w:szCs w:val="21"/>
    </w:rPr>
  </w:style>
  <w:style w:type="paragraph" w:customStyle="1" w:styleId="MDPI42tablebody">
    <w:name w:val="MDPI_4.2_table_body"/>
    <w:qFormat/>
    <w:pPr>
      <w:adjustRightInd w:val="0"/>
      <w:snapToGrid w:val="0"/>
      <w:spacing w:after="200" w:line="276" w:lineRule="auto"/>
    </w:pPr>
    <w:rPr>
      <w:rFonts w:ascii="Palatino Linotype" w:eastAsia="Times New Roman" w:hAnsi="Palatino Linotype"/>
      <w:snapToGrid w:val="0"/>
      <w:color w:val="000000"/>
      <w:sz w:val="21"/>
      <w:szCs w:val="22"/>
      <w:lang w:val="en-US" w:eastAsia="de-DE" w:bidi="en-US"/>
    </w:rPr>
  </w:style>
  <w:style w:type="paragraph" w:customStyle="1" w:styleId="EndNoteBibliography">
    <w:name w:val="EndNote Bibliography"/>
    <w:basedOn w:val="Normal"/>
    <w:qFormat/>
    <w:rPr>
      <w:rFonts w:cs="Calibri"/>
      <w:sz w:val="20"/>
    </w:rPr>
  </w:style>
  <w:style w:type="table" w:customStyle="1" w:styleId="Mdeck5tablebodythreelines">
    <w:name w:val="M_deck_5_table_body_three_lines"/>
    <w:basedOn w:val="NormalTablo"/>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jc w:val="center"/>
        <w:outlineLvl w:val="9"/>
      </w:pPr>
      <w:rPr>
        <w:rFonts w:ascii="Times New Roman" w:eastAsia="Times New Roman" w:hAnsi="Times New Roman"/>
        <w:b w:val="0"/>
        <w:i w:val="0"/>
        <w:snapToGrid w:val="0"/>
        <w:sz w:val="22"/>
      </w:rPr>
      <w:tblPr/>
      <w:tcPr>
        <w:tcBorders>
          <w:top w:val="single" w:sz="8" w:space="0" w:color="auto"/>
          <w:left w:val="single" w:sz="4" w:space="0" w:color="auto"/>
          <w:bottom w:val="nil"/>
          <w:right w:val="nil"/>
          <w:insideH w:val="nil"/>
          <w:insideV w:val="nil"/>
          <w:tl2br w:val="nil"/>
          <w:tr2bl w:val="nil"/>
        </w:tcBorders>
      </w:tcPr>
    </w:tblStylePr>
  </w:style>
  <w:style w:type="character" w:customStyle="1" w:styleId="WW8Num2z2">
    <w:name w:val="WW8Num2z2"/>
    <w:qFormat/>
  </w:style>
  <w:style w:type="paragraph" w:styleId="ListeParagraf">
    <w:name w:val="List Paragraph"/>
    <w:basedOn w:val="Normal"/>
    <w:uiPriority w:val="99"/>
    <w:qFormat/>
    <w:pPr>
      <w:ind w:left="720"/>
      <w:contextualSpacing/>
    </w:pPr>
  </w:style>
  <w:style w:type="character" w:customStyle="1" w:styleId="BalonMetniChar">
    <w:name w:val="Balon Metni Char"/>
    <w:basedOn w:val="VarsaylanParagrafYazTipi"/>
    <w:link w:val="BalonMetni"/>
    <w:rPr>
      <w:rFonts w:ascii="Tahoma" w:hAnsi="Tahoma" w:cs="Tahoma"/>
      <w:kern w:val="2"/>
      <w:szCs w:val="16"/>
      <w:lang w:val="en-US" w:eastAsia="zh-CN"/>
    </w:rPr>
  </w:style>
  <w:style w:type="character" w:customStyle="1" w:styleId="AklamaMetniChar">
    <w:name w:val="Açıklama Metni Char"/>
    <w:basedOn w:val="VarsaylanParagrafYazTipi"/>
    <w:link w:val="AklamaMetni"/>
    <w:rPr>
      <w:rFonts w:ascii="Calibri" w:hAnsi="Calibri"/>
      <w:kern w:val="2"/>
      <w:lang w:val="en-US" w:eastAsia="zh-CN"/>
    </w:rPr>
  </w:style>
  <w:style w:type="character" w:customStyle="1" w:styleId="AklamaKonusuChar">
    <w:name w:val="Açıklama Konusu Char"/>
    <w:basedOn w:val="AklamaMetniChar"/>
    <w:link w:val="AklamaKonusu"/>
    <w:rPr>
      <w:rFonts w:ascii="Calibri" w:hAnsi="Calibri"/>
      <w:b/>
      <w:bCs/>
      <w:kern w:val="2"/>
      <w:lang w:val="en-US" w:eastAsia="zh-CN"/>
    </w:rPr>
  </w:style>
  <w:style w:type="paragraph" w:customStyle="1" w:styleId="Dzeltme1">
    <w:name w:val="Düzeltme1"/>
    <w:hidden/>
    <w:uiPriority w:val="99"/>
    <w:unhideWhenUsed/>
    <w:pPr>
      <w:spacing w:after="0" w:line="240" w:lineRule="auto"/>
    </w:pPr>
    <w:rPr>
      <w:rFonts w:ascii="Calibri" w:hAnsi="Calibr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3345</Words>
  <Characters>19072</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其其格</dc:creator>
  <cp:lastModifiedBy>Ertugrul Gedik</cp:lastModifiedBy>
  <cp:revision>2</cp:revision>
  <dcterms:created xsi:type="dcterms:W3CDTF">2019-12-03T06:32:00Z</dcterms:created>
  <dcterms:modified xsi:type="dcterms:W3CDTF">2019-12-03T06:32:00Z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