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ascii="Times New Roman" w:hAnsi="Times New Roman" w:cs="Times New Roman"/>
          <w:b/>
          <w:sz w:val="24"/>
          <w:szCs w:val="24"/>
        </w:rPr>
      </w:pPr>
    </w:p>
    <w:p>
      <w:pPr>
        <w:spacing w:after="0" w:line="360" w:lineRule="auto"/>
        <w:rPr>
          <w:rFonts w:ascii="Times New Roman" w:hAnsi="Times New Roman" w:cs="Times New Roman"/>
          <w:b/>
          <w:sz w:val="24"/>
          <w:szCs w:val="24"/>
        </w:rPr>
      </w:pPr>
      <w:r>
        <w:rPr>
          <w:rFonts w:ascii="Times New Roman" w:hAnsi="Times New Roman" w:cs="Times New Roman"/>
          <w:b/>
          <w:sz w:val="24"/>
          <w:szCs w:val="24"/>
        </w:rPr>
        <w:t>A single center experience of Hypospadias Repair in Dar es Salaam, Tanzania</w:t>
      </w:r>
    </w:p>
    <w:p>
      <w:pP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sz w:val="24"/>
          <w:szCs w:val="24"/>
        </w:rPr>
        <w:t>David Sylevester Mgaya</w:t>
      </w:r>
      <w:r>
        <w:rPr>
          <w:rFonts w:ascii="Times New Roman" w:hAnsi="Times New Roman" w:cs="Times New Roman"/>
          <w:sz w:val="24"/>
          <w:szCs w:val="24"/>
          <w:vertAlign w:val="superscript"/>
        </w:rPr>
        <w:t>1</w:t>
      </w:r>
      <w:r>
        <w:rPr>
          <w:rFonts w:ascii="Times New Roman" w:hAnsi="Times New Roman" w:cs="Times New Roman"/>
          <w:sz w:val="24"/>
          <w:szCs w:val="24"/>
        </w:rPr>
        <w:t>*, Obadia  Venance Nyongole</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eastAsia="Calibri" w:cs="Times New Roman"/>
          <w:sz w:val="24"/>
          <w:szCs w:val="24"/>
          <w:lang w:val="en-GB"/>
        </w:rPr>
      </w:pPr>
      <w:r>
        <w:rPr>
          <w:rFonts w:ascii="Times New Roman" w:hAnsi="Times New Roman" w:cs="Times New Roman"/>
          <w:sz w:val="24"/>
          <w:szCs w:val="24"/>
          <w:vertAlign w:val="superscript"/>
        </w:rPr>
        <w:t>1</w:t>
      </w:r>
      <w:r>
        <w:rPr>
          <w:rFonts w:ascii="Times New Roman" w:hAnsi="Times New Roman" w:eastAsia="Calibri" w:cs="Times New Roman"/>
          <w:sz w:val="24"/>
          <w:szCs w:val="24"/>
          <w:lang w:val="en-GB"/>
        </w:rPr>
        <w:t>Department of surgery, Muhimbili University of Health and Allied Sciences P.O.Box 65001- Dar es salaam –Tanzania</w:t>
      </w:r>
    </w:p>
    <w:p>
      <w:pPr>
        <w:rPr>
          <w:rFonts w:ascii="Times New Roman" w:hAnsi="Times New Roman" w:eastAsia="Calibri" w:cs="Times New Roman"/>
          <w:sz w:val="24"/>
          <w:szCs w:val="24"/>
          <w:lang w:val="en-GB"/>
        </w:rPr>
      </w:pPr>
    </w:p>
    <w:p>
      <w:pPr>
        <w:rPr>
          <w:rFonts w:ascii="Times New Roman" w:hAnsi="Times New Roman" w:cs="Times New Roman"/>
          <w:sz w:val="24"/>
          <w:szCs w:val="24"/>
        </w:rPr>
      </w:pPr>
      <w:r>
        <w:rPr>
          <w:rFonts w:ascii="Times New Roman" w:hAnsi="Times New Roman" w:eastAsia="Calibri" w:cs="Times New Roman"/>
          <w:sz w:val="24"/>
          <w:szCs w:val="24"/>
          <w:lang w:val="en-GB"/>
        </w:rPr>
        <w:t>*Corresponding author</w:t>
      </w:r>
      <w:r>
        <w:rPr>
          <w:rFonts w:ascii="Times New Roman" w:hAnsi="Times New Roman" w:cs="Times New Roman"/>
          <w:sz w:val="24"/>
          <w:szCs w:val="24"/>
        </w:rPr>
        <w:t xml:space="preserve"> Email addresses</w:t>
      </w:r>
    </w:p>
    <w:p>
      <w:pPr>
        <w:rPr>
          <w:rStyle w:val="11"/>
          <w:rFonts w:ascii="Times New Roman" w:hAnsi="Times New Roman" w:eastAsia="Calibri" w:cs="Times New Roman"/>
          <w:sz w:val="24"/>
          <w:szCs w:val="24"/>
          <w:lang w:val="en-GB"/>
        </w:rPr>
      </w:pPr>
      <w:r>
        <w:rPr>
          <w:rFonts w:ascii="Times New Roman" w:hAnsi="Times New Roman" w:eastAsia="Calibri" w:cs="Times New Roman"/>
          <w:sz w:val="24"/>
          <w:szCs w:val="24"/>
          <w:lang w:val="en-GB"/>
        </w:rPr>
        <w:t xml:space="preserve">DSM: </w:t>
      </w:r>
      <w:r>
        <w:fldChar w:fldCharType="begin"/>
      </w:r>
      <w:r>
        <w:instrText xml:space="preserve"> HYPERLINK "mailto:Mgayadavid77@gmail.com" </w:instrText>
      </w:r>
      <w:r>
        <w:fldChar w:fldCharType="separate"/>
      </w:r>
      <w:r>
        <w:rPr>
          <w:rStyle w:val="11"/>
          <w:rFonts w:ascii="Times New Roman" w:hAnsi="Times New Roman" w:eastAsia="Calibri" w:cs="Times New Roman"/>
          <w:sz w:val="24"/>
          <w:szCs w:val="24"/>
          <w:lang w:val="en-GB"/>
        </w:rPr>
        <w:t>Mgayadavid77@gmail.com</w:t>
      </w:r>
      <w:r>
        <w:rPr>
          <w:rStyle w:val="11"/>
          <w:rFonts w:ascii="Times New Roman" w:hAnsi="Times New Roman" w:eastAsia="Calibri" w:cs="Times New Roman"/>
          <w:sz w:val="24"/>
          <w:szCs w:val="24"/>
          <w:lang w:val="en-GB"/>
        </w:rPr>
        <w:fldChar w:fldCharType="end"/>
      </w:r>
    </w:p>
    <w:p>
      <w:pPr>
        <w:rPr>
          <w:rFonts w:ascii="Times New Roman" w:hAnsi="Times New Roman" w:eastAsia="Calibri" w:cs="Times New Roman"/>
          <w:sz w:val="24"/>
          <w:szCs w:val="24"/>
          <w:lang w:val="en-GB"/>
        </w:rPr>
      </w:pPr>
      <w:r>
        <w:rPr>
          <w:rFonts w:ascii="Times New Roman" w:hAnsi="Times New Roman" w:eastAsia="Calibri" w:cs="Times New Roman"/>
          <w:sz w:val="24"/>
          <w:szCs w:val="24"/>
          <w:lang w:val="en-GB"/>
        </w:rPr>
        <w:t>OVN: onyongole@yahoo.co.uk</w:t>
      </w:r>
    </w:p>
    <w:p>
      <w:pPr>
        <w:pStyle w:val="2"/>
        <w:spacing w:line="240" w:lineRule="auto"/>
        <w:rPr>
          <w:rFonts w:ascii="Times New Roman" w:hAnsi="Times New Roman" w:cs="Times New Roman"/>
          <w:color w:val="auto"/>
          <w:sz w:val="24"/>
          <w:szCs w:val="24"/>
        </w:rPr>
      </w:pPr>
      <w:bookmarkStart w:id="0" w:name="_Toc19703636"/>
      <w:r>
        <w:rPr>
          <w:rFonts w:ascii="Times New Roman" w:hAnsi="Times New Roman" w:cs="Times New Roman"/>
          <w:color w:val="auto"/>
          <w:sz w:val="24"/>
          <w:szCs w:val="24"/>
        </w:rPr>
        <w:t>ABSTRACT</w:t>
      </w:r>
      <w:bookmarkEnd w:id="0"/>
    </w:p>
    <w:p>
      <w:pPr>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Background: </w:t>
      </w:r>
      <w:r>
        <w:rPr>
          <w:rFonts w:ascii="Times New Roman" w:hAnsi="Times New Roman" w:cs="Times New Roman"/>
          <w:sz w:val="24"/>
          <w:szCs w:val="24"/>
        </w:rPr>
        <w:t xml:space="preserve">Hypospadias is one of the common congenital anomaly that affects children. It can present classically with abnormal ventral opening, chordee and dorsal hood however isolate hypospadias do also exist. Hypospadias repair is one of the commonly performed surgical procedures at Muhimbili National Hospital (MNH) and the outcome of repair is influenced by several factors. </w:t>
      </w:r>
      <w:r>
        <w:rPr>
          <w:rFonts w:ascii="Times New Roman" w:hAnsi="Times New Roman" w:cs="Times New Roman"/>
          <w:b/>
          <w:bCs/>
          <w:sz w:val="24"/>
          <w:szCs w:val="24"/>
        </w:rPr>
        <w:t xml:space="preserve"> </w:t>
      </w:r>
      <w:r>
        <w:rPr>
          <w:rFonts w:ascii="Times New Roman" w:hAnsi="Times New Roman" w:cs="Times New Roman"/>
          <w:sz w:val="24"/>
          <w:szCs w:val="24"/>
        </w:rPr>
        <w:t>Our study aimed to assess the Profile and Early Outcome of Hypospadias repair at Muhimbili National Hospital.</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Methodology: </w:t>
      </w:r>
      <w:r>
        <w:rPr>
          <w:rFonts w:ascii="Times New Roman" w:hAnsi="Times New Roman" w:cs="Times New Roman"/>
          <w:sz w:val="24"/>
          <w:szCs w:val="24"/>
        </w:rPr>
        <w:t xml:space="preserve">This was a cross sectional study which involved all children with hypospadias aged ≥6 months and underwent first repair recruited by convenient sampling at Muhimbili national Hospital from March 2018 to January 2019 with a follow up of 30 days from surgery. We excluded </w:t>
      </w:r>
      <w:r>
        <w:rPr>
          <w:rFonts w:ascii="Times New Roman" w:hAnsi="Times New Roman" w:cs="Times New Roman"/>
          <w:sz w:val="24"/>
          <w:szCs w:val="24"/>
          <w:highlight w:val="yellow"/>
        </w:rPr>
        <w:t xml:space="preserve">children who had </w:t>
      </w:r>
      <w:commentRangeStart w:id="0"/>
      <w:r>
        <w:rPr>
          <w:rFonts w:ascii="Times New Roman" w:hAnsi="Times New Roman" w:cs="Times New Roman"/>
          <w:sz w:val="24"/>
          <w:szCs w:val="24"/>
          <w:highlight w:val="yellow"/>
        </w:rPr>
        <w:t>Repair</w:t>
      </w:r>
      <w:commentRangeEnd w:id="0"/>
      <w:r>
        <w:rPr>
          <w:rStyle w:val="12"/>
        </w:rPr>
        <w:commentReference w:id="0"/>
      </w:r>
      <w:r>
        <w:rPr>
          <w:rFonts w:ascii="Times New Roman" w:hAnsi="Times New Roman" w:cs="Times New Roman"/>
          <w:sz w:val="24"/>
          <w:szCs w:val="24"/>
        </w:rPr>
        <w:t xml:space="preserve"> before, those who underwent hypospadias repair and died within 24 hours post-operative. Mothers of each participating patient gave an informed consent.  Data were collected by a standardized questionnaire and analyzed by using SPSS program version 20. </w:t>
      </w:r>
    </w:p>
    <w:p>
      <w:pPr>
        <w:spacing w:after="0" w:line="240" w:lineRule="auto"/>
        <w:rPr>
          <w:rFonts w:ascii="Times New Roman" w:hAnsi="Times New Roman" w:cs="Times New Roman"/>
          <w:sz w:val="24"/>
          <w:szCs w:val="24"/>
        </w:rPr>
      </w:pPr>
    </w:p>
    <w:p>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 xml:space="preserve">Sixty-three children were enrolled in the study with </w:t>
      </w:r>
      <w:r>
        <w:rPr>
          <w:rFonts w:ascii="Times New Roman" w:hAnsi="Times New Roman" w:cs="Times New Roman"/>
          <w:sz w:val="24"/>
          <w:szCs w:val="24"/>
          <w:highlight w:val="yellow"/>
        </w:rPr>
        <w:t xml:space="preserve">mean age of 3.7 </w:t>
      </w:r>
      <w:commentRangeStart w:id="1"/>
      <w:r>
        <w:rPr>
          <w:rFonts w:ascii="Times New Roman" w:hAnsi="Times New Roman" w:cs="Times New Roman"/>
          <w:sz w:val="24"/>
          <w:szCs w:val="24"/>
          <w:highlight w:val="yellow"/>
        </w:rPr>
        <w:t>years</w:t>
      </w:r>
      <w:commentRangeEnd w:id="1"/>
      <w:r>
        <w:rPr>
          <w:rStyle w:val="12"/>
        </w:rPr>
        <w:commentReference w:id="1"/>
      </w:r>
      <w:r>
        <w:rPr>
          <w:rFonts w:ascii="Times New Roman" w:hAnsi="Times New Roman" w:cs="Times New Roman"/>
          <w:sz w:val="24"/>
          <w:szCs w:val="24"/>
        </w:rPr>
        <w:t xml:space="preserve">. Majority of our </w:t>
      </w:r>
      <w:r>
        <w:rPr>
          <w:rFonts w:ascii="Times New Roman" w:hAnsi="Times New Roman" w:cs="Times New Roman"/>
          <w:sz w:val="24"/>
          <w:szCs w:val="24"/>
          <w:highlight w:val="yellow"/>
        </w:rPr>
        <w:t>patient</w:t>
      </w:r>
      <w:r>
        <w:rPr>
          <w:rFonts w:ascii="Times New Roman" w:hAnsi="Times New Roman" w:cs="Times New Roman"/>
          <w:sz w:val="24"/>
          <w:szCs w:val="24"/>
        </w:rPr>
        <w:t xml:space="preserve"> </w:t>
      </w:r>
      <w:commentRangeStart w:id="2"/>
      <w:r>
        <w:rPr>
          <w:rFonts w:ascii="Times New Roman" w:hAnsi="Times New Roman" w:cs="Times New Roman"/>
          <w:sz w:val="24"/>
          <w:szCs w:val="24"/>
        </w:rPr>
        <w:t>had</w:t>
      </w:r>
      <w:commentRangeEnd w:id="2"/>
      <w:r>
        <w:rPr>
          <w:rStyle w:val="12"/>
        </w:rPr>
        <w:commentReference w:id="2"/>
      </w:r>
      <w:r>
        <w:rPr>
          <w:rFonts w:ascii="Times New Roman" w:hAnsi="Times New Roman" w:cs="Times New Roman"/>
          <w:sz w:val="24"/>
          <w:szCs w:val="24"/>
        </w:rPr>
        <w:t xml:space="preserve"> Subcorona hypospadias with Snodgrass tubularized incised plate urethroplasty being the common surgical technique. Thirty-seven (58.7%) patients had successful hypospadias repair while 26(41.3%) had complications. The most commonly found early complications were surgical site infection, hematoma, oedema, flap necrosis, urethrocutenous fistula, urethral stricture, wound dehiscent and meatal stenosis. Age&gt;3.5 years at repair, </w:t>
      </w:r>
      <w:r>
        <w:rPr>
          <w:rFonts w:ascii="Times New Roman" w:hAnsi="Times New Roman" w:cs="Times New Roman"/>
          <w:sz w:val="24"/>
          <w:szCs w:val="24"/>
          <w:highlight w:val="yellow"/>
        </w:rPr>
        <w:t xml:space="preserve">previous </w:t>
      </w:r>
      <w:commentRangeStart w:id="3"/>
      <w:r>
        <w:rPr>
          <w:rFonts w:ascii="Times New Roman" w:hAnsi="Times New Roman" w:cs="Times New Roman"/>
          <w:sz w:val="24"/>
          <w:szCs w:val="24"/>
          <w:highlight w:val="yellow"/>
        </w:rPr>
        <w:t>circumcised</w:t>
      </w:r>
      <w:commentRangeEnd w:id="3"/>
      <w:r>
        <w:rPr>
          <w:rStyle w:val="12"/>
        </w:rPr>
        <w:commentReference w:id="3"/>
      </w:r>
      <w:r>
        <w:rPr>
          <w:rFonts w:ascii="Times New Roman" w:hAnsi="Times New Roman" w:cs="Times New Roman"/>
          <w:sz w:val="24"/>
          <w:szCs w:val="24"/>
        </w:rPr>
        <w:t>, type and duration of urine drainage&lt; 7 days, type of dressing and changing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dressing &lt; 3 days were found to influence complications rate.</w:t>
      </w:r>
      <w:bookmarkStart w:id="2" w:name="_GoBack"/>
      <w:bookmarkEnd w:id="2"/>
    </w:p>
    <w:p>
      <w:pPr>
        <w:tabs>
          <w:tab w:val="left" w:pos="1320"/>
        </w:tabs>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Hypospadias is still the common pediatric urological condition with Snodgrass technique being preferred for repair. The outcome of the repair can be influence by different factors regardless of the technique of repair.</w:t>
      </w:r>
      <w:r>
        <w:rPr>
          <w:rFonts w:ascii="Times New Roman" w:hAnsi="Times New Roman" w:cs="Times New Roman"/>
          <w:b/>
          <w:sz w:val="24"/>
          <w:szCs w:val="24"/>
        </w:rPr>
        <w:t xml:space="preserv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Hypospadias, Repair, Outcome</w:t>
      </w:r>
    </w:p>
    <w:p>
      <w:pPr>
        <w:tabs>
          <w:tab w:val="left" w:pos="1320"/>
        </w:tabs>
        <w:spacing w:after="0" w:line="360" w:lineRule="auto"/>
        <w:jc w:val="both"/>
        <w:rPr>
          <w:rFonts w:ascii="Times New Roman" w:hAnsi="Times New Roman" w:cs="Times New Roman"/>
          <w:sz w:val="24"/>
          <w:szCs w:val="24"/>
        </w:rPr>
      </w:pPr>
    </w:p>
    <w:p>
      <w:pPr>
        <w:rPr>
          <w:rFonts w:ascii="Times New Roman" w:hAnsi="Times New Roman" w:cs="Times New Roman"/>
          <w:sz w:val="24"/>
          <w:szCs w:val="24"/>
        </w:rPr>
      </w:pP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Introduction:</w:t>
      </w:r>
      <w:r>
        <w:rPr>
          <w:rFonts w:ascii="Times New Roman" w:hAnsi="Times New Roman" w:cs="Times New Roman"/>
          <w:sz w:val="24"/>
          <w:szCs w:val="24"/>
        </w:rPr>
        <w:t xml:space="preserve">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Hypospadias is a congenital anomaly characterized by proximal urethral meatus, dorsal hooded prepuce and may have a ventral curvature (chordee). It may also be a part of disorder of sex differentiation, when present with </w:t>
      </w:r>
      <w:r>
        <w:rPr>
          <w:rFonts w:ascii="Times New Roman" w:hAnsi="Times New Roman" w:cs="Times New Roman"/>
          <w:bCs/>
          <w:sz w:val="24"/>
          <w:szCs w:val="24"/>
        </w:rPr>
        <w:t>Congenital anomalies</w:t>
      </w:r>
      <w:r>
        <w:rPr>
          <w:rFonts w:ascii="Times New Roman" w:hAnsi="Times New Roman" w:cs="Times New Roman"/>
          <w:sz w:val="24"/>
          <w:szCs w:val="24"/>
        </w:rPr>
        <w:t xml:space="preserve"> such as Cryptorchidism, </w:t>
      </w:r>
      <w:r>
        <w:rPr>
          <w:rFonts w:ascii="Times New Roman" w:hAnsi="Times New Roman" w:cs="Times New Roman"/>
          <w:bCs/>
          <w:sz w:val="24"/>
          <w:szCs w:val="24"/>
        </w:rPr>
        <w:t>scrotal and /or Anorectal anomalies.</w:t>
      </w:r>
      <w:r>
        <w:rPr>
          <w:rFonts w:ascii="Times New Roman" w:hAnsi="Times New Roman" w:cs="Times New Roman"/>
          <w:sz w:val="24"/>
          <w:szCs w:val="24"/>
        </w:rPr>
        <w:t xml:space="preserve"> These deformities impair the dual functions of penis which are voiding in a standing posture, cosmetic appearance, sexual intercourse (coitus) and insemination. The incidence is highest among Caucasians, less in Hispanics and least in blacks. It probably results from multiple factors such as endocrine, genetic and environmental factors (1-2).</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Classification of hypospadias is based on the position of the urethral meatus, such as distal hypospadias meatus at Glans penis, Corona or Subcoronal, Mid hypospadias urethral meatus at Distal, Mid penile or Proximal penile location, the proximal hypospadias with urethral meatus at penoscrotal, scrotal or perineal position (3). </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evolution of the surgical management of hypospadias can be grouped into three distinct periods, the first starts in first 3 centuries AD, the second during the middle ages or Medieval period and the third period runs from the 19th century until today. These periods seem to be closely linked to advances in instrument manufacture, anesthesia and suture material and surgical technique (1). There are about 250 surgical procedures of hypospdias repair but they can be mainly divided into single stage or multistage repair. The sequence of surgical repair consists of orthoplasty, urethroplasty, meatoplasty and glanuloplasty, scrotoplasty and skin coverage. Outcome of surgical repair is influenced by several factors such as severity of deformity, androgen therapy, and timing of surgery, instruments, use of magnification, suture materials and techniques, urine drainage, preoperative and post-operative antibiotics (4-6). Our study aimed to assess the Profile and Early Outcome of Hypospadias repair at Muhimbili National Hospital.</w:t>
      </w:r>
    </w:p>
    <w:p>
      <w:pPr>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Materials and Methods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was a hospital based cross sectional study that was conducted at Muhimbili National Hospital. Muhimbili is a National Referral Hospital and University Teaching Hospital with 1,500 bed facility, </w:t>
      </w:r>
      <w:r>
        <w:rPr>
          <w:rFonts w:ascii="Times New Roman" w:hAnsi="Times New Roman" w:cs="Times New Roman"/>
          <w:sz w:val="24"/>
          <w:szCs w:val="24"/>
          <w:highlight w:val="yellow"/>
        </w:rPr>
        <w:t xml:space="preserve">attending 1,000 to 1,200 out patients </w:t>
      </w:r>
      <w:commentRangeStart w:id="4"/>
      <w:r>
        <w:rPr>
          <w:rFonts w:ascii="Times New Roman" w:hAnsi="Times New Roman" w:cs="Times New Roman"/>
          <w:sz w:val="24"/>
          <w:szCs w:val="24"/>
          <w:highlight w:val="yellow"/>
        </w:rPr>
        <w:t>week</w:t>
      </w:r>
      <w:commentRangeEnd w:id="4"/>
      <w:r>
        <w:rPr>
          <w:rStyle w:val="12"/>
        </w:rPr>
        <w:commentReference w:id="4"/>
      </w:r>
      <w:r>
        <w:rPr>
          <w:rFonts w:ascii="Times New Roman" w:hAnsi="Times New Roman" w:cs="Times New Roman"/>
          <w:sz w:val="24"/>
          <w:szCs w:val="24"/>
          <w:highlight w:val="yellow"/>
        </w:rPr>
        <w:t>,</w:t>
      </w:r>
      <w:r>
        <w:rPr>
          <w:rFonts w:ascii="Times New Roman" w:hAnsi="Times New Roman" w:cs="Times New Roman"/>
          <w:sz w:val="24"/>
          <w:szCs w:val="24"/>
        </w:rPr>
        <w:t xml:space="preserve"> admitting 1,000 to 1,200 inpatients per week. It is located in Dar es Salaam, Ilala district, Upanga ward. MNH has 3 pediatrics surgeons, 8 urologists and 3 professors in urology that operates on hypospadias patients. Our study targeted all children who were admitted and underwent hypospadias repair at Pediatrics surgery wards, kibasila wards 14, 16 and Sewahaji wards 17, 18 for the period of March 2018 to January 2019 with a follow up of 30 days from surgery being recruited by convenient sampling. We excluded children who had </w:t>
      </w:r>
      <w:commentRangeStart w:id="5"/>
      <w:r>
        <w:rPr>
          <w:rFonts w:ascii="Times New Roman" w:hAnsi="Times New Roman" w:cs="Times New Roman"/>
          <w:sz w:val="24"/>
          <w:szCs w:val="24"/>
          <w:highlight w:val="yellow"/>
        </w:rPr>
        <w:t>Repair</w:t>
      </w:r>
      <w:commentRangeEnd w:id="5"/>
      <w:r>
        <w:rPr>
          <w:rStyle w:val="12"/>
        </w:rPr>
        <w:commentReference w:id="5"/>
      </w:r>
      <w:r>
        <w:rPr>
          <w:rFonts w:ascii="Times New Roman" w:hAnsi="Times New Roman" w:cs="Times New Roman"/>
          <w:sz w:val="24"/>
          <w:szCs w:val="24"/>
        </w:rPr>
        <w:t xml:space="preserve"> before, those who underwent hypospadias repair and died within 24 hours post-operative. Data were collected by a standardized questionnaire and analyzed by using SPSS program version 20 while association between variables was determined by chi square test. Association with p value of &lt; 0.05 </w:t>
      </w:r>
      <w:r>
        <w:rPr>
          <w:rFonts w:ascii="Times New Roman" w:hAnsi="Times New Roman" w:cs="Times New Roman"/>
          <w:sz w:val="24"/>
          <w:szCs w:val="24"/>
          <w:highlight w:val="yellow"/>
        </w:rPr>
        <w:t xml:space="preserve">was considered </w:t>
      </w:r>
      <w:commentRangeStart w:id="6"/>
      <w:r>
        <w:rPr>
          <w:rFonts w:ascii="Times New Roman" w:hAnsi="Times New Roman" w:cs="Times New Roman"/>
          <w:sz w:val="24"/>
          <w:szCs w:val="24"/>
          <w:highlight w:val="yellow"/>
        </w:rPr>
        <w:t>significant</w:t>
      </w:r>
      <w:commentRangeEnd w:id="6"/>
      <w:r>
        <w:rPr>
          <w:rStyle w:val="12"/>
        </w:rPr>
        <w:commentReference w:id="6"/>
      </w:r>
      <w:r>
        <w:rPr>
          <w:rFonts w:ascii="Times New Roman" w:hAnsi="Times New Roman" w:cs="Times New Roman"/>
          <w:sz w:val="24"/>
          <w:szCs w:val="24"/>
        </w:rPr>
        <w:t>.</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Ethical issues</w:t>
      </w:r>
    </w:p>
    <w:p>
      <w:pPr>
        <w:rPr>
          <w:rFonts w:ascii="Times New Roman" w:hAnsi="Times New Roman" w:cs="Times New Roman"/>
          <w:sz w:val="24"/>
          <w:szCs w:val="24"/>
        </w:rPr>
      </w:pPr>
      <w:r>
        <w:rPr>
          <w:rFonts w:ascii="Times New Roman" w:hAnsi="Times New Roman" w:cs="Times New Roman"/>
          <w:sz w:val="24"/>
          <w:szCs w:val="24"/>
        </w:rPr>
        <w:t xml:space="preserve">Ethical clearance was obtained from the Muhimbili University of Health and Allied Sciences (MUHAS) research and publication committee and MNH research and publication committee and the permission to conduct the study in the hospital was obtained from MNH management. Mothers of each participating patient gave an informed consent.   </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RESULTS</w:t>
      </w:r>
    </w:p>
    <w:p>
      <w:pPr>
        <w:tabs>
          <w:tab w:val="left" w:pos="1320"/>
        </w:tabs>
        <w:spacing w:after="0" w:line="240" w:lineRule="auto"/>
        <w:rPr>
          <w:rFonts w:ascii="Times New Roman" w:hAnsi="Times New Roman" w:cs="Times New Roman"/>
          <w:sz w:val="24"/>
          <w:szCs w:val="24"/>
        </w:rPr>
      </w:pPr>
      <w:r>
        <w:rPr>
          <w:rFonts w:ascii="Times New Roman" w:hAnsi="Times New Roman" w:cs="Times New Roman"/>
          <w:sz w:val="24"/>
          <w:szCs w:val="24"/>
        </w:rPr>
        <w:t>A total of 63 patients met our inclusion criterion and were recruited in the study. Majority (52.4%) patients had age between 1-3 years with mean age of 3.7 years. {</w:t>
      </w:r>
      <w:r>
        <w:rPr>
          <w:rFonts w:ascii="Times New Roman" w:hAnsi="Times New Roman" w:cs="Times New Roman"/>
          <w:b/>
          <w:sz w:val="24"/>
          <w:szCs w:val="24"/>
        </w:rPr>
        <w:t>Table 1</w:t>
      </w:r>
      <w:r>
        <w:rPr>
          <w:rFonts w:ascii="Times New Roman" w:hAnsi="Times New Roman" w:cs="Times New Roman"/>
          <w:sz w:val="24"/>
          <w:szCs w:val="24"/>
        </w:rPr>
        <w:t>}.</w:t>
      </w:r>
    </w:p>
    <w:p>
      <w:pPr>
        <w:tabs>
          <w:tab w:val="left" w:pos="1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pStyle w:val="3"/>
        <w:keepNext/>
        <w:spacing w:after="0"/>
        <w:rPr>
          <w:rFonts w:ascii="Times New Roman" w:hAnsi="Times New Roman"/>
          <w:color w:val="auto"/>
          <w:sz w:val="24"/>
          <w:szCs w:val="24"/>
        </w:rPr>
      </w:pPr>
      <w:r>
        <w:rPr>
          <w:rFonts w:ascii="Times New Roman" w:hAnsi="Times New Roman"/>
          <w:color w:val="auto"/>
          <w:sz w:val="24"/>
          <w:szCs w:val="24"/>
        </w:rPr>
        <w:t xml:space="preserve">Table </w:t>
      </w:r>
      <w:r>
        <w:rPr>
          <w:rFonts w:ascii="Times New Roman" w:hAnsi="Times New Roman"/>
          <w:color w:val="auto"/>
          <w:sz w:val="24"/>
          <w:szCs w:val="24"/>
        </w:rPr>
        <w:fldChar w:fldCharType="begin"/>
      </w:r>
      <w:r>
        <w:rPr>
          <w:rFonts w:ascii="Times New Roman" w:hAnsi="Times New Roman"/>
          <w:color w:val="auto"/>
          <w:sz w:val="24"/>
          <w:szCs w:val="24"/>
        </w:rPr>
        <w:instrText xml:space="preserve"> SEQ Table \* ARABIC </w:instrText>
      </w:r>
      <w:r>
        <w:rPr>
          <w:rFonts w:ascii="Times New Roman" w:hAnsi="Times New Roman"/>
          <w:color w:val="auto"/>
          <w:sz w:val="24"/>
          <w:szCs w:val="24"/>
        </w:rPr>
        <w:fldChar w:fldCharType="separate"/>
      </w:r>
      <w:r>
        <w:rPr>
          <w:rFonts w:ascii="Times New Roman" w:hAnsi="Times New Roman"/>
          <w:color w:val="auto"/>
          <w:sz w:val="24"/>
          <w:szCs w:val="24"/>
        </w:rPr>
        <w:t>1</w:t>
      </w:r>
      <w:r>
        <w:rPr>
          <w:rFonts w:ascii="Times New Roman" w:hAnsi="Times New Roman"/>
          <w:color w:val="auto"/>
          <w:sz w:val="24"/>
          <w:szCs w:val="24"/>
        </w:rPr>
        <w:fldChar w:fldCharType="end"/>
      </w:r>
      <w:r>
        <w:rPr>
          <w:rFonts w:ascii="Times New Roman" w:hAnsi="Times New Roman"/>
          <w:color w:val="auto"/>
          <w:sz w:val="24"/>
          <w:szCs w:val="24"/>
        </w:rPr>
        <w:t>: Age group of patient with hypospadias at primary repair at MNH</w:t>
      </w:r>
    </w:p>
    <w:tbl>
      <w:tblPr>
        <w:tblStyle w:val="9"/>
        <w:tblW w:w="7140" w:type="dxa"/>
        <w:tblInd w:w="9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19"/>
        <w:gridCol w:w="2521"/>
        <w:gridCol w:w="22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2419"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Age group in years</w:t>
            </w:r>
          </w:p>
        </w:tc>
        <w:tc>
          <w:tcPr>
            <w:tcW w:w="2521" w:type="dxa"/>
            <w:tcBorders>
              <w:top w:val="single" w:color="auto" w:sz="4" w:space="0"/>
              <w:bottom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Frequency</w:t>
            </w:r>
          </w:p>
        </w:tc>
        <w:tc>
          <w:tcPr>
            <w:tcW w:w="2200" w:type="dxa"/>
            <w:tcBorders>
              <w:top w:val="single" w:color="auto" w:sz="4" w:space="0"/>
              <w:bottom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Percentage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19" w:type="dxa"/>
            <w:tcBorders>
              <w:top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&lt; 1 year</w:t>
            </w:r>
          </w:p>
        </w:tc>
        <w:tc>
          <w:tcPr>
            <w:tcW w:w="2521" w:type="dxa"/>
            <w:tcBorders>
              <w:top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200" w:type="dxa"/>
            <w:tcBorders>
              <w:top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19"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1-3 years</w:t>
            </w:r>
          </w:p>
        </w:tc>
        <w:tc>
          <w:tcPr>
            <w:tcW w:w="2521"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20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19"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&gt;3 - 6 years</w:t>
            </w:r>
          </w:p>
        </w:tc>
        <w:tc>
          <w:tcPr>
            <w:tcW w:w="2521"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220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19"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&gt;6 years</w:t>
            </w:r>
          </w:p>
        </w:tc>
        <w:tc>
          <w:tcPr>
            <w:tcW w:w="2521"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20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19"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w:t>
            </w:r>
          </w:p>
        </w:tc>
        <w:tc>
          <w:tcPr>
            <w:tcW w:w="2521"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220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r>
    </w:tbl>
    <w:p>
      <w:pPr>
        <w:spacing w:line="240" w:lineRule="auto"/>
        <w:rPr>
          <w:rFonts w:ascii="Times New Roman" w:hAnsi="Times New Roman" w:cs="Times New Roman"/>
          <w:b/>
          <w:sz w:val="24"/>
          <w:szCs w:val="24"/>
        </w:rPr>
      </w:pPr>
    </w:p>
    <w:p>
      <w:pPr>
        <w:tabs>
          <w:tab w:val="left" w:pos="1320"/>
        </w:tabs>
        <w:spacing w:after="0" w:line="240" w:lineRule="auto"/>
        <w:rPr>
          <w:rFonts w:ascii="Times New Roman" w:hAnsi="Times New Roman" w:cs="Times New Roman"/>
          <w:sz w:val="24"/>
          <w:szCs w:val="24"/>
        </w:rPr>
      </w:pPr>
    </w:p>
    <w:p>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Most our patients (92.1%) had dorsal hooded prepuce while 30(47.6%) patients were found to have ventral curvature (chordee) of varying degree, 3(4.8%) had small glans penis warranting the to be given testosterone for 3 weeks before surgery together with 4(6.3%) who had small penile shaft {</w:t>
      </w:r>
      <w:r>
        <w:rPr>
          <w:rFonts w:ascii="Times New Roman" w:hAnsi="Times New Roman" w:cs="Times New Roman"/>
          <w:b/>
          <w:sz w:val="24"/>
          <w:szCs w:val="24"/>
        </w:rPr>
        <w:t>Tables 2</w:t>
      </w:r>
      <w:r>
        <w:rPr>
          <w:rFonts w:ascii="Times New Roman" w:hAnsi="Times New Roman" w:cs="Times New Roman"/>
          <w:sz w:val="24"/>
          <w:szCs w:val="24"/>
        </w:rPr>
        <w:t>}.</w:t>
      </w:r>
    </w:p>
    <w:p>
      <w:pPr>
        <w:tabs>
          <w:tab w:val="left" w:pos="1320"/>
        </w:tabs>
        <w:spacing w:after="0" w:line="360" w:lineRule="auto"/>
        <w:jc w:val="both"/>
        <w:rPr>
          <w:rFonts w:ascii="Times New Roman" w:hAnsi="Times New Roman" w:cs="Times New Roman"/>
          <w:b/>
          <w:sz w:val="24"/>
          <w:szCs w:val="24"/>
        </w:rPr>
      </w:pPr>
    </w:p>
    <w:p>
      <w:pPr>
        <w:pStyle w:val="3"/>
        <w:keepNext/>
        <w:spacing w:after="0"/>
        <w:rPr>
          <w:rFonts w:ascii="Times New Roman" w:hAnsi="Times New Roman"/>
          <w:color w:val="auto"/>
          <w:sz w:val="24"/>
          <w:szCs w:val="24"/>
        </w:rPr>
      </w:pPr>
      <w:r>
        <w:rPr>
          <w:rFonts w:ascii="Times New Roman" w:hAnsi="Times New Roman"/>
          <w:color w:val="auto"/>
          <w:sz w:val="24"/>
          <w:szCs w:val="24"/>
        </w:rPr>
        <w:t>Table 2: Clinical presentation N=63</w:t>
      </w:r>
    </w:p>
    <w:tbl>
      <w:tblPr>
        <w:tblStyle w:val="9"/>
        <w:tblW w:w="9184" w:type="dxa"/>
        <w:tblInd w:w="93" w:type="dxa"/>
        <w:tblLayout w:type="autofit"/>
        <w:tblCellMar>
          <w:top w:w="0" w:type="dxa"/>
          <w:left w:w="108" w:type="dxa"/>
          <w:bottom w:w="0" w:type="dxa"/>
          <w:right w:w="108" w:type="dxa"/>
        </w:tblCellMar>
      </w:tblPr>
      <w:tblGrid>
        <w:gridCol w:w="4682"/>
        <w:gridCol w:w="2309"/>
        <w:gridCol w:w="2193"/>
      </w:tblGrid>
      <w:tr>
        <w:tblPrEx>
          <w:tblCellMar>
            <w:top w:w="0" w:type="dxa"/>
            <w:left w:w="108" w:type="dxa"/>
            <w:bottom w:w="0" w:type="dxa"/>
            <w:right w:w="108" w:type="dxa"/>
          </w:tblCellMar>
        </w:tblPrEx>
        <w:trPr>
          <w:trHeight w:val="330" w:hRule="atLeast"/>
        </w:trPr>
        <w:tc>
          <w:tcPr>
            <w:tcW w:w="4682"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2309" w:type="dxa"/>
            <w:tcBorders>
              <w:top w:val="nil"/>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Frequency</w:t>
            </w:r>
          </w:p>
        </w:tc>
        <w:tc>
          <w:tcPr>
            <w:tcW w:w="2193" w:type="dxa"/>
            <w:tcBorders>
              <w:top w:val="nil"/>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Percentage</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Presence of Prepuce</w:t>
            </w:r>
          </w:p>
        </w:tc>
        <w:tc>
          <w:tcPr>
            <w:tcW w:w="230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193"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Dorsal hooded prepuce</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92.1</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highlight w:val="yellow"/>
              </w:rPr>
              <w:t xml:space="preserve">Previous </w:t>
            </w:r>
            <w:commentRangeStart w:id="7"/>
            <w:r>
              <w:rPr>
                <w:rFonts w:ascii="Times New Roman" w:hAnsi="Times New Roman" w:eastAsia="Times New Roman" w:cs="Times New Roman"/>
                <w:b/>
                <w:sz w:val="24"/>
                <w:szCs w:val="24"/>
                <w:highlight w:val="yellow"/>
              </w:rPr>
              <w:t>Circumcised</w:t>
            </w:r>
            <w:commentRangeEnd w:id="7"/>
            <w:r>
              <w:rPr>
                <w:rStyle w:val="12"/>
              </w:rPr>
              <w:commentReference w:id="7"/>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5</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7.9</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309" w:type="dxa"/>
            <w:tcBorders>
              <w:top w:val="nil"/>
              <w:left w:val="nil"/>
              <w:bottom w:val="nil"/>
              <w:right w:val="nil"/>
            </w:tcBorders>
            <w:shd w:val="clear" w:color="auto" w:fill="auto"/>
            <w:noWrap/>
            <w:vAlign w:val="bottom"/>
          </w:tcPr>
          <w:p>
            <w:pPr>
              <w:spacing w:after="0" w:line="240" w:lineRule="auto"/>
              <w:jc w:val="right"/>
              <w:rPr>
                <w:rFonts w:ascii="Times New Roman" w:hAnsi="Times New Roman" w:eastAsia="Times New Roman" w:cs="Times New Roman"/>
                <w:sz w:val="24"/>
                <w:szCs w:val="24"/>
              </w:rPr>
            </w:pPr>
          </w:p>
        </w:tc>
        <w:tc>
          <w:tcPr>
            <w:tcW w:w="2193" w:type="dxa"/>
            <w:tcBorders>
              <w:top w:val="nil"/>
              <w:left w:val="nil"/>
              <w:bottom w:val="nil"/>
              <w:right w:val="nil"/>
            </w:tcBorders>
            <w:shd w:val="clear" w:color="auto" w:fill="auto"/>
            <w:noWrap/>
            <w:vAlign w:val="bottom"/>
          </w:tcPr>
          <w:p>
            <w:pPr>
              <w:spacing w:after="0" w:line="240" w:lineRule="auto"/>
              <w:jc w:val="right"/>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Size of Glans penis</w:t>
            </w:r>
          </w:p>
        </w:tc>
        <w:tc>
          <w:tcPr>
            <w:tcW w:w="230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193"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Small (&lt;14 mm)</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4.8</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Adequate (≥14 mm)</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95.2</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30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193"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Size of penis</w:t>
            </w:r>
          </w:p>
        </w:tc>
        <w:tc>
          <w:tcPr>
            <w:tcW w:w="230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193"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Small</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Adequate</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59</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93.7</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193" w:type="dxa"/>
            <w:tcBorders>
              <w:top w:val="nil"/>
              <w:left w:val="nil"/>
              <w:bottom w:val="nil"/>
              <w:right w:val="nil"/>
            </w:tcBorders>
            <w:shd w:val="clear" w:color="auto" w:fill="auto"/>
            <w:noWrap/>
            <w:vAlign w:val="bottom"/>
          </w:tcPr>
          <w:p>
            <w:pPr>
              <w:spacing w:after="0" w:line="240" w:lineRule="auto"/>
              <w:jc w:val="right"/>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Location of urethral meatus</w:t>
            </w:r>
          </w:p>
        </w:tc>
        <w:tc>
          <w:tcPr>
            <w:tcW w:w="230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193"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Glans penis (megameatus)</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sz w:val="24"/>
                <w:szCs w:val="24"/>
              </w:rPr>
            </w:pPr>
            <w:commentRangeStart w:id="8"/>
            <w:r>
              <w:rPr>
                <w:rFonts w:ascii="Times New Roman" w:hAnsi="Times New Roman" w:eastAsia="Times New Roman" w:cs="Times New Roman"/>
                <w:b/>
                <w:sz w:val="24"/>
                <w:szCs w:val="24"/>
                <w:highlight w:val="yellow"/>
              </w:rPr>
              <w:t>Subcorona</w:t>
            </w:r>
            <w:commentRangeEnd w:id="8"/>
            <w:r>
              <w:rPr>
                <w:rStyle w:val="12"/>
              </w:rPr>
              <w:commentReference w:id="8"/>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21</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33.3</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Distal penile</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Mid penile</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12.7</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Proximal penile</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16</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25.4</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Scrotal</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Perineal</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309" w:type="dxa"/>
            <w:tcBorders>
              <w:top w:val="nil"/>
              <w:left w:val="nil"/>
              <w:bottom w:val="nil"/>
              <w:right w:val="nil"/>
            </w:tcBorders>
            <w:shd w:val="clear" w:color="auto" w:fill="auto"/>
            <w:noWrap/>
            <w:vAlign w:val="bottom"/>
          </w:tcPr>
          <w:p>
            <w:pPr>
              <w:spacing w:after="0" w:line="240" w:lineRule="auto"/>
              <w:jc w:val="right"/>
              <w:rPr>
                <w:rFonts w:ascii="Times New Roman" w:hAnsi="Times New Roman" w:eastAsia="Times New Roman" w:cs="Times New Roman"/>
                <w:sz w:val="24"/>
                <w:szCs w:val="24"/>
              </w:rPr>
            </w:pPr>
          </w:p>
        </w:tc>
        <w:tc>
          <w:tcPr>
            <w:tcW w:w="2193" w:type="dxa"/>
            <w:tcBorders>
              <w:top w:val="nil"/>
              <w:left w:val="nil"/>
              <w:bottom w:val="nil"/>
              <w:right w:val="nil"/>
            </w:tcBorders>
            <w:shd w:val="clear" w:color="auto" w:fill="auto"/>
            <w:noWrap/>
            <w:vAlign w:val="bottom"/>
          </w:tcPr>
          <w:p>
            <w:pPr>
              <w:spacing w:after="0" w:line="240" w:lineRule="auto"/>
              <w:jc w:val="right"/>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Ventral curvature</w:t>
            </w:r>
          </w:p>
        </w:tc>
        <w:tc>
          <w:tcPr>
            <w:tcW w:w="230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193"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Yes</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30</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47.6</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52.4</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309" w:type="dxa"/>
            <w:tcBorders>
              <w:top w:val="nil"/>
              <w:left w:val="nil"/>
              <w:bottom w:val="nil"/>
              <w:right w:val="nil"/>
            </w:tcBorders>
            <w:shd w:val="clear" w:color="auto" w:fill="auto"/>
            <w:noWrap/>
            <w:vAlign w:val="bottom"/>
          </w:tcPr>
          <w:p>
            <w:pPr>
              <w:spacing w:after="0" w:line="240" w:lineRule="auto"/>
              <w:jc w:val="right"/>
              <w:rPr>
                <w:rFonts w:ascii="Times New Roman" w:hAnsi="Times New Roman" w:eastAsia="Times New Roman" w:cs="Times New Roman"/>
                <w:sz w:val="24"/>
                <w:szCs w:val="24"/>
              </w:rPr>
            </w:pPr>
          </w:p>
        </w:tc>
        <w:tc>
          <w:tcPr>
            <w:tcW w:w="2193" w:type="dxa"/>
            <w:tcBorders>
              <w:top w:val="nil"/>
              <w:left w:val="nil"/>
              <w:bottom w:val="nil"/>
              <w:right w:val="nil"/>
            </w:tcBorders>
            <w:shd w:val="clear" w:color="auto" w:fill="auto"/>
            <w:noWrap/>
            <w:vAlign w:val="bottom"/>
          </w:tcPr>
          <w:p>
            <w:pPr>
              <w:spacing w:after="0" w:line="240" w:lineRule="auto"/>
              <w:jc w:val="right"/>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Presence of testes</w:t>
            </w:r>
          </w:p>
        </w:tc>
        <w:tc>
          <w:tcPr>
            <w:tcW w:w="2309"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193"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96.8</w:t>
            </w:r>
          </w:p>
        </w:tc>
      </w:tr>
      <w:tr>
        <w:tblPrEx>
          <w:tblCellMar>
            <w:top w:w="0" w:type="dxa"/>
            <w:left w:w="108" w:type="dxa"/>
            <w:bottom w:w="0" w:type="dxa"/>
            <w:right w:w="108" w:type="dxa"/>
          </w:tblCellMar>
        </w:tblPrEx>
        <w:trPr>
          <w:trHeight w:val="224" w:hRule="atLeast"/>
        </w:trPr>
        <w:tc>
          <w:tcPr>
            <w:tcW w:w="4682"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No</w:t>
            </w:r>
          </w:p>
        </w:tc>
        <w:tc>
          <w:tcPr>
            <w:tcW w:w="2309"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w:t>
            </w:r>
          </w:p>
        </w:tc>
        <w:tc>
          <w:tcPr>
            <w:tcW w:w="219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3.2</w:t>
            </w:r>
          </w:p>
        </w:tc>
      </w:tr>
      <w:tr>
        <w:tblPrEx>
          <w:tblCellMar>
            <w:top w:w="0" w:type="dxa"/>
            <w:left w:w="108" w:type="dxa"/>
            <w:bottom w:w="0" w:type="dxa"/>
            <w:right w:w="108" w:type="dxa"/>
          </w:tblCellMar>
        </w:tblPrEx>
        <w:trPr>
          <w:trHeight w:val="89" w:hRule="atLeast"/>
        </w:trPr>
        <w:tc>
          <w:tcPr>
            <w:tcW w:w="4682"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309" w:type="dxa"/>
            <w:tcBorders>
              <w:top w:val="nil"/>
              <w:left w:val="nil"/>
              <w:bottom w:val="single" w:color="auto" w:sz="4" w:space="0"/>
              <w:right w:val="nil"/>
            </w:tcBorders>
            <w:shd w:val="clear" w:color="auto" w:fill="auto"/>
            <w:noWrap/>
            <w:vAlign w:val="bottom"/>
          </w:tcPr>
          <w:p>
            <w:pPr>
              <w:spacing w:after="0" w:line="240" w:lineRule="auto"/>
              <w:jc w:val="right"/>
              <w:rPr>
                <w:rFonts w:ascii="Times New Roman" w:hAnsi="Times New Roman" w:eastAsia="Times New Roman" w:cs="Times New Roman"/>
                <w:sz w:val="24"/>
                <w:szCs w:val="24"/>
              </w:rPr>
            </w:pPr>
          </w:p>
        </w:tc>
        <w:tc>
          <w:tcPr>
            <w:tcW w:w="2193" w:type="dxa"/>
            <w:tcBorders>
              <w:top w:val="nil"/>
              <w:left w:val="nil"/>
              <w:bottom w:val="single" w:color="auto" w:sz="4" w:space="0"/>
              <w:right w:val="nil"/>
            </w:tcBorders>
            <w:shd w:val="clear" w:color="auto" w:fill="auto"/>
            <w:noWrap/>
            <w:vAlign w:val="bottom"/>
          </w:tcPr>
          <w:p>
            <w:pPr>
              <w:spacing w:after="0" w:line="240" w:lineRule="auto"/>
              <w:jc w:val="right"/>
              <w:rPr>
                <w:rFonts w:ascii="Times New Roman" w:hAnsi="Times New Roman" w:eastAsia="Times New Roman" w:cs="Times New Roman"/>
                <w:sz w:val="24"/>
                <w:szCs w:val="24"/>
              </w:rPr>
            </w:pPr>
          </w:p>
        </w:tc>
      </w:tr>
    </w:tbl>
    <w:p>
      <w:pPr>
        <w:tabs>
          <w:tab w:val="left" w:pos="1320"/>
        </w:tabs>
        <w:spacing w:after="0" w:line="360" w:lineRule="auto"/>
        <w:jc w:val="both"/>
        <w:rPr>
          <w:rFonts w:ascii="Times New Roman" w:hAnsi="Times New Roman" w:cs="Times New Roman"/>
          <w:sz w:val="24"/>
          <w:szCs w:val="24"/>
        </w:rPr>
      </w:pPr>
    </w:p>
    <w:p>
      <w:pPr>
        <w:tabs>
          <w:tab w:val="left" w:pos="132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Four surgical techniques were commonly used at Muhimbili National Hospital with Tubularized incised plate (Snodgrass) being most popular by 55.6% followed by staged hypospadias repair 14(22.2%).  Meatal advancement and Glanuloplasty was applied by 13(20.6%) while Onlay prepucial skin graft was a least popular technique by (1.6%). {</w:t>
      </w:r>
      <w:r>
        <w:rPr>
          <w:rFonts w:ascii="Times New Roman" w:hAnsi="Times New Roman" w:cs="Times New Roman"/>
          <w:b/>
          <w:sz w:val="24"/>
          <w:szCs w:val="24"/>
        </w:rPr>
        <w:t>Table 3 below</w:t>
      </w:r>
      <w:r>
        <w:rPr>
          <w:rFonts w:ascii="Times New Roman" w:hAnsi="Times New Roman" w:cs="Times New Roman"/>
          <w:sz w:val="24"/>
          <w:szCs w:val="24"/>
        </w:rPr>
        <w:t>}.</w:t>
      </w:r>
    </w:p>
    <w:p>
      <w:pPr>
        <w:tabs>
          <w:tab w:val="left" w:pos="1320"/>
        </w:tabs>
        <w:spacing w:after="0"/>
        <w:rPr>
          <w:rFonts w:ascii="Times New Roman" w:hAnsi="Times New Roman" w:cs="Times New Roman"/>
          <w:b/>
          <w:sz w:val="24"/>
          <w:szCs w:val="24"/>
        </w:rPr>
      </w:pPr>
    </w:p>
    <w:p>
      <w:pPr>
        <w:pStyle w:val="3"/>
        <w:keepNext/>
        <w:spacing w:after="0"/>
        <w:rPr>
          <w:rFonts w:ascii="Times New Roman" w:hAnsi="Times New Roman"/>
          <w:color w:val="auto"/>
          <w:sz w:val="24"/>
          <w:szCs w:val="24"/>
        </w:rPr>
      </w:pPr>
      <w:r>
        <w:rPr>
          <w:rFonts w:ascii="Times New Roman" w:hAnsi="Times New Roman"/>
          <w:color w:val="auto"/>
          <w:sz w:val="24"/>
          <w:szCs w:val="24"/>
        </w:rPr>
        <w:t>Table 3: Common surgical technique used</w:t>
      </w:r>
    </w:p>
    <w:tbl>
      <w:tblPr>
        <w:tblStyle w:val="9"/>
        <w:tblW w:w="7045" w:type="dxa"/>
        <w:tblInd w:w="93" w:type="dxa"/>
        <w:tblLayout w:type="autofit"/>
        <w:tblCellMar>
          <w:top w:w="0" w:type="dxa"/>
          <w:left w:w="108" w:type="dxa"/>
          <w:bottom w:w="0" w:type="dxa"/>
          <w:right w:w="108" w:type="dxa"/>
        </w:tblCellMar>
      </w:tblPr>
      <w:tblGrid>
        <w:gridCol w:w="4288"/>
        <w:gridCol w:w="1787"/>
        <w:gridCol w:w="970"/>
      </w:tblGrid>
      <w:tr>
        <w:tblPrEx>
          <w:tblCellMar>
            <w:top w:w="0" w:type="dxa"/>
            <w:left w:w="108" w:type="dxa"/>
            <w:bottom w:w="0" w:type="dxa"/>
            <w:right w:w="108" w:type="dxa"/>
          </w:tblCellMar>
        </w:tblPrEx>
        <w:trPr>
          <w:trHeight w:val="320" w:hRule="atLeast"/>
        </w:trPr>
        <w:tc>
          <w:tcPr>
            <w:tcW w:w="4288" w:type="dxa"/>
            <w:tcBorders>
              <w:top w:val="single" w:color="auto" w:sz="4" w:space="0"/>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787"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Frequency</w:t>
            </w:r>
          </w:p>
        </w:tc>
        <w:tc>
          <w:tcPr>
            <w:tcW w:w="970" w:type="dxa"/>
            <w:tcBorders>
              <w:top w:val="single" w:color="auto" w:sz="4" w:space="0"/>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Percent</w:t>
            </w:r>
          </w:p>
        </w:tc>
      </w:tr>
      <w:tr>
        <w:tblPrEx>
          <w:tblCellMar>
            <w:top w:w="0" w:type="dxa"/>
            <w:left w:w="108" w:type="dxa"/>
            <w:bottom w:w="0" w:type="dxa"/>
            <w:right w:w="108" w:type="dxa"/>
          </w:tblCellMar>
        </w:tblPrEx>
        <w:trPr>
          <w:trHeight w:val="320" w:hRule="atLeast"/>
        </w:trPr>
        <w:tc>
          <w:tcPr>
            <w:tcW w:w="42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Tubularized incised plate (Snodgrass)</w:t>
            </w:r>
          </w:p>
        </w:tc>
        <w:tc>
          <w:tcPr>
            <w:tcW w:w="1787"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35</w:t>
            </w:r>
          </w:p>
        </w:tc>
        <w:tc>
          <w:tcPr>
            <w:tcW w:w="970"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55.6</w:t>
            </w:r>
          </w:p>
        </w:tc>
      </w:tr>
      <w:tr>
        <w:tblPrEx>
          <w:tblCellMar>
            <w:top w:w="0" w:type="dxa"/>
            <w:left w:w="108" w:type="dxa"/>
            <w:bottom w:w="0" w:type="dxa"/>
            <w:right w:w="108" w:type="dxa"/>
          </w:tblCellMar>
        </w:tblPrEx>
        <w:trPr>
          <w:trHeight w:val="320" w:hRule="atLeast"/>
        </w:trPr>
        <w:tc>
          <w:tcPr>
            <w:tcW w:w="42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Staged hypospadias repair</w:t>
            </w:r>
          </w:p>
        </w:tc>
        <w:tc>
          <w:tcPr>
            <w:tcW w:w="1787"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970"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p>
        </w:tc>
      </w:tr>
      <w:tr>
        <w:tblPrEx>
          <w:tblCellMar>
            <w:top w:w="0" w:type="dxa"/>
            <w:left w:w="108" w:type="dxa"/>
            <w:bottom w:w="0" w:type="dxa"/>
            <w:right w:w="108" w:type="dxa"/>
          </w:tblCellMar>
        </w:tblPrEx>
        <w:trPr>
          <w:trHeight w:val="320" w:hRule="atLeast"/>
        </w:trPr>
        <w:tc>
          <w:tcPr>
            <w:tcW w:w="42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Meatal advancement and glanuloplasty</w:t>
            </w:r>
          </w:p>
        </w:tc>
        <w:tc>
          <w:tcPr>
            <w:tcW w:w="1787"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970"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20.6</w:t>
            </w:r>
          </w:p>
        </w:tc>
      </w:tr>
      <w:tr>
        <w:tblPrEx>
          <w:tblCellMar>
            <w:top w:w="0" w:type="dxa"/>
            <w:left w:w="108" w:type="dxa"/>
            <w:bottom w:w="0" w:type="dxa"/>
            <w:right w:w="108" w:type="dxa"/>
          </w:tblCellMar>
        </w:tblPrEx>
        <w:trPr>
          <w:trHeight w:val="320" w:hRule="atLeast"/>
        </w:trPr>
        <w:tc>
          <w:tcPr>
            <w:tcW w:w="428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Onlay prepucial skin flap</w:t>
            </w:r>
          </w:p>
        </w:tc>
        <w:tc>
          <w:tcPr>
            <w:tcW w:w="1787"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970"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r>
      <w:tr>
        <w:tblPrEx>
          <w:tblCellMar>
            <w:top w:w="0" w:type="dxa"/>
            <w:left w:w="108" w:type="dxa"/>
            <w:bottom w:w="0" w:type="dxa"/>
            <w:right w:w="108" w:type="dxa"/>
          </w:tblCellMar>
        </w:tblPrEx>
        <w:trPr>
          <w:trHeight w:val="320" w:hRule="atLeast"/>
        </w:trPr>
        <w:tc>
          <w:tcPr>
            <w:tcW w:w="4288"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Total</w:t>
            </w:r>
          </w:p>
        </w:tc>
        <w:tc>
          <w:tcPr>
            <w:tcW w:w="1787" w:type="dxa"/>
            <w:tcBorders>
              <w:top w:val="nil"/>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970" w:type="dxa"/>
            <w:tcBorders>
              <w:top w:val="nil"/>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r>
    </w:tbl>
    <w:p>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1320"/>
        </w:tabs>
        <w:spacing w:after="0" w:line="240" w:lineRule="auto"/>
        <w:jc w:val="both"/>
        <w:rPr>
          <w:rFonts w:ascii="Times New Roman" w:hAnsi="Times New Roman" w:cs="Times New Roman"/>
          <w:sz w:val="24"/>
          <w:szCs w:val="24"/>
        </w:rPr>
      </w:pPr>
    </w:p>
    <w:p>
      <w:pPr>
        <w:tabs>
          <w:tab w:val="left" w:pos="1320"/>
        </w:tabs>
        <w:spacing w:after="0" w:line="240" w:lineRule="auto"/>
        <w:jc w:val="both"/>
        <w:rPr>
          <w:rFonts w:ascii="Times New Roman" w:hAnsi="Times New Roman" w:cs="Times New Roman"/>
          <w:sz w:val="24"/>
          <w:szCs w:val="24"/>
        </w:rPr>
      </w:pPr>
    </w:p>
    <w:p>
      <w:pPr>
        <w:tabs>
          <w:tab w:val="left" w:pos="1320"/>
        </w:tabs>
        <w:spacing w:after="0" w:line="240" w:lineRule="auto"/>
        <w:jc w:val="both"/>
        <w:rPr>
          <w:rFonts w:ascii="Times New Roman" w:hAnsi="Times New Roman" w:cs="Times New Roman"/>
          <w:sz w:val="24"/>
          <w:szCs w:val="24"/>
        </w:rPr>
      </w:pPr>
    </w:p>
    <w:p>
      <w:pPr>
        <w:tabs>
          <w:tab w:val="left" w:pos="1320"/>
        </w:tabs>
        <w:spacing w:after="0" w:line="240" w:lineRule="auto"/>
        <w:jc w:val="both"/>
        <w:rPr>
          <w:rFonts w:ascii="Times New Roman" w:hAnsi="Times New Roman" w:cs="Times New Roman"/>
          <w:sz w:val="24"/>
          <w:szCs w:val="24"/>
        </w:rPr>
      </w:pPr>
    </w:p>
    <w:p>
      <w:pPr>
        <w:tabs>
          <w:tab w:val="left" w:pos="1320"/>
        </w:tabs>
        <w:spacing w:after="0" w:line="240" w:lineRule="auto"/>
        <w:jc w:val="both"/>
        <w:rPr>
          <w:rFonts w:ascii="Times New Roman" w:hAnsi="Times New Roman" w:cs="Times New Roman"/>
          <w:sz w:val="24"/>
          <w:szCs w:val="24"/>
        </w:rPr>
      </w:pPr>
    </w:p>
    <w:p>
      <w:pPr>
        <w:tabs>
          <w:tab w:val="left" w:pos="1320"/>
        </w:tabs>
        <w:spacing w:after="0" w:line="240" w:lineRule="auto"/>
        <w:jc w:val="both"/>
        <w:rPr>
          <w:rFonts w:ascii="Times New Roman" w:hAnsi="Times New Roman" w:cs="Times New Roman"/>
          <w:sz w:val="24"/>
          <w:szCs w:val="24"/>
        </w:rPr>
      </w:pPr>
    </w:p>
    <w:p>
      <w:pPr>
        <w:tabs>
          <w:tab w:val="left" w:pos="1320"/>
        </w:tabs>
        <w:spacing w:after="0" w:line="240" w:lineRule="auto"/>
        <w:jc w:val="both"/>
        <w:rPr>
          <w:rFonts w:ascii="Times New Roman" w:hAnsi="Times New Roman" w:cs="Times New Roman"/>
          <w:sz w:val="24"/>
          <w:szCs w:val="24"/>
        </w:rPr>
      </w:pPr>
    </w:p>
    <w:p>
      <w:pPr>
        <w:tabs>
          <w:tab w:val="left" w:pos="1320"/>
        </w:tabs>
        <w:spacing w:after="0" w:line="240" w:lineRule="auto"/>
        <w:jc w:val="both"/>
        <w:rPr>
          <w:rFonts w:ascii="Times New Roman" w:hAnsi="Times New Roman" w:cs="Times New Roman"/>
          <w:sz w:val="24"/>
          <w:szCs w:val="24"/>
        </w:rPr>
      </w:pPr>
    </w:p>
    <w:p>
      <w:pPr>
        <w:tabs>
          <w:tab w:val="left" w:pos="1320"/>
        </w:tabs>
        <w:spacing w:after="0" w:line="240" w:lineRule="auto"/>
        <w:jc w:val="both"/>
        <w:rPr>
          <w:rFonts w:ascii="Times New Roman" w:hAnsi="Times New Roman" w:cs="Times New Roman"/>
          <w:sz w:val="24"/>
          <w:szCs w:val="24"/>
        </w:rPr>
      </w:pPr>
    </w:p>
    <w:p>
      <w:pPr>
        <w:tabs>
          <w:tab w:val="left" w:pos="1320"/>
        </w:tabs>
        <w:spacing w:after="0" w:line="240" w:lineRule="auto"/>
        <w:jc w:val="both"/>
        <w:rPr>
          <w:rFonts w:ascii="Times New Roman" w:hAnsi="Times New Roman" w:cs="Times New Roman"/>
          <w:sz w:val="24"/>
          <w:szCs w:val="24"/>
        </w:rPr>
      </w:pPr>
    </w:p>
    <w:p>
      <w:pPr>
        <w:tabs>
          <w:tab w:val="left" w:pos="1320"/>
        </w:tabs>
        <w:spacing w:after="0" w:line="240" w:lineRule="auto"/>
        <w:jc w:val="both"/>
        <w:rPr>
          <w:rFonts w:ascii="Times New Roman" w:hAnsi="Times New Roman" w:cs="Times New Roman"/>
          <w:sz w:val="24"/>
          <w:szCs w:val="24"/>
        </w:rPr>
      </w:pPr>
    </w:p>
    <w:p>
      <w:pPr>
        <w:tabs>
          <w:tab w:val="left" w:pos="13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Majority of our patients 37(58.7%) had successful hypospadias repair upon a follow up of 30 days while 26(41.3%) patients had complications post hypospadias repair in which surgical site infection was the commonest complication 23(36.5%) followed by hematoma formation 20(31.7%), urethral stricture and flap necrosis involving skin only rare complications by1(1.6%) respectively. {</w:t>
      </w:r>
      <w:r>
        <w:rPr>
          <w:rFonts w:ascii="Times New Roman" w:hAnsi="Times New Roman" w:cs="Times New Roman"/>
          <w:b/>
          <w:sz w:val="24"/>
          <w:szCs w:val="24"/>
        </w:rPr>
        <w:t>Tables 4.1 and 4.2</w:t>
      </w:r>
      <w:r>
        <w:rPr>
          <w:rFonts w:ascii="Times New Roman" w:hAnsi="Times New Roman" w:cs="Times New Roman"/>
          <w:sz w:val="24"/>
          <w:szCs w:val="24"/>
        </w:rPr>
        <w:t>}.</w:t>
      </w:r>
    </w:p>
    <w:tbl>
      <w:tblPr>
        <w:tblStyle w:val="9"/>
        <w:tblW w:w="9339" w:type="dxa"/>
        <w:tblInd w:w="93" w:type="dxa"/>
        <w:tblLayout w:type="autofit"/>
        <w:tblCellMar>
          <w:top w:w="0" w:type="dxa"/>
          <w:left w:w="108" w:type="dxa"/>
          <w:bottom w:w="0" w:type="dxa"/>
          <w:right w:w="108" w:type="dxa"/>
        </w:tblCellMar>
      </w:tblPr>
      <w:tblGrid>
        <w:gridCol w:w="5295"/>
        <w:gridCol w:w="2001"/>
        <w:gridCol w:w="2043"/>
      </w:tblGrid>
      <w:tr>
        <w:tblPrEx>
          <w:tblCellMar>
            <w:top w:w="0" w:type="dxa"/>
            <w:left w:w="108" w:type="dxa"/>
            <w:bottom w:w="0" w:type="dxa"/>
            <w:right w:w="108" w:type="dxa"/>
          </w:tblCellMar>
        </w:tblPrEx>
        <w:trPr>
          <w:trHeight w:val="254" w:hRule="atLeast"/>
        </w:trPr>
        <w:tc>
          <w:tcPr>
            <w:tcW w:w="9339" w:type="dxa"/>
            <w:gridSpan w:val="3"/>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Table 4.1; </w:t>
            </w:r>
            <w:r>
              <w:rPr>
                <w:rFonts w:ascii="Times New Roman" w:hAnsi="Times New Roman" w:cs="Times New Roman"/>
                <w:b/>
                <w:sz w:val="24"/>
                <w:szCs w:val="24"/>
              </w:rPr>
              <w:t>Early outcome of hypospadias repair before being discharged N=63</w:t>
            </w:r>
          </w:p>
        </w:tc>
      </w:tr>
      <w:tr>
        <w:tblPrEx>
          <w:tblCellMar>
            <w:top w:w="0" w:type="dxa"/>
            <w:left w:w="108" w:type="dxa"/>
            <w:bottom w:w="0" w:type="dxa"/>
            <w:right w:w="108" w:type="dxa"/>
          </w:tblCellMar>
        </w:tblPrEx>
        <w:trPr>
          <w:trHeight w:val="254" w:hRule="atLeast"/>
        </w:trPr>
        <w:tc>
          <w:tcPr>
            <w:tcW w:w="5295"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2001" w:type="dxa"/>
            <w:tcBorders>
              <w:top w:val="nil"/>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Frequency</w:t>
            </w:r>
          </w:p>
        </w:tc>
        <w:tc>
          <w:tcPr>
            <w:tcW w:w="2043" w:type="dxa"/>
            <w:tcBorders>
              <w:top w:val="nil"/>
              <w:left w:val="nil"/>
              <w:bottom w:val="single" w:color="auto" w:sz="4" w:space="0"/>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Percentage</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Hematoma</w:t>
            </w:r>
          </w:p>
        </w:tc>
        <w:tc>
          <w:tcPr>
            <w:tcW w:w="200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Yes</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20</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31.7</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68.3</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Oedema</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Severe</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28.6</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Mild</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71.4</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Surgical site infection</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Yes</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23</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36.5</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63.5</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Flap necrosis involving skin only</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98.4</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7296"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Flap necrosis involving both skin and dartos fascia</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Yes</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17</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27</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73</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Urethrocutenous fistulae</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82.5</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Poor urine stream with straining</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98.4</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Complete urethroplasty dehiscence</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Yes</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7</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11.1</w:t>
            </w:r>
          </w:p>
        </w:tc>
      </w:tr>
      <w:tr>
        <w:tblPrEx>
          <w:tblCellMar>
            <w:top w:w="0" w:type="dxa"/>
            <w:left w:w="108" w:type="dxa"/>
            <w:bottom w:w="0" w:type="dxa"/>
            <w:right w:w="108" w:type="dxa"/>
          </w:tblCellMar>
        </w:tblPrEx>
        <w:trPr>
          <w:trHeight w:val="254" w:hRule="atLeast"/>
        </w:trPr>
        <w:tc>
          <w:tcPr>
            <w:tcW w:w="52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2001"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2043"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88.9</w:t>
            </w:r>
          </w:p>
        </w:tc>
      </w:tr>
      <w:tr>
        <w:tblPrEx>
          <w:tblCellMar>
            <w:top w:w="0" w:type="dxa"/>
            <w:left w:w="108" w:type="dxa"/>
            <w:bottom w:w="0" w:type="dxa"/>
            <w:right w:w="108" w:type="dxa"/>
          </w:tblCellMar>
        </w:tblPrEx>
        <w:trPr>
          <w:trHeight w:val="254" w:hRule="atLeast"/>
        </w:trPr>
        <w:tc>
          <w:tcPr>
            <w:tcW w:w="5295"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001" w:type="dxa"/>
            <w:tcBorders>
              <w:top w:val="nil"/>
              <w:left w:val="nil"/>
              <w:bottom w:val="single" w:color="auto" w:sz="4" w:space="0"/>
              <w:right w:val="nil"/>
            </w:tcBorders>
            <w:shd w:val="clear" w:color="auto" w:fill="auto"/>
            <w:noWrap/>
            <w:vAlign w:val="bottom"/>
          </w:tcPr>
          <w:p>
            <w:pPr>
              <w:spacing w:after="0" w:line="240" w:lineRule="auto"/>
              <w:jc w:val="right"/>
              <w:rPr>
                <w:rFonts w:ascii="Times New Roman" w:hAnsi="Times New Roman" w:eastAsia="Times New Roman" w:cs="Times New Roman"/>
                <w:sz w:val="24"/>
                <w:szCs w:val="24"/>
              </w:rPr>
            </w:pPr>
          </w:p>
        </w:tc>
        <w:tc>
          <w:tcPr>
            <w:tcW w:w="2043" w:type="dxa"/>
            <w:tcBorders>
              <w:top w:val="nil"/>
              <w:left w:val="nil"/>
              <w:bottom w:val="single" w:color="auto" w:sz="4" w:space="0"/>
              <w:right w:val="nil"/>
            </w:tcBorders>
            <w:shd w:val="clear" w:color="auto" w:fill="auto"/>
            <w:noWrap/>
            <w:vAlign w:val="bottom"/>
          </w:tcPr>
          <w:p>
            <w:pPr>
              <w:spacing w:after="0" w:line="240" w:lineRule="auto"/>
              <w:jc w:val="right"/>
              <w:rPr>
                <w:rFonts w:ascii="Times New Roman" w:hAnsi="Times New Roman" w:eastAsia="Times New Roman" w:cs="Times New Roman"/>
                <w:sz w:val="24"/>
                <w:szCs w:val="24"/>
              </w:rPr>
            </w:pPr>
          </w:p>
        </w:tc>
      </w:tr>
    </w:tbl>
    <w:p>
      <w:pPr>
        <w:tabs>
          <w:tab w:val="left" w:pos="1320"/>
        </w:tabs>
        <w:spacing w:after="0"/>
        <w:rPr>
          <w:rFonts w:ascii="Times New Roman" w:hAnsi="Times New Roman" w:cs="Times New Roman"/>
          <w:sz w:val="24"/>
          <w:szCs w:val="24"/>
        </w:rPr>
      </w:pPr>
    </w:p>
    <w:p>
      <w:pPr>
        <w:tabs>
          <w:tab w:val="left" w:pos="1320"/>
        </w:tabs>
        <w:spacing w:after="0"/>
        <w:rPr>
          <w:rFonts w:ascii="Times New Roman" w:hAnsi="Times New Roman" w:cs="Times New Roman"/>
          <w:sz w:val="24"/>
          <w:szCs w:val="24"/>
        </w:rPr>
      </w:pPr>
    </w:p>
    <w:tbl>
      <w:tblPr>
        <w:tblStyle w:val="9"/>
        <w:tblW w:w="9895" w:type="dxa"/>
        <w:tblInd w:w="9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8"/>
        <w:gridCol w:w="358"/>
        <w:gridCol w:w="358"/>
        <w:gridCol w:w="2468"/>
        <w:gridCol w:w="379"/>
        <w:gridCol w:w="207"/>
        <w:gridCol w:w="174"/>
        <w:gridCol w:w="379"/>
        <w:gridCol w:w="1656"/>
        <w:gridCol w:w="1375"/>
        <w:gridCol w:w="2147"/>
        <w:gridCol w:w="3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9895" w:type="dxa"/>
            <w:gridSpan w:val="12"/>
            <w:tcBorders>
              <w:top w:val="nil"/>
              <w:bottom w:val="single" w:color="auto" w:sz="4" w:space="0"/>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Table 4.2; Outcome of hypospadias patient 30 days post repair and </w:t>
            </w:r>
            <w:commentRangeStart w:id="9"/>
            <w:r>
              <w:rPr>
                <w:rFonts w:ascii="Times New Roman" w:hAnsi="Times New Roman" w:eastAsia="Times New Roman" w:cs="Times New Roman"/>
                <w:b/>
                <w:sz w:val="24"/>
                <w:szCs w:val="24"/>
                <w:highlight w:val="yellow"/>
              </w:rPr>
              <w:t>dicharge</w:t>
            </w:r>
            <w:commentRangeEnd w:id="9"/>
            <w:r>
              <w:rPr>
                <w:rStyle w:val="12"/>
              </w:rPr>
              <w:commentReference w:id="9"/>
            </w:r>
            <w:r>
              <w:rPr>
                <w:rFonts w:ascii="Times New Roman" w:hAnsi="Times New Roman" w:eastAsia="Times New Roman" w:cs="Times New Roman"/>
                <w:b/>
                <w:sz w:val="24"/>
                <w:szCs w:val="24"/>
              </w:rPr>
              <w:t> N=63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542" w:type="dxa"/>
            <w:gridSpan w:val="4"/>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79"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81" w:type="dxa"/>
            <w:gridSpan w:val="2"/>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79"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3031" w:type="dxa"/>
            <w:gridSpan w:val="2"/>
            <w:tcBorders>
              <w:top w:val="single" w:color="auto" w:sz="4" w:space="0"/>
              <w:bottom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Frequency</w:t>
            </w:r>
          </w:p>
        </w:tc>
        <w:tc>
          <w:tcPr>
            <w:tcW w:w="2183" w:type="dxa"/>
            <w:gridSpan w:val="2"/>
            <w:tcBorders>
              <w:top w:val="single" w:color="auto" w:sz="4" w:space="0"/>
              <w:bottom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Percentage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84" w:hRule="atLeast"/>
        </w:trPr>
        <w:tc>
          <w:tcPr>
            <w:tcW w:w="3921" w:type="dxa"/>
            <w:gridSpan w:val="5"/>
            <w:tcBorders>
              <w:top w:val="single" w:color="auto" w:sz="4" w:space="0"/>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Successful repair</w:t>
            </w:r>
          </w:p>
        </w:tc>
        <w:tc>
          <w:tcPr>
            <w:tcW w:w="381" w:type="dxa"/>
            <w:gridSpan w:val="2"/>
            <w:tcBorders>
              <w:top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379" w:type="dxa"/>
            <w:tcBorders>
              <w:top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tcBorders>
              <w:top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2183" w:type="dxa"/>
            <w:gridSpan w:val="2"/>
            <w:tcBorders>
              <w:top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542" w:type="dxa"/>
            <w:gridSpan w:val="4"/>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w:t>
            </w: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81"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w:t>
            </w: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84" w:hRule="atLeast"/>
        </w:trPr>
        <w:tc>
          <w:tcPr>
            <w:tcW w:w="3542" w:type="dxa"/>
            <w:gridSpan w:val="4"/>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81"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4681" w:type="dxa"/>
            <w:gridSpan w:val="8"/>
            <w:shd w:val="clear" w:color="auto" w:fill="auto"/>
            <w:noWrap/>
            <w:vAlign w:val="bottom"/>
          </w:tcPr>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Urethral meatus at the tip of glans penis</w:t>
            </w: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542" w:type="dxa"/>
            <w:gridSpan w:val="4"/>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Yes  </w:t>
            </w: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81"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542" w:type="dxa"/>
            <w:gridSpan w:val="4"/>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No</w:t>
            </w: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81"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67" w:type="dxa"/>
          <w:trHeight w:val="184" w:hRule="atLeast"/>
        </w:trPr>
        <w:tc>
          <w:tcPr>
            <w:tcW w:w="358"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58"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58"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54" w:type="dxa"/>
            <w:gridSpan w:val="3"/>
            <w:shd w:val="clear" w:color="auto" w:fill="auto"/>
            <w:noWrap/>
            <w:vAlign w:val="bottom"/>
          </w:tcPr>
          <w:p>
            <w:pPr>
              <w:spacing w:after="0" w:line="240" w:lineRule="auto"/>
              <w:jc w:val="right"/>
              <w:rPr>
                <w:rFonts w:ascii="Times New Roman" w:hAnsi="Times New Roman" w:eastAsia="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921" w:type="dxa"/>
            <w:gridSpan w:val="5"/>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Meatal stenosis</w:t>
            </w:r>
          </w:p>
        </w:tc>
        <w:tc>
          <w:tcPr>
            <w:tcW w:w="381"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542" w:type="dxa"/>
            <w:gridSpan w:val="4"/>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w:t>
            </w: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81"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542" w:type="dxa"/>
            <w:gridSpan w:val="4"/>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81"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558" w:type="dxa"/>
          <w:trHeight w:val="184" w:hRule="atLeast"/>
        </w:trPr>
        <w:tc>
          <w:tcPr>
            <w:tcW w:w="358"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58"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58"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54" w:type="dxa"/>
            <w:gridSpan w:val="3"/>
            <w:shd w:val="clear" w:color="auto" w:fill="auto"/>
            <w:noWrap/>
            <w:vAlign w:val="bottom"/>
          </w:tcPr>
          <w:p>
            <w:pPr>
              <w:spacing w:after="0" w:line="240" w:lineRule="auto"/>
              <w:jc w:val="right"/>
              <w:rPr>
                <w:rFonts w:ascii="Times New Roman" w:hAnsi="Times New Roman" w:eastAsia="Times New Roman" w:cs="Times New Roman"/>
                <w:sz w:val="24"/>
                <w:szCs w:val="24"/>
              </w:rPr>
            </w:pPr>
          </w:p>
        </w:tc>
        <w:tc>
          <w:tcPr>
            <w:tcW w:w="2209" w:type="dxa"/>
            <w:gridSpan w:val="3"/>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4302" w:type="dxa"/>
            <w:gridSpan w:val="7"/>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Urethrocutenous fistula</w:t>
            </w: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542" w:type="dxa"/>
            <w:gridSpan w:val="4"/>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w:t>
            </w: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81"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542" w:type="dxa"/>
            <w:gridSpan w:val="4"/>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81"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558" w:type="dxa"/>
          <w:trHeight w:val="184" w:hRule="atLeast"/>
        </w:trPr>
        <w:tc>
          <w:tcPr>
            <w:tcW w:w="358"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58"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58"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54" w:type="dxa"/>
            <w:gridSpan w:val="3"/>
            <w:shd w:val="clear" w:color="auto" w:fill="auto"/>
            <w:noWrap/>
            <w:vAlign w:val="bottom"/>
          </w:tcPr>
          <w:p>
            <w:pPr>
              <w:spacing w:after="0" w:line="240" w:lineRule="auto"/>
              <w:jc w:val="right"/>
              <w:rPr>
                <w:rFonts w:ascii="Times New Roman" w:hAnsi="Times New Roman" w:eastAsia="Times New Roman" w:cs="Times New Roman"/>
                <w:sz w:val="24"/>
                <w:szCs w:val="24"/>
              </w:rPr>
            </w:pPr>
          </w:p>
        </w:tc>
        <w:tc>
          <w:tcPr>
            <w:tcW w:w="2209" w:type="dxa"/>
            <w:gridSpan w:val="3"/>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921" w:type="dxa"/>
            <w:gridSpan w:val="5"/>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Urethra stricture</w:t>
            </w:r>
          </w:p>
        </w:tc>
        <w:tc>
          <w:tcPr>
            <w:tcW w:w="381"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542" w:type="dxa"/>
            <w:gridSpan w:val="4"/>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w:t>
            </w: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81"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 w:hRule="atLeast"/>
        </w:trPr>
        <w:tc>
          <w:tcPr>
            <w:tcW w:w="3542" w:type="dxa"/>
            <w:gridSpan w:val="4"/>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81"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379"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2183"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181" w:hRule="atLeast"/>
        </w:trPr>
        <w:tc>
          <w:tcPr>
            <w:tcW w:w="4681" w:type="dxa"/>
            <w:gridSpan w:val="8"/>
            <w:shd w:val="clear" w:color="auto" w:fill="auto"/>
            <w:noWrap/>
            <w:vAlign w:val="bottom"/>
          </w:tcPr>
          <w:p>
            <w:pPr>
              <w:pStyle w:val="16"/>
              <w:numPr>
                <w:ilvl w:val="0"/>
                <w:numId w:val="1"/>
              </w:numPr>
              <w:spacing w:after="0" w:line="240" w:lineRule="auto"/>
              <w:jc w:val="center"/>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Complete urethroplasty dehiscence</w:t>
            </w: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2147"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181" w:hRule="atLeast"/>
        </w:trPr>
        <w:tc>
          <w:tcPr>
            <w:tcW w:w="4681" w:type="dxa"/>
            <w:gridSpan w:val="8"/>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w:t>
            </w: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147"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181" w:hRule="atLeast"/>
        </w:trPr>
        <w:tc>
          <w:tcPr>
            <w:tcW w:w="4681" w:type="dxa"/>
            <w:gridSpan w:val="8"/>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3031" w:type="dxa"/>
            <w:gridSpan w:val="2"/>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2147"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88.9</w:t>
            </w:r>
          </w:p>
        </w:tc>
      </w:tr>
    </w:tbl>
    <w:p>
      <w:pPr>
        <w:tabs>
          <w:tab w:val="left" w:pos="1320"/>
        </w:tabs>
        <w:spacing w:after="0"/>
        <w:rPr>
          <w:rFonts w:ascii="Times New Roman" w:hAnsi="Times New Roman" w:cs="Times New Roman"/>
          <w:sz w:val="24"/>
          <w:szCs w:val="24"/>
        </w:rPr>
      </w:pPr>
    </w:p>
    <w:p>
      <w:pPr>
        <w:tabs>
          <w:tab w:val="left" w:pos="1320"/>
        </w:tabs>
        <w:spacing w:after="0" w:line="360" w:lineRule="auto"/>
        <w:jc w:val="both"/>
        <w:rPr>
          <w:rFonts w:ascii="Times New Roman" w:hAnsi="Times New Roman" w:cs="Times New Roman"/>
          <w:b/>
          <w:sz w:val="24"/>
          <w:szCs w:val="24"/>
        </w:rPr>
      </w:pPr>
    </w:p>
    <w:p>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Age above 3.5 years at primary repair had complication was found to influence complications rate by 51.7% compared to 32.4% of patients with age ≤3.5years, previous circumcision influenced complication rate by 60%, single staged repair for posterior hypospadias was accompanied with complications when compared to 6(37.5%) patients with posterior hypospadias who underwent staged repair. Urine drainage by cystostomy and stent for more than 7 days was in favor of good outcome although it was not significant with a p value of 0.06. The influence to the outcome of suture materials, use of magnifying lens and surgeons experience were not established. {</w:t>
      </w:r>
      <w:r>
        <w:rPr>
          <w:rFonts w:ascii="Times New Roman" w:hAnsi="Times New Roman" w:cs="Times New Roman"/>
          <w:b/>
          <w:sz w:val="24"/>
          <w:szCs w:val="24"/>
        </w:rPr>
        <w:t>Table 5</w:t>
      </w:r>
      <w:r>
        <w:rPr>
          <w:rFonts w:ascii="Times New Roman" w:hAnsi="Times New Roman" w:cs="Times New Roman"/>
          <w:sz w:val="24"/>
          <w:szCs w:val="24"/>
        </w:rPr>
        <w:t>}</w:t>
      </w:r>
    </w:p>
    <w:p>
      <w:pPr>
        <w:tabs>
          <w:tab w:val="left" w:pos="1320"/>
        </w:tabs>
        <w:spacing w:after="0" w:line="360" w:lineRule="auto"/>
        <w:jc w:val="both"/>
        <w:rPr>
          <w:rFonts w:ascii="Times New Roman" w:hAnsi="Times New Roman" w:cs="Times New Roman"/>
          <w:sz w:val="24"/>
          <w:szCs w:val="24"/>
        </w:rPr>
      </w:pPr>
    </w:p>
    <w:tbl>
      <w:tblPr>
        <w:tblStyle w:val="9"/>
        <w:tblW w:w="10391" w:type="dxa"/>
        <w:tblInd w:w="93"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5"/>
        <w:gridCol w:w="130"/>
        <w:gridCol w:w="680"/>
        <w:gridCol w:w="1842"/>
        <w:gridCol w:w="1758"/>
        <w:gridCol w:w="1006"/>
        <w:gridCol w:w="163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761" w:type="dxa"/>
            <w:gridSpan w:val="6"/>
            <w:tcBorders>
              <w:bottom w:val="single" w:color="auto" w:sz="4" w:space="0"/>
            </w:tcBorders>
            <w:shd w:val="clear" w:color="auto" w:fill="auto"/>
            <w:noWrap/>
            <w:vAlign w:val="bottom"/>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Table5; Univariate analysis of factors influencing outcome of hypospadias repair N=63</w:t>
            </w:r>
          </w:p>
        </w:tc>
        <w:tc>
          <w:tcPr>
            <w:tcW w:w="1630" w:type="dxa"/>
            <w:tcBorders>
              <w:bottom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3345"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Variable</w:t>
            </w:r>
          </w:p>
        </w:tc>
        <w:tc>
          <w:tcPr>
            <w:tcW w:w="810" w:type="dxa"/>
            <w:gridSpan w:val="2"/>
            <w:tcBorders>
              <w:top w:val="single" w:color="auto" w:sz="4" w:space="0"/>
              <w:bottom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Total</w:t>
            </w:r>
          </w:p>
        </w:tc>
        <w:tc>
          <w:tcPr>
            <w:tcW w:w="1842"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Complicated (%)</w:t>
            </w:r>
          </w:p>
        </w:tc>
        <w:tc>
          <w:tcPr>
            <w:tcW w:w="1758"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Successfully (%)</w:t>
            </w:r>
          </w:p>
        </w:tc>
        <w:tc>
          <w:tcPr>
            <w:tcW w:w="1006"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 value</w:t>
            </w:r>
          </w:p>
        </w:tc>
        <w:tc>
          <w:tcPr>
            <w:tcW w:w="1630" w:type="dxa"/>
            <w:tcBorders>
              <w:top w:val="single" w:color="auto" w:sz="4" w:space="0"/>
              <w:bottom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RR(reference)</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155" w:type="dxa"/>
            <w:gridSpan w:val="3"/>
            <w:tcBorders>
              <w:top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Age group in years at primary surgery</w:t>
            </w:r>
          </w:p>
        </w:tc>
        <w:tc>
          <w:tcPr>
            <w:tcW w:w="1842" w:type="dxa"/>
            <w:tcBorders>
              <w:top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1758" w:type="dxa"/>
            <w:tcBorders>
              <w:top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1006" w:type="dxa"/>
            <w:tcBorders>
              <w:top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0.12</w:t>
            </w:r>
          </w:p>
        </w:tc>
        <w:tc>
          <w:tcPr>
            <w:tcW w:w="1630" w:type="dxa"/>
            <w:tcBorders>
              <w:top w:val="single" w:color="auto" w:sz="4" w:space="0"/>
            </w:tcBorders>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&gt;3.5</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15(51.70)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14(48.30)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1.59(0.87-2.91)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11(32.40)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23(67.60)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Circumcision</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0.64</w:t>
            </w: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3(60.00)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2(40.00)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1.51(0.69-3.31)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98"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23(39.70)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35(60.30)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Glans penis size</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0.1</w:t>
            </w: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Small</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1(33.30)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2(66.70)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0.80(0.15-4.07)</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Adequate</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25(41.70)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35(58.30)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location of urethral meatus</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0.86</w:t>
            </w: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Posterior</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10(40.00)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15(60.00)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0.95(0.51-1.71)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Anterior</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38</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16(42.10)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22(57.90)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Duration of urine drainage</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0.06</w:t>
            </w: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&lt;7 days</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3(100)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2.60(1.89-3.59)</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 days</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23(38.30)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37(61.70)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When is the first dressing changed</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0.45</w:t>
            </w: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&lt;3</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7(50.00)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7(50.00)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1.28(0.68-2.42)</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19(38.80)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30(61.20)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TIP (</w:t>
            </w:r>
            <w:commentRangeStart w:id="10"/>
            <w:r>
              <w:rPr>
                <w:rFonts w:ascii="Times New Roman" w:hAnsi="Times New Roman" w:eastAsia="Times New Roman" w:cs="Times New Roman"/>
                <w:sz w:val="24"/>
                <w:szCs w:val="24"/>
                <w:highlight w:val="yellow"/>
              </w:rPr>
              <w:t>snodgrass</w:t>
            </w:r>
            <w:commentRangeEnd w:id="10"/>
            <w:r>
              <w:rPr>
                <w:rStyle w:val="12"/>
              </w:rPr>
              <w:commentReference w:id="10"/>
            </w:r>
            <w:r>
              <w:rPr>
                <w:rFonts w:ascii="Times New Roman" w:hAnsi="Times New Roman" w:eastAsia="Times New Roman" w:cs="Times New Roman"/>
                <w:sz w:val="24"/>
                <w:szCs w:val="24"/>
                <w:highlight w:val="yellow"/>
              </w:rPr>
              <w:t>)</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0.77</w:t>
            </w: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15(42.90)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20(57.10)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1.09(0.60-1.98)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11(39.30)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17(60.70)</w:t>
            </w:r>
          </w:p>
        </w:tc>
        <w:tc>
          <w:tcPr>
            <w:tcW w:w="1006"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yellow"/>
              </w:rPr>
              <w:t xml:space="preserve">Staged </w:t>
            </w:r>
            <w:commentRangeStart w:id="11"/>
            <w:r>
              <w:rPr>
                <w:rFonts w:ascii="Times New Roman" w:hAnsi="Times New Roman" w:eastAsia="Times New Roman" w:cs="Times New Roman"/>
                <w:sz w:val="24"/>
                <w:szCs w:val="24"/>
                <w:highlight w:val="yellow"/>
              </w:rPr>
              <w:t>hypospadias</w:t>
            </w:r>
            <w:commentRangeEnd w:id="11"/>
            <w:r>
              <w:rPr>
                <w:rStyle w:val="12"/>
              </w:rPr>
              <w:commentReference w:id="11"/>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0.45</w:t>
            </w: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7(50.00)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7(50.00)</w:t>
            </w:r>
          </w:p>
        </w:tc>
        <w:tc>
          <w:tcPr>
            <w:tcW w:w="1006"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1.28(0.68-2.42)</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19(38.80)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30(61.2)</w:t>
            </w:r>
          </w:p>
        </w:tc>
        <w:tc>
          <w:tcPr>
            <w:tcW w:w="1006"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MAGPI</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p>
        </w:tc>
        <w:tc>
          <w:tcPr>
            <w:tcW w:w="1006"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0.13</w:t>
            </w: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3475" w:type="dxa"/>
            <w:gridSpan w:val="2"/>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Yes</w:t>
            </w:r>
          </w:p>
        </w:tc>
        <w:tc>
          <w:tcPr>
            <w:tcW w:w="680"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1842"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3(23.10)</w:t>
            </w:r>
          </w:p>
        </w:tc>
        <w:tc>
          <w:tcPr>
            <w:tcW w:w="1758" w:type="dxa"/>
            <w:shd w:val="clear" w:color="auto" w:fill="auto"/>
            <w:noWrap/>
            <w:vAlign w:val="bottom"/>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10(76.90)</w:t>
            </w:r>
          </w:p>
        </w:tc>
        <w:tc>
          <w:tcPr>
            <w:tcW w:w="1006" w:type="dxa"/>
            <w:shd w:val="clear" w:color="auto" w:fill="auto"/>
            <w:noWrap/>
            <w:vAlign w:val="bottom"/>
          </w:tcPr>
          <w:p>
            <w:pPr>
              <w:spacing w:after="0" w:line="240" w:lineRule="auto"/>
              <w:rPr>
                <w:rFonts w:ascii="Times New Roman" w:hAnsi="Times New Roman" w:eastAsia="Times New Roman" w:cs="Times New Roman"/>
                <w:sz w:val="24"/>
                <w:szCs w:val="24"/>
              </w:rPr>
            </w:pPr>
          </w:p>
        </w:tc>
        <w:tc>
          <w:tcPr>
            <w:tcW w:w="1630" w:type="dxa"/>
            <w:shd w:val="clear" w:color="auto" w:fill="auto"/>
            <w:noWrap/>
            <w:vAlign w:val="bottom"/>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0.50(0.17-1.14)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trPr>
        <w:tc>
          <w:tcPr>
            <w:tcW w:w="3475" w:type="dxa"/>
            <w:gridSpan w:val="2"/>
            <w:shd w:val="clear" w:color="auto" w:fill="auto"/>
            <w:noWrap/>
            <w:vAlign w:val="bottom"/>
          </w:tcPr>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680" w:type="dxa"/>
            <w:shd w:val="clear" w:color="auto" w:fill="auto"/>
            <w:noWrap/>
            <w:vAlign w:val="bottom"/>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842" w:type="dxa"/>
            <w:shd w:val="clear" w:color="auto" w:fill="auto"/>
            <w:noWrap/>
            <w:vAlign w:val="bottom"/>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23(46.00)</w:t>
            </w:r>
          </w:p>
        </w:tc>
        <w:tc>
          <w:tcPr>
            <w:tcW w:w="1758" w:type="dxa"/>
            <w:shd w:val="clear" w:color="auto" w:fill="auto"/>
            <w:noWrap/>
            <w:vAlign w:val="bottom"/>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27(54.00)</w:t>
            </w:r>
          </w:p>
        </w:tc>
        <w:tc>
          <w:tcPr>
            <w:tcW w:w="1006" w:type="dxa"/>
            <w:shd w:val="clear" w:color="auto" w:fill="auto"/>
            <w:noWrap/>
            <w:vAlign w:val="bottom"/>
          </w:tcPr>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30" w:type="dxa"/>
            <w:shd w:val="clear" w:color="auto" w:fill="auto"/>
            <w:noWrap/>
            <w:vAlign w:val="bottom"/>
          </w:tcPr>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Discussion</w:t>
      </w:r>
    </w:p>
    <w:p>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Hypospadias is recommended for repair at the age of six months and above (2), in this study majority of patients 45 (71%) were within standard operating window 6/12 to 4years which is associated with less psychological trauma, which is compared with a study done by Ramanathan (5). At the same time majority of the patients 21(33.33%) had </w:t>
      </w:r>
      <w:commentRangeStart w:id="12"/>
      <w:r>
        <w:rPr>
          <w:rFonts w:ascii="Times New Roman" w:hAnsi="Times New Roman" w:cs="Times New Roman"/>
          <w:sz w:val="24"/>
          <w:szCs w:val="24"/>
          <w:highlight w:val="yellow"/>
        </w:rPr>
        <w:t>subcorona</w:t>
      </w:r>
      <w:commentRangeEnd w:id="12"/>
      <w:r>
        <w:rPr>
          <w:rStyle w:val="12"/>
        </w:rPr>
        <w:commentReference w:id="12"/>
      </w:r>
      <w:r>
        <w:rPr>
          <w:rFonts w:ascii="Times New Roman" w:hAnsi="Times New Roman" w:cs="Times New Roman"/>
          <w:sz w:val="24"/>
          <w:szCs w:val="24"/>
        </w:rPr>
        <w:t xml:space="preserve"> hypospadias, followed by proximal penile hypospadias 16(25.4%) patients, which is similar to the findings of the study conducted by Massati et al (4). We found that 3(4.8%) patients  had small glans (≤14mm) penis and 4(6.3%) patients were found to have small penis(&lt;3.8cm) necessitating them to  be given testosterone for 3 weeks before surgery for good outcome, which is compared to the study by Sunil et al (7).It was also found undescended testes was the only associated anomalies found in 2(3.2%) patients and they underwent orchidopexy prior to hypospadias repair, while congenital hernia, hydrocele, torsion of penis or persisted mullerian duct structures were not found during the study period different results from the study by Khan M et al (2).</w:t>
      </w:r>
    </w:p>
    <w:p>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the most common surgical technique used at Muhimbili National Hospital is Snodgrass tubularized incised plate urethroplasty with 35(55.6%) patients with </w:t>
      </w:r>
      <w:r>
        <w:rPr>
          <w:rFonts w:ascii="Times New Roman" w:hAnsi="Times New Roman" w:eastAsia="Times New Roman" w:cs="Times New Roman"/>
          <w:sz w:val="24"/>
          <w:szCs w:val="24"/>
        </w:rPr>
        <w:t>57.10%</w:t>
      </w:r>
      <w:r>
        <w:rPr>
          <w:rFonts w:ascii="Times New Roman" w:hAnsi="Times New Roman" w:cs="Times New Roman"/>
          <w:sz w:val="24"/>
          <w:szCs w:val="24"/>
        </w:rPr>
        <w:t xml:space="preserve"> successful repair, which is compared to the study by Massati et al (5) and similar study by Snodgrass et al (8).</w:t>
      </w:r>
    </w:p>
    <w:p>
      <w:pPr>
        <w:tabs>
          <w:tab w:val="left" w:pos="1320"/>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Most of our patients 37(58.7%)  had successful hypospadias repair with  overall complication rate of 41.3% mainly being  surgical site infection 23 (36.5%) which is related to hematoma formation, oedema and peri-dripping stent urine leaking, different results when compared to the study by </w:t>
      </w:r>
      <w:r>
        <w:rPr>
          <w:rFonts w:ascii="Times New Roman" w:hAnsi="Times New Roman" w:cs="Times New Roman"/>
          <w:iCs/>
          <w:sz w:val="24"/>
          <w:szCs w:val="24"/>
        </w:rPr>
        <w:t xml:space="preserve">Ismail Y et al </w:t>
      </w:r>
      <w:r>
        <w:rPr>
          <w:rFonts w:ascii="Times New Roman" w:hAnsi="Times New Roman" w:cs="Times New Roman"/>
          <w:sz w:val="24"/>
          <w:szCs w:val="24"/>
        </w:rPr>
        <w:t xml:space="preserve">(6), similar </w:t>
      </w:r>
      <w:r>
        <w:rPr>
          <w:rFonts w:ascii="Times New Roman" w:hAnsi="Times New Roman" w:cs="Times New Roman"/>
          <w:iCs/>
          <w:sz w:val="24"/>
          <w:szCs w:val="24"/>
        </w:rPr>
        <w:t xml:space="preserve">study </w:t>
      </w:r>
      <w:r>
        <w:rPr>
          <w:rFonts w:ascii="Times New Roman" w:hAnsi="Times New Roman" w:cs="Times New Roman"/>
          <w:bCs/>
          <w:sz w:val="24"/>
          <w:szCs w:val="24"/>
        </w:rPr>
        <w:t>by Khan M et al(2), Where by</w:t>
      </w:r>
      <w:r>
        <w:rPr>
          <w:rFonts w:ascii="Times New Roman" w:hAnsi="Times New Roman" w:cs="Times New Roman"/>
          <w:sz w:val="24"/>
          <w:szCs w:val="24"/>
        </w:rPr>
        <w:t xml:space="preserve"> 17(27%) patients had flap necrosis involving both skin and dartos fascia which may be due to destruction of blood supply during flap mobilization, which compared to the study by </w:t>
      </w:r>
      <w:r>
        <w:rPr>
          <w:rFonts w:ascii="Times New Roman" w:hAnsi="Times New Roman" w:cs="Times New Roman"/>
          <w:bCs/>
          <w:sz w:val="24"/>
          <w:szCs w:val="24"/>
        </w:rPr>
        <w:t>Khan M et al (2) and</w:t>
      </w:r>
      <w:r>
        <w:rPr>
          <w:rFonts w:ascii="Times New Roman" w:hAnsi="Times New Roman" w:eastAsia="Times New Roman" w:cs="Times New Roman"/>
          <w:sz w:val="24"/>
          <w:szCs w:val="24"/>
        </w:rPr>
        <w:t xml:space="preserve"> 15 (23.8</w:t>
      </w:r>
      <w:r>
        <w:rPr>
          <w:rFonts w:ascii="Times New Roman" w:hAnsi="Times New Roman" w:cs="Times New Roman"/>
          <w:sz w:val="24"/>
          <w:szCs w:val="24"/>
        </w:rPr>
        <w:t xml:space="preserve">%) patients developed urethrocutenous fistula which is associated with infection, flap necrosis involving both skin and dartos fascia and urethral meatal </w:t>
      </w:r>
      <w:commentRangeStart w:id="13"/>
      <w:r>
        <w:rPr>
          <w:rFonts w:ascii="Times New Roman" w:hAnsi="Times New Roman" w:cs="Times New Roman"/>
          <w:sz w:val="24"/>
          <w:szCs w:val="24"/>
          <w:highlight w:val="yellow"/>
        </w:rPr>
        <w:t>stenosi</w:t>
      </w:r>
      <w:commentRangeEnd w:id="13"/>
      <w:r>
        <w:rPr>
          <w:rStyle w:val="12"/>
        </w:rPr>
        <w:commentReference w:id="13"/>
      </w:r>
      <w:r>
        <w:rPr>
          <w:rFonts w:ascii="Times New Roman" w:hAnsi="Times New Roman" w:cs="Times New Roman"/>
          <w:sz w:val="24"/>
          <w:szCs w:val="24"/>
        </w:rPr>
        <w:t>, which is compared to the study by Yung-chin et al (7) and similar study by Ismail et al (6), Also11(17.5%) patients were found to have meatal stenosis which is associated with ischemic changes post repair and surgeon attempt to reach the tip of glans penis, which is similar  to the study by Bakal U et al (9)</w:t>
      </w:r>
      <w:r>
        <w:rPr>
          <w:rFonts w:ascii="Times New Roman" w:hAnsi="Times New Roman" w:cs="Times New Roman"/>
          <w:bCs/>
          <w:sz w:val="24"/>
          <w:szCs w:val="24"/>
        </w:rPr>
        <w:t xml:space="preserve">. Furthermore </w:t>
      </w:r>
      <w:r>
        <w:rPr>
          <w:rFonts w:ascii="Times New Roman" w:hAnsi="Times New Roman" w:cs="Times New Roman"/>
          <w:sz w:val="24"/>
          <w:szCs w:val="24"/>
        </w:rPr>
        <w:t xml:space="preserve">7(11.1%) of repaired patients had repair dehiscent associated with leaking of urine per incision site and surgical site infection contrary to the findings from the study by </w:t>
      </w:r>
      <w:r>
        <w:rPr>
          <w:rFonts w:ascii="Times New Roman" w:hAnsi="Times New Roman" w:eastAsia="Times New Roman" w:cs="Times New Roman"/>
          <w:sz w:val="24"/>
          <w:szCs w:val="24"/>
        </w:rPr>
        <w:t>Snodgrass (8)</w:t>
      </w:r>
      <w:r>
        <w:rPr>
          <w:rFonts w:ascii="Times New Roman" w:hAnsi="Times New Roman" w:cs="Times New Roman"/>
          <w:bCs/>
          <w:sz w:val="24"/>
          <w:szCs w:val="24"/>
        </w:rPr>
        <w:t>.</w:t>
      </w:r>
    </w:p>
    <w:p>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We found different factors including surgical technique used for hypospadias repair, other factors influencing outcomes of repair including age at repair as patients with age group ≤ 3.5 years had 19.3% less complication when compared to patients with age group &gt;3.5 years which is similar to different studies (5,10-15).At the same time uncircumcised patients (dorsal hooded prepuce) has 20.3% less complication repair when compared to circumcised patients which is different when compared with the study done </w:t>
      </w:r>
      <w:r>
        <w:rPr>
          <w:rFonts w:ascii="Times New Roman" w:hAnsi="Times New Roman" w:eastAsia="Times New Roman" w:cs="Times New Roman"/>
          <w:sz w:val="24"/>
          <w:szCs w:val="24"/>
        </w:rPr>
        <w:t xml:space="preserve">by </w:t>
      </w:r>
      <w:r>
        <w:rPr>
          <w:rFonts w:ascii="Times New Roman" w:hAnsi="Times New Roman" w:cs="Times New Roman"/>
          <w:sz w:val="24"/>
          <w:szCs w:val="24"/>
        </w:rPr>
        <w:t>Bang</w:t>
      </w:r>
      <w:r>
        <w:rPr>
          <w:rFonts w:ascii="Times New Roman" w:hAnsi="Times New Roman" w:eastAsia="Times New Roman" w:cs="Times New Roman"/>
          <w:sz w:val="24"/>
          <w:szCs w:val="24"/>
        </w:rPr>
        <w:t xml:space="preserve"> et al</w:t>
      </w:r>
      <w:r>
        <w:rPr>
          <w:rFonts w:ascii="Times New Roman" w:hAnsi="Times New Roman" w:cs="Times New Roman"/>
          <w:sz w:val="24"/>
          <w:szCs w:val="24"/>
        </w:rPr>
        <w:t>(11). Also severity of deformity and selection of surgical technique has influence on the outcome of repair as patients with posterior hypospadias who underwent staged repair had 6.9% less complication repair when compared to patients with posterior hypospadias who underwent single staged repair which is compared to the study by Asopa and Barbagli (15-16)</w:t>
      </w:r>
    </w:p>
    <w:p>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in our study patients who </w:t>
      </w:r>
      <w:r>
        <w:rPr>
          <w:rFonts w:ascii="Times New Roman" w:hAnsi="Times New Roman" w:cs="Times New Roman"/>
          <w:sz w:val="24"/>
          <w:szCs w:val="24"/>
          <w:highlight w:val="yellow"/>
        </w:rPr>
        <w:t xml:space="preserve">had  </w:t>
      </w:r>
      <w:commentRangeStart w:id="14"/>
      <w:r>
        <w:rPr>
          <w:rFonts w:ascii="Times New Roman" w:hAnsi="Times New Roman" w:cs="Times New Roman"/>
          <w:sz w:val="24"/>
          <w:szCs w:val="24"/>
          <w:highlight w:val="yellow"/>
        </w:rPr>
        <w:t>urine</w:t>
      </w:r>
      <w:commentRangeEnd w:id="14"/>
      <w:r>
        <w:rPr>
          <w:rStyle w:val="12"/>
        </w:rPr>
        <w:commentReference w:id="14"/>
      </w:r>
      <w:r>
        <w:rPr>
          <w:rFonts w:ascii="Times New Roman" w:hAnsi="Times New Roman" w:cs="Times New Roman"/>
          <w:sz w:val="24"/>
          <w:szCs w:val="24"/>
        </w:rPr>
        <w:t xml:space="preserve"> drainage by cystostomy and dripping stent had 9.3% less complication when compared to patients dripping stent only and duration of urine drainage≥ 7 days have 61.7% less complication when compared to patients with &lt; 7 days urine drainage with bladder spasm being  more severe in patients with stenting alone presented by pain during micturition and peri-dripping stent leaking of urine  this was similar to the study by Saleh et al (17). At the same time dressing material had no much influence on the outcome of repair but duration of first dressing has influence on the outcome, as patients with the first dressing changed ≥ 3 days has 11.2% less complication repair when compared to patients with first dressing changed &lt;3dayswhich is compared to the study by Searles et al (18).</w:t>
      </w:r>
    </w:p>
    <w:p>
      <w:pPr>
        <w:tabs>
          <w:tab w:val="left" w:pos="1320"/>
        </w:tabs>
        <w:spacing w:after="0" w:line="360" w:lineRule="auto"/>
        <w:jc w:val="both"/>
        <w:rPr>
          <w:rFonts w:ascii="Times New Roman" w:hAnsi="Times New Roman" w:cs="Times New Roman"/>
          <w:sz w:val="24"/>
          <w:szCs w:val="24"/>
        </w:rPr>
      </w:pPr>
    </w:p>
    <w:p>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difficult to assess the influence of other factors such as suture material as this have been reported to influence outcome in different studies (12-13), use of magnifying lens and surgeons experience as there was mixing up of both monofilament and multifilament absorbable sutures and inconsistence of using magnifying lens. As well as less number of hypospadias patients to reach 50 cases per surgeon per year in our environment, different results from study by Searles et al (18) and Spinoit et al (19).</w:t>
      </w:r>
    </w:p>
    <w:p>
      <w:pPr>
        <w:tabs>
          <w:tab w:val="left" w:pos="1320"/>
        </w:tabs>
        <w:spacing w:after="0" w:line="360" w:lineRule="auto"/>
        <w:jc w:val="both"/>
        <w:rPr>
          <w:rFonts w:ascii="Times New Roman" w:hAnsi="Times New Roman" w:cs="Times New Roman"/>
          <w:sz w:val="24"/>
          <w:szCs w:val="24"/>
        </w:rPr>
      </w:pPr>
    </w:p>
    <w:p>
      <w:pPr>
        <w:tabs>
          <w:tab w:val="left" w:pos="1320"/>
        </w:tabs>
        <w:spacing w:after="0" w:line="360" w:lineRule="auto"/>
        <w:jc w:val="both"/>
        <w:rPr>
          <w:rFonts w:ascii="Times New Roman" w:hAnsi="Times New Roman" w:cs="Times New Roman"/>
          <w:b/>
          <w:sz w:val="24"/>
          <w:szCs w:val="24"/>
        </w:rPr>
      </w:pPr>
    </w:p>
    <w:p>
      <w:pPr>
        <w:pStyle w:val="2"/>
        <w:rPr>
          <w:rFonts w:ascii="Times New Roman" w:hAnsi="Times New Roman" w:cs="Times New Roman"/>
          <w:color w:val="auto"/>
          <w:sz w:val="24"/>
          <w:szCs w:val="24"/>
        </w:rPr>
      </w:pPr>
      <w:bookmarkStart w:id="1" w:name="_Toc20877566"/>
      <w:r>
        <w:rPr>
          <w:rFonts w:ascii="Times New Roman" w:hAnsi="Times New Roman" w:cs="Times New Roman"/>
          <w:color w:val="auto"/>
          <w:sz w:val="24"/>
          <w:szCs w:val="24"/>
        </w:rPr>
        <w:t>Conclusion</w:t>
      </w:r>
      <w:bookmarkEnd w:id="1"/>
    </w:p>
    <w:p>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Common early complications observed includes surgical site infection, hematoma, oedema, flap necrosis, urethrocutenous fistula, meatal stenosis, wound dehiscent and urethral stricture. Factors influencing the outcome of repair include age&gt;3.5 years at repair, </w:t>
      </w:r>
      <w:r>
        <w:rPr>
          <w:rFonts w:ascii="Times New Roman" w:hAnsi="Times New Roman" w:cs="Times New Roman"/>
          <w:sz w:val="24"/>
          <w:szCs w:val="24"/>
          <w:highlight w:val="yellow"/>
        </w:rPr>
        <w:t xml:space="preserve">previous </w:t>
      </w:r>
      <w:commentRangeStart w:id="15"/>
      <w:r>
        <w:rPr>
          <w:rFonts w:ascii="Times New Roman" w:hAnsi="Times New Roman" w:cs="Times New Roman"/>
          <w:sz w:val="24"/>
          <w:szCs w:val="24"/>
          <w:highlight w:val="yellow"/>
        </w:rPr>
        <w:t>circumcised</w:t>
      </w:r>
      <w:commentRangeEnd w:id="15"/>
      <w:r>
        <w:rPr>
          <w:rStyle w:val="12"/>
        </w:rPr>
        <w:commentReference w:id="15"/>
      </w:r>
      <w:r>
        <w:rPr>
          <w:rFonts w:ascii="Times New Roman" w:hAnsi="Times New Roman" w:cs="Times New Roman"/>
          <w:sz w:val="24"/>
          <w:szCs w:val="24"/>
        </w:rPr>
        <w:t>, type and duration of urine drainage&lt; 7 days, type of dressing and changing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dressing &lt; 3 days. Further studies are recommended to find the influence of the factors including surgeon experience, suture material and use of magnifying lens together with long term follow up of patients.</w:t>
      </w:r>
    </w:p>
    <w:p>
      <w:pPr>
        <w:rPr>
          <w:rFonts w:ascii="Times New Roman" w:hAnsi="Times New Roman" w:cs="Times New Roman"/>
          <w:b/>
          <w:sz w:val="24"/>
          <w:szCs w:val="24"/>
        </w:rPr>
      </w:pPr>
    </w:p>
    <w:p>
      <w:pPr>
        <w:pStyle w:val="16"/>
        <w:ind w:left="360"/>
        <w:rPr>
          <w:rFonts w:ascii="Times New Roman" w:hAnsi="Times New Roman" w:cs="Times New Roman"/>
          <w:b/>
          <w:sz w:val="24"/>
          <w:szCs w:val="24"/>
        </w:rPr>
      </w:pPr>
      <w:r>
        <w:rPr>
          <w:rFonts w:ascii="Times New Roman" w:hAnsi="Times New Roman" w:cs="Times New Roman"/>
          <w:b/>
          <w:sz w:val="24"/>
          <w:szCs w:val="24"/>
        </w:rPr>
        <w:t xml:space="preserve">Competing interests: </w:t>
      </w:r>
      <w:r>
        <w:rPr>
          <w:rFonts w:ascii="Times New Roman" w:hAnsi="Times New Roman" w:cs="Times New Roman"/>
          <w:sz w:val="24"/>
          <w:szCs w:val="24"/>
        </w:rPr>
        <w:t>The authors declare no competing interests.</w:t>
      </w:r>
    </w:p>
    <w:p>
      <w:pPr>
        <w:pStyle w:val="16"/>
        <w:ind w:left="360"/>
        <w:rPr>
          <w:rFonts w:ascii="Times New Roman" w:hAnsi="Times New Roman" w:cs="Times New Roman"/>
          <w:sz w:val="24"/>
          <w:szCs w:val="24"/>
        </w:rPr>
      </w:pPr>
    </w:p>
    <w:p>
      <w:pPr>
        <w:pStyle w:val="16"/>
        <w:ind w:left="360"/>
        <w:rPr>
          <w:rFonts w:ascii="Times New Roman" w:hAnsi="Times New Roman" w:cs="Times New Roman"/>
          <w:b/>
          <w:sz w:val="24"/>
          <w:szCs w:val="24"/>
        </w:rPr>
      </w:pPr>
      <w:r>
        <w:rPr>
          <w:rFonts w:ascii="Times New Roman" w:hAnsi="Times New Roman" w:cs="Times New Roman"/>
          <w:b/>
          <w:sz w:val="24"/>
          <w:szCs w:val="24"/>
        </w:rPr>
        <w:t>Authors’ contributions</w:t>
      </w:r>
    </w:p>
    <w:p>
      <w:pPr>
        <w:pStyle w:val="16"/>
        <w:ind w:left="360"/>
        <w:rPr>
          <w:rFonts w:ascii="Times New Roman" w:hAnsi="Times New Roman" w:cs="Times New Roman"/>
          <w:sz w:val="24"/>
          <w:szCs w:val="24"/>
        </w:rPr>
      </w:pPr>
      <w:r>
        <w:rPr>
          <w:rFonts w:ascii="Times New Roman" w:hAnsi="Times New Roman" w:cs="Times New Roman"/>
          <w:b/>
          <w:sz w:val="24"/>
          <w:szCs w:val="24"/>
        </w:rPr>
        <w:t xml:space="preserve">DSM: </w:t>
      </w:r>
      <w:r>
        <w:rPr>
          <w:rFonts w:ascii="Times New Roman" w:hAnsi="Times New Roman" w:cs="Times New Roman"/>
          <w:sz w:val="24"/>
          <w:szCs w:val="24"/>
        </w:rPr>
        <w:t>designed the study, collected data, performed data analysis and wrote the report with a manuscript.</w:t>
      </w:r>
    </w:p>
    <w:p>
      <w:pPr>
        <w:pStyle w:val="16"/>
        <w:ind w:left="360"/>
        <w:rPr>
          <w:rFonts w:ascii="Times New Roman" w:hAnsi="Times New Roman" w:cs="Times New Roman"/>
          <w:sz w:val="24"/>
          <w:szCs w:val="24"/>
        </w:rPr>
      </w:pPr>
      <w:r>
        <w:rPr>
          <w:rFonts w:ascii="Times New Roman" w:hAnsi="Times New Roman" w:cs="Times New Roman"/>
          <w:b/>
          <w:sz w:val="24"/>
          <w:szCs w:val="24"/>
        </w:rPr>
        <w:t xml:space="preserve">OVN: </w:t>
      </w:r>
      <w:r>
        <w:rPr>
          <w:rFonts w:ascii="Times New Roman" w:hAnsi="Times New Roman" w:cs="Times New Roman"/>
          <w:sz w:val="24"/>
          <w:szCs w:val="24"/>
        </w:rPr>
        <w:t>participated in the study design and manuscript preparation.</w:t>
      </w:r>
    </w:p>
    <w:p>
      <w:pPr>
        <w:pStyle w:val="16"/>
        <w:ind w:left="360"/>
        <w:rPr>
          <w:rFonts w:ascii="Times New Roman" w:hAnsi="Times New Roman" w:cs="Times New Roman"/>
          <w:b/>
          <w:sz w:val="24"/>
          <w:szCs w:val="24"/>
        </w:rPr>
      </w:pPr>
    </w:p>
    <w:p>
      <w:pPr>
        <w:pStyle w:val="16"/>
        <w:ind w:left="360"/>
        <w:rPr>
          <w:rFonts w:ascii="Times New Roman" w:hAnsi="Times New Roman" w:cs="Times New Roman"/>
          <w:b/>
          <w:sz w:val="24"/>
          <w:szCs w:val="24"/>
        </w:rPr>
      </w:pPr>
      <w:r>
        <w:rPr>
          <w:rFonts w:ascii="Times New Roman" w:hAnsi="Times New Roman" w:cs="Times New Roman"/>
          <w:b/>
          <w:sz w:val="24"/>
          <w:szCs w:val="24"/>
        </w:rPr>
        <w:t xml:space="preserve">Acknowledgement: </w:t>
      </w:r>
      <w:r>
        <w:rPr>
          <w:rFonts w:ascii="Times New Roman" w:hAnsi="Times New Roman" w:cs="Times New Roman"/>
          <w:sz w:val="24"/>
          <w:szCs w:val="24"/>
        </w:rPr>
        <w:t>Thanks to all the staff of MNH who helped us in the preparation of this work the Ministry of health Tanzania</w:t>
      </w:r>
      <w:r>
        <w:rPr>
          <w:rFonts w:ascii="Times New Roman" w:hAnsi="Times New Roman" w:cs="Times New Roman"/>
          <w:b/>
          <w:sz w:val="24"/>
          <w:szCs w:val="24"/>
        </w:rPr>
        <w:t xml:space="preserve"> </w:t>
      </w:r>
      <w:r>
        <w:rPr>
          <w:rFonts w:ascii="Times New Roman" w:hAnsi="Times New Roman" w:cs="Times New Roman"/>
          <w:sz w:val="24"/>
          <w:szCs w:val="24"/>
        </w:rPr>
        <w:t>for funding our study</w:t>
      </w:r>
      <w:r>
        <w:rPr>
          <w:rFonts w:ascii="Times New Roman" w:hAnsi="Times New Roman" w:cs="Times New Roman"/>
          <w:b/>
          <w:sz w:val="24"/>
          <w:szCs w:val="24"/>
        </w:rPr>
        <w:t>.</w:t>
      </w:r>
    </w:p>
    <w:p>
      <w:pPr>
        <w:pStyle w:val="16"/>
        <w:ind w:left="360"/>
        <w:rPr>
          <w:rFonts w:ascii="Times New Roman" w:hAnsi="Times New Roman" w:cs="Times New Roman"/>
          <w:b/>
          <w:sz w:val="24"/>
          <w:szCs w:val="24"/>
        </w:rPr>
      </w:pPr>
    </w:p>
    <w:p>
      <w:pPr>
        <w:pStyle w:val="16"/>
        <w:ind w:left="360"/>
        <w:rPr>
          <w:rFonts w:ascii="Times New Roman" w:hAnsi="Times New Roman" w:cs="Times New Roman"/>
          <w:b/>
          <w:sz w:val="24"/>
          <w:szCs w:val="24"/>
        </w:rPr>
      </w:pPr>
      <w:r>
        <w:rPr>
          <w:rFonts w:ascii="Times New Roman" w:hAnsi="Times New Roman" w:cs="Times New Roman"/>
          <w:b/>
          <w:sz w:val="24"/>
          <w:szCs w:val="24"/>
        </w:rPr>
        <w:t xml:space="preserve">References  </w:t>
      </w:r>
    </w:p>
    <w:p>
      <w:pPr>
        <w:spacing w:after="0"/>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sz w:val="24"/>
          <w:szCs w:val="24"/>
        </w:rPr>
        <w:t xml:space="preserve">1.Hadidi AT. </w:t>
      </w:r>
      <w:r>
        <w:rPr>
          <w:rFonts w:ascii="Times New Roman" w:hAnsi="Times New Roman" w:cs="Times New Roman"/>
          <w:b/>
          <w:sz w:val="24"/>
          <w:szCs w:val="24"/>
        </w:rPr>
        <w:t xml:space="preserve">History of hypospadias: Lost in translation. </w:t>
      </w:r>
      <w:r>
        <w:rPr>
          <w:rFonts w:ascii="Times New Roman" w:hAnsi="Times New Roman" w:cs="Times New Roman"/>
          <w:sz w:val="24"/>
          <w:szCs w:val="24"/>
        </w:rPr>
        <w:t>J Pediatr Surg , 2017;52(2):211–7</w:t>
      </w:r>
      <w:r>
        <w:rPr>
          <w:rFonts w:ascii="Times New Roman" w:hAnsi="Times New Roman" w:cs="Times New Roman"/>
          <w:b/>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2.Khan M, Majeed A, Hayat W, Ullah H, Naz S, Shah SA</w:t>
      </w:r>
      <w:r>
        <w:rPr>
          <w:rFonts w:ascii="Times New Roman" w:hAnsi="Times New Roman" w:cs="Times New Roman"/>
          <w:b/>
          <w:sz w:val="24"/>
          <w:szCs w:val="24"/>
        </w:rPr>
        <w:t xml:space="preserve">, </w:t>
      </w:r>
      <w:r>
        <w:rPr>
          <w:rFonts w:ascii="Times New Roman" w:hAnsi="Times New Roman" w:cs="Times New Roman"/>
          <w:sz w:val="24"/>
          <w:szCs w:val="24"/>
        </w:rPr>
        <w:t>et al</w:t>
      </w:r>
      <w:r>
        <w:rPr>
          <w:rFonts w:ascii="Times New Roman" w:hAnsi="Times New Roman" w:cs="Times New Roman"/>
          <w:b/>
          <w:sz w:val="24"/>
          <w:szCs w:val="24"/>
        </w:rPr>
        <w:t>. Hypospadias Repair: A Single Centre Experience</w:t>
      </w:r>
      <w:r>
        <w:rPr>
          <w:rFonts w:ascii="Times New Roman" w:hAnsi="Times New Roman" w:cs="Times New Roman"/>
          <w:sz w:val="24"/>
          <w:szCs w:val="24"/>
        </w:rPr>
        <w:t xml:space="preserve">. Plast Surg. 2014;2014:1–7. </w:t>
      </w:r>
    </w:p>
    <w:p>
      <w:pPr>
        <w:rPr>
          <w:rFonts w:ascii="Times New Roman" w:hAnsi="Times New Roman" w:cs="Times New Roman"/>
          <w:b/>
          <w:sz w:val="24"/>
          <w:szCs w:val="24"/>
        </w:rPr>
      </w:pPr>
      <w:r>
        <w:rPr>
          <w:rFonts w:ascii="Times New Roman" w:hAnsi="Times New Roman" w:cs="Times New Roman"/>
          <w:sz w:val="24"/>
          <w:szCs w:val="24"/>
        </w:rPr>
        <w:t>3.Springer A, Springer A</w:t>
      </w:r>
      <w:r>
        <w:rPr>
          <w:rFonts w:ascii="Times New Roman" w:hAnsi="Times New Roman" w:cs="Times New Roman"/>
          <w:b/>
          <w:sz w:val="24"/>
          <w:szCs w:val="24"/>
        </w:rPr>
        <w:t xml:space="preserve">. Assessment of Outcome in Hypospadias Surgery – A Review Assessment of outcome in hypospadias surgery – </w:t>
      </w:r>
      <w:r>
        <w:rPr>
          <w:rFonts w:ascii="Times New Roman" w:hAnsi="Times New Roman" w:cs="Times New Roman"/>
          <w:sz w:val="24"/>
          <w:szCs w:val="24"/>
        </w:rPr>
        <w:t>a review. 2015;(January).</w:t>
      </w:r>
      <w:r>
        <w:rPr>
          <w:rFonts w:ascii="Times New Roman" w:hAnsi="Times New Roman" w:cs="Times New Roman"/>
          <w:b/>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4.Massati M, Nyongole O V, Mteta AK</w:t>
      </w:r>
      <w:r>
        <w:rPr>
          <w:rFonts w:ascii="Times New Roman" w:hAnsi="Times New Roman" w:cs="Times New Roman"/>
          <w:b/>
          <w:sz w:val="24"/>
          <w:szCs w:val="24"/>
        </w:rPr>
        <w:t xml:space="preserve">. A Two Years Review of Patients with Hypospadias at Urology Department, Kilimanjaro Christian Medical Center in Moshi, Tanzania: What is the situation? </w:t>
      </w:r>
      <w:r>
        <w:rPr>
          <w:rFonts w:ascii="Times New Roman" w:hAnsi="Times New Roman" w:cs="Times New Roman"/>
          <w:sz w:val="24"/>
          <w:szCs w:val="24"/>
        </w:rPr>
        <w:t xml:space="preserve">East Cent African J Surg. 2014;19(3):39–44. </w:t>
      </w:r>
    </w:p>
    <w:p>
      <w:pPr>
        <w:rPr>
          <w:rFonts w:ascii="Times New Roman" w:hAnsi="Times New Roman" w:cs="Times New Roman"/>
          <w:sz w:val="24"/>
          <w:szCs w:val="24"/>
        </w:rPr>
      </w:pPr>
      <w:r>
        <w:rPr>
          <w:rFonts w:ascii="Times New Roman" w:hAnsi="Times New Roman" w:cs="Times New Roman"/>
          <w:sz w:val="24"/>
          <w:szCs w:val="24"/>
        </w:rPr>
        <w:t xml:space="preserve">5. Ramanathan C. </w:t>
      </w:r>
      <w:r>
        <w:rPr>
          <w:rFonts w:ascii="Times New Roman" w:hAnsi="Times New Roman" w:cs="Times New Roman"/>
          <w:b/>
          <w:sz w:val="24"/>
          <w:szCs w:val="24"/>
        </w:rPr>
        <w:t>Three-year experience of hypospadias surgery</w:t>
      </w:r>
      <w:r>
        <w:rPr>
          <w:rFonts w:ascii="Times New Roman" w:hAnsi="Times New Roman" w:cs="Times New Roman"/>
          <w:sz w:val="24"/>
          <w:szCs w:val="24"/>
        </w:rPr>
        <w:t>: Bracka’s method. Indian J Plast Surg . 2006;39(2):130–5.</w:t>
      </w:r>
      <w:r>
        <w:rPr>
          <w:rFonts w:ascii="Times New Roman" w:hAnsi="Times New Roman" w:cs="Times New Roman"/>
          <w:sz w:val="24"/>
          <w:szCs w:val="24"/>
        </w:rPr>
        <w:tab/>
      </w:r>
    </w:p>
    <w:p>
      <w:pPr>
        <w:rPr>
          <w:rFonts w:ascii="Times New Roman" w:hAnsi="Times New Roman" w:cs="Times New Roman"/>
          <w:sz w:val="24"/>
          <w:szCs w:val="24"/>
        </w:rPr>
      </w:pPr>
      <w:r>
        <w:rPr>
          <w:rFonts w:ascii="Times New Roman" w:hAnsi="Times New Roman" w:cs="Times New Roman"/>
          <w:sz w:val="24"/>
          <w:szCs w:val="24"/>
        </w:rPr>
        <w:t>6.Ismail YHA, Khair OAM, Bagadi A.</w:t>
      </w:r>
      <w:r>
        <w:rPr>
          <w:rFonts w:ascii="Times New Roman" w:hAnsi="Times New Roman" w:cs="Times New Roman"/>
          <w:b/>
          <w:sz w:val="24"/>
          <w:szCs w:val="24"/>
        </w:rPr>
        <w:t xml:space="preserve"> Outcome of Distal Hypospadias Repair in Pediatric Surgery   Department at Alribat Teaching Hospital. </w:t>
      </w:r>
      <w:r>
        <w:rPr>
          <w:rFonts w:ascii="Times New Roman" w:hAnsi="Times New Roman" w:cs="Times New Roman"/>
          <w:sz w:val="24"/>
          <w:szCs w:val="24"/>
        </w:rPr>
        <w:t>2013;13(5).</w:t>
      </w:r>
      <w:r>
        <w:rPr>
          <w:rFonts w:ascii="Times New Roman" w:hAnsi="Times New Roman" w:cs="Times New Roman"/>
          <w:b/>
          <w:sz w:val="24"/>
          <w:szCs w:val="24"/>
        </w:rPr>
        <w:t xml:space="preserve"> </w:t>
      </w:r>
    </w:p>
    <w:p>
      <w:pPr>
        <w:rPr>
          <w:rFonts w:ascii="Times New Roman" w:hAnsi="Times New Roman" w:cs="Times New Roman"/>
          <w:b/>
          <w:sz w:val="24"/>
          <w:szCs w:val="24"/>
        </w:rPr>
      </w:pPr>
      <w:r>
        <w:rPr>
          <w:rFonts w:ascii="Times New Roman" w:hAnsi="Times New Roman" w:cs="Times New Roman"/>
          <w:sz w:val="24"/>
          <w:szCs w:val="24"/>
        </w:rPr>
        <w:t>7.Sunil VK, Murthy K, Nanditha G, Prathik R.</w:t>
      </w:r>
      <w:r>
        <w:rPr>
          <w:rFonts w:ascii="Times New Roman" w:hAnsi="Times New Roman" w:cs="Times New Roman"/>
          <w:b/>
          <w:sz w:val="24"/>
          <w:szCs w:val="24"/>
        </w:rPr>
        <w:t xml:space="preserve"> Hypospadias Repairs and Their Outcome in a Medical College Hospital in Rural India – </w:t>
      </w:r>
      <w:r>
        <w:rPr>
          <w:rFonts w:ascii="Times New Roman" w:hAnsi="Times New Roman" w:cs="Times New Roman"/>
          <w:sz w:val="24"/>
          <w:szCs w:val="24"/>
        </w:rPr>
        <w:t>A Prospective Study. 2015;4(3):2013–6.</w:t>
      </w:r>
      <w:r>
        <w:rPr>
          <w:rFonts w:ascii="Times New Roman" w:hAnsi="Times New Roman" w:cs="Times New Roman"/>
          <w:b/>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8.Snodgrass W, Bush N</w:t>
      </w:r>
      <w:r>
        <w:rPr>
          <w:rFonts w:ascii="Times New Roman" w:hAnsi="Times New Roman" w:cs="Times New Roman"/>
          <w:b/>
          <w:sz w:val="24"/>
          <w:szCs w:val="24"/>
        </w:rPr>
        <w:t xml:space="preserve">. Recent advances in understanding/management of hypospadias. </w:t>
      </w:r>
      <w:r>
        <w:rPr>
          <w:rFonts w:ascii="Times New Roman" w:hAnsi="Times New Roman" w:cs="Times New Roman"/>
          <w:sz w:val="24"/>
          <w:szCs w:val="24"/>
        </w:rPr>
        <w:t>F1000Prime Rep. 2014;6:1–10.</w:t>
      </w:r>
    </w:p>
    <w:p>
      <w:pPr>
        <w:rPr>
          <w:rFonts w:ascii="Times New Roman" w:hAnsi="Times New Roman" w:cs="Times New Roman"/>
          <w:b/>
          <w:sz w:val="24"/>
          <w:szCs w:val="24"/>
        </w:rPr>
      </w:pPr>
      <w:r>
        <w:rPr>
          <w:rFonts w:ascii="Times New Roman" w:hAnsi="Times New Roman" w:cs="Times New Roman"/>
          <w:sz w:val="24"/>
          <w:szCs w:val="24"/>
        </w:rPr>
        <w:t xml:space="preserve">9. Bakal Ü, Abeş M, Sarac M. </w:t>
      </w:r>
      <w:r>
        <w:rPr>
          <w:rFonts w:ascii="Times New Roman" w:hAnsi="Times New Roman" w:cs="Times New Roman"/>
          <w:b/>
          <w:sz w:val="24"/>
          <w:szCs w:val="24"/>
        </w:rPr>
        <w:t xml:space="preserve">Necrosis of the ventral penile skin flap: A complication of hypospadias surgery in children. </w:t>
      </w:r>
      <w:r>
        <w:rPr>
          <w:rFonts w:ascii="Times New Roman" w:hAnsi="Times New Roman" w:cs="Times New Roman"/>
          <w:sz w:val="24"/>
          <w:szCs w:val="24"/>
        </w:rPr>
        <w:t>Adv Urol. 2015; 2015:7–10</w:t>
      </w:r>
      <w:r>
        <w:rPr>
          <w:rFonts w:ascii="Times New Roman" w:hAnsi="Times New Roman" w:cs="Times New Roman"/>
          <w:b/>
          <w:sz w:val="24"/>
          <w:szCs w:val="24"/>
        </w:rPr>
        <w:t>.</w:t>
      </w:r>
    </w:p>
    <w:p>
      <w:pPr>
        <w:rPr>
          <w:rFonts w:ascii="Times New Roman" w:hAnsi="Times New Roman" w:cs="Times New Roman"/>
          <w:sz w:val="24"/>
          <w:szCs w:val="24"/>
        </w:rPr>
      </w:pPr>
      <w:r>
        <w:rPr>
          <w:rFonts w:ascii="Times New Roman" w:hAnsi="Times New Roman" w:cs="Times New Roman"/>
          <w:sz w:val="24"/>
          <w:szCs w:val="24"/>
        </w:rPr>
        <w:t>10.El-labban MA, El-sayem K</w:t>
      </w:r>
      <w:r>
        <w:rPr>
          <w:rFonts w:ascii="Times New Roman" w:hAnsi="Times New Roman" w:cs="Times New Roman"/>
          <w:b/>
          <w:sz w:val="24"/>
          <w:szCs w:val="24"/>
        </w:rPr>
        <w:t xml:space="preserve">. Ventral Based Double Dartos Flap in Tubularized Incised Plate Urethroplasty Along with Foreskin Preservation. </w:t>
      </w:r>
      <w:r>
        <w:rPr>
          <w:rFonts w:ascii="Times New Roman" w:hAnsi="Times New Roman" w:cs="Times New Roman"/>
          <w:sz w:val="24"/>
          <w:szCs w:val="24"/>
        </w:rPr>
        <w:t xml:space="preserve">2016;40(1):31–7. </w:t>
      </w:r>
    </w:p>
    <w:p>
      <w:pPr>
        <w:rPr>
          <w:rFonts w:ascii="Times New Roman" w:hAnsi="Times New Roman" w:cs="Times New Roman"/>
          <w:sz w:val="24"/>
          <w:szCs w:val="24"/>
        </w:rPr>
      </w:pPr>
      <w:r>
        <w:rPr>
          <w:rFonts w:ascii="Times New Roman" w:hAnsi="Times New Roman" w:cs="Times New Roman"/>
          <w:sz w:val="24"/>
          <w:szCs w:val="24"/>
        </w:rPr>
        <w:t xml:space="preserve">11. Bang RL, Ebrahim MKH, Lari ARA. </w:t>
      </w:r>
      <w:r>
        <w:rPr>
          <w:rFonts w:ascii="Times New Roman" w:hAnsi="Times New Roman" w:cs="Times New Roman"/>
          <w:b/>
          <w:sz w:val="24"/>
          <w:szCs w:val="24"/>
        </w:rPr>
        <w:t>T flap hypospadias repair in circumcised patients</w:t>
      </w:r>
      <w:r>
        <w:rPr>
          <w:rFonts w:ascii="Times New Roman" w:hAnsi="Times New Roman" w:cs="Times New Roman"/>
          <w:sz w:val="24"/>
          <w:szCs w:val="24"/>
        </w:rPr>
        <w:t>. Br J Plast Surg. 1993;46(2):164–7.</w:t>
      </w:r>
    </w:p>
    <w:p>
      <w:pPr>
        <w:rPr>
          <w:rFonts w:ascii="Times New Roman" w:hAnsi="Times New Roman" w:cs="Times New Roman"/>
          <w:sz w:val="24"/>
          <w:szCs w:val="24"/>
        </w:rPr>
      </w:pPr>
      <w:r>
        <w:rPr>
          <w:rFonts w:ascii="Times New Roman" w:hAnsi="Times New Roman" w:cs="Times New Roman"/>
          <w:sz w:val="24"/>
          <w:szCs w:val="24"/>
        </w:rPr>
        <w:t xml:space="preserve">12.Gupta A, Gupta R, Srivastav P, Gupta A. </w:t>
      </w:r>
      <w:r>
        <w:rPr>
          <w:rFonts w:ascii="Times New Roman" w:hAnsi="Times New Roman" w:cs="Times New Roman"/>
          <w:b/>
          <w:sz w:val="24"/>
          <w:szCs w:val="24"/>
        </w:rPr>
        <w:t>Comparison of interrupted- and continuous-suture urethroplasty in tubularised incised-plate hypospadias repair</w:t>
      </w:r>
      <w:r>
        <w:rPr>
          <w:rFonts w:ascii="Times New Roman" w:hAnsi="Times New Roman" w:cs="Times New Roman"/>
          <w:sz w:val="24"/>
          <w:szCs w:val="24"/>
        </w:rPr>
        <w:t xml:space="preserve">: A prospective study. Arab J Urol. 2017;15(4):312–8. </w:t>
      </w:r>
    </w:p>
    <w:p>
      <w:pPr>
        <w:rPr>
          <w:rFonts w:ascii="Times New Roman" w:hAnsi="Times New Roman" w:cs="Times New Roman"/>
          <w:sz w:val="24"/>
          <w:szCs w:val="24"/>
        </w:rPr>
      </w:pPr>
      <w:r>
        <w:rPr>
          <w:rFonts w:ascii="Times New Roman" w:hAnsi="Times New Roman" w:cs="Times New Roman"/>
          <w:sz w:val="24"/>
          <w:szCs w:val="24"/>
        </w:rPr>
        <w:t xml:space="preserve">13.Cimador M, Castagnetti M, Milazzo M, Sergio M, De Grazia E. </w:t>
      </w:r>
      <w:r>
        <w:rPr>
          <w:rFonts w:ascii="Times New Roman" w:hAnsi="Times New Roman" w:cs="Times New Roman"/>
          <w:b/>
          <w:sz w:val="24"/>
          <w:szCs w:val="24"/>
        </w:rPr>
        <w:t>Suture materials: Do they affect fistula and stricture rates in flap urethroplasties?</w:t>
      </w:r>
      <w:r>
        <w:rPr>
          <w:rFonts w:ascii="Times New Roman" w:hAnsi="Times New Roman" w:cs="Times New Roman"/>
          <w:sz w:val="24"/>
          <w:szCs w:val="24"/>
        </w:rPr>
        <w:t xml:space="preserve"> Urol Int. 2004;73(4):320–4. </w:t>
      </w:r>
    </w:p>
    <w:p>
      <w:pPr>
        <w:rPr>
          <w:rFonts w:ascii="Times New Roman" w:hAnsi="Times New Roman" w:cs="Times New Roman"/>
          <w:sz w:val="24"/>
          <w:szCs w:val="24"/>
        </w:rPr>
      </w:pPr>
      <w:r>
        <w:rPr>
          <w:rFonts w:ascii="Times New Roman" w:hAnsi="Times New Roman" w:cs="Times New Roman"/>
          <w:sz w:val="24"/>
          <w:szCs w:val="24"/>
        </w:rPr>
        <w:t xml:space="preserve">14.Schneuer FJ, Holland AJA, Pereira G, Bower C, Nassar N. </w:t>
      </w:r>
      <w:r>
        <w:rPr>
          <w:rFonts w:ascii="Times New Roman" w:hAnsi="Times New Roman" w:cs="Times New Roman"/>
          <w:b/>
          <w:sz w:val="24"/>
          <w:szCs w:val="24"/>
        </w:rPr>
        <w:t>Prevalence, repairs and complications of hypospadias</w:t>
      </w:r>
      <w:r>
        <w:rPr>
          <w:rFonts w:ascii="Times New Roman" w:hAnsi="Times New Roman" w:cs="Times New Roman"/>
          <w:sz w:val="24"/>
          <w:szCs w:val="24"/>
        </w:rPr>
        <w:t xml:space="preserve">: An Australian population-based study. Arch Dis Child. 2015;100(11):1038–43. </w:t>
      </w:r>
    </w:p>
    <w:p>
      <w:pPr>
        <w:rPr>
          <w:rFonts w:ascii="Times New Roman" w:hAnsi="Times New Roman" w:cs="Times New Roman"/>
          <w:sz w:val="24"/>
          <w:szCs w:val="24"/>
        </w:rPr>
      </w:pPr>
      <w:r>
        <w:rPr>
          <w:rFonts w:ascii="Times New Roman" w:hAnsi="Times New Roman" w:cs="Times New Roman"/>
          <w:sz w:val="24"/>
          <w:szCs w:val="24"/>
        </w:rPr>
        <w:t xml:space="preserve">15.Asopa HS. </w:t>
      </w:r>
      <w:r>
        <w:rPr>
          <w:rFonts w:ascii="Times New Roman" w:hAnsi="Times New Roman" w:cs="Times New Roman"/>
          <w:b/>
          <w:sz w:val="24"/>
          <w:szCs w:val="24"/>
        </w:rPr>
        <w:t>Newer concepts in the management of hypospadias and its complications</w:t>
      </w:r>
      <w:r>
        <w:rPr>
          <w:rFonts w:ascii="Times New Roman" w:hAnsi="Times New Roman" w:cs="Times New Roman"/>
          <w:sz w:val="24"/>
          <w:szCs w:val="24"/>
        </w:rPr>
        <w:t>. Ann R Coll Surg Engl. 1998;80(3):161–8.</w:t>
      </w:r>
    </w:p>
    <w:p>
      <w:pPr>
        <w:rPr>
          <w:rFonts w:ascii="Times New Roman" w:hAnsi="Times New Roman" w:cs="Times New Roman"/>
          <w:sz w:val="24"/>
          <w:szCs w:val="24"/>
        </w:rPr>
      </w:pPr>
      <w:r>
        <w:rPr>
          <w:rFonts w:ascii="Times New Roman" w:hAnsi="Times New Roman" w:cs="Times New Roman"/>
          <w:sz w:val="24"/>
          <w:szCs w:val="24"/>
        </w:rPr>
        <w:t xml:space="preserve">16.Barbagli G, De Angelis M, Palminteri E, Lazzeri M. </w:t>
      </w:r>
      <w:r>
        <w:rPr>
          <w:rFonts w:ascii="Times New Roman" w:hAnsi="Times New Roman" w:cs="Times New Roman"/>
          <w:b/>
          <w:sz w:val="24"/>
          <w:szCs w:val="24"/>
        </w:rPr>
        <w:t>Failed Hypospadias Repair Presenting in Adults</w:t>
      </w:r>
      <w:r>
        <w:rPr>
          <w:rFonts w:ascii="Times New Roman" w:hAnsi="Times New Roman" w:cs="Times New Roman"/>
          <w:sz w:val="24"/>
          <w:szCs w:val="24"/>
        </w:rPr>
        <w:t>. Eur Urol. 2006;49(5):887–95.</w:t>
      </w:r>
    </w:p>
    <w:p>
      <w:pPr>
        <w:rPr>
          <w:rFonts w:ascii="Times New Roman" w:hAnsi="Times New Roman" w:cs="Times New Roman"/>
          <w:b/>
          <w:sz w:val="24"/>
          <w:szCs w:val="24"/>
        </w:rPr>
      </w:pPr>
      <w:r>
        <w:rPr>
          <w:rFonts w:ascii="Times New Roman" w:hAnsi="Times New Roman" w:cs="Times New Roman"/>
          <w:sz w:val="24"/>
          <w:szCs w:val="24"/>
        </w:rPr>
        <w:t>17.Saleh AM, Wesam A, Amr A, Salah M</w:t>
      </w:r>
      <w:r>
        <w:rPr>
          <w:rFonts w:ascii="Times New Roman" w:hAnsi="Times New Roman" w:cs="Times New Roman"/>
          <w:b/>
          <w:sz w:val="24"/>
          <w:szCs w:val="24"/>
        </w:rPr>
        <w:t>. Urinary Drainage after Hypospadias Repair : Urethral Stent or Bladder Catheter</w:t>
      </w:r>
      <w:r>
        <w:rPr>
          <w:rFonts w:ascii="Times New Roman" w:hAnsi="Times New Roman" w:cs="Times New Roman"/>
          <w:sz w:val="24"/>
          <w:szCs w:val="24"/>
        </w:rPr>
        <w:t>. 2009;5(2):101–3.</w:t>
      </w:r>
      <w:r>
        <w:rPr>
          <w:rFonts w:ascii="Times New Roman" w:hAnsi="Times New Roman" w:cs="Times New Roman"/>
          <w:b/>
          <w:sz w:val="24"/>
          <w:szCs w:val="24"/>
        </w:rPr>
        <w:t xml:space="preserve"> </w:t>
      </w:r>
    </w:p>
    <w:p>
      <w:pPr>
        <w:rPr>
          <w:rFonts w:ascii="Times New Roman" w:hAnsi="Times New Roman" w:cs="Times New Roman"/>
          <w:b/>
          <w:sz w:val="24"/>
          <w:szCs w:val="24"/>
        </w:rPr>
      </w:pPr>
      <w:r>
        <w:rPr>
          <w:rFonts w:ascii="Times New Roman" w:hAnsi="Times New Roman" w:cs="Times New Roman"/>
          <w:sz w:val="24"/>
          <w:szCs w:val="24"/>
        </w:rPr>
        <w:t>18</w:t>
      </w:r>
      <w:r>
        <w:rPr>
          <w:rFonts w:ascii="Times New Roman" w:hAnsi="Times New Roman" w:cs="Times New Roman"/>
          <w:b/>
          <w:sz w:val="24"/>
          <w:szCs w:val="24"/>
        </w:rPr>
        <w:t>.</w:t>
      </w:r>
      <w:r>
        <w:rPr>
          <w:rFonts w:ascii="Times New Roman" w:hAnsi="Times New Roman" w:cs="Times New Roman"/>
          <w:sz w:val="24"/>
          <w:szCs w:val="24"/>
        </w:rPr>
        <w:t>Searles JM, Mackinnon AE</w:t>
      </w:r>
      <w:r>
        <w:rPr>
          <w:rFonts w:ascii="Times New Roman" w:hAnsi="Times New Roman" w:cs="Times New Roman"/>
          <w:b/>
          <w:sz w:val="24"/>
          <w:szCs w:val="24"/>
        </w:rPr>
        <w:t xml:space="preserve">. The ‘SANAV’ hypospadias dressing. </w:t>
      </w:r>
      <w:r>
        <w:rPr>
          <w:rFonts w:ascii="Times New Roman" w:hAnsi="Times New Roman" w:cs="Times New Roman"/>
          <w:sz w:val="24"/>
          <w:szCs w:val="24"/>
        </w:rPr>
        <w:t>BJU Int 2001;87(6):531–3.</w:t>
      </w:r>
      <w:r>
        <w:rPr>
          <w:rFonts w:ascii="Times New Roman" w:hAnsi="Times New Roman" w:cs="Times New Roman"/>
          <w:b/>
          <w:sz w:val="24"/>
          <w:szCs w:val="24"/>
        </w:rPr>
        <w:t xml:space="preserve"> </w:t>
      </w:r>
    </w:p>
    <w:p>
      <w:pPr>
        <w:rPr>
          <w:rFonts w:ascii="Times New Roman" w:hAnsi="Times New Roman" w:cs="Times New Roman"/>
          <w:b/>
          <w:sz w:val="24"/>
          <w:szCs w:val="24"/>
        </w:rPr>
      </w:pPr>
      <w:r>
        <w:rPr>
          <w:rFonts w:ascii="Times New Roman" w:hAnsi="Times New Roman" w:cs="Times New Roman"/>
          <w:sz w:val="24"/>
          <w:szCs w:val="24"/>
        </w:rPr>
        <w:t>19.Spinoit AF, Poelaert F, Van Praet C, Groen LA, Van Laecke E, Hoebeke P</w:t>
      </w:r>
      <w:r>
        <w:rPr>
          <w:rFonts w:ascii="Times New Roman" w:hAnsi="Times New Roman" w:cs="Times New Roman"/>
          <w:b/>
          <w:sz w:val="24"/>
          <w:szCs w:val="24"/>
        </w:rPr>
        <w:t xml:space="preserve">. Grade of hypospadias is the only factor predicting for re-intervention after primary hypospadias repair: a multivariate analysis from a cohort of 474 patients. </w:t>
      </w:r>
      <w:r>
        <w:rPr>
          <w:rFonts w:ascii="Times New Roman" w:hAnsi="Times New Roman" w:cs="Times New Roman"/>
          <w:sz w:val="24"/>
          <w:szCs w:val="24"/>
        </w:rPr>
        <w:t>J Pediatr Urol. 2015;11(2).</w:t>
      </w:r>
      <w:r>
        <w:rPr>
          <w:rFonts w:ascii="Times New Roman" w:hAnsi="Times New Roman" w:cs="Times New Roman"/>
          <w:b/>
          <w:sz w:val="24"/>
          <w:szCs w:val="24"/>
        </w:rPr>
        <w:t xml:space="preserve"> </w:t>
      </w:r>
    </w:p>
    <w:p>
      <w:pPr>
        <w:rPr>
          <w:rFonts w:ascii="Times New Roman" w:hAnsi="Times New Roman" w:cs="Times New Roman"/>
          <w:b/>
        </w:rPr>
      </w:pPr>
    </w:p>
    <w:sectPr>
      <w:headerReference r:id="rId5"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uhammad musa" w:date="2019-12-21T01:27:00Z" w:initials="Mm">
    <w:p w14:paraId="7F333359">
      <w:pPr>
        <w:pStyle w:val="4"/>
      </w:pPr>
      <w:r>
        <w:t>Children is a noun and therefore it should begin with capital latter not small letter.</w:t>
      </w:r>
    </w:p>
    <w:p w14:paraId="6F4B1924">
      <w:pPr>
        <w:pStyle w:val="4"/>
      </w:pPr>
      <w:r>
        <w:t>Repair is not a noun hence it needs to be begins with small letter.</w:t>
      </w:r>
    </w:p>
  </w:comment>
  <w:comment w:id="1" w:author="Muhammad musa" w:date="2019-12-21T01:32:00Z" w:initials="Mm">
    <w:p w14:paraId="7A6E6B93">
      <w:pPr>
        <w:pStyle w:val="4"/>
      </w:pPr>
      <w:r>
        <w:t>Please provide the age range which is the basis of arriving at the mean age.</w:t>
      </w:r>
    </w:p>
  </w:comment>
  <w:comment w:id="2" w:author="Muhammad musa" w:date="2019-12-21T01:33:00Z" w:initials="Mm">
    <w:p w14:paraId="498202F7">
      <w:pPr>
        <w:pStyle w:val="4"/>
      </w:pPr>
      <w:r>
        <w:t>patients rather</w:t>
      </w:r>
    </w:p>
  </w:comment>
  <w:comment w:id="3" w:author="Muhammad musa" w:date="2019-12-21T01:38:00Z" w:initials="Mm">
    <w:p w14:paraId="456A1722">
      <w:pPr>
        <w:pStyle w:val="4"/>
      </w:pPr>
      <w:r>
        <w:t>previously circumcised</w:t>
      </w:r>
    </w:p>
    <w:p w14:paraId="7D0F4445">
      <w:pPr>
        <w:pStyle w:val="4"/>
      </w:pPr>
      <w:r>
        <w:t>Not</w:t>
      </w:r>
    </w:p>
    <w:p w14:paraId="6C967B52">
      <w:pPr>
        <w:pStyle w:val="4"/>
      </w:pPr>
      <w:r>
        <w:t>previous circumcised</w:t>
      </w:r>
    </w:p>
  </w:comment>
  <w:comment w:id="4" w:author="Muhammad musa" w:date="2019-12-21T01:48:00Z" w:initials="Mm">
    <w:p w14:paraId="377E62D0">
      <w:pPr>
        <w:pStyle w:val="4"/>
      </w:pPr>
      <w:r>
        <w:t>attending to 1,000 t0 1,200 out patients per week</w:t>
      </w:r>
    </w:p>
    <w:p w14:paraId="347B130F">
      <w:pPr>
        <w:pStyle w:val="4"/>
      </w:pPr>
      <w:r>
        <w:t>Not</w:t>
      </w:r>
    </w:p>
    <w:p w14:paraId="6140310E">
      <w:pPr>
        <w:pStyle w:val="4"/>
      </w:pPr>
      <w:r>
        <w:t>attending 1,000 to 1,200 out patients week</w:t>
      </w:r>
    </w:p>
  </w:comment>
  <w:comment w:id="5" w:author="Muhammad musa" w:date="2019-12-21T02:11:00Z" w:initials="Mm">
    <w:p w14:paraId="459F459D">
      <w:pPr>
        <w:pStyle w:val="4"/>
      </w:pPr>
      <w:r>
        <w:t>repair rather</w:t>
      </w:r>
    </w:p>
  </w:comment>
  <w:comment w:id="6" w:author="Muhammad musa" w:date="2019-12-21T02:13:00Z" w:initials="Mm">
    <w:p w14:paraId="48A85A7C">
      <w:pPr>
        <w:pStyle w:val="4"/>
      </w:pPr>
      <w:r>
        <w:t>was considered statistically significant</w:t>
      </w:r>
    </w:p>
    <w:p w14:paraId="4FA97589">
      <w:pPr>
        <w:pStyle w:val="4"/>
      </w:pPr>
      <w:r>
        <w:t>Not</w:t>
      </w:r>
    </w:p>
    <w:p w14:paraId="7E3A0A35">
      <w:pPr>
        <w:pStyle w:val="4"/>
      </w:pPr>
      <w:r>
        <w:t>was considered significant</w:t>
      </w:r>
    </w:p>
  </w:comment>
  <w:comment w:id="7" w:author="Muhammad musa" w:date="2019-12-21T02:18:00Z" w:initials="Mm">
    <w:p w14:paraId="67C57BDF">
      <w:pPr>
        <w:pStyle w:val="4"/>
      </w:pPr>
      <w:r>
        <w:t>Previously Circumcised</w:t>
      </w:r>
    </w:p>
    <w:p w14:paraId="46255FC3">
      <w:pPr>
        <w:pStyle w:val="4"/>
      </w:pPr>
      <w:r>
        <w:t>Not</w:t>
      </w:r>
    </w:p>
    <w:p w14:paraId="264A639D">
      <w:pPr>
        <w:pStyle w:val="4"/>
      </w:pPr>
      <w:r>
        <w:t>Previous Circumcised</w:t>
      </w:r>
    </w:p>
  </w:comment>
  <w:comment w:id="8" w:author="Muhammad musa" w:date="2019-12-21T02:23:00Z" w:initials="Mm">
    <w:p w14:paraId="430E2635">
      <w:pPr>
        <w:pStyle w:val="4"/>
      </w:pPr>
      <w:r>
        <w:t xml:space="preserve">Subcoronal </w:t>
      </w:r>
    </w:p>
    <w:p w14:paraId="479B7968">
      <w:pPr>
        <w:pStyle w:val="4"/>
      </w:pPr>
      <w:r>
        <w:t>Not</w:t>
      </w:r>
    </w:p>
    <w:p w14:paraId="3E0F0171">
      <w:pPr>
        <w:pStyle w:val="4"/>
      </w:pPr>
      <w:r>
        <w:t>Subcorona</w:t>
      </w:r>
    </w:p>
  </w:comment>
  <w:comment w:id="9" w:author="Muhammad musa" w:date="2019-12-21T02:32:00Z" w:initials="Mm">
    <w:p w14:paraId="544B037E">
      <w:pPr>
        <w:pStyle w:val="4"/>
      </w:pPr>
      <w:r>
        <w:t xml:space="preserve">Discharged </w:t>
      </w:r>
    </w:p>
    <w:p w14:paraId="300005CC">
      <w:pPr>
        <w:pStyle w:val="4"/>
      </w:pPr>
      <w:r>
        <w:t>Not</w:t>
      </w:r>
    </w:p>
    <w:p w14:paraId="148435EC">
      <w:pPr>
        <w:pStyle w:val="4"/>
      </w:pPr>
      <w:r>
        <w:t>dicharge</w:t>
      </w:r>
    </w:p>
  </w:comment>
  <w:comment w:id="10" w:author="Muhammad musa" w:date="2019-12-21T02:38:00Z" w:initials="Mm">
    <w:p w14:paraId="6FF56DD8">
      <w:pPr>
        <w:pStyle w:val="4"/>
      </w:pPr>
      <w:r>
        <w:t xml:space="preserve">Snodgrass </w:t>
      </w:r>
    </w:p>
    <w:p w14:paraId="52A93701">
      <w:pPr>
        <w:pStyle w:val="4"/>
      </w:pPr>
      <w:r>
        <w:t>Not</w:t>
      </w:r>
    </w:p>
    <w:p w14:paraId="2B07627D">
      <w:pPr>
        <w:pStyle w:val="4"/>
      </w:pPr>
      <w:r>
        <w:t>snodgrass</w:t>
      </w:r>
    </w:p>
  </w:comment>
  <w:comment w:id="11" w:author="Muhammad musa" w:date="2019-12-21T02:39:00Z" w:initials="Mm">
    <w:p w14:paraId="313A4802">
      <w:pPr>
        <w:pStyle w:val="4"/>
      </w:pPr>
      <w:r>
        <w:t>Staged hypospadias repair</w:t>
      </w:r>
    </w:p>
    <w:p w14:paraId="0958094C">
      <w:pPr>
        <w:pStyle w:val="4"/>
      </w:pPr>
      <w:r>
        <w:t>Not</w:t>
      </w:r>
    </w:p>
    <w:p w14:paraId="17F8661F">
      <w:pPr>
        <w:pStyle w:val="4"/>
      </w:pPr>
      <w:r>
        <w:t>Staged hypospadias</w:t>
      </w:r>
    </w:p>
  </w:comment>
  <w:comment w:id="12" w:author="Muhammad musa" w:date="2019-12-21T02:41:00Z" w:initials="Mm">
    <w:p w14:paraId="24514D0F">
      <w:pPr>
        <w:pStyle w:val="4"/>
      </w:pPr>
      <w:r>
        <w:t>Subcoronal rather</w:t>
      </w:r>
    </w:p>
  </w:comment>
  <w:comment w:id="13" w:author="Muhammad musa" w:date="2019-12-21T02:44:00Z" w:initials="Mm">
    <w:p w14:paraId="7C4A77A6">
      <w:pPr>
        <w:pStyle w:val="4"/>
      </w:pPr>
      <w:r>
        <w:t>stenosis</w:t>
      </w:r>
    </w:p>
    <w:p w14:paraId="322E14A5">
      <w:pPr>
        <w:pStyle w:val="4"/>
      </w:pPr>
      <w:r>
        <w:t>Not</w:t>
      </w:r>
    </w:p>
    <w:p w14:paraId="08E05977">
      <w:pPr>
        <w:pStyle w:val="4"/>
      </w:pPr>
      <w:r>
        <w:t>stenosi</w:t>
      </w:r>
    </w:p>
  </w:comment>
  <w:comment w:id="14" w:author="Muhammad musa" w:date="2019-12-21T23:39:00Z" w:initials="Mm">
    <w:p w14:paraId="0ABD5C0D">
      <w:pPr>
        <w:pStyle w:val="4"/>
      </w:pPr>
      <w:r>
        <w:t>Kindly correct the spacing</w:t>
      </w:r>
    </w:p>
  </w:comment>
  <w:comment w:id="15" w:author="Muhammad musa" w:date="2019-12-21T23:42:00Z" w:initials="Mm">
    <w:p w14:paraId="689660B8">
      <w:pPr>
        <w:pStyle w:val="4"/>
      </w:pPr>
      <w:r>
        <w:t>previously circumcised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4B1924" w15:done="0"/>
  <w15:commentEx w15:paraId="7A6E6B93" w15:done="0"/>
  <w15:commentEx w15:paraId="498202F7" w15:done="0"/>
  <w15:commentEx w15:paraId="6C967B52" w15:done="0"/>
  <w15:commentEx w15:paraId="6140310E" w15:done="0"/>
  <w15:commentEx w15:paraId="459F459D" w15:done="0"/>
  <w15:commentEx w15:paraId="7E3A0A35" w15:done="0"/>
  <w15:commentEx w15:paraId="264A639D" w15:done="0"/>
  <w15:commentEx w15:paraId="3E0F0171" w15:done="0"/>
  <w15:commentEx w15:paraId="148435EC" w15:done="0"/>
  <w15:commentEx w15:paraId="2B07627D" w15:done="0"/>
  <w15:commentEx w15:paraId="17F8661F" w15:done="0"/>
  <w15:commentEx w15:paraId="24514D0F" w15:done="0"/>
  <w15:commentEx w15:paraId="08E05977" w15:done="0"/>
  <w15:commentEx w15:paraId="0ABD5C0D" w15:done="0"/>
  <w15:commentEx w15:paraId="689660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510226"/>
      <w:docPartObj>
        <w:docPartGallery w:val="AutoText"/>
      </w:docPartObj>
    </w:sdtPr>
    <w:sdtContent>
      <w:p>
        <w:pPr>
          <w:pStyle w:val="7"/>
          <w:jc w:val="center"/>
        </w:pPr>
        <w:r>
          <w:fldChar w:fldCharType="begin"/>
        </w:r>
        <w:r>
          <w:instrText xml:space="preserve"> PAGE   \* MERGEFORMAT </w:instrText>
        </w:r>
        <w:r>
          <w:fldChar w:fldCharType="separate"/>
        </w:r>
        <w:r>
          <w:t>11</w:t>
        </w:r>
        <w: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6749C"/>
    <w:multiLevelType w:val="multilevel"/>
    <w:tmpl w:val="29A6749C"/>
    <w:lvl w:ilvl="0" w:tentative="0">
      <w:start w:val="95"/>
      <w:numFmt w:val="bullet"/>
      <w:lvlText w:val=""/>
      <w:lvlJc w:val="left"/>
      <w:pPr>
        <w:ind w:left="720" w:hanging="360"/>
      </w:pPr>
      <w:rPr>
        <w:rFonts w:hint="default" w:ascii="Wingdings" w:hAnsi="Wingdings" w:eastAsia="Times New Roman"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uhammad musa">
    <w15:presenceInfo w15:providerId="Windows Live" w15:userId="5c9a29feccd18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75"/>
    <w:rsid w:val="00020BD0"/>
    <w:rsid w:val="00036311"/>
    <w:rsid w:val="000A7A07"/>
    <w:rsid w:val="000D725D"/>
    <w:rsid w:val="0011782A"/>
    <w:rsid w:val="00121EED"/>
    <w:rsid w:val="00140B47"/>
    <w:rsid w:val="001560B7"/>
    <w:rsid w:val="001573DB"/>
    <w:rsid w:val="001854A7"/>
    <w:rsid w:val="00195100"/>
    <w:rsid w:val="00195DBD"/>
    <w:rsid w:val="001C3668"/>
    <w:rsid w:val="001C6214"/>
    <w:rsid w:val="001F015E"/>
    <w:rsid w:val="001F5D8B"/>
    <w:rsid w:val="00202A1D"/>
    <w:rsid w:val="00214CA7"/>
    <w:rsid w:val="0021792B"/>
    <w:rsid w:val="002263D0"/>
    <w:rsid w:val="00246169"/>
    <w:rsid w:val="00252628"/>
    <w:rsid w:val="002843B7"/>
    <w:rsid w:val="002C119F"/>
    <w:rsid w:val="002C227E"/>
    <w:rsid w:val="002D05A0"/>
    <w:rsid w:val="002E2402"/>
    <w:rsid w:val="002E78EE"/>
    <w:rsid w:val="002F628B"/>
    <w:rsid w:val="0030538D"/>
    <w:rsid w:val="003202DF"/>
    <w:rsid w:val="00332F55"/>
    <w:rsid w:val="0033696E"/>
    <w:rsid w:val="0034349B"/>
    <w:rsid w:val="00360BA5"/>
    <w:rsid w:val="00366785"/>
    <w:rsid w:val="003B07E7"/>
    <w:rsid w:val="003B7861"/>
    <w:rsid w:val="003C0385"/>
    <w:rsid w:val="003D53DA"/>
    <w:rsid w:val="003D6C75"/>
    <w:rsid w:val="003E5890"/>
    <w:rsid w:val="003F7C82"/>
    <w:rsid w:val="0041505C"/>
    <w:rsid w:val="0042426A"/>
    <w:rsid w:val="0044361B"/>
    <w:rsid w:val="004958B0"/>
    <w:rsid w:val="004A2AFD"/>
    <w:rsid w:val="004C5A31"/>
    <w:rsid w:val="004D0997"/>
    <w:rsid w:val="0051004B"/>
    <w:rsid w:val="0051792B"/>
    <w:rsid w:val="00521B14"/>
    <w:rsid w:val="00541165"/>
    <w:rsid w:val="005463B4"/>
    <w:rsid w:val="0055113C"/>
    <w:rsid w:val="00574432"/>
    <w:rsid w:val="00584948"/>
    <w:rsid w:val="00591319"/>
    <w:rsid w:val="0059527F"/>
    <w:rsid w:val="005A47B2"/>
    <w:rsid w:val="005A7AAC"/>
    <w:rsid w:val="005B3A10"/>
    <w:rsid w:val="005C105E"/>
    <w:rsid w:val="005C2E9E"/>
    <w:rsid w:val="006462A0"/>
    <w:rsid w:val="00666CFA"/>
    <w:rsid w:val="00667597"/>
    <w:rsid w:val="00680219"/>
    <w:rsid w:val="006A364B"/>
    <w:rsid w:val="006C2A42"/>
    <w:rsid w:val="006E12AB"/>
    <w:rsid w:val="006E2470"/>
    <w:rsid w:val="006F0E0E"/>
    <w:rsid w:val="0072043D"/>
    <w:rsid w:val="00725C9F"/>
    <w:rsid w:val="00740352"/>
    <w:rsid w:val="00751867"/>
    <w:rsid w:val="0075356E"/>
    <w:rsid w:val="00764C62"/>
    <w:rsid w:val="00770F15"/>
    <w:rsid w:val="007742AC"/>
    <w:rsid w:val="00775326"/>
    <w:rsid w:val="007A7F65"/>
    <w:rsid w:val="00835C46"/>
    <w:rsid w:val="008B7005"/>
    <w:rsid w:val="008D0674"/>
    <w:rsid w:val="008E389B"/>
    <w:rsid w:val="008F7FED"/>
    <w:rsid w:val="00933C42"/>
    <w:rsid w:val="00965595"/>
    <w:rsid w:val="00981D1A"/>
    <w:rsid w:val="009915A7"/>
    <w:rsid w:val="009B23AC"/>
    <w:rsid w:val="009D7887"/>
    <w:rsid w:val="009F01A1"/>
    <w:rsid w:val="00A120F4"/>
    <w:rsid w:val="00A21868"/>
    <w:rsid w:val="00A4287F"/>
    <w:rsid w:val="00A60257"/>
    <w:rsid w:val="00A64AB1"/>
    <w:rsid w:val="00A6591A"/>
    <w:rsid w:val="00A81C75"/>
    <w:rsid w:val="00A82F98"/>
    <w:rsid w:val="00A8463A"/>
    <w:rsid w:val="00AC3BB6"/>
    <w:rsid w:val="00AC7DCF"/>
    <w:rsid w:val="00AD1421"/>
    <w:rsid w:val="00AE2CD0"/>
    <w:rsid w:val="00AF3418"/>
    <w:rsid w:val="00B26C3A"/>
    <w:rsid w:val="00B47BE6"/>
    <w:rsid w:val="00B51478"/>
    <w:rsid w:val="00B670C4"/>
    <w:rsid w:val="00B9232B"/>
    <w:rsid w:val="00B92AD1"/>
    <w:rsid w:val="00B933B5"/>
    <w:rsid w:val="00BA5EA6"/>
    <w:rsid w:val="00BB7DEE"/>
    <w:rsid w:val="00BD272B"/>
    <w:rsid w:val="00BD4B24"/>
    <w:rsid w:val="00BD71E7"/>
    <w:rsid w:val="00BD7446"/>
    <w:rsid w:val="00BE5CAF"/>
    <w:rsid w:val="00C00CF5"/>
    <w:rsid w:val="00C01C8F"/>
    <w:rsid w:val="00C053A9"/>
    <w:rsid w:val="00C1242C"/>
    <w:rsid w:val="00C32451"/>
    <w:rsid w:val="00C42564"/>
    <w:rsid w:val="00C7640A"/>
    <w:rsid w:val="00CC0228"/>
    <w:rsid w:val="00D1208D"/>
    <w:rsid w:val="00D20A2B"/>
    <w:rsid w:val="00D309B8"/>
    <w:rsid w:val="00D45288"/>
    <w:rsid w:val="00D555F4"/>
    <w:rsid w:val="00D70D54"/>
    <w:rsid w:val="00D912AE"/>
    <w:rsid w:val="00DA0AA9"/>
    <w:rsid w:val="00DC3CB5"/>
    <w:rsid w:val="00DF0AFC"/>
    <w:rsid w:val="00DF672C"/>
    <w:rsid w:val="00E13C8F"/>
    <w:rsid w:val="00E22FDB"/>
    <w:rsid w:val="00E31E6C"/>
    <w:rsid w:val="00E87D28"/>
    <w:rsid w:val="00E92233"/>
    <w:rsid w:val="00EA6D8E"/>
    <w:rsid w:val="00EB3998"/>
    <w:rsid w:val="00EB7441"/>
    <w:rsid w:val="00F56E9C"/>
    <w:rsid w:val="00FC1AB8"/>
    <w:rsid w:val="00FE2D14"/>
    <w:rsid w:val="00FE3F17"/>
    <w:rsid w:val="00FE3F56"/>
    <w:rsid w:val="00FF3D51"/>
    <w:rsid w:val="62603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3"/>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35"/>
    <w:pPr>
      <w:spacing w:line="240" w:lineRule="auto"/>
    </w:pPr>
    <w:rPr>
      <w:rFonts w:ascii="Calibri" w:hAnsi="Calibri" w:eastAsia="Calibri" w:cs="Times New Roman"/>
      <w:b/>
      <w:bCs/>
      <w:color w:val="4F81BD"/>
      <w:sz w:val="18"/>
      <w:szCs w:val="18"/>
    </w:rPr>
  </w:style>
  <w:style w:type="paragraph" w:styleId="4">
    <w:name w:val="annotation text"/>
    <w:basedOn w:val="1"/>
    <w:link w:val="17"/>
    <w:semiHidden/>
    <w:unhideWhenUsed/>
    <w:qFormat/>
    <w:uiPriority w:val="99"/>
    <w:pPr>
      <w:spacing w:line="240" w:lineRule="auto"/>
    </w:pPr>
    <w:rPr>
      <w:sz w:val="20"/>
      <w:szCs w:val="20"/>
    </w:rPr>
  </w:style>
  <w:style w:type="paragraph" w:styleId="5">
    <w:name w:val="Balloon Text"/>
    <w:basedOn w:val="1"/>
    <w:link w:val="19"/>
    <w:semiHidden/>
    <w:unhideWhenUsed/>
    <w:uiPriority w:val="99"/>
    <w:pPr>
      <w:spacing w:after="0" w:line="240" w:lineRule="auto"/>
    </w:pPr>
    <w:rPr>
      <w:rFonts w:ascii="Segoe UI" w:hAnsi="Segoe UI" w:cs="Segoe UI"/>
      <w:sz w:val="18"/>
      <w:szCs w:val="18"/>
    </w:rPr>
  </w:style>
  <w:style w:type="paragraph" w:styleId="6">
    <w:name w:val="footer"/>
    <w:basedOn w:val="1"/>
    <w:link w:val="15"/>
    <w:semiHidden/>
    <w:unhideWhenUsed/>
    <w:qFormat/>
    <w:uiPriority w:val="99"/>
    <w:pPr>
      <w:tabs>
        <w:tab w:val="center" w:pos="4680"/>
        <w:tab w:val="right" w:pos="9360"/>
      </w:tabs>
      <w:spacing w:after="0" w:line="240" w:lineRule="auto"/>
    </w:pPr>
  </w:style>
  <w:style w:type="paragraph" w:styleId="7">
    <w:name w:val="header"/>
    <w:basedOn w:val="1"/>
    <w:link w:val="14"/>
    <w:unhideWhenUsed/>
    <w:qFormat/>
    <w:uiPriority w:val="99"/>
    <w:pPr>
      <w:tabs>
        <w:tab w:val="center" w:pos="4680"/>
        <w:tab w:val="right" w:pos="9360"/>
      </w:tabs>
      <w:spacing w:after="0" w:line="240" w:lineRule="auto"/>
    </w:pPr>
  </w:style>
  <w:style w:type="paragraph" w:styleId="8">
    <w:name w:val="annotation subject"/>
    <w:basedOn w:val="4"/>
    <w:next w:val="4"/>
    <w:link w:val="18"/>
    <w:semiHidden/>
    <w:unhideWhenUsed/>
    <w:uiPriority w:val="99"/>
    <w:rPr>
      <w:b/>
      <w:bCs/>
    </w:rPr>
  </w:style>
  <w:style w:type="character" w:styleId="11">
    <w:name w:val="Hyperlink"/>
    <w:basedOn w:val="10"/>
    <w:unhideWhenUsed/>
    <w:uiPriority w:val="99"/>
    <w:rPr>
      <w:color w:val="0000FF" w:themeColor="hyperlink"/>
      <w:u w:val="single"/>
      <w14:textFill>
        <w14:solidFill>
          <w14:schemeClr w14:val="hlink"/>
        </w14:solidFill>
      </w14:textFill>
    </w:rPr>
  </w:style>
  <w:style w:type="character" w:styleId="12">
    <w:name w:val="annotation reference"/>
    <w:basedOn w:val="10"/>
    <w:semiHidden/>
    <w:unhideWhenUsed/>
    <w:uiPriority w:val="99"/>
    <w:rPr>
      <w:sz w:val="16"/>
      <w:szCs w:val="16"/>
    </w:rPr>
  </w:style>
  <w:style w:type="character" w:customStyle="1" w:styleId="13">
    <w:name w:val="Heading 1 Char"/>
    <w:basedOn w:val="10"/>
    <w:link w:val="2"/>
    <w:uiPriority w:val="9"/>
    <w:rPr>
      <w:rFonts w:asciiTheme="majorHAnsi" w:hAnsiTheme="majorHAnsi" w:eastAsiaTheme="majorEastAsia" w:cstheme="majorBidi"/>
      <w:b/>
      <w:bCs/>
      <w:color w:val="376092" w:themeColor="accent1" w:themeShade="BF"/>
      <w:sz w:val="28"/>
      <w:szCs w:val="28"/>
    </w:rPr>
  </w:style>
  <w:style w:type="character" w:customStyle="1" w:styleId="14">
    <w:name w:val="Header Char"/>
    <w:basedOn w:val="10"/>
    <w:link w:val="7"/>
    <w:uiPriority w:val="99"/>
  </w:style>
  <w:style w:type="character" w:customStyle="1" w:styleId="15">
    <w:name w:val="Footer Char"/>
    <w:basedOn w:val="10"/>
    <w:link w:val="6"/>
    <w:semiHidden/>
    <w:uiPriority w:val="99"/>
  </w:style>
  <w:style w:type="paragraph" w:styleId="16">
    <w:name w:val="List Paragraph"/>
    <w:basedOn w:val="1"/>
    <w:qFormat/>
    <w:uiPriority w:val="34"/>
    <w:pPr>
      <w:ind w:left="720"/>
      <w:contextualSpacing/>
    </w:pPr>
  </w:style>
  <w:style w:type="character" w:customStyle="1" w:styleId="17">
    <w:name w:val="Comment Text Char"/>
    <w:basedOn w:val="10"/>
    <w:link w:val="4"/>
    <w:semiHidden/>
    <w:qFormat/>
    <w:uiPriority w:val="99"/>
    <w:rPr>
      <w:sz w:val="20"/>
      <w:szCs w:val="20"/>
    </w:rPr>
  </w:style>
  <w:style w:type="character" w:customStyle="1" w:styleId="18">
    <w:name w:val="Comment Subject Char"/>
    <w:basedOn w:val="17"/>
    <w:link w:val="8"/>
    <w:semiHidden/>
    <w:uiPriority w:val="99"/>
    <w:rPr>
      <w:b/>
      <w:bCs/>
      <w:sz w:val="20"/>
      <w:szCs w:val="20"/>
    </w:rPr>
  </w:style>
  <w:style w:type="character" w:customStyle="1" w:styleId="19">
    <w:name w:val="Balloon Text Char"/>
    <w:basedOn w:val="10"/>
    <w:link w:val="5"/>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2978</Words>
  <Characters>16979</Characters>
  <Lines>141</Lines>
  <Paragraphs>39</Paragraphs>
  <TotalTime>546</TotalTime>
  <ScaleCrop>false</ScaleCrop>
  <LinksUpToDate>false</LinksUpToDate>
  <CharactersWithSpaces>19918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2019-11-25T07:18:00Z</dcterms:created>
  <dc:creator>DR. DAVID</dc:creator>
  <cp:lastModifiedBy>lala</cp:lastModifiedBy>
  <dcterms:modified xsi:type="dcterms:W3CDTF">2019-12-23T01:25:56Z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