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E99FA" w14:textId="5EB725F6" w:rsidR="002A1453" w:rsidRPr="00C72567" w:rsidRDefault="007D230F" w:rsidP="00DF2360">
      <w:pPr>
        <w:spacing w:after="0" w:line="360" w:lineRule="auto"/>
        <w:rPr>
          <w:rFonts w:ascii="Times New Roman" w:hAnsi="Times New Roman"/>
          <w:b/>
          <w:sz w:val="24"/>
          <w:szCs w:val="24"/>
        </w:rPr>
      </w:pPr>
      <w:r w:rsidRPr="00C72567">
        <w:rPr>
          <w:rFonts w:ascii="Times New Roman" w:hAnsi="Times New Roman"/>
          <w:b/>
          <w:sz w:val="24"/>
          <w:szCs w:val="24"/>
        </w:rPr>
        <w:t xml:space="preserve">Utilization of CAPRA score in the Management of patients with Prostate Cancer: </w:t>
      </w:r>
      <w:r w:rsidR="005C187E" w:rsidRPr="00C72567">
        <w:rPr>
          <w:rFonts w:ascii="Times New Roman" w:hAnsi="Times New Roman"/>
          <w:b/>
          <w:sz w:val="24"/>
          <w:szCs w:val="24"/>
        </w:rPr>
        <w:t>T</w:t>
      </w:r>
      <w:r w:rsidRPr="00C72567">
        <w:rPr>
          <w:rFonts w:ascii="Times New Roman" w:hAnsi="Times New Roman"/>
          <w:b/>
          <w:sz w:val="24"/>
          <w:szCs w:val="24"/>
        </w:rPr>
        <w:t xml:space="preserve">he practice </w:t>
      </w:r>
      <w:r w:rsidR="00C94CF0" w:rsidRPr="00C72567">
        <w:rPr>
          <w:rFonts w:ascii="Times New Roman" w:hAnsi="Times New Roman"/>
          <w:b/>
          <w:sz w:val="24"/>
          <w:szCs w:val="24"/>
        </w:rPr>
        <w:t>in</w:t>
      </w:r>
      <w:r w:rsidR="007B707D" w:rsidRPr="00C72567">
        <w:rPr>
          <w:rFonts w:ascii="Times New Roman" w:hAnsi="Times New Roman"/>
          <w:b/>
          <w:sz w:val="24"/>
          <w:szCs w:val="24"/>
        </w:rPr>
        <w:t xml:space="preserve"> Low </w:t>
      </w:r>
      <w:r w:rsidR="00EE7DC1" w:rsidRPr="00C72567">
        <w:rPr>
          <w:rFonts w:ascii="Times New Roman" w:hAnsi="Times New Roman"/>
          <w:b/>
          <w:sz w:val="24"/>
          <w:szCs w:val="24"/>
        </w:rPr>
        <w:t>Income</w:t>
      </w:r>
      <w:r w:rsidR="007B707D" w:rsidRPr="00C72567">
        <w:rPr>
          <w:rFonts w:ascii="Times New Roman" w:hAnsi="Times New Roman"/>
          <w:b/>
          <w:sz w:val="24"/>
          <w:szCs w:val="24"/>
        </w:rPr>
        <w:t xml:space="preserve"> </w:t>
      </w:r>
      <w:r w:rsidR="00EE7DC1" w:rsidRPr="00C72567">
        <w:rPr>
          <w:rFonts w:ascii="Times New Roman" w:hAnsi="Times New Roman"/>
          <w:b/>
          <w:sz w:val="24"/>
          <w:szCs w:val="24"/>
        </w:rPr>
        <w:t>Countries</w:t>
      </w:r>
      <w:r w:rsidR="007B707D" w:rsidRPr="00C72567">
        <w:rPr>
          <w:rFonts w:ascii="Times New Roman" w:hAnsi="Times New Roman"/>
          <w:b/>
          <w:sz w:val="24"/>
          <w:szCs w:val="24"/>
        </w:rPr>
        <w:t>.</w:t>
      </w:r>
    </w:p>
    <w:p w14:paraId="6B95E0DD" w14:textId="77777777" w:rsidR="00B24146" w:rsidRPr="00C72567" w:rsidRDefault="00B24146" w:rsidP="00DF2360">
      <w:pPr>
        <w:spacing w:after="0" w:line="360" w:lineRule="auto"/>
        <w:jc w:val="center"/>
        <w:rPr>
          <w:rFonts w:ascii="Times New Roman" w:hAnsi="Times New Roman"/>
          <w:b/>
          <w:sz w:val="24"/>
          <w:szCs w:val="24"/>
        </w:rPr>
      </w:pPr>
    </w:p>
    <w:p w14:paraId="6FE05E57" w14:textId="77777777" w:rsidR="002A1453" w:rsidRPr="00C72567" w:rsidRDefault="002A1453" w:rsidP="00DF2360">
      <w:pPr>
        <w:spacing w:after="0" w:line="360" w:lineRule="auto"/>
        <w:rPr>
          <w:rFonts w:ascii="Times New Roman" w:hAnsi="Times New Roman"/>
          <w:b/>
          <w:sz w:val="24"/>
          <w:szCs w:val="24"/>
          <w:vertAlign w:val="superscript"/>
        </w:rPr>
      </w:pPr>
      <w:r w:rsidRPr="00C72567">
        <w:rPr>
          <w:rFonts w:ascii="Times New Roman" w:hAnsi="Times New Roman"/>
          <w:b/>
          <w:sz w:val="24"/>
          <w:szCs w:val="24"/>
        </w:rPr>
        <w:t>O</w:t>
      </w:r>
      <w:r w:rsidR="001B2556" w:rsidRPr="00C72567">
        <w:rPr>
          <w:rFonts w:ascii="Times New Roman" w:hAnsi="Times New Roman"/>
          <w:b/>
          <w:sz w:val="24"/>
          <w:szCs w:val="24"/>
        </w:rPr>
        <w:t>.</w:t>
      </w:r>
      <w:proofErr w:type="gramStart"/>
      <w:r w:rsidRPr="00C72567">
        <w:rPr>
          <w:rFonts w:ascii="Times New Roman" w:hAnsi="Times New Roman"/>
          <w:b/>
          <w:sz w:val="24"/>
          <w:szCs w:val="24"/>
        </w:rPr>
        <w:t>E.Sukunala</w:t>
      </w:r>
      <w:proofErr w:type="gramEnd"/>
      <w:r w:rsidRPr="00C72567">
        <w:rPr>
          <w:rFonts w:ascii="Times New Roman" w:hAnsi="Times New Roman"/>
          <w:b/>
          <w:sz w:val="24"/>
          <w:szCs w:val="24"/>
          <w:vertAlign w:val="superscript"/>
        </w:rPr>
        <w:t>1*</w:t>
      </w:r>
      <w:r w:rsidRPr="00C72567">
        <w:rPr>
          <w:rFonts w:ascii="Times New Roman" w:hAnsi="Times New Roman"/>
          <w:b/>
          <w:sz w:val="24"/>
          <w:szCs w:val="24"/>
        </w:rPr>
        <w:t>,</w:t>
      </w:r>
      <w:r w:rsidR="007D230F" w:rsidRPr="00C72567">
        <w:rPr>
          <w:rFonts w:ascii="Times New Roman" w:hAnsi="Times New Roman"/>
          <w:b/>
          <w:sz w:val="24"/>
          <w:szCs w:val="24"/>
        </w:rPr>
        <w:t xml:space="preserve"> O.V. Nyongole</w:t>
      </w:r>
      <w:r w:rsidR="007D230F" w:rsidRPr="00C72567">
        <w:rPr>
          <w:rFonts w:ascii="Times New Roman" w:hAnsi="Times New Roman"/>
          <w:b/>
          <w:sz w:val="24"/>
          <w:szCs w:val="24"/>
          <w:vertAlign w:val="superscript"/>
        </w:rPr>
        <w:t>1</w:t>
      </w:r>
      <w:r w:rsidR="007D230F" w:rsidRPr="00C72567">
        <w:rPr>
          <w:rFonts w:ascii="Times New Roman" w:hAnsi="Times New Roman"/>
          <w:b/>
          <w:sz w:val="24"/>
          <w:szCs w:val="24"/>
        </w:rPr>
        <w:t xml:space="preserve">, </w:t>
      </w:r>
      <w:r w:rsidRPr="00C72567">
        <w:rPr>
          <w:rFonts w:ascii="Times New Roman" w:hAnsi="Times New Roman"/>
          <w:b/>
          <w:sz w:val="24"/>
          <w:szCs w:val="24"/>
        </w:rPr>
        <w:t>C.</w:t>
      </w:r>
      <w:r w:rsidR="007D230F" w:rsidRPr="00C72567">
        <w:rPr>
          <w:rFonts w:ascii="Times New Roman" w:hAnsi="Times New Roman"/>
          <w:b/>
          <w:sz w:val="24"/>
          <w:szCs w:val="24"/>
        </w:rPr>
        <w:t xml:space="preserve"> A</w:t>
      </w:r>
      <w:r w:rsidR="005C187E" w:rsidRPr="00C72567">
        <w:rPr>
          <w:rFonts w:ascii="Times New Roman" w:hAnsi="Times New Roman"/>
          <w:b/>
          <w:sz w:val="24"/>
          <w:szCs w:val="24"/>
        </w:rPr>
        <w:t xml:space="preserve">. </w:t>
      </w:r>
      <w:r w:rsidRPr="00C72567">
        <w:rPr>
          <w:rFonts w:ascii="Times New Roman" w:hAnsi="Times New Roman"/>
          <w:b/>
          <w:sz w:val="24"/>
          <w:szCs w:val="24"/>
        </w:rPr>
        <w:t>Mkony</w:t>
      </w:r>
      <w:r w:rsidRPr="00C72567">
        <w:rPr>
          <w:rFonts w:ascii="Times New Roman" w:hAnsi="Times New Roman"/>
          <w:b/>
          <w:sz w:val="24"/>
          <w:szCs w:val="24"/>
          <w:vertAlign w:val="superscript"/>
        </w:rPr>
        <w:t>1</w:t>
      </w:r>
    </w:p>
    <w:p w14:paraId="0D902AB7" w14:textId="77777777" w:rsidR="002A1453" w:rsidRPr="00C72567" w:rsidRDefault="002A1453" w:rsidP="00DF2360">
      <w:pPr>
        <w:spacing w:after="0" w:line="360" w:lineRule="auto"/>
        <w:rPr>
          <w:rFonts w:ascii="Times New Roman" w:hAnsi="Times New Roman"/>
          <w:b/>
          <w:sz w:val="24"/>
          <w:szCs w:val="24"/>
        </w:rPr>
      </w:pPr>
    </w:p>
    <w:p w14:paraId="6EC372BD" w14:textId="33383D69" w:rsidR="002A1453" w:rsidRPr="00C72567" w:rsidRDefault="002A1453" w:rsidP="00DF2360">
      <w:pPr>
        <w:spacing w:after="0" w:line="360" w:lineRule="auto"/>
        <w:rPr>
          <w:rFonts w:ascii="Times New Roman" w:eastAsia="Calibri" w:hAnsi="Times New Roman"/>
          <w:sz w:val="24"/>
          <w:szCs w:val="24"/>
        </w:rPr>
      </w:pPr>
      <w:r w:rsidRPr="00C72567">
        <w:rPr>
          <w:rFonts w:ascii="Times New Roman" w:eastAsia="TT160t00" w:hAnsi="Times New Roman"/>
          <w:sz w:val="24"/>
          <w:szCs w:val="24"/>
        </w:rPr>
        <w:t xml:space="preserve">1Department of Surgery, School of </w:t>
      </w:r>
      <w:r w:rsidR="005C187E" w:rsidRPr="00C72567">
        <w:rPr>
          <w:rFonts w:ascii="Times New Roman" w:eastAsia="TT160t00" w:hAnsi="Times New Roman"/>
          <w:sz w:val="24"/>
          <w:szCs w:val="24"/>
        </w:rPr>
        <w:t>M</w:t>
      </w:r>
      <w:r w:rsidRPr="00C72567">
        <w:rPr>
          <w:rFonts w:ascii="Times New Roman" w:eastAsia="TT160t00" w:hAnsi="Times New Roman"/>
          <w:sz w:val="24"/>
          <w:szCs w:val="24"/>
        </w:rPr>
        <w:t>edicine, Muhimbili University of Health and Allied Sciences,</w:t>
      </w:r>
      <w:r w:rsidRPr="00C72567">
        <w:rPr>
          <w:rFonts w:ascii="Times New Roman" w:eastAsia="Calibri" w:hAnsi="Times New Roman"/>
          <w:sz w:val="24"/>
          <w:szCs w:val="24"/>
        </w:rPr>
        <w:t xml:space="preserve"> Dar </w:t>
      </w:r>
      <w:proofErr w:type="spellStart"/>
      <w:r w:rsidRPr="00C72567">
        <w:rPr>
          <w:rFonts w:ascii="Times New Roman" w:eastAsia="Calibri" w:hAnsi="Times New Roman"/>
          <w:sz w:val="24"/>
          <w:szCs w:val="24"/>
        </w:rPr>
        <w:t>es</w:t>
      </w:r>
      <w:proofErr w:type="spellEnd"/>
      <w:r w:rsidRPr="00C72567">
        <w:rPr>
          <w:rFonts w:ascii="Times New Roman" w:eastAsia="Calibri" w:hAnsi="Times New Roman"/>
          <w:sz w:val="24"/>
          <w:szCs w:val="24"/>
        </w:rPr>
        <w:t xml:space="preserve"> Salaam, Tanzania.</w:t>
      </w:r>
    </w:p>
    <w:p w14:paraId="5B15A8B5" w14:textId="77777777" w:rsidR="002A1453" w:rsidRPr="00C72567" w:rsidRDefault="002A1453" w:rsidP="00DF2360">
      <w:pPr>
        <w:autoSpaceDE w:val="0"/>
        <w:autoSpaceDN w:val="0"/>
        <w:adjustRightInd w:val="0"/>
        <w:spacing w:after="0" w:line="360" w:lineRule="auto"/>
        <w:rPr>
          <w:rFonts w:ascii="Times New Roman" w:eastAsia="Calibri" w:hAnsi="Times New Roman"/>
          <w:sz w:val="24"/>
          <w:szCs w:val="24"/>
        </w:rPr>
      </w:pPr>
    </w:p>
    <w:p w14:paraId="68F5FEE5" w14:textId="77777777" w:rsidR="002A1453" w:rsidRPr="00C72567" w:rsidRDefault="00891F72" w:rsidP="00DF2360">
      <w:pPr>
        <w:spacing w:after="0" w:line="360" w:lineRule="auto"/>
        <w:rPr>
          <w:rFonts w:ascii="Times New Roman" w:eastAsia="Calibri" w:hAnsi="Times New Roman"/>
          <w:sz w:val="24"/>
          <w:szCs w:val="24"/>
        </w:rPr>
      </w:pPr>
      <w:r w:rsidRPr="00C72567">
        <w:rPr>
          <w:rFonts w:ascii="Times New Roman" w:eastAsia="Calibri" w:hAnsi="Times New Roman"/>
          <w:sz w:val="24"/>
          <w:szCs w:val="24"/>
          <w:vertAlign w:val="superscript"/>
        </w:rPr>
        <w:t>*</w:t>
      </w:r>
      <w:r w:rsidRPr="00C72567">
        <w:rPr>
          <w:rFonts w:ascii="Times New Roman" w:eastAsia="Calibri" w:hAnsi="Times New Roman"/>
          <w:b/>
          <w:sz w:val="24"/>
          <w:szCs w:val="24"/>
        </w:rPr>
        <w:t>Correspondence to</w:t>
      </w:r>
      <w:r w:rsidRPr="00C72567">
        <w:rPr>
          <w:rFonts w:ascii="Times New Roman" w:eastAsia="Calibri" w:hAnsi="Times New Roman"/>
          <w:sz w:val="24"/>
          <w:szCs w:val="24"/>
        </w:rPr>
        <w:t>:</w:t>
      </w:r>
      <w:r w:rsidR="00530850" w:rsidRPr="00C72567">
        <w:rPr>
          <w:rFonts w:ascii="Times New Roman" w:eastAsia="Calibri" w:hAnsi="Times New Roman"/>
          <w:sz w:val="24"/>
          <w:szCs w:val="24"/>
        </w:rPr>
        <w:t xml:space="preserve"> O.</w:t>
      </w:r>
      <w:r w:rsidRPr="00C72567">
        <w:rPr>
          <w:rFonts w:ascii="Times New Roman" w:eastAsia="Calibri" w:hAnsi="Times New Roman"/>
          <w:sz w:val="24"/>
          <w:szCs w:val="24"/>
        </w:rPr>
        <w:t xml:space="preserve"> E.</w:t>
      </w:r>
      <w:r w:rsidR="002A1453" w:rsidRPr="00C72567">
        <w:rPr>
          <w:rFonts w:ascii="Times New Roman" w:eastAsia="Calibri" w:hAnsi="Times New Roman"/>
          <w:sz w:val="24"/>
          <w:szCs w:val="24"/>
        </w:rPr>
        <w:t xml:space="preserve"> </w:t>
      </w:r>
      <w:proofErr w:type="spellStart"/>
      <w:r w:rsidR="002A1453" w:rsidRPr="00C72567">
        <w:rPr>
          <w:rFonts w:ascii="Times New Roman" w:eastAsia="Calibri" w:hAnsi="Times New Roman"/>
          <w:sz w:val="24"/>
          <w:szCs w:val="24"/>
        </w:rPr>
        <w:t>Sukunala</w:t>
      </w:r>
      <w:proofErr w:type="spellEnd"/>
      <w:r w:rsidRPr="00C72567">
        <w:rPr>
          <w:rFonts w:ascii="Times New Roman" w:eastAsia="Calibri" w:hAnsi="Times New Roman"/>
          <w:sz w:val="24"/>
          <w:szCs w:val="24"/>
        </w:rPr>
        <w:t>, Email:</w:t>
      </w:r>
      <w:r w:rsidR="002A1453" w:rsidRPr="00C72567">
        <w:rPr>
          <w:rFonts w:ascii="Times New Roman" w:eastAsia="Calibri" w:hAnsi="Times New Roman"/>
          <w:sz w:val="24"/>
          <w:szCs w:val="24"/>
          <w:u w:val="single"/>
        </w:rPr>
        <w:t xml:space="preserve"> </w:t>
      </w:r>
      <w:r w:rsidR="002A1453" w:rsidRPr="00C72567">
        <w:rPr>
          <w:rFonts w:ascii="Times New Roman" w:eastAsia="Calibri" w:hAnsi="Times New Roman"/>
          <w:color w:val="4F81BD" w:themeColor="accent1"/>
          <w:sz w:val="24"/>
          <w:szCs w:val="24"/>
          <w:u w:val="single"/>
        </w:rPr>
        <w:t>okoasukunala@yahoo.com</w:t>
      </w:r>
    </w:p>
    <w:p w14:paraId="40407A8C" w14:textId="77777777" w:rsidR="00C17857" w:rsidRPr="00C72567" w:rsidRDefault="002A1453" w:rsidP="00DF2360">
      <w:pPr>
        <w:spacing w:after="0" w:line="360" w:lineRule="auto"/>
        <w:rPr>
          <w:rFonts w:ascii="Times New Roman" w:eastAsia="Calibri" w:hAnsi="Times New Roman"/>
          <w:sz w:val="24"/>
          <w:szCs w:val="24"/>
          <w:u w:val="single"/>
        </w:rPr>
      </w:pPr>
      <w:r w:rsidRPr="00C72567">
        <w:rPr>
          <w:rFonts w:ascii="Times New Roman" w:eastAsia="Calibri" w:hAnsi="Times New Roman"/>
          <w:sz w:val="24"/>
          <w:szCs w:val="24"/>
        </w:rPr>
        <w:t xml:space="preserve">          </w:t>
      </w:r>
    </w:p>
    <w:p w14:paraId="04AA2128" w14:textId="71F0D196" w:rsidR="001A5B35" w:rsidRPr="00C72567" w:rsidRDefault="007D230F" w:rsidP="00DF2360">
      <w:pPr>
        <w:spacing w:after="0" w:line="360" w:lineRule="auto"/>
        <w:rPr>
          <w:rFonts w:ascii="Times New Roman" w:eastAsia="Calibri" w:hAnsi="Times New Roman"/>
          <w:sz w:val="24"/>
          <w:szCs w:val="24"/>
        </w:rPr>
      </w:pPr>
      <w:r w:rsidRPr="00C72567">
        <w:rPr>
          <w:rFonts w:ascii="Times New Roman" w:eastAsia="Calibri" w:hAnsi="Times New Roman"/>
          <w:sz w:val="24"/>
          <w:szCs w:val="24"/>
        </w:rPr>
        <w:t xml:space="preserve">                                O.V. </w:t>
      </w:r>
      <w:proofErr w:type="spellStart"/>
      <w:r w:rsidRPr="00C72567">
        <w:rPr>
          <w:rFonts w:ascii="Times New Roman" w:eastAsia="Calibri" w:hAnsi="Times New Roman"/>
          <w:sz w:val="24"/>
          <w:szCs w:val="24"/>
        </w:rPr>
        <w:t>Nyongole</w:t>
      </w:r>
      <w:proofErr w:type="spellEnd"/>
      <w:r w:rsidRPr="00C72567">
        <w:rPr>
          <w:rFonts w:ascii="Times New Roman" w:eastAsia="Calibri" w:hAnsi="Times New Roman"/>
          <w:sz w:val="24"/>
          <w:szCs w:val="24"/>
        </w:rPr>
        <w:t xml:space="preserve">:   </w:t>
      </w:r>
      <w:hyperlink r:id="rId6" w:history="1">
        <w:r w:rsidRPr="00DF2360">
          <w:rPr>
            <w:rStyle w:val="Hyperlink"/>
            <w:rFonts w:ascii="Times New Roman" w:eastAsia="Calibri" w:hAnsi="Times New Roman"/>
            <w:sz w:val="24"/>
            <w:szCs w:val="24"/>
          </w:rPr>
          <w:t>onyongole@yahoo.co.uk</w:t>
        </w:r>
      </w:hyperlink>
    </w:p>
    <w:p w14:paraId="0DC6BC46" w14:textId="0F98C654" w:rsidR="007D230F" w:rsidRPr="00DF2360" w:rsidRDefault="007D230F" w:rsidP="00DF2360">
      <w:pPr>
        <w:spacing w:after="0" w:line="360" w:lineRule="auto"/>
        <w:rPr>
          <w:rFonts w:ascii="Times New Roman" w:eastAsia="Calibri" w:hAnsi="Times New Roman"/>
          <w:sz w:val="24"/>
          <w:szCs w:val="24"/>
        </w:rPr>
      </w:pPr>
      <w:r w:rsidRPr="00DF2360">
        <w:rPr>
          <w:rFonts w:ascii="Times New Roman" w:eastAsia="Calibri" w:hAnsi="Times New Roman"/>
          <w:sz w:val="24"/>
          <w:szCs w:val="24"/>
        </w:rPr>
        <w:t xml:space="preserve">                                    C.A. Mkony:</w:t>
      </w:r>
      <w:r w:rsidR="005C187E" w:rsidRPr="00DF2360">
        <w:rPr>
          <w:rFonts w:ascii="Times New Roman" w:eastAsia="Calibri" w:hAnsi="Times New Roman"/>
          <w:sz w:val="24"/>
          <w:szCs w:val="24"/>
        </w:rPr>
        <w:t>c</w:t>
      </w:r>
      <w:r w:rsidRPr="00DF2360">
        <w:rPr>
          <w:rFonts w:ascii="Times New Roman" w:eastAsia="Calibri" w:hAnsi="Times New Roman"/>
          <w:sz w:val="24"/>
          <w:szCs w:val="24"/>
        </w:rPr>
        <w:t>harles_mkony@gmail.com</w:t>
      </w:r>
    </w:p>
    <w:p w14:paraId="1C317A83" w14:textId="4C998047" w:rsidR="007D230F" w:rsidRPr="00DF2360" w:rsidRDefault="005A5DEC" w:rsidP="00DF2360">
      <w:pPr>
        <w:spacing w:after="0" w:line="360" w:lineRule="auto"/>
        <w:rPr>
          <w:rFonts w:ascii="Times New Roman" w:eastAsia="Calibri" w:hAnsi="Times New Roman"/>
          <w:sz w:val="24"/>
          <w:szCs w:val="24"/>
        </w:rPr>
      </w:pPr>
      <w:r>
        <w:rPr>
          <w:rFonts w:ascii="Times New Roman" w:eastAsia="Calibri" w:hAnsi="Times New Roman"/>
          <w:sz w:val="24"/>
          <w:szCs w:val="24"/>
        </w:rPr>
        <w:t>Abstract</w:t>
      </w:r>
    </w:p>
    <w:p w14:paraId="3135A618" w14:textId="1C0E7911" w:rsidR="00C17857" w:rsidRPr="00DF2360" w:rsidRDefault="00C17857" w:rsidP="00DF2360">
      <w:pPr>
        <w:spacing w:after="0" w:line="360" w:lineRule="auto"/>
        <w:jc w:val="both"/>
        <w:rPr>
          <w:rFonts w:ascii="Times New Roman" w:hAnsi="Times New Roman"/>
          <w:b/>
          <w:noProof/>
          <w:sz w:val="24"/>
          <w:szCs w:val="24"/>
          <w:lang w:bidi="en-US"/>
        </w:rPr>
      </w:pPr>
      <w:r w:rsidRPr="00DF2360">
        <w:rPr>
          <w:rFonts w:ascii="Times New Roman" w:hAnsi="Times New Roman"/>
          <w:b/>
          <w:noProof/>
          <w:sz w:val="24"/>
          <w:szCs w:val="24"/>
          <w:lang w:bidi="en-US"/>
        </w:rPr>
        <w:t>Background:</w:t>
      </w:r>
      <w:r w:rsidRPr="00DF2360">
        <w:rPr>
          <w:rFonts w:ascii="Times New Roman" w:hAnsi="Times New Roman"/>
          <w:noProof/>
          <w:sz w:val="24"/>
          <w:szCs w:val="24"/>
        </w:rPr>
        <w:t>Prostate cancer is the most common cancer affecting men and causes deaths second only to lung cancer</w:t>
      </w:r>
      <w:r w:rsidR="005C187E" w:rsidRPr="00DF2360">
        <w:rPr>
          <w:rFonts w:ascii="Times New Roman" w:hAnsi="Times New Roman"/>
          <w:noProof/>
          <w:sz w:val="24"/>
          <w:szCs w:val="24"/>
        </w:rPr>
        <w:t xml:space="preserve"> in numbers</w:t>
      </w:r>
      <w:r w:rsidR="001A5B35" w:rsidRPr="00DF2360">
        <w:rPr>
          <w:rFonts w:ascii="Times New Roman" w:hAnsi="Times New Roman"/>
          <w:noProof/>
          <w:sz w:val="24"/>
          <w:szCs w:val="24"/>
        </w:rPr>
        <w:t>.</w:t>
      </w:r>
      <w:r w:rsidRPr="00DF2360">
        <w:rPr>
          <w:rFonts w:ascii="Times New Roman" w:hAnsi="Times New Roman"/>
          <w:noProof/>
          <w:sz w:val="24"/>
          <w:szCs w:val="24"/>
        </w:rPr>
        <w:t xml:space="preserve"> Before making a decision regarding treatment for prostate cancer, risk stratification</w:t>
      </w:r>
      <w:r w:rsidR="00137072" w:rsidRPr="00DF2360">
        <w:rPr>
          <w:rFonts w:ascii="Times New Roman" w:hAnsi="Times New Roman"/>
          <w:noProof/>
          <w:sz w:val="24"/>
          <w:szCs w:val="24"/>
        </w:rPr>
        <w:t xml:space="preserve"> should be done </w:t>
      </w:r>
      <w:r w:rsidRPr="00DF2360">
        <w:rPr>
          <w:rFonts w:ascii="Times New Roman" w:hAnsi="Times New Roman"/>
          <w:noProof/>
          <w:sz w:val="24"/>
          <w:szCs w:val="24"/>
        </w:rPr>
        <w:t xml:space="preserve"> to determine and estimate the likelihood that a given tumor will recur after treatment</w:t>
      </w:r>
      <w:r w:rsidR="00A15A68" w:rsidRPr="00DF2360">
        <w:rPr>
          <w:rFonts w:ascii="Times New Roman" w:hAnsi="Times New Roman"/>
          <w:noProof/>
          <w:sz w:val="24"/>
          <w:szCs w:val="24"/>
        </w:rPr>
        <w:t>.</w:t>
      </w:r>
      <w:r w:rsidR="00D121FA" w:rsidRPr="00DF2360">
        <w:rPr>
          <w:rFonts w:ascii="Times New Roman" w:hAnsi="Times New Roman"/>
          <w:noProof/>
          <w:sz w:val="24"/>
          <w:szCs w:val="24"/>
        </w:rPr>
        <w:t>The aim of this study was</w:t>
      </w:r>
      <w:r w:rsidRPr="00DF2360">
        <w:rPr>
          <w:rFonts w:ascii="Times New Roman" w:hAnsi="Times New Roman"/>
          <w:noProof/>
          <w:sz w:val="24"/>
          <w:szCs w:val="24"/>
        </w:rPr>
        <w:t xml:space="preserve"> to assess the practica</w:t>
      </w:r>
      <w:r w:rsidR="00A15A68" w:rsidRPr="00DF2360">
        <w:rPr>
          <w:rFonts w:ascii="Times New Roman" w:hAnsi="Times New Roman"/>
          <w:noProof/>
          <w:sz w:val="24"/>
          <w:szCs w:val="24"/>
        </w:rPr>
        <w:t>bi</w:t>
      </w:r>
      <w:r w:rsidRPr="00DF2360">
        <w:rPr>
          <w:rFonts w:ascii="Times New Roman" w:hAnsi="Times New Roman"/>
          <w:noProof/>
          <w:sz w:val="24"/>
          <w:szCs w:val="24"/>
        </w:rPr>
        <w:t xml:space="preserve">lity of introducing and utilizing the UCSF-CAPRA score tool in risk assessment in </w:t>
      </w:r>
      <w:r w:rsidR="00A15A68" w:rsidRPr="00DF2360">
        <w:rPr>
          <w:rFonts w:ascii="Times New Roman" w:hAnsi="Times New Roman"/>
          <w:noProof/>
          <w:sz w:val="24"/>
          <w:szCs w:val="24"/>
        </w:rPr>
        <w:t xml:space="preserve">a low resource </w:t>
      </w:r>
      <w:r w:rsidRPr="00DF2360">
        <w:rPr>
          <w:rFonts w:ascii="Times New Roman" w:hAnsi="Times New Roman"/>
          <w:noProof/>
          <w:sz w:val="24"/>
          <w:szCs w:val="24"/>
        </w:rPr>
        <w:t xml:space="preserve">setting. </w:t>
      </w:r>
    </w:p>
    <w:p w14:paraId="7231AA87" w14:textId="3A150E2C" w:rsidR="00934AA2" w:rsidRPr="00DF2360" w:rsidRDefault="00C17857" w:rsidP="00DF2360">
      <w:pPr>
        <w:autoSpaceDE w:val="0"/>
        <w:autoSpaceDN w:val="0"/>
        <w:adjustRightInd w:val="0"/>
        <w:spacing w:after="0" w:line="360" w:lineRule="auto"/>
        <w:jc w:val="both"/>
        <w:rPr>
          <w:rFonts w:ascii="Times New Roman" w:hAnsi="Times New Roman"/>
          <w:sz w:val="24"/>
          <w:szCs w:val="24"/>
        </w:rPr>
      </w:pPr>
      <w:r w:rsidRPr="00DF2360">
        <w:rPr>
          <w:rFonts w:ascii="Times New Roman" w:hAnsi="Times New Roman"/>
          <w:b/>
          <w:noProof/>
          <w:sz w:val="24"/>
          <w:szCs w:val="24"/>
        </w:rPr>
        <w:t>Methods:</w:t>
      </w:r>
      <w:r w:rsidRPr="00DF2360">
        <w:rPr>
          <w:rFonts w:ascii="Times New Roman" w:hAnsi="Times New Roman"/>
          <w:noProof/>
          <w:sz w:val="24"/>
          <w:szCs w:val="24"/>
        </w:rPr>
        <w:t xml:space="preserve"> A descriptive cross sectional hospital based study was conducted on  patients with clinically localized prostate cancer at M</w:t>
      </w:r>
      <w:r w:rsidR="000D6F5B" w:rsidRPr="00DF2360">
        <w:rPr>
          <w:rFonts w:ascii="Times New Roman" w:hAnsi="Times New Roman"/>
          <w:noProof/>
          <w:sz w:val="24"/>
          <w:szCs w:val="24"/>
        </w:rPr>
        <w:t xml:space="preserve">uhimbili National </w:t>
      </w:r>
      <w:r w:rsidRPr="00DF2360">
        <w:rPr>
          <w:rFonts w:ascii="Times New Roman" w:hAnsi="Times New Roman"/>
          <w:noProof/>
          <w:sz w:val="24"/>
          <w:szCs w:val="24"/>
        </w:rPr>
        <w:t>H</w:t>
      </w:r>
      <w:r w:rsidR="000D6F5B" w:rsidRPr="00DF2360">
        <w:rPr>
          <w:rFonts w:ascii="Times New Roman" w:hAnsi="Times New Roman"/>
          <w:noProof/>
          <w:sz w:val="24"/>
          <w:szCs w:val="24"/>
        </w:rPr>
        <w:t>ospital</w:t>
      </w:r>
      <w:r w:rsidRPr="00DF2360">
        <w:rPr>
          <w:rFonts w:ascii="Times New Roman" w:hAnsi="Times New Roman"/>
          <w:noProof/>
          <w:sz w:val="24"/>
          <w:szCs w:val="24"/>
        </w:rPr>
        <w:t>, Regency and Tumaini hospitals</w:t>
      </w:r>
      <w:r w:rsidR="000D6F5B" w:rsidRPr="00DF2360">
        <w:rPr>
          <w:rFonts w:ascii="Times New Roman" w:hAnsi="Times New Roman"/>
          <w:noProof/>
          <w:sz w:val="24"/>
          <w:szCs w:val="24"/>
        </w:rPr>
        <w:t xml:space="preserve"> located in Dar </w:t>
      </w:r>
      <w:r w:rsidR="00B70675" w:rsidRPr="00DF2360">
        <w:rPr>
          <w:rFonts w:ascii="Times New Roman" w:hAnsi="Times New Roman"/>
          <w:noProof/>
          <w:sz w:val="24"/>
          <w:szCs w:val="24"/>
        </w:rPr>
        <w:t>e</w:t>
      </w:r>
      <w:r w:rsidR="000D6F5B" w:rsidRPr="00DF2360">
        <w:rPr>
          <w:rFonts w:ascii="Times New Roman" w:hAnsi="Times New Roman"/>
          <w:noProof/>
          <w:sz w:val="24"/>
          <w:szCs w:val="24"/>
        </w:rPr>
        <w:t xml:space="preserve">s </w:t>
      </w:r>
      <w:r w:rsidR="00B70675" w:rsidRPr="00DF2360">
        <w:rPr>
          <w:rFonts w:ascii="Times New Roman" w:hAnsi="Times New Roman"/>
          <w:noProof/>
          <w:sz w:val="24"/>
          <w:szCs w:val="24"/>
        </w:rPr>
        <w:t>S</w:t>
      </w:r>
      <w:r w:rsidR="000D6F5B" w:rsidRPr="00DF2360">
        <w:rPr>
          <w:rFonts w:ascii="Times New Roman" w:hAnsi="Times New Roman"/>
          <w:noProof/>
          <w:sz w:val="24"/>
          <w:szCs w:val="24"/>
        </w:rPr>
        <w:t>alaam,Tanzania.</w:t>
      </w:r>
      <w:r w:rsidRPr="00DF2360">
        <w:rPr>
          <w:rFonts w:ascii="Times New Roman" w:eastAsia="Calibri" w:hAnsi="Times New Roman"/>
          <w:sz w:val="24"/>
          <w:szCs w:val="24"/>
        </w:rPr>
        <w:t xml:space="preserve"> CAPRA scores were calculated at diagnosis from the prostate-specific antigen level, Gleason score, percentage of biopsy cores that were positive for cancer, clinical tumor stage, and age at diagnosis.</w:t>
      </w:r>
      <w:r w:rsidRPr="00DF2360">
        <w:rPr>
          <w:rFonts w:ascii="Times New Roman" w:hAnsi="Times New Roman"/>
          <w:noProof/>
          <w:sz w:val="24"/>
          <w:szCs w:val="24"/>
        </w:rPr>
        <w:t xml:space="preserve"> The recommended treatment modality of each category was assigned and compared with the observed treatment given.</w:t>
      </w:r>
      <w:r w:rsidRPr="00DF2360">
        <w:rPr>
          <w:rFonts w:ascii="Times New Roman" w:hAnsi="Times New Roman"/>
          <w:sz w:val="24"/>
          <w:szCs w:val="24"/>
        </w:rPr>
        <w:t xml:space="preserve"> </w:t>
      </w:r>
    </w:p>
    <w:p w14:paraId="7667E5A4" w14:textId="799E3FC3" w:rsidR="00C17857" w:rsidRPr="00DF2360" w:rsidRDefault="00C17857" w:rsidP="00DF2360">
      <w:pPr>
        <w:autoSpaceDE w:val="0"/>
        <w:autoSpaceDN w:val="0"/>
        <w:adjustRightInd w:val="0"/>
        <w:spacing w:after="0" w:line="360" w:lineRule="auto"/>
        <w:jc w:val="both"/>
        <w:rPr>
          <w:rFonts w:ascii="Times New Roman" w:eastAsiaTheme="minorHAnsi" w:hAnsi="Times New Roman"/>
          <w:sz w:val="24"/>
          <w:szCs w:val="24"/>
        </w:rPr>
      </w:pPr>
      <w:r w:rsidRPr="00DF2360">
        <w:rPr>
          <w:rFonts w:ascii="Times New Roman" w:hAnsi="Times New Roman"/>
          <w:b/>
          <w:noProof/>
          <w:sz w:val="24"/>
          <w:szCs w:val="24"/>
        </w:rPr>
        <w:t>Results:</w:t>
      </w:r>
      <w:r w:rsidRPr="00DF2360">
        <w:rPr>
          <w:rFonts w:ascii="Times New Roman" w:hAnsi="Times New Roman"/>
          <w:noProof/>
          <w:sz w:val="24"/>
          <w:szCs w:val="24"/>
        </w:rPr>
        <w:t>Among 50 patients,</w:t>
      </w:r>
      <w:r w:rsidRPr="00DF2360">
        <w:rPr>
          <w:rFonts w:ascii="Times New Roman" w:eastAsiaTheme="minorHAnsi" w:hAnsi="Times New Roman"/>
          <w:bCs/>
          <w:sz w:val="24"/>
          <w:szCs w:val="24"/>
        </w:rPr>
        <w:t xml:space="preserve"> 27 (54%) patients had a high risk score of 6-10, followed by 17 (34%) patients with an intermediate risk score of 3-5 and 6</w:t>
      </w:r>
      <w:r w:rsidR="00B25E09" w:rsidRPr="00DF2360">
        <w:rPr>
          <w:rFonts w:ascii="Times New Roman" w:eastAsiaTheme="minorHAnsi" w:hAnsi="Times New Roman"/>
          <w:bCs/>
          <w:sz w:val="24"/>
          <w:szCs w:val="24"/>
        </w:rPr>
        <w:t xml:space="preserve"> </w:t>
      </w:r>
      <w:r w:rsidRPr="00DF2360">
        <w:rPr>
          <w:rFonts w:ascii="Times New Roman" w:eastAsiaTheme="minorHAnsi" w:hAnsi="Times New Roman"/>
          <w:bCs/>
          <w:sz w:val="24"/>
          <w:szCs w:val="24"/>
        </w:rPr>
        <w:t>(12%) patients belonged to the low risk score of 0-2 CAPRA category.</w:t>
      </w:r>
      <w:r w:rsidRPr="00DF2360">
        <w:rPr>
          <w:rFonts w:ascii="Times New Roman" w:hAnsi="Times New Roman"/>
          <w:sz w:val="24"/>
          <w:szCs w:val="24"/>
        </w:rPr>
        <w:t xml:space="preserve"> </w:t>
      </w:r>
      <w:r w:rsidR="00B25E09" w:rsidRPr="00DF2360">
        <w:rPr>
          <w:rFonts w:ascii="Times New Roman" w:hAnsi="Times New Roman"/>
          <w:sz w:val="24"/>
          <w:szCs w:val="24"/>
        </w:rPr>
        <w:t>The m</w:t>
      </w:r>
      <w:r w:rsidRPr="00DF2360">
        <w:rPr>
          <w:rFonts w:ascii="Times New Roman" w:hAnsi="Times New Roman"/>
          <w:sz w:val="24"/>
          <w:szCs w:val="24"/>
        </w:rPr>
        <w:t>ajority of patients, 32</w:t>
      </w:r>
      <w:r w:rsidR="00B25E09" w:rsidRPr="00DF2360">
        <w:rPr>
          <w:rFonts w:ascii="Times New Roman" w:hAnsi="Times New Roman"/>
          <w:sz w:val="24"/>
          <w:szCs w:val="24"/>
        </w:rPr>
        <w:t xml:space="preserve"> </w:t>
      </w:r>
      <w:r w:rsidRPr="00DF2360">
        <w:rPr>
          <w:rFonts w:ascii="Times New Roman" w:hAnsi="Times New Roman"/>
          <w:sz w:val="24"/>
          <w:szCs w:val="24"/>
        </w:rPr>
        <w:t>(64%) received androgen deprivation therapy.</w:t>
      </w:r>
      <w:r w:rsidRPr="00DF2360">
        <w:rPr>
          <w:rFonts w:ascii="Times New Roman" w:eastAsiaTheme="minorHAnsi" w:hAnsi="Times New Roman"/>
          <w:sz w:val="24"/>
          <w:szCs w:val="24"/>
        </w:rPr>
        <w:t xml:space="preserve"> In the cohort of this study, </w:t>
      </w:r>
      <w:r w:rsidR="00B25E09" w:rsidRPr="00DF2360">
        <w:rPr>
          <w:rFonts w:ascii="Times New Roman" w:eastAsiaTheme="minorHAnsi" w:hAnsi="Times New Roman"/>
          <w:sz w:val="24"/>
          <w:szCs w:val="24"/>
        </w:rPr>
        <w:t xml:space="preserve">only </w:t>
      </w:r>
      <w:r w:rsidRPr="00DF2360">
        <w:rPr>
          <w:rFonts w:ascii="Times New Roman" w:eastAsiaTheme="minorHAnsi" w:hAnsi="Times New Roman"/>
          <w:sz w:val="24"/>
          <w:szCs w:val="24"/>
        </w:rPr>
        <w:t>6</w:t>
      </w:r>
      <w:r w:rsidR="00B25E09" w:rsidRPr="00DF2360">
        <w:rPr>
          <w:rFonts w:ascii="Times New Roman" w:eastAsiaTheme="minorHAnsi" w:hAnsi="Times New Roman"/>
          <w:sz w:val="24"/>
          <w:szCs w:val="24"/>
        </w:rPr>
        <w:t xml:space="preserve"> </w:t>
      </w:r>
      <w:r w:rsidRPr="00DF2360">
        <w:rPr>
          <w:rFonts w:ascii="Times New Roman" w:eastAsiaTheme="minorHAnsi" w:hAnsi="Times New Roman"/>
          <w:sz w:val="24"/>
          <w:szCs w:val="24"/>
        </w:rPr>
        <w:t xml:space="preserve">(12%) received standard treatment as recommended by CAPRA scores </w:t>
      </w:r>
      <w:r w:rsidR="00B25E09" w:rsidRPr="00DF2360">
        <w:rPr>
          <w:rFonts w:ascii="Times New Roman" w:eastAsiaTheme="minorHAnsi" w:hAnsi="Times New Roman"/>
          <w:sz w:val="24"/>
          <w:szCs w:val="24"/>
        </w:rPr>
        <w:t xml:space="preserve">while </w:t>
      </w:r>
      <w:r w:rsidRPr="00DF2360">
        <w:rPr>
          <w:rFonts w:ascii="Times New Roman" w:eastAsiaTheme="minorHAnsi" w:hAnsi="Times New Roman"/>
          <w:sz w:val="24"/>
          <w:szCs w:val="24"/>
        </w:rPr>
        <w:t>44(88%), received inappropriate treatment.</w:t>
      </w:r>
    </w:p>
    <w:p w14:paraId="0AE1B44D" w14:textId="1DB5093F" w:rsidR="00195352" w:rsidRPr="00DF2360" w:rsidRDefault="00C17857" w:rsidP="00DF2360">
      <w:pPr>
        <w:autoSpaceDE w:val="0"/>
        <w:autoSpaceDN w:val="0"/>
        <w:adjustRightInd w:val="0"/>
        <w:spacing w:after="0" w:line="360" w:lineRule="auto"/>
        <w:jc w:val="both"/>
        <w:rPr>
          <w:rFonts w:ascii="Times New Roman" w:eastAsia="Calibri" w:hAnsi="Times New Roman"/>
          <w:sz w:val="24"/>
          <w:szCs w:val="24"/>
        </w:rPr>
      </w:pPr>
      <w:r w:rsidRPr="00DF2360">
        <w:rPr>
          <w:rFonts w:ascii="Times New Roman" w:hAnsi="Times New Roman"/>
          <w:b/>
          <w:noProof/>
          <w:sz w:val="24"/>
          <w:szCs w:val="24"/>
        </w:rPr>
        <w:t>Conclusions:</w:t>
      </w:r>
      <w:r w:rsidRPr="00DF2360">
        <w:rPr>
          <w:rFonts w:ascii="Times New Roman" w:eastAsia="Calibri" w:hAnsi="Times New Roman"/>
          <w:sz w:val="24"/>
          <w:szCs w:val="24"/>
        </w:rPr>
        <w:t xml:space="preserve"> </w:t>
      </w:r>
      <w:r w:rsidRPr="00DF2360">
        <w:rPr>
          <w:rFonts w:ascii="Times New Roman" w:hAnsi="Times New Roman"/>
          <w:sz w:val="24"/>
          <w:szCs w:val="24"/>
        </w:rPr>
        <w:t>Comparison of management approach as suggested by the UCSF-CAPRA score to what has been the practice shows only twelve percent of patients received standard treatment</w:t>
      </w:r>
      <w:r w:rsidR="00F27EEC" w:rsidRPr="00DF2360">
        <w:rPr>
          <w:rFonts w:ascii="Times New Roman" w:hAnsi="Times New Roman"/>
          <w:sz w:val="24"/>
          <w:szCs w:val="24"/>
        </w:rPr>
        <w:t>.</w:t>
      </w:r>
      <w:r w:rsidR="00F27EEC" w:rsidRPr="00DF2360">
        <w:rPr>
          <w:rFonts w:ascii="Times New Roman" w:eastAsia="Calibri" w:hAnsi="Times New Roman"/>
          <w:sz w:val="24"/>
          <w:szCs w:val="24"/>
        </w:rPr>
        <w:t xml:space="preserve"> </w:t>
      </w:r>
      <w:r w:rsidR="00A24FC1" w:rsidRPr="00DF2360">
        <w:rPr>
          <w:rFonts w:ascii="Times New Roman" w:hAnsi="Times New Roman"/>
          <w:sz w:val="24"/>
          <w:szCs w:val="24"/>
        </w:rPr>
        <w:t xml:space="preserve"> Our </w:t>
      </w:r>
      <w:r w:rsidR="00A24FC1" w:rsidRPr="00DF2360">
        <w:rPr>
          <w:rFonts w:ascii="Times New Roman" w:hAnsi="Times New Roman"/>
          <w:sz w:val="24"/>
          <w:szCs w:val="24"/>
        </w:rPr>
        <w:lastRenderedPageBreak/>
        <w:t xml:space="preserve">findings have </w:t>
      </w:r>
      <w:r w:rsidR="00A24FC1" w:rsidRPr="00DF2360">
        <w:rPr>
          <w:rFonts w:ascii="Times New Roman" w:eastAsia="Calibri" w:hAnsi="Times New Roman"/>
          <w:sz w:val="24"/>
          <w:szCs w:val="24"/>
        </w:rPr>
        <w:t xml:space="preserve">demonstrated that according to the tool, the majority of our </w:t>
      </w:r>
      <w:r w:rsidR="001D7FBE" w:rsidRPr="00DF2360">
        <w:rPr>
          <w:rFonts w:ascii="Times New Roman" w:eastAsia="Calibri" w:hAnsi="Times New Roman"/>
          <w:sz w:val="24"/>
          <w:szCs w:val="24"/>
        </w:rPr>
        <w:t>patients can</w:t>
      </w:r>
      <w:r w:rsidR="00E11C1E" w:rsidRPr="00DF2360">
        <w:rPr>
          <w:rFonts w:ascii="Times New Roman" w:eastAsia="Calibri" w:hAnsi="Times New Roman"/>
          <w:sz w:val="24"/>
          <w:szCs w:val="24"/>
        </w:rPr>
        <w:t xml:space="preserve"> </w:t>
      </w:r>
      <w:r w:rsidR="00A24FC1" w:rsidRPr="00DF2360">
        <w:rPr>
          <w:rFonts w:ascii="Times New Roman" w:eastAsia="Calibri" w:hAnsi="Times New Roman"/>
          <w:sz w:val="24"/>
          <w:szCs w:val="24"/>
        </w:rPr>
        <w:t>receive appropriate treatment</w:t>
      </w:r>
      <w:r w:rsidR="00E11C1E" w:rsidRPr="00DF2360">
        <w:rPr>
          <w:rFonts w:ascii="Times New Roman" w:eastAsia="Calibri" w:hAnsi="Times New Roman"/>
          <w:sz w:val="24"/>
          <w:szCs w:val="24"/>
        </w:rPr>
        <w:t xml:space="preserve"> if we adopt the use of the UCSF-CAPRA score.</w:t>
      </w:r>
    </w:p>
    <w:p w14:paraId="0FCE9ADC" w14:textId="77777777" w:rsidR="00195352" w:rsidRPr="00DF2360" w:rsidRDefault="00195352" w:rsidP="00DF2360">
      <w:pPr>
        <w:autoSpaceDE w:val="0"/>
        <w:autoSpaceDN w:val="0"/>
        <w:adjustRightInd w:val="0"/>
        <w:spacing w:after="0" w:line="360" w:lineRule="auto"/>
        <w:jc w:val="both"/>
        <w:rPr>
          <w:rFonts w:ascii="Times New Roman" w:hAnsi="Times New Roman"/>
          <w:b/>
          <w:bCs/>
          <w:iCs/>
          <w:sz w:val="24"/>
          <w:szCs w:val="24"/>
          <w:lang w:bidi="en-US"/>
        </w:rPr>
      </w:pPr>
    </w:p>
    <w:p w14:paraId="041795D5" w14:textId="77777777" w:rsidR="00195352" w:rsidRPr="00DF2360" w:rsidRDefault="00195352" w:rsidP="00DF2360">
      <w:pPr>
        <w:autoSpaceDE w:val="0"/>
        <w:autoSpaceDN w:val="0"/>
        <w:adjustRightInd w:val="0"/>
        <w:spacing w:after="0" w:line="360" w:lineRule="auto"/>
        <w:jc w:val="both"/>
        <w:rPr>
          <w:rFonts w:ascii="Times New Roman" w:hAnsi="Times New Roman"/>
          <w:b/>
          <w:bCs/>
          <w:iCs/>
          <w:sz w:val="24"/>
          <w:szCs w:val="24"/>
          <w:lang w:bidi="en-US"/>
        </w:rPr>
      </w:pPr>
    </w:p>
    <w:p w14:paraId="17DBD0CB" w14:textId="05779E85" w:rsidR="00195352" w:rsidRPr="00DF2360" w:rsidRDefault="00AB714E" w:rsidP="00DF2360">
      <w:pPr>
        <w:autoSpaceDE w:val="0"/>
        <w:autoSpaceDN w:val="0"/>
        <w:adjustRightInd w:val="0"/>
        <w:spacing w:after="0" w:line="360" w:lineRule="auto"/>
        <w:jc w:val="both"/>
        <w:rPr>
          <w:rFonts w:ascii="Times New Roman" w:hAnsi="Times New Roman"/>
          <w:b/>
          <w:bCs/>
          <w:iCs/>
          <w:sz w:val="24"/>
          <w:szCs w:val="24"/>
          <w:lang w:bidi="en-US"/>
        </w:rPr>
      </w:pPr>
      <w:r>
        <w:rPr>
          <w:rFonts w:ascii="Times New Roman" w:hAnsi="Times New Roman"/>
          <w:b/>
          <w:bCs/>
          <w:iCs/>
          <w:sz w:val="24"/>
          <w:szCs w:val="24"/>
          <w:lang w:bidi="en-US"/>
        </w:rPr>
        <w:t xml:space="preserve">Key words. </w:t>
      </w:r>
      <w:r w:rsidRPr="00AB714E">
        <w:rPr>
          <w:rFonts w:ascii="Times New Roman" w:hAnsi="Times New Roman"/>
          <w:b/>
          <w:bCs/>
          <w:iCs/>
          <w:sz w:val="24"/>
          <w:szCs w:val="24"/>
          <w:lang w:bidi="en-US"/>
        </w:rPr>
        <w:t xml:space="preserve"> </w:t>
      </w:r>
      <w:r w:rsidRPr="00AB714E">
        <w:rPr>
          <w:rFonts w:ascii="Times New Roman" w:hAnsi="Times New Roman"/>
          <w:bCs/>
          <w:iCs/>
          <w:sz w:val="24"/>
          <w:szCs w:val="24"/>
          <w:lang w:bidi="en-US"/>
        </w:rPr>
        <w:t>CAPRA score, Prostate Cancer, The practice</w:t>
      </w:r>
      <w:r w:rsidRPr="00AB714E">
        <w:rPr>
          <w:rFonts w:ascii="Times New Roman" w:hAnsi="Times New Roman"/>
          <w:b/>
          <w:bCs/>
          <w:iCs/>
          <w:sz w:val="24"/>
          <w:szCs w:val="24"/>
          <w:lang w:bidi="en-US"/>
        </w:rPr>
        <w:t xml:space="preserve"> </w:t>
      </w:r>
      <w:bookmarkStart w:id="0" w:name="_GoBack"/>
      <w:bookmarkEnd w:id="0"/>
    </w:p>
    <w:p w14:paraId="66E5A900" w14:textId="77777777" w:rsidR="00195352" w:rsidRPr="00DF2360" w:rsidRDefault="00195352" w:rsidP="00DF2360">
      <w:pPr>
        <w:autoSpaceDE w:val="0"/>
        <w:autoSpaceDN w:val="0"/>
        <w:adjustRightInd w:val="0"/>
        <w:spacing w:after="0" w:line="360" w:lineRule="auto"/>
        <w:jc w:val="both"/>
        <w:rPr>
          <w:rFonts w:ascii="Times New Roman" w:hAnsi="Times New Roman"/>
          <w:b/>
          <w:bCs/>
          <w:iCs/>
          <w:sz w:val="24"/>
          <w:szCs w:val="24"/>
          <w:lang w:bidi="en-US"/>
        </w:rPr>
      </w:pPr>
    </w:p>
    <w:p w14:paraId="13915A1E" w14:textId="77777777" w:rsidR="00195352" w:rsidRPr="00DF2360" w:rsidRDefault="00195352" w:rsidP="00DF2360">
      <w:pPr>
        <w:autoSpaceDE w:val="0"/>
        <w:autoSpaceDN w:val="0"/>
        <w:adjustRightInd w:val="0"/>
        <w:spacing w:after="0" w:line="360" w:lineRule="auto"/>
        <w:jc w:val="both"/>
        <w:rPr>
          <w:rFonts w:ascii="Times New Roman" w:hAnsi="Times New Roman"/>
          <w:b/>
          <w:bCs/>
          <w:iCs/>
          <w:sz w:val="24"/>
          <w:szCs w:val="24"/>
          <w:lang w:bidi="en-US"/>
        </w:rPr>
      </w:pPr>
    </w:p>
    <w:p w14:paraId="4A3AE0B4" w14:textId="77777777" w:rsidR="000071E4" w:rsidRPr="00DF2360" w:rsidRDefault="000071E4" w:rsidP="00DF2360">
      <w:pPr>
        <w:autoSpaceDE w:val="0"/>
        <w:autoSpaceDN w:val="0"/>
        <w:adjustRightInd w:val="0"/>
        <w:spacing w:after="0" w:line="360" w:lineRule="auto"/>
        <w:jc w:val="both"/>
        <w:rPr>
          <w:rFonts w:ascii="Times New Roman" w:hAnsi="Times New Roman"/>
          <w:b/>
          <w:bCs/>
          <w:iCs/>
          <w:sz w:val="24"/>
          <w:szCs w:val="24"/>
          <w:lang w:bidi="en-US"/>
        </w:rPr>
      </w:pPr>
    </w:p>
    <w:p w14:paraId="6F44C542" w14:textId="77777777" w:rsidR="001D7FBE" w:rsidRPr="00DF2360" w:rsidRDefault="001D7FBE" w:rsidP="00DF2360">
      <w:pPr>
        <w:autoSpaceDE w:val="0"/>
        <w:autoSpaceDN w:val="0"/>
        <w:adjustRightInd w:val="0"/>
        <w:spacing w:after="0" w:line="360" w:lineRule="auto"/>
        <w:jc w:val="both"/>
        <w:rPr>
          <w:rFonts w:ascii="Times New Roman" w:hAnsi="Times New Roman"/>
          <w:b/>
          <w:bCs/>
          <w:iCs/>
          <w:sz w:val="24"/>
          <w:szCs w:val="24"/>
          <w:lang w:bidi="en-US"/>
        </w:rPr>
      </w:pPr>
    </w:p>
    <w:p w14:paraId="4FCB2EE2" w14:textId="3FA9C704" w:rsidR="009D0E53" w:rsidRPr="00DF2360" w:rsidRDefault="00F36CC8" w:rsidP="00DF2360">
      <w:pPr>
        <w:autoSpaceDE w:val="0"/>
        <w:autoSpaceDN w:val="0"/>
        <w:adjustRightInd w:val="0"/>
        <w:spacing w:after="0" w:line="360" w:lineRule="auto"/>
        <w:jc w:val="both"/>
        <w:rPr>
          <w:rFonts w:ascii="Times New Roman" w:eastAsia="Calibri" w:hAnsi="Times New Roman"/>
          <w:sz w:val="24"/>
          <w:szCs w:val="24"/>
        </w:rPr>
      </w:pPr>
      <w:r w:rsidRPr="00DF2360">
        <w:rPr>
          <w:rFonts w:ascii="Times New Roman" w:hAnsi="Times New Roman"/>
          <w:b/>
          <w:bCs/>
          <w:iCs/>
          <w:sz w:val="24"/>
          <w:szCs w:val="24"/>
          <w:lang w:bidi="en-US"/>
        </w:rPr>
        <w:t>Introduction</w:t>
      </w:r>
    </w:p>
    <w:p w14:paraId="40D2779B" w14:textId="4F0A624B" w:rsidR="009C2E1C" w:rsidRPr="00C72567" w:rsidRDefault="009D0E53" w:rsidP="00DF2360">
      <w:pPr>
        <w:spacing w:after="0" w:line="360" w:lineRule="auto"/>
        <w:jc w:val="both"/>
        <w:rPr>
          <w:rFonts w:ascii="Times New Roman" w:hAnsi="Times New Roman"/>
          <w:sz w:val="24"/>
          <w:szCs w:val="24"/>
        </w:rPr>
      </w:pPr>
      <w:r w:rsidRPr="00DF2360">
        <w:rPr>
          <w:rFonts w:ascii="Times New Roman" w:hAnsi="Times New Roman"/>
          <w:sz w:val="24"/>
          <w:szCs w:val="24"/>
          <w:lang w:bidi="en-US"/>
        </w:rPr>
        <w:t>Prostate cancer</w:t>
      </w:r>
      <w:r w:rsidR="00D36A0A" w:rsidRPr="00DF2360">
        <w:rPr>
          <w:rFonts w:ascii="Times New Roman" w:hAnsi="Times New Roman"/>
          <w:sz w:val="24"/>
          <w:szCs w:val="24"/>
          <w:lang w:bidi="en-US"/>
        </w:rPr>
        <w:t xml:space="preserve"> i</w:t>
      </w:r>
      <w:r w:rsidR="003B2C53" w:rsidRPr="00DF2360">
        <w:rPr>
          <w:rFonts w:ascii="Times New Roman" w:hAnsi="Times New Roman"/>
          <w:sz w:val="24"/>
          <w:szCs w:val="24"/>
          <w:lang w:bidi="en-US"/>
        </w:rPr>
        <w:t>ncidence</w:t>
      </w:r>
      <w:r w:rsidRPr="00DF2360">
        <w:rPr>
          <w:rFonts w:ascii="Times New Roman" w:hAnsi="Times New Roman"/>
          <w:sz w:val="24"/>
          <w:szCs w:val="24"/>
          <w:lang w:bidi="en-US"/>
        </w:rPr>
        <w:t xml:space="preserve"> and mortality varies worldwide with the highest rates</w:t>
      </w:r>
      <w:r w:rsidR="00392F96" w:rsidRPr="00DF2360">
        <w:rPr>
          <w:rFonts w:ascii="Times New Roman" w:hAnsi="Times New Roman"/>
          <w:sz w:val="24"/>
          <w:szCs w:val="24"/>
          <w:lang w:bidi="en-US"/>
        </w:rPr>
        <w:t xml:space="preserve"> </w:t>
      </w:r>
      <w:r w:rsidR="00DF5B12" w:rsidRPr="00DF2360">
        <w:rPr>
          <w:rFonts w:ascii="Times New Roman" w:hAnsi="Times New Roman"/>
          <w:sz w:val="24"/>
          <w:szCs w:val="24"/>
          <w:lang w:bidi="en-US"/>
        </w:rPr>
        <w:t xml:space="preserve">being </w:t>
      </w:r>
      <w:r w:rsidRPr="00DF2360">
        <w:rPr>
          <w:rFonts w:ascii="Times New Roman" w:hAnsi="Times New Roman"/>
          <w:sz w:val="24"/>
          <w:szCs w:val="24"/>
          <w:lang w:bidi="en-US"/>
        </w:rPr>
        <w:t xml:space="preserve"> reported in Scandinavia and lowest rates in China and other parts of Asia</w:t>
      </w:r>
      <w:r w:rsidRPr="00C72567">
        <w:rPr>
          <w:rFonts w:ascii="Times New Roman" w:hAnsi="Times New Roman"/>
          <w:sz w:val="24"/>
          <w:szCs w:val="24"/>
          <w:lang w:bidi="en-US"/>
        </w:rPr>
        <w:fldChar w:fldCharType="begin" w:fldLock="1"/>
      </w:r>
      <w:r w:rsidRPr="00DF2360">
        <w:rPr>
          <w:rFonts w:ascii="Times New Roman" w:hAnsi="Times New Roman"/>
          <w:sz w:val="24"/>
          <w:szCs w:val="24"/>
          <w:lang w:bidi="en-US"/>
        </w:rPr>
        <w:instrText>ADDIN CSL_CITATION { "citationItems" : [ { "id" : "ITEM-1", "itemData" : { "DOI" : "10.1016/j.urology.2003.10.013", "ISSN" : "00904295", "author" : [ { "dropping-particle" : "", "family" : "Crawford", "given" : "E.David", "non-dropping-particle" : "", "parse-names" : false, "suffix" : "" }, { "dropping-particle" : "", "family" : "Quinn", "given" : "M.", "non-dropping-particle" : "", "parse-names" : false, "suffix" : "" }, { "dropping-particle" : "", "family" : "Babb", "given" : "P.", "non-dropping-particle" : "", "parse-names" : false, "suffix" : "" }, { "dropping-particle" : "", "family" : "Gronberg", "given" : "H.", "non-dropping-particle" : "", "parse-names" : false, "suffix" : "" }, { "dropping-particle" : "", "family" : "Lunenfeld", "given" : "B.", "non-dropping-particle" : "", "parse-names" : false, "suffix" : "" }, { "dropping-particle" : "", "family" : "Haas", "given" : "G.P.", "non-dropping-particle" : "", "parse-names" : false, "suffix" : "" }, { "dropping-particle" : "", "family" : "Sakr", "given" : "W.A.", "non-dropping-particle" : "", "parse-names" : false, "suffix" : "" }, { "dropping-particle" : "", "family" : "Carter", "given" : "H.B.", "non-dropping-particle" : "", "parse-names" : false, "suffix" : "" }, { "dropping-particle" : "", "family" : "Piantadosi", "given" : "S.", "non-dropping-particle" : "", "parse-names" : false, "suffix" : "" }, { "dropping-particle" : "", "family" : "Isaacs", "given" : "J.T.", "non-dropping-particle" : "", "parse-names" : false, "suffix" : "" }, { "dropping-particle" : "", "family" : "Scher", "given" : "H.I.", "non-dropping-particle" : "", "parse-names" : false, "suffix" : "" }, { "dropping-particle" : "", "family" : "Isaacs", "given" : "J.T.", "non-dropping-particle" : "", "parse-names" : false, "suffix" : "" }, { "dropping-particle" : "", "family" : "Zelefsky", "given" : "M.J.", "non-dropping-particle" : "", "parse-names" : false, "suffix" : "" }, { "dropping-particle" : "", "family" : "al.", "given" : "et", "non-dropping-particle" : "", "parse-names" : false, "suffix" : "" }, { "dropping-particle" : "", "family" : "Clegg", "given" : "L.X.", "non-dropping-particle" : "", "parse-names" : false, "suffix" : "" }, { "dropping-particle" : "", "family" : "Li", "given" : "F.P.", "non-dropping-particle" : "", "parse-names" : false, "suffix" : "" }, { "dropping-particle" : "", "family" : "Hankey", "given" : "B.F.", "non-dropping-particle" : "", "parse-names" : false, "suffix" : "" }, { "dropping-particle" : "", "family" : "al.", "given" : "et", "non-dropping-particle" : "", "parse-names" : false, "suffix" : "" }, { "dropping-particle" : "", "family" : "Polednak", "given" : "A.P.", "non-dropping-particle" : "", "parse-names" : false, "suffix" : "" }, { "dropping-particle" : "", "family" : "Bianco", "given" : "F.J.", "non-dropping-particle" : "", "parse-names" : false, "suffix" : "" }, { "dropping-particle" : "", "family" : "Wood", "given" : "D.P.", "non-dropping-particle" : "", "parse-names" : false, "suffix" : "" }, { "dropping-particle" : "", "family" : "Grignon", "given" : "D.J.", "non-dropping-particle" : "", "parse-names" : false, "suffix" : "" }, { "dropping-particle" : "", "family" : "al.", "given" : "et", "non-dropping-particle" : "", "parse-names" : false, "suffix" : "" }, { "dropping-particle" : "", "family" : "Steinberg", "given" : "G.D.", "non-dropping-particle" : "", "parse-names" : false, "suffix" : "" }, { "dropping-particle" : "", "family" : "Cater", "given" : "B.S.", "non-dropping-particle" : "", "parse-names" : false, "suffix" : "" }, { "dropping-particle" : "", "family" : "Beaty", "given" : "T.H.", "non-dropping-particle" : "", "parse-names" : false, "suffix" : "" }, { "dropping-particle" : "", "family" : "al.", "given" : "et", "non-dropping-particle" : "", "parse-names" : false, "suffix" : "" }, { "dropping-particle" : "", "family" : "Carter", "given" : "B.S.", "non-dropping-particle" : "", "parse-names" : false, "suffix" : "" }, { "dropping-particle" : "", "family" : "Beaty", "given" : "T.H.", "non-dropping-particle" : "", "parse-names" : false, "suffix" : "" }, { "dropping-particle" : "", "family" : "Steinberg", "given" : "G.D.", "non-dropping-particle" : "", "parse-names" : false, "suffix" : "" }, { "dropping-particle" : "", "family" : "al.", "given" : "et", "non-dropping-particle" : "", "parse-names" : false, "suffix" : "" }, { "dropping-particle" : "", "family" : "Bratt", "given" : "O.", "non-dropping-particle" : "", "parse-names" : false, "suffix" : "" }, { "dropping-particle" : "", "family" : "Simard", "given" : "J.", "non-dropping-particle" : "", "parse-names" : false, "suffix" : "" }, { "dropping-particle" : "", "family" : "Dumont", "given" : "M.", "non-dropping-particle" : "", "parse-names" : false, "suffix" : "" }, { "dropping-particle" : "", "family" : "Soucy", "given" : "P.", "non-dropping-particle" : "", "parse-names" : false, "suffix" : "" }, { "dropping-particle" : "", "family" : "al.", "given" : "et", "non-dropping-particle" : "", "parse-names" : false, "suffix" : "" }, { "dropping-particle" : "", "family" : "Smith", "given" : "J.R.", "non-dropping-particle" : "", "parse-names" : false, "suffix" : "" }, { "dropping-particle" : "", "family" : "Freije", "given" : "D.", "non-dropping-particle" : "", "parse-names" : false, "suffix" : "" }, { "dropping-particle" : "", "family" : "Carpten", "given" : "J.D.", "non-dropping-particle" : "", "parse-names" : false, "suffix" : "" }, { "dropping-particle" : "", "family" : "al.", "given" : "et", "non-dropping-particle" : "", "parse-names" : false, "suffix" : "" }, { "dropping-particle" : "", "family" : "Gronberg", "given" : "H.", "non-dropping-particle" : "", "parse-names" : false, "suffix" : "" }, { "dropping-particle" : "", "family" : "Xu", "given" : "J.", "non-dropping-particle" : "", "parse-names" : false, "suffix" : "" }, { "dropping-particle" : "", "family" : "Smith", "given" : "J.R.", "non-dropping-particle" : "", "parse-names" : false, "suffix" : "" }, { "dropping-particle" : "", "family" : "al.", "given" : "et", "non-dropping-particle" : "", "parse-names" : false, "suffix" : "" }, { "dropping-particle" : "", "family" : "Xu", "given" : "J.", "non-dropping-particle" : "", "parse-names" : false, "suffix" : "" }, { "dropping-particle" : "", "family" : "Carpten", "given" : "J.", "non-dropping-particle" : "", "parse-names" : false, "suffix" : "" }, { "dropping-particle" : "", "family" : "Nupponen", "given" : "N.", "non-dropping-particle" : "", "parse-names" : false, "suffix" : "" }, { "dropping-particle" : "", "family" : "Isaacs", "given" : "S.", "non-dropping-particle" : "", "parse-names" : false, "suffix" : "" }, { "dropping-particle" : "", "family" : "al.", "given" : "et", "non-dropping-particle" : "", "parse-names" : false, "suffix" : "" }, { "dropping-particle" : "", "family" : "Makridakis", "given" : "N.M.", "non-dropping-particle" : "", "parse-names" : false, "suffix" : "" }, { "dropping-particle" : "", "family" : "Ross", "given" : "R.K.", "non-dropping-particle" : "", "parse-names" : false, "suffix" : "" }, { "dropping-particle" : "", "family" : "Pike", "given" : "M.C.", "non-dropping-particle" : "", "parse-names" : false, "suffix" : "" }, { "dropping-particle" : "", "family" : "al.", "given" : "et", "non-dropping-particle" : "", "parse-names" : false, "suffix" : "" }, { "dropping-particle" : "", "family" : "Shimizu", "given" : "H.", "non-dropping-particle" : "", "parse-names" : false, "suffix" : "" }, { "dropping-particle" : "", "family" : "Ross", "given" : "R.K.", "non-dropping-particle" : "", "parse-names" : false, "suffix" : "" }, { "dropping-particle" : "", "family" : "Bernstein", "given" : "L.", "non-dropping-particle" : "", "parse-names" : false, "suffix" : "" }, { "dropping-particle" : "", "family" : "al.", "given" : "et", "non-dropping-particle" : "", "parse-names" : false, "suffix" : "" }, { "dropping-particle" : "", "family" : "Whittemore", "given" : "A.S.", "non-dropping-particle" : "", "parse-names" : false, "suffix" : "" }, { "dropping-particle" : "", "family" : "Kolonel", "given" : "L.N.", "non-dropping-particle" : "", "parse-names" : false, "suffix" : "" }, { "dropping-particle" : "", "family" : "Wu", "given" : "A.H.", "non-dropping-particle" : "", "parse-names" : false, "suffix" : "" }, { "dropping-particle" : "", "family" : "al.", "given" : "et", "non-dropping-particle" : "", "parse-names" : false, "suffix" : "" }, { "dropping-particle" : "", "family" : "Cook", "given" : "L.S.", "non-dropping-particle" : "", "parse-names" : false, "suffix" : "" }, { "dropping-particle" : "", "family" : "Goldoft", "given" : "M.", "non-dropping-particle" : "", "parse-names" : false, "suffix" : "" }, { "dropping-particle" : "", "family" : "Schwartz", "given" : "S.M.", "non-dropping-particle" : "", "parse-names" : false, "suffix" : "" }, { "dropping-particle" : "", "family" : "al.", "given" : "et", "non-dropping-particle" : "", "parse-names" : false, "suffix" : "" }, { "dropping-particle" : "", "family" : "Giovannucci", "given" : "E.", "non-dropping-particle" : "", "parse-names" : false, "suffix" : "" }, { "dropping-particle" : "", "family" : "Rimm", "given" : "E.B.", "non-dropping-particle" : "", "parse-names" : false, "suffix" : "" }, { "dropping-particle" : "", "family" : "Colditz", "given" : "G.A.", "non-dropping-particle" : "", "parse-names" : false, "suffix" : "" }, { "dropping-particle" : "", "family" : "al.", "given" : "et", "non-dropping-particle" : "", "parse-names" : false, "suffix" : "" }, { "dropping-particle" : "", "family" : "Veierod", "given" : "M.B.", "non-dropping-particle" : "", "parse-names" : false, "suffix" : "" }, { "dropping-particle" : "", "family" : "Laake", "given" : "P.", "non-dropping-particle" : "", "parse-names" : false, "suffix" : "" }, { "dropping-particle" : "", "family" : "Thelle", "given" : "D.S.", "non-dropping-particle" : "", "parse-names" : false, "suffix" : "" }, { "dropping-particle" : "", "family" : "Chan", "given" : "J.M.", "non-dropping-particle" : "", "parse-names" : false, "suffix" : "" }, { "dropping-particle" : "", "family" : "Stampfer", "given" : "M.J.", "non-dropping-particle" : "", "parse-names" : false, "suffix" : "" }, { "dropping-particle" : "", "family" : "Giovannucci", "given" : "E.", "non-dropping-particle" : "", "parse-names" : false, "suffix" : "" }, { "dropping-particle" : "", "family" : "al.", "given" : "et", "non-dropping-particle" : "", "parse-names" : false, "suffix" : "" }, { "dropping-particle" : "", "family" : "Stattin", "given" : "P.", "non-dropping-particle" : "", "parse-names" : false, "suffix" : "" }, { "dropping-particle" : "", "family" : "Bylund", "given" : "A.", "non-dropping-particle" : "", "parse-names" : false, "suffix" : "" }, { "dropping-particle" : "", "family" : "Rinaldi", "given" : "S.", "non-dropping-particle" : "", "parse-names" : false, "suffix" : "" }, { "dropping-particle" : "", "family" : "al.", "given" : "et", "non-dropping-particle" : "", "parse-names" : false, "suffix" : "" }, { "dropping-particle" : "", "family" : "Harman", "given" : "S.M.", "non-dropping-particle" : "", "parse-names" : false, "suffix" : "" }, { "dropping-particle" : "", "family" : "Metter", "given" : "E.J.", "non-dropping-particle" : "", "parse-names" : false, "suffix" : "" }, { "dropping-particle" : "", "family" : "Blackman", "given" : "M.R.", "non-dropping-particle" : "", "parse-names" : false, "suffix" : "" }, { "dropping-particle" : "", "family" : "al.", "given" : "et", "non-dropping-particle" : "", "parse-names" : false, "suffix" : "" }, { "dropping-particle" : "", "family" : "Hsing", "given" : "A.W.", "non-dropping-particle" : "", "parse-names" : false, "suffix" : "" }, { "dropping-particle" : "", "family" : "Calle", "given" : "E.E.", "non-dropping-particle" : "", "parse-names" : false, "suffix" : "" }, { "dropping-particle" : "", "family" : "Rodriguez", "given" : "C.", "non-dropping-particle" : "", "parse-names" : false, "suffix" : "" }, { "dropping-particle" : "", "family" : "Walker-Thurmond", "given" : "K.", "non-dropping-particle" : "", "parse-names" : false, "suffix" : "" }, { "dropping-particle" : "", "family" : "al.", "given" : "et", "non-dropping-particle" : "", "parse-names" : false, "suffix" : "" }, { "dropping-particle" : "", "family" : "Giles", "given" : "G.G.", "non-dropping-particle" : "", "parse-names" : false, "suffix" : "" }, { "dropping-particle" : "", "family" : "Severi", "given" : "G.", "non-dropping-particle" : "", "parse-names" : false, "suffix" : "" }, { "dropping-particle" : "", "family" : "English", "given" : "D.R.", "non-dropping-particle" : "", "parse-names" : false, "suffix" : "" }, { "dropping-particle" : "", "family" : "al.", "given" : "et", "non-dropping-particle" : "", "parse-names" : false, "suffix" : "" }, { "dropping-particle" : "", "family" : "Zhang", "given" : "Y.", "non-dropping-particle" : "", "parse-names" : false, "suffix" : "" }, { "dropping-particle" : "", "family" : "Kiel", "given" : "D.P.", "non-dropping-particle" : "", "parse-names" : false, "suffix" : "" }, { "dropping-particle" : "", "family" : "Ellison", "given" : "R.C.", "non-dropping-particle" : "", "parse-names" : false, "suffix" : "" }, { "dropping-particle" : "", "family" : "al.", "given" : "et", "non-dropping-particle" : "", "parse-names" : false, "suffix" : "" }, { "dropping-particle" : "", "family" : "Chan", "given" : "J.M.", "non-dropping-particle" : "", "parse-names" : false, "suffix" : "" }, { "dropping-particle" : "", "family" : "Stampfer", "given" : "M.J.", "non-dropping-particle" : "", "parse-names" : false, "suffix" : "" }, { "dropping-particle" : "", "family" : "Ma", "given" : "J.", "non-dropping-particle" : "", "parse-names" : false, "suffix" : "" }, { "dropping-particle" : "", "family" : "al.", "given" : "et", "non-dropping-particle" : "", "parse-names" : false, "suffix" : "" }, { "dropping-particle" : "", "family" : "Chacko", "given" : "J.A.", "non-dropping-particle" : "", "parse-names" : false, "suffix" : "" }, { "dropping-particle" : "", "family" : "Zafar", "given" : "M.B.", "non-dropping-particle" : "", "parse-names" : false, "suffix" : "" }, { "dropping-particle" : "", "family" : "McCallum", "given" : "S.W.", "non-dropping-particle" : "", "parse-names" : false, "suffix" : "" }, { "dropping-particle" : "", "family" : "al.", "given" : "et", "non-dropping-particle" : "", "parse-names" : false, "suffix" : "" }, { "dropping-particle" : "", "family" : "Albertsen", "given" : "K.", "non-dropping-particle" : "", "parse-names" : false, "suffix" : "" }, { "dropping-particle" : "", "family" : "Gronbaek", "given" : "M.", "non-dropping-particle" : "", "parse-names" : false, "suffix" : "" }, { "dropping-particle" : "", "family" : "Miller", "given" : "E.C.", "non-dropping-particle" : "", "parse-names" : false, "suffix" : "" }, { "dropping-particle" : "", "family" : "Giovannucci", "given" : "E.", "non-dropping-particle" : "", "parse-names" : false, "suffix" : "" }, { "dropping-particle" : "", "family" : "Erdman", "given" : "J.W.", "non-dropping-particle" : "", "parse-names" : false, "suffix" : "" }, { "dropping-particle" : "", "family" : "al.", "given" : "et", "non-dropping-particle" : "", "parse-names" : false, "suffix" : "" }, { "dropping-particle" : "", "family" : "Giovannucci", "given" : "E.", "non-dropping-particle" : "", "parse-names" : false, "suffix" : "" }, { "dropping-particle" : "", "family" : "Rimm", "given" : "E.B.", "non-dropping-particle" : "", "parse-names" : false, "suffix" : "" }, { "dropping-particle" : "", "family" : "Liu", "given" : "Y.", "non-dropping-particle" : "", "parse-names" : false, "suffix" : "" }, { "dropping-particle" : "", "family" : "al.", "given" : "et", "non-dropping-particle" : "", "parse-names" : false, "suffix" : "" }, { "dropping-particle" : "", "family" : "Clark", "given" : "L.C.", "non-dropping-particle" : "", "parse-names" : false, "suffix" : "" }, { "dropping-particle" : "", "family" : "Dalkin", "given" : "B.", "non-dropping-particle" : "", "parse-names" : false, "suffix" : "" }, { "dropping-particle" : "", "family" : "Krongrad", "given" : "A.", "non-dropping-particle" : "", "parse-names" : false, "suffix" : "" }, { "dropping-particle" : "", "family" : "al.", "given" : "et", "non-dropping-particle" : "", "parse-names" : false, "suffix" : "" }, { "dropping-particle" : "", "family" : "Vogt", "given" : "T.M.", "non-dropping-particle" : "", "parse-names" : false, "suffix" : "" }, { "dropping-particle" : "", "family" : "Ziegler", "given" : "R.G.", "non-dropping-particle" : "", "parse-names" : false, "suffix" : "" }, { "dropping-particle" : "", "family" : "Graubard", "given" : "B.I.", "non-dropping-particle" : "", "parse-names" : false, "suffix" : "" }, { "dropping-particle" : "", "family" : "al.", "given" : "et", "non-dropping-particle" : "", "parse-names" : false, "suffix" : "" }, { "dropping-particle" : "", "family" : "Weiderpass", "given" : "E.", "non-dropping-particle" : "", "parse-names" : false, "suffix" : "" }, { "dropping-particle" : "", "family" : "Ye", "given" : "W.", "non-dropping-particle" : "", "parse-names" : false, "suffix" : "" }, { "dropping-particle" : "", "family" : "Vainio", "given" : "H.", "non-dropping-particle" : "", "parse-names" : false, "suffix" : "" }, { "dropping-particle" : "", "family" : "al.", "given" : "et", "non-dropping-particle" : "", "parse-names" : false, "suffix" : "" }, { "dropping-particle" : "", "family" : "Rosenberg", "given" : "D.J.", "non-dropping-particle" : "", "parse-names" : false, "suffix" : "" }, { "dropping-particle" : "", "family" : "Neugut", "given" : "A.I.", "non-dropping-particle" : "", "parse-names" : false, "suffix" : "" }, { "dropping-particle" : "", "family" : "Ahsan", "given" : "H.", "non-dropping-particle" : "", "parse-names" : false, "suffix" : "" }, { "dropping-particle" : "", "family" : "al.", "given" : "et", "non-dropping-particle" : "", "parse-names" : false, "suffix" : "" }, { "dropping-particle" : "", "family" : "Carroll", "given" : "P.", "non-dropping-particle" : "", "parse-names" : false, "suffix" : "" }, { "dropping-particle" : "", "family" : "Coley", "given" : "C.", "non-dropping-particle" : "", "parse-names" : false, "suffix" : "" }, { "dropping-particle" : "", "family" : "McLeod", "given" : "D.", "non-dropping-particle" : "", "parse-names" : false, "suffix" : "" }, { "dropping-particle" : "", "family" : "al.", "given" : "et", "non-dropping-particle" : "", "parse-names" : false, "suffix" : "" }, { "dropping-particle" : "", "family" : "Catalona", "given" : "W.J.", "non-dropping-particle" : "", "parse-names" : false, "suffix" : "" }, { "dropping-particle" : "", "family" : "Antenor", "given" : "J.A.V.", "non-dropping-particle" : "", "parse-names" : false, "suffix" : "" }, { "dropping-particle" : "", "family" : "Roehl", "given" : "K.A.", "non-dropping-particle" : "", "parse-names" : false, "suffix" : "" }, { "dropping-particle" : "", "family" : "Bunting", "given" : "P.S.", "non-dropping-particle" : "", "parse-names" : false, "suffix" : "" }, { "dropping-particle" : "", "family" : "Greenlee", "given" : "R.T.", "non-dropping-particle" : "", "parse-names" : false, "suffix" : "" }, { "dropping-particle" : "", "family" : "Murray", "given" : "T.", "non-dropping-particle" : "", "parse-names" : false, "suffix" : "" }, { "dropping-particle" : "", "family" : "Bolden", "given" : "S.", "non-dropping-particle" : "", "parse-names" : false, "suffix" : "" }, { "dropping-particle" : "", "family" : "al.", "given" : "et", "non-dropping-particle" : "", "parse-names" : false, "suffix" : "" }, { "dropping-particle" : "", "family" : "Sarma", "given" : "A.V.", "non-dropping-particle" : "", "parse-names" : false, "suffix" : "" }, { "dropping-particle" : "", "family" : "Schottenfeld", "given" : "D.", "non-dropping-particle" : "", "parse-names" : false, "suffix" : "" }, { "dropping-particle" : "", "family" : "Chu", "given" : "K.C.", "non-dropping-particle" : "", "parse-names" : false, "suffix" : "" }, { "dropping-particle" : "", "family" : "Tarone", "given" : "R.E.", "non-dropping-particle" : "", "parse-names" : false, "suffix" : "" }, { "dropping-particle" : "", "family" : "Freeman", "given" : "H.P.", "non-dropping-particle" : "", "parse-names" : false, "suffix" : "" }, { "dropping-particle" : "", "family" : "Coldman", "given" : "A.J.", "non-dropping-particle" : "", "parse-names" : false, "suffix" : "" }, { "dropping-particle" : "", "family" : "Phillips", "given" : "N.", "non-dropping-particle" : "", "parse-names" : false, "suffix" : "" }, { "dropping-particle" : "", "family" : "Pickles", "given" : "T.A.", "non-dropping-particle" : "", "parse-names" : false, "suffix" : "" }, { "dropping-particle" : "", "family" : "Satariano", "given" : "W.A.", "non-dropping-particle" : "", "parse-names" : false, "suffix" : "" }, { "dropping-particle" : "", "family" : "Ragland", "given" : "K.E.", "non-dropping-particle" : "", "parse-names" : false, "suffix" : "" }, { "dropping-particle" : "Van Den", "family" : "Eeden", "given" : "S.K.", "non-dropping-particle" : "", "parse-names" : false, "suffix" : "" }, { "dropping-particle" : "", "family" : "Paquette", "given" : "E.L.", "non-dropping-particle" : "", "parse-names" : false, "suffix" : "" }, { "dropping-particle" : "", "family" : "Sun", "given" : "L.", "non-dropping-particle" : "", "parse-names" : false, "suffix" : "" }, { "dropping-particle" : "", "family" : "Paquette", "given" : "L.R.", "non-dropping-particle" : "", "parse-names" : false, "suffix" : "" }, { "dropping-particle" : "", "family" : "al.", "given" : "et", "non-dropping-particle" : "", "parse-names" : false, "suffix" : "" }, { "dropping-particle" : "", "family" : "Moul", "given" : "J.W.", "non-dropping-particle" : "", "parse-names" : false, "suffix" : "" }, { "dropping-particle" : "", "family" : "Wu", "given" : "H.", "non-dropping-particle" : "", "parse-names" : false, "suffix" : "" }, { "dropping-particle" : "", "family" : "Sun", "given" : "L.", "non-dropping-particle" : "", "parse-names" : false, "suffix" : "" }, { "dropping-particle" : "", "family" : "al.", "given" : "et", "non-dropping-particle" : "", "parse-names" : false, "suffix" : "" }, { "dropping-particle" : "", "family" : "Smith", "given" : "C.V.", "non-dropping-particle" : "", "parse-names" : false, "suffix" : "" }, { "dropping-particle" : "", "family" : "Bauer", "given" : "J.J.", "non-dropping-particle" : "", "parse-names" : false, "suffix" : "" }, { "dropping-particle" : "", "family" : "Connelly", "given" : "R.R.", "non-dropping-particle" : "", "parse-names" : false, "suffix" : "" }, { "dropping-particle" : "", "family" : "al.", "given" : "et", "non-dropping-particle" : "", "parse-names" : false, "suffix" : "" }, { "dropping-particle" : "", "family" : "Albertsen", "given" : "P.C.", "non-dropping-particle" : "", "parse-names" : false, "suffix" : "" }, { "dropping-particle" : "", "family" : "Hanley", "given" : "J.A.", "non-dropping-particle" : "", "parse-names" : false, "suffix" : "" }, { "dropping-particle" : "", "family" : "Gleason", "given" : "D.F.", "non-dropping-particle" : "", "parse-names" : false, "suffix" : "" }, { "dropping-particle" : "", "family" : "al.", "given" : "et", "non-dropping-particle" : "", "parse-names" : false, "suffix" : "" } ], "container-title" : "Urology", "id" : "ITEM-1", "issue" : "6", "issued" : { "date-parts" : [ [ "2003", "12" ] ] }, "page" : "3-12", "publisher" : "Elsevier", "title" : "Epidemiology of prostate cancer", "type" : "article-journal", "volume" : "62" }, "uris" : [ "http://www.mendeley.com/documents/?uuid=cfd77c06-73c7-336b-86d6-99ecacd3baef" ] } ], "mendeley" : { "formattedCitation" : "(1)", "plainTextFormattedCitation" : "(1)", "previouslyFormattedCitation" : "(1)" }, "properties" : { "noteIndex" : 0 }, "schema" : "https://github.com/citation-style-language/schema/raw/master/csl-citation.json" }</w:instrText>
      </w:r>
      <w:r w:rsidRPr="00C72567">
        <w:rPr>
          <w:rFonts w:ascii="Times New Roman" w:hAnsi="Times New Roman"/>
          <w:sz w:val="24"/>
          <w:szCs w:val="24"/>
          <w:lang w:bidi="en-US"/>
        </w:rPr>
        <w:fldChar w:fldCharType="separate"/>
      </w:r>
      <w:r w:rsidRPr="00C72567">
        <w:rPr>
          <w:rFonts w:ascii="Times New Roman" w:hAnsi="Times New Roman"/>
          <w:noProof/>
          <w:sz w:val="24"/>
          <w:szCs w:val="24"/>
          <w:lang w:bidi="en-US"/>
        </w:rPr>
        <w:t>(1)</w:t>
      </w:r>
      <w:r w:rsidRPr="00C72567">
        <w:rPr>
          <w:rFonts w:ascii="Times New Roman" w:hAnsi="Times New Roman"/>
          <w:sz w:val="24"/>
          <w:szCs w:val="24"/>
          <w:lang w:bidi="en-US"/>
        </w:rPr>
        <w:fldChar w:fldCharType="end"/>
      </w:r>
      <w:r w:rsidRPr="00C72567">
        <w:rPr>
          <w:rFonts w:ascii="Times New Roman" w:hAnsi="Times New Roman"/>
          <w:sz w:val="24"/>
          <w:szCs w:val="24"/>
          <w:lang w:bidi="en-US"/>
        </w:rPr>
        <w:t>.</w:t>
      </w:r>
      <w:r w:rsidRPr="00C72567">
        <w:rPr>
          <w:rFonts w:ascii="Times New Roman" w:hAnsi="Times New Roman"/>
          <w:sz w:val="24"/>
          <w:szCs w:val="24"/>
        </w:rPr>
        <w:t xml:space="preserve"> In developing countries it may be less common, bu</w:t>
      </w:r>
      <w:r w:rsidRPr="00DF2360">
        <w:rPr>
          <w:rFonts w:ascii="Times New Roman" w:hAnsi="Times New Roman"/>
          <w:sz w:val="24"/>
          <w:szCs w:val="24"/>
        </w:rPr>
        <w:t>t its incidence and mortality has been on the rise</w:t>
      </w:r>
      <w:r w:rsidRPr="00C72567">
        <w:rPr>
          <w:rFonts w:ascii="Times New Roman" w:hAnsi="Times New Roman"/>
          <w:sz w:val="24"/>
          <w:szCs w:val="24"/>
        </w:rPr>
        <w:fldChar w:fldCharType="begin" w:fldLock="1"/>
      </w:r>
      <w:r w:rsidR="00FE5F08" w:rsidRPr="00DF2360">
        <w:rPr>
          <w:rFonts w:ascii="Times New Roman" w:hAnsi="Times New Roman"/>
          <w:sz w:val="24"/>
          <w:szCs w:val="24"/>
        </w:rPr>
        <w:instrText>ADDIN CSL_CITATION { "citationItems" : [ { "id" : "ITEM-1", "itemData" : { "ISSN" : "1195-9479", "PMID" : "18304396", "abstract" : "INTRODUCTION Prostate cancer is the most frequently diagnosed non-skin cancer in the United States and the third leading cause of cancer deaths. International trends in the incidence, mortality and prevalence of prostate cancer are assessed. METHODS Databases from the Surveillance, Epidemiology and End Results (SEER) program of the National Cancer Institute and the International Agency for Research on Cancer (IARC), and the literature on autopsy studies on prostate cancer were reviewed and summarized in the article. RESULTS Prostate cancer remains an important public health concern in Western countries and an emerging malignancy in developing nations. Prostate cancer incidence is dependent on efforts to detect the disease. Autopsy studies provide accurate and useful information regarding comparative prevalence rates of the disease among regions of interest. CONCLUSIONS Improved cancer registration is needed in developing nations. The prevalence of prostate cancer must be established to predict the expected incidence of the disease and in order to plan rational detection and treatment strategies. Clinically significant disease should be distinguished from insignificant disease which may pose little or no biological danger to the patient.", "author" : [ { "dropping-particle" : "", "family" : "Haas", "given" : "Gabriel P", "non-dropping-particle" : "", "parse-names" : false, "suffix" : "" }, { "dropping-particle" : "", "family" : "Delongchamps", "given" : "Nicolas", "non-dropping-particle" : "", "parse-names" : false, "suffix" : "" }, { "dropping-particle" : "", "family" : "Brawley", "given" : "Otis W", "non-dropping-particle" : "", "parse-names" : false, "suffix" : "" }, { "dropping-particle" : "", "family" : "Wang", "given" : "Ching Y", "non-dropping-particle" : "", "parse-names" : false, "suffix" : "" }, { "dropping-particle" : "", "family" : "la Roza", "given" : "Gustavo", "non-dropping-particle" : "de", "parse-names" : false, "suffix" : "" } ], "container-title" : "The Canadian journal of urology", "id" : "ITEM-1", "issue" : "1", "issued" : { "date-parts" : [ [ "2008", "2" ] ] }, "page" : "3866-71", "title" : "The worldwide epidemiology of prostate cancer: perspectives from autopsy studies.", "type" : "article-journal", "volume" : "15" }, "uris" : [ "http://www.mendeley.com/documents/?uuid=36a31a53-8980-3cb1-9d2d-acb0756a9544" ] } ], "mendeley" : { "formattedCitation" : "(2)", "plainTextFormattedCitation" : "(2)", "previouslyFormattedCitation" : "(2)" }, "properties" : { "noteIndex" : 0 }, "schema" : "https://github.com/citation-style-language/schema/raw/master/csl-citation.json" }</w:instrText>
      </w:r>
      <w:r w:rsidRPr="00C72567">
        <w:rPr>
          <w:rFonts w:ascii="Times New Roman" w:hAnsi="Times New Roman"/>
          <w:sz w:val="24"/>
          <w:szCs w:val="24"/>
        </w:rPr>
        <w:fldChar w:fldCharType="separate"/>
      </w:r>
      <w:r w:rsidRPr="00C72567">
        <w:rPr>
          <w:rFonts w:ascii="Times New Roman" w:hAnsi="Times New Roman"/>
          <w:noProof/>
          <w:sz w:val="24"/>
          <w:szCs w:val="24"/>
        </w:rPr>
        <w:t>(2)</w:t>
      </w:r>
      <w:r w:rsidRPr="00C72567">
        <w:rPr>
          <w:rFonts w:ascii="Times New Roman" w:hAnsi="Times New Roman"/>
          <w:sz w:val="24"/>
          <w:szCs w:val="24"/>
        </w:rPr>
        <w:fldChar w:fldCharType="end"/>
      </w:r>
      <w:r w:rsidRPr="00C72567">
        <w:rPr>
          <w:rFonts w:ascii="Times New Roman" w:hAnsi="Times New Roman"/>
          <w:sz w:val="24"/>
          <w:szCs w:val="24"/>
        </w:rPr>
        <w:t>.</w:t>
      </w:r>
    </w:p>
    <w:p w14:paraId="5C69AC37" w14:textId="77777777" w:rsidR="001D7FBE" w:rsidRPr="00DF2360" w:rsidRDefault="001D7FBE" w:rsidP="00DF2360">
      <w:pPr>
        <w:spacing w:after="0" w:line="360" w:lineRule="auto"/>
        <w:jc w:val="both"/>
        <w:rPr>
          <w:rFonts w:ascii="Times New Roman" w:hAnsi="Times New Roman"/>
          <w:sz w:val="24"/>
          <w:szCs w:val="24"/>
        </w:rPr>
      </w:pPr>
    </w:p>
    <w:p w14:paraId="6543578A" w14:textId="7ADE2463" w:rsidR="00CC76C6" w:rsidRPr="00DF2360" w:rsidRDefault="00156DB0" w:rsidP="00DF2360">
      <w:pPr>
        <w:spacing w:after="0" w:line="360" w:lineRule="auto"/>
        <w:jc w:val="both"/>
        <w:rPr>
          <w:rFonts w:ascii="Times New Roman" w:hAnsi="Times New Roman"/>
          <w:sz w:val="24"/>
          <w:szCs w:val="24"/>
          <w:lang w:bidi="en-US"/>
        </w:rPr>
      </w:pPr>
      <w:r w:rsidRPr="00DF2360">
        <w:rPr>
          <w:rFonts w:ascii="Times New Roman" w:hAnsi="Times New Roman"/>
          <w:sz w:val="24"/>
          <w:szCs w:val="24"/>
          <w:lang w:bidi="en-US"/>
        </w:rPr>
        <w:t xml:space="preserve"> </w:t>
      </w:r>
      <w:r w:rsidR="001D7FBE" w:rsidRPr="00DF2360">
        <w:rPr>
          <w:rFonts w:ascii="Times New Roman" w:hAnsi="Times New Roman"/>
          <w:sz w:val="24"/>
          <w:szCs w:val="24"/>
          <w:lang w:bidi="en-US"/>
        </w:rPr>
        <w:t xml:space="preserve">Clinicians must attempt to determine at the time of diagnosis which among their patients might do well with active surveillance, who should receive immediate local treatment, who requires aggressive multimodal therapy, and who should be treated presumptively for advanced disease.  </w:t>
      </w:r>
    </w:p>
    <w:p w14:paraId="697116B2" w14:textId="77777777" w:rsidR="001D7FBE" w:rsidRPr="00DF2360" w:rsidRDefault="001D7FBE" w:rsidP="00DF2360">
      <w:pPr>
        <w:spacing w:after="0" w:line="360" w:lineRule="auto"/>
        <w:jc w:val="both"/>
        <w:rPr>
          <w:rFonts w:ascii="Times New Roman" w:hAnsi="Times New Roman"/>
          <w:sz w:val="24"/>
          <w:szCs w:val="24"/>
          <w:lang w:bidi="en-US"/>
        </w:rPr>
      </w:pPr>
    </w:p>
    <w:p w14:paraId="638227FD" w14:textId="3726E021" w:rsidR="00E802F6" w:rsidRPr="00DF2360" w:rsidRDefault="009D0E53" w:rsidP="00DF2360">
      <w:pPr>
        <w:spacing w:after="0" w:line="360" w:lineRule="auto"/>
        <w:jc w:val="both"/>
        <w:rPr>
          <w:rFonts w:ascii="Times New Roman" w:hAnsi="Times New Roman"/>
          <w:sz w:val="24"/>
          <w:szCs w:val="24"/>
        </w:rPr>
      </w:pPr>
      <w:r w:rsidRPr="00DF2360">
        <w:rPr>
          <w:rFonts w:ascii="Times New Roman" w:hAnsi="Times New Roman"/>
          <w:sz w:val="24"/>
          <w:szCs w:val="24"/>
          <w:lang w:bidi="en-US"/>
        </w:rPr>
        <w:t xml:space="preserve">All treatment options for prostate cancer carry </w:t>
      </w:r>
      <w:r w:rsidR="00B25E09" w:rsidRPr="00DF2360">
        <w:rPr>
          <w:rFonts w:ascii="Times New Roman" w:hAnsi="Times New Roman"/>
          <w:sz w:val="24"/>
          <w:szCs w:val="24"/>
          <w:lang w:bidi="en-US"/>
        </w:rPr>
        <w:t xml:space="preserve">a </w:t>
      </w:r>
      <w:r w:rsidRPr="00DF2360">
        <w:rPr>
          <w:rFonts w:ascii="Times New Roman" w:hAnsi="Times New Roman"/>
          <w:sz w:val="24"/>
          <w:szCs w:val="24"/>
          <w:lang w:bidi="en-US"/>
        </w:rPr>
        <w:t>risk of complications, side effects and other impacts in terms of quality of life. Before making a decision regarding treatment for prostate cancer, it is important to do risk stratification to estimate the likelihood that a given tumor will recur after treatment, progress and pose a threat to life</w:t>
      </w:r>
      <w:r w:rsidR="00A24FC1" w:rsidRPr="00DF2360">
        <w:rPr>
          <w:rFonts w:ascii="Times New Roman" w:hAnsi="Times New Roman"/>
          <w:sz w:val="24"/>
          <w:szCs w:val="24"/>
          <w:lang w:bidi="en-US"/>
        </w:rPr>
        <w:t xml:space="preserve"> </w:t>
      </w:r>
      <w:r w:rsidR="00D34F03" w:rsidRPr="00DF2360">
        <w:rPr>
          <w:rFonts w:ascii="Times New Roman" w:hAnsi="Times New Roman"/>
          <w:sz w:val="24"/>
          <w:szCs w:val="24"/>
          <w:lang w:bidi="en-US"/>
        </w:rPr>
        <w:t>(3,4)</w:t>
      </w:r>
    </w:p>
    <w:p w14:paraId="13451378" w14:textId="77777777" w:rsidR="00CC76C6" w:rsidRPr="00DF2360" w:rsidRDefault="00CC76C6" w:rsidP="00DF2360">
      <w:pPr>
        <w:spacing w:after="0" w:line="360" w:lineRule="auto"/>
        <w:jc w:val="both"/>
        <w:rPr>
          <w:rFonts w:ascii="Times New Roman" w:hAnsi="Times New Roman"/>
          <w:sz w:val="24"/>
          <w:szCs w:val="24"/>
        </w:rPr>
      </w:pPr>
    </w:p>
    <w:p w14:paraId="4F3E700C" w14:textId="77777777" w:rsidR="009D0E53" w:rsidRPr="00DF2360" w:rsidRDefault="009D0E53" w:rsidP="00DF2360">
      <w:pPr>
        <w:spacing w:after="0" w:line="360" w:lineRule="auto"/>
        <w:jc w:val="both"/>
        <w:rPr>
          <w:rFonts w:ascii="Times New Roman" w:hAnsi="Times New Roman"/>
          <w:sz w:val="24"/>
          <w:szCs w:val="24"/>
        </w:rPr>
      </w:pPr>
    </w:p>
    <w:p w14:paraId="295D68B5" w14:textId="5F934AAA" w:rsidR="009D0E53" w:rsidRPr="00C72567" w:rsidRDefault="009D0E53" w:rsidP="00DF2360">
      <w:pPr>
        <w:spacing w:after="0" w:line="360" w:lineRule="auto"/>
        <w:jc w:val="both"/>
        <w:rPr>
          <w:rFonts w:ascii="Times New Roman" w:hAnsi="Times New Roman"/>
          <w:sz w:val="24"/>
          <w:szCs w:val="24"/>
        </w:rPr>
      </w:pPr>
      <w:r w:rsidRPr="00DF2360">
        <w:rPr>
          <w:rFonts w:ascii="Times New Roman" w:hAnsi="Times New Roman"/>
          <w:sz w:val="24"/>
          <w:szCs w:val="24"/>
          <w:lang w:bidi="en-US"/>
        </w:rPr>
        <w:t>Many multivariable models have been designed in recent years to assess cancer progression risk on the basis of clinical data available at diagnosis. However</w:t>
      </w:r>
      <w:r w:rsidR="00E761CE" w:rsidRPr="00DF2360">
        <w:rPr>
          <w:rFonts w:ascii="Times New Roman" w:hAnsi="Times New Roman"/>
          <w:sz w:val="24"/>
          <w:szCs w:val="24"/>
          <w:lang w:bidi="en-US"/>
        </w:rPr>
        <w:t>,</w:t>
      </w:r>
      <w:r w:rsidRPr="00DF2360">
        <w:rPr>
          <w:rFonts w:ascii="Times New Roman" w:hAnsi="Times New Roman"/>
          <w:sz w:val="24"/>
          <w:szCs w:val="24"/>
          <w:lang w:bidi="en-US"/>
        </w:rPr>
        <w:t xml:space="preserve"> most models predict</w:t>
      </w:r>
      <w:r w:rsidR="003769A9" w:rsidRPr="00DF2360">
        <w:rPr>
          <w:rFonts w:ascii="Times New Roman" w:hAnsi="Times New Roman"/>
          <w:sz w:val="24"/>
          <w:szCs w:val="24"/>
          <w:lang w:bidi="en-US"/>
        </w:rPr>
        <w:t xml:space="preserve"> either</w:t>
      </w:r>
      <w:r w:rsidRPr="00DF2360">
        <w:rPr>
          <w:rFonts w:ascii="Times New Roman" w:hAnsi="Times New Roman"/>
          <w:sz w:val="24"/>
          <w:szCs w:val="24"/>
          <w:lang w:bidi="en-US"/>
        </w:rPr>
        <w:t xml:space="preserve"> only biochemical recurrence</w:t>
      </w:r>
      <w:r w:rsidR="003769A9" w:rsidRPr="00DF2360">
        <w:rPr>
          <w:rFonts w:ascii="Times New Roman" w:hAnsi="Times New Roman"/>
          <w:sz w:val="24"/>
          <w:szCs w:val="24"/>
          <w:lang w:bidi="en-US"/>
        </w:rPr>
        <w:t xml:space="preserve"> or pathological stage</w:t>
      </w:r>
      <w:r w:rsidRPr="00DF2360">
        <w:rPr>
          <w:rFonts w:ascii="Times New Roman" w:hAnsi="Times New Roman"/>
          <w:sz w:val="24"/>
          <w:szCs w:val="24"/>
          <w:lang w:bidi="en-US"/>
        </w:rPr>
        <w:t xml:space="preserve"> usually after single specified treatment modalities</w:t>
      </w:r>
      <w:r w:rsidRPr="00C72567">
        <w:rPr>
          <w:rFonts w:ascii="Times New Roman" w:hAnsi="Times New Roman"/>
          <w:sz w:val="24"/>
          <w:szCs w:val="24"/>
        </w:rPr>
        <w:fldChar w:fldCharType="begin" w:fldLock="1"/>
      </w:r>
      <w:r w:rsidR="00FE5F08" w:rsidRPr="00DF2360">
        <w:rPr>
          <w:rFonts w:ascii="Times New Roman" w:hAnsi="Times New Roman"/>
          <w:sz w:val="24"/>
          <w:szCs w:val="24"/>
        </w:rPr>
        <w:instrText>ADDIN CSL_CITATION { "citationItems" : [ { "id" : "ITEM-1", "itemData" : { "DOI" : "10.1093/jnci/djp122", "abstract" : "In 2008, an estimated 28 660 deaths from prostate cancer were expected in the United States; although this figure makes prostate cancer the second leading cause of cancer death among men after lung cancer, it is eclipsed by the estimated 186 320 men who were expected to be diagnosed (1). Most men diagnosed with prostate cancer will ultimately die of other causes, and the natural history of the disease is usually protracted even for tumors that are ultimately lethal (2). Given the potential impact of all available treatment modalities on quality of life (3), risk assessment at the time of diagnosis is a key component of clinician \u2013 patient decision making with respect to the timing and type of initial therapy, which may include active surveillance, locally directed monother-apy, aggressive multimodal therapy, or immediate systemic treatment. Numerous multivariable models have been developed in recent years to assess cancer progression risk on the basis of clinical data available at diagnosis, and many of these have been presented as nomograms (4). Calculation of risks from these instruments for large sets of patients is diffi cult, however, and the models do not generally include validated thresholds to stratify patients into risk groups for research purposes. Moreover, most models are", "author" : [ { "dropping-particle" : "", "family" : "Cooperberg", "given" : "Matthew R", "non-dropping-particle" : "", "parse-names" : false, "suffix" : "" }, { "dropping-particle" : "", "family" : "Broering", "given" : "Jeanette M", "non-dropping-particle" : "", "parse-names" : false, "suffix" : "" }, { "dropping-particle" : "", "family" : "Carroll", "given" : "Peter R", "non-dropping-particle" : "", "parse-names" : false, "suffix" : "" } ], "id" : "ITEM-1", "issue" : "12", "issued" : { "date-parts" : [ [ "2009" ] ] }, "title" : "Risk Assessment for Prostate Cancer Metastasis and Mortality at the Time of Diagnosis", "type" : "article-journal", "volume" : "101" }, "uris" : [ "http://www.mendeley.com/documents/?uuid=551749b0-78b5-3741-b9c9-e5e0059753dd" ] } ], "mendeley" : { "formattedCitation" : "(4)", "manualFormatting" : "(4)", "plainTextFormattedCitation" : "(4)", "previouslyFormattedCitation" : "(4)" }, "properties" : { "noteIndex" : 0 }, "schema" : "https://github.com/citation-style-language/schema/raw/master/csl-citation.json" }</w:instrText>
      </w:r>
      <w:r w:rsidRPr="00C72567">
        <w:rPr>
          <w:rFonts w:ascii="Times New Roman" w:hAnsi="Times New Roman"/>
          <w:sz w:val="24"/>
          <w:szCs w:val="24"/>
        </w:rPr>
        <w:fldChar w:fldCharType="separate"/>
      </w:r>
      <w:r w:rsidR="00BC0CED" w:rsidRPr="00C72567">
        <w:rPr>
          <w:rFonts w:ascii="Times New Roman" w:hAnsi="Times New Roman"/>
          <w:noProof/>
          <w:sz w:val="24"/>
          <w:szCs w:val="24"/>
        </w:rPr>
        <w:t>(4</w:t>
      </w:r>
      <w:r w:rsidRPr="00DF2360">
        <w:rPr>
          <w:rFonts w:ascii="Times New Roman" w:hAnsi="Times New Roman"/>
          <w:noProof/>
          <w:sz w:val="24"/>
          <w:szCs w:val="24"/>
        </w:rPr>
        <w:t>)</w:t>
      </w:r>
      <w:r w:rsidRPr="00C72567">
        <w:rPr>
          <w:rFonts w:ascii="Times New Roman" w:hAnsi="Times New Roman"/>
          <w:sz w:val="24"/>
          <w:szCs w:val="24"/>
        </w:rPr>
        <w:fldChar w:fldCharType="end"/>
      </w:r>
      <w:r w:rsidRPr="00C72567">
        <w:rPr>
          <w:rFonts w:ascii="Times New Roman" w:hAnsi="Times New Roman"/>
          <w:sz w:val="24"/>
          <w:szCs w:val="24"/>
        </w:rPr>
        <w:t xml:space="preserve">. These range in complexity from a three-level categorization published by D'Amico et al to the monogram devised by </w:t>
      </w:r>
      <w:proofErr w:type="spellStart"/>
      <w:r w:rsidRPr="00C72567">
        <w:rPr>
          <w:rFonts w:ascii="Times New Roman" w:hAnsi="Times New Roman"/>
          <w:sz w:val="24"/>
          <w:szCs w:val="24"/>
        </w:rPr>
        <w:t>Kattan</w:t>
      </w:r>
      <w:proofErr w:type="spellEnd"/>
      <w:r w:rsidRPr="00C72567">
        <w:rPr>
          <w:rFonts w:ascii="Times New Roman" w:hAnsi="Times New Roman"/>
          <w:sz w:val="24"/>
          <w:szCs w:val="24"/>
        </w:rPr>
        <w:t xml:space="preserve"> et al which calculates likelihood of recurrence as a continuous variable but requires a multi-step paper tool or</w:t>
      </w:r>
      <w:r w:rsidR="00992612" w:rsidRPr="00DF2360">
        <w:rPr>
          <w:rFonts w:ascii="Times New Roman" w:hAnsi="Times New Roman"/>
          <w:sz w:val="24"/>
          <w:szCs w:val="24"/>
        </w:rPr>
        <w:t xml:space="preserve"> a computer program to use</w:t>
      </w:r>
      <w:r w:rsidR="00DD0218" w:rsidRPr="00DF2360">
        <w:rPr>
          <w:rFonts w:ascii="Times New Roman" w:hAnsi="Times New Roman"/>
          <w:sz w:val="24"/>
          <w:szCs w:val="24"/>
        </w:rPr>
        <w:t>(</w:t>
      </w:r>
      <w:r w:rsidR="00DD0218" w:rsidRPr="00DF2360">
        <w:rPr>
          <w:rFonts w:ascii="Times New Roman" w:hAnsi="Times New Roman"/>
          <w:sz w:val="24"/>
          <w:szCs w:val="24"/>
        </w:rPr>
        <w:fldChar w:fldCharType="begin"/>
      </w:r>
      <w:r w:rsidR="00DD0218" w:rsidRPr="00DF2360">
        <w:rPr>
          <w:rFonts w:ascii="Times New Roman" w:hAnsi="Times New Roman"/>
          <w:sz w:val="24"/>
          <w:szCs w:val="24"/>
        </w:rPr>
        <w:instrText xml:space="preserve"> ADDIN CSL_CITATION { "citationItems" : [ { "id" : "ITEM-1", "itemData" : { "DOI" : "10.2217/fon.09.121", "abstract" : "Prostate cancer is a very complex disease, and the decision-making process requires the clinician to balance clinical benefits, life expectancy, comorbidities, and potential treatment related side effects. Accurate prediction of clinical outcomes may help in the difficult process of making decisions related to prostate cancer. In this review, we discuss attributes of predictive tools and s </w:instrText>
      </w:r>
      <w:r w:rsidR="00DD0218" w:rsidRPr="00DF2360">
        <w:rPr>
          <w:rFonts w:ascii="Times New Roman" w:hAnsi="Times New Roman"/>
          <w:sz w:val="24"/>
          <w:szCs w:val="24"/>
        </w:rPr>
        <w:fldChar w:fldCharType="end"/>
      </w:r>
      <w:r w:rsidR="00DD0218" w:rsidRPr="00C72567">
        <w:rPr>
          <w:rFonts w:ascii="Times New Roman" w:hAnsi="Times New Roman"/>
          <w:sz w:val="24"/>
          <w:szCs w:val="24"/>
        </w:rPr>
        <w:t>5,</w:t>
      </w:r>
      <w:r w:rsidR="00FE5F08" w:rsidRPr="00C72567">
        <w:rPr>
          <w:rFonts w:ascii="Times New Roman" w:hAnsi="Times New Roman"/>
          <w:sz w:val="24"/>
          <w:szCs w:val="24"/>
        </w:rPr>
        <w:fldChar w:fldCharType="begin" w:fldLock="1"/>
      </w:r>
      <w:r w:rsidR="00C22423" w:rsidRPr="00DF2360">
        <w:rPr>
          <w:rFonts w:ascii="Times New Roman" w:hAnsi="Times New Roman"/>
          <w:sz w:val="24"/>
          <w:szCs w:val="24"/>
        </w:rPr>
        <w:instrText>ADDIN CSL_CITATION { "citationItems" : [ { "id" : "ITEM-1", "itemData" : { "DOI" : "10.2217/fon.09.121", "abstract" : "Prostate cancer is a very complex disease, and the decision-making process requires the clinician to balance clinical benefits, life expectancy, comorbidities, and potential treatment related side effects. Accurate prediction of clinical outcomes may help in the difficult process of making decisions related to prostate cancer. In this review, we discuss attributes of predictive tools and systematically review those available for prostate cancer. Types of tools include probability formulas, look-up and propensity scoring tables, risk-class stratification prediction tools, classification and regression tree analysis, nomograms, and artificial neural networks. Criteria to evaluate tools include discrimination, calibration, generalizability, level of complexity, decision analysis, and ability to account for competing risks and conditional probabilities. We describe the available predictive tools and their features, focusing on nomograms. While some tools are well-calibrated, few have been externally validated or directly compared to other tools. In addition, the clinical consequences of applying predictive tools need thorough assessment. Nevertheless, predictive tools can facilitate medical decision-making by showing patients tailored predictions of their outcomes with various alternatives. Additionally, accurate tools may improve clinical trial design.", "author" : [ { "dropping-particle" : "", "family" : "Shariat", "given" : "Shahrokh F", "non-dropping-particle" : "", "parse-names" : false, "suffix" : "" }, { "dropping-particle" : "", "family" : "Kattan", "given" : "Michael W", "non-dropping-particle" : "", "parse-names" : false, "suffix" : "" }, { "dropping-particle" : "", "family" : "Vickers", "given" : "Andrew J", "non-dropping-particle" : "", "parse-names" : false, "suffix" : "" }, { "dropping-particle" : "", "family" : "Karakiewicz", "given" : "Pierre I", "non-dropping-particle" : "", "parse-names" : false, "suffix" : "" }, { "dropping-particle" : "", "family" : "Scardino", "given" : "Peter T", "non-dropping-particle" : "", "parse-names" : false, "suffix" : "" } ], "id" : "ITEM-1", "issued" : { "date-parts" : [ [ "0" ] ] }, "title" : "CRITICAL REVIEW OF PROSTATE CANCER PREDICTIVE TOOLS", "type" : "article-journal" }, "uris" : [ "http://www.mendeley.com/documents/?uuid=1fe912b7-4d9b-3031-a8b1-91af01af10c7" ] } ], "mendeley" : { "formattedCitation" : "(5)", "manualFormatting" : "6)", "plainTextFormattedCitation" : "(5)", "previouslyFormattedCitation" : "(5)" }, "properties" : { "noteIndex" : 0 }, "schema" : "https://github.com/citation-style-language/schema/raw/master/csl-citation.json" }</w:instrText>
      </w:r>
      <w:r w:rsidR="00FE5F08" w:rsidRPr="00C72567">
        <w:rPr>
          <w:rFonts w:ascii="Times New Roman" w:hAnsi="Times New Roman"/>
          <w:sz w:val="24"/>
          <w:szCs w:val="24"/>
        </w:rPr>
        <w:fldChar w:fldCharType="separate"/>
      </w:r>
      <w:r w:rsidR="00FE5F08" w:rsidRPr="00C72567">
        <w:rPr>
          <w:rFonts w:ascii="Times New Roman" w:hAnsi="Times New Roman"/>
          <w:noProof/>
          <w:sz w:val="24"/>
          <w:szCs w:val="24"/>
        </w:rPr>
        <w:t>6)</w:t>
      </w:r>
      <w:r w:rsidR="00FE5F08" w:rsidRPr="00C72567">
        <w:rPr>
          <w:rFonts w:ascii="Times New Roman" w:hAnsi="Times New Roman"/>
          <w:sz w:val="24"/>
          <w:szCs w:val="24"/>
        </w:rPr>
        <w:fldChar w:fldCharType="end"/>
      </w:r>
      <w:r w:rsidR="00DD0218" w:rsidRPr="00C72567">
        <w:rPr>
          <w:rFonts w:ascii="Times New Roman" w:hAnsi="Times New Roman"/>
          <w:sz w:val="24"/>
          <w:szCs w:val="24"/>
        </w:rPr>
        <w:t>.</w:t>
      </w:r>
    </w:p>
    <w:p w14:paraId="7F86B441" w14:textId="77777777" w:rsidR="00BF5288" w:rsidRPr="00DF2360" w:rsidRDefault="00BF5288" w:rsidP="00DF2360">
      <w:pPr>
        <w:spacing w:after="0" w:line="360" w:lineRule="auto"/>
        <w:jc w:val="both"/>
        <w:rPr>
          <w:rFonts w:ascii="Times New Roman" w:hAnsi="Times New Roman"/>
          <w:sz w:val="24"/>
          <w:szCs w:val="24"/>
        </w:rPr>
      </w:pPr>
    </w:p>
    <w:p w14:paraId="6DBE0CE8" w14:textId="66B05FDE" w:rsidR="009D0E53" w:rsidRPr="00C72567" w:rsidRDefault="009D0E53" w:rsidP="00DF2360">
      <w:pPr>
        <w:spacing w:after="0" w:line="360" w:lineRule="auto"/>
        <w:jc w:val="both"/>
        <w:rPr>
          <w:rFonts w:ascii="Times New Roman" w:hAnsi="Times New Roman"/>
          <w:sz w:val="24"/>
          <w:szCs w:val="24"/>
        </w:rPr>
      </w:pPr>
      <w:r w:rsidRPr="00DF2360">
        <w:rPr>
          <w:rFonts w:ascii="Times New Roman" w:hAnsi="Times New Roman"/>
          <w:sz w:val="24"/>
          <w:szCs w:val="24"/>
        </w:rPr>
        <w:lastRenderedPageBreak/>
        <w:t>In the effort to address these limitations, University of California San Francisco</w:t>
      </w:r>
      <w:r w:rsidR="00E761CE" w:rsidRPr="00DF2360">
        <w:rPr>
          <w:rFonts w:ascii="Times New Roman" w:hAnsi="Times New Roman"/>
          <w:sz w:val="24"/>
          <w:szCs w:val="24"/>
        </w:rPr>
        <w:t xml:space="preserve"> (UCSF) </w:t>
      </w:r>
      <w:r w:rsidRPr="00DF2360">
        <w:rPr>
          <w:rFonts w:ascii="Times New Roman" w:hAnsi="Times New Roman"/>
          <w:sz w:val="24"/>
          <w:szCs w:val="24"/>
        </w:rPr>
        <w:t xml:space="preserve">developed Cancer of the Prostate Risk Assessment (CAPRA) score, having </w:t>
      </w:r>
      <w:r w:rsidR="003B7E96" w:rsidRPr="00DF2360">
        <w:rPr>
          <w:rFonts w:ascii="Times New Roman" w:hAnsi="Times New Roman"/>
          <w:sz w:val="24"/>
          <w:szCs w:val="24"/>
        </w:rPr>
        <w:t xml:space="preserve">a </w:t>
      </w:r>
      <w:r w:rsidRPr="00DF2360">
        <w:rPr>
          <w:rFonts w:ascii="Times New Roman" w:hAnsi="Times New Roman"/>
          <w:sz w:val="24"/>
          <w:szCs w:val="24"/>
        </w:rPr>
        <w:t xml:space="preserve">calculable 0 to 10-point scale based on the prostate-specific antigen (PSA) level, Gleason score, clinical tumor stage, percentage of biopsy core samples positive for cancer, and age at diagnosis </w:t>
      </w:r>
      <w:r w:rsidRPr="00C72567">
        <w:rPr>
          <w:rFonts w:ascii="Times New Roman" w:hAnsi="Times New Roman"/>
          <w:sz w:val="24"/>
          <w:szCs w:val="24"/>
        </w:rPr>
        <w:fldChar w:fldCharType="begin" w:fldLock="1"/>
      </w:r>
      <w:r w:rsidR="00C22423" w:rsidRPr="00DF2360">
        <w:rPr>
          <w:rFonts w:ascii="Times New Roman" w:hAnsi="Times New Roman"/>
          <w:sz w:val="24"/>
          <w:szCs w:val="24"/>
        </w:rPr>
        <w:instrText>ADDIN CSL_CITATION { "citationItems" : [ { "id" : "ITEM-1", "itemData" : { "ISSN" : "2153-8182", "PMID" : "19918337", "abstract" : "Accurate risk assessment is of paramount importance to newly diagnosed prostate cancer patients and their physicians. Risk prediction models help identify those at high (or low) risk of disease progression and guide discussions about prognosis and treatment. Widely used, well-validated prediction tools are based on standard, readily available clinical and pathologic parameters, but do not include biomarkers, some of which may have an important role in predicting prognosis or determining therapeutic options. A new approach, known as systems pathology, may improve the accuracy of traditional prediction methods and provide patients with a more personalized risk assessment of clinically relevant outcomes. The ultimate goal of prediction models is to improve medical decision making.", "author" : [ { "dropping-particle" : "", "family" : "Lowrance", "given" : "William T", "non-dropping-particle" : "", "parse-names" : false, "suffix" : "" }, { "dropping-particle" : "", "family" : "Scardino", "given" : "Peter T", "non-dropping-particle" : "", "parse-names" : false, "suffix" : "" } ], "container-title" : "Reviews in urology", "id" : "ITEM-1", "issue" : "3", "issued" : { "date-parts" : [ [ "2009" ] ] }, "page" : "117-26", "publisher" : "MedReviews, LLC", "title" : "Predictive models for newly diagnosed prostate cancer patients.", "type" : "article-journal", "volume" : "11" }, "uris" : [ "http://www.mendeley.com/documents/?uuid=0178319c-aa51-341d-956b-50d162dc00c6" ] } ], "mendeley" : { "formattedCitation" : "(6)", "plainTextFormattedCitation" : "(6)", "previouslyFormattedCitation" : "(6)" }, "properties" : { "noteIndex" : 0 }, "schema" : "https://github.com/citation-style-language/schema/raw/master/csl-citation.json" }</w:instrText>
      </w:r>
      <w:r w:rsidRPr="00C72567">
        <w:rPr>
          <w:rFonts w:ascii="Times New Roman" w:hAnsi="Times New Roman"/>
          <w:sz w:val="24"/>
          <w:szCs w:val="24"/>
        </w:rPr>
        <w:fldChar w:fldCharType="separate"/>
      </w:r>
      <w:r w:rsidR="00C22423" w:rsidRPr="00C72567">
        <w:rPr>
          <w:rFonts w:ascii="Times New Roman" w:hAnsi="Times New Roman"/>
          <w:noProof/>
          <w:sz w:val="24"/>
          <w:szCs w:val="24"/>
        </w:rPr>
        <w:t>(6)</w:t>
      </w:r>
      <w:r w:rsidRPr="00C72567">
        <w:rPr>
          <w:rFonts w:ascii="Times New Roman" w:hAnsi="Times New Roman"/>
          <w:sz w:val="24"/>
          <w:szCs w:val="24"/>
        </w:rPr>
        <w:fldChar w:fldCharType="end"/>
      </w:r>
      <w:r w:rsidRPr="00C72567">
        <w:rPr>
          <w:rFonts w:ascii="Times New Roman" w:hAnsi="Times New Roman"/>
          <w:sz w:val="24"/>
          <w:szCs w:val="24"/>
        </w:rPr>
        <w:t>.</w:t>
      </w:r>
    </w:p>
    <w:p w14:paraId="2F0224AE" w14:textId="77777777" w:rsidR="00BF5288" w:rsidRPr="00DF2360" w:rsidRDefault="00BF5288" w:rsidP="00DF2360">
      <w:pPr>
        <w:spacing w:after="0" w:line="360" w:lineRule="auto"/>
        <w:jc w:val="both"/>
        <w:rPr>
          <w:rFonts w:ascii="Times New Roman" w:hAnsi="Times New Roman"/>
          <w:sz w:val="24"/>
          <w:szCs w:val="24"/>
        </w:rPr>
      </w:pPr>
    </w:p>
    <w:p w14:paraId="0045FF8E" w14:textId="3B7A2CC3" w:rsidR="009D0E53" w:rsidRPr="00C72567" w:rsidRDefault="009D0E53" w:rsidP="00DF2360">
      <w:pPr>
        <w:spacing w:after="0" w:line="360" w:lineRule="auto"/>
        <w:jc w:val="both"/>
        <w:rPr>
          <w:rFonts w:ascii="Times New Roman" w:hAnsi="Times New Roman"/>
          <w:sz w:val="24"/>
          <w:szCs w:val="24"/>
        </w:rPr>
      </w:pPr>
      <w:r w:rsidRPr="00DF2360">
        <w:rPr>
          <w:rFonts w:ascii="Times New Roman" w:hAnsi="Times New Roman"/>
          <w:sz w:val="24"/>
          <w:szCs w:val="24"/>
        </w:rPr>
        <w:t>A CAPRA score of 0 to 2 indicates low- risk.</w:t>
      </w:r>
      <w:r w:rsidRPr="00DF2360">
        <w:rPr>
          <w:rFonts w:ascii="Times New Roman" w:eastAsia="MS Mincho" w:hAnsi="Times New Roman"/>
          <w:sz w:val="24"/>
          <w:szCs w:val="24"/>
        </w:rPr>
        <w:t> </w:t>
      </w:r>
      <w:r w:rsidRPr="00DF2360">
        <w:rPr>
          <w:rFonts w:ascii="Times New Roman" w:hAnsi="Times New Roman"/>
          <w:sz w:val="24"/>
          <w:szCs w:val="24"/>
        </w:rPr>
        <w:t>A CAPRA score of 3 to 5 indicates intermediate-risk.</w:t>
      </w:r>
      <w:r w:rsidRPr="00DF2360">
        <w:rPr>
          <w:rFonts w:ascii="Times New Roman" w:eastAsia="MS Mincho" w:hAnsi="Times New Roman"/>
          <w:sz w:val="24"/>
          <w:szCs w:val="24"/>
        </w:rPr>
        <w:t> </w:t>
      </w:r>
      <w:r w:rsidRPr="00DF2360">
        <w:rPr>
          <w:rFonts w:ascii="Times New Roman" w:hAnsi="Times New Roman"/>
          <w:sz w:val="24"/>
          <w:szCs w:val="24"/>
        </w:rPr>
        <w:t>A CAPRA score of 6 to 10 indicates high–risk</w:t>
      </w:r>
      <w:r w:rsidRPr="00DF2360">
        <w:rPr>
          <w:rFonts w:ascii="Times New Roman" w:hAnsi="Times New Roman"/>
          <w:i/>
          <w:sz w:val="24"/>
          <w:szCs w:val="24"/>
        </w:rPr>
        <w:t>.</w:t>
      </w:r>
      <w:r w:rsidRPr="00DF2360">
        <w:rPr>
          <w:rFonts w:ascii="Times New Roman" w:hAnsi="Times New Roman"/>
          <w:iCs/>
          <w:sz w:val="24"/>
          <w:szCs w:val="24"/>
        </w:rPr>
        <w:t xml:space="preserve"> Very low-risk</w:t>
      </w:r>
      <w:r w:rsidRPr="00DF2360">
        <w:rPr>
          <w:rFonts w:ascii="Times New Roman" w:hAnsi="Times New Roman"/>
          <w:sz w:val="24"/>
          <w:szCs w:val="24"/>
        </w:rPr>
        <w:t xml:space="preserve"> tumors are often managed well with active surveillance. </w:t>
      </w:r>
      <w:r w:rsidRPr="00DF2360">
        <w:rPr>
          <w:rFonts w:ascii="Times New Roman" w:hAnsi="Times New Roman"/>
          <w:iCs/>
          <w:sz w:val="24"/>
          <w:szCs w:val="24"/>
        </w:rPr>
        <w:t>Low to intermediate-risk</w:t>
      </w:r>
      <w:r w:rsidRPr="00DF2360">
        <w:rPr>
          <w:rFonts w:ascii="Times New Roman" w:hAnsi="Times New Roman"/>
          <w:sz w:val="24"/>
          <w:szCs w:val="24"/>
        </w:rPr>
        <w:t xml:space="preserve"> tumors generally respond well to localized treatment (surgery or radiation alone, brachytherapy with or without external-beam therapy). </w:t>
      </w:r>
      <w:r w:rsidRPr="00DF2360">
        <w:rPr>
          <w:rFonts w:ascii="Times New Roman" w:hAnsi="Times New Roman"/>
          <w:iCs/>
          <w:sz w:val="24"/>
          <w:szCs w:val="24"/>
        </w:rPr>
        <w:t>Intermediate to high-risk</w:t>
      </w:r>
      <w:r w:rsidRPr="00DF2360">
        <w:rPr>
          <w:rFonts w:ascii="Times New Roman" w:hAnsi="Times New Roman"/>
          <w:sz w:val="24"/>
          <w:szCs w:val="24"/>
        </w:rPr>
        <w:t xml:space="preserve"> tumors often require multimodal therapy (surgery with radiation, or radiation therapy with hormonal therapy</w:t>
      </w:r>
      <w:r w:rsidRPr="00DF2360">
        <w:rPr>
          <w:rFonts w:ascii="Times New Roman" w:hAnsi="Times New Roman"/>
          <w:i/>
          <w:sz w:val="24"/>
          <w:szCs w:val="24"/>
        </w:rPr>
        <w:t xml:space="preserve">). </w:t>
      </w:r>
      <w:r w:rsidRPr="00DF2360">
        <w:rPr>
          <w:rFonts w:ascii="Times New Roman" w:hAnsi="Times New Roman"/>
          <w:iCs/>
          <w:sz w:val="24"/>
          <w:szCs w:val="24"/>
        </w:rPr>
        <w:t>Very high-risk</w:t>
      </w:r>
      <w:r w:rsidRPr="00DF2360">
        <w:rPr>
          <w:rFonts w:ascii="Times New Roman" w:hAnsi="Times New Roman"/>
          <w:sz w:val="24"/>
          <w:szCs w:val="24"/>
        </w:rPr>
        <w:t xml:space="preserve"> tumors may be treated with multimodal therapy or hormonal therapy alone, and often are suitable for clinical trials of ne</w:t>
      </w:r>
      <w:r w:rsidR="00FE5F08" w:rsidRPr="00DF2360">
        <w:rPr>
          <w:rFonts w:ascii="Times New Roman" w:hAnsi="Times New Roman"/>
          <w:sz w:val="24"/>
          <w:szCs w:val="24"/>
        </w:rPr>
        <w:t xml:space="preserve">w therapeutic approaches </w:t>
      </w:r>
      <w:r w:rsidR="00FA69C9" w:rsidRPr="00DF2360">
        <w:rPr>
          <w:rFonts w:ascii="Times New Roman" w:hAnsi="Times New Roman"/>
          <w:sz w:val="24"/>
          <w:szCs w:val="24"/>
        </w:rPr>
        <w:t>(</w:t>
      </w:r>
      <w:r w:rsidR="00FA69C9" w:rsidRPr="00DF2360">
        <w:rPr>
          <w:rFonts w:ascii="Times New Roman" w:hAnsi="Times New Roman"/>
          <w:sz w:val="24"/>
          <w:szCs w:val="24"/>
        </w:rPr>
        <w:fldChar w:fldCharType="begin"/>
      </w:r>
      <w:r w:rsidR="00FA69C9" w:rsidRPr="00DF2360">
        <w:rPr>
          <w:rFonts w:ascii="Times New Roman" w:hAnsi="Times New Roman"/>
          <w:sz w:val="24"/>
          <w:szCs w:val="24"/>
        </w:rPr>
        <w:instrText xml:space="preserve"> ADDIN CSL_CITATION { "citationItems" : [ { "id" : "ITEM-1", "itemData" : { "author" : [ { "dropping-particle" : "", "family" : "Thompson", "given" : "Ian", "non-dropping-particle" : "", "parse-names" : false, "suffix" : "" }, { "dropping-particle" : "", "family" : "Brantley Thrasher", "given" : "James", "non-dropping-particle" : "", "parse-names" : false, "suffix" : "" }, { "dropping-particle" : "", "family" : "Aus", "given" : "Gunnar", "non-dropping-particle" : "", "parse-names" : false, "suffix" : "" }, </w:instrText>
      </w:r>
      <w:r w:rsidR="00FA69C9" w:rsidRPr="00DF2360">
        <w:rPr>
          <w:rFonts w:ascii="Times New Roman" w:hAnsi="Times New Roman"/>
          <w:sz w:val="24"/>
          <w:szCs w:val="24"/>
        </w:rPr>
        <w:fldChar w:fldCharType="end"/>
      </w:r>
      <w:r w:rsidR="00FA69C9" w:rsidRPr="00C72567">
        <w:rPr>
          <w:rFonts w:ascii="Times New Roman" w:hAnsi="Times New Roman"/>
          <w:sz w:val="24"/>
          <w:szCs w:val="24"/>
        </w:rPr>
        <w:t>7,</w:t>
      </w:r>
      <w:r w:rsidR="00B006F0" w:rsidRPr="00C72567">
        <w:rPr>
          <w:rFonts w:ascii="Times New Roman" w:hAnsi="Times New Roman"/>
          <w:sz w:val="24"/>
          <w:szCs w:val="24"/>
        </w:rPr>
        <w:fldChar w:fldCharType="begin" w:fldLock="1"/>
      </w:r>
      <w:r w:rsidR="00B006F0" w:rsidRPr="00DF2360">
        <w:rPr>
          <w:rFonts w:ascii="Times New Roman" w:hAnsi="Times New Roman"/>
          <w:sz w:val="24"/>
          <w:szCs w:val="24"/>
        </w:rPr>
        <w:instrText>ADDIN CSL_CITATION { "citationItems" : [ { "id" : "ITEM-1", "itemData" : { "DOI" : "10.1002/cncr.22262", "ISSN" : "0008543X", "author" : [ { "dropping-particle" : "", "family" : "Cooperberg", "given" : "Matthew R.", "non-dropping-particle" : "", "parse-names" : false, "suffix" : "" }, { "dropping-particle" : "", "family" : "Freedland", "given" : "Stephen J.", "non-dropping-particle" : "", "parse-names" : false, "suffix" : "" }, { "dropping-particle" : "", "family" : "Pasta", "given" : "David J.", "non-dropping-particle" : "", "parse-names" : false, "suffix" : "" }, { "dropping-particle" : "", "family" : "Elkin", "given" : "Eric P.", "non-dropping-particle" : "", "parse-names" : false, "suffix" : "" }, { "dropping-particle" : "", "family" : "Presti", "given" : "Joseph C.", "non-dropping-particle" : "", "parse-names" : false, "suffix" : "" }, { "dropping-particle" : "", "family" : "Amling", "given" : "Christopher L.", "non-dropping-particle" : "", "parse-names" : false, "suffix" : "" }, { "dropping-particle" : "", "family" : "Terris", "given" : "Martha K.", "non-dropping-particle" : "", "parse-names" : false, "suffix" : "" }, { "dropping-particle" : "", "family" : "Aronson", "given" : "William J.", "non-dropping-particle" : "", "parse-names" : false, "suffix" : "" }, { "dropping-particle" : "", "family" : "Kane", "given" : "Christopher J.", "non-dropping-particle" : "", "parse-names" : false, "suffix" : "" }, { "dropping-particle" : "", "family" : "Carroll", "given" : "Peter R.", "non-dropping-particle" : "", "parse-names" : false, "suffix" : "" } ], "container-title" : "Cancer", "id" : "ITEM-1", "issue" : "10", "issued" : { "date-parts" : [ [ "2006", "11", "15" ] ] }, "page" : "2384-2391", "publisher" : "Wiley Subscription Services, Inc., A Wiley Company", "title" : "Multiinstitutional validation of the UCSF cancer of the prostate risk assessment for prediction of recurrence after radical prostatectomy", "type" : "article-journal", "volume" : "107" }, "uris" : [ "http://www.mendeley.com/documents/?uuid=2eeccb59-fb26-3c20-a48b-f9eeedb87d01" ] } ], "mendeley" : { "formattedCitation" : "(8)", "manualFormatting" : "8)", "plainTextFormattedCitation" : "(8)", "previouslyFormattedCitation" : "(8)" }, "properties" : { "noteIndex" : 0 }, "schema" : "https://github.com/citation-style-language/schema/raw/master/csl-citation.json" }</w:instrText>
      </w:r>
      <w:r w:rsidR="00B006F0" w:rsidRPr="00C72567">
        <w:rPr>
          <w:rFonts w:ascii="Times New Roman" w:hAnsi="Times New Roman"/>
          <w:sz w:val="24"/>
          <w:szCs w:val="24"/>
        </w:rPr>
        <w:fldChar w:fldCharType="separate"/>
      </w:r>
      <w:r w:rsidR="00B006F0" w:rsidRPr="00C72567">
        <w:rPr>
          <w:rFonts w:ascii="Times New Roman" w:hAnsi="Times New Roman"/>
          <w:noProof/>
          <w:sz w:val="24"/>
          <w:szCs w:val="24"/>
        </w:rPr>
        <w:t>8)</w:t>
      </w:r>
      <w:r w:rsidR="00B006F0" w:rsidRPr="00C72567">
        <w:rPr>
          <w:rFonts w:ascii="Times New Roman" w:hAnsi="Times New Roman"/>
          <w:sz w:val="24"/>
          <w:szCs w:val="24"/>
        </w:rPr>
        <w:fldChar w:fldCharType="end"/>
      </w:r>
      <w:r w:rsidR="00B006F0" w:rsidRPr="00C72567">
        <w:rPr>
          <w:rFonts w:ascii="Times New Roman" w:hAnsi="Times New Roman"/>
          <w:sz w:val="24"/>
          <w:szCs w:val="24"/>
        </w:rPr>
        <w:t>.</w:t>
      </w:r>
      <w:r w:rsidRPr="00C72567">
        <w:rPr>
          <w:rFonts w:ascii="Times New Roman" w:hAnsi="Times New Roman"/>
          <w:sz w:val="24"/>
          <w:szCs w:val="24"/>
        </w:rPr>
        <w:t xml:space="preserve">The UCSF- CAPRA score was developed by use of data from 1439 radical prostatectomy patients from the Cancer of the Prostate Strategic Urologic Research </w:t>
      </w:r>
      <w:r w:rsidR="00571C68" w:rsidRPr="00DF2360">
        <w:rPr>
          <w:rFonts w:ascii="Times New Roman" w:hAnsi="Times New Roman"/>
          <w:sz w:val="24"/>
          <w:szCs w:val="24"/>
        </w:rPr>
        <w:t>Endeavor (Cap SURE) registry (8, 11</w:t>
      </w:r>
      <w:r w:rsidRPr="00DF2360">
        <w:rPr>
          <w:rFonts w:ascii="Times New Roman" w:hAnsi="Times New Roman"/>
          <w:sz w:val="24"/>
          <w:szCs w:val="24"/>
        </w:rPr>
        <w:t>), and has been independently validated in three studies with data from the Shared Equal Access Regional Cancer Hospital registry, a multi-institutional academic cohort in Germany, and the Jo</w:t>
      </w:r>
      <w:r w:rsidR="00627477" w:rsidRPr="00DF2360">
        <w:rPr>
          <w:rFonts w:ascii="Times New Roman" w:hAnsi="Times New Roman"/>
          <w:sz w:val="24"/>
          <w:szCs w:val="24"/>
        </w:rPr>
        <w:t>hn</w:t>
      </w:r>
      <w:r w:rsidR="0082436C" w:rsidRPr="00DF2360">
        <w:rPr>
          <w:rFonts w:ascii="Times New Roman" w:hAnsi="Times New Roman"/>
          <w:sz w:val="24"/>
          <w:szCs w:val="24"/>
        </w:rPr>
        <w:t>s</w:t>
      </w:r>
      <w:r w:rsidR="00627477" w:rsidRPr="00DF2360">
        <w:rPr>
          <w:rFonts w:ascii="Times New Roman" w:hAnsi="Times New Roman"/>
          <w:sz w:val="24"/>
          <w:szCs w:val="24"/>
        </w:rPr>
        <w:t xml:space="preserve"> Hopkins Medical Institutes </w:t>
      </w:r>
      <w:r w:rsidR="00117494" w:rsidRPr="00DF2360">
        <w:rPr>
          <w:rFonts w:ascii="Times New Roman" w:hAnsi="Times New Roman"/>
          <w:sz w:val="24"/>
          <w:szCs w:val="24"/>
        </w:rPr>
        <w:t>(9,</w:t>
      </w:r>
      <w:r w:rsidR="00117494" w:rsidRPr="00DF2360">
        <w:rPr>
          <w:rFonts w:ascii="Times New Roman" w:hAnsi="Times New Roman"/>
          <w:sz w:val="24"/>
          <w:szCs w:val="24"/>
        </w:rPr>
        <w:fldChar w:fldCharType="begin" w:fldLock="1"/>
      </w:r>
      <w:r w:rsidR="00117494" w:rsidRPr="00DF2360">
        <w:rPr>
          <w:rFonts w:ascii="Times New Roman" w:hAnsi="Times New Roman"/>
          <w:sz w:val="24"/>
          <w:szCs w:val="24"/>
        </w:rPr>
        <w:instrText xml:space="preserve"> ADDIN CSL_CITATION { "citationItems" : [ { "id" : "ITEM-1", "itemData" : { "DOI" : "10.1002/cncr.22262", "ISSN" : "0008-543X", "PMID" : "17039503", "abstract" : "BACKGROUND The University of California, San Francisco (UCSF) Cancer of the Prostate Risk Assessment (CAPRA) is a novel preoperative index which predicts the risk of biochemical recurrence after radical prostatectomy. The performance of the index is at least as good as the best available instruments based on clinical variables, and the 0 to 10 sco </w:instrText>
      </w:r>
      <w:r w:rsidR="00117494" w:rsidRPr="00DF2360">
        <w:rPr>
          <w:rFonts w:ascii="Times New Roman" w:hAnsi="Times New Roman"/>
          <w:sz w:val="24"/>
          <w:szCs w:val="24"/>
        </w:rPr>
        <w:fldChar w:fldCharType="end"/>
      </w:r>
      <w:r w:rsidR="00117494" w:rsidRPr="00C72567">
        <w:rPr>
          <w:rFonts w:ascii="Times New Roman" w:hAnsi="Times New Roman"/>
          <w:sz w:val="24"/>
          <w:szCs w:val="24"/>
        </w:rPr>
        <w:t xml:space="preserve">10,11, </w:t>
      </w:r>
      <w:r w:rsidR="00782824" w:rsidRPr="00C72567">
        <w:rPr>
          <w:rFonts w:ascii="Times New Roman" w:hAnsi="Times New Roman"/>
          <w:sz w:val="24"/>
          <w:szCs w:val="24"/>
        </w:rPr>
        <w:fldChar w:fldCharType="begin" w:fldLock="1"/>
      </w:r>
      <w:r w:rsidR="00117494" w:rsidRPr="00DF2360">
        <w:rPr>
          <w:rFonts w:ascii="Times New Roman" w:hAnsi="Times New Roman"/>
          <w:sz w:val="24"/>
          <w:szCs w:val="24"/>
        </w:rPr>
        <w:instrText>ADDIN CSL_CITATION { "citationItems" : [ { "id" : "ITEM-1", "itemData" : { "DOI" : "10.1111/j.1464-410X.2012.11400.x", "ISSN" : "14644096", "PMID" : "22882877", "abstract" : "UNLABELLED WHAT'S KNOWN ON THE SUBJECT? AND WHAT DOES THE STUDY ADD?: Prostate cancer is a significant cause of mortality among men. A number of prognostic instruments exist to predict the risk of recurrence among patients with localised prostate cancer. This systematic review examines the totality of evidence in relation to the predictive value of the CAPRA clinical predication rule by combining all studies that validate the rule. OBJECTIVES To perform a systematic review with meta-analysis that assesses the 3- and 5-year predictive value of the CAPRA rule, a clinical prediction rule derived to predict biochemical-recurrence-free survival in men with localized prostate cancer after radical prostatectomy. To examine the predictive value of the CAPRA rule at 3 and 5 years stratified by risk group (0-2 low risk, 3-5 intermediate risk, 6-10 high risk). PATIENTS AND METHODS A systematic literature search was performed to retrieve papers that validated the CAPRA score. The original derivation study was used as a predictive model and applied to all validation studies with observed and predicted biochemical-recurrence-free survival at 3 and 5 years stratified by risk group (0-2 low, 3-5 intermediate, 6-10 high). Pooled results are presented as risk ratios (RRs) with 95% confidence intervals, in terms of over-prediction (RR &gt; 1) or under-prediction (RR &lt; 1) of biochemical-recurrence-free survival at 3 and 5 years. A chi-squared test for trend was computed to determine if there was a decreasing trend in survival across the three CAPRA risk categories. RESULTS Seven validation studies (n = 12\u2009693) predict recurrence-free survival at 5 years after radical prostatectomy. The CAPRA score significantly under-predicts recurrence-free survival across all three risk strata (low risk, RR 0.94, 95% CI 0.90-0.98; intermediate risk, RR 0.94, 95% CI 0.89-0.99; high risk, RR 0.72, 95% CI 0.60-0.85). Data on six studies (n = 6082) are pooled to predict 3-year recurrence-free survival. The CAPRA score correctly predicts recurrence-free survival in all three groups (low risk, RR 0.98, 95% CI 0.95-1.00; intermediate risk, RR 1.03, 95% CI 0.99-1.08; high risk, RR 0.87, 95% CI 0.73-1.05). The chi-squared trend analysis indicates that, as the trichotomized CAPRA score increases, the probability of survival decreases (P &lt; 0.001). CONCLUSIONS The results of this pooled analysis confirm the ability of the CAPRA rule to correctly predict biochemical-recurrence-free survival at 3 years a\u2026", "author" : [ { "dropping-particle" : "", "family" : "Meurs", "given" : "Pieter", "non-dropping-particle" : "", "parse-names" : false, "suffix" : "" }, { "dropping-particle" : "", "family" : "Galvin", "given" : "Rose", "non-dropping-particle" : "", "parse-names" : false, "suffix" : "" }, { "dropping-particle" : "", "family" : "Fanning", "given" : "Deirdre M.", "non-dropping-particle" : "", "parse-names" : false, "suffix" : "" }, { "dropping-particle" : "", "family" : "Fahey", "given" : "Tom", "non-dropping-particle" : "", "parse-names" : false, "suffix" : "" } ], "container-title" : "BJU International", "id" : "ITEM-1", "issue" : "3", "issued" : { "date-parts" : [ [ "2013", "3" ] ] }, "page" : "427-436", "title" : "Prognostic value of the CAPRA clinical prediction rule: a systematic review and meta-analysis", "type" : "article-journal", "volume" : "111" }, "uris" : [ "http://www.mendeley.com/documents/?uuid=5dfc3dad-4caa-3779-a672-6b9925fcc180" ] } ], "mendeley" : { "formattedCitation" : "(12)", "manualFormatting" : "12)", "plainTextFormattedCitation" : "(12)", "previouslyFormattedCitation" : "(12)" }, "properties" : { "noteIndex" : 0 }, "schema" : "https://github.com/citation-style-language/schema/raw/master/csl-citation.json" }</w:instrText>
      </w:r>
      <w:r w:rsidR="00782824" w:rsidRPr="00C72567">
        <w:rPr>
          <w:rFonts w:ascii="Times New Roman" w:hAnsi="Times New Roman"/>
          <w:sz w:val="24"/>
          <w:szCs w:val="24"/>
        </w:rPr>
        <w:fldChar w:fldCharType="separate"/>
      </w:r>
      <w:r w:rsidR="00B006F0" w:rsidRPr="00C72567">
        <w:rPr>
          <w:rFonts w:ascii="Times New Roman" w:hAnsi="Times New Roman"/>
          <w:noProof/>
          <w:sz w:val="24"/>
          <w:szCs w:val="24"/>
        </w:rPr>
        <w:t>12)</w:t>
      </w:r>
      <w:r w:rsidR="00782824" w:rsidRPr="00C72567">
        <w:rPr>
          <w:rFonts w:ascii="Times New Roman" w:hAnsi="Times New Roman"/>
          <w:sz w:val="24"/>
          <w:szCs w:val="24"/>
        </w:rPr>
        <w:fldChar w:fldCharType="end"/>
      </w:r>
      <w:r w:rsidRPr="00C72567">
        <w:rPr>
          <w:rFonts w:ascii="Times New Roman" w:hAnsi="Times New Roman"/>
          <w:sz w:val="24"/>
          <w:szCs w:val="24"/>
        </w:rPr>
        <w:t>. In all three studies, the score accurately and consistently predicted pathological and biochemical outcomes.</w:t>
      </w:r>
    </w:p>
    <w:p w14:paraId="1869A3FC" w14:textId="77777777" w:rsidR="008E03BC" w:rsidRPr="00DF2360" w:rsidRDefault="008E03BC" w:rsidP="00DF2360">
      <w:pPr>
        <w:spacing w:after="0" w:line="360" w:lineRule="auto"/>
        <w:jc w:val="both"/>
        <w:rPr>
          <w:rFonts w:ascii="Times New Roman" w:hAnsi="Times New Roman"/>
          <w:sz w:val="24"/>
          <w:szCs w:val="24"/>
        </w:rPr>
      </w:pPr>
    </w:p>
    <w:p w14:paraId="27C4B345" w14:textId="175ABD97" w:rsidR="005B446B" w:rsidRPr="00DF2360" w:rsidRDefault="008E03BC" w:rsidP="00DF2360">
      <w:pPr>
        <w:spacing w:after="0" w:line="360" w:lineRule="auto"/>
        <w:jc w:val="both"/>
        <w:rPr>
          <w:rFonts w:ascii="Times New Roman" w:hAnsi="Times New Roman"/>
          <w:sz w:val="24"/>
          <w:szCs w:val="24"/>
        </w:rPr>
      </w:pPr>
      <w:r w:rsidRPr="00DF2360">
        <w:rPr>
          <w:rFonts w:ascii="Times New Roman" w:hAnsi="Times New Roman"/>
          <w:sz w:val="24"/>
          <w:szCs w:val="24"/>
          <w:lang w:bidi="en-US"/>
        </w:rPr>
        <w:t xml:space="preserve">While there is a validated prostate cancer risk assessment tool-the UCSF-CAPRA score which combines multiple risk factors, there are no data on its use </w:t>
      </w:r>
      <w:r w:rsidR="00A24FC1" w:rsidRPr="00DF2360">
        <w:rPr>
          <w:rFonts w:ascii="Times New Roman" w:hAnsi="Times New Roman"/>
          <w:sz w:val="24"/>
          <w:szCs w:val="24"/>
          <w:lang w:bidi="en-US"/>
        </w:rPr>
        <w:t>in a resource poor setting.</w:t>
      </w:r>
      <w:r w:rsidR="005B446B" w:rsidRPr="00DF2360">
        <w:rPr>
          <w:rFonts w:ascii="Times New Roman" w:hAnsi="Times New Roman"/>
          <w:sz w:val="24"/>
          <w:szCs w:val="24"/>
        </w:rPr>
        <w:t xml:space="preserve"> </w:t>
      </w:r>
      <w:r w:rsidR="00D7723A" w:rsidRPr="00DF2360">
        <w:rPr>
          <w:rFonts w:ascii="Times New Roman" w:hAnsi="Times New Roman"/>
          <w:sz w:val="24"/>
          <w:szCs w:val="24"/>
        </w:rPr>
        <w:t>T</w:t>
      </w:r>
      <w:r w:rsidR="005B446B" w:rsidRPr="00DF2360">
        <w:rPr>
          <w:rFonts w:ascii="Times New Roman" w:hAnsi="Times New Roman"/>
          <w:sz w:val="24"/>
          <w:szCs w:val="24"/>
        </w:rPr>
        <w:t>his study aimed at assessing practicality of introducing and utilizing the UCSF-CAPRA score tool in prostate cancer disease risk stratification.</w:t>
      </w:r>
    </w:p>
    <w:p w14:paraId="401E332B" w14:textId="77777777" w:rsidR="008E03BC" w:rsidRPr="00DF2360" w:rsidRDefault="008E03BC" w:rsidP="00DF2360">
      <w:pPr>
        <w:spacing w:after="0" w:line="360" w:lineRule="auto"/>
        <w:jc w:val="both"/>
        <w:rPr>
          <w:rFonts w:ascii="Times New Roman" w:hAnsi="Times New Roman"/>
          <w:sz w:val="24"/>
          <w:szCs w:val="24"/>
          <w:lang w:bidi="en-US"/>
        </w:rPr>
      </w:pPr>
    </w:p>
    <w:p w14:paraId="619DC126" w14:textId="77777777" w:rsidR="00334DA7" w:rsidRPr="00DF2360" w:rsidRDefault="00334DA7" w:rsidP="00DF2360">
      <w:pPr>
        <w:spacing w:after="0" w:line="360" w:lineRule="auto"/>
        <w:jc w:val="both"/>
        <w:rPr>
          <w:rFonts w:ascii="Times New Roman" w:hAnsi="Times New Roman"/>
          <w:b/>
          <w:sz w:val="24"/>
          <w:szCs w:val="24"/>
          <w:lang w:bidi="en-US"/>
        </w:rPr>
      </w:pPr>
    </w:p>
    <w:p w14:paraId="7C07C869" w14:textId="77777777" w:rsidR="0081633B" w:rsidRPr="00DF2360" w:rsidRDefault="004718EE" w:rsidP="00DF2360">
      <w:pPr>
        <w:spacing w:after="0" w:line="360" w:lineRule="auto"/>
        <w:jc w:val="both"/>
        <w:rPr>
          <w:rFonts w:ascii="Times New Roman" w:hAnsi="Times New Roman"/>
          <w:sz w:val="24"/>
          <w:szCs w:val="24"/>
        </w:rPr>
      </w:pPr>
      <w:r w:rsidRPr="00DF2360">
        <w:rPr>
          <w:rFonts w:ascii="Times New Roman" w:hAnsi="Times New Roman"/>
          <w:b/>
          <w:sz w:val="24"/>
          <w:szCs w:val="24"/>
          <w:lang w:bidi="en-US"/>
        </w:rPr>
        <w:t>Patients and Methods</w:t>
      </w:r>
      <w:r w:rsidR="0081633B" w:rsidRPr="00DF2360">
        <w:rPr>
          <w:rFonts w:ascii="Times New Roman" w:hAnsi="Times New Roman"/>
          <w:sz w:val="24"/>
          <w:szCs w:val="24"/>
        </w:rPr>
        <w:t xml:space="preserve"> </w:t>
      </w:r>
    </w:p>
    <w:p w14:paraId="10142938" w14:textId="0F27F997" w:rsidR="00A36112" w:rsidRPr="00DF2360" w:rsidRDefault="0081633B" w:rsidP="00DF2360">
      <w:pPr>
        <w:autoSpaceDE w:val="0"/>
        <w:autoSpaceDN w:val="0"/>
        <w:adjustRightInd w:val="0"/>
        <w:spacing w:after="0" w:line="360" w:lineRule="auto"/>
        <w:rPr>
          <w:rFonts w:ascii="Times New Roman" w:hAnsi="Times New Roman"/>
          <w:sz w:val="24"/>
          <w:szCs w:val="24"/>
        </w:rPr>
      </w:pPr>
      <w:r w:rsidRPr="00DF2360">
        <w:rPr>
          <w:rFonts w:ascii="Times New Roman" w:hAnsi="Times New Roman"/>
          <w:sz w:val="24"/>
          <w:szCs w:val="24"/>
        </w:rPr>
        <w:t>This was a descriptive cross sectional hospital based study that involved</w:t>
      </w:r>
      <w:r w:rsidR="000C0DC3" w:rsidRPr="00DF2360">
        <w:rPr>
          <w:rFonts w:ascii="Times New Roman" w:hAnsi="Times New Roman"/>
          <w:sz w:val="24"/>
          <w:szCs w:val="24"/>
        </w:rPr>
        <w:t xml:space="preserve"> 50</w:t>
      </w:r>
      <w:r w:rsidRPr="00DF2360">
        <w:rPr>
          <w:rFonts w:ascii="Times New Roman" w:hAnsi="Times New Roman"/>
          <w:sz w:val="24"/>
          <w:szCs w:val="24"/>
        </w:rPr>
        <w:t xml:space="preserve"> patients diagnosed with localized prostate cancer at M</w:t>
      </w:r>
      <w:r w:rsidR="00E31969" w:rsidRPr="00DF2360">
        <w:rPr>
          <w:rFonts w:ascii="Times New Roman" w:hAnsi="Times New Roman"/>
          <w:sz w:val="24"/>
          <w:szCs w:val="24"/>
        </w:rPr>
        <w:t xml:space="preserve">uhimbili </w:t>
      </w:r>
      <w:r w:rsidRPr="00DF2360">
        <w:rPr>
          <w:rFonts w:ascii="Times New Roman" w:hAnsi="Times New Roman"/>
          <w:sz w:val="24"/>
          <w:szCs w:val="24"/>
        </w:rPr>
        <w:t>N</w:t>
      </w:r>
      <w:r w:rsidR="00E31969" w:rsidRPr="00DF2360">
        <w:rPr>
          <w:rFonts w:ascii="Times New Roman" w:hAnsi="Times New Roman"/>
          <w:sz w:val="24"/>
          <w:szCs w:val="24"/>
        </w:rPr>
        <w:t xml:space="preserve">ational </w:t>
      </w:r>
      <w:r w:rsidR="00B43685" w:rsidRPr="00DF2360">
        <w:rPr>
          <w:rFonts w:ascii="Times New Roman" w:hAnsi="Times New Roman"/>
          <w:sz w:val="24"/>
          <w:szCs w:val="24"/>
        </w:rPr>
        <w:t>Hospital (</w:t>
      </w:r>
      <w:r w:rsidR="00D13CDE" w:rsidRPr="00DF2360">
        <w:rPr>
          <w:rFonts w:ascii="Times New Roman" w:hAnsi="Times New Roman"/>
          <w:sz w:val="24"/>
          <w:szCs w:val="24"/>
        </w:rPr>
        <w:t>MNH)</w:t>
      </w:r>
      <w:r w:rsidRPr="00DF2360">
        <w:rPr>
          <w:rFonts w:ascii="Times New Roman" w:hAnsi="Times New Roman"/>
          <w:sz w:val="24"/>
          <w:szCs w:val="24"/>
        </w:rPr>
        <w:t xml:space="preserve">, Regency and </w:t>
      </w:r>
      <w:proofErr w:type="spellStart"/>
      <w:r w:rsidRPr="00DF2360">
        <w:rPr>
          <w:rFonts w:ascii="Times New Roman" w:hAnsi="Times New Roman"/>
          <w:sz w:val="24"/>
          <w:szCs w:val="24"/>
        </w:rPr>
        <w:t>Tumaini</w:t>
      </w:r>
      <w:proofErr w:type="spellEnd"/>
      <w:r w:rsidRPr="00DF2360">
        <w:rPr>
          <w:rFonts w:ascii="Times New Roman" w:hAnsi="Times New Roman"/>
          <w:sz w:val="24"/>
          <w:szCs w:val="24"/>
        </w:rPr>
        <w:t xml:space="preserve"> </w:t>
      </w:r>
      <w:r w:rsidR="00A726B0" w:rsidRPr="00DF2360">
        <w:rPr>
          <w:rFonts w:ascii="Times New Roman" w:hAnsi="Times New Roman"/>
          <w:sz w:val="24"/>
          <w:szCs w:val="24"/>
        </w:rPr>
        <w:t xml:space="preserve">hospitals, located in Dar </w:t>
      </w:r>
      <w:proofErr w:type="spellStart"/>
      <w:r w:rsidR="00D7723A" w:rsidRPr="00DF2360">
        <w:rPr>
          <w:rFonts w:ascii="Times New Roman" w:hAnsi="Times New Roman"/>
          <w:sz w:val="24"/>
          <w:szCs w:val="24"/>
        </w:rPr>
        <w:t>e</w:t>
      </w:r>
      <w:r w:rsidR="00A726B0" w:rsidRPr="00DF2360">
        <w:rPr>
          <w:rFonts w:ascii="Times New Roman" w:hAnsi="Times New Roman"/>
          <w:sz w:val="24"/>
          <w:szCs w:val="24"/>
        </w:rPr>
        <w:t>s</w:t>
      </w:r>
      <w:proofErr w:type="spellEnd"/>
      <w:r w:rsidR="00A726B0" w:rsidRPr="00DF2360">
        <w:rPr>
          <w:rFonts w:ascii="Times New Roman" w:hAnsi="Times New Roman"/>
          <w:sz w:val="24"/>
          <w:szCs w:val="24"/>
        </w:rPr>
        <w:t xml:space="preserve"> </w:t>
      </w:r>
      <w:r w:rsidR="00D7723A" w:rsidRPr="00DF2360">
        <w:rPr>
          <w:rFonts w:ascii="Times New Roman" w:hAnsi="Times New Roman"/>
          <w:sz w:val="24"/>
          <w:szCs w:val="24"/>
        </w:rPr>
        <w:t>S</w:t>
      </w:r>
      <w:r w:rsidR="00A726B0" w:rsidRPr="00DF2360">
        <w:rPr>
          <w:rFonts w:ascii="Times New Roman" w:hAnsi="Times New Roman"/>
          <w:sz w:val="24"/>
          <w:szCs w:val="24"/>
        </w:rPr>
        <w:t xml:space="preserve">alaam, </w:t>
      </w:r>
      <w:r w:rsidR="00C876A0" w:rsidRPr="00DF2360">
        <w:rPr>
          <w:rFonts w:ascii="Times New Roman" w:hAnsi="Times New Roman"/>
          <w:sz w:val="24"/>
          <w:szCs w:val="24"/>
        </w:rPr>
        <w:t xml:space="preserve">Tanzania, </w:t>
      </w:r>
      <w:r w:rsidR="007E0E8E" w:rsidRPr="00DF2360">
        <w:rPr>
          <w:rFonts w:ascii="Times New Roman" w:hAnsi="Times New Roman"/>
          <w:sz w:val="24"/>
          <w:szCs w:val="24"/>
        </w:rPr>
        <w:t>from June 2017 to January 2018</w:t>
      </w:r>
      <w:r w:rsidR="00D7723A" w:rsidRPr="00DF2360">
        <w:rPr>
          <w:rFonts w:ascii="Times New Roman" w:hAnsi="Times New Roman"/>
          <w:sz w:val="24"/>
          <w:szCs w:val="24"/>
        </w:rPr>
        <w:t>.</w:t>
      </w:r>
      <w:r w:rsidR="00E31969" w:rsidRPr="00DF2360">
        <w:rPr>
          <w:rFonts w:ascii="Times New Roman" w:hAnsi="Times New Roman"/>
          <w:sz w:val="24"/>
          <w:szCs w:val="24"/>
        </w:rPr>
        <w:t xml:space="preserve"> </w:t>
      </w:r>
      <w:r w:rsidR="00D7723A" w:rsidRPr="00DF2360">
        <w:rPr>
          <w:rFonts w:ascii="Times New Roman" w:hAnsi="Times New Roman"/>
          <w:sz w:val="24"/>
          <w:szCs w:val="24"/>
        </w:rPr>
        <w:t>E</w:t>
      </w:r>
      <w:r w:rsidR="00E31969" w:rsidRPr="00DF2360">
        <w:rPr>
          <w:rFonts w:ascii="Times New Roman" w:hAnsi="Times New Roman"/>
          <w:sz w:val="24"/>
          <w:szCs w:val="24"/>
        </w:rPr>
        <w:t>thical clearance to conduct the study was obtained from M</w:t>
      </w:r>
      <w:r w:rsidR="009B0171" w:rsidRPr="00DF2360">
        <w:rPr>
          <w:rFonts w:ascii="Times New Roman" w:hAnsi="Times New Roman"/>
          <w:sz w:val="24"/>
          <w:szCs w:val="24"/>
        </w:rPr>
        <w:t xml:space="preserve">uhimbili </w:t>
      </w:r>
      <w:r w:rsidR="00E31969" w:rsidRPr="00DF2360">
        <w:rPr>
          <w:rFonts w:ascii="Times New Roman" w:hAnsi="Times New Roman"/>
          <w:sz w:val="24"/>
          <w:szCs w:val="24"/>
        </w:rPr>
        <w:t>U</w:t>
      </w:r>
      <w:r w:rsidR="009B0171" w:rsidRPr="00DF2360">
        <w:rPr>
          <w:rFonts w:ascii="Times New Roman" w:hAnsi="Times New Roman"/>
          <w:sz w:val="24"/>
          <w:szCs w:val="24"/>
        </w:rPr>
        <w:t xml:space="preserve">niversity of </w:t>
      </w:r>
      <w:r w:rsidR="00E31969" w:rsidRPr="00DF2360">
        <w:rPr>
          <w:rFonts w:ascii="Times New Roman" w:hAnsi="Times New Roman"/>
          <w:sz w:val="24"/>
          <w:szCs w:val="24"/>
        </w:rPr>
        <w:t>H</w:t>
      </w:r>
      <w:r w:rsidR="009B0171" w:rsidRPr="00DF2360">
        <w:rPr>
          <w:rFonts w:ascii="Times New Roman" w:hAnsi="Times New Roman"/>
          <w:sz w:val="24"/>
          <w:szCs w:val="24"/>
        </w:rPr>
        <w:t xml:space="preserve">ealth and </w:t>
      </w:r>
      <w:r w:rsidR="00E31969" w:rsidRPr="00DF2360">
        <w:rPr>
          <w:rFonts w:ascii="Times New Roman" w:hAnsi="Times New Roman"/>
          <w:sz w:val="24"/>
          <w:szCs w:val="24"/>
        </w:rPr>
        <w:t>A</w:t>
      </w:r>
      <w:r w:rsidR="009B0171" w:rsidRPr="00DF2360">
        <w:rPr>
          <w:rFonts w:ascii="Times New Roman" w:hAnsi="Times New Roman"/>
          <w:sz w:val="24"/>
          <w:szCs w:val="24"/>
        </w:rPr>
        <w:t xml:space="preserve">llied </w:t>
      </w:r>
      <w:r w:rsidR="00E31969" w:rsidRPr="00DF2360">
        <w:rPr>
          <w:rFonts w:ascii="Times New Roman" w:hAnsi="Times New Roman"/>
          <w:sz w:val="24"/>
          <w:szCs w:val="24"/>
        </w:rPr>
        <w:t>S</w:t>
      </w:r>
      <w:r w:rsidR="009B0171" w:rsidRPr="00DF2360">
        <w:rPr>
          <w:rFonts w:ascii="Times New Roman" w:hAnsi="Times New Roman"/>
          <w:sz w:val="24"/>
          <w:szCs w:val="24"/>
        </w:rPr>
        <w:t>ciences and</w:t>
      </w:r>
      <w:r w:rsidR="00E31969" w:rsidRPr="00DF2360">
        <w:rPr>
          <w:rFonts w:ascii="Times New Roman" w:hAnsi="Times New Roman"/>
          <w:sz w:val="24"/>
          <w:szCs w:val="24"/>
        </w:rPr>
        <w:t xml:space="preserve"> </w:t>
      </w:r>
      <w:r w:rsidR="006F4ECC" w:rsidRPr="00DF2360">
        <w:rPr>
          <w:rFonts w:ascii="Times New Roman" w:hAnsi="Times New Roman"/>
          <w:sz w:val="24"/>
          <w:szCs w:val="24"/>
        </w:rPr>
        <w:t xml:space="preserve">the </w:t>
      </w:r>
      <w:r w:rsidR="00E31969" w:rsidRPr="00DF2360">
        <w:rPr>
          <w:rFonts w:ascii="Times New Roman" w:hAnsi="Times New Roman"/>
          <w:sz w:val="24"/>
          <w:szCs w:val="24"/>
        </w:rPr>
        <w:t>hospital</w:t>
      </w:r>
      <w:r w:rsidR="00D7723A" w:rsidRPr="00DF2360">
        <w:rPr>
          <w:rFonts w:ascii="Times New Roman" w:hAnsi="Times New Roman"/>
          <w:sz w:val="24"/>
          <w:szCs w:val="24"/>
        </w:rPr>
        <w:t>’</w:t>
      </w:r>
      <w:r w:rsidR="00E31969" w:rsidRPr="00DF2360">
        <w:rPr>
          <w:rFonts w:ascii="Times New Roman" w:hAnsi="Times New Roman"/>
          <w:sz w:val="24"/>
          <w:szCs w:val="24"/>
        </w:rPr>
        <w:t>s ethical clearance committee.</w:t>
      </w:r>
      <w:r w:rsidR="009B0171" w:rsidRPr="00DF2360">
        <w:rPr>
          <w:rFonts w:ascii="Times New Roman" w:hAnsi="Times New Roman"/>
          <w:sz w:val="24"/>
          <w:szCs w:val="24"/>
        </w:rPr>
        <w:t xml:space="preserve"> </w:t>
      </w:r>
      <w:r w:rsidR="006F4ECC" w:rsidRPr="00DF2360">
        <w:rPr>
          <w:rFonts w:ascii="Times New Roman" w:hAnsi="Times New Roman"/>
          <w:sz w:val="24"/>
          <w:szCs w:val="24"/>
        </w:rPr>
        <w:t>A d</w:t>
      </w:r>
      <w:r w:rsidR="009B0171" w:rsidRPr="00DF2360">
        <w:rPr>
          <w:rFonts w:ascii="Times New Roman" w:hAnsi="Times New Roman"/>
          <w:sz w:val="24"/>
          <w:szCs w:val="24"/>
        </w:rPr>
        <w:t>ata sheet</w:t>
      </w:r>
      <w:r w:rsidRPr="00DF2360">
        <w:rPr>
          <w:rFonts w:ascii="Times New Roman" w:hAnsi="Times New Roman"/>
          <w:sz w:val="24"/>
          <w:szCs w:val="24"/>
        </w:rPr>
        <w:t xml:space="preserve"> </w:t>
      </w:r>
      <w:r w:rsidR="006F4ECC" w:rsidRPr="00DF2360">
        <w:rPr>
          <w:rFonts w:ascii="Times New Roman" w:hAnsi="Times New Roman"/>
          <w:sz w:val="24"/>
          <w:szCs w:val="24"/>
        </w:rPr>
        <w:t xml:space="preserve">including </w:t>
      </w:r>
      <w:r w:rsidRPr="00DF2360">
        <w:rPr>
          <w:rFonts w:ascii="Times New Roman" w:hAnsi="Times New Roman"/>
          <w:sz w:val="24"/>
          <w:szCs w:val="24"/>
        </w:rPr>
        <w:t>demographic data, UCSF-</w:t>
      </w:r>
      <w:r w:rsidRPr="00DF2360">
        <w:rPr>
          <w:rFonts w:ascii="Times New Roman" w:hAnsi="Times New Roman"/>
          <w:sz w:val="24"/>
          <w:szCs w:val="24"/>
        </w:rPr>
        <w:lastRenderedPageBreak/>
        <w:t>CAPRA score, and assigned and observed treatment modalities was used. Among UCSF-CAPRA score parameters, age was obtained from demographic data on pa</w:t>
      </w:r>
      <w:r w:rsidR="00937829" w:rsidRPr="00DF2360">
        <w:rPr>
          <w:rFonts w:ascii="Times New Roman" w:hAnsi="Times New Roman"/>
          <w:sz w:val="24"/>
          <w:szCs w:val="24"/>
        </w:rPr>
        <w:t>tient records.   D</w:t>
      </w:r>
      <w:r w:rsidRPr="00DF2360">
        <w:rPr>
          <w:rFonts w:ascii="Times New Roman" w:hAnsi="Times New Roman"/>
          <w:sz w:val="24"/>
          <w:szCs w:val="24"/>
        </w:rPr>
        <w:t xml:space="preserve">igit-guided prostate </w:t>
      </w:r>
      <w:r w:rsidR="00D7723A" w:rsidRPr="00DF2360">
        <w:rPr>
          <w:rFonts w:ascii="Times New Roman" w:hAnsi="Times New Roman"/>
          <w:sz w:val="24"/>
          <w:szCs w:val="24"/>
        </w:rPr>
        <w:t>T</w:t>
      </w:r>
      <w:r w:rsidRPr="00DF2360">
        <w:rPr>
          <w:rFonts w:ascii="Times New Roman" w:hAnsi="Times New Roman"/>
          <w:sz w:val="24"/>
          <w:szCs w:val="24"/>
        </w:rPr>
        <w:t>rucut biopsy</w:t>
      </w:r>
      <w:r w:rsidR="00B02DA3" w:rsidRPr="00DF2360">
        <w:rPr>
          <w:rFonts w:ascii="Times New Roman" w:hAnsi="Times New Roman"/>
          <w:sz w:val="24"/>
          <w:szCs w:val="24"/>
        </w:rPr>
        <w:t>, 6</w:t>
      </w:r>
      <w:r w:rsidRPr="00DF2360">
        <w:rPr>
          <w:rFonts w:ascii="Times New Roman" w:hAnsi="Times New Roman"/>
          <w:sz w:val="24"/>
          <w:szCs w:val="24"/>
        </w:rPr>
        <w:t xml:space="preserve">-12 </w:t>
      </w:r>
      <w:r w:rsidR="00B02DA3" w:rsidRPr="00DF2360">
        <w:rPr>
          <w:rFonts w:ascii="Times New Roman" w:hAnsi="Times New Roman"/>
          <w:sz w:val="24"/>
          <w:szCs w:val="24"/>
        </w:rPr>
        <w:t>cores were</w:t>
      </w:r>
      <w:r w:rsidRPr="00DF2360">
        <w:rPr>
          <w:rFonts w:ascii="Times New Roman" w:hAnsi="Times New Roman"/>
          <w:sz w:val="24"/>
          <w:szCs w:val="24"/>
        </w:rPr>
        <w:t xml:space="preserve"> </w:t>
      </w:r>
      <w:r w:rsidR="00B02DA3" w:rsidRPr="00DF2360">
        <w:rPr>
          <w:rFonts w:ascii="Times New Roman" w:hAnsi="Times New Roman"/>
          <w:sz w:val="24"/>
          <w:szCs w:val="24"/>
        </w:rPr>
        <w:t>obtained for</w:t>
      </w:r>
      <w:r w:rsidRPr="00DF2360">
        <w:rPr>
          <w:rFonts w:ascii="Times New Roman" w:hAnsi="Times New Roman"/>
          <w:sz w:val="24"/>
          <w:szCs w:val="24"/>
        </w:rPr>
        <w:t xml:space="preserve"> </w:t>
      </w:r>
      <w:r w:rsidR="009E3F3F" w:rsidRPr="00DF2360">
        <w:rPr>
          <w:rFonts w:ascii="Times New Roman" w:hAnsi="Times New Roman"/>
          <w:sz w:val="24"/>
          <w:szCs w:val="24"/>
        </w:rPr>
        <w:t>histopathology, requiring</w:t>
      </w:r>
      <w:r w:rsidR="006F4ECC" w:rsidRPr="00DF2360">
        <w:rPr>
          <w:rFonts w:ascii="Times New Roman" w:hAnsi="Times New Roman"/>
          <w:sz w:val="24"/>
          <w:szCs w:val="24"/>
        </w:rPr>
        <w:t xml:space="preserve"> </w:t>
      </w:r>
      <w:r w:rsidRPr="00DF2360">
        <w:rPr>
          <w:rFonts w:ascii="Times New Roman" w:hAnsi="Times New Roman"/>
          <w:sz w:val="24"/>
          <w:szCs w:val="24"/>
        </w:rPr>
        <w:t>information on percentage of biopsy core samples positive for cancer an</w:t>
      </w:r>
      <w:r w:rsidR="00937829" w:rsidRPr="00DF2360">
        <w:rPr>
          <w:rFonts w:ascii="Times New Roman" w:hAnsi="Times New Roman"/>
          <w:sz w:val="24"/>
          <w:szCs w:val="24"/>
        </w:rPr>
        <w:t>d Gleason score</w:t>
      </w:r>
      <w:r w:rsidRPr="00DF2360">
        <w:rPr>
          <w:rFonts w:ascii="Times New Roman" w:hAnsi="Times New Roman"/>
          <w:sz w:val="24"/>
          <w:szCs w:val="24"/>
        </w:rPr>
        <w:t xml:space="preserve">. </w:t>
      </w:r>
      <w:r w:rsidR="00C42F98" w:rsidRPr="00DF2360">
        <w:rPr>
          <w:rFonts w:ascii="Times New Roman" w:hAnsi="Times New Roman"/>
          <w:sz w:val="24"/>
          <w:szCs w:val="24"/>
        </w:rPr>
        <w:t xml:space="preserve">Core biopsies were fixed in formalin, and then embedded in paraffin wax and other staining was applied according to MNH </w:t>
      </w:r>
      <w:r w:rsidR="00D7723A" w:rsidRPr="00DF2360">
        <w:rPr>
          <w:rFonts w:ascii="Times New Roman" w:hAnsi="Times New Roman"/>
          <w:sz w:val="24"/>
          <w:szCs w:val="24"/>
        </w:rPr>
        <w:t>C</w:t>
      </w:r>
      <w:r w:rsidR="00C42F98" w:rsidRPr="00DF2360">
        <w:rPr>
          <w:rFonts w:ascii="Times New Roman" w:hAnsi="Times New Roman"/>
          <w:sz w:val="24"/>
          <w:szCs w:val="24"/>
        </w:rPr>
        <w:t xml:space="preserve">entral </w:t>
      </w:r>
      <w:r w:rsidR="00D7723A" w:rsidRPr="00DF2360">
        <w:rPr>
          <w:rFonts w:ascii="Times New Roman" w:hAnsi="Times New Roman"/>
          <w:sz w:val="24"/>
          <w:szCs w:val="24"/>
        </w:rPr>
        <w:t>P</w:t>
      </w:r>
      <w:r w:rsidR="00C42F98" w:rsidRPr="00DF2360">
        <w:rPr>
          <w:rFonts w:ascii="Times New Roman" w:hAnsi="Times New Roman"/>
          <w:sz w:val="24"/>
          <w:szCs w:val="24"/>
        </w:rPr>
        <w:t xml:space="preserve">athology </w:t>
      </w:r>
      <w:r w:rsidR="00D7723A" w:rsidRPr="00DF2360">
        <w:rPr>
          <w:rFonts w:ascii="Times New Roman" w:hAnsi="Times New Roman"/>
          <w:sz w:val="24"/>
          <w:szCs w:val="24"/>
        </w:rPr>
        <w:t>L</w:t>
      </w:r>
      <w:r w:rsidR="00C42F98" w:rsidRPr="00DF2360">
        <w:rPr>
          <w:rFonts w:ascii="Times New Roman" w:hAnsi="Times New Roman"/>
          <w:sz w:val="24"/>
          <w:szCs w:val="24"/>
        </w:rPr>
        <w:t>aboratory protocol to identify samples positive for cancer and determine Gleason score. Serum</w:t>
      </w:r>
      <w:r w:rsidRPr="00DF2360">
        <w:rPr>
          <w:rFonts w:ascii="Times New Roman" w:hAnsi="Times New Roman"/>
          <w:sz w:val="24"/>
          <w:szCs w:val="24"/>
        </w:rPr>
        <w:t xml:space="preserve"> PSA level was </w:t>
      </w:r>
      <w:r w:rsidR="006F4ECC" w:rsidRPr="00DF2360">
        <w:rPr>
          <w:rFonts w:ascii="Times New Roman" w:hAnsi="Times New Roman"/>
          <w:sz w:val="24"/>
          <w:szCs w:val="24"/>
        </w:rPr>
        <w:t xml:space="preserve">determined by </w:t>
      </w:r>
      <w:r w:rsidR="00CD129B" w:rsidRPr="00DF2360">
        <w:rPr>
          <w:rFonts w:ascii="Times New Roman" w:hAnsi="Times New Roman"/>
          <w:sz w:val="24"/>
          <w:szCs w:val="24"/>
        </w:rPr>
        <w:t>Immunoassay</w:t>
      </w:r>
      <w:r w:rsidRPr="00DF2360">
        <w:rPr>
          <w:rFonts w:ascii="Times New Roman" w:hAnsi="Times New Roman"/>
          <w:sz w:val="24"/>
          <w:szCs w:val="24"/>
        </w:rPr>
        <w:t xml:space="preserve">. </w:t>
      </w:r>
      <w:r w:rsidR="006F4ECC" w:rsidRPr="00DF2360">
        <w:rPr>
          <w:rFonts w:ascii="Times New Roman" w:hAnsi="Times New Roman"/>
          <w:sz w:val="24"/>
          <w:szCs w:val="24"/>
        </w:rPr>
        <w:t>The c</w:t>
      </w:r>
      <w:r w:rsidRPr="00DF2360">
        <w:rPr>
          <w:rFonts w:ascii="Times New Roman" w:hAnsi="Times New Roman"/>
          <w:sz w:val="24"/>
          <w:szCs w:val="24"/>
        </w:rPr>
        <w:t xml:space="preserve">linical stage was obtained following radiological </w:t>
      </w:r>
      <w:r w:rsidR="00E973D5" w:rsidRPr="00DF2360">
        <w:rPr>
          <w:rFonts w:ascii="Times New Roman" w:hAnsi="Times New Roman"/>
          <w:sz w:val="24"/>
          <w:szCs w:val="24"/>
        </w:rPr>
        <w:t>imaging, MRI or CT scan.</w:t>
      </w:r>
      <w:r w:rsidR="0096107C" w:rsidRPr="00DF2360">
        <w:rPr>
          <w:rFonts w:ascii="Times New Roman" w:hAnsi="Times New Roman"/>
          <w:sz w:val="24"/>
          <w:szCs w:val="24"/>
        </w:rPr>
        <w:t xml:space="preserve"> Case notes were reviewed for the t</w:t>
      </w:r>
      <w:r w:rsidR="002D2E11" w:rsidRPr="00DF2360">
        <w:rPr>
          <w:rFonts w:ascii="Times New Roman" w:hAnsi="Times New Roman"/>
          <w:sz w:val="24"/>
          <w:szCs w:val="24"/>
        </w:rPr>
        <w:t xml:space="preserve">reatment modalities offered to </w:t>
      </w:r>
      <w:r w:rsidR="0096107C" w:rsidRPr="00DF2360">
        <w:rPr>
          <w:rFonts w:ascii="Times New Roman" w:hAnsi="Times New Roman"/>
          <w:sz w:val="24"/>
          <w:szCs w:val="24"/>
        </w:rPr>
        <w:t>each patient.</w:t>
      </w:r>
      <w:r w:rsidR="006F4ECC" w:rsidRPr="00DF2360">
        <w:rPr>
          <w:rFonts w:ascii="Times New Roman" w:hAnsi="Times New Roman"/>
          <w:sz w:val="24"/>
          <w:szCs w:val="24"/>
        </w:rPr>
        <w:t xml:space="preserve"> </w:t>
      </w:r>
    </w:p>
    <w:p w14:paraId="707E0489" w14:textId="77777777" w:rsidR="0015131A" w:rsidRPr="00DF2360" w:rsidRDefault="0015131A" w:rsidP="00DF2360">
      <w:pPr>
        <w:autoSpaceDE w:val="0"/>
        <w:autoSpaceDN w:val="0"/>
        <w:adjustRightInd w:val="0"/>
        <w:spacing w:after="0" w:line="360" w:lineRule="auto"/>
        <w:rPr>
          <w:rFonts w:ascii="Times New Roman" w:eastAsia="TT160t00" w:hAnsi="Times New Roman"/>
          <w:sz w:val="24"/>
          <w:szCs w:val="24"/>
        </w:rPr>
      </w:pPr>
    </w:p>
    <w:p w14:paraId="2D80E8A4" w14:textId="77777777" w:rsidR="009B7249" w:rsidRPr="00DF2360" w:rsidRDefault="00381A4E" w:rsidP="00DF2360">
      <w:pPr>
        <w:autoSpaceDE w:val="0"/>
        <w:autoSpaceDN w:val="0"/>
        <w:adjustRightInd w:val="0"/>
        <w:spacing w:after="0" w:line="360" w:lineRule="auto"/>
        <w:jc w:val="both"/>
        <w:rPr>
          <w:rFonts w:ascii="Times New Roman" w:hAnsi="Times New Roman"/>
          <w:sz w:val="24"/>
          <w:szCs w:val="24"/>
        </w:rPr>
      </w:pPr>
      <w:r w:rsidRPr="00DF2360">
        <w:rPr>
          <w:rFonts w:ascii="Times New Roman" w:hAnsi="Times New Roman"/>
          <w:sz w:val="24"/>
          <w:szCs w:val="24"/>
        </w:rPr>
        <w:t xml:space="preserve">Variables </w:t>
      </w:r>
      <w:r w:rsidR="006F4ECC" w:rsidRPr="00DF2360">
        <w:rPr>
          <w:rFonts w:ascii="Times New Roman" w:hAnsi="Times New Roman"/>
          <w:sz w:val="24"/>
          <w:szCs w:val="24"/>
        </w:rPr>
        <w:t xml:space="preserve">were </w:t>
      </w:r>
      <w:r w:rsidRPr="00DF2360">
        <w:rPr>
          <w:rFonts w:ascii="Times New Roman" w:hAnsi="Times New Roman"/>
          <w:sz w:val="24"/>
          <w:szCs w:val="24"/>
        </w:rPr>
        <w:t xml:space="preserve">entered into </w:t>
      </w:r>
      <w:r w:rsidR="006F4ECC" w:rsidRPr="00DF2360">
        <w:rPr>
          <w:rFonts w:ascii="Times New Roman" w:hAnsi="Times New Roman"/>
          <w:sz w:val="24"/>
          <w:szCs w:val="24"/>
        </w:rPr>
        <w:t xml:space="preserve">the </w:t>
      </w:r>
      <w:r w:rsidRPr="00DF2360">
        <w:rPr>
          <w:rFonts w:ascii="Times New Roman" w:hAnsi="Times New Roman"/>
          <w:sz w:val="24"/>
          <w:szCs w:val="24"/>
        </w:rPr>
        <w:t>UCSF-CAPRA score to</w:t>
      </w:r>
      <w:r w:rsidR="00EE648E" w:rsidRPr="00DF2360">
        <w:rPr>
          <w:rFonts w:ascii="Times New Roman" w:hAnsi="Times New Roman"/>
          <w:sz w:val="24"/>
          <w:szCs w:val="24"/>
        </w:rPr>
        <w:t>ol</w:t>
      </w:r>
      <w:r w:rsidR="003F7A5A" w:rsidRPr="00DF2360">
        <w:rPr>
          <w:rFonts w:ascii="Times New Roman" w:hAnsi="Times New Roman"/>
          <w:sz w:val="24"/>
          <w:szCs w:val="24"/>
        </w:rPr>
        <w:t>,</w:t>
      </w:r>
      <w:r w:rsidR="003F7A5A" w:rsidRPr="00DF2360">
        <w:rPr>
          <w:rFonts w:ascii="Times New Roman" w:eastAsia="Calibri" w:hAnsi="Times New Roman"/>
          <w:sz w:val="24"/>
          <w:szCs w:val="24"/>
        </w:rPr>
        <w:t xml:space="preserve"> a</w:t>
      </w:r>
      <w:r w:rsidRPr="00DF2360">
        <w:rPr>
          <w:rFonts w:ascii="Times New Roman" w:hAnsi="Times New Roman"/>
          <w:sz w:val="24"/>
          <w:szCs w:val="24"/>
        </w:rPr>
        <w:t xml:space="preserve"> score was assigned and categorized into three groups: low, intermediate and high risk. The recommended treatment modality of each category was assigned and compared with the observed treatment </w:t>
      </w:r>
      <w:r w:rsidR="00793BFE" w:rsidRPr="00DF2360">
        <w:rPr>
          <w:rFonts w:ascii="Times New Roman" w:hAnsi="Times New Roman"/>
          <w:sz w:val="24"/>
          <w:szCs w:val="24"/>
        </w:rPr>
        <w:t>given.</w:t>
      </w:r>
      <w:r w:rsidR="00427B5F" w:rsidRPr="00DF2360">
        <w:rPr>
          <w:rFonts w:ascii="Times New Roman" w:eastAsiaTheme="minorHAnsi" w:hAnsi="Times New Roman"/>
          <w:sz w:val="24"/>
          <w:szCs w:val="24"/>
        </w:rPr>
        <w:t xml:space="preserve"> Data collected were cleaned, </w:t>
      </w:r>
      <w:r w:rsidR="006639C4" w:rsidRPr="00DF2360">
        <w:rPr>
          <w:rFonts w:ascii="Times New Roman" w:eastAsiaTheme="minorHAnsi" w:hAnsi="Times New Roman"/>
          <w:sz w:val="24"/>
          <w:szCs w:val="24"/>
        </w:rPr>
        <w:t>coded</w:t>
      </w:r>
      <w:r w:rsidR="006639C4" w:rsidRPr="00DF2360">
        <w:rPr>
          <w:rFonts w:ascii="Times New Roman" w:hAnsi="Times New Roman"/>
          <w:sz w:val="24"/>
          <w:szCs w:val="24"/>
        </w:rPr>
        <w:t xml:space="preserve"> and</w:t>
      </w:r>
      <w:r w:rsidR="00BB7E8E" w:rsidRPr="00DF2360">
        <w:rPr>
          <w:rFonts w:ascii="Times New Roman" w:hAnsi="Times New Roman"/>
          <w:sz w:val="24"/>
          <w:szCs w:val="24"/>
        </w:rPr>
        <w:t xml:space="preserve"> d</w:t>
      </w:r>
      <w:r w:rsidR="00793BFE" w:rsidRPr="00DF2360">
        <w:rPr>
          <w:rFonts w:ascii="Times New Roman" w:hAnsi="Times New Roman"/>
          <w:sz w:val="24"/>
          <w:szCs w:val="24"/>
        </w:rPr>
        <w:t>escriptive a</w:t>
      </w:r>
      <w:r w:rsidRPr="00DF2360">
        <w:rPr>
          <w:rFonts w:ascii="Times New Roman" w:hAnsi="Times New Roman"/>
          <w:sz w:val="24"/>
          <w:szCs w:val="24"/>
        </w:rPr>
        <w:t>nalysis was done with computer using SPSS program version 20 followed by the interpretation of results.</w:t>
      </w:r>
    </w:p>
    <w:p w14:paraId="4569B292" w14:textId="77777777" w:rsidR="00A60F08" w:rsidRPr="00DF2360" w:rsidRDefault="009B0171" w:rsidP="00DF2360">
      <w:pPr>
        <w:autoSpaceDE w:val="0"/>
        <w:autoSpaceDN w:val="0"/>
        <w:adjustRightInd w:val="0"/>
        <w:spacing w:after="0" w:line="360" w:lineRule="auto"/>
        <w:jc w:val="both"/>
        <w:rPr>
          <w:rFonts w:ascii="Times New Roman" w:hAnsi="Times New Roman"/>
          <w:sz w:val="24"/>
          <w:szCs w:val="24"/>
        </w:rPr>
      </w:pPr>
      <w:r w:rsidRPr="00DF2360">
        <w:rPr>
          <w:rFonts w:ascii="Times New Roman" w:hAnsi="Times New Roman"/>
          <w:b/>
          <w:bCs/>
          <w:sz w:val="24"/>
          <w:szCs w:val="24"/>
          <w:lang w:bidi="en-US"/>
        </w:rPr>
        <w:t>Results.</w:t>
      </w:r>
    </w:p>
    <w:p w14:paraId="02F46076" w14:textId="77777777" w:rsidR="00A60F08" w:rsidRPr="00C72567" w:rsidRDefault="00A60F08" w:rsidP="00DF2360">
      <w:pPr>
        <w:spacing w:line="360" w:lineRule="auto"/>
        <w:rPr>
          <w:rFonts w:ascii="Times New Roman" w:hAnsi="Times New Roman"/>
          <w:bCs/>
          <w:sz w:val="24"/>
          <w:szCs w:val="24"/>
          <w:lang w:bidi="en-US"/>
        </w:rPr>
      </w:pPr>
      <w:bookmarkStart w:id="1" w:name="_Toc514628046"/>
      <w:r w:rsidRPr="00DF2360">
        <w:rPr>
          <w:rFonts w:ascii="Times New Roman" w:hAnsi="Times New Roman"/>
          <w:b/>
          <w:bCs/>
          <w:sz w:val="24"/>
          <w:szCs w:val="24"/>
        </w:rPr>
        <w:t xml:space="preserve">Table </w:t>
      </w:r>
      <w:r w:rsidRPr="00C72567">
        <w:rPr>
          <w:rFonts w:ascii="Times New Roman" w:hAnsi="Times New Roman"/>
          <w:b/>
          <w:bCs/>
          <w:sz w:val="24"/>
          <w:szCs w:val="24"/>
        </w:rPr>
        <w:fldChar w:fldCharType="begin"/>
      </w:r>
      <w:r w:rsidRPr="00DF2360">
        <w:rPr>
          <w:rFonts w:ascii="Times New Roman" w:hAnsi="Times New Roman"/>
          <w:b/>
          <w:bCs/>
          <w:sz w:val="24"/>
          <w:szCs w:val="24"/>
        </w:rPr>
        <w:instrText xml:space="preserve"> SEQ Table \* ARABIC </w:instrText>
      </w:r>
      <w:r w:rsidRPr="00C72567">
        <w:rPr>
          <w:rFonts w:ascii="Times New Roman" w:hAnsi="Times New Roman"/>
          <w:b/>
          <w:bCs/>
          <w:sz w:val="24"/>
          <w:szCs w:val="24"/>
        </w:rPr>
        <w:fldChar w:fldCharType="separate"/>
      </w:r>
      <w:r w:rsidRPr="00C72567">
        <w:rPr>
          <w:rFonts w:ascii="Times New Roman" w:hAnsi="Times New Roman"/>
          <w:b/>
          <w:bCs/>
          <w:noProof/>
          <w:sz w:val="24"/>
          <w:szCs w:val="24"/>
        </w:rPr>
        <w:t>1</w:t>
      </w:r>
      <w:r w:rsidRPr="00C72567">
        <w:rPr>
          <w:rFonts w:ascii="Times New Roman" w:hAnsi="Times New Roman"/>
          <w:b/>
          <w:bCs/>
          <w:sz w:val="24"/>
          <w:szCs w:val="24"/>
        </w:rPr>
        <w:fldChar w:fldCharType="end"/>
      </w:r>
      <w:r w:rsidRPr="00C72567">
        <w:rPr>
          <w:rFonts w:ascii="Times New Roman" w:hAnsi="Times New Roman"/>
          <w:b/>
          <w:bCs/>
          <w:sz w:val="24"/>
          <w:szCs w:val="24"/>
        </w:rPr>
        <w:t>: Characteristics of the patients.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060"/>
      </w:tblGrid>
      <w:tr w:rsidR="00A60F08" w:rsidRPr="00DF2360" w14:paraId="429F971C" w14:textId="77777777" w:rsidTr="00492EDB">
        <w:tc>
          <w:tcPr>
            <w:tcW w:w="3348" w:type="dxa"/>
            <w:tcBorders>
              <w:top w:val="single" w:sz="4" w:space="0" w:color="auto"/>
              <w:bottom w:val="single" w:sz="4" w:space="0" w:color="auto"/>
            </w:tcBorders>
          </w:tcPr>
          <w:p w14:paraId="7425450A" w14:textId="77777777" w:rsidR="00A60F08" w:rsidRPr="00DF2360" w:rsidRDefault="00A60F08" w:rsidP="00DF2360">
            <w:pPr>
              <w:spacing w:line="360" w:lineRule="auto"/>
              <w:rPr>
                <w:rFonts w:ascii="Times New Roman" w:hAnsi="Times New Roman"/>
                <w:b/>
                <w:sz w:val="24"/>
                <w:szCs w:val="24"/>
                <w:lang w:bidi="en-US"/>
              </w:rPr>
            </w:pPr>
            <w:r w:rsidRPr="00DF2360">
              <w:rPr>
                <w:rFonts w:ascii="Times New Roman" w:hAnsi="Times New Roman"/>
                <w:b/>
                <w:sz w:val="24"/>
                <w:szCs w:val="24"/>
                <w:lang w:bidi="en-US"/>
              </w:rPr>
              <w:t>Variable</w:t>
            </w:r>
          </w:p>
        </w:tc>
        <w:tc>
          <w:tcPr>
            <w:tcW w:w="3060" w:type="dxa"/>
            <w:tcBorders>
              <w:top w:val="single" w:sz="4" w:space="0" w:color="auto"/>
              <w:bottom w:val="single" w:sz="4" w:space="0" w:color="auto"/>
            </w:tcBorders>
          </w:tcPr>
          <w:p w14:paraId="54D676FC" w14:textId="77777777" w:rsidR="00A60F08" w:rsidRPr="00DF2360" w:rsidRDefault="00A60F08" w:rsidP="00DF2360">
            <w:pPr>
              <w:spacing w:line="360" w:lineRule="auto"/>
              <w:jc w:val="right"/>
              <w:rPr>
                <w:rFonts w:ascii="Times New Roman" w:hAnsi="Times New Roman"/>
                <w:b/>
                <w:sz w:val="24"/>
                <w:szCs w:val="24"/>
                <w:lang w:bidi="en-US"/>
              </w:rPr>
            </w:pPr>
            <w:r w:rsidRPr="00DF2360">
              <w:rPr>
                <w:rFonts w:ascii="Times New Roman" w:hAnsi="Times New Roman"/>
                <w:b/>
                <w:sz w:val="24"/>
                <w:szCs w:val="24"/>
                <w:lang w:bidi="en-US"/>
              </w:rPr>
              <w:t>No (%)</w:t>
            </w:r>
          </w:p>
        </w:tc>
      </w:tr>
      <w:tr w:rsidR="00A60F08" w:rsidRPr="00DF2360" w14:paraId="5694E7A2" w14:textId="77777777" w:rsidTr="00492EDB">
        <w:trPr>
          <w:trHeight w:val="341"/>
        </w:trPr>
        <w:tc>
          <w:tcPr>
            <w:tcW w:w="3348" w:type="dxa"/>
            <w:tcBorders>
              <w:top w:val="single" w:sz="4" w:space="0" w:color="auto"/>
            </w:tcBorders>
          </w:tcPr>
          <w:p w14:paraId="7F74E6C8" w14:textId="77777777" w:rsidR="00A60F08" w:rsidRPr="00DF2360" w:rsidRDefault="00A60F08" w:rsidP="00DF2360">
            <w:pPr>
              <w:spacing w:line="360" w:lineRule="auto"/>
              <w:rPr>
                <w:rFonts w:ascii="Times New Roman" w:hAnsi="Times New Roman"/>
                <w:b/>
                <w:sz w:val="24"/>
                <w:szCs w:val="24"/>
                <w:lang w:bidi="en-US"/>
              </w:rPr>
            </w:pPr>
            <w:r w:rsidRPr="00C72567">
              <w:rPr>
                <w:rFonts w:ascii="Times New Roman" w:hAnsi="Times New Roman"/>
                <w:b/>
                <w:sz w:val="24"/>
                <w:szCs w:val="24"/>
                <w:lang w:bidi="en-US"/>
              </w:rPr>
              <w:t>Age at diagnosis</w:t>
            </w:r>
          </w:p>
        </w:tc>
        <w:tc>
          <w:tcPr>
            <w:tcW w:w="3060" w:type="dxa"/>
            <w:tcBorders>
              <w:top w:val="single" w:sz="4" w:space="0" w:color="auto"/>
            </w:tcBorders>
          </w:tcPr>
          <w:p w14:paraId="42C69026" w14:textId="77777777" w:rsidR="00A60F08" w:rsidRPr="00DF2360" w:rsidRDefault="00A60F08" w:rsidP="00DF2360">
            <w:pPr>
              <w:spacing w:line="360" w:lineRule="auto"/>
              <w:rPr>
                <w:rFonts w:ascii="Times New Roman" w:hAnsi="Times New Roman"/>
                <w:sz w:val="24"/>
                <w:szCs w:val="24"/>
                <w:lang w:bidi="en-US"/>
              </w:rPr>
            </w:pPr>
          </w:p>
        </w:tc>
      </w:tr>
      <w:tr w:rsidR="00A60F08" w:rsidRPr="00DF2360" w14:paraId="275F8E44" w14:textId="77777777" w:rsidTr="00492EDB">
        <w:tc>
          <w:tcPr>
            <w:tcW w:w="3348" w:type="dxa"/>
            <w:vAlign w:val="center"/>
          </w:tcPr>
          <w:p w14:paraId="298705EC" w14:textId="77777777" w:rsidR="00A60F08" w:rsidRPr="00C72567" w:rsidRDefault="00A60F08" w:rsidP="00DF2360">
            <w:pPr>
              <w:autoSpaceDE w:val="0"/>
              <w:autoSpaceDN w:val="0"/>
              <w:adjustRightInd w:val="0"/>
              <w:spacing w:line="360" w:lineRule="auto"/>
              <w:ind w:right="60"/>
              <w:rPr>
                <w:rFonts w:ascii="Times New Roman" w:hAnsi="Times New Roman"/>
                <w:sz w:val="24"/>
                <w:szCs w:val="24"/>
              </w:rPr>
            </w:pPr>
            <w:r w:rsidRPr="00C72567">
              <w:rPr>
                <w:rFonts w:ascii="Times New Roman" w:hAnsi="Times New Roman"/>
                <w:sz w:val="24"/>
                <w:szCs w:val="24"/>
              </w:rPr>
              <w:t xml:space="preserve">       &lt; 65</w:t>
            </w:r>
          </w:p>
        </w:tc>
        <w:tc>
          <w:tcPr>
            <w:tcW w:w="3060" w:type="dxa"/>
            <w:vAlign w:val="center"/>
          </w:tcPr>
          <w:p w14:paraId="3BFB00EE"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10 (20)</w:t>
            </w:r>
          </w:p>
        </w:tc>
      </w:tr>
      <w:tr w:rsidR="00A60F08" w:rsidRPr="00DF2360" w14:paraId="1883A413" w14:textId="77777777" w:rsidTr="00492EDB">
        <w:tc>
          <w:tcPr>
            <w:tcW w:w="3348" w:type="dxa"/>
            <w:vAlign w:val="center"/>
          </w:tcPr>
          <w:p w14:paraId="17E19E72" w14:textId="77777777" w:rsidR="00A60F08" w:rsidRPr="00DF2360" w:rsidRDefault="00A60F08" w:rsidP="00DF2360">
            <w:pPr>
              <w:autoSpaceDE w:val="0"/>
              <w:autoSpaceDN w:val="0"/>
              <w:adjustRightInd w:val="0"/>
              <w:spacing w:line="360" w:lineRule="auto"/>
              <w:ind w:right="60"/>
              <w:rPr>
                <w:rFonts w:ascii="Times New Roman" w:hAnsi="Times New Roman"/>
                <w:sz w:val="24"/>
                <w:szCs w:val="24"/>
              </w:rPr>
            </w:pPr>
            <w:r w:rsidRPr="00C72567">
              <w:rPr>
                <w:rFonts w:ascii="Times New Roman" w:hAnsi="Times New Roman"/>
                <w:sz w:val="24"/>
                <w:szCs w:val="24"/>
              </w:rPr>
              <w:t xml:space="preserve">       65 </w:t>
            </w:r>
            <w:r w:rsidR="00D9089D" w:rsidRPr="00C72567">
              <w:rPr>
                <w:rFonts w:ascii="Times New Roman" w:hAnsi="Times New Roman"/>
                <w:sz w:val="24"/>
                <w:szCs w:val="24"/>
              </w:rPr>
              <w:t>–</w:t>
            </w:r>
            <w:r w:rsidRPr="00DF2360">
              <w:rPr>
                <w:rFonts w:ascii="Times New Roman" w:hAnsi="Times New Roman"/>
                <w:sz w:val="24"/>
                <w:szCs w:val="24"/>
              </w:rPr>
              <w:t xml:space="preserve"> 75</w:t>
            </w:r>
          </w:p>
        </w:tc>
        <w:tc>
          <w:tcPr>
            <w:tcW w:w="3060" w:type="dxa"/>
            <w:vAlign w:val="center"/>
          </w:tcPr>
          <w:p w14:paraId="458849CA"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29(58)</w:t>
            </w:r>
          </w:p>
        </w:tc>
      </w:tr>
      <w:tr w:rsidR="00A60F08" w:rsidRPr="00DF2360" w14:paraId="296E584F" w14:textId="77777777" w:rsidTr="00492EDB">
        <w:tc>
          <w:tcPr>
            <w:tcW w:w="3348" w:type="dxa"/>
            <w:vAlign w:val="center"/>
          </w:tcPr>
          <w:p w14:paraId="0D3A30A4"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&gt; 75</w:t>
            </w:r>
          </w:p>
        </w:tc>
        <w:tc>
          <w:tcPr>
            <w:tcW w:w="3060" w:type="dxa"/>
            <w:vAlign w:val="center"/>
          </w:tcPr>
          <w:p w14:paraId="0C68BEDA"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11(22)</w:t>
            </w:r>
          </w:p>
        </w:tc>
      </w:tr>
      <w:tr w:rsidR="00A60F08" w:rsidRPr="00DF2360" w14:paraId="4D8FE181" w14:textId="77777777" w:rsidTr="00492EDB">
        <w:tc>
          <w:tcPr>
            <w:tcW w:w="3348" w:type="dxa"/>
            <w:vAlign w:val="center"/>
          </w:tcPr>
          <w:p w14:paraId="093EA180"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p>
        </w:tc>
        <w:tc>
          <w:tcPr>
            <w:tcW w:w="3060" w:type="dxa"/>
            <w:vAlign w:val="center"/>
          </w:tcPr>
          <w:p w14:paraId="42C653F6"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p>
        </w:tc>
      </w:tr>
      <w:tr w:rsidR="00A60F08" w:rsidRPr="00DF2360" w14:paraId="7262C38E" w14:textId="77777777" w:rsidTr="00492EDB">
        <w:tc>
          <w:tcPr>
            <w:tcW w:w="3348" w:type="dxa"/>
          </w:tcPr>
          <w:p w14:paraId="23CAE33D" w14:textId="77777777" w:rsidR="00A60F08" w:rsidRPr="00C72567" w:rsidRDefault="00A60F08" w:rsidP="00DF2360">
            <w:pPr>
              <w:spacing w:line="360" w:lineRule="auto"/>
              <w:rPr>
                <w:rFonts w:ascii="Times New Roman" w:hAnsi="Times New Roman"/>
                <w:b/>
                <w:sz w:val="24"/>
                <w:szCs w:val="24"/>
                <w:lang w:bidi="en-US"/>
              </w:rPr>
            </w:pPr>
            <w:r w:rsidRPr="00C72567">
              <w:rPr>
                <w:rFonts w:ascii="Times New Roman" w:eastAsia="Calibri" w:hAnsi="Times New Roman"/>
                <w:b/>
                <w:sz w:val="24"/>
                <w:szCs w:val="24"/>
              </w:rPr>
              <w:t>PSA level at diagnosis, ng/mL</w:t>
            </w:r>
          </w:p>
        </w:tc>
        <w:tc>
          <w:tcPr>
            <w:tcW w:w="3060" w:type="dxa"/>
          </w:tcPr>
          <w:p w14:paraId="397C58AD" w14:textId="77777777" w:rsidR="00A60F08" w:rsidRPr="00DF2360" w:rsidRDefault="00A60F08" w:rsidP="00DF2360">
            <w:pPr>
              <w:spacing w:line="360" w:lineRule="auto"/>
              <w:rPr>
                <w:rFonts w:ascii="Times New Roman" w:hAnsi="Times New Roman"/>
                <w:sz w:val="24"/>
                <w:szCs w:val="24"/>
                <w:lang w:bidi="en-US"/>
              </w:rPr>
            </w:pPr>
          </w:p>
        </w:tc>
      </w:tr>
      <w:tr w:rsidR="00A60F08" w:rsidRPr="00DF2360" w14:paraId="7887B216" w14:textId="77777777" w:rsidTr="00492EDB">
        <w:tc>
          <w:tcPr>
            <w:tcW w:w="3348" w:type="dxa"/>
            <w:vAlign w:val="center"/>
          </w:tcPr>
          <w:p w14:paraId="51F50F34" w14:textId="323CA22F" w:rsidR="00A60F08" w:rsidRPr="00DF2360"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w:t>
            </w:r>
            <w:r w:rsidR="002D2E11" w:rsidRPr="00C72567">
              <w:rPr>
                <w:rFonts w:ascii="Times New Roman" w:hAnsi="Times New Roman"/>
                <w:sz w:val="24"/>
                <w:szCs w:val="24"/>
              </w:rPr>
              <w:t>1-</w:t>
            </w:r>
            <w:r w:rsidRPr="00DF2360">
              <w:rPr>
                <w:rFonts w:ascii="Times New Roman" w:hAnsi="Times New Roman"/>
                <w:sz w:val="24"/>
                <w:szCs w:val="24"/>
              </w:rPr>
              <w:t>6</w:t>
            </w:r>
          </w:p>
        </w:tc>
        <w:tc>
          <w:tcPr>
            <w:tcW w:w="3060" w:type="dxa"/>
            <w:vAlign w:val="center"/>
          </w:tcPr>
          <w:p w14:paraId="41551808"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10(20)</w:t>
            </w:r>
          </w:p>
        </w:tc>
      </w:tr>
      <w:tr w:rsidR="00A60F08" w:rsidRPr="00DF2360" w14:paraId="2ABF28B7" w14:textId="77777777" w:rsidTr="00492EDB">
        <w:tc>
          <w:tcPr>
            <w:tcW w:w="3348" w:type="dxa"/>
            <w:vAlign w:val="center"/>
          </w:tcPr>
          <w:p w14:paraId="08C7E544"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6.1-10</w:t>
            </w:r>
          </w:p>
        </w:tc>
        <w:tc>
          <w:tcPr>
            <w:tcW w:w="3060" w:type="dxa"/>
            <w:vAlign w:val="center"/>
          </w:tcPr>
          <w:p w14:paraId="77B30B23"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5(10)</w:t>
            </w:r>
          </w:p>
        </w:tc>
      </w:tr>
      <w:tr w:rsidR="00A60F08" w:rsidRPr="00DF2360" w14:paraId="7B9D5FCE" w14:textId="77777777" w:rsidTr="00492EDB">
        <w:tc>
          <w:tcPr>
            <w:tcW w:w="3348" w:type="dxa"/>
            <w:vAlign w:val="center"/>
          </w:tcPr>
          <w:p w14:paraId="0289B6A5"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10.1-20</w:t>
            </w:r>
          </w:p>
        </w:tc>
        <w:tc>
          <w:tcPr>
            <w:tcW w:w="3060" w:type="dxa"/>
            <w:vAlign w:val="center"/>
          </w:tcPr>
          <w:p w14:paraId="78309A53"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13(26)</w:t>
            </w:r>
          </w:p>
        </w:tc>
      </w:tr>
      <w:tr w:rsidR="00A60F08" w:rsidRPr="00DF2360" w14:paraId="586974C9" w14:textId="77777777" w:rsidTr="00492EDB">
        <w:tc>
          <w:tcPr>
            <w:tcW w:w="3348" w:type="dxa"/>
            <w:vAlign w:val="center"/>
          </w:tcPr>
          <w:p w14:paraId="5F716A21"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20.1-30</w:t>
            </w:r>
          </w:p>
        </w:tc>
        <w:tc>
          <w:tcPr>
            <w:tcW w:w="3060" w:type="dxa"/>
            <w:vAlign w:val="center"/>
          </w:tcPr>
          <w:p w14:paraId="1D015D6A" w14:textId="77777777" w:rsidR="00A60F08" w:rsidRPr="00DF2360" w:rsidRDefault="00A60F08" w:rsidP="00DF2360">
            <w:pPr>
              <w:autoSpaceDE w:val="0"/>
              <w:autoSpaceDN w:val="0"/>
              <w:adjustRightInd w:val="0"/>
              <w:spacing w:line="360" w:lineRule="auto"/>
              <w:ind w:left="60" w:right="60"/>
              <w:jc w:val="center"/>
              <w:rPr>
                <w:rFonts w:ascii="Times New Roman" w:hAnsi="Times New Roman"/>
                <w:sz w:val="24"/>
                <w:szCs w:val="24"/>
              </w:rPr>
            </w:pPr>
            <w:r w:rsidRPr="00DF2360">
              <w:rPr>
                <w:rFonts w:ascii="Times New Roman" w:hAnsi="Times New Roman"/>
                <w:sz w:val="24"/>
                <w:szCs w:val="24"/>
              </w:rPr>
              <w:t xml:space="preserve">                                      2(4)</w:t>
            </w:r>
          </w:p>
        </w:tc>
      </w:tr>
      <w:tr w:rsidR="00A60F08" w:rsidRPr="00DF2360" w14:paraId="3BE42187" w14:textId="77777777" w:rsidTr="00492EDB">
        <w:tc>
          <w:tcPr>
            <w:tcW w:w="3348" w:type="dxa"/>
            <w:vAlign w:val="center"/>
          </w:tcPr>
          <w:p w14:paraId="60B23595"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Above 30</w:t>
            </w:r>
          </w:p>
        </w:tc>
        <w:tc>
          <w:tcPr>
            <w:tcW w:w="3060" w:type="dxa"/>
            <w:vAlign w:val="center"/>
          </w:tcPr>
          <w:p w14:paraId="2FBE8AEB"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20(40)</w:t>
            </w:r>
          </w:p>
        </w:tc>
      </w:tr>
      <w:tr w:rsidR="00A60F08" w:rsidRPr="00DF2360" w14:paraId="7CCC7BCC" w14:textId="77777777" w:rsidTr="00492EDB">
        <w:tc>
          <w:tcPr>
            <w:tcW w:w="3348" w:type="dxa"/>
            <w:vAlign w:val="center"/>
          </w:tcPr>
          <w:p w14:paraId="39E70ED0"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p>
        </w:tc>
        <w:tc>
          <w:tcPr>
            <w:tcW w:w="3060" w:type="dxa"/>
            <w:vAlign w:val="center"/>
          </w:tcPr>
          <w:p w14:paraId="70300213"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p>
        </w:tc>
      </w:tr>
      <w:tr w:rsidR="00A60F08" w:rsidRPr="00DF2360" w14:paraId="1AA7A3F1" w14:textId="77777777" w:rsidTr="00492EDB">
        <w:tc>
          <w:tcPr>
            <w:tcW w:w="3348" w:type="dxa"/>
            <w:vAlign w:val="center"/>
          </w:tcPr>
          <w:p w14:paraId="4BB64CB3" w14:textId="77777777" w:rsidR="00A60F08" w:rsidRPr="00C72567" w:rsidRDefault="00A60F08" w:rsidP="00DF2360">
            <w:pPr>
              <w:autoSpaceDE w:val="0"/>
              <w:autoSpaceDN w:val="0"/>
              <w:adjustRightInd w:val="0"/>
              <w:spacing w:line="360" w:lineRule="auto"/>
              <w:ind w:right="60"/>
              <w:rPr>
                <w:rFonts w:ascii="Times New Roman" w:hAnsi="Times New Roman"/>
                <w:b/>
                <w:sz w:val="24"/>
                <w:szCs w:val="24"/>
              </w:rPr>
            </w:pPr>
            <w:r w:rsidRPr="00C72567">
              <w:rPr>
                <w:rFonts w:ascii="Times New Roman" w:hAnsi="Times New Roman"/>
                <w:b/>
                <w:sz w:val="24"/>
                <w:szCs w:val="24"/>
              </w:rPr>
              <w:lastRenderedPageBreak/>
              <w:t>Clinical tumor stage</w:t>
            </w:r>
          </w:p>
        </w:tc>
        <w:tc>
          <w:tcPr>
            <w:tcW w:w="3060" w:type="dxa"/>
            <w:vAlign w:val="center"/>
          </w:tcPr>
          <w:p w14:paraId="2BA95827"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p>
        </w:tc>
      </w:tr>
      <w:tr w:rsidR="00A60F08" w:rsidRPr="00DF2360" w14:paraId="04C5BD38" w14:textId="77777777" w:rsidTr="00492EDB">
        <w:tc>
          <w:tcPr>
            <w:tcW w:w="3348" w:type="dxa"/>
            <w:vAlign w:val="center"/>
          </w:tcPr>
          <w:p w14:paraId="2C490AE0"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T1 or T2</w:t>
            </w:r>
          </w:p>
        </w:tc>
        <w:tc>
          <w:tcPr>
            <w:tcW w:w="3060" w:type="dxa"/>
            <w:vAlign w:val="center"/>
          </w:tcPr>
          <w:p w14:paraId="0933014E"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28(5</w:t>
            </w:r>
            <w:r w:rsidR="007E0E8E" w:rsidRPr="00DF2360">
              <w:rPr>
                <w:rFonts w:ascii="Times New Roman" w:hAnsi="Times New Roman"/>
                <w:sz w:val="24"/>
                <w:szCs w:val="24"/>
              </w:rPr>
              <w:t>6</w:t>
            </w:r>
            <w:r w:rsidRPr="00DF2360">
              <w:rPr>
                <w:rFonts w:ascii="Times New Roman" w:hAnsi="Times New Roman"/>
                <w:sz w:val="24"/>
                <w:szCs w:val="24"/>
              </w:rPr>
              <w:t>)</w:t>
            </w:r>
          </w:p>
        </w:tc>
      </w:tr>
      <w:tr w:rsidR="00A60F08" w:rsidRPr="00DF2360" w14:paraId="79CD75ED" w14:textId="77777777" w:rsidTr="00492EDB">
        <w:tc>
          <w:tcPr>
            <w:tcW w:w="3348" w:type="dxa"/>
            <w:vAlign w:val="center"/>
          </w:tcPr>
          <w:p w14:paraId="30F8C371"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T3a</w:t>
            </w:r>
          </w:p>
        </w:tc>
        <w:tc>
          <w:tcPr>
            <w:tcW w:w="3060" w:type="dxa"/>
            <w:vAlign w:val="center"/>
          </w:tcPr>
          <w:p w14:paraId="526EA56F"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22(44)</w:t>
            </w:r>
          </w:p>
        </w:tc>
      </w:tr>
      <w:tr w:rsidR="00A60F08" w:rsidRPr="00DF2360" w14:paraId="27FAB504" w14:textId="77777777" w:rsidTr="00492EDB">
        <w:trPr>
          <w:trHeight w:val="404"/>
        </w:trPr>
        <w:tc>
          <w:tcPr>
            <w:tcW w:w="3348" w:type="dxa"/>
          </w:tcPr>
          <w:p w14:paraId="5A3206CC" w14:textId="77777777" w:rsidR="00A60F08" w:rsidRPr="00C72567" w:rsidRDefault="00A60F08" w:rsidP="00DF2360">
            <w:pPr>
              <w:spacing w:line="360" w:lineRule="auto"/>
              <w:rPr>
                <w:rFonts w:ascii="Times New Roman" w:hAnsi="Times New Roman"/>
                <w:sz w:val="24"/>
                <w:szCs w:val="24"/>
                <w:lang w:bidi="en-US"/>
              </w:rPr>
            </w:pPr>
          </w:p>
        </w:tc>
        <w:tc>
          <w:tcPr>
            <w:tcW w:w="3060" w:type="dxa"/>
          </w:tcPr>
          <w:p w14:paraId="4C3BAA22" w14:textId="77777777" w:rsidR="00A60F08" w:rsidRPr="00DF2360" w:rsidRDefault="00A60F08" w:rsidP="00DF2360">
            <w:pPr>
              <w:spacing w:line="360" w:lineRule="auto"/>
              <w:rPr>
                <w:rFonts w:ascii="Times New Roman" w:hAnsi="Times New Roman"/>
                <w:sz w:val="24"/>
                <w:szCs w:val="24"/>
                <w:lang w:bidi="en-US"/>
              </w:rPr>
            </w:pPr>
          </w:p>
        </w:tc>
      </w:tr>
      <w:tr w:rsidR="00A60F08" w:rsidRPr="00DF2360" w14:paraId="6F837AC9" w14:textId="77777777" w:rsidTr="00492EDB">
        <w:trPr>
          <w:trHeight w:val="413"/>
        </w:trPr>
        <w:tc>
          <w:tcPr>
            <w:tcW w:w="3348" w:type="dxa"/>
          </w:tcPr>
          <w:p w14:paraId="57FF2C0D" w14:textId="77777777" w:rsidR="00A60F08" w:rsidRPr="00C72567" w:rsidRDefault="00A60F08" w:rsidP="00DF2360">
            <w:pPr>
              <w:tabs>
                <w:tab w:val="left" w:pos="1494"/>
              </w:tabs>
              <w:spacing w:line="360" w:lineRule="auto"/>
              <w:rPr>
                <w:rFonts w:ascii="Times New Roman" w:hAnsi="Times New Roman"/>
                <w:b/>
                <w:sz w:val="24"/>
                <w:szCs w:val="24"/>
                <w:lang w:bidi="en-US"/>
              </w:rPr>
            </w:pPr>
            <w:r w:rsidRPr="00C72567">
              <w:rPr>
                <w:rFonts w:ascii="Times New Roman" w:hAnsi="Times New Roman"/>
                <w:b/>
                <w:sz w:val="24"/>
                <w:szCs w:val="24"/>
                <w:lang w:bidi="en-US"/>
              </w:rPr>
              <w:t>Gleason score</w:t>
            </w:r>
          </w:p>
        </w:tc>
        <w:tc>
          <w:tcPr>
            <w:tcW w:w="3060" w:type="dxa"/>
          </w:tcPr>
          <w:p w14:paraId="7349C124" w14:textId="77777777" w:rsidR="00A60F08" w:rsidRPr="00DF2360" w:rsidRDefault="00A60F08" w:rsidP="00DF2360">
            <w:pPr>
              <w:spacing w:line="360" w:lineRule="auto"/>
              <w:rPr>
                <w:rFonts w:ascii="Times New Roman" w:hAnsi="Times New Roman"/>
                <w:sz w:val="24"/>
                <w:szCs w:val="24"/>
                <w:lang w:bidi="en-US"/>
              </w:rPr>
            </w:pPr>
          </w:p>
        </w:tc>
      </w:tr>
      <w:tr w:rsidR="00A60F08" w:rsidRPr="00DF2360" w14:paraId="2758FC7E" w14:textId="77777777" w:rsidTr="00492EDB">
        <w:tc>
          <w:tcPr>
            <w:tcW w:w="3348" w:type="dxa"/>
            <w:vAlign w:val="center"/>
          </w:tcPr>
          <w:p w14:paraId="220A62D6"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No pattern 4 or 5</w:t>
            </w:r>
          </w:p>
        </w:tc>
        <w:tc>
          <w:tcPr>
            <w:tcW w:w="3060" w:type="dxa"/>
            <w:vAlign w:val="center"/>
          </w:tcPr>
          <w:p w14:paraId="037E824A"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13 (26)</w:t>
            </w:r>
          </w:p>
        </w:tc>
      </w:tr>
      <w:tr w:rsidR="00A60F08" w:rsidRPr="00DF2360" w14:paraId="33D94C1C" w14:textId="77777777" w:rsidTr="00492EDB">
        <w:tc>
          <w:tcPr>
            <w:tcW w:w="3348" w:type="dxa"/>
            <w:vAlign w:val="center"/>
          </w:tcPr>
          <w:p w14:paraId="1BDB3CAD" w14:textId="77777777" w:rsidR="00A60F08" w:rsidRPr="00DF2360"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Secondary  pattern 4</w:t>
            </w:r>
            <w:r w:rsidR="005526AA" w:rsidRPr="00C72567">
              <w:rPr>
                <w:rFonts w:ascii="Times New Roman" w:hAnsi="Times New Roman"/>
                <w:sz w:val="24"/>
                <w:szCs w:val="24"/>
              </w:rPr>
              <w:t xml:space="preserve"> </w:t>
            </w:r>
            <w:r w:rsidRPr="00DF2360">
              <w:rPr>
                <w:rFonts w:ascii="Times New Roman" w:hAnsi="Times New Roman"/>
                <w:sz w:val="24"/>
                <w:szCs w:val="24"/>
              </w:rPr>
              <w:t>or 5</w:t>
            </w:r>
          </w:p>
        </w:tc>
        <w:tc>
          <w:tcPr>
            <w:tcW w:w="3060" w:type="dxa"/>
            <w:vAlign w:val="center"/>
          </w:tcPr>
          <w:p w14:paraId="44B37697"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19(38)</w:t>
            </w:r>
          </w:p>
        </w:tc>
      </w:tr>
      <w:tr w:rsidR="00A60F08" w:rsidRPr="00DF2360" w14:paraId="6F586502" w14:textId="77777777" w:rsidTr="00492EDB">
        <w:tc>
          <w:tcPr>
            <w:tcW w:w="3348" w:type="dxa"/>
            <w:vAlign w:val="center"/>
          </w:tcPr>
          <w:p w14:paraId="32498C10"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Primary  pattern 4 or 5</w:t>
            </w:r>
          </w:p>
        </w:tc>
        <w:tc>
          <w:tcPr>
            <w:tcW w:w="3060" w:type="dxa"/>
            <w:vAlign w:val="center"/>
          </w:tcPr>
          <w:p w14:paraId="4A8F1D00"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18(36)</w:t>
            </w:r>
          </w:p>
        </w:tc>
      </w:tr>
      <w:tr w:rsidR="00A60F08" w:rsidRPr="00DF2360" w14:paraId="7AFC178C" w14:textId="77777777" w:rsidTr="00492EDB">
        <w:tc>
          <w:tcPr>
            <w:tcW w:w="3348" w:type="dxa"/>
          </w:tcPr>
          <w:p w14:paraId="2D280007" w14:textId="77777777" w:rsidR="00A60F08" w:rsidRPr="00C72567" w:rsidRDefault="00A60F08" w:rsidP="00DF2360">
            <w:pPr>
              <w:spacing w:line="360" w:lineRule="auto"/>
              <w:rPr>
                <w:rFonts w:ascii="Times New Roman" w:hAnsi="Times New Roman"/>
                <w:sz w:val="24"/>
                <w:szCs w:val="24"/>
                <w:lang w:bidi="en-US"/>
              </w:rPr>
            </w:pPr>
          </w:p>
        </w:tc>
        <w:tc>
          <w:tcPr>
            <w:tcW w:w="3060" w:type="dxa"/>
          </w:tcPr>
          <w:p w14:paraId="7295E195" w14:textId="77777777" w:rsidR="00A60F08" w:rsidRPr="00DF2360" w:rsidRDefault="00A60F08" w:rsidP="00DF2360">
            <w:pPr>
              <w:spacing w:line="360" w:lineRule="auto"/>
              <w:rPr>
                <w:rFonts w:ascii="Times New Roman" w:hAnsi="Times New Roman"/>
                <w:sz w:val="24"/>
                <w:szCs w:val="24"/>
                <w:lang w:bidi="en-US"/>
              </w:rPr>
            </w:pPr>
          </w:p>
        </w:tc>
      </w:tr>
      <w:tr w:rsidR="00A60F08" w:rsidRPr="00DF2360" w14:paraId="5E00AEBE" w14:textId="77777777" w:rsidTr="00492EDB">
        <w:trPr>
          <w:trHeight w:val="701"/>
        </w:trPr>
        <w:tc>
          <w:tcPr>
            <w:tcW w:w="3348" w:type="dxa"/>
          </w:tcPr>
          <w:p w14:paraId="342050F8" w14:textId="77777777" w:rsidR="00A60F08" w:rsidRPr="00C72567" w:rsidRDefault="00A60F08" w:rsidP="00DF2360">
            <w:pPr>
              <w:tabs>
                <w:tab w:val="left" w:pos="937"/>
              </w:tabs>
              <w:spacing w:line="360" w:lineRule="auto"/>
              <w:rPr>
                <w:rFonts w:ascii="Times New Roman" w:hAnsi="Times New Roman"/>
                <w:b/>
                <w:sz w:val="24"/>
                <w:szCs w:val="24"/>
                <w:lang w:bidi="en-US"/>
              </w:rPr>
            </w:pPr>
            <w:r w:rsidRPr="00C72567">
              <w:rPr>
                <w:rFonts w:ascii="Times New Roman" w:eastAsia="Calibri" w:hAnsi="Times New Roman"/>
                <w:b/>
                <w:sz w:val="24"/>
                <w:szCs w:val="24"/>
              </w:rPr>
              <w:t>% of biopsy cores positive for cancer</w:t>
            </w:r>
          </w:p>
        </w:tc>
        <w:tc>
          <w:tcPr>
            <w:tcW w:w="3060" w:type="dxa"/>
          </w:tcPr>
          <w:p w14:paraId="56CEFE5A" w14:textId="77777777" w:rsidR="00A60F08" w:rsidRPr="00DF2360" w:rsidRDefault="00A60F08" w:rsidP="00DF2360">
            <w:pPr>
              <w:spacing w:line="360" w:lineRule="auto"/>
              <w:rPr>
                <w:rFonts w:ascii="Times New Roman" w:hAnsi="Times New Roman"/>
                <w:sz w:val="24"/>
                <w:szCs w:val="24"/>
                <w:lang w:bidi="en-US"/>
              </w:rPr>
            </w:pPr>
          </w:p>
        </w:tc>
      </w:tr>
      <w:tr w:rsidR="00A60F08" w:rsidRPr="00DF2360" w14:paraId="38D6738D" w14:textId="77777777" w:rsidTr="00492EDB">
        <w:tc>
          <w:tcPr>
            <w:tcW w:w="3348" w:type="dxa"/>
            <w:vAlign w:val="center"/>
          </w:tcPr>
          <w:p w14:paraId="5B3C8604"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less than 34%</w:t>
            </w:r>
          </w:p>
        </w:tc>
        <w:tc>
          <w:tcPr>
            <w:tcW w:w="3060" w:type="dxa"/>
            <w:vAlign w:val="center"/>
          </w:tcPr>
          <w:p w14:paraId="3BEE1CDF"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28(56)</w:t>
            </w:r>
          </w:p>
        </w:tc>
      </w:tr>
      <w:tr w:rsidR="00A60F08" w:rsidRPr="00DF2360" w14:paraId="2CF10729" w14:textId="77777777" w:rsidTr="00492EDB">
        <w:tc>
          <w:tcPr>
            <w:tcW w:w="3348" w:type="dxa"/>
            <w:vAlign w:val="center"/>
          </w:tcPr>
          <w:p w14:paraId="161BA837"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above 34%</w:t>
            </w:r>
          </w:p>
        </w:tc>
        <w:tc>
          <w:tcPr>
            <w:tcW w:w="3060" w:type="dxa"/>
            <w:vAlign w:val="center"/>
          </w:tcPr>
          <w:p w14:paraId="3E10FE1A"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22(44)</w:t>
            </w:r>
          </w:p>
        </w:tc>
      </w:tr>
      <w:tr w:rsidR="00A60F08" w:rsidRPr="00DF2360" w14:paraId="1CA23319" w14:textId="77777777" w:rsidTr="00492EDB">
        <w:tc>
          <w:tcPr>
            <w:tcW w:w="3348" w:type="dxa"/>
            <w:vAlign w:val="center"/>
          </w:tcPr>
          <w:p w14:paraId="35AC6FF6"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p>
        </w:tc>
        <w:tc>
          <w:tcPr>
            <w:tcW w:w="3060" w:type="dxa"/>
            <w:vAlign w:val="center"/>
          </w:tcPr>
          <w:p w14:paraId="334FEF75"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p>
        </w:tc>
      </w:tr>
      <w:tr w:rsidR="00A60F08" w:rsidRPr="00DF2360" w14:paraId="539BA03C" w14:textId="77777777" w:rsidTr="00492EDB">
        <w:tc>
          <w:tcPr>
            <w:tcW w:w="3348" w:type="dxa"/>
            <w:vAlign w:val="center"/>
          </w:tcPr>
          <w:p w14:paraId="158F0686" w14:textId="77777777" w:rsidR="00A60F08" w:rsidRPr="00C72567" w:rsidRDefault="00A60F08" w:rsidP="00DF2360">
            <w:pPr>
              <w:autoSpaceDE w:val="0"/>
              <w:autoSpaceDN w:val="0"/>
              <w:adjustRightInd w:val="0"/>
              <w:spacing w:line="360" w:lineRule="auto"/>
              <w:ind w:left="60" w:right="60"/>
              <w:rPr>
                <w:rFonts w:ascii="Times New Roman" w:hAnsi="Times New Roman"/>
                <w:b/>
                <w:sz w:val="24"/>
                <w:szCs w:val="24"/>
              </w:rPr>
            </w:pPr>
            <w:r w:rsidRPr="00C72567">
              <w:rPr>
                <w:rFonts w:ascii="Times New Roman" w:hAnsi="Times New Roman"/>
                <w:b/>
                <w:sz w:val="24"/>
                <w:szCs w:val="24"/>
              </w:rPr>
              <w:t>Primary treatment modalities</w:t>
            </w:r>
          </w:p>
        </w:tc>
        <w:tc>
          <w:tcPr>
            <w:tcW w:w="3060" w:type="dxa"/>
            <w:vAlign w:val="center"/>
          </w:tcPr>
          <w:p w14:paraId="2AF9FE40"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p>
        </w:tc>
      </w:tr>
      <w:tr w:rsidR="00A60F08" w:rsidRPr="00DF2360" w14:paraId="2D4B3935" w14:textId="77777777" w:rsidTr="00492EDB">
        <w:tc>
          <w:tcPr>
            <w:tcW w:w="3348" w:type="dxa"/>
            <w:vAlign w:val="center"/>
          </w:tcPr>
          <w:p w14:paraId="145F067A"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active surveillance</w:t>
            </w:r>
          </w:p>
        </w:tc>
        <w:tc>
          <w:tcPr>
            <w:tcW w:w="3060" w:type="dxa"/>
            <w:vAlign w:val="center"/>
          </w:tcPr>
          <w:p w14:paraId="1C882048"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9(18)</w:t>
            </w:r>
          </w:p>
        </w:tc>
      </w:tr>
      <w:tr w:rsidR="00A60F08" w:rsidRPr="00DF2360" w14:paraId="2A04AA62" w14:textId="77777777" w:rsidTr="00492EDB">
        <w:tc>
          <w:tcPr>
            <w:tcW w:w="3348" w:type="dxa"/>
            <w:vAlign w:val="center"/>
          </w:tcPr>
          <w:p w14:paraId="39DE71EF"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Radical prostatectomy</w:t>
            </w:r>
          </w:p>
        </w:tc>
        <w:tc>
          <w:tcPr>
            <w:tcW w:w="3060" w:type="dxa"/>
            <w:vAlign w:val="center"/>
          </w:tcPr>
          <w:p w14:paraId="25C5A2D6"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9(18)</w:t>
            </w:r>
          </w:p>
        </w:tc>
      </w:tr>
      <w:tr w:rsidR="00A60F08" w:rsidRPr="00DF2360" w14:paraId="0B3AC5E9" w14:textId="77777777" w:rsidTr="00492EDB">
        <w:tc>
          <w:tcPr>
            <w:tcW w:w="3348" w:type="dxa"/>
            <w:tcBorders>
              <w:bottom w:val="single" w:sz="4" w:space="0" w:color="auto"/>
            </w:tcBorders>
            <w:vAlign w:val="center"/>
          </w:tcPr>
          <w:p w14:paraId="100945C0"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eastAsia="Calibri" w:hAnsi="Times New Roman"/>
                <w:sz w:val="24"/>
                <w:szCs w:val="24"/>
              </w:rPr>
              <w:t xml:space="preserve">   Primary androgen deprivation therapy</w:t>
            </w:r>
          </w:p>
        </w:tc>
        <w:tc>
          <w:tcPr>
            <w:tcW w:w="3060" w:type="dxa"/>
            <w:tcBorders>
              <w:bottom w:val="single" w:sz="4" w:space="0" w:color="auto"/>
            </w:tcBorders>
            <w:vAlign w:val="center"/>
          </w:tcPr>
          <w:p w14:paraId="4EC5898D"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32(64)</w:t>
            </w:r>
          </w:p>
        </w:tc>
      </w:tr>
    </w:tbl>
    <w:p w14:paraId="68C72D65" w14:textId="77777777" w:rsidR="00A60F08" w:rsidRPr="00C72567" w:rsidRDefault="00A60F08" w:rsidP="00DF2360">
      <w:pPr>
        <w:spacing w:after="0" w:line="360" w:lineRule="auto"/>
        <w:rPr>
          <w:rFonts w:ascii="Times New Roman" w:hAnsi="Times New Roman"/>
          <w:sz w:val="24"/>
          <w:szCs w:val="24"/>
          <w:lang w:bidi="en-US"/>
        </w:rPr>
      </w:pPr>
    </w:p>
    <w:p w14:paraId="3C256CE9" w14:textId="4A8343DB" w:rsidR="001E1840" w:rsidRPr="00DF2360" w:rsidRDefault="00A60F08" w:rsidP="00DF2360">
      <w:pPr>
        <w:autoSpaceDE w:val="0"/>
        <w:autoSpaceDN w:val="0"/>
        <w:adjustRightInd w:val="0"/>
        <w:spacing w:after="0" w:line="360" w:lineRule="auto"/>
        <w:jc w:val="both"/>
        <w:rPr>
          <w:rFonts w:ascii="Times New Roman" w:eastAsiaTheme="minorHAnsi" w:hAnsi="Times New Roman"/>
          <w:sz w:val="24"/>
          <w:szCs w:val="24"/>
        </w:rPr>
      </w:pPr>
      <w:r w:rsidRPr="00DF2360">
        <w:rPr>
          <w:rFonts w:ascii="Times New Roman" w:eastAsiaTheme="minorHAnsi" w:hAnsi="Times New Roman"/>
          <w:sz w:val="24"/>
          <w:szCs w:val="24"/>
        </w:rPr>
        <w:t xml:space="preserve">The mean age for the entire cohort </w:t>
      </w:r>
      <w:r w:rsidR="005526AA" w:rsidRPr="00DF2360">
        <w:rPr>
          <w:rFonts w:ascii="Times New Roman" w:eastAsiaTheme="minorHAnsi" w:hAnsi="Times New Roman"/>
          <w:sz w:val="24"/>
          <w:szCs w:val="24"/>
        </w:rPr>
        <w:t>(</w:t>
      </w:r>
      <w:r w:rsidRPr="00DF2360">
        <w:rPr>
          <w:rFonts w:ascii="Times New Roman" w:eastAsiaTheme="minorHAnsi" w:hAnsi="Times New Roman"/>
          <w:sz w:val="24"/>
          <w:szCs w:val="24"/>
        </w:rPr>
        <w:t>n=50</w:t>
      </w:r>
      <w:r w:rsidR="005526AA" w:rsidRPr="00DF2360">
        <w:rPr>
          <w:rFonts w:ascii="Times New Roman" w:eastAsiaTheme="minorHAnsi" w:hAnsi="Times New Roman"/>
          <w:sz w:val="24"/>
          <w:szCs w:val="24"/>
        </w:rPr>
        <w:t>)</w:t>
      </w:r>
      <w:r w:rsidRPr="00DF2360">
        <w:rPr>
          <w:rFonts w:ascii="Times New Roman" w:eastAsiaTheme="minorHAnsi" w:hAnsi="Times New Roman"/>
          <w:sz w:val="24"/>
          <w:szCs w:val="24"/>
        </w:rPr>
        <w:t xml:space="preserve"> was 70 years with </w:t>
      </w:r>
      <w:r w:rsidR="005C23FB" w:rsidRPr="00DF2360">
        <w:rPr>
          <w:rFonts w:ascii="Times New Roman" w:eastAsiaTheme="minorHAnsi" w:hAnsi="Times New Roman"/>
          <w:sz w:val="24"/>
          <w:szCs w:val="24"/>
        </w:rPr>
        <w:t>SD</w:t>
      </w:r>
      <w:r w:rsidRPr="00DF2360">
        <w:rPr>
          <w:rFonts w:ascii="Times New Roman" w:eastAsiaTheme="minorHAnsi" w:hAnsi="Times New Roman"/>
          <w:sz w:val="24"/>
          <w:szCs w:val="24"/>
        </w:rPr>
        <w:t xml:space="preserve"> of 7.</w:t>
      </w:r>
      <w:r w:rsidR="00F20901" w:rsidRPr="00DF2360">
        <w:rPr>
          <w:rFonts w:ascii="Times New Roman" w:eastAsiaTheme="minorHAnsi" w:hAnsi="Times New Roman"/>
          <w:sz w:val="24"/>
          <w:szCs w:val="24"/>
        </w:rPr>
        <w:t>7. Results</w:t>
      </w:r>
      <w:r w:rsidRPr="00DF2360">
        <w:rPr>
          <w:rFonts w:ascii="Times New Roman" w:eastAsiaTheme="minorHAnsi" w:hAnsi="Times New Roman"/>
          <w:sz w:val="24"/>
          <w:szCs w:val="24"/>
        </w:rPr>
        <w:t xml:space="preserve"> of </w:t>
      </w:r>
      <w:r w:rsidR="00DE5B2F" w:rsidRPr="00DF2360">
        <w:rPr>
          <w:rFonts w:ascii="Times New Roman" w:eastAsiaTheme="minorHAnsi" w:hAnsi="Times New Roman"/>
          <w:sz w:val="24"/>
          <w:szCs w:val="24"/>
        </w:rPr>
        <w:t>PSA (</w:t>
      </w:r>
      <w:r w:rsidRPr="00DF2360">
        <w:rPr>
          <w:rFonts w:ascii="Times New Roman" w:eastAsiaTheme="minorHAnsi" w:hAnsi="Times New Roman"/>
          <w:sz w:val="24"/>
          <w:szCs w:val="24"/>
        </w:rPr>
        <w:t>ng/ml) values by categories show</w:t>
      </w:r>
      <w:r w:rsidR="00795413" w:rsidRPr="00DF2360">
        <w:rPr>
          <w:rFonts w:ascii="Times New Roman" w:eastAsiaTheme="minorHAnsi" w:hAnsi="Times New Roman"/>
          <w:sz w:val="24"/>
          <w:szCs w:val="24"/>
        </w:rPr>
        <w:t>ed</w:t>
      </w:r>
      <w:r w:rsidRPr="00DF2360">
        <w:rPr>
          <w:rFonts w:ascii="Times New Roman" w:eastAsiaTheme="minorHAnsi" w:hAnsi="Times New Roman"/>
          <w:sz w:val="24"/>
          <w:szCs w:val="24"/>
        </w:rPr>
        <w:t xml:space="preserve"> </w:t>
      </w:r>
      <w:r w:rsidR="005526AA" w:rsidRPr="00DF2360">
        <w:rPr>
          <w:rFonts w:ascii="Times New Roman" w:eastAsiaTheme="minorHAnsi" w:hAnsi="Times New Roman"/>
          <w:sz w:val="24"/>
          <w:szCs w:val="24"/>
        </w:rPr>
        <w:t xml:space="preserve">the </w:t>
      </w:r>
      <w:r w:rsidRPr="00DF2360">
        <w:rPr>
          <w:rFonts w:ascii="Times New Roman" w:eastAsiaTheme="minorHAnsi" w:hAnsi="Times New Roman"/>
          <w:sz w:val="24"/>
          <w:szCs w:val="24"/>
        </w:rPr>
        <w:t xml:space="preserve">majority of patients </w:t>
      </w:r>
      <w:r w:rsidR="00795413" w:rsidRPr="00DF2360">
        <w:rPr>
          <w:rFonts w:ascii="Times New Roman" w:eastAsiaTheme="minorHAnsi" w:hAnsi="Times New Roman"/>
          <w:sz w:val="24"/>
          <w:szCs w:val="24"/>
        </w:rPr>
        <w:t xml:space="preserve">(n=20) </w:t>
      </w:r>
      <w:r w:rsidRPr="00DF2360">
        <w:rPr>
          <w:rFonts w:ascii="Times New Roman" w:eastAsiaTheme="minorHAnsi" w:hAnsi="Times New Roman"/>
          <w:sz w:val="24"/>
          <w:szCs w:val="24"/>
        </w:rPr>
        <w:t xml:space="preserve">had a PSA above </w:t>
      </w:r>
      <w:proofErr w:type="gramStart"/>
      <w:r w:rsidRPr="00DF2360">
        <w:rPr>
          <w:rFonts w:ascii="Times New Roman" w:eastAsiaTheme="minorHAnsi" w:hAnsi="Times New Roman"/>
          <w:sz w:val="24"/>
          <w:szCs w:val="24"/>
        </w:rPr>
        <w:t>30,.</w:t>
      </w:r>
      <w:proofErr w:type="gramEnd"/>
      <w:r w:rsidRPr="00DF2360">
        <w:rPr>
          <w:rFonts w:ascii="Times New Roman" w:eastAsiaTheme="minorHAnsi" w:hAnsi="Times New Roman"/>
          <w:sz w:val="24"/>
          <w:szCs w:val="24"/>
        </w:rPr>
        <w:t xml:space="preserve"> Also </w:t>
      </w:r>
      <w:r w:rsidR="005526AA" w:rsidRPr="00DF2360">
        <w:rPr>
          <w:rFonts w:ascii="Times New Roman" w:eastAsiaTheme="minorHAnsi" w:hAnsi="Times New Roman"/>
          <w:sz w:val="24"/>
          <w:szCs w:val="24"/>
        </w:rPr>
        <w:t xml:space="preserve">the </w:t>
      </w:r>
      <w:r w:rsidRPr="00DF2360">
        <w:rPr>
          <w:rFonts w:ascii="Times New Roman" w:eastAsiaTheme="minorHAnsi" w:hAnsi="Times New Roman"/>
          <w:sz w:val="24"/>
          <w:szCs w:val="24"/>
        </w:rPr>
        <w:t>majority of patients n=28</w:t>
      </w:r>
      <w:r w:rsidR="005526AA" w:rsidRPr="00DF2360">
        <w:rPr>
          <w:rFonts w:ascii="Times New Roman" w:eastAsiaTheme="minorHAnsi" w:hAnsi="Times New Roman"/>
          <w:sz w:val="24"/>
          <w:szCs w:val="24"/>
        </w:rPr>
        <w:t xml:space="preserve"> </w:t>
      </w:r>
      <w:r w:rsidRPr="00DF2360">
        <w:rPr>
          <w:rFonts w:ascii="Times New Roman" w:eastAsiaTheme="minorHAnsi" w:hAnsi="Times New Roman"/>
          <w:sz w:val="24"/>
          <w:szCs w:val="24"/>
        </w:rPr>
        <w:t>(56%) had a T1or T2 clinical stage.</w:t>
      </w:r>
      <w:r w:rsidRPr="00DF2360">
        <w:rPr>
          <w:rFonts w:ascii="Times New Roman" w:hAnsi="Times New Roman"/>
          <w:sz w:val="24"/>
          <w:szCs w:val="24"/>
        </w:rPr>
        <w:t xml:space="preserve"> </w:t>
      </w:r>
      <w:r w:rsidR="005526AA" w:rsidRPr="00DF2360">
        <w:rPr>
          <w:rFonts w:ascii="Times New Roman" w:hAnsi="Times New Roman"/>
          <w:sz w:val="24"/>
          <w:szCs w:val="24"/>
        </w:rPr>
        <w:t xml:space="preserve">Nineteen </w:t>
      </w:r>
      <w:r w:rsidRPr="00DF2360">
        <w:rPr>
          <w:rFonts w:ascii="Times New Roman" w:hAnsi="Times New Roman"/>
          <w:sz w:val="24"/>
          <w:szCs w:val="24"/>
        </w:rPr>
        <w:t xml:space="preserve">(38%) had Gleason score </w:t>
      </w:r>
      <w:r w:rsidR="00F20901" w:rsidRPr="00DF2360">
        <w:rPr>
          <w:rFonts w:ascii="Times New Roman" w:hAnsi="Times New Roman"/>
          <w:sz w:val="24"/>
          <w:szCs w:val="24"/>
        </w:rPr>
        <w:t>with secondary pattern</w:t>
      </w:r>
      <w:r w:rsidRPr="00DF2360">
        <w:rPr>
          <w:rFonts w:ascii="Times New Roman" w:hAnsi="Times New Roman"/>
          <w:sz w:val="24"/>
          <w:szCs w:val="24"/>
        </w:rPr>
        <w:t xml:space="preserve"> 4or 5.</w:t>
      </w:r>
      <w:r w:rsidR="005526AA" w:rsidRPr="00DF2360">
        <w:rPr>
          <w:rFonts w:ascii="Times New Roman" w:hAnsi="Times New Roman"/>
          <w:sz w:val="24"/>
          <w:szCs w:val="24"/>
        </w:rPr>
        <w:t xml:space="preserve"> </w:t>
      </w:r>
      <w:r w:rsidRPr="00DF2360">
        <w:rPr>
          <w:rFonts w:ascii="Times New Roman" w:eastAsiaTheme="minorHAnsi" w:hAnsi="Times New Roman"/>
          <w:sz w:val="24"/>
          <w:szCs w:val="24"/>
        </w:rPr>
        <w:t>Most of the patient</w:t>
      </w:r>
      <w:r w:rsidRPr="00DF2360">
        <w:rPr>
          <w:rFonts w:ascii="Times New Roman" w:hAnsi="Times New Roman"/>
          <w:sz w:val="24"/>
          <w:szCs w:val="24"/>
        </w:rPr>
        <w:t xml:space="preserve">s n=28(56%) had a percentage of core </w:t>
      </w:r>
      <w:r w:rsidR="00F20901" w:rsidRPr="00DF2360">
        <w:rPr>
          <w:rFonts w:ascii="Times New Roman" w:hAnsi="Times New Roman"/>
          <w:sz w:val="24"/>
          <w:szCs w:val="24"/>
        </w:rPr>
        <w:t>biopsy positive</w:t>
      </w:r>
      <w:r w:rsidRPr="00DF2360">
        <w:rPr>
          <w:rFonts w:ascii="Times New Roman" w:hAnsi="Times New Roman"/>
          <w:sz w:val="24"/>
          <w:szCs w:val="24"/>
        </w:rPr>
        <w:t xml:space="preserve"> for cancer of less than 34%, </w:t>
      </w:r>
      <w:r w:rsidRPr="00DF2360">
        <w:rPr>
          <w:rFonts w:ascii="Times New Roman" w:eastAsia="Calibri" w:hAnsi="Times New Roman"/>
          <w:sz w:val="24"/>
          <w:szCs w:val="24"/>
        </w:rPr>
        <w:t>but a broad range of patient characteristics were represented in Table 1.</w:t>
      </w:r>
      <w:bookmarkStart w:id="2" w:name="_Toc514628047"/>
    </w:p>
    <w:p w14:paraId="02CFEBBC" w14:textId="5209E4B6" w:rsidR="00A60F08" w:rsidRPr="00C72567" w:rsidRDefault="00A60F08" w:rsidP="00DF2360">
      <w:pPr>
        <w:spacing w:line="360" w:lineRule="auto"/>
        <w:rPr>
          <w:rFonts w:ascii="Times New Roman" w:eastAsiaTheme="minorHAnsi" w:hAnsi="Times New Roman"/>
          <w:b/>
          <w:bCs/>
          <w:sz w:val="24"/>
          <w:szCs w:val="24"/>
        </w:rPr>
      </w:pPr>
      <w:r w:rsidRPr="00DF2360">
        <w:rPr>
          <w:rFonts w:ascii="Times New Roman" w:hAnsi="Times New Roman"/>
          <w:b/>
          <w:bCs/>
          <w:sz w:val="24"/>
          <w:szCs w:val="24"/>
        </w:rPr>
        <w:t xml:space="preserve">Table </w:t>
      </w:r>
      <w:r w:rsidRPr="00C72567">
        <w:rPr>
          <w:rFonts w:ascii="Times New Roman" w:hAnsi="Times New Roman"/>
          <w:b/>
          <w:bCs/>
          <w:sz w:val="24"/>
          <w:szCs w:val="24"/>
        </w:rPr>
        <w:fldChar w:fldCharType="begin"/>
      </w:r>
      <w:r w:rsidRPr="00DF2360">
        <w:rPr>
          <w:rFonts w:ascii="Times New Roman" w:hAnsi="Times New Roman"/>
          <w:b/>
          <w:bCs/>
          <w:sz w:val="24"/>
          <w:szCs w:val="24"/>
        </w:rPr>
        <w:instrText xml:space="preserve"> SEQ Table \* ARABIC </w:instrText>
      </w:r>
      <w:r w:rsidRPr="00C72567">
        <w:rPr>
          <w:rFonts w:ascii="Times New Roman" w:hAnsi="Times New Roman"/>
          <w:b/>
          <w:bCs/>
          <w:sz w:val="24"/>
          <w:szCs w:val="24"/>
        </w:rPr>
        <w:fldChar w:fldCharType="separate"/>
      </w:r>
      <w:r w:rsidRPr="00C72567">
        <w:rPr>
          <w:rFonts w:ascii="Times New Roman" w:hAnsi="Times New Roman"/>
          <w:b/>
          <w:bCs/>
          <w:noProof/>
          <w:sz w:val="24"/>
          <w:szCs w:val="24"/>
        </w:rPr>
        <w:t>2</w:t>
      </w:r>
      <w:r w:rsidRPr="00C72567">
        <w:rPr>
          <w:rFonts w:ascii="Times New Roman" w:hAnsi="Times New Roman"/>
          <w:b/>
          <w:bCs/>
          <w:sz w:val="24"/>
          <w:szCs w:val="24"/>
        </w:rPr>
        <w:fldChar w:fldCharType="end"/>
      </w:r>
      <w:r w:rsidRPr="00C72567">
        <w:rPr>
          <w:rFonts w:ascii="Times New Roman" w:hAnsi="Times New Roman"/>
          <w:b/>
          <w:bCs/>
          <w:sz w:val="24"/>
          <w:szCs w:val="24"/>
        </w:rPr>
        <w:t>: CAPRA score risk group</w:t>
      </w:r>
      <w:bookmarkEnd w:id="2"/>
    </w:p>
    <w:tbl>
      <w:tblPr>
        <w:tblStyle w:val="TableGrid"/>
        <w:tblW w:w="0" w:type="auto"/>
        <w:tblInd w:w="1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430"/>
      </w:tblGrid>
      <w:tr w:rsidR="00A60F08" w:rsidRPr="00DF2360" w14:paraId="5EA0790A" w14:textId="77777777" w:rsidTr="00492EDB">
        <w:tc>
          <w:tcPr>
            <w:tcW w:w="4590" w:type="dxa"/>
            <w:tcBorders>
              <w:top w:val="single" w:sz="4" w:space="0" w:color="auto"/>
              <w:bottom w:val="single" w:sz="4" w:space="0" w:color="auto"/>
            </w:tcBorders>
          </w:tcPr>
          <w:p w14:paraId="7D932A8A" w14:textId="77777777" w:rsidR="00A60F08" w:rsidRPr="00DF2360" w:rsidRDefault="00A60F08" w:rsidP="00DF2360">
            <w:pPr>
              <w:spacing w:line="360" w:lineRule="auto"/>
              <w:rPr>
                <w:rFonts w:ascii="Times New Roman" w:hAnsi="Times New Roman"/>
                <w:b/>
                <w:sz w:val="24"/>
                <w:szCs w:val="24"/>
                <w:lang w:bidi="en-US"/>
              </w:rPr>
            </w:pPr>
          </w:p>
          <w:p w14:paraId="11D3E686" w14:textId="77777777" w:rsidR="00A60F08" w:rsidRPr="00DF2360" w:rsidRDefault="00A60F08" w:rsidP="00DF2360">
            <w:pPr>
              <w:spacing w:line="360" w:lineRule="auto"/>
              <w:rPr>
                <w:rFonts w:ascii="Times New Roman" w:hAnsi="Times New Roman"/>
                <w:b/>
                <w:sz w:val="24"/>
                <w:szCs w:val="24"/>
                <w:lang w:bidi="en-US"/>
              </w:rPr>
            </w:pPr>
            <w:r w:rsidRPr="00DF2360">
              <w:rPr>
                <w:rFonts w:ascii="Times New Roman" w:hAnsi="Times New Roman"/>
                <w:b/>
                <w:sz w:val="24"/>
                <w:szCs w:val="24"/>
                <w:lang w:bidi="en-US"/>
              </w:rPr>
              <w:t>CAPRA score risk group</w:t>
            </w:r>
          </w:p>
        </w:tc>
        <w:tc>
          <w:tcPr>
            <w:tcW w:w="2430" w:type="dxa"/>
            <w:tcBorders>
              <w:top w:val="single" w:sz="4" w:space="0" w:color="auto"/>
              <w:bottom w:val="single" w:sz="4" w:space="0" w:color="auto"/>
            </w:tcBorders>
          </w:tcPr>
          <w:p w14:paraId="093F6CF0" w14:textId="77777777" w:rsidR="00A60F08" w:rsidRPr="00DF2360" w:rsidRDefault="00A60F08" w:rsidP="00DF2360">
            <w:pPr>
              <w:spacing w:line="360" w:lineRule="auto"/>
              <w:rPr>
                <w:rFonts w:ascii="Times New Roman" w:hAnsi="Times New Roman"/>
                <w:b/>
                <w:sz w:val="24"/>
                <w:szCs w:val="24"/>
                <w:lang w:bidi="en-US"/>
              </w:rPr>
            </w:pPr>
            <w:r w:rsidRPr="00DF2360">
              <w:rPr>
                <w:rFonts w:ascii="Times New Roman" w:hAnsi="Times New Roman"/>
                <w:b/>
                <w:sz w:val="24"/>
                <w:szCs w:val="24"/>
                <w:lang w:bidi="en-US"/>
              </w:rPr>
              <w:t xml:space="preserve">                                                                      </w:t>
            </w:r>
          </w:p>
          <w:p w14:paraId="6142E6E3" w14:textId="77777777" w:rsidR="00A60F08" w:rsidRPr="00DF2360" w:rsidRDefault="00A60F08" w:rsidP="00DF2360">
            <w:pPr>
              <w:spacing w:line="360" w:lineRule="auto"/>
              <w:rPr>
                <w:rFonts w:ascii="Times New Roman" w:hAnsi="Times New Roman"/>
                <w:b/>
                <w:sz w:val="24"/>
                <w:szCs w:val="24"/>
                <w:lang w:bidi="en-US"/>
              </w:rPr>
            </w:pPr>
            <w:r w:rsidRPr="00DF2360">
              <w:rPr>
                <w:rFonts w:ascii="Times New Roman" w:hAnsi="Times New Roman"/>
                <w:b/>
                <w:sz w:val="24"/>
                <w:szCs w:val="24"/>
                <w:lang w:bidi="en-US"/>
              </w:rPr>
              <w:t xml:space="preserve">                      No. (%)</w:t>
            </w:r>
          </w:p>
        </w:tc>
      </w:tr>
      <w:tr w:rsidR="00A60F08" w:rsidRPr="00DF2360" w14:paraId="20E38B99" w14:textId="77777777" w:rsidTr="00492EDB">
        <w:tc>
          <w:tcPr>
            <w:tcW w:w="4590" w:type="dxa"/>
            <w:tcBorders>
              <w:top w:val="single" w:sz="4" w:space="0" w:color="auto"/>
            </w:tcBorders>
            <w:vAlign w:val="center"/>
          </w:tcPr>
          <w:p w14:paraId="4D506806" w14:textId="77777777" w:rsidR="00A60F08" w:rsidRPr="00DF2360"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lastRenderedPageBreak/>
              <w:t xml:space="preserve">0 </w:t>
            </w:r>
            <w:r w:rsidR="00D9089D" w:rsidRPr="00C72567">
              <w:rPr>
                <w:rFonts w:ascii="Times New Roman" w:hAnsi="Times New Roman"/>
                <w:sz w:val="24"/>
                <w:szCs w:val="24"/>
              </w:rPr>
              <w:t>–</w:t>
            </w:r>
            <w:r w:rsidRPr="00DF2360">
              <w:rPr>
                <w:rFonts w:ascii="Times New Roman" w:hAnsi="Times New Roman"/>
                <w:sz w:val="24"/>
                <w:szCs w:val="24"/>
              </w:rPr>
              <w:t xml:space="preserve"> 2</w:t>
            </w:r>
          </w:p>
        </w:tc>
        <w:tc>
          <w:tcPr>
            <w:tcW w:w="2430" w:type="dxa"/>
            <w:tcBorders>
              <w:top w:val="single" w:sz="4" w:space="0" w:color="auto"/>
            </w:tcBorders>
            <w:vAlign w:val="center"/>
          </w:tcPr>
          <w:p w14:paraId="20B37D88"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6 (12)</w:t>
            </w:r>
          </w:p>
        </w:tc>
      </w:tr>
      <w:tr w:rsidR="00A60F08" w:rsidRPr="00DF2360" w14:paraId="69CA961E" w14:textId="77777777" w:rsidTr="00492EDB">
        <w:tc>
          <w:tcPr>
            <w:tcW w:w="4590" w:type="dxa"/>
            <w:vAlign w:val="center"/>
          </w:tcPr>
          <w:p w14:paraId="546F211B" w14:textId="77777777" w:rsidR="00A60F08" w:rsidRPr="00DF2360"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3 </w:t>
            </w:r>
            <w:r w:rsidR="00D9089D" w:rsidRPr="00C72567">
              <w:rPr>
                <w:rFonts w:ascii="Times New Roman" w:hAnsi="Times New Roman"/>
                <w:sz w:val="24"/>
                <w:szCs w:val="24"/>
              </w:rPr>
              <w:t>–</w:t>
            </w:r>
            <w:r w:rsidRPr="00DF2360">
              <w:rPr>
                <w:rFonts w:ascii="Times New Roman" w:hAnsi="Times New Roman"/>
                <w:sz w:val="24"/>
                <w:szCs w:val="24"/>
              </w:rPr>
              <w:t xml:space="preserve"> 5</w:t>
            </w:r>
          </w:p>
        </w:tc>
        <w:tc>
          <w:tcPr>
            <w:tcW w:w="2430" w:type="dxa"/>
            <w:vAlign w:val="center"/>
          </w:tcPr>
          <w:p w14:paraId="4655EF4F"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17 (34)</w:t>
            </w:r>
          </w:p>
        </w:tc>
      </w:tr>
      <w:tr w:rsidR="00A60F08" w:rsidRPr="00DF2360" w14:paraId="32914F95" w14:textId="77777777" w:rsidTr="00492EDB">
        <w:tc>
          <w:tcPr>
            <w:tcW w:w="4590" w:type="dxa"/>
            <w:vAlign w:val="center"/>
          </w:tcPr>
          <w:p w14:paraId="1BEDF6BC" w14:textId="77777777" w:rsidR="00A60F08" w:rsidRPr="00DF2360"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6 </w:t>
            </w:r>
            <w:r w:rsidR="00D9089D" w:rsidRPr="00C72567">
              <w:rPr>
                <w:rFonts w:ascii="Times New Roman" w:hAnsi="Times New Roman"/>
                <w:sz w:val="24"/>
                <w:szCs w:val="24"/>
              </w:rPr>
              <w:t>–</w:t>
            </w:r>
            <w:r w:rsidRPr="00DF2360">
              <w:rPr>
                <w:rFonts w:ascii="Times New Roman" w:hAnsi="Times New Roman"/>
                <w:sz w:val="24"/>
                <w:szCs w:val="24"/>
              </w:rPr>
              <w:t xml:space="preserve"> 10</w:t>
            </w:r>
          </w:p>
        </w:tc>
        <w:tc>
          <w:tcPr>
            <w:tcW w:w="2430" w:type="dxa"/>
            <w:vAlign w:val="center"/>
          </w:tcPr>
          <w:p w14:paraId="131F4B1D"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27 (54)</w:t>
            </w:r>
          </w:p>
        </w:tc>
      </w:tr>
      <w:tr w:rsidR="00A60F08" w:rsidRPr="00DF2360" w14:paraId="16462708" w14:textId="77777777" w:rsidTr="00492EDB">
        <w:tc>
          <w:tcPr>
            <w:tcW w:w="4590" w:type="dxa"/>
            <w:vAlign w:val="center"/>
          </w:tcPr>
          <w:p w14:paraId="0BA6DBE0"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Total</w:t>
            </w:r>
          </w:p>
        </w:tc>
        <w:tc>
          <w:tcPr>
            <w:tcW w:w="2430" w:type="dxa"/>
            <w:vAlign w:val="center"/>
          </w:tcPr>
          <w:p w14:paraId="1B4DE490"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 xml:space="preserve">      50(100)</w:t>
            </w:r>
          </w:p>
        </w:tc>
      </w:tr>
    </w:tbl>
    <w:p w14:paraId="1C5412A9" w14:textId="77777777" w:rsidR="00A60F08" w:rsidRPr="00C72567" w:rsidRDefault="00A60F08" w:rsidP="00DF2360">
      <w:pPr>
        <w:autoSpaceDE w:val="0"/>
        <w:autoSpaceDN w:val="0"/>
        <w:adjustRightInd w:val="0"/>
        <w:spacing w:after="0" w:line="360" w:lineRule="auto"/>
        <w:ind w:left="60" w:right="60"/>
        <w:rPr>
          <w:rFonts w:ascii="Times New Roman" w:eastAsiaTheme="minorHAnsi" w:hAnsi="Times New Roman"/>
          <w:bCs/>
          <w:sz w:val="24"/>
          <w:szCs w:val="24"/>
        </w:rPr>
      </w:pPr>
    </w:p>
    <w:p w14:paraId="605C8C13" w14:textId="1BBD078E" w:rsidR="00A60F08" w:rsidRPr="00DF2360" w:rsidRDefault="00A60F08" w:rsidP="00DF2360">
      <w:pPr>
        <w:autoSpaceDE w:val="0"/>
        <w:autoSpaceDN w:val="0"/>
        <w:adjustRightInd w:val="0"/>
        <w:spacing w:after="0" w:line="360" w:lineRule="auto"/>
        <w:ind w:left="60" w:right="60"/>
        <w:jc w:val="both"/>
        <w:rPr>
          <w:rFonts w:ascii="Times New Roman" w:eastAsiaTheme="minorHAnsi" w:hAnsi="Times New Roman"/>
          <w:bCs/>
          <w:sz w:val="24"/>
          <w:szCs w:val="24"/>
        </w:rPr>
      </w:pPr>
      <w:r w:rsidRPr="00C72567">
        <w:rPr>
          <w:rFonts w:ascii="Times New Roman" w:eastAsiaTheme="minorHAnsi" w:hAnsi="Times New Roman"/>
          <w:bCs/>
          <w:sz w:val="24"/>
          <w:szCs w:val="24"/>
        </w:rPr>
        <w:t xml:space="preserve">Table 2 shows CAPRA score risk group results, a majority n=27 (54%) had a high risk score of 6-10, followed by n=17 (34%) with an intermediate risk score of 3-5 and </w:t>
      </w:r>
      <w:r w:rsidRPr="00DF2360">
        <w:rPr>
          <w:rFonts w:ascii="Times New Roman" w:eastAsiaTheme="minorHAnsi" w:hAnsi="Times New Roman"/>
          <w:bCs/>
          <w:sz w:val="24"/>
          <w:szCs w:val="24"/>
        </w:rPr>
        <w:t>6</w:t>
      </w:r>
      <w:r w:rsidR="00795413" w:rsidRPr="00DF2360">
        <w:rPr>
          <w:rFonts w:ascii="Times New Roman" w:eastAsiaTheme="minorHAnsi" w:hAnsi="Times New Roman"/>
          <w:bCs/>
          <w:sz w:val="24"/>
          <w:szCs w:val="24"/>
        </w:rPr>
        <w:t xml:space="preserve"> patients </w:t>
      </w:r>
      <w:r w:rsidRPr="00DF2360">
        <w:rPr>
          <w:rFonts w:ascii="Times New Roman" w:eastAsiaTheme="minorHAnsi" w:hAnsi="Times New Roman"/>
          <w:bCs/>
          <w:sz w:val="24"/>
          <w:szCs w:val="24"/>
        </w:rPr>
        <w:t>(12%) belonged to the low risk score CAPRA category.</w:t>
      </w:r>
    </w:p>
    <w:p w14:paraId="597694F6" w14:textId="77777777" w:rsidR="00A60F08" w:rsidRPr="00DF2360" w:rsidRDefault="00A60F08" w:rsidP="00DF2360">
      <w:pPr>
        <w:spacing w:after="0" w:line="360" w:lineRule="auto"/>
        <w:rPr>
          <w:rFonts w:ascii="Times New Roman" w:hAnsi="Times New Roman"/>
          <w:sz w:val="24"/>
          <w:szCs w:val="24"/>
          <w:lang w:bidi="en-US"/>
        </w:rPr>
      </w:pPr>
    </w:p>
    <w:p w14:paraId="353D75F6" w14:textId="77777777" w:rsidR="00A60F08" w:rsidRPr="00C72567" w:rsidRDefault="00A60F08" w:rsidP="00DF2360">
      <w:pPr>
        <w:spacing w:line="360" w:lineRule="auto"/>
        <w:rPr>
          <w:rFonts w:ascii="Times New Roman" w:hAnsi="Times New Roman"/>
          <w:bCs/>
          <w:sz w:val="24"/>
          <w:szCs w:val="24"/>
          <w:lang w:bidi="en-US"/>
        </w:rPr>
      </w:pPr>
      <w:bookmarkStart w:id="3" w:name="_Toc514628048"/>
      <w:r w:rsidRPr="00DF2360">
        <w:rPr>
          <w:rFonts w:ascii="Times New Roman" w:hAnsi="Times New Roman"/>
          <w:b/>
          <w:bCs/>
          <w:sz w:val="24"/>
          <w:szCs w:val="24"/>
        </w:rPr>
        <w:t xml:space="preserve">Table </w:t>
      </w:r>
      <w:r w:rsidRPr="00C72567">
        <w:rPr>
          <w:rFonts w:ascii="Times New Roman" w:hAnsi="Times New Roman"/>
          <w:b/>
          <w:bCs/>
          <w:sz w:val="24"/>
          <w:szCs w:val="24"/>
        </w:rPr>
        <w:fldChar w:fldCharType="begin"/>
      </w:r>
      <w:r w:rsidRPr="00DF2360">
        <w:rPr>
          <w:rFonts w:ascii="Times New Roman" w:hAnsi="Times New Roman"/>
          <w:b/>
          <w:bCs/>
          <w:sz w:val="24"/>
          <w:szCs w:val="24"/>
        </w:rPr>
        <w:instrText xml:space="preserve"> SEQ Table \* ARABIC </w:instrText>
      </w:r>
      <w:r w:rsidRPr="00C72567">
        <w:rPr>
          <w:rFonts w:ascii="Times New Roman" w:hAnsi="Times New Roman"/>
          <w:b/>
          <w:bCs/>
          <w:sz w:val="24"/>
          <w:szCs w:val="24"/>
        </w:rPr>
        <w:fldChar w:fldCharType="separate"/>
      </w:r>
      <w:r w:rsidRPr="00C72567">
        <w:rPr>
          <w:rFonts w:ascii="Times New Roman" w:hAnsi="Times New Roman"/>
          <w:b/>
          <w:bCs/>
          <w:noProof/>
          <w:sz w:val="24"/>
          <w:szCs w:val="24"/>
        </w:rPr>
        <w:t>3</w:t>
      </w:r>
      <w:r w:rsidRPr="00C72567">
        <w:rPr>
          <w:rFonts w:ascii="Times New Roman" w:hAnsi="Times New Roman"/>
          <w:b/>
          <w:bCs/>
          <w:sz w:val="24"/>
          <w:szCs w:val="24"/>
        </w:rPr>
        <w:fldChar w:fldCharType="end"/>
      </w:r>
      <w:r w:rsidRPr="00C72567">
        <w:rPr>
          <w:rFonts w:ascii="Times New Roman" w:hAnsi="Times New Roman"/>
          <w:b/>
          <w:bCs/>
          <w:sz w:val="24"/>
          <w:szCs w:val="24"/>
        </w:rPr>
        <w:t>: Distribution of Cancer of the Prostate Risk Assessment (CAPRA) scores by primary treatment type given.</w:t>
      </w:r>
      <w:bookmarkEnd w:id="3"/>
    </w:p>
    <w:tbl>
      <w:tblPr>
        <w:tblW w:w="0" w:type="auto"/>
        <w:tblInd w:w="108" w:type="dxa"/>
        <w:tblBorders>
          <w:top w:val="single" w:sz="4" w:space="0" w:color="auto"/>
          <w:bottom w:val="single" w:sz="4" w:space="0" w:color="auto"/>
        </w:tblBorders>
        <w:tblLook w:val="0000" w:firstRow="0" w:lastRow="0" w:firstColumn="0" w:lastColumn="0" w:noHBand="0" w:noVBand="0"/>
      </w:tblPr>
      <w:tblGrid>
        <w:gridCol w:w="1530"/>
        <w:gridCol w:w="1800"/>
        <w:gridCol w:w="1980"/>
        <w:gridCol w:w="3330"/>
      </w:tblGrid>
      <w:tr w:rsidR="00A60F08" w:rsidRPr="00DF2360" w14:paraId="0A731D72" w14:textId="77777777" w:rsidTr="00492EDB">
        <w:trPr>
          <w:trHeight w:val="516"/>
        </w:trPr>
        <w:tc>
          <w:tcPr>
            <w:tcW w:w="1530" w:type="dxa"/>
            <w:tcBorders>
              <w:top w:val="single" w:sz="4" w:space="0" w:color="auto"/>
              <w:bottom w:val="single" w:sz="4" w:space="0" w:color="auto"/>
            </w:tcBorders>
            <w:shd w:val="clear" w:color="auto" w:fill="auto"/>
          </w:tcPr>
          <w:p w14:paraId="11E33AFB" w14:textId="77777777" w:rsidR="00A60F08" w:rsidRPr="00DF2360" w:rsidRDefault="00A60F08" w:rsidP="00DF2360">
            <w:pPr>
              <w:keepNext/>
              <w:keepLines/>
              <w:spacing w:after="0" w:line="360" w:lineRule="auto"/>
              <w:outlineLvl w:val="0"/>
              <w:rPr>
                <w:rFonts w:ascii="Times New Roman" w:hAnsi="Times New Roman"/>
                <w:sz w:val="24"/>
                <w:szCs w:val="24"/>
                <w:lang w:bidi="en-US"/>
              </w:rPr>
            </w:pPr>
          </w:p>
        </w:tc>
        <w:tc>
          <w:tcPr>
            <w:tcW w:w="7110" w:type="dxa"/>
            <w:gridSpan w:val="3"/>
            <w:tcBorders>
              <w:top w:val="single" w:sz="4" w:space="0" w:color="auto"/>
              <w:bottom w:val="single" w:sz="4" w:space="0" w:color="auto"/>
            </w:tcBorders>
          </w:tcPr>
          <w:p w14:paraId="555A7624" w14:textId="77777777" w:rsidR="00A60F08" w:rsidRPr="00DF2360" w:rsidRDefault="00A60F08" w:rsidP="00DF2360">
            <w:pPr>
              <w:spacing w:line="360" w:lineRule="auto"/>
              <w:rPr>
                <w:rFonts w:ascii="Times New Roman" w:hAnsi="Times New Roman"/>
                <w:sz w:val="24"/>
                <w:szCs w:val="24"/>
              </w:rPr>
            </w:pPr>
            <w:r w:rsidRPr="00DF2360">
              <w:rPr>
                <w:rFonts w:ascii="Times New Roman" w:hAnsi="Times New Roman"/>
                <w:sz w:val="24"/>
                <w:szCs w:val="24"/>
              </w:rPr>
              <w:t xml:space="preserve">                                                     No. of patients (%)</w:t>
            </w:r>
          </w:p>
        </w:tc>
      </w:tr>
      <w:tr w:rsidR="00A60F08" w:rsidRPr="00DF2360" w14:paraId="60B022E8" w14:textId="77777777" w:rsidTr="00492EDB">
        <w:tblPrEx>
          <w:tblCellMar>
            <w:left w:w="0" w:type="dxa"/>
            <w:right w:w="0" w:type="dxa"/>
          </w:tblCellMar>
        </w:tblPrEx>
        <w:trPr>
          <w:cantSplit/>
          <w:trHeight w:val="575"/>
        </w:trPr>
        <w:tc>
          <w:tcPr>
            <w:tcW w:w="1530" w:type="dxa"/>
            <w:tcBorders>
              <w:top w:val="single" w:sz="4" w:space="0" w:color="auto"/>
              <w:bottom w:val="single" w:sz="4" w:space="0" w:color="auto"/>
            </w:tcBorders>
            <w:shd w:val="clear" w:color="auto" w:fill="FFFFFF"/>
            <w:vAlign w:val="center"/>
          </w:tcPr>
          <w:p w14:paraId="7D3D5422" w14:textId="77777777" w:rsidR="00A60F08" w:rsidRPr="00DF2360" w:rsidRDefault="00A60F08" w:rsidP="00DF2360">
            <w:pPr>
              <w:autoSpaceDE w:val="0"/>
              <w:autoSpaceDN w:val="0"/>
              <w:adjustRightInd w:val="0"/>
              <w:spacing w:after="0" w:line="360" w:lineRule="auto"/>
              <w:ind w:right="60"/>
              <w:rPr>
                <w:rFonts w:ascii="Times New Roman" w:hAnsi="Times New Roman"/>
                <w:sz w:val="24"/>
                <w:szCs w:val="24"/>
              </w:rPr>
            </w:pPr>
            <w:r w:rsidRPr="00C72567">
              <w:rPr>
                <w:rFonts w:ascii="Times New Roman" w:hAnsi="Times New Roman"/>
                <w:b/>
                <w:sz w:val="24"/>
                <w:szCs w:val="24"/>
              </w:rPr>
              <w:t>CAPRA score(</w:t>
            </w:r>
            <w:r w:rsidRPr="00C72567">
              <w:rPr>
                <w:rFonts w:ascii="Times New Roman" w:hAnsi="Times New Roman"/>
                <w:sz w:val="24"/>
                <w:szCs w:val="24"/>
              </w:rPr>
              <w:t>s)</w:t>
            </w:r>
          </w:p>
        </w:tc>
        <w:tc>
          <w:tcPr>
            <w:tcW w:w="1800" w:type="dxa"/>
            <w:tcBorders>
              <w:top w:val="single" w:sz="4" w:space="0" w:color="auto"/>
              <w:bottom w:val="single" w:sz="4" w:space="0" w:color="auto"/>
            </w:tcBorders>
            <w:shd w:val="clear" w:color="auto" w:fill="FFFFFF"/>
          </w:tcPr>
          <w:p w14:paraId="34D1A59F" w14:textId="77777777" w:rsidR="00A60F08" w:rsidRPr="00DF2360" w:rsidRDefault="00A60F08" w:rsidP="00DF2360">
            <w:pPr>
              <w:autoSpaceDE w:val="0"/>
              <w:autoSpaceDN w:val="0"/>
              <w:adjustRightInd w:val="0"/>
              <w:spacing w:after="0" w:line="360" w:lineRule="auto"/>
              <w:ind w:right="60"/>
              <w:rPr>
                <w:rFonts w:ascii="Times New Roman" w:hAnsi="Times New Roman"/>
                <w:b/>
                <w:sz w:val="24"/>
                <w:szCs w:val="24"/>
              </w:rPr>
            </w:pPr>
            <w:r w:rsidRPr="00DF2360">
              <w:rPr>
                <w:rFonts w:ascii="Times New Roman" w:hAnsi="Times New Roman"/>
                <w:b/>
                <w:sz w:val="24"/>
                <w:szCs w:val="24"/>
              </w:rPr>
              <w:t xml:space="preserve">Active surveillance </w:t>
            </w:r>
          </w:p>
        </w:tc>
        <w:tc>
          <w:tcPr>
            <w:tcW w:w="1980" w:type="dxa"/>
            <w:tcBorders>
              <w:top w:val="single" w:sz="4" w:space="0" w:color="auto"/>
              <w:bottom w:val="single" w:sz="4" w:space="0" w:color="auto"/>
            </w:tcBorders>
            <w:shd w:val="clear" w:color="auto" w:fill="FFFFFF"/>
          </w:tcPr>
          <w:p w14:paraId="69CB959B" w14:textId="77777777" w:rsidR="00A60F08" w:rsidRPr="00DF2360" w:rsidRDefault="00A60F08" w:rsidP="00DF2360">
            <w:pPr>
              <w:autoSpaceDE w:val="0"/>
              <w:autoSpaceDN w:val="0"/>
              <w:adjustRightInd w:val="0"/>
              <w:spacing w:after="0" w:line="360" w:lineRule="auto"/>
              <w:ind w:right="60"/>
              <w:rPr>
                <w:rFonts w:ascii="Times New Roman" w:hAnsi="Times New Roman"/>
                <w:b/>
                <w:sz w:val="24"/>
                <w:szCs w:val="24"/>
              </w:rPr>
            </w:pPr>
            <w:r w:rsidRPr="00DF2360">
              <w:rPr>
                <w:rFonts w:ascii="Times New Roman" w:hAnsi="Times New Roman"/>
                <w:b/>
                <w:sz w:val="24"/>
                <w:szCs w:val="24"/>
              </w:rPr>
              <w:t xml:space="preserve">Radical prostatectomy  </w:t>
            </w:r>
          </w:p>
        </w:tc>
        <w:tc>
          <w:tcPr>
            <w:tcW w:w="3330" w:type="dxa"/>
            <w:tcBorders>
              <w:top w:val="single" w:sz="4" w:space="0" w:color="auto"/>
              <w:bottom w:val="single" w:sz="4" w:space="0" w:color="auto"/>
            </w:tcBorders>
            <w:shd w:val="clear" w:color="auto" w:fill="FFFFFF"/>
          </w:tcPr>
          <w:p w14:paraId="42375B23" w14:textId="77777777" w:rsidR="00A60F08" w:rsidRPr="00DF2360" w:rsidRDefault="00A60F08" w:rsidP="00DF2360">
            <w:pPr>
              <w:autoSpaceDE w:val="0"/>
              <w:autoSpaceDN w:val="0"/>
              <w:adjustRightInd w:val="0"/>
              <w:spacing w:after="0" w:line="360" w:lineRule="auto"/>
              <w:ind w:right="60"/>
              <w:rPr>
                <w:rFonts w:ascii="Times New Roman" w:hAnsi="Times New Roman"/>
                <w:b/>
                <w:sz w:val="24"/>
                <w:szCs w:val="24"/>
              </w:rPr>
            </w:pPr>
            <w:r w:rsidRPr="00DF2360">
              <w:rPr>
                <w:rFonts w:ascii="Times New Roman" w:hAnsi="Times New Roman"/>
                <w:b/>
                <w:sz w:val="24"/>
                <w:szCs w:val="24"/>
              </w:rPr>
              <w:t xml:space="preserve">Primary androgen deprivation therapy </w:t>
            </w:r>
          </w:p>
        </w:tc>
      </w:tr>
      <w:tr w:rsidR="00A60F08" w:rsidRPr="00DF2360" w14:paraId="253CA745" w14:textId="77777777" w:rsidTr="00492EDB">
        <w:tblPrEx>
          <w:tblCellMar>
            <w:left w:w="0" w:type="dxa"/>
            <w:right w:w="0" w:type="dxa"/>
          </w:tblCellMar>
        </w:tblPrEx>
        <w:trPr>
          <w:cantSplit/>
          <w:trHeight w:val="552"/>
        </w:trPr>
        <w:tc>
          <w:tcPr>
            <w:tcW w:w="1530" w:type="dxa"/>
            <w:vMerge w:val="restart"/>
            <w:tcBorders>
              <w:top w:val="single" w:sz="4" w:space="0" w:color="auto"/>
            </w:tcBorders>
            <w:shd w:val="clear" w:color="auto" w:fill="FFFFFF"/>
            <w:vAlign w:val="center"/>
          </w:tcPr>
          <w:p w14:paraId="60380C46" w14:textId="77777777" w:rsidR="00A60F08" w:rsidRPr="00C72567" w:rsidRDefault="00A60F08" w:rsidP="00DF2360">
            <w:pPr>
              <w:autoSpaceDE w:val="0"/>
              <w:autoSpaceDN w:val="0"/>
              <w:adjustRightInd w:val="0"/>
              <w:spacing w:after="0" w:line="360" w:lineRule="auto"/>
              <w:ind w:left="60" w:right="60"/>
              <w:rPr>
                <w:rFonts w:ascii="Times New Roman" w:hAnsi="Times New Roman"/>
                <w:sz w:val="24"/>
                <w:szCs w:val="24"/>
              </w:rPr>
            </w:pPr>
            <w:r w:rsidRPr="00C72567">
              <w:rPr>
                <w:rFonts w:ascii="Times New Roman" w:hAnsi="Times New Roman"/>
                <w:sz w:val="24"/>
                <w:szCs w:val="24"/>
              </w:rPr>
              <w:t>1</w:t>
            </w:r>
          </w:p>
        </w:tc>
        <w:tc>
          <w:tcPr>
            <w:tcW w:w="1800" w:type="dxa"/>
            <w:vMerge w:val="restart"/>
            <w:tcBorders>
              <w:top w:val="single" w:sz="4" w:space="0" w:color="auto"/>
            </w:tcBorders>
            <w:shd w:val="clear" w:color="auto" w:fill="FFFFFF"/>
            <w:vAlign w:val="center"/>
          </w:tcPr>
          <w:p w14:paraId="613BCC25"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1 (33.3)</w:t>
            </w:r>
          </w:p>
        </w:tc>
        <w:tc>
          <w:tcPr>
            <w:tcW w:w="1980" w:type="dxa"/>
            <w:vMerge w:val="restart"/>
            <w:tcBorders>
              <w:top w:val="single" w:sz="4" w:space="0" w:color="auto"/>
            </w:tcBorders>
            <w:shd w:val="clear" w:color="auto" w:fill="FFFFFF"/>
            <w:vAlign w:val="center"/>
          </w:tcPr>
          <w:p w14:paraId="4E1384CD"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1 (33.3)</w:t>
            </w:r>
          </w:p>
        </w:tc>
        <w:tc>
          <w:tcPr>
            <w:tcW w:w="3330" w:type="dxa"/>
            <w:vMerge w:val="restart"/>
            <w:tcBorders>
              <w:top w:val="single" w:sz="4" w:space="0" w:color="auto"/>
            </w:tcBorders>
            <w:shd w:val="clear" w:color="auto" w:fill="FFFFFF"/>
            <w:vAlign w:val="center"/>
          </w:tcPr>
          <w:p w14:paraId="5DDA92C0"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1( 33.3)</w:t>
            </w:r>
          </w:p>
        </w:tc>
      </w:tr>
      <w:tr w:rsidR="00A60F08" w:rsidRPr="00DF2360" w14:paraId="3A529F92" w14:textId="77777777" w:rsidTr="00492EDB">
        <w:tblPrEx>
          <w:tblCellMar>
            <w:left w:w="0" w:type="dxa"/>
            <w:right w:w="0" w:type="dxa"/>
          </w:tblCellMar>
        </w:tblPrEx>
        <w:trPr>
          <w:cantSplit/>
          <w:trHeight w:val="552"/>
        </w:trPr>
        <w:tc>
          <w:tcPr>
            <w:tcW w:w="1530" w:type="dxa"/>
            <w:vMerge/>
            <w:shd w:val="clear" w:color="auto" w:fill="FFFFFF"/>
            <w:vAlign w:val="center"/>
          </w:tcPr>
          <w:p w14:paraId="22E9BB8A" w14:textId="77777777" w:rsidR="00A60F08" w:rsidRPr="00DF2360" w:rsidRDefault="00A60F08" w:rsidP="00DF2360">
            <w:pPr>
              <w:autoSpaceDE w:val="0"/>
              <w:autoSpaceDN w:val="0"/>
              <w:adjustRightInd w:val="0"/>
              <w:spacing w:after="0" w:line="360" w:lineRule="auto"/>
              <w:rPr>
                <w:rFonts w:ascii="Times New Roman" w:hAnsi="Times New Roman"/>
                <w:sz w:val="24"/>
                <w:szCs w:val="24"/>
              </w:rPr>
            </w:pPr>
          </w:p>
        </w:tc>
        <w:tc>
          <w:tcPr>
            <w:tcW w:w="1800" w:type="dxa"/>
            <w:vMerge/>
            <w:shd w:val="clear" w:color="auto" w:fill="FFFFFF"/>
            <w:vAlign w:val="center"/>
          </w:tcPr>
          <w:p w14:paraId="7BCC5CD2"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1980" w:type="dxa"/>
            <w:vMerge/>
            <w:shd w:val="clear" w:color="auto" w:fill="FFFFFF"/>
            <w:vAlign w:val="center"/>
          </w:tcPr>
          <w:p w14:paraId="6A11CD43"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3330" w:type="dxa"/>
            <w:vMerge/>
            <w:shd w:val="clear" w:color="auto" w:fill="FFFFFF"/>
            <w:vAlign w:val="center"/>
          </w:tcPr>
          <w:p w14:paraId="47FC6F9C"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r>
      <w:tr w:rsidR="00A60F08" w:rsidRPr="00DF2360" w14:paraId="160427BD" w14:textId="77777777" w:rsidTr="00492EDB">
        <w:tblPrEx>
          <w:tblCellMar>
            <w:left w:w="0" w:type="dxa"/>
            <w:right w:w="0" w:type="dxa"/>
          </w:tblCellMar>
        </w:tblPrEx>
        <w:trPr>
          <w:cantSplit/>
          <w:trHeight w:val="552"/>
        </w:trPr>
        <w:tc>
          <w:tcPr>
            <w:tcW w:w="1530" w:type="dxa"/>
            <w:vMerge w:val="restart"/>
            <w:shd w:val="clear" w:color="auto" w:fill="FFFFFF"/>
            <w:vAlign w:val="center"/>
          </w:tcPr>
          <w:p w14:paraId="0EC06D19" w14:textId="77777777" w:rsidR="00A60F08" w:rsidRPr="00C72567" w:rsidRDefault="00A60F08" w:rsidP="00DF2360">
            <w:pPr>
              <w:autoSpaceDE w:val="0"/>
              <w:autoSpaceDN w:val="0"/>
              <w:adjustRightInd w:val="0"/>
              <w:spacing w:after="0" w:line="360" w:lineRule="auto"/>
              <w:ind w:left="60" w:right="60"/>
              <w:rPr>
                <w:rFonts w:ascii="Times New Roman" w:hAnsi="Times New Roman"/>
                <w:sz w:val="24"/>
                <w:szCs w:val="24"/>
              </w:rPr>
            </w:pPr>
            <w:r w:rsidRPr="00C72567">
              <w:rPr>
                <w:rFonts w:ascii="Times New Roman" w:hAnsi="Times New Roman"/>
                <w:sz w:val="24"/>
                <w:szCs w:val="24"/>
              </w:rPr>
              <w:t>2</w:t>
            </w:r>
          </w:p>
        </w:tc>
        <w:tc>
          <w:tcPr>
            <w:tcW w:w="1800" w:type="dxa"/>
            <w:vMerge w:val="restart"/>
            <w:shd w:val="clear" w:color="auto" w:fill="FFFFFF"/>
            <w:vAlign w:val="center"/>
          </w:tcPr>
          <w:p w14:paraId="07260F62"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1 (33.3)</w:t>
            </w:r>
          </w:p>
        </w:tc>
        <w:tc>
          <w:tcPr>
            <w:tcW w:w="1980" w:type="dxa"/>
            <w:vMerge w:val="restart"/>
            <w:shd w:val="clear" w:color="auto" w:fill="FFFFFF"/>
            <w:vAlign w:val="center"/>
          </w:tcPr>
          <w:p w14:paraId="5A28D806"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1 (33.3)</w:t>
            </w:r>
          </w:p>
        </w:tc>
        <w:tc>
          <w:tcPr>
            <w:tcW w:w="3330" w:type="dxa"/>
            <w:vMerge w:val="restart"/>
            <w:shd w:val="clear" w:color="auto" w:fill="FFFFFF"/>
            <w:vAlign w:val="center"/>
          </w:tcPr>
          <w:p w14:paraId="6BF44B93"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1 (33.)</w:t>
            </w:r>
          </w:p>
        </w:tc>
      </w:tr>
      <w:tr w:rsidR="00A60F08" w:rsidRPr="00DF2360" w14:paraId="3D92676B" w14:textId="77777777" w:rsidTr="00492EDB">
        <w:tblPrEx>
          <w:tblCellMar>
            <w:left w:w="0" w:type="dxa"/>
            <w:right w:w="0" w:type="dxa"/>
          </w:tblCellMar>
        </w:tblPrEx>
        <w:trPr>
          <w:cantSplit/>
          <w:trHeight w:val="552"/>
        </w:trPr>
        <w:tc>
          <w:tcPr>
            <w:tcW w:w="1530" w:type="dxa"/>
            <w:vMerge/>
            <w:shd w:val="clear" w:color="auto" w:fill="FFFFFF"/>
            <w:vAlign w:val="center"/>
          </w:tcPr>
          <w:p w14:paraId="38752F57" w14:textId="77777777" w:rsidR="00A60F08" w:rsidRPr="00DF2360" w:rsidRDefault="00A60F08" w:rsidP="00DF2360">
            <w:pPr>
              <w:autoSpaceDE w:val="0"/>
              <w:autoSpaceDN w:val="0"/>
              <w:adjustRightInd w:val="0"/>
              <w:spacing w:after="0" w:line="360" w:lineRule="auto"/>
              <w:rPr>
                <w:rFonts w:ascii="Times New Roman" w:hAnsi="Times New Roman"/>
                <w:sz w:val="24"/>
                <w:szCs w:val="24"/>
              </w:rPr>
            </w:pPr>
          </w:p>
        </w:tc>
        <w:tc>
          <w:tcPr>
            <w:tcW w:w="1800" w:type="dxa"/>
            <w:vMerge/>
            <w:shd w:val="clear" w:color="auto" w:fill="FFFFFF"/>
            <w:vAlign w:val="center"/>
          </w:tcPr>
          <w:p w14:paraId="02A5E07F"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1980" w:type="dxa"/>
            <w:vMerge/>
            <w:shd w:val="clear" w:color="auto" w:fill="FFFFFF"/>
            <w:vAlign w:val="center"/>
          </w:tcPr>
          <w:p w14:paraId="30A20AFB"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3330" w:type="dxa"/>
            <w:vMerge/>
            <w:shd w:val="clear" w:color="auto" w:fill="FFFFFF"/>
            <w:vAlign w:val="center"/>
          </w:tcPr>
          <w:p w14:paraId="538C046B"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r>
      <w:tr w:rsidR="00A60F08" w:rsidRPr="00DF2360" w14:paraId="0C4C2BA3" w14:textId="77777777" w:rsidTr="00492EDB">
        <w:tblPrEx>
          <w:tblCellMar>
            <w:left w:w="0" w:type="dxa"/>
            <w:right w:w="0" w:type="dxa"/>
          </w:tblCellMar>
        </w:tblPrEx>
        <w:trPr>
          <w:cantSplit/>
          <w:trHeight w:val="552"/>
        </w:trPr>
        <w:tc>
          <w:tcPr>
            <w:tcW w:w="1530" w:type="dxa"/>
            <w:vMerge w:val="restart"/>
            <w:shd w:val="clear" w:color="auto" w:fill="FFFFFF"/>
            <w:vAlign w:val="center"/>
          </w:tcPr>
          <w:p w14:paraId="349658F3" w14:textId="77777777" w:rsidR="00A60F08" w:rsidRPr="00C72567" w:rsidRDefault="00A60F08" w:rsidP="00DF2360">
            <w:pPr>
              <w:autoSpaceDE w:val="0"/>
              <w:autoSpaceDN w:val="0"/>
              <w:adjustRightInd w:val="0"/>
              <w:spacing w:after="0" w:line="360" w:lineRule="auto"/>
              <w:ind w:left="60" w:right="60"/>
              <w:rPr>
                <w:rFonts w:ascii="Times New Roman" w:hAnsi="Times New Roman"/>
                <w:sz w:val="24"/>
                <w:szCs w:val="24"/>
              </w:rPr>
            </w:pPr>
            <w:r w:rsidRPr="00C72567">
              <w:rPr>
                <w:rFonts w:ascii="Times New Roman" w:hAnsi="Times New Roman"/>
                <w:sz w:val="24"/>
                <w:szCs w:val="24"/>
              </w:rPr>
              <w:t>3</w:t>
            </w:r>
          </w:p>
        </w:tc>
        <w:tc>
          <w:tcPr>
            <w:tcW w:w="1800" w:type="dxa"/>
            <w:vMerge w:val="restart"/>
            <w:shd w:val="clear" w:color="auto" w:fill="FFFFFF"/>
            <w:vAlign w:val="center"/>
          </w:tcPr>
          <w:p w14:paraId="06DF3D65"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0 (0.0)</w:t>
            </w:r>
          </w:p>
        </w:tc>
        <w:tc>
          <w:tcPr>
            <w:tcW w:w="1980" w:type="dxa"/>
            <w:vMerge w:val="restart"/>
            <w:shd w:val="clear" w:color="auto" w:fill="FFFFFF"/>
            <w:vAlign w:val="center"/>
          </w:tcPr>
          <w:p w14:paraId="3D42FA5F"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2(33.3)</w:t>
            </w:r>
          </w:p>
        </w:tc>
        <w:tc>
          <w:tcPr>
            <w:tcW w:w="3330" w:type="dxa"/>
            <w:vMerge w:val="restart"/>
            <w:shd w:val="clear" w:color="auto" w:fill="FFFFFF"/>
            <w:vAlign w:val="center"/>
          </w:tcPr>
          <w:p w14:paraId="4D8BEE92"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4(66.7)</w:t>
            </w:r>
          </w:p>
        </w:tc>
      </w:tr>
      <w:tr w:rsidR="00A60F08" w:rsidRPr="00DF2360" w14:paraId="41C7E599" w14:textId="77777777" w:rsidTr="00492EDB">
        <w:tblPrEx>
          <w:tblCellMar>
            <w:left w:w="0" w:type="dxa"/>
            <w:right w:w="0" w:type="dxa"/>
          </w:tblCellMar>
        </w:tblPrEx>
        <w:trPr>
          <w:cantSplit/>
          <w:trHeight w:val="552"/>
        </w:trPr>
        <w:tc>
          <w:tcPr>
            <w:tcW w:w="1530" w:type="dxa"/>
            <w:vMerge/>
            <w:shd w:val="clear" w:color="auto" w:fill="FFFFFF"/>
            <w:vAlign w:val="center"/>
          </w:tcPr>
          <w:p w14:paraId="6132C276" w14:textId="77777777" w:rsidR="00A60F08" w:rsidRPr="00DF2360" w:rsidRDefault="00A60F08" w:rsidP="00DF2360">
            <w:pPr>
              <w:autoSpaceDE w:val="0"/>
              <w:autoSpaceDN w:val="0"/>
              <w:adjustRightInd w:val="0"/>
              <w:spacing w:after="0" w:line="360" w:lineRule="auto"/>
              <w:rPr>
                <w:rFonts w:ascii="Times New Roman" w:hAnsi="Times New Roman"/>
                <w:sz w:val="24"/>
                <w:szCs w:val="24"/>
              </w:rPr>
            </w:pPr>
          </w:p>
        </w:tc>
        <w:tc>
          <w:tcPr>
            <w:tcW w:w="1800" w:type="dxa"/>
            <w:vMerge/>
            <w:shd w:val="clear" w:color="auto" w:fill="FFFFFF"/>
            <w:vAlign w:val="center"/>
          </w:tcPr>
          <w:p w14:paraId="735B162F"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1980" w:type="dxa"/>
            <w:vMerge/>
            <w:shd w:val="clear" w:color="auto" w:fill="FFFFFF"/>
            <w:vAlign w:val="center"/>
          </w:tcPr>
          <w:p w14:paraId="086F09CE"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3330" w:type="dxa"/>
            <w:vMerge/>
            <w:shd w:val="clear" w:color="auto" w:fill="FFFFFF"/>
            <w:vAlign w:val="center"/>
          </w:tcPr>
          <w:p w14:paraId="26D7D9B6"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r>
      <w:tr w:rsidR="00A60F08" w:rsidRPr="00DF2360" w14:paraId="55001400" w14:textId="77777777" w:rsidTr="00492EDB">
        <w:tblPrEx>
          <w:tblCellMar>
            <w:left w:w="0" w:type="dxa"/>
            <w:right w:w="0" w:type="dxa"/>
          </w:tblCellMar>
        </w:tblPrEx>
        <w:trPr>
          <w:cantSplit/>
          <w:trHeight w:val="552"/>
        </w:trPr>
        <w:tc>
          <w:tcPr>
            <w:tcW w:w="1530" w:type="dxa"/>
            <w:vMerge w:val="restart"/>
            <w:shd w:val="clear" w:color="auto" w:fill="FFFFFF"/>
            <w:vAlign w:val="center"/>
          </w:tcPr>
          <w:p w14:paraId="2CBFE730" w14:textId="77777777" w:rsidR="00A60F08" w:rsidRPr="00C72567" w:rsidRDefault="00A60F08" w:rsidP="00DF2360">
            <w:pPr>
              <w:autoSpaceDE w:val="0"/>
              <w:autoSpaceDN w:val="0"/>
              <w:adjustRightInd w:val="0"/>
              <w:spacing w:after="0" w:line="360" w:lineRule="auto"/>
              <w:ind w:left="60" w:right="60"/>
              <w:rPr>
                <w:rFonts w:ascii="Times New Roman" w:hAnsi="Times New Roman"/>
                <w:sz w:val="24"/>
                <w:szCs w:val="24"/>
              </w:rPr>
            </w:pPr>
            <w:r w:rsidRPr="00C72567">
              <w:rPr>
                <w:rFonts w:ascii="Times New Roman" w:hAnsi="Times New Roman"/>
                <w:sz w:val="24"/>
                <w:szCs w:val="24"/>
              </w:rPr>
              <w:t>4</w:t>
            </w:r>
          </w:p>
        </w:tc>
        <w:tc>
          <w:tcPr>
            <w:tcW w:w="1800" w:type="dxa"/>
            <w:vMerge w:val="restart"/>
            <w:shd w:val="clear" w:color="auto" w:fill="FFFFFF"/>
            <w:vAlign w:val="center"/>
          </w:tcPr>
          <w:p w14:paraId="5914F6A6"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1(50.0)</w:t>
            </w:r>
          </w:p>
        </w:tc>
        <w:tc>
          <w:tcPr>
            <w:tcW w:w="1980" w:type="dxa"/>
            <w:vMerge w:val="restart"/>
            <w:shd w:val="clear" w:color="auto" w:fill="FFFFFF"/>
            <w:vAlign w:val="center"/>
          </w:tcPr>
          <w:p w14:paraId="144732D2"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0(0.0)</w:t>
            </w:r>
          </w:p>
        </w:tc>
        <w:tc>
          <w:tcPr>
            <w:tcW w:w="3330" w:type="dxa"/>
            <w:vMerge w:val="restart"/>
            <w:shd w:val="clear" w:color="auto" w:fill="FFFFFF"/>
            <w:vAlign w:val="center"/>
          </w:tcPr>
          <w:p w14:paraId="0A756714"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1(50.0)</w:t>
            </w:r>
          </w:p>
        </w:tc>
      </w:tr>
      <w:tr w:rsidR="00A60F08" w:rsidRPr="00DF2360" w14:paraId="43CB75F5" w14:textId="77777777" w:rsidTr="00492EDB">
        <w:tblPrEx>
          <w:tblCellMar>
            <w:left w:w="0" w:type="dxa"/>
            <w:right w:w="0" w:type="dxa"/>
          </w:tblCellMar>
        </w:tblPrEx>
        <w:trPr>
          <w:cantSplit/>
          <w:trHeight w:val="552"/>
        </w:trPr>
        <w:tc>
          <w:tcPr>
            <w:tcW w:w="1530" w:type="dxa"/>
            <w:vMerge/>
            <w:shd w:val="clear" w:color="auto" w:fill="FFFFFF"/>
            <w:vAlign w:val="center"/>
          </w:tcPr>
          <w:p w14:paraId="7F0C2481" w14:textId="77777777" w:rsidR="00A60F08" w:rsidRPr="00DF2360" w:rsidRDefault="00A60F08" w:rsidP="00DF2360">
            <w:pPr>
              <w:autoSpaceDE w:val="0"/>
              <w:autoSpaceDN w:val="0"/>
              <w:adjustRightInd w:val="0"/>
              <w:spacing w:after="0" w:line="360" w:lineRule="auto"/>
              <w:rPr>
                <w:rFonts w:ascii="Times New Roman" w:hAnsi="Times New Roman"/>
                <w:sz w:val="24"/>
                <w:szCs w:val="24"/>
              </w:rPr>
            </w:pPr>
          </w:p>
        </w:tc>
        <w:tc>
          <w:tcPr>
            <w:tcW w:w="1800" w:type="dxa"/>
            <w:vMerge/>
            <w:shd w:val="clear" w:color="auto" w:fill="FFFFFF"/>
            <w:vAlign w:val="center"/>
          </w:tcPr>
          <w:p w14:paraId="0FE16745"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1980" w:type="dxa"/>
            <w:vMerge/>
            <w:shd w:val="clear" w:color="auto" w:fill="FFFFFF"/>
            <w:vAlign w:val="center"/>
          </w:tcPr>
          <w:p w14:paraId="55438607"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3330" w:type="dxa"/>
            <w:vMerge/>
            <w:shd w:val="clear" w:color="auto" w:fill="FFFFFF"/>
            <w:vAlign w:val="center"/>
          </w:tcPr>
          <w:p w14:paraId="1A798AB8"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r>
      <w:tr w:rsidR="00A60F08" w:rsidRPr="00DF2360" w14:paraId="21FDBBC9" w14:textId="77777777" w:rsidTr="00492EDB">
        <w:tblPrEx>
          <w:tblCellMar>
            <w:left w:w="0" w:type="dxa"/>
            <w:right w:w="0" w:type="dxa"/>
          </w:tblCellMar>
        </w:tblPrEx>
        <w:trPr>
          <w:cantSplit/>
          <w:trHeight w:val="552"/>
        </w:trPr>
        <w:tc>
          <w:tcPr>
            <w:tcW w:w="1530" w:type="dxa"/>
            <w:vMerge w:val="restart"/>
            <w:shd w:val="clear" w:color="auto" w:fill="FFFFFF"/>
            <w:vAlign w:val="center"/>
          </w:tcPr>
          <w:p w14:paraId="6F790BEC" w14:textId="77777777" w:rsidR="00A60F08" w:rsidRPr="00C72567" w:rsidRDefault="00A60F08" w:rsidP="00DF2360">
            <w:pPr>
              <w:autoSpaceDE w:val="0"/>
              <w:autoSpaceDN w:val="0"/>
              <w:adjustRightInd w:val="0"/>
              <w:spacing w:after="0" w:line="360" w:lineRule="auto"/>
              <w:ind w:left="60" w:right="60"/>
              <w:rPr>
                <w:rFonts w:ascii="Times New Roman" w:hAnsi="Times New Roman"/>
                <w:sz w:val="24"/>
                <w:szCs w:val="24"/>
              </w:rPr>
            </w:pPr>
            <w:r w:rsidRPr="00C72567">
              <w:rPr>
                <w:rFonts w:ascii="Times New Roman" w:hAnsi="Times New Roman"/>
                <w:sz w:val="24"/>
                <w:szCs w:val="24"/>
              </w:rPr>
              <w:t>5</w:t>
            </w:r>
          </w:p>
        </w:tc>
        <w:tc>
          <w:tcPr>
            <w:tcW w:w="1800" w:type="dxa"/>
            <w:vMerge w:val="restart"/>
            <w:shd w:val="clear" w:color="auto" w:fill="FFFFFF"/>
            <w:vAlign w:val="center"/>
          </w:tcPr>
          <w:p w14:paraId="11CB475C"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3(33.3)</w:t>
            </w:r>
          </w:p>
        </w:tc>
        <w:tc>
          <w:tcPr>
            <w:tcW w:w="1980" w:type="dxa"/>
            <w:vMerge w:val="restart"/>
            <w:shd w:val="clear" w:color="auto" w:fill="FFFFFF"/>
            <w:vAlign w:val="center"/>
          </w:tcPr>
          <w:p w14:paraId="3E7D5A2E"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2(22.2)</w:t>
            </w:r>
          </w:p>
        </w:tc>
        <w:tc>
          <w:tcPr>
            <w:tcW w:w="3330" w:type="dxa"/>
            <w:vMerge w:val="restart"/>
            <w:shd w:val="clear" w:color="auto" w:fill="FFFFFF"/>
            <w:vAlign w:val="center"/>
          </w:tcPr>
          <w:p w14:paraId="69F974AB"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4(44.4)</w:t>
            </w:r>
          </w:p>
        </w:tc>
      </w:tr>
      <w:tr w:rsidR="00A60F08" w:rsidRPr="00DF2360" w14:paraId="7757DE95" w14:textId="77777777" w:rsidTr="00492EDB">
        <w:tblPrEx>
          <w:tblCellMar>
            <w:left w:w="0" w:type="dxa"/>
            <w:right w:w="0" w:type="dxa"/>
          </w:tblCellMar>
        </w:tblPrEx>
        <w:trPr>
          <w:cantSplit/>
          <w:trHeight w:val="552"/>
        </w:trPr>
        <w:tc>
          <w:tcPr>
            <w:tcW w:w="1530" w:type="dxa"/>
            <w:vMerge/>
            <w:shd w:val="clear" w:color="auto" w:fill="FFFFFF"/>
            <w:vAlign w:val="center"/>
          </w:tcPr>
          <w:p w14:paraId="1E19C492" w14:textId="77777777" w:rsidR="00A60F08" w:rsidRPr="00DF2360" w:rsidRDefault="00A60F08" w:rsidP="00DF2360">
            <w:pPr>
              <w:autoSpaceDE w:val="0"/>
              <w:autoSpaceDN w:val="0"/>
              <w:adjustRightInd w:val="0"/>
              <w:spacing w:after="0" w:line="360" w:lineRule="auto"/>
              <w:rPr>
                <w:rFonts w:ascii="Times New Roman" w:hAnsi="Times New Roman"/>
                <w:sz w:val="24"/>
                <w:szCs w:val="24"/>
              </w:rPr>
            </w:pPr>
          </w:p>
        </w:tc>
        <w:tc>
          <w:tcPr>
            <w:tcW w:w="1800" w:type="dxa"/>
            <w:vMerge/>
            <w:shd w:val="clear" w:color="auto" w:fill="FFFFFF"/>
            <w:vAlign w:val="center"/>
          </w:tcPr>
          <w:p w14:paraId="5D96D181"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1980" w:type="dxa"/>
            <w:vMerge/>
            <w:shd w:val="clear" w:color="auto" w:fill="FFFFFF"/>
            <w:vAlign w:val="center"/>
          </w:tcPr>
          <w:p w14:paraId="7DF0321A"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3330" w:type="dxa"/>
            <w:vMerge/>
            <w:shd w:val="clear" w:color="auto" w:fill="FFFFFF"/>
            <w:vAlign w:val="center"/>
          </w:tcPr>
          <w:p w14:paraId="02BF1366"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r>
      <w:tr w:rsidR="00A60F08" w:rsidRPr="00DF2360" w14:paraId="626C84C0" w14:textId="77777777" w:rsidTr="00492EDB">
        <w:tblPrEx>
          <w:tblCellMar>
            <w:left w:w="0" w:type="dxa"/>
            <w:right w:w="0" w:type="dxa"/>
          </w:tblCellMar>
        </w:tblPrEx>
        <w:trPr>
          <w:cantSplit/>
          <w:trHeight w:val="552"/>
        </w:trPr>
        <w:tc>
          <w:tcPr>
            <w:tcW w:w="1530" w:type="dxa"/>
            <w:vMerge w:val="restart"/>
            <w:shd w:val="clear" w:color="auto" w:fill="FFFFFF"/>
            <w:vAlign w:val="center"/>
          </w:tcPr>
          <w:p w14:paraId="0102F29F" w14:textId="77777777" w:rsidR="00A60F08" w:rsidRPr="00C72567" w:rsidRDefault="00A60F08" w:rsidP="00DF2360">
            <w:pPr>
              <w:autoSpaceDE w:val="0"/>
              <w:autoSpaceDN w:val="0"/>
              <w:adjustRightInd w:val="0"/>
              <w:spacing w:after="0" w:line="360" w:lineRule="auto"/>
              <w:ind w:left="60" w:right="60"/>
              <w:rPr>
                <w:rFonts w:ascii="Times New Roman" w:hAnsi="Times New Roman"/>
                <w:sz w:val="24"/>
                <w:szCs w:val="24"/>
              </w:rPr>
            </w:pPr>
            <w:r w:rsidRPr="00C72567">
              <w:rPr>
                <w:rFonts w:ascii="Times New Roman" w:hAnsi="Times New Roman"/>
                <w:sz w:val="24"/>
                <w:szCs w:val="24"/>
              </w:rPr>
              <w:t>6</w:t>
            </w:r>
          </w:p>
        </w:tc>
        <w:tc>
          <w:tcPr>
            <w:tcW w:w="1800" w:type="dxa"/>
            <w:vMerge w:val="restart"/>
            <w:shd w:val="clear" w:color="auto" w:fill="FFFFFF"/>
            <w:vAlign w:val="center"/>
          </w:tcPr>
          <w:p w14:paraId="692264F2"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1(16.7)</w:t>
            </w:r>
          </w:p>
        </w:tc>
        <w:tc>
          <w:tcPr>
            <w:tcW w:w="1980" w:type="dxa"/>
            <w:vMerge w:val="restart"/>
            <w:shd w:val="clear" w:color="auto" w:fill="FFFFFF"/>
            <w:vAlign w:val="center"/>
          </w:tcPr>
          <w:p w14:paraId="6787980A"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2(33.3)</w:t>
            </w:r>
          </w:p>
        </w:tc>
        <w:tc>
          <w:tcPr>
            <w:tcW w:w="3330" w:type="dxa"/>
            <w:vMerge w:val="restart"/>
            <w:shd w:val="clear" w:color="auto" w:fill="FFFFFF"/>
            <w:vAlign w:val="center"/>
          </w:tcPr>
          <w:p w14:paraId="57E0B42A"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3(50.0)</w:t>
            </w:r>
          </w:p>
        </w:tc>
      </w:tr>
      <w:tr w:rsidR="00A60F08" w:rsidRPr="00DF2360" w14:paraId="3F9E7E9E" w14:textId="77777777" w:rsidTr="00492EDB">
        <w:tblPrEx>
          <w:tblCellMar>
            <w:left w:w="0" w:type="dxa"/>
            <w:right w:w="0" w:type="dxa"/>
          </w:tblCellMar>
        </w:tblPrEx>
        <w:trPr>
          <w:cantSplit/>
          <w:trHeight w:val="552"/>
        </w:trPr>
        <w:tc>
          <w:tcPr>
            <w:tcW w:w="1530" w:type="dxa"/>
            <w:vMerge/>
            <w:shd w:val="clear" w:color="auto" w:fill="FFFFFF"/>
            <w:vAlign w:val="center"/>
          </w:tcPr>
          <w:p w14:paraId="782D9D40" w14:textId="77777777" w:rsidR="00A60F08" w:rsidRPr="00DF2360" w:rsidRDefault="00A60F08" w:rsidP="00DF2360">
            <w:pPr>
              <w:autoSpaceDE w:val="0"/>
              <w:autoSpaceDN w:val="0"/>
              <w:adjustRightInd w:val="0"/>
              <w:spacing w:after="0" w:line="360" w:lineRule="auto"/>
              <w:rPr>
                <w:rFonts w:ascii="Times New Roman" w:hAnsi="Times New Roman"/>
                <w:sz w:val="24"/>
                <w:szCs w:val="24"/>
              </w:rPr>
            </w:pPr>
          </w:p>
        </w:tc>
        <w:tc>
          <w:tcPr>
            <w:tcW w:w="1800" w:type="dxa"/>
            <w:vMerge/>
            <w:shd w:val="clear" w:color="auto" w:fill="FFFFFF"/>
            <w:vAlign w:val="center"/>
          </w:tcPr>
          <w:p w14:paraId="08F6A8D9"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1980" w:type="dxa"/>
            <w:vMerge/>
            <w:shd w:val="clear" w:color="auto" w:fill="FFFFFF"/>
            <w:vAlign w:val="center"/>
          </w:tcPr>
          <w:p w14:paraId="79B84566"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3330" w:type="dxa"/>
            <w:vMerge/>
            <w:shd w:val="clear" w:color="auto" w:fill="FFFFFF"/>
            <w:vAlign w:val="center"/>
          </w:tcPr>
          <w:p w14:paraId="2D4B5F94"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r>
      <w:tr w:rsidR="00A60F08" w:rsidRPr="00DF2360" w14:paraId="015C4979" w14:textId="77777777" w:rsidTr="00492EDB">
        <w:tblPrEx>
          <w:tblCellMar>
            <w:left w:w="0" w:type="dxa"/>
            <w:right w:w="0" w:type="dxa"/>
          </w:tblCellMar>
        </w:tblPrEx>
        <w:trPr>
          <w:cantSplit/>
          <w:trHeight w:val="552"/>
        </w:trPr>
        <w:tc>
          <w:tcPr>
            <w:tcW w:w="1530" w:type="dxa"/>
            <w:vMerge w:val="restart"/>
            <w:shd w:val="clear" w:color="auto" w:fill="FFFFFF"/>
            <w:vAlign w:val="center"/>
          </w:tcPr>
          <w:p w14:paraId="3E6C42AC" w14:textId="77777777" w:rsidR="00A60F08" w:rsidRPr="00C72567" w:rsidRDefault="00A60F08" w:rsidP="00DF2360">
            <w:pPr>
              <w:autoSpaceDE w:val="0"/>
              <w:autoSpaceDN w:val="0"/>
              <w:adjustRightInd w:val="0"/>
              <w:spacing w:after="0" w:line="360" w:lineRule="auto"/>
              <w:ind w:left="60" w:right="60"/>
              <w:rPr>
                <w:rFonts w:ascii="Times New Roman" w:hAnsi="Times New Roman"/>
                <w:sz w:val="24"/>
                <w:szCs w:val="24"/>
              </w:rPr>
            </w:pPr>
            <w:r w:rsidRPr="00C72567">
              <w:rPr>
                <w:rFonts w:ascii="Times New Roman" w:hAnsi="Times New Roman"/>
                <w:sz w:val="24"/>
                <w:szCs w:val="24"/>
              </w:rPr>
              <w:lastRenderedPageBreak/>
              <w:t>7</w:t>
            </w:r>
          </w:p>
        </w:tc>
        <w:tc>
          <w:tcPr>
            <w:tcW w:w="1800" w:type="dxa"/>
            <w:vMerge w:val="restart"/>
            <w:shd w:val="clear" w:color="auto" w:fill="FFFFFF"/>
            <w:vAlign w:val="center"/>
          </w:tcPr>
          <w:p w14:paraId="5A46A111"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1(16.7)</w:t>
            </w:r>
          </w:p>
        </w:tc>
        <w:tc>
          <w:tcPr>
            <w:tcW w:w="1980" w:type="dxa"/>
            <w:vMerge w:val="restart"/>
            <w:shd w:val="clear" w:color="auto" w:fill="FFFFFF"/>
            <w:vAlign w:val="center"/>
          </w:tcPr>
          <w:p w14:paraId="629DE82F"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1(16.7)</w:t>
            </w:r>
          </w:p>
        </w:tc>
        <w:tc>
          <w:tcPr>
            <w:tcW w:w="3330" w:type="dxa"/>
            <w:vMerge w:val="restart"/>
            <w:shd w:val="clear" w:color="auto" w:fill="FFFFFF"/>
            <w:vAlign w:val="center"/>
          </w:tcPr>
          <w:p w14:paraId="5EE13933"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4(66.7)</w:t>
            </w:r>
          </w:p>
        </w:tc>
      </w:tr>
      <w:tr w:rsidR="00A60F08" w:rsidRPr="00DF2360" w14:paraId="7340EDC6" w14:textId="77777777" w:rsidTr="00492EDB">
        <w:tblPrEx>
          <w:tblCellMar>
            <w:left w:w="0" w:type="dxa"/>
            <w:right w:w="0" w:type="dxa"/>
          </w:tblCellMar>
        </w:tblPrEx>
        <w:trPr>
          <w:cantSplit/>
          <w:trHeight w:val="552"/>
        </w:trPr>
        <w:tc>
          <w:tcPr>
            <w:tcW w:w="1530" w:type="dxa"/>
            <w:vMerge/>
            <w:shd w:val="clear" w:color="auto" w:fill="FFFFFF"/>
            <w:vAlign w:val="center"/>
          </w:tcPr>
          <w:p w14:paraId="4C7B68AB" w14:textId="77777777" w:rsidR="00A60F08" w:rsidRPr="00DF2360" w:rsidRDefault="00A60F08" w:rsidP="00DF2360">
            <w:pPr>
              <w:autoSpaceDE w:val="0"/>
              <w:autoSpaceDN w:val="0"/>
              <w:adjustRightInd w:val="0"/>
              <w:spacing w:after="0" w:line="360" w:lineRule="auto"/>
              <w:rPr>
                <w:rFonts w:ascii="Times New Roman" w:hAnsi="Times New Roman"/>
                <w:sz w:val="24"/>
                <w:szCs w:val="24"/>
              </w:rPr>
            </w:pPr>
          </w:p>
        </w:tc>
        <w:tc>
          <w:tcPr>
            <w:tcW w:w="1800" w:type="dxa"/>
            <w:vMerge/>
            <w:shd w:val="clear" w:color="auto" w:fill="FFFFFF"/>
            <w:vAlign w:val="center"/>
          </w:tcPr>
          <w:p w14:paraId="356B4D6D"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1980" w:type="dxa"/>
            <w:vMerge/>
            <w:shd w:val="clear" w:color="auto" w:fill="FFFFFF"/>
            <w:vAlign w:val="center"/>
          </w:tcPr>
          <w:p w14:paraId="708623B7"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3330" w:type="dxa"/>
            <w:vMerge/>
            <w:shd w:val="clear" w:color="auto" w:fill="FFFFFF"/>
            <w:vAlign w:val="center"/>
          </w:tcPr>
          <w:p w14:paraId="65150A81"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r>
      <w:tr w:rsidR="00A60F08" w:rsidRPr="00DF2360" w14:paraId="798F63BF" w14:textId="77777777" w:rsidTr="00492EDB">
        <w:tblPrEx>
          <w:tblCellMar>
            <w:left w:w="0" w:type="dxa"/>
            <w:right w:w="0" w:type="dxa"/>
          </w:tblCellMar>
        </w:tblPrEx>
        <w:trPr>
          <w:cantSplit/>
          <w:trHeight w:val="552"/>
        </w:trPr>
        <w:tc>
          <w:tcPr>
            <w:tcW w:w="1530" w:type="dxa"/>
            <w:vMerge w:val="restart"/>
            <w:shd w:val="clear" w:color="auto" w:fill="FFFFFF"/>
            <w:vAlign w:val="center"/>
          </w:tcPr>
          <w:p w14:paraId="1CEEA8E3" w14:textId="77777777" w:rsidR="00A60F08" w:rsidRPr="00C72567" w:rsidRDefault="00A60F08" w:rsidP="00DF2360">
            <w:pPr>
              <w:autoSpaceDE w:val="0"/>
              <w:autoSpaceDN w:val="0"/>
              <w:adjustRightInd w:val="0"/>
              <w:spacing w:after="0" w:line="360" w:lineRule="auto"/>
              <w:ind w:left="60" w:right="60"/>
              <w:rPr>
                <w:rFonts w:ascii="Times New Roman" w:hAnsi="Times New Roman"/>
                <w:sz w:val="24"/>
                <w:szCs w:val="24"/>
              </w:rPr>
            </w:pPr>
            <w:r w:rsidRPr="00C72567">
              <w:rPr>
                <w:rFonts w:ascii="Times New Roman" w:hAnsi="Times New Roman"/>
                <w:sz w:val="24"/>
                <w:szCs w:val="24"/>
              </w:rPr>
              <w:t>8</w:t>
            </w:r>
          </w:p>
        </w:tc>
        <w:tc>
          <w:tcPr>
            <w:tcW w:w="1800" w:type="dxa"/>
            <w:vMerge w:val="restart"/>
            <w:shd w:val="clear" w:color="auto" w:fill="FFFFFF"/>
            <w:vAlign w:val="center"/>
          </w:tcPr>
          <w:p w14:paraId="0AD1CBEF"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0(0.0)</w:t>
            </w:r>
          </w:p>
        </w:tc>
        <w:tc>
          <w:tcPr>
            <w:tcW w:w="1980" w:type="dxa"/>
            <w:vMerge w:val="restart"/>
            <w:shd w:val="clear" w:color="auto" w:fill="FFFFFF"/>
            <w:vAlign w:val="center"/>
          </w:tcPr>
          <w:p w14:paraId="2D893D88"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0(0.0)</w:t>
            </w:r>
          </w:p>
        </w:tc>
        <w:tc>
          <w:tcPr>
            <w:tcW w:w="3330" w:type="dxa"/>
            <w:vMerge w:val="restart"/>
            <w:shd w:val="clear" w:color="auto" w:fill="FFFFFF"/>
            <w:vAlign w:val="center"/>
          </w:tcPr>
          <w:p w14:paraId="050A5C9B"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3(100.0)</w:t>
            </w:r>
          </w:p>
        </w:tc>
      </w:tr>
      <w:tr w:rsidR="00A60F08" w:rsidRPr="00DF2360" w14:paraId="5D0CC2D8" w14:textId="77777777" w:rsidTr="00492EDB">
        <w:tblPrEx>
          <w:tblCellMar>
            <w:left w:w="0" w:type="dxa"/>
            <w:right w:w="0" w:type="dxa"/>
          </w:tblCellMar>
        </w:tblPrEx>
        <w:trPr>
          <w:cantSplit/>
          <w:trHeight w:val="552"/>
        </w:trPr>
        <w:tc>
          <w:tcPr>
            <w:tcW w:w="1530" w:type="dxa"/>
            <w:vMerge/>
            <w:shd w:val="clear" w:color="auto" w:fill="FFFFFF"/>
            <w:vAlign w:val="center"/>
          </w:tcPr>
          <w:p w14:paraId="0CF2947F" w14:textId="77777777" w:rsidR="00A60F08" w:rsidRPr="00DF2360" w:rsidRDefault="00A60F08" w:rsidP="00DF2360">
            <w:pPr>
              <w:autoSpaceDE w:val="0"/>
              <w:autoSpaceDN w:val="0"/>
              <w:adjustRightInd w:val="0"/>
              <w:spacing w:after="0" w:line="360" w:lineRule="auto"/>
              <w:rPr>
                <w:rFonts w:ascii="Times New Roman" w:hAnsi="Times New Roman"/>
                <w:sz w:val="24"/>
                <w:szCs w:val="24"/>
              </w:rPr>
            </w:pPr>
          </w:p>
        </w:tc>
        <w:tc>
          <w:tcPr>
            <w:tcW w:w="1800" w:type="dxa"/>
            <w:vMerge/>
            <w:shd w:val="clear" w:color="auto" w:fill="FFFFFF"/>
            <w:vAlign w:val="center"/>
          </w:tcPr>
          <w:p w14:paraId="51377439"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1980" w:type="dxa"/>
            <w:vMerge/>
            <w:shd w:val="clear" w:color="auto" w:fill="FFFFFF"/>
            <w:vAlign w:val="center"/>
          </w:tcPr>
          <w:p w14:paraId="57728F5D"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3330" w:type="dxa"/>
            <w:vMerge/>
            <w:shd w:val="clear" w:color="auto" w:fill="FFFFFF"/>
            <w:vAlign w:val="center"/>
          </w:tcPr>
          <w:p w14:paraId="60F2C8C3"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r>
      <w:tr w:rsidR="00A60F08" w:rsidRPr="00DF2360" w14:paraId="3F0DECC3" w14:textId="77777777" w:rsidTr="00492EDB">
        <w:tblPrEx>
          <w:tblCellMar>
            <w:left w:w="0" w:type="dxa"/>
            <w:right w:w="0" w:type="dxa"/>
          </w:tblCellMar>
        </w:tblPrEx>
        <w:trPr>
          <w:cantSplit/>
          <w:trHeight w:val="650"/>
        </w:trPr>
        <w:tc>
          <w:tcPr>
            <w:tcW w:w="1530" w:type="dxa"/>
            <w:shd w:val="clear" w:color="auto" w:fill="FFFFFF"/>
            <w:vAlign w:val="center"/>
          </w:tcPr>
          <w:p w14:paraId="4D9BC8C9" w14:textId="77777777" w:rsidR="00A60F08" w:rsidRPr="00C72567" w:rsidRDefault="00A60F08" w:rsidP="00DF2360">
            <w:pPr>
              <w:autoSpaceDE w:val="0"/>
              <w:autoSpaceDN w:val="0"/>
              <w:adjustRightInd w:val="0"/>
              <w:spacing w:after="0" w:line="360" w:lineRule="auto"/>
              <w:ind w:left="60" w:right="60"/>
              <w:rPr>
                <w:rFonts w:ascii="Times New Roman" w:hAnsi="Times New Roman"/>
                <w:sz w:val="24"/>
                <w:szCs w:val="24"/>
              </w:rPr>
            </w:pPr>
            <w:r w:rsidRPr="00C72567">
              <w:rPr>
                <w:rFonts w:ascii="Times New Roman" w:hAnsi="Times New Roman"/>
                <w:sz w:val="24"/>
                <w:szCs w:val="24"/>
              </w:rPr>
              <w:t>9</w:t>
            </w:r>
          </w:p>
        </w:tc>
        <w:tc>
          <w:tcPr>
            <w:tcW w:w="1800" w:type="dxa"/>
            <w:shd w:val="clear" w:color="auto" w:fill="FFFFFF"/>
            <w:vAlign w:val="center"/>
          </w:tcPr>
          <w:p w14:paraId="6C72AB92"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1 (16.7)</w:t>
            </w:r>
          </w:p>
        </w:tc>
        <w:tc>
          <w:tcPr>
            <w:tcW w:w="1980" w:type="dxa"/>
            <w:shd w:val="clear" w:color="auto" w:fill="FFFFFF"/>
            <w:vAlign w:val="center"/>
          </w:tcPr>
          <w:p w14:paraId="062CF71B"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0(0.0)</w:t>
            </w:r>
          </w:p>
        </w:tc>
        <w:tc>
          <w:tcPr>
            <w:tcW w:w="3330" w:type="dxa"/>
            <w:shd w:val="clear" w:color="auto" w:fill="FFFFFF"/>
            <w:vAlign w:val="center"/>
          </w:tcPr>
          <w:p w14:paraId="06106C0D"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5(83.3)</w:t>
            </w:r>
          </w:p>
        </w:tc>
      </w:tr>
      <w:tr w:rsidR="00A60F08" w:rsidRPr="00DF2360" w14:paraId="0150AC08" w14:textId="77777777" w:rsidTr="00492EDB">
        <w:tblPrEx>
          <w:tblCellMar>
            <w:left w:w="0" w:type="dxa"/>
            <w:right w:w="0" w:type="dxa"/>
          </w:tblCellMar>
        </w:tblPrEx>
        <w:trPr>
          <w:cantSplit/>
          <w:trHeight w:val="448"/>
        </w:trPr>
        <w:tc>
          <w:tcPr>
            <w:tcW w:w="1530" w:type="dxa"/>
            <w:tcBorders>
              <w:bottom w:val="single" w:sz="4" w:space="0" w:color="auto"/>
            </w:tcBorders>
            <w:shd w:val="clear" w:color="auto" w:fill="FFFFFF"/>
            <w:vAlign w:val="center"/>
          </w:tcPr>
          <w:p w14:paraId="1440DDF8" w14:textId="77777777" w:rsidR="00A60F08" w:rsidRPr="00C72567" w:rsidRDefault="00A60F08" w:rsidP="00DF2360">
            <w:pPr>
              <w:autoSpaceDE w:val="0"/>
              <w:autoSpaceDN w:val="0"/>
              <w:adjustRightInd w:val="0"/>
              <w:spacing w:after="0" w:line="360" w:lineRule="auto"/>
              <w:ind w:left="60" w:right="60"/>
              <w:rPr>
                <w:rFonts w:ascii="Times New Roman" w:hAnsi="Times New Roman"/>
                <w:sz w:val="24"/>
                <w:szCs w:val="24"/>
              </w:rPr>
            </w:pPr>
            <w:r w:rsidRPr="00C72567">
              <w:rPr>
                <w:rFonts w:ascii="Times New Roman" w:hAnsi="Times New Roman"/>
                <w:sz w:val="24"/>
                <w:szCs w:val="24"/>
              </w:rPr>
              <w:t>10</w:t>
            </w:r>
          </w:p>
        </w:tc>
        <w:tc>
          <w:tcPr>
            <w:tcW w:w="1800" w:type="dxa"/>
            <w:tcBorders>
              <w:bottom w:val="single" w:sz="4" w:space="0" w:color="auto"/>
            </w:tcBorders>
            <w:shd w:val="clear" w:color="auto" w:fill="FFFFFF"/>
            <w:vAlign w:val="center"/>
          </w:tcPr>
          <w:p w14:paraId="17902081"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0(0.0)</w:t>
            </w:r>
          </w:p>
        </w:tc>
        <w:tc>
          <w:tcPr>
            <w:tcW w:w="1980" w:type="dxa"/>
            <w:tcBorders>
              <w:bottom w:val="single" w:sz="4" w:space="0" w:color="auto"/>
            </w:tcBorders>
            <w:shd w:val="clear" w:color="auto" w:fill="FFFFFF"/>
            <w:vAlign w:val="center"/>
          </w:tcPr>
          <w:p w14:paraId="0F3BAB31"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0(0.0)</w:t>
            </w:r>
          </w:p>
        </w:tc>
        <w:tc>
          <w:tcPr>
            <w:tcW w:w="3330" w:type="dxa"/>
            <w:tcBorders>
              <w:bottom w:val="single" w:sz="4" w:space="0" w:color="auto"/>
            </w:tcBorders>
            <w:shd w:val="clear" w:color="auto" w:fill="FFFFFF"/>
            <w:vAlign w:val="center"/>
          </w:tcPr>
          <w:p w14:paraId="7F231E5C"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6(100.0)</w:t>
            </w:r>
          </w:p>
        </w:tc>
      </w:tr>
      <w:tr w:rsidR="00A60F08" w:rsidRPr="00DF2360" w14:paraId="67792616" w14:textId="77777777" w:rsidTr="00492EDB">
        <w:tblPrEx>
          <w:tblCellMar>
            <w:left w:w="0" w:type="dxa"/>
            <w:right w:w="0" w:type="dxa"/>
          </w:tblCellMar>
        </w:tblPrEx>
        <w:trPr>
          <w:cantSplit/>
          <w:trHeight w:val="190"/>
        </w:trPr>
        <w:tc>
          <w:tcPr>
            <w:tcW w:w="1530" w:type="dxa"/>
            <w:tcBorders>
              <w:top w:val="single" w:sz="4" w:space="0" w:color="auto"/>
            </w:tcBorders>
            <w:shd w:val="clear" w:color="auto" w:fill="FFFFFF"/>
            <w:vAlign w:val="center"/>
          </w:tcPr>
          <w:p w14:paraId="0EE46515" w14:textId="77777777" w:rsidR="00A60F08" w:rsidRPr="00C72567" w:rsidRDefault="00A60F08" w:rsidP="00DF2360">
            <w:pPr>
              <w:autoSpaceDE w:val="0"/>
              <w:autoSpaceDN w:val="0"/>
              <w:adjustRightInd w:val="0"/>
              <w:spacing w:after="0" w:line="360" w:lineRule="auto"/>
              <w:ind w:left="60" w:right="60"/>
              <w:rPr>
                <w:rFonts w:ascii="Times New Roman" w:hAnsi="Times New Roman"/>
                <w:sz w:val="24"/>
                <w:szCs w:val="24"/>
              </w:rPr>
            </w:pPr>
          </w:p>
        </w:tc>
        <w:tc>
          <w:tcPr>
            <w:tcW w:w="1800" w:type="dxa"/>
            <w:tcBorders>
              <w:top w:val="single" w:sz="4" w:space="0" w:color="auto"/>
            </w:tcBorders>
            <w:shd w:val="clear" w:color="auto" w:fill="FFFFFF"/>
            <w:vAlign w:val="center"/>
          </w:tcPr>
          <w:p w14:paraId="6B06969E"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1980" w:type="dxa"/>
            <w:tcBorders>
              <w:top w:val="single" w:sz="4" w:space="0" w:color="auto"/>
            </w:tcBorders>
            <w:shd w:val="clear" w:color="auto" w:fill="FFFFFF"/>
            <w:vAlign w:val="center"/>
          </w:tcPr>
          <w:p w14:paraId="76CD1562"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3330" w:type="dxa"/>
            <w:tcBorders>
              <w:top w:val="single" w:sz="4" w:space="0" w:color="auto"/>
            </w:tcBorders>
            <w:shd w:val="clear" w:color="auto" w:fill="FFFFFF"/>
            <w:vAlign w:val="center"/>
          </w:tcPr>
          <w:p w14:paraId="34BA3B13"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r>
      <w:tr w:rsidR="00A60F08" w:rsidRPr="00DF2360" w14:paraId="3196E28E" w14:textId="77777777" w:rsidTr="00492EDB">
        <w:tblPrEx>
          <w:tblCellMar>
            <w:left w:w="0" w:type="dxa"/>
            <w:right w:w="0" w:type="dxa"/>
          </w:tblCellMar>
        </w:tblPrEx>
        <w:trPr>
          <w:cantSplit/>
        </w:trPr>
        <w:tc>
          <w:tcPr>
            <w:tcW w:w="1530" w:type="dxa"/>
            <w:tcBorders>
              <w:bottom w:val="nil"/>
            </w:tcBorders>
            <w:shd w:val="clear" w:color="auto" w:fill="FFFFFF"/>
            <w:vAlign w:val="center"/>
          </w:tcPr>
          <w:p w14:paraId="2DB70032" w14:textId="77777777" w:rsidR="00A60F08" w:rsidRPr="00C72567" w:rsidRDefault="00A60F08" w:rsidP="00DF2360">
            <w:pPr>
              <w:autoSpaceDE w:val="0"/>
              <w:autoSpaceDN w:val="0"/>
              <w:adjustRightInd w:val="0"/>
              <w:spacing w:after="0" w:line="360" w:lineRule="auto"/>
              <w:rPr>
                <w:rFonts w:ascii="Times New Roman" w:hAnsi="Times New Roman"/>
                <w:sz w:val="24"/>
                <w:szCs w:val="24"/>
              </w:rPr>
            </w:pPr>
          </w:p>
        </w:tc>
        <w:tc>
          <w:tcPr>
            <w:tcW w:w="1800" w:type="dxa"/>
            <w:tcBorders>
              <w:bottom w:val="nil"/>
            </w:tcBorders>
            <w:shd w:val="clear" w:color="auto" w:fill="FFFFFF"/>
            <w:vAlign w:val="center"/>
          </w:tcPr>
          <w:p w14:paraId="608F4EB6"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1980" w:type="dxa"/>
            <w:tcBorders>
              <w:bottom w:val="nil"/>
            </w:tcBorders>
            <w:shd w:val="clear" w:color="auto" w:fill="FFFFFF"/>
            <w:vAlign w:val="center"/>
          </w:tcPr>
          <w:p w14:paraId="74CB8012"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c>
          <w:tcPr>
            <w:tcW w:w="3330" w:type="dxa"/>
            <w:tcBorders>
              <w:bottom w:val="nil"/>
            </w:tcBorders>
            <w:shd w:val="clear" w:color="auto" w:fill="FFFFFF"/>
            <w:vAlign w:val="center"/>
          </w:tcPr>
          <w:p w14:paraId="3DFD1838"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p>
        </w:tc>
      </w:tr>
      <w:tr w:rsidR="00A60F08" w:rsidRPr="00DF2360" w14:paraId="4D37A8D8" w14:textId="77777777" w:rsidTr="00492EDB">
        <w:tblPrEx>
          <w:tblCellMar>
            <w:left w:w="0" w:type="dxa"/>
            <w:right w:w="0" w:type="dxa"/>
          </w:tblCellMar>
        </w:tblPrEx>
        <w:trPr>
          <w:cantSplit/>
          <w:trHeight w:val="650"/>
        </w:trPr>
        <w:tc>
          <w:tcPr>
            <w:tcW w:w="1530" w:type="dxa"/>
            <w:tcBorders>
              <w:top w:val="nil"/>
              <w:bottom w:val="nil"/>
            </w:tcBorders>
            <w:shd w:val="clear" w:color="auto" w:fill="FFFFFF"/>
            <w:vAlign w:val="center"/>
          </w:tcPr>
          <w:p w14:paraId="047E1CA2" w14:textId="064C0557" w:rsidR="00A60F08" w:rsidRPr="00DF2360" w:rsidRDefault="005C23FB" w:rsidP="00DF2360">
            <w:pPr>
              <w:autoSpaceDE w:val="0"/>
              <w:autoSpaceDN w:val="0"/>
              <w:adjustRightInd w:val="0"/>
              <w:spacing w:after="0" w:line="360" w:lineRule="auto"/>
              <w:rPr>
                <w:rFonts w:ascii="Times New Roman" w:hAnsi="Times New Roman"/>
                <w:sz w:val="24"/>
                <w:szCs w:val="24"/>
              </w:rPr>
            </w:pPr>
            <w:r w:rsidRPr="00C72567">
              <w:rPr>
                <w:rFonts w:ascii="Times New Roman" w:hAnsi="Times New Roman"/>
                <w:sz w:val="24"/>
                <w:szCs w:val="24"/>
              </w:rPr>
              <w:t>1</w:t>
            </w:r>
            <w:r w:rsidR="00A60F08" w:rsidRPr="00C72567">
              <w:rPr>
                <w:rFonts w:ascii="Times New Roman" w:hAnsi="Times New Roman"/>
                <w:sz w:val="24"/>
                <w:szCs w:val="24"/>
              </w:rPr>
              <w:t xml:space="preserve"> </w:t>
            </w:r>
            <w:r w:rsidR="005526AA" w:rsidRPr="00DF2360">
              <w:rPr>
                <w:rFonts w:ascii="Times New Roman" w:hAnsi="Times New Roman"/>
                <w:sz w:val="24"/>
                <w:szCs w:val="24"/>
              </w:rPr>
              <w:t>–</w:t>
            </w:r>
            <w:r w:rsidR="00A60F08" w:rsidRPr="00DF2360">
              <w:rPr>
                <w:rFonts w:ascii="Times New Roman" w:hAnsi="Times New Roman"/>
                <w:sz w:val="24"/>
                <w:szCs w:val="24"/>
              </w:rPr>
              <w:t xml:space="preserve"> 2</w:t>
            </w:r>
          </w:p>
        </w:tc>
        <w:tc>
          <w:tcPr>
            <w:tcW w:w="1800" w:type="dxa"/>
            <w:tcBorders>
              <w:top w:val="nil"/>
              <w:bottom w:val="nil"/>
            </w:tcBorders>
            <w:shd w:val="clear" w:color="auto" w:fill="FFFFFF"/>
            <w:vAlign w:val="center"/>
          </w:tcPr>
          <w:p w14:paraId="751D2B6B"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2(33.3)</w:t>
            </w:r>
          </w:p>
        </w:tc>
        <w:tc>
          <w:tcPr>
            <w:tcW w:w="1980" w:type="dxa"/>
            <w:tcBorders>
              <w:top w:val="nil"/>
              <w:bottom w:val="nil"/>
            </w:tcBorders>
            <w:shd w:val="clear" w:color="auto" w:fill="FFFFFF"/>
            <w:vAlign w:val="center"/>
          </w:tcPr>
          <w:p w14:paraId="7B17AD64"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2(33.3)</w:t>
            </w:r>
          </w:p>
        </w:tc>
        <w:tc>
          <w:tcPr>
            <w:tcW w:w="3330" w:type="dxa"/>
            <w:tcBorders>
              <w:top w:val="nil"/>
              <w:bottom w:val="nil"/>
            </w:tcBorders>
            <w:shd w:val="clear" w:color="auto" w:fill="FFFFFF"/>
            <w:vAlign w:val="center"/>
          </w:tcPr>
          <w:p w14:paraId="5663C98A"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2(33.3)</w:t>
            </w:r>
          </w:p>
        </w:tc>
      </w:tr>
      <w:tr w:rsidR="00A60F08" w:rsidRPr="00DF2360" w14:paraId="526DF69C" w14:textId="77777777" w:rsidTr="00492EDB">
        <w:tblPrEx>
          <w:tblCellMar>
            <w:left w:w="0" w:type="dxa"/>
            <w:right w:w="0" w:type="dxa"/>
          </w:tblCellMar>
        </w:tblPrEx>
        <w:trPr>
          <w:cantSplit/>
          <w:trHeight w:val="630"/>
        </w:trPr>
        <w:tc>
          <w:tcPr>
            <w:tcW w:w="1530" w:type="dxa"/>
            <w:tcBorders>
              <w:top w:val="nil"/>
              <w:bottom w:val="nil"/>
            </w:tcBorders>
            <w:shd w:val="clear" w:color="auto" w:fill="FFFFFF"/>
            <w:vAlign w:val="center"/>
          </w:tcPr>
          <w:p w14:paraId="6B554E04" w14:textId="1D34652C" w:rsidR="00A60F08" w:rsidRPr="00DF2360" w:rsidRDefault="00A60F08" w:rsidP="00DF2360">
            <w:pPr>
              <w:autoSpaceDE w:val="0"/>
              <w:autoSpaceDN w:val="0"/>
              <w:adjustRightInd w:val="0"/>
              <w:spacing w:after="0" w:line="360" w:lineRule="auto"/>
              <w:rPr>
                <w:rFonts w:ascii="Times New Roman" w:hAnsi="Times New Roman"/>
                <w:sz w:val="24"/>
                <w:szCs w:val="24"/>
              </w:rPr>
            </w:pPr>
            <w:r w:rsidRPr="00C72567">
              <w:rPr>
                <w:rFonts w:ascii="Times New Roman" w:hAnsi="Times New Roman"/>
                <w:sz w:val="24"/>
                <w:szCs w:val="24"/>
              </w:rPr>
              <w:t xml:space="preserve">3 </w:t>
            </w:r>
            <w:r w:rsidR="00BA1389" w:rsidRPr="00C72567">
              <w:rPr>
                <w:rFonts w:ascii="Times New Roman" w:hAnsi="Times New Roman"/>
                <w:sz w:val="24"/>
                <w:szCs w:val="24"/>
              </w:rPr>
              <w:t>–</w:t>
            </w:r>
            <w:r w:rsidRPr="00DF2360">
              <w:rPr>
                <w:rFonts w:ascii="Times New Roman" w:hAnsi="Times New Roman"/>
                <w:sz w:val="24"/>
                <w:szCs w:val="24"/>
              </w:rPr>
              <w:t xml:space="preserve"> 5</w:t>
            </w:r>
          </w:p>
        </w:tc>
        <w:tc>
          <w:tcPr>
            <w:tcW w:w="1800" w:type="dxa"/>
            <w:tcBorders>
              <w:top w:val="nil"/>
              <w:bottom w:val="nil"/>
            </w:tcBorders>
            <w:shd w:val="clear" w:color="auto" w:fill="FFFFFF"/>
            <w:vAlign w:val="center"/>
          </w:tcPr>
          <w:p w14:paraId="429EF0B4"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4(23.5)</w:t>
            </w:r>
          </w:p>
        </w:tc>
        <w:tc>
          <w:tcPr>
            <w:tcW w:w="1980" w:type="dxa"/>
            <w:tcBorders>
              <w:top w:val="nil"/>
              <w:bottom w:val="nil"/>
            </w:tcBorders>
            <w:shd w:val="clear" w:color="auto" w:fill="FFFFFF"/>
            <w:vAlign w:val="center"/>
          </w:tcPr>
          <w:p w14:paraId="66850FF7"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4(23.5)</w:t>
            </w:r>
          </w:p>
        </w:tc>
        <w:tc>
          <w:tcPr>
            <w:tcW w:w="3330" w:type="dxa"/>
            <w:tcBorders>
              <w:top w:val="nil"/>
              <w:bottom w:val="nil"/>
            </w:tcBorders>
            <w:shd w:val="clear" w:color="auto" w:fill="FFFFFF"/>
            <w:vAlign w:val="center"/>
          </w:tcPr>
          <w:p w14:paraId="19C26A1F"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9(52.9)</w:t>
            </w:r>
          </w:p>
        </w:tc>
      </w:tr>
      <w:tr w:rsidR="00A60F08" w:rsidRPr="00DF2360" w14:paraId="37C17B2D" w14:textId="77777777" w:rsidTr="00492EDB">
        <w:tblPrEx>
          <w:tblCellMar>
            <w:left w:w="0" w:type="dxa"/>
            <w:right w:w="0" w:type="dxa"/>
          </w:tblCellMar>
        </w:tblPrEx>
        <w:trPr>
          <w:cantSplit/>
          <w:trHeight w:val="630"/>
        </w:trPr>
        <w:tc>
          <w:tcPr>
            <w:tcW w:w="1530" w:type="dxa"/>
            <w:tcBorders>
              <w:top w:val="nil"/>
              <w:bottom w:val="single" w:sz="4" w:space="0" w:color="auto"/>
            </w:tcBorders>
            <w:shd w:val="clear" w:color="auto" w:fill="FFFFFF"/>
            <w:vAlign w:val="center"/>
          </w:tcPr>
          <w:p w14:paraId="5F9AA639" w14:textId="77777777" w:rsidR="00A60F08" w:rsidRPr="00C72567" w:rsidRDefault="00A60F08" w:rsidP="00DF2360">
            <w:pPr>
              <w:autoSpaceDE w:val="0"/>
              <w:autoSpaceDN w:val="0"/>
              <w:adjustRightInd w:val="0"/>
              <w:spacing w:after="0" w:line="360" w:lineRule="auto"/>
              <w:rPr>
                <w:rFonts w:ascii="Times New Roman" w:hAnsi="Times New Roman"/>
                <w:sz w:val="24"/>
                <w:szCs w:val="24"/>
              </w:rPr>
            </w:pPr>
            <w:r w:rsidRPr="00C72567">
              <w:rPr>
                <w:rFonts w:ascii="Times New Roman" w:hAnsi="Times New Roman"/>
                <w:sz w:val="24"/>
                <w:szCs w:val="24"/>
              </w:rPr>
              <w:t>6-10</w:t>
            </w:r>
          </w:p>
        </w:tc>
        <w:tc>
          <w:tcPr>
            <w:tcW w:w="1800" w:type="dxa"/>
            <w:tcBorders>
              <w:top w:val="nil"/>
              <w:bottom w:val="single" w:sz="4" w:space="0" w:color="auto"/>
            </w:tcBorders>
            <w:shd w:val="clear" w:color="auto" w:fill="FFFFFF"/>
            <w:vAlign w:val="center"/>
          </w:tcPr>
          <w:p w14:paraId="4AE7B398"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3(11.1)</w:t>
            </w:r>
          </w:p>
        </w:tc>
        <w:tc>
          <w:tcPr>
            <w:tcW w:w="1980" w:type="dxa"/>
            <w:tcBorders>
              <w:top w:val="nil"/>
              <w:bottom w:val="single" w:sz="4" w:space="0" w:color="auto"/>
            </w:tcBorders>
            <w:shd w:val="clear" w:color="auto" w:fill="FFFFFF"/>
            <w:vAlign w:val="center"/>
          </w:tcPr>
          <w:p w14:paraId="35E1B4B9"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3(11.1)</w:t>
            </w:r>
          </w:p>
        </w:tc>
        <w:tc>
          <w:tcPr>
            <w:tcW w:w="3330" w:type="dxa"/>
            <w:tcBorders>
              <w:top w:val="nil"/>
              <w:bottom w:val="single" w:sz="4" w:space="0" w:color="auto"/>
            </w:tcBorders>
            <w:shd w:val="clear" w:color="auto" w:fill="FFFFFF"/>
            <w:vAlign w:val="center"/>
          </w:tcPr>
          <w:p w14:paraId="2EDEE344" w14:textId="77777777" w:rsidR="00A60F08" w:rsidRPr="00DF2360" w:rsidRDefault="00A60F08" w:rsidP="00DF2360">
            <w:pPr>
              <w:autoSpaceDE w:val="0"/>
              <w:autoSpaceDN w:val="0"/>
              <w:adjustRightInd w:val="0"/>
              <w:spacing w:after="0" w:line="360" w:lineRule="auto"/>
              <w:ind w:left="60" w:right="60"/>
              <w:jc w:val="right"/>
              <w:rPr>
                <w:rFonts w:ascii="Times New Roman" w:hAnsi="Times New Roman"/>
                <w:sz w:val="24"/>
                <w:szCs w:val="24"/>
              </w:rPr>
            </w:pPr>
            <w:r w:rsidRPr="00DF2360">
              <w:rPr>
                <w:rFonts w:ascii="Times New Roman" w:hAnsi="Times New Roman"/>
                <w:sz w:val="24"/>
                <w:szCs w:val="24"/>
              </w:rPr>
              <w:t>21(77.8)</w:t>
            </w:r>
          </w:p>
        </w:tc>
      </w:tr>
    </w:tbl>
    <w:p w14:paraId="149F2E2A" w14:textId="77777777" w:rsidR="00A60F08" w:rsidRPr="00DF2360" w:rsidRDefault="00A60F08" w:rsidP="00DF2360">
      <w:pPr>
        <w:pBdr>
          <w:bottom w:val="single" w:sz="4" w:space="1" w:color="auto"/>
        </w:pBdr>
        <w:autoSpaceDE w:val="0"/>
        <w:autoSpaceDN w:val="0"/>
        <w:adjustRightInd w:val="0"/>
        <w:spacing w:after="0" w:line="360" w:lineRule="auto"/>
        <w:rPr>
          <w:rFonts w:ascii="Times New Roman" w:eastAsiaTheme="minorHAnsi" w:hAnsi="Times New Roman"/>
          <w:sz w:val="24"/>
          <w:szCs w:val="24"/>
        </w:rPr>
      </w:pPr>
      <w:r w:rsidRPr="00C72567">
        <w:rPr>
          <w:rFonts w:ascii="Times New Roman" w:eastAsiaTheme="minorHAnsi" w:hAnsi="Times New Roman"/>
          <w:sz w:val="24"/>
          <w:szCs w:val="24"/>
        </w:rPr>
        <w:t>Total                                  9(18.0)                     9(18.0)                                           32(64)</w:t>
      </w:r>
    </w:p>
    <w:p w14:paraId="39BAB94E" w14:textId="77777777" w:rsidR="009F65C9" w:rsidRPr="00DF2360" w:rsidRDefault="009F65C9" w:rsidP="00DF2360">
      <w:pPr>
        <w:autoSpaceDE w:val="0"/>
        <w:autoSpaceDN w:val="0"/>
        <w:adjustRightInd w:val="0"/>
        <w:spacing w:after="0" w:line="360" w:lineRule="auto"/>
        <w:jc w:val="both"/>
        <w:rPr>
          <w:rFonts w:ascii="Times New Roman" w:eastAsiaTheme="minorHAnsi" w:hAnsi="Times New Roman"/>
          <w:sz w:val="24"/>
          <w:szCs w:val="24"/>
        </w:rPr>
      </w:pPr>
    </w:p>
    <w:p w14:paraId="4B63BA14" w14:textId="727BC784" w:rsidR="00A60F08" w:rsidRPr="00DF2360" w:rsidRDefault="00A60F08" w:rsidP="00DF2360">
      <w:pPr>
        <w:autoSpaceDE w:val="0"/>
        <w:autoSpaceDN w:val="0"/>
        <w:adjustRightInd w:val="0"/>
        <w:spacing w:after="0" w:line="360" w:lineRule="auto"/>
        <w:jc w:val="both"/>
        <w:rPr>
          <w:rFonts w:ascii="Times New Roman" w:eastAsiaTheme="minorHAnsi" w:hAnsi="Times New Roman"/>
          <w:sz w:val="24"/>
          <w:szCs w:val="24"/>
        </w:rPr>
      </w:pPr>
      <w:r w:rsidRPr="00DF2360">
        <w:rPr>
          <w:rFonts w:ascii="Times New Roman" w:eastAsiaTheme="minorHAnsi" w:hAnsi="Times New Roman"/>
          <w:sz w:val="24"/>
          <w:szCs w:val="24"/>
        </w:rPr>
        <w:t xml:space="preserve">Table 3 shows treatment modalities for the various CAPRA score categories. The majority </w:t>
      </w:r>
      <w:r w:rsidR="00BA1389" w:rsidRPr="00DF2360">
        <w:rPr>
          <w:rFonts w:ascii="Times New Roman" w:eastAsiaTheme="minorHAnsi" w:hAnsi="Times New Roman"/>
          <w:sz w:val="24"/>
          <w:szCs w:val="24"/>
        </w:rPr>
        <w:t xml:space="preserve">n=21 (77.8%) </w:t>
      </w:r>
      <w:r w:rsidRPr="00DF2360">
        <w:rPr>
          <w:rFonts w:ascii="Times New Roman" w:eastAsiaTheme="minorHAnsi" w:hAnsi="Times New Roman"/>
          <w:sz w:val="24"/>
          <w:szCs w:val="24"/>
        </w:rPr>
        <w:t xml:space="preserve">of those in the high risk CAPRA category (6-10) received primary androgen depravation therapy while 9 (11%) underwent active surveillance and radical </w:t>
      </w:r>
      <w:r w:rsidR="00A57808" w:rsidRPr="00DF2360">
        <w:rPr>
          <w:rFonts w:ascii="Times New Roman" w:eastAsiaTheme="minorHAnsi" w:hAnsi="Times New Roman"/>
          <w:sz w:val="24"/>
          <w:szCs w:val="24"/>
        </w:rPr>
        <w:t>prostatectomy.</w:t>
      </w:r>
      <w:r w:rsidRPr="00DF2360">
        <w:rPr>
          <w:rFonts w:ascii="Times New Roman" w:eastAsiaTheme="minorHAnsi" w:hAnsi="Times New Roman"/>
          <w:sz w:val="24"/>
          <w:szCs w:val="24"/>
        </w:rPr>
        <w:t xml:space="preserve"> </w:t>
      </w:r>
      <w:r w:rsidR="00A57808" w:rsidRPr="00DF2360">
        <w:rPr>
          <w:rFonts w:ascii="Times New Roman" w:eastAsiaTheme="minorHAnsi" w:hAnsi="Times New Roman"/>
          <w:sz w:val="24"/>
          <w:szCs w:val="24"/>
        </w:rPr>
        <w:t>Of those</w:t>
      </w:r>
      <w:r w:rsidRPr="00DF2360">
        <w:rPr>
          <w:rFonts w:ascii="Times New Roman" w:eastAsiaTheme="minorHAnsi" w:hAnsi="Times New Roman"/>
          <w:sz w:val="24"/>
          <w:szCs w:val="24"/>
        </w:rPr>
        <w:t xml:space="preserve"> with intermediate risk CAPRA score (3-5) a majority</w:t>
      </w:r>
      <w:r w:rsidR="00BA1389" w:rsidRPr="00DF2360">
        <w:rPr>
          <w:rFonts w:ascii="Times New Roman" w:eastAsiaTheme="minorHAnsi" w:hAnsi="Times New Roman"/>
          <w:sz w:val="24"/>
          <w:szCs w:val="24"/>
        </w:rPr>
        <w:t>,</w:t>
      </w:r>
      <w:r w:rsidRPr="00DF2360">
        <w:rPr>
          <w:rFonts w:ascii="Times New Roman" w:eastAsiaTheme="minorHAnsi" w:hAnsi="Times New Roman"/>
          <w:sz w:val="24"/>
          <w:szCs w:val="24"/>
        </w:rPr>
        <w:t xml:space="preserve"> </w:t>
      </w:r>
      <w:r w:rsidR="00BA1389" w:rsidRPr="00DF2360">
        <w:rPr>
          <w:rFonts w:ascii="Times New Roman" w:eastAsiaTheme="minorHAnsi" w:hAnsi="Times New Roman"/>
          <w:sz w:val="24"/>
          <w:szCs w:val="24"/>
        </w:rPr>
        <w:t xml:space="preserve">9 (52.9%), </w:t>
      </w:r>
      <w:r w:rsidRPr="00DF2360">
        <w:rPr>
          <w:rFonts w:ascii="Times New Roman" w:eastAsiaTheme="minorHAnsi" w:hAnsi="Times New Roman"/>
          <w:sz w:val="24"/>
          <w:szCs w:val="24"/>
        </w:rPr>
        <w:t xml:space="preserve">received primary androgen deprivation therapy and 3 (23.5%) each received radical prostatectomy and active surveillance. </w:t>
      </w:r>
      <w:r w:rsidR="0055532E" w:rsidRPr="00DF2360">
        <w:rPr>
          <w:rFonts w:ascii="Times New Roman" w:eastAsiaTheme="minorHAnsi" w:hAnsi="Times New Roman"/>
          <w:sz w:val="24"/>
          <w:szCs w:val="24"/>
        </w:rPr>
        <w:t>Of</w:t>
      </w:r>
    </w:p>
    <w:p w14:paraId="4BE67BD0" w14:textId="454BCDEF" w:rsidR="00A60F08" w:rsidRPr="00DF2360" w:rsidRDefault="005C23FB" w:rsidP="00DF2360">
      <w:pPr>
        <w:autoSpaceDE w:val="0"/>
        <w:autoSpaceDN w:val="0"/>
        <w:adjustRightInd w:val="0"/>
        <w:spacing w:after="0" w:line="360" w:lineRule="auto"/>
        <w:jc w:val="both"/>
        <w:rPr>
          <w:rFonts w:ascii="Times New Roman" w:eastAsiaTheme="minorHAnsi" w:hAnsi="Times New Roman"/>
          <w:sz w:val="24"/>
          <w:szCs w:val="24"/>
        </w:rPr>
      </w:pPr>
      <w:r w:rsidRPr="00DF2360">
        <w:rPr>
          <w:rFonts w:ascii="Times New Roman" w:eastAsiaTheme="minorHAnsi" w:hAnsi="Times New Roman"/>
          <w:sz w:val="24"/>
          <w:szCs w:val="24"/>
        </w:rPr>
        <w:t>the 6</w:t>
      </w:r>
      <w:r w:rsidR="0055532E" w:rsidRPr="00DF2360">
        <w:rPr>
          <w:rFonts w:ascii="Times New Roman" w:eastAsiaTheme="minorHAnsi" w:hAnsi="Times New Roman"/>
          <w:sz w:val="24"/>
          <w:szCs w:val="24"/>
        </w:rPr>
        <w:t xml:space="preserve"> </w:t>
      </w:r>
      <w:r w:rsidR="00A60F08" w:rsidRPr="00DF2360">
        <w:rPr>
          <w:rFonts w:ascii="Times New Roman" w:eastAsiaTheme="minorHAnsi" w:hAnsi="Times New Roman"/>
          <w:sz w:val="24"/>
          <w:szCs w:val="24"/>
        </w:rPr>
        <w:t>in low risk CAPRA category (0-2), 2 (33.3%) each received active surveillance, radical prostatectomy and primary androgen depr</w:t>
      </w:r>
      <w:r w:rsidR="00BA1389" w:rsidRPr="00DF2360">
        <w:rPr>
          <w:rFonts w:ascii="Times New Roman" w:eastAsiaTheme="minorHAnsi" w:hAnsi="Times New Roman"/>
          <w:sz w:val="24"/>
          <w:szCs w:val="24"/>
        </w:rPr>
        <w:t>i</w:t>
      </w:r>
      <w:r w:rsidR="00A60F08" w:rsidRPr="00DF2360">
        <w:rPr>
          <w:rFonts w:ascii="Times New Roman" w:eastAsiaTheme="minorHAnsi" w:hAnsi="Times New Roman"/>
          <w:sz w:val="24"/>
          <w:szCs w:val="24"/>
        </w:rPr>
        <w:t>vation therapy respectively. Overall, a majority received primary androgen depr</w:t>
      </w:r>
      <w:r w:rsidR="00BA1389" w:rsidRPr="00DF2360">
        <w:rPr>
          <w:rFonts w:ascii="Times New Roman" w:eastAsiaTheme="minorHAnsi" w:hAnsi="Times New Roman"/>
          <w:sz w:val="24"/>
          <w:szCs w:val="24"/>
        </w:rPr>
        <w:t>i</w:t>
      </w:r>
      <w:r w:rsidR="00A60F08" w:rsidRPr="00DF2360">
        <w:rPr>
          <w:rFonts w:ascii="Times New Roman" w:eastAsiaTheme="minorHAnsi" w:hAnsi="Times New Roman"/>
          <w:sz w:val="24"/>
          <w:szCs w:val="24"/>
        </w:rPr>
        <w:t>vation therapy n=32 (64%), followed by radical prostatectomy</w:t>
      </w:r>
      <w:r w:rsidR="00BA1389" w:rsidRPr="00DF2360">
        <w:rPr>
          <w:rFonts w:ascii="Times New Roman" w:eastAsiaTheme="minorHAnsi" w:hAnsi="Times New Roman"/>
          <w:sz w:val="24"/>
          <w:szCs w:val="24"/>
        </w:rPr>
        <w:t xml:space="preserve">, 9 (18%) </w:t>
      </w:r>
      <w:r w:rsidR="00A60F08" w:rsidRPr="00DF2360">
        <w:rPr>
          <w:rFonts w:ascii="Times New Roman" w:eastAsiaTheme="minorHAnsi" w:hAnsi="Times New Roman"/>
          <w:sz w:val="24"/>
          <w:szCs w:val="24"/>
        </w:rPr>
        <w:t>and active surveillance</w:t>
      </w:r>
      <w:r w:rsidR="00BA1389" w:rsidRPr="00DF2360">
        <w:rPr>
          <w:rFonts w:ascii="Times New Roman" w:eastAsiaTheme="minorHAnsi" w:hAnsi="Times New Roman"/>
          <w:sz w:val="24"/>
          <w:szCs w:val="24"/>
        </w:rPr>
        <w:t xml:space="preserve"> 9 (18%)</w:t>
      </w:r>
      <w:r w:rsidR="00A60F08" w:rsidRPr="00DF2360">
        <w:rPr>
          <w:rFonts w:ascii="Times New Roman" w:eastAsiaTheme="minorHAnsi" w:hAnsi="Times New Roman"/>
          <w:sz w:val="24"/>
          <w:szCs w:val="24"/>
        </w:rPr>
        <w:t>.</w:t>
      </w:r>
    </w:p>
    <w:p w14:paraId="6428BFA4" w14:textId="77777777" w:rsidR="00A60F08" w:rsidRPr="00DF2360" w:rsidRDefault="00A60F08" w:rsidP="00DF2360">
      <w:pPr>
        <w:autoSpaceDE w:val="0"/>
        <w:autoSpaceDN w:val="0"/>
        <w:adjustRightInd w:val="0"/>
        <w:spacing w:after="0" w:line="360" w:lineRule="auto"/>
        <w:jc w:val="both"/>
        <w:rPr>
          <w:rFonts w:ascii="Times New Roman" w:eastAsiaTheme="minorHAnsi" w:hAnsi="Times New Roman"/>
          <w:sz w:val="24"/>
          <w:szCs w:val="24"/>
        </w:rPr>
      </w:pPr>
    </w:p>
    <w:p w14:paraId="0A4CD1B2" w14:textId="77777777" w:rsidR="00785A1D" w:rsidRPr="00DF2360" w:rsidRDefault="00785A1D" w:rsidP="00DF2360">
      <w:pPr>
        <w:spacing w:line="360" w:lineRule="auto"/>
        <w:rPr>
          <w:rFonts w:ascii="Times New Roman" w:hAnsi="Times New Roman"/>
          <w:b/>
          <w:bCs/>
          <w:sz w:val="24"/>
          <w:szCs w:val="24"/>
        </w:rPr>
      </w:pPr>
      <w:bookmarkStart w:id="4" w:name="_Toc514628049"/>
    </w:p>
    <w:p w14:paraId="40154858" w14:textId="19F3123A" w:rsidR="00A60F08" w:rsidRPr="00DF2360" w:rsidRDefault="00A60F08" w:rsidP="00DF2360">
      <w:pPr>
        <w:spacing w:line="360" w:lineRule="auto"/>
        <w:rPr>
          <w:rFonts w:ascii="Times New Roman" w:eastAsiaTheme="minorHAnsi" w:hAnsi="Times New Roman"/>
          <w:bCs/>
          <w:sz w:val="24"/>
          <w:szCs w:val="24"/>
        </w:rPr>
      </w:pPr>
      <w:r w:rsidRPr="00DF2360">
        <w:rPr>
          <w:rFonts w:ascii="Times New Roman" w:hAnsi="Times New Roman"/>
          <w:b/>
          <w:bCs/>
          <w:sz w:val="24"/>
          <w:szCs w:val="24"/>
        </w:rPr>
        <w:t xml:space="preserve">Table </w:t>
      </w:r>
      <w:r w:rsidRPr="00C72567">
        <w:rPr>
          <w:rFonts w:ascii="Times New Roman" w:hAnsi="Times New Roman"/>
          <w:b/>
          <w:bCs/>
          <w:sz w:val="24"/>
          <w:szCs w:val="24"/>
        </w:rPr>
        <w:fldChar w:fldCharType="begin"/>
      </w:r>
      <w:r w:rsidRPr="00DF2360">
        <w:rPr>
          <w:rFonts w:ascii="Times New Roman" w:hAnsi="Times New Roman"/>
          <w:b/>
          <w:bCs/>
          <w:sz w:val="24"/>
          <w:szCs w:val="24"/>
        </w:rPr>
        <w:instrText xml:space="preserve"> SEQ Table \* ARABIC </w:instrText>
      </w:r>
      <w:r w:rsidRPr="00C72567">
        <w:rPr>
          <w:rFonts w:ascii="Times New Roman" w:hAnsi="Times New Roman"/>
          <w:b/>
          <w:bCs/>
          <w:sz w:val="24"/>
          <w:szCs w:val="24"/>
        </w:rPr>
        <w:fldChar w:fldCharType="separate"/>
      </w:r>
      <w:r w:rsidRPr="00C72567">
        <w:rPr>
          <w:rFonts w:ascii="Times New Roman" w:hAnsi="Times New Roman"/>
          <w:b/>
          <w:bCs/>
          <w:noProof/>
          <w:sz w:val="24"/>
          <w:szCs w:val="24"/>
        </w:rPr>
        <w:t>4</w:t>
      </w:r>
      <w:r w:rsidRPr="00C72567">
        <w:rPr>
          <w:rFonts w:ascii="Times New Roman" w:hAnsi="Times New Roman"/>
          <w:b/>
          <w:bCs/>
          <w:sz w:val="24"/>
          <w:szCs w:val="24"/>
        </w:rPr>
        <w:fldChar w:fldCharType="end"/>
      </w:r>
      <w:r w:rsidRPr="00C72567">
        <w:rPr>
          <w:rFonts w:ascii="Times New Roman" w:hAnsi="Times New Roman"/>
          <w:b/>
          <w:bCs/>
          <w:sz w:val="24"/>
          <w:szCs w:val="24"/>
        </w:rPr>
        <w:t>: Comparison between standard treatment</w:t>
      </w:r>
      <w:r w:rsidR="005C23FB" w:rsidRPr="00C72567">
        <w:rPr>
          <w:rFonts w:ascii="Times New Roman" w:hAnsi="Times New Roman"/>
          <w:b/>
          <w:bCs/>
          <w:sz w:val="24"/>
          <w:szCs w:val="24"/>
        </w:rPr>
        <w:t xml:space="preserve"> recommended</w:t>
      </w:r>
      <w:r w:rsidRPr="00DF2360">
        <w:rPr>
          <w:rFonts w:ascii="Times New Roman" w:hAnsi="Times New Roman"/>
          <w:b/>
          <w:bCs/>
          <w:sz w:val="24"/>
          <w:szCs w:val="24"/>
        </w:rPr>
        <w:t xml:space="preserve"> </w:t>
      </w:r>
      <w:r w:rsidR="00C72567" w:rsidRPr="00DF2360">
        <w:rPr>
          <w:rFonts w:ascii="Times New Roman" w:hAnsi="Times New Roman"/>
          <w:b/>
          <w:bCs/>
          <w:sz w:val="24"/>
          <w:szCs w:val="24"/>
        </w:rPr>
        <w:t>b</w:t>
      </w:r>
      <w:r w:rsidRPr="00DF2360">
        <w:rPr>
          <w:rFonts w:ascii="Times New Roman" w:hAnsi="Times New Roman"/>
          <w:b/>
          <w:bCs/>
          <w:sz w:val="24"/>
          <w:szCs w:val="24"/>
        </w:rPr>
        <w:t>y CAPRA score against treatment given*</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37"/>
        <w:gridCol w:w="2861"/>
        <w:gridCol w:w="2811"/>
        <w:gridCol w:w="1351"/>
      </w:tblGrid>
      <w:tr w:rsidR="00A60F08" w:rsidRPr="00DF2360" w14:paraId="2C73D054" w14:textId="77777777" w:rsidTr="00492EDB">
        <w:trPr>
          <w:trHeight w:val="367"/>
        </w:trPr>
        <w:tc>
          <w:tcPr>
            <w:tcW w:w="2394" w:type="dxa"/>
            <w:tcBorders>
              <w:top w:val="single" w:sz="4" w:space="0" w:color="auto"/>
            </w:tcBorders>
          </w:tcPr>
          <w:p w14:paraId="0B853808" w14:textId="77777777" w:rsidR="00A60F08" w:rsidRPr="00DF2360" w:rsidRDefault="00A60F08" w:rsidP="00DF2360">
            <w:pPr>
              <w:autoSpaceDE w:val="0"/>
              <w:autoSpaceDN w:val="0"/>
              <w:adjustRightInd w:val="0"/>
              <w:spacing w:line="360" w:lineRule="auto"/>
              <w:ind w:left="108"/>
              <w:jc w:val="both"/>
              <w:rPr>
                <w:rFonts w:ascii="Times New Roman" w:eastAsiaTheme="minorHAnsi" w:hAnsi="Times New Roman"/>
                <w:sz w:val="24"/>
                <w:szCs w:val="24"/>
              </w:rPr>
            </w:pPr>
          </w:p>
        </w:tc>
        <w:tc>
          <w:tcPr>
            <w:tcW w:w="7182" w:type="dxa"/>
            <w:gridSpan w:val="3"/>
            <w:tcBorders>
              <w:top w:val="single" w:sz="4" w:space="0" w:color="auto"/>
            </w:tcBorders>
          </w:tcPr>
          <w:p w14:paraId="10C33924" w14:textId="77777777" w:rsidR="00A60F08" w:rsidRPr="00DF2360" w:rsidRDefault="00A60F08" w:rsidP="00DF2360">
            <w:pPr>
              <w:autoSpaceDE w:val="0"/>
              <w:autoSpaceDN w:val="0"/>
              <w:adjustRightInd w:val="0"/>
              <w:spacing w:line="360" w:lineRule="auto"/>
              <w:ind w:left="108"/>
              <w:jc w:val="both"/>
              <w:rPr>
                <w:rFonts w:ascii="Times New Roman" w:eastAsiaTheme="minorHAnsi" w:hAnsi="Times New Roman"/>
                <w:b/>
                <w:sz w:val="24"/>
                <w:szCs w:val="24"/>
              </w:rPr>
            </w:pPr>
            <w:r w:rsidRPr="00DF2360">
              <w:rPr>
                <w:rFonts w:ascii="Times New Roman" w:eastAsiaTheme="minorHAnsi" w:hAnsi="Times New Roman"/>
                <w:sz w:val="24"/>
                <w:szCs w:val="24"/>
              </w:rPr>
              <w:t xml:space="preserve">                              </w:t>
            </w:r>
            <w:r w:rsidRPr="00DF2360">
              <w:rPr>
                <w:rFonts w:ascii="Times New Roman" w:eastAsiaTheme="minorHAnsi" w:hAnsi="Times New Roman"/>
                <w:b/>
                <w:sz w:val="24"/>
                <w:szCs w:val="24"/>
              </w:rPr>
              <w:t>No. of patients (%)</w:t>
            </w:r>
          </w:p>
        </w:tc>
      </w:tr>
      <w:tr w:rsidR="00A60F08" w:rsidRPr="00DF2360" w14:paraId="275E08C9" w14:textId="77777777" w:rsidTr="00492EDB">
        <w:tblPrEx>
          <w:tblLook w:val="04A0" w:firstRow="1" w:lastRow="0" w:firstColumn="1" w:lastColumn="0" w:noHBand="0" w:noVBand="1"/>
        </w:tblPrEx>
        <w:tc>
          <w:tcPr>
            <w:tcW w:w="2394" w:type="dxa"/>
            <w:tcBorders>
              <w:bottom w:val="single" w:sz="4" w:space="0" w:color="auto"/>
            </w:tcBorders>
          </w:tcPr>
          <w:p w14:paraId="720BED78" w14:textId="77777777" w:rsidR="00A60F08" w:rsidRPr="00C72567" w:rsidRDefault="00A60F08" w:rsidP="00DF2360">
            <w:pPr>
              <w:autoSpaceDE w:val="0"/>
              <w:autoSpaceDN w:val="0"/>
              <w:adjustRightInd w:val="0"/>
              <w:spacing w:line="360" w:lineRule="auto"/>
              <w:jc w:val="both"/>
              <w:rPr>
                <w:rFonts w:ascii="Times New Roman" w:eastAsiaTheme="minorHAnsi" w:hAnsi="Times New Roman"/>
                <w:b/>
                <w:sz w:val="24"/>
                <w:szCs w:val="24"/>
              </w:rPr>
            </w:pPr>
            <w:r w:rsidRPr="00C72567">
              <w:rPr>
                <w:rFonts w:ascii="Times New Roman" w:eastAsiaTheme="minorHAnsi" w:hAnsi="Times New Roman"/>
                <w:b/>
                <w:sz w:val="24"/>
                <w:szCs w:val="24"/>
              </w:rPr>
              <w:t>CAPRA score(s)</w:t>
            </w:r>
          </w:p>
        </w:tc>
        <w:tc>
          <w:tcPr>
            <w:tcW w:w="2934" w:type="dxa"/>
            <w:tcBorders>
              <w:bottom w:val="single" w:sz="4" w:space="0" w:color="auto"/>
            </w:tcBorders>
          </w:tcPr>
          <w:p w14:paraId="4EA21552" w14:textId="77777777" w:rsidR="00A60F08" w:rsidRPr="00DF2360" w:rsidRDefault="00A60F08" w:rsidP="00DF2360">
            <w:pPr>
              <w:autoSpaceDE w:val="0"/>
              <w:autoSpaceDN w:val="0"/>
              <w:adjustRightInd w:val="0"/>
              <w:spacing w:line="360" w:lineRule="auto"/>
              <w:jc w:val="both"/>
              <w:rPr>
                <w:rFonts w:ascii="Times New Roman" w:eastAsiaTheme="minorHAnsi" w:hAnsi="Times New Roman"/>
                <w:b/>
                <w:sz w:val="24"/>
                <w:szCs w:val="24"/>
              </w:rPr>
            </w:pPr>
            <w:r w:rsidRPr="00DF2360">
              <w:rPr>
                <w:rFonts w:ascii="Times New Roman" w:eastAsiaTheme="minorHAnsi" w:hAnsi="Times New Roman"/>
                <w:b/>
                <w:sz w:val="24"/>
                <w:szCs w:val="24"/>
              </w:rPr>
              <w:t>Standard treatment</w:t>
            </w:r>
          </w:p>
        </w:tc>
        <w:tc>
          <w:tcPr>
            <w:tcW w:w="2880" w:type="dxa"/>
            <w:tcBorders>
              <w:bottom w:val="single" w:sz="4" w:space="0" w:color="auto"/>
            </w:tcBorders>
          </w:tcPr>
          <w:p w14:paraId="3B18C707" w14:textId="77777777" w:rsidR="00A60F08" w:rsidRPr="00DF2360" w:rsidRDefault="00A97118" w:rsidP="00DF2360">
            <w:pPr>
              <w:autoSpaceDE w:val="0"/>
              <w:autoSpaceDN w:val="0"/>
              <w:adjustRightInd w:val="0"/>
              <w:spacing w:line="360" w:lineRule="auto"/>
              <w:jc w:val="both"/>
              <w:rPr>
                <w:rFonts w:ascii="Times New Roman" w:eastAsiaTheme="minorHAnsi" w:hAnsi="Times New Roman"/>
                <w:b/>
                <w:sz w:val="24"/>
                <w:szCs w:val="24"/>
              </w:rPr>
            </w:pPr>
            <w:r w:rsidRPr="00DF2360">
              <w:rPr>
                <w:rFonts w:ascii="Times New Roman" w:eastAsiaTheme="minorHAnsi" w:hAnsi="Times New Roman"/>
                <w:b/>
                <w:sz w:val="24"/>
                <w:szCs w:val="24"/>
              </w:rPr>
              <w:t>Other treatment</w:t>
            </w:r>
            <w:r w:rsidR="00A60F08" w:rsidRPr="00DF2360">
              <w:rPr>
                <w:rFonts w:ascii="Times New Roman" w:eastAsiaTheme="minorHAnsi" w:hAnsi="Times New Roman"/>
                <w:b/>
                <w:sz w:val="24"/>
                <w:szCs w:val="24"/>
              </w:rPr>
              <w:t xml:space="preserve"> modalities</w:t>
            </w:r>
          </w:p>
        </w:tc>
        <w:tc>
          <w:tcPr>
            <w:tcW w:w="1368" w:type="dxa"/>
            <w:tcBorders>
              <w:bottom w:val="single" w:sz="4" w:space="0" w:color="auto"/>
            </w:tcBorders>
          </w:tcPr>
          <w:p w14:paraId="40982206" w14:textId="77777777" w:rsidR="00A60F08" w:rsidRPr="00DF2360" w:rsidRDefault="00A60F08" w:rsidP="00DF2360">
            <w:pPr>
              <w:autoSpaceDE w:val="0"/>
              <w:autoSpaceDN w:val="0"/>
              <w:adjustRightInd w:val="0"/>
              <w:spacing w:line="360" w:lineRule="auto"/>
              <w:jc w:val="both"/>
              <w:rPr>
                <w:rFonts w:ascii="Times New Roman" w:eastAsiaTheme="minorHAnsi" w:hAnsi="Times New Roman"/>
                <w:b/>
                <w:sz w:val="24"/>
                <w:szCs w:val="24"/>
              </w:rPr>
            </w:pPr>
            <w:r w:rsidRPr="00DF2360">
              <w:rPr>
                <w:rFonts w:ascii="Times New Roman" w:eastAsiaTheme="minorHAnsi" w:hAnsi="Times New Roman"/>
                <w:b/>
                <w:sz w:val="24"/>
                <w:szCs w:val="24"/>
              </w:rPr>
              <w:t>total</w:t>
            </w:r>
          </w:p>
        </w:tc>
      </w:tr>
      <w:tr w:rsidR="00A60F08" w:rsidRPr="00DF2360" w14:paraId="531B9B27" w14:textId="77777777" w:rsidTr="00492EDB">
        <w:tblPrEx>
          <w:tblLook w:val="04A0" w:firstRow="1" w:lastRow="0" w:firstColumn="1" w:lastColumn="0" w:noHBand="0" w:noVBand="1"/>
        </w:tblPrEx>
        <w:tc>
          <w:tcPr>
            <w:tcW w:w="2394" w:type="dxa"/>
            <w:tcBorders>
              <w:top w:val="single" w:sz="4" w:space="0" w:color="auto"/>
            </w:tcBorders>
          </w:tcPr>
          <w:p w14:paraId="5D83E13B" w14:textId="77777777" w:rsidR="00A60F08" w:rsidRPr="00C72567" w:rsidRDefault="00A60F08" w:rsidP="00DF2360">
            <w:pPr>
              <w:autoSpaceDE w:val="0"/>
              <w:autoSpaceDN w:val="0"/>
              <w:adjustRightInd w:val="0"/>
              <w:spacing w:line="360" w:lineRule="auto"/>
              <w:rPr>
                <w:rFonts w:ascii="Times New Roman" w:eastAsiaTheme="minorHAnsi" w:hAnsi="Times New Roman"/>
                <w:sz w:val="24"/>
                <w:szCs w:val="24"/>
              </w:rPr>
            </w:pPr>
            <w:r w:rsidRPr="00C72567">
              <w:rPr>
                <w:rFonts w:ascii="Times New Roman" w:eastAsiaTheme="minorHAnsi" w:hAnsi="Times New Roman"/>
                <w:sz w:val="24"/>
                <w:szCs w:val="24"/>
              </w:rPr>
              <w:t>0-2</w:t>
            </w:r>
          </w:p>
        </w:tc>
        <w:tc>
          <w:tcPr>
            <w:tcW w:w="2934" w:type="dxa"/>
            <w:tcBorders>
              <w:top w:val="single" w:sz="4" w:space="0" w:color="auto"/>
            </w:tcBorders>
          </w:tcPr>
          <w:p w14:paraId="276488F3"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2(33.3)</w:t>
            </w:r>
          </w:p>
        </w:tc>
        <w:tc>
          <w:tcPr>
            <w:tcW w:w="2880" w:type="dxa"/>
            <w:tcBorders>
              <w:top w:val="single" w:sz="4" w:space="0" w:color="auto"/>
            </w:tcBorders>
          </w:tcPr>
          <w:p w14:paraId="56E6970F"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4(66.7)</w:t>
            </w:r>
          </w:p>
        </w:tc>
        <w:tc>
          <w:tcPr>
            <w:tcW w:w="1368" w:type="dxa"/>
            <w:tcBorders>
              <w:top w:val="single" w:sz="4" w:space="0" w:color="auto"/>
            </w:tcBorders>
          </w:tcPr>
          <w:p w14:paraId="673E10E9"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6(100)</w:t>
            </w:r>
          </w:p>
        </w:tc>
      </w:tr>
      <w:tr w:rsidR="00A60F08" w:rsidRPr="00DF2360" w14:paraId="22C79E59" w14:textId="77777777" w:rsidTr="00492EDB">
        <w:tblPrEx>
          <w:tblLook w:val="04A0" w:firstRow="1" w:lastRow="0" w:firstColumn="1" w:lastColumn="0" w:noHBand="0" w:noVBand="1"/>
        </w:tblPrEx>
        <w:tc>
          <w:tcPr>
            <w:tcW w:w="2394" w:type="dxa"/>
          </w:tcPr>
          <w:p w14:paraId="651BFF35" w14:textId="77777777" w:rsidR="00A60F08" w:rsidRPr="00C72567" w:rsidRDefault="00A60F08" w:rsidP="00DF2360">
            <w:pPr>
              <w:autoSpaceDE w:val="0"/>
              <w:autoSpaceDN w:val="0"/>
              <w:adjustRightInd w:val="0"/>
              <w:spacing w:line="360" w:lineRule="auto"/>
              <w:rPr>
                <w:rFonts w:ascii="Times New Roman" w:eastAsiaTheme="minorHAnsi" w:hAnsi="Times New Roman"/>
                <w:sz w:val="24"/>
                <w:szCs w:val="24"/>
              </w:rPr>
            </w:pPr>
            <w:r w:rsidRPr="00C72567">
              <w:rPr>
                <w:rFonts w:ascii="Times New Roman" w:eastAsiaTheme="minorHAnsi" w:hAnsi="Times New Roman"/>
                <w:sz w:val="24"/>
                <w:szCs w:val="24"/>
              </w:rPr>
              <w:t>3-5</w:t>
            </w:r>
          </w:p>
        </w:tc>
        <w:tc>
          <w:tcPr>
            <w:tcW w:w="2934" w:type="dxa"/>
          </w:tcPr>
          <w:p w14:paraId="7E1A7E80"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4(23.5)</w:t>
            </w:r>
          </w:p>
        </w:tc>
        <w:tc>
          <w:tcPr>
            <w:tcW w:w="2880" w:type="dxa"/>
          </w:tcPr>
          <w:p w14:paraId="5973E411"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13(76.5)</w:t>
            </w:r>
          </w:p>
        </w:tc>
        <w:tc>
          <w:tcPr>
            <w:tcW w:w="1368" w:type="dxa"/>
          </w:tcPr>
          <w:p w14:paraId="4E014BD9"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17(100)</w:t>
            </w:r>
          </w:p>
        </w:tc>
      </w:tr>
      <w:tr w:rsidR="00A60F08" w:rsidRPr="00DF2360" w14:paraId="0A739767" w14:textId="77777777" w:rsidTr="00492EDB">
        <w:tblPrEx>
          <w:tblLook w:val="04A0" w:firstRow="1" w:lastRow="0" w:firstColumn="1" w:lastColumn="0" w:noHBand="0" w:noVBand="1"/>
        </w:tblPrEx>
        <w:tc>
          <w:tcPr>
            <w:tcW w:w="2394" w:type="dxa"/>
          </w:tcPr>
          <w:p w14:paraId="5F127FFE" w14:textId="77777777" w:rsidR="00A60F08" w:rsidRPr="00C72567" w:rsidRDefault="00A60F08" w:rsidP="00DF2360">
            <w:pPr>
              <w:autoSpaceDE w:val="0"/>
              <w:autoSpaceDN w:val="0"/>
              <w:adjustRightInd w:val="0"/>
              <w:spacing w:line="360" w:lineRule="auto"/>
              <w:rPr>
                <w:rFonts w:ascii="Times New Roman" w:eastAsiaTheme="minorHAnsi" w:hAnsi="Times New Roman"/>
                <w:sz w:val="24"/>
                <w:szCs w:val="24"/>
              </w:rPr>
            </w:pPr>
            <w:r w:rsidRPr="00C72567">
              <w:rPr>
                <w:rFonts w:ascii="Times New Roman" w:eastAsiaTheme="minorHAnsi" w:hAnsi="Times New Roman"/>
                <w:sz w:val="24"/>
                <w:szCs w:val="24"/>
              </w:rPr>
              <w:t>6-10</w:t>
            </w:r>
          </w:p>
        </w:tc>
        <w:tc>
          <w:tcPr>
            <w:tcW w:w="2934" w:type="dxa"/>
          </w:tcPr>
          <w:p w14:paraId="63C50DEF"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0(0.0)</w:t>
            </w:r>
          </w:p>
        </w:tc>
        <w:tc>
          <w:tcPr>
            <w:tcW w:w="2880" w:type="dxa"/>
          </w:tcPr>
          <w:p w14:paraId="19B481C9"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27(100)</w:t>
            </w:r>
          </w:p>
        </w:tc>
        <w:tc>
          <w:tcPr>
            <w:tcW w:w="1368" w:type="dxa"/>
          </w:tcPr>
          <w:p w14:paraId="3CE3CE71"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27(100)</w:t>
            </w:r>
          </w:p>
        </w:tc>
      </w:tr>
      <w:tr w:rsidR="00A60F08" w:rsidRPr="00DF2360" w14:paraId="0E1B5B71" w14:textId="77777777" w:rsidTr="00492EDB">
        <w:tblPrEx>
          <w:tblLook w:val="04A0" w:firstRow="1" w:lastRow="0" w:firstColumn="1" w:lastColumn="0" w:noHBand="0" w:noVBand="1"/>
        </w:tblPrEx>
        <w:tc>
          <w:tcPr>
            <w:tcW w:w="2394" w:type="dxa"/>
            <w:tcBorders>
              <w:bottom w:val="single" w:sz="4" w:space="0" w:color="auto"/>
            </w:tcBorders>
          </w:tcPr>
          <w:p w14:paraId="0F83EF70" w14:textId="77777777" w:rsidR="00A60F08" w:rsidRPr="00DF2360" w:rsidRDefault="00D9089D" w:rsidP="00DF2360">
            <w:pPr>
              <w:autoSpaceDE w:val="0"/>
              <w:autoSpaceDN w:val="0"/>
              <w:adjustRightInd w:val="0"/>
              <w:spacing w:line="360" w:lineRule="auto"/>
              <w:rPr>
                <w:rFonts w:ascii="Times New Roman" w:eastAsiaTheme="minorHAnsi" w:hAnsi="Times New Roman"/>
                <w:b/>
                <w:sz w:val="24"/>
                <w:szCs w:val="24"/>
              </w:rPr>
            </w:pPr>
            <w:r w:rsidRPr="00C72567">
              <w:rPr>
                <w:rFonts w:ascii="Times New Roman" w:eastAsiaTheme="minorHAnsi" w:hAnsi="Times New Roman"/>
                <w:b/>
                <w:sz w:val="24"/>
                <w:szCs w:val="24"/>
              </w:rPr>
              <w:t>T</w:t>
            </w:r>
            <w:r w:rsidR="00A60F08" w:rsidRPr="00C72567">
              <w:rPr>
                <w:rFonts w:ascii="Times New Roman" w:eastAsiaTheme="minorHAnsi" w:hAnsi="Times New Roman"/>
                <w:b/>
                <w:sz w:val="24"/>
                <w:szCs w:val="24"/>
              </w:rPr>
              <w:t>otal</w:t>
            </w:r>
          </w:p>
        </w:tc>
        <w:tc>
          <w:tcPr>
            <w:tcW w:w="2934" w:type="dxa"/>
            <w:tcBorders>
              <w:bottom w:val="single" w:sz="4" w:space="0" w:color="auto"/>
            </w:tcBorders>
          </w:tcPr>
          <w:p w14:paraId="538544D3"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6(12)</w:t>
            </w:r>
          </w:p>
        </w:tc>
        <w:tc>
          <w:tcPr>
            <w:tcW w:w="2880" w:type="dxa"/>
            <w:tcBorders>
              <w:bottom w:val="single" w:sz="4" w:space="0" w:color="auto"/>
            </w:tcBorders>
          </w:tcPr>
          <w:p w14:paraId="3AAE21C7"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44(88)</w:t>
            </w:r>
          </w:p>
        </w:tc>
        <w:tc>
          <w:tcPr>
            <w:tcW w:w="1368" w:type="dxa"/>
            <w:tcBorders>
              <w:bottom w:val="single" w:sz="4" w:space="0" w:color="auto"/>
            </w:tcBorders>
          </w:tcPr>
          <w:p w14:paraId="4552A1F0"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50(100)</w:t>
            </w:r>
          </w:p>
        </w:tc>
      </w:tr>
    </w:tbl>
    <w:p w14:paraId="4A8FBD11" w14:textId="77777777" w:rsidR="00A60F08" w:rsidRPr="00DF2360" w:rsidRDefault="00A60F08" w:rsidP="00DF2360">
      <w:pPr>
        <w:autoSpaceDE w:val="0"/>
        <w:autoSpaceDN w:val="0"/>
        <w:adjustRightInd w:val="0"/>
        <w:spacing w:after="0" w:line="360" w:lineRule="auto"/>
        <w:jc w:val="both"/>
        <w:rPr>
          <w:rFonts w:ascii="Times New Roman" w:eastAsiaTheme="minorHAnsi" w:hAnsi="Times New Roman"/>
          <w:sz w:val="24"/>
          <w:szCs w:val="24"/>
        </w:rPr>
      </w:pPr>
      <w:r w:rsidRPr="00C72567">
        <w:rPr>
          <w:rFonts w:ascii="Times New Roman" w:eastAsiaTheme="minorHAnsi" w:hAnsi="Times New Roman"/>
          <w:sz w:val="24"/>
          <w:szCs w:val="24"/>
        </w:rPr>
        <w:t>*0-2, standard treatment is Active surveillance.3-5, standard treatment is radical prostatectomy and radiotherapy.6-10, standard treatment is multimodal therapy (radical prostatectomy and radiotherapy or Radiotherapy and hormonal therapy).</w:t>
      </w:r>
    </w:p>
    <w:p w14:paraId="075505CD" w14:textId="77777777" w:rsidR="00A60F08" w:rsidRPr="00DF2360" w:rsidRDefault="00A60F08" w:rsidP="00DF2360">
      <w:pPr>
        <w:autoSpaceDE w:val="0"/>
        <w:autoSpaceDN w:val="0"/>
        <w:adjustRightInd w:val="0"/>
        <w:spacing w:after="0" w:line="360" w:lineRule="auto"/>
        <w:jc w:val="both"/>
        <w:rPr>
          <w:rFonts w:ascii="Times New Roman" w:eastAsiaTheme="minorHAnsi" w:hAnsi="Times New Roman"/>
          <w:sz w:val="24"/>
          <w:szCs w:val="24"/>
        </w:rPr>
      </w:pPr>
    </w:p>
    <w:p w14:paraId="63CC4E08" w14:textId="060DFE46" w:rsidR="00A60F08" w:rsidRPr="00DF2360" w:rsidRDefault="00A60F08" w:rsidP="00DF2360">
      <w:pPr>
        <w:autoSpaceDE w:val="0"/>
        <w:autoSpaceDN w:val="0"/>
        <w:adjustRightInd w:val="0"/>
        <w:spacing w:after="0" w:line="360" w:lineRule="auto"/>
        <w:jc w:val="both"/>
        <w:rPr>
          <w:rFonts w:ascii="Times New Roman" w:eastAsiaTheme="minorHAnsi" w:hAnsi="Times New Roman"/>
          <w:sz w:val="24"/>
          <w:szCs w:val="24"/>
        </w:rPr>
      </w:pPr>
      <w:r w:rsidRPr="00DF2360">
        <w:rPr>
          <w:rFonts w:ascii="Times New Roman" w:eastAsiaTheme="minorHAnsi" w:hAnsi="Times New Roman"/>
          <w:sz w:val="24"/>
          <w:szCs w:val="24"/>
        </w:rPr>
        <w:t xml:space="preserve">Table 4 shows </w:t>
      </w:r>
      <w:r w:rsidR="00D94E00" w:rsidRPr="00DF2360">
        <w:rPr>
          <w:rFonts w:ascii="Times New Roman" w:eastAsiaTheme="minorHAnsi" w:hAnsi="Times New Roman"/>
          <w:sz w:val="24"/>
          <w:szCs w:val="24"/>
        </w:rPr>
        <w:t xml:space="preserve">only </w:t>
      </w:r>
      <w:r w:rsidR="00E75B42" w:rsidRPr="00DF2360">
        <w:rPr>
          <w:rFonts w:ascii="Times New Roman" w:eastAsiaTheme="minorHAnsi" w:hAnsi="Times New Roman"/>
          <w:sz w:val="24"/>
          <w:szCs w:val="24"/>
        </w:rPr>
        <w:t>six (12</w:t>
      </w:r>
      <w:r w:rsidR="00A57808" w:rsidRPr="00DF2360">
        <w:rPr>
          <w:rFonts w:ascii="Times New Roman" w:eastAsiaTheme="minorHAnsi" w:hAnsi="Times New Roman"/>
          <w:sz w:val="24"/>
          <w:szCs w:val="24"/>
        </w:rPr>
        <w:t>%) patients</w:t>
      </w:r>
      <w:r w:rsidR="00E75B42" w:rsidRPr="00DF2360" w:rsidDel="00E75B42">
        <w:rPr>
          <w:rFonts w:ascii="Times New Roman" w:eastAsiaTheme="minorHAnsi" w:hAnsi="Times New Roman"/>
          <w:sz w:val="24"/>
          <w:szCs w:val="24"/>
        </w:rPr>
        <w:t xml:space="preserve"> </w:t>
      </w:r>
      <w:r w:rsidRPr="00DF2360">
        <w:rPr>
          <w:rFonts w:ascii="Times New Roman" w:eastAsiaTheme="minorHAnsi" w:hAnsi="Times New Roman"/>
          <w:sz w:val="24"/>
          <w:szCs w:val="24"/>
        </w:rPr>
        <w:t>received standard treatment as suggested by CAPRA score while 44</w:t>
      </w:r>
      <w:r w:rsidR="00E75B42" w:rsidRPr="00DF2360">
        <w:rPr>
          <w:rFonts w:ascii="Times New Roman" w:eastAsiaTheme="minorHAnsi" w:hAnsi="Times New Roman"/>
          <w:sz w:val="24"/>
          <w:szCs w:val="24"/>
        </w:rPr>
        <w:t xml:space="preserve"> </w:t>
      </w:r>
      <w:r w:rsidRPr="00DF2360">
        <w:rPr>
          <w:rFonts w:ascii="Times New Roman" w:eastAsiaTheme="minorHAnsi" w:hAnsi="Times New Roman"/>
          <w:sz w:val="24"/>
          <w:szCs w:val="24"/>
        </w:rPr>
        <w:t xml:space="preserve">(88%), received inappropriate treatment.  </w:t>
      </w:r>
      <w:r w:rsidR="00A57808" w:rsidRPr="00DF2360">
        <w:rPr>
          <w:rFonts w:ascii="Times New Roman" w:eastAsiaTheme="minorHAnsi" w:hAnsi="Times New Roman"/>
          <w:sz w:val="24"/>
          <w:szCs w:val="24"/>
        </w:rPr>
        <w:t>Of those</w:t>
      </w:r>
      <w:r w:rsidRPr="00DF2360">
        <w:rPr>
          <w:rFonts w:ascii="Times New Roman" w:eastAsiaTheme="minorHAnsi" w:hAnsi="Times New Roman"/>
          <w:sz w:val="24"/>
          <w:szCs w:val="24"/>
        </w:rPr>
        <w:t xml:space="preserve"> with intermediate risk category 4</w:t>
      </w:r>
      <w:r w:rsidR="00E75B42" w:rsidRPr="00DF2360">
        <w:rPr>
          <w:rFonts w:ascii="Times New Roman" w:eastAsiaTheme="minorHAnsi" w:hAnsi="Times New Roman"/>
          <w:sz w:val="24"/>
          <w:szCs w:val="24"/>
        </w:rPr>
        <w:t xml:space="preserve"> </w:t>
      </w:r>
      <w:r w:rsidRPr="00DF2360">
        <w:rPr>
          <w:rFonts w:ascii="Times New Roman" w:eastAsiaTheme="minorHAnsi" w:hAnsi="Times New Roman"/>
          <w:sz w:val="24"/>
          <w:szCs w:val="24"/>
        </w:rPr>
        <w:t xml:space="preserve">(23.5%) received standard treatment, while </w:t>
      </w:r>
      <w:r w:rsidR="00E75B42" w:rsidRPr="00DF2360">
        <w:rPr>
          <w:rFonts w:ascii="Times New Roman" w:eastAsiaTheme="minorHAnsi" w:hAnsi="Times New Roman"/>
          <w:sz w:val="24"/>
          <w:szCs w:val="24"/>
        </w:rPr>
        <w:t xml:space="preserve">the </w:t>
      </w:r>
      <w:r w:rsidRPr="00DF2360">
        <w:rPr>
          <w:rFonts w:ascii="Times New Roman" w:eastAsiaTheme="minorHAnsi" w:hAnsi="Times New Roman"/>
          <w:sz w:val="24"/>
          <w:szCs w:val="24"/>
        </w:rPr>
        <w:t>majority</w:t>
      </w:r>
      <w:r w:rsidR="00E75B42" w:rsidRPr="00DF2360">
        <w:rPr>
          <w:rFonts w:ascii="Times New Roman" w:eastAsiaTheme="minorHAnsi" w:hAnsi="Times New Roman"/>
          <w:sz w:val="24"/>
          <w:szCs w:val="24"/>
        </w:rPr>
        <w:t>,</w:t>
      </w:r>
      <w:r w:rsidRPr="00DF2360">
        <w:rPr>
          <w:rFonts w:ascii="Times New Roman" w:eastAsiaTheme="minorHAnsi" w:hAnsi="Times New Roman"/>
          <w:sz w:val="24"/>
          <w:szCs w:val="24"/>
        </w:rPr>
        <w:t xml:space="preserve"> 13</w:t>
      </w:r>
      <w:r w:rsidR="00E75B42" w:rsidRPr="00DF2360">
        <w:rPr>
          <w:rFonts w:ascii="Times New Roman" w:eastAsiaTheme="minorHAnsi" w:hAnsi="Times New Roman"/>
          <w:sz w:val="24"/>
          <w:szCs w:val="24"/>
        </w:rPr>
        <w:t xml:space="preserve"> </w:t>
      </w:r>
      <w:r w:rsidRPr="00DF2360">
        <w:rPr>
          <w:rFonts w:ascii="Times New Roman" w:eastAsiaTheme="minorHAnsi" w:hAnsi="Times New Roman"/>
          <w:sz w:val="24"/>
          <w:szCs w:val="24"/>
        </w:rPr>
        <w:t>(76.5%)</w:t>
      </w:r>
      <w:r w:rsidR="00E75B42" w:rsidRPr="00DF2360">
        <w:rPr>
          <w:rFonts w:ascii="Times New Roman" w:eastAsiaTheme="minorHAnsi" w:hAnsi="Times New Roman"/>
          <w:sz w:val="24"/>
          <w:szCs w:val="24"/>
        </w:rPr>
        <w:t>,</w:t>
      </w:r>
      <w:r w:rsidRPr="00DF2360">
        <w:rPr>
          <w:rFonts w:ascii="Times New Roman" w:eastAsiaTheme="minorHAnsi" w:hAnsi="Times New Roman"/>
          <w:sz w:val="24"/>
          <w:szCs w:val="24"/>
        </w:rPr>
        <w:t xml:space="preserve"> received inappropriate treatment. All patients in high risk category, n=27(100%) received inappropriate </w:t>
      </w:r>
      <w:r w:rsidR="001924DA" w:rsidRPr="00DF2360">
        <w:rPr>
          <w:rFonts w:ascii="Times New Roman" w:eastAsiaTheme="minorHAnsi" w:hAnsi="Times New Roman"/>
          <w:sz w:val="24"/>
          <w:szCs w:val="24"/>
        </w:rPr>
        <w:t>treatment</w:t>
      </w:r>
      <w:r w:rsidRPr="00DF2360">
        <w:rPr>
          <w:rFonts w:ascii="Times New Roman" w:eastAsiaTheme="minorHAnsi" w:hAnsi="Times New Roman"/>
          <w:sz w:val="24"/>
          <w:szCs w:val="24"/>
        </w:rPr>
        <w:t>.</w:t>
      </w:r>
    </w:p>
    <w:p w14:paraId="2FDA6A77" w14:textId="77777777" w:rsidR="008F5560" w:rsidRPr="00DF2360" w:rsidRDefault="008F5560" w:rsidP="00DF2360">
      <w:pPr>
        <w:autoSpaceDE w:val="0"/>
        <w:autoSpaceDN w:val="0"/>
        <w:adjustRightInd w:val="0"/>
        <w:spacing w:after="0" w:line="360" w:lineRule="auto"/>
        <w:jc w:val="both"/>
        <w:rPr>
          <w:rFonts w:ascii="Times New Roman" w:hAnsi="Times New Roman"/>
          <w:b/>
          <w:bCs/>
          <w:sz w:val="24"/>
          <w:szCs w:val="24"/>
          <w:lang w:bidi="en-US"/>
        </w:rPr>
      </w:pPr>
      <w:bookmarkStart w:id="5" w:name="_Toc514628117"/>
    </w:p>
    <w:p w14:paraId="69331DBC" w14:textId="77777777" w:rsidR="008F5560" w:rsidRPr="00DF2360" w:rsidRDefault="008F5560" w:rsidP="00DF2360">
      <w:pPr>
        <w:autoSpaceDE w:val="0"/>
        <w:autoSpaceDN w:val="0"/>
        <w:adjustRightInd w:val="0"/>
        <w:spacing w:after="0" w:line="360" w:lineRule="auto"/>
        <w:jc w:val="both"/>
        <w:rPr>
          <w:rFonts w:ascii="Times New Roman" w:hAnsi="Times New Roman"/>
          <w:b/>
          <w:bCs/>
          <w:sz w:val="24"/>
          <w:szCs w:val="24"/>
          <w:lang w:bidi="en-US"/>
        </w:rPr>
      </w:pPr>
    </w:p>
    <w:p w14:paraId="6908B293" w14:textId="77777777" w:rsidR="00C5765B" w:rsidRPr="00DF2360" w:rsidRDefault="009B0171" w:rsidP="00DF2360">
      <w:pPr>
        <w:autoSpaceDE w:val="0"/>
        <w:autoSpaceDN w:val="0"/>
        <w:adjustRightInd w:val="0"/>
        <w:spacing w:after="0" w:line="360" w:lineRule="auto"/>
        <w:jc w:val="both"/>
        <w:rPr>
          <w:rFonts w:ascii="Times New Roman" w:eastAsia="Calibri" w:hAnsi="Times New Roman"/>
          <w:sz w:val="24"/>
          <w:szCs w:val="24"/>
        </w:rPr>
      </w:pPr>
      <w:r w:rsidRPr="00DF2360">
        <w:rPr>
          <w:rFonts w:ascii="Times New Roman" w:hAnsi="Times New Roman"/>
          <w:b/>
          <w:bCs/>
          <w:sz w:val="24"/>
          <w:szCs w:val="24"/>
          <w:lang w:bidi="en-US"/>
        </w:rPr>
        <w:t>Discussion</w:t>
      </w:r>
      <w:bookmarkEnd w:id="5"/>
      <w:r w:rsidR="00C5765B" w:rsidRPr="00DF2360">
        <w:rPr>
          <w:rFonts w:ascii="Times New Roman" w:eastAsia="Calibri" w:hAnsi="Times New Roman"/>
          <w:sz w:val="24"/>
          <w:szCs w:val="24"/>
        </w:rPr>
        <w:t xml:space="preserve"> </w:t>
      </w:r>
    </w:p>
    <w:p w14:paraId="0DB7A638" w14:textId="77777777" w:rsidR="00B7091C" w:rsidRPr="00DF2360" w:rsidRDefault="00C5765B" w:rsidP="00DF2360">
      <w:pPr>
        <w:autoSpaceDE w:val="0"/>
        <w:autoSpaceDN w:val="0"/>
        <w:adjustRightInd w:val="0"/>
        <w:spacing w:after="0" w:line="360" w:lineRule="auto"/>
        <w:jc w:val="both"/>
        <w:rPr>
          <w:rFonts w:ascii="Times New Roman" w:eastAsia="Calibri" w:hAnsi="Times New Roman"/>
          <w:sz w:val="24"/>
          <w:szCs w:val="24"/>
        </w:rPr>
      </w:pPr>
      <w:r w:rsidRPr="00DF2360">
        <w:rPr>
          <w:rFonts w:ascii="Times New Roman" w:eastAsia="Calibri" w:hAnsi="Times New Roman"/>
          <w:sz w:val="24"/>
          <w:szCs w:val="24"/>
        </w:rPr>
        <w:t>Counseling men with a new diagnosis of prostate cancer entails many challenges, including presentation of realistic likelihoods of disease progression and mortality. These likelihoods, together with patient comorbidity, life expectancy, and preferences for treatment, should help guide planning of a risk-adapted treatment strategy.</w:t>
      </w:r>
      <w:r w:rsidR="007F294B" w:rsidRPr="00DF2360">
        <w:rPr>
          <w:rFonts w:ascii="Times New Roman" w:eastAsia="Calibri" w:hAnsi="Times New Roman"/>
          <w:sz w:val="24"/>
          <w:szCs w:val="24"/>
        </w:rPr>
        <w:t xml:space="preserve"> </w:t>
      </w:r>
    </w:p>
    <w:p w14:paraId="59706CA3" w14:textId="765D19C0" w:rsidR="0096542A" w:rsidRPr="00DF2360" w:rsidRDefault="00B7091C" w:rsidP="00DF2360">
      <w:pPr>
        <w:autoSpaceDE w:val="0"/>
        <w:autoSpaceDN w:val="0"/>
        <w:adjustRightInd w:val="0"/>
        <w:spacing w:after="0" w:line="360" w:lineRule="auto"/>
        <w:jc w:val="both"/>
        <w:rPr>
          <w:rFonts w:ascii="Times New Roman" w:eastAsia="Calibri" w:hAnsi="Times New Roman"/>
          <w:sz w:val="24"/>
          <w:szCs w:val="24"/>
        </w:rPr>
      </w:pPr>
      <w:r w:rsidRPr="00DF2360">
        <w:rPr>
          <w:rFonts w:ascii="Times New Roman" w:eastAsia="Calibri" w:hAnsi="Times New Roman"/>
          <w:sz w:val="24"/>
          <w:szCs w:val="24"/>
        </w:rPr>
        <w:t>The CAPRA score is among the most extensively and independently validated risk assessment tools available for localized prostate cancer, and it performs well in</w:t>
      </w:r>
      <w:r w:rsidR="003F7A5A" w:rsidRPr="00DF2360">
        <w:rPr>
          <w:rFonts w:ascii="Times New Roman" w:eastAsia="Calibri" w:hAnsi="Times New Roman"/>
          <w:sz w:val="24"/>
          <w:szCs w:val="24"/>
        </w:rPr>
        <w:t xml:space="preserve"> terms of accuracy</w:t>
      </w:r>
      <w:r w:rsidR="00A369BF" w:rsidRPr="00DF2360">
        <w:rPr>
          <w:rFonts w:ascii="Times New Roman" w:eastAsia="Calibri" w:hAnsi="Times New Roman"/>
          <w:sz w:val="24"/>
          <w:szCs w:val="24"/>
        </w:rPr>
        <w:t>, generalizability</w:t>
      </w:r>
      <w:r w:rsidR="00091C63" w:rsidRPr="00DF2360">
        <w:rPr>
          <w:rFonts w:ascii="Times New Roman" w:eastAsia="Calibri" w:hAnsi="Times New Roman"/>
          <w:sz w:val="24"/>
          <w:szCs w:val="24"/>
        </w:rPr>
        <w:t>, and</w:t>
      </w:r>
      <w:r w:rsidRPr="00DF2360">
        <w:rPr>
          <w:rFonts w:ascii="Times New Roman" w:eastAsia="Calibri" w:hAnsi="Times New Roman"/>
          <w:sz w:val="24"/>
          <w:szCs w:val="24"/>
        </w:rPr>
        <w:t xml:space="preserve"> </w:t>
      </w:r>
      <w:r w:rsidR="00091C63" w:rsidRPr="00DF2360">
        <w:rPr>
          <w:rFonts w:ascii="Times New Roman" w:eastAsia="Calibri" w:hAnsi="Times New Roman"/>
          <w:sz w:val="24"/>
          <w:szCs w:val="24"/>
        </w:rPr>
        <w:t>it’s</w:t>
      </w:r>
      <w:r w:rsidRPr="00DF2360">
        <w:rPr>
          <w:rFonts w:ascii="Times New Roman" w:eastAsia="Calibri" w:hAnsi="Times New Roman"/>
          <w:sz w:val="24"/>
          <w:szCs w:val="24"/>
        </w:rPr>
        <w:t xml:space="preserve"> easily </w:t>
      </w:r>
      <w:r w:rsidR="003F7A5A" w:rsidRPr="00DF2360">
        <w:rPr>
          <w:rFonts w:ascii="Times New Roman" w:eastAsia="Calibri" w:hAnsi="Times New Roman"/>
          <w:sz w:val="24"/>
          <w:szCs w:val="24"/>
        </w:rPr>
        <w:t xml:space="preserve">applied in </w:t>
      </w:r>
      <w:r w:rsidR="00C442DC" w:rsidRPr="00DF2360">
        <w:rPr>
          <w:rFonts w:ascii="Times New Roman" w:eastAsia="Calibri" w:hAnsi="Times New Roman"/>
          <w:sz w:val="24"/>
          <w:szCs w:val="24"/>
        </w:rPr>
        <w:t>the developed world.</w:t>
      </w:r>
    </w:p>
    <w:p w14:paraId="5521CB27" w14:textId="78A48BB1" w:rsidR="0094433B" w:rsidRPr="00DF2360" w:rsidRDefault="00FB6966" w:rsidP="00DF2360">
      <w:pPr>
        <w:autoSpaceDE w:val="0"/>
        <w:autoSpaceDN w:val="0"/>
        <w:adjustRightInd w:val="0"/>
        <w:spacing w:after="0" w:line="360" w:lineRule="auto"/>
        <w:jc w:val="both"/>
        <w:rPr>
          <w:rFonts w:ascii="Times New Roman" w:hAnsi="Times New Roman"/>
          <w:sz w:val="24"/>
          <w:szCs w:val="24"/>
          <w:lang w:bidi="en-US"/>
        </w:rPr>
      </w:pPr>
      <w:r w:rsidRPr="00DF2360">
        <w:rPr>
          <w:rFonts w:ascii="Times New Roman" w:eastAsia="Calibri" w:hAnsi="Times New Roman"/>
          <w:sz w:val="24"/>
          <w:szCs w:val="24"/>
        </w:rPr>
        <w:t xml:space="preserve"> This study provides insight on the </w:t>
      </w:r>
      <w:r w:rsidR="00C442DC" w:rsidRPr="00DF2360">
        <w:rPr>
          <w:rFonts w:ascii="Times New Roman" w:eastAsia="Calibri" w:hAnsi="Times New Roman"/>
          <w:sz w:val="24"/>
          <w:szCs w:val="24"/>
        </w:rPr>
        <w:t>applicability of</w:t>
      </w:r>
      <w:r w:rsidRPr="00DF2360">
        <w:rPr>
          <w:rFonts w:ascii="Times New Roman" w:eastAsia="Calibri" w:hAnsi="Times New Roman"/>
          <w:sz w:val="24"/>
          <w:szCs w:val="24"/>
        </w:rPr>
        <w:t xml:space="preserve"> CAPRA score tool </w:t>
      </w:r>
      <w:r w:rsidR="00492EDB" w:rsidRPr="00DF2360">
        <w:rPr>
          <w:rFonts w:ascii="Times New Roman" w:eastAsia="Calibri" w:hAnsi="Times New Roman"/>
          <w:sz w:val="24"/>
          <w:szCs w:val="24"/>
        </w:rPr>
        <w:t xml:space="preserve">in </w:t>
      </w:r>
      <w:r w:rsidRPr="00DF2360">
        <w:rPr>
          <w:rFonts w:ascii="Times New Roman" w:eastAsia="Calibri" w:hAnsi="Times New Roman"/>
          <w:sz w:val="24"/>
          <w:szCs w:val="24"/>
        </w:rPr>
        <w:t>management of</w:t>
      </w:r>
      <w:r w:rsidR="0096542A" w:rsidRPr="00DF2360">
        <w:rPr>
          <w:rFonts w:ascii="Times New Roman" w:eastAsia="Calibri" w:hAnsi="Times New Roman"/>
          <w:sz w:val="24"/>
          <w:szCs w:val="24"/>
        </w:rPr>
        <w:t xml:space="preserve"> localized</w:t>
      </w:r>
      <w:r w:rsidRPr="00DF2360">
        <w:rPr>
          <w:rFonts w:ascii="Times New Roman" w:eastAsia="Calibri" w:hAnsi="Times New Roman"/>
          <w:sz w:val="24"/>
          <w:szCs w:val="24"/>
        </w:rPr>
        <w:t xml:space="preserve"> prostate cancer</w:t>
      </w:r>
      <w:r w:rsidR="00492EDB" w:rsidRPr="00DF2360">
        <w:rPr>
          <w:rFonts w:ascii="Times New Roman" w:eastAsia="Calibri" w:hAnsi="Times New Roman"/>
          <w:sz w:val="24"/>
          <w:szCs w:val="24"/>
        </w:rPr>
        <w:t xml:space="preserve"> in a</w:t>
      </w:r>
      <w:r w:rsidR="00C442DC" w:rsidRPr="00DF2360">
        <w:rPr>
          <w:rFonts w:ascii="Times New Roman" w:eastAsia="Calibri" w:hAnsi="Times New Roman"/>
          <w:sz w:val="24"/>
          <w:szCs w:val="24"/>
        </w:rPr>
        <w:t xml:space="preserve"> poor resource </w:t>
      </w:r>
      <w:r w:rsidR="00492EDB" w:rsidRPr="00DF2360">
        <w:rPr>
          <w:rFonts w:ascii="Times New Roman" w:eastAsia="Calibri" w:hAnsi="Times New Roman"/>
          <w:sz w:val="24"/>
          <w:szCs w:val="24"/>
        </w:rPr>
        <w:t>setting</w:t>
      </w:r>
      <w:r w:rsidRPr="00DF2360">
        <w:rPr>
          <w:rFonts w:ascii="Times New Roman" w:eastAsia="Calibri" w:hAnsi="Times New Roman"/>
          <w:sz w:val="24"/>
          <w:szCs w:val="24"/>
        </w:rPr>
        <w:t>.</w:t>
      </w:r>
    </w:p>
    <w:p w14:paraId="0C7B7BBA" w14:textId="387A5921" w:rsidR="0094433B" w:rsidRPr="00DF2360" w:rsidRDefault="00701F95" w:rsidP="00DF2360">
      <w:pPr>
        <w:spacing w:after="0" w:line="360" w:lineRule="auto"/>
        <w:jc w:val="both"/>
        <w:rPr>
          <w:rFonts w:ascii="Times New Roman" w:hAnsi="Times New Roman"/>
          <w:sz w:val="24"/>
          <w:szCs w:val="24"/>
        </w:rPr>
      </w:pPr>
      <w:r w:rsidRPr="00DF2360">
        <w:rPr>
          <w:rFonts w:ascii="Times New Roman" w:hAnsi="Times New Roman"/>
          <w:sz w:val="24"/>
          <w:szCs w:val="24"/>
          <w:lang w:bidi="en-US"/>
        </w:rPr>
        <w:t>The majority (</w:t>
      </w:r>
      <w:r w:rsidR="00FF641E" w:rsidRPr="00DF2360">
        <w:rPr>
          <w:rFonts w:ascii="Times New Roman" w:hAnsi="Times New Roman"/>
          <w:sz w:val="24"/>
          <w:szCs w:val="24"/>
          <w:lang w:bidi="en-US"/>
        </w:rPr>
        <w:t xml:space="preserve">32 </w:t>
      </w:r>
      <w:r w:rsidR="00FB4451" w:rsidRPr="00DF2360">
        <w:rPr>
          <w:rFonts w:ascii="Times New Roman" w:hAnsi="Times New Roman"/>
          <w:sz w:val="24"/>
          <w:szCs w:val="24"/>
          <w:lang w:bidi="en-US"/>
        </w:rPr>
        <w:t>out</w:t>
      </w:r>
      <w:r w:rsidRPr="00DF2360">
        <w:rPr>
          <w:rFonts w:ascii="Times New Roman" w:hAnsi="Times New Roman"/>
          <w:sz w:val="24"/>
          <w:szCs w:val="24"/>
          <w:lang w:bidi="en-US"/>
        </w:rPr>
        <w:t xml:space="preserve"> of 50</w:t>
      </w:r>
      <w:r w:rsidR="0094433B" w:rsidRPr="00DF2360">
        <w:rPr>
          <w:rFonts w:ascii="Times New Roman" w:hAnsi="Times New Roman"/>
          <w:sz w:val="24"/>
          <w:szCs w:val="24"/>
          <w:lang w:bidi="en-US"/>
        </w:rPr>
        <w:t>) of patients were</w:t>
      </w:r>
      <w:r w:rsidR="0094433B" w:rsidRPr="00DF2360">
        <w:rPr>
          <w:rFonts w:ascii="Times New Roman" w:hAnsi="Times New Roman"/>
          <w:sz w:val="24"/>
          <w:szCs w:val="24"/>
        </w:rPr>
        <w:t xml:space="preserve"> treated with primary androgen depr</w:t>
      </w:r>
      <w:r w:rsidR="00D94E00" w:rsidRPr="00DF2360">
        <w:rPr>
          <w:rFonts w:ascii="Times New Roman" w:hAnsi="Times New Roman"/>
          <w:sz w:val="24"/>
          <w:szCs w:val="24"/>
        </w:rPr>
        <w:t>i</w:t>
      </w:r>
      <w:r w:rsidR="0094433B" w:rsidRPr="00DF2360">
        <w:rPr>
          <w:rFonts w:ascii="Times New Roman" w:hAnsi="Times New Roman"/>
          <w:sz w:val="24"/>
          <w:szCs w:val="24"/>
        </w:rPr>
        <w:t>vation therapy. This could have resulted from the fact that androgen depr</w:t>
      </w:r>
      <w:r w:rsidR="00D94E00" w:rsidRPr="00DF2360">
        <w:rPr>
          <w:rFonts w:ascii="Times New Roman" w:hAnsi="Times New Roman"/>
          <w:sz w:val="24"/>
          <w:szCs w:val="24"/>
        </w:rPr>
        <w:t>i</w:t>
      </w:r>
      <w:r w:rsidR="0094433B" w:rsidRPr="00DF2360">
        <w:rPr>
          <w:rFonts w:ascii="Times New Roman" w:hAnsi="Times New Roman"/>
          <w:sz w:val="24"/>
          <w:szCs w:val="24"/>
        </w:rPr>
        <w:t xml:space="preserve">vation therapy is considered </w:t>
      </w:r>
      <w:r w:rsidR="00492EDB" w:rsidRPr="00DF2360">
        <w:rPr>
          <w:rFonts w:ascii="Times New Roman" w:hAnsi="Times New Roman"/>
          <w:sz w:val="24"/>
          <w:szCs w:val="24"/>
        </w:rPr>
        <w:t xml:space="preserve">by some with limited experience </w:t>
      </w:r>
      <w:r w:rsidR="00726B05" w:rsidRPr="00DF2360">
        <w:rPr>
          <w:rFonts w:ascii="Times New Roman" w:hAnsi="Times New Roman"/>
          <w:sz w:val="24"/>
          <w:szCs w:val="24"/>
        </w:rPr>
        <w:t xml:space="preserve">in treatment of prostate cancer </w:t>
      </w:r>
      <w:r w:rsidR="00492EDB" w:rsidRPr="00DF2360">
        <w:rPr>
          <w:rFonts w:ascii="Times New Roman" w:hAnsi="Times New Roman"/>
          <w:sz w:val="24"/>
          <w:szCs w:val="24"/>
        </w:rPr>
        <w:t xml:space="preserve">to be </w:t>
      </w:r>
      <w:r w:rsidR="0094433B" w:rsidRPr="00DF2360">
        <w:rPr>
          <w:rFonts w:ascii="Times New Roman" w:hAnsi="Times New Roman"/>
          <w:sz w:val="24"/>
          <w:szCs w:val="24"/>
        </w:rPr>
        <w:t>the primary treatment for most patients diagnosed with prostate cancer regardless of the stage. Specialized radiotherapy</w:t>
      </w:r>
      <w:r w:rsidR="0094433B" w:rsidRPr="00DF2360">
        <w:rPr>
          <w:rFonts w:ascii="Times New Roman" w:eastAsiaTheme="minorEastAsia" w:hAnsi="Times New Roman"/>
          <w:sz w:val="24"/>
          <w:szCs w:val="24"/>
          <w:lang w:val="en-ZW"/>
        </w:rPr>
        <w:t xml:space="preserve"> </w:t>
      </w:r>
      <w:r w:rsidR="0094433B" w:rsidRPr="00DF2360">
        <w:rPr>
          <w:rFonts w:ascii="Times New Roman" w:eastAsiaTheme="minorEastAsia" w:hAnsi="Times New Roman"/>
          <w:sz w:val="24"/>
          <w:szCs w:val="24"/>
          <w:lang w:val="en-ZW"/>
        </w:rPr>
        <w:lastRenderedPageBreak/>
        <w:t xml:space="preserve">techniques e.g. cyber knife or </w:t>
      </w:r>
      <w:r w:rsidR="00A97118" w:rsidRPr="00DF2360">
        <w:rPr>
          <w:rFonts w:ascii="Times New Roman" w:eastAsiaTheme="minorEastAsia" w:hAnsi="Times New Roman"/>
          <w:sz w:val="24"/>
          <w:szCs w:val="24"/>
          <w:lang w:val="en-ZW"/>
        </w:rPr>
        <w:t>br</w:t>
      </w:r>
      <w:r w:rsidR="00C442DC" w:rsidRPr="00DF2360">
        <w:rPr>
          <w:rFonts w:ascii="Times New Roman" w:eastAsiaTheme="minorEastAsia" w:hAnsi="Times New Roman"/>
          <w:sz w:val="24"/>
          <w:szCs w:val="24"/>
          <w:lang w:val="en-ZW"/>
        </w:rPr>
        <w:t>achyt</w:t>
      </w:r>
      <w:r w:rsidR="0094433B" w:rsidRPr="00DF2360">
        <w:rPr>
          <w:rFonts w:ascii="Times New Roman" w:eastAsiaTheme="minorEastAsia" w:hAnsi="Times New Roman"/>
          <w:sz w:val="24"/>
          <w:szCs w:val="24"/>
          <w:lang w:val="en-ZW"/>
        </w:rPr>
        <w:t xml:space="preserve">herapy </w:t>
      </w:r>
      <w:r w:rsidR="00492EDB" w:rsidRPr="00DF2360">
        <w:rPr>
          <w:rFonts w:ascii="Times New Roman" w:eastAsiaTheme="minorEastAsia" w:hAnsi="Times New Roman"/>
          <w:sz w:val="24"/>
          <w:szCs w:val="24"/>
          <w:lang w:val="en-ZW"/>
        </w:rPr>
        <w:t xml:space="preserve">are </w:t>
      </w:r>
      <w:r w:rsidR="0094433B" w:rsidRPr="00DF2360">
        <w:rPr>
          <w:rFonts w:ascii="Times New Roman" w:eastAsiaTheme="minorEastAsia" w:hAnsi="Times New Roman"/>
          <w:sz w:val="24"/>
          <w:szCs w:val="24"/>
          <w:lang w:val="en-ZW"/>
        </w:rPr>
        <w:t>not accessible in Tanzania</w:t>
      </w:r>
      <w:r w:rsidR="00D94E00" w:rsidRPr="00DF2360">
        <w:rPr>
          <w:rFonts w:ascii="Times New Roman" w:eastAsiaTheme="minorEastAsia" w:hAnsi="Times New Roman"/>
          <w:sz w:val="24"/>
          <w:szCs w:val="24"/>
          <w:lang w:val="en-ZW"/>
        </w:rPr>
        <w:t>, and this</w:t>
      </w:r>
      <w:r w:rsidR="0094433B" w:rsidRPr="00DF2360">
        <w:rPr>
          <w:rFonts w:ascii="Times New Roman" w:hAnsi="Times New Roman"/>
          <w:sz w:val="24"/>
          <w:szCs w:val="24"/>
        </w:rPr>
        <w:t xml:space="preserve"> could explain the absence of a single patient treated </w:t>
      </w:r>
      <w:r w:rsidR="00492EDB" w:rsidRPr="00DF2360">
        <w:rPr>
          <w:rFonts w:ascii="Times New Roman" w:hAnsi="Times New Roman"/>
          <w:sz w:val="24"/>
          <w:szCs w:val="24"/>
        </w:rPr>
        <w:t xml:space="preserve">by </w:t>
      </w:r>
      <w:r w:rsidR="00D94E00" w:rsidRPr="00DF2360">
        <w:rPr>
          <w:rFonts w:ascii="Times New Roman" w:hAnsi="Times New Roman"/>
          <w:sz w:val="24"/>
          <w:szCs w:val="24"/>
        </w:rPr>
        <w:t xml:space="preserve">this </w:t>
      </w:r>
      <w:r w:rsidR="00A646EC" w:rsidRPr="00DF2360">
        <w:rPr>
          <w:rFonts w:ascii="Times New Roman" w:hAnsi="Times New Roman"/>
          <w:sz w:val="24"/>
          <w:szCs w:val="24"/>
        </w:rPr>
        <w:t>modalit</w:t>
      </w:r>
      <w:r w:rsidR="00D94E00" w:rsidRPr="00DF2360">
        <w:rPr>
          <w:rFonts w:ascii="Times New Roman" w:hAnsi="Times New Roman"/>
          <w:sz w:val="24"/>
          <w:szCs w:val="24"/>
        </w:rPr>
        <w:t>y</w:t>
      </w:r>
      <w:r w:rsidR="00A646EC" w:rsidRPr="00DF2360">
        <w:rPr>
          <w:rFonts w:ascii="Times New Roman" w:hAnsi="Times New Roman"/>
          <w:sz w:val="24"/>
          <w:szCs w:val="24"/>
        </w:rPr>
        <w:t>. Nine patients</w:t>
      </w:r>
      <w:r w:rsidR="0094433B" w:rsidRPr="00DF2360">
        <w:rPr>
          <w:rFonts w:ascii="Times New Roman" w:hAnsi="Times New Roman"/>
          <w:sz w:val="24"/>
          <w:szCs w:val="24"/>
        </w:rPr>
        <w:t xml:space="preserve"> </w:t>
      </w:r>
      <w:r w:rsidR="00492EDB" w:rsidRPr="00DF2360">
        <w:rPr>
          <w:rFonts w:ascii="Times New Roman" w:hAnsi="Times New Roman"/>
          <w:sz w:val="24"/>
          <w:szCs w:val="24"/>
        </w:rPr>
        <w:t>underwent</w:t>
      </w:r>
      <w:r w:rsidR="0094433B" w:rsidRPr="00DF2360">
        <w:rPr>
          <w:rFonts w:ascii="Times New Roman" w:hAnsi="Times New Roman"/>
          <w:sz w:val="24"/>
          <w:szCs w:val="24"/>
        </w:rPr>
        <w:t xml:space="preserve"> radical prostatectomy as primary treatment as it was </w:t>
      </w:r>
      <w:r w:rsidR="00492EDB" w:rsidRPr="00DF2360">
        <w:rPr>
          <w:rFonts w:ascii="Times New Roman" w:hAnsi="Times New Roman"/>
          <w:sz w:val="24"/>
          <w:szCs w:val="24"/>
        </w:rPr>
        <w:t>regularly offered</w:t>
      </w:r>
      <w:r w:rsidR="0094433B" w:rsidRPr="00DF2360">
        <w:rPr>
          <w:rFonts w:ascii="Times New Roman" w:hAnsi="Times New Roman"/>
          <w:sz w:val="24"/>
          <w:szCs w:val="24"/>
        </w:rPr>
        <w:t xml:space="preserve"> in one of the </w:t>
      </w:r>
      <w:r w:rsidR="00D94E00" w:rsidRPr="00DF2360">
        <w:rPr>
          <w:rFonts w:ascii="Times New Roman" w:hAnsi="Times New Roman"/>
          <w:sz w:val="24"/>
          <w:szCs w:val="24"/>
        </w:rPr>
        <w:t xml:space="preserve">study </w:t>
      </w:r>
      <w:r w:rsidR="0094433B" w:rsidRPr="00DF2360">
        <w:rPr>
          <w:rFonts w:ascii="Times New Roman" w:hAnsi="Times New Roman"/>
          <w:sz w:val="24"/>
          <w:szCs w:val="24"/>
        </w:rPr>
        <w:t>centers</w:t>
      </w:r>
      <w:r w:rsidR="00C72567" w:rsidRPr="00DF2360">
        <w:rPr>
          <w:rFonts w:ascii="Times New Roman" w:hAnsi="Times New Roman"/>
          <w:sz w:val="24"/>
          <w:szCs w:val="24"/>
        </w:rPr>
        <w:t>.</w:t>
      </w:r>
    </w:p>
    <w:p w14:paraId="784638E7" w14:textId="77777777" w:rsidR="0094433B" w:rsidRPr="00DF2360" w:rsidRDefault="0094433B" w:rsidP="00DF2360">
      <w:pPr>
        <w:spacing w:after="0" w:line="360" w:lineRule="auto"/>
        <w:jc w:val="both"/>
        <w:rPr>
          <w:rFonts w:ascii="Times New Roman" w:hAnsi="Times New Roman"/>
          <w:sz w:val="24"/>
          <w:szCs w:val="24"/>
        </w:rPr>
      </w:pPr>
    </w:p>
    <w:p w14:paraId="3901E7CF" w14:textId="2293AE16" w:rsidR="0094433B" w:rsidRPr="00DF2360" w:rsidRDefault="0094433B" w:rsidP="00DF2360">
      <w:pPr>
        <w:spacing w:after="0" w:line="360" w:lineRule="auto"/>
        <w:jc w:val="both"/>
        <w:rPr>
          <w:rFonts w:ascii="Times New Roman" w:hAnsi="Times New Roman"/>
          <w:color w:val="000000" w:themeColor="text1"/>
          <w:sz w:val="24"/>
          <w:szCs w:val="24"/>
        </w:rPr>
      </w:pPr>
      <w:r w:rsidRPr="00DF2360">
        <w:rPr>
          <w:rFonts w:ascii="Times New Roman" w:hAnsi="Times New Roman"/>
          <w:color w:val="000000" w:themeColor="text1"/>
          <w:sz w:val="24"/>
          <w:szCs w:val="24"/>
        </w:rPr>
        <w:t xml:space="preserve"> In this study, 12%</w:t>
      </w:r>
      <w:r w:rsidR="002742BC" w:rsidRPr="00DF2360">
        <w:rPr>
          <w:rFonts w:ascii="Times New Roman" w:hAnsi="Times New Roman"/>
          <w:color w:val="000000" w:themeColor="text1"/>
          <w:sz w:val="24"/>
          <w:szCs w:val="24"/>
        </w:rPr>
        <w:t xml:space="preserve"> of the</w:t>
      </w:r>
      <w:r w:rsidRPr="00DF2360">
        <w:rPr>
          <w:rFonts w:ascii="Times New Roman" w:hAnsi="Times New Roman"/>
          <w:color w:val="000000" w:themeColor="text1"/>
          <w:sz w:val="24"/>
          <w:szCs w:val="24"/>
        </w:rPr>
        <w:t xml:space="preserve"> </w:t>
      </w:r>
      <w:r w:rsidR="002742BC" w:rsidRPr="00DF2360">
        <w:rPr>
          <w:rFonts w:ascii="Times New Roman" w:hAnsi="Times New Roman"/>
          <w:color w:val="000000" w:themeColor="text1"/>
          <w:sz w:val="24"/>
          <w:szCs w:val="24"/>
        </w:rPr>
        <w:t xml:space="preserve">patients </w:t>
      </w:r>
      <w:r w:rsidRPr="00DF2360">
        <w:rPr>
          <w:rFonts w:ascii="Times New Roman" w:hAnsi="Times New Roman"/>
          <w:color w:val="000000" w:themeColor="text1"/>
          <w:sz w:val="24"/>
          <w:szCs w:val="24"/>
        </w:rPr>
        <w:t>received standard treatment</w:t>
      </w:r>
      <w:r w:rsidR="002742BC" w:rsidRPr="00DF2360">
        <w:rPr>
          <w:rFonts w:ascii="Times New Roman" w:hAnsi="Times New Roman"/>
          <w:color w:val="000000" w:themeColor="text1"/>
          <w:sz w:val="24"/>
          <w:szCs w:val="24"/>
        </w:rPr>
        <w:t xml:space="preserve"> as</w:t>
      </w:r>
      <w:r w:rsidRPr="00DF2360">
        <w:rPr>
          <w:rFonts w:ascii="Times New Roman" w:hAnsi="Times New Roman"/>
          <w:color w:val="000000" w:themeColor="text1"/>
          <w:sz w:val="24"/>
          <w:szCs w:val="24"/>
        </w:rPr>
        <w:t xml:space="preserve"> suggest by CAPRA score tool, while majority, 88% received inappropriate treatment </w:t>
      </w:r>
      <w:r w:rsidR="005A01ED" w:rsidRPr="00DF2360">
        <w:rPr>
          <w:rFonts w:ascii="Times New Roman" w:hAnsi="Times New Roman"/>
          <w:color w:val="000000" w:themeColor="text1"/>
          <w:sz w:val="24"/>
          <w:szCs w:val="24"/>
        </w:rPr>
        <w:t>modalities. A</w:t>
      </w:r>
      <w:r w:rsidRPr="00DF2360">
        <w:rPr>
          <w:rFonts w:ascii="Times New Roman" w:hAnsi="Times New Roman"/>
          <w:color w:val="000000" w:themeColor="text1"/>
          <w:sz w:val="24"/>
          <w:szCs w:val="24"/>
        </w:rPr>
        <w:t xml:space="preserve"> majority of those in the high risk CAPRA score category (77.8%) received androgen depr</w:t>
      </w:r>
      <w:r w:rsidR="00B6420C" w:rsidRPr="00DF2360">
        <w:rPr>
          <w:rFonts w:ascii="Times New Roman" w:hAnsi="Times New Roman"/>
          <w:color w:val="000000" w:themeColor="text1"/>
          <w:sz w:val="24"/>
          <w:szCs w:val="24"/>
        </w:rPr>
        <w:t>i</w:t>
      </w:r>
      <w:r w:rsidRPr="00DF2360">
        <w:rPr>
          <w:rFonts w:ascii="Times New Roman" w:hAnsi="Times New Roman"/>
          <w:color w:val="000000" w:themeColor="text1"/>
          <w:sz w:val="24"/>
          <w:szCs w:val="24"/>
        </w:rPr>
        <w:t>vation therapy as a primary treatment modality and 11</w:t>
      </w:r>
      <w:r w:rsidR="00FF260A" w:rsidRPr="00DF2360">
        <w:rPr>
          <w:rFonts w:ascii="Times New Roman" w:hAnsi="Times New Roman"/>
          <w:color w:val="000000" w:themeColor="text1"/>
          <w:sz w:val="24"/>
          <w:szCs w:val="24"/>
        </w:rPr>
        <w:t>.1</w:t>
      </w:r>
      <w:r w:rsidRPr="00DF2360">
        <w:rPr>
          <w:rFonts w:ascii="Times New Roman" w:hAnsi="Times New Roman"/>
          <w:color w:val="000000" w:themeColor="text1"/>
          <w:sz w:val="24"/>
          <w:szCs w:val="24"/>
        </w:rPr>
        <w:t>% were treated by radical prostatectomy and active surveillance as primary modality respectively. None of the patients received the standard treatment. Based on CAPRA risk assessment tool, patients with high risk category require multimodal treatment (surgery with radiation, or radiation th</w:t>
      </w:r>
      <w:r w:rsidR="005E24BB" w:rsidRPr="00DF2360">
        <w:rPr>
          <w:rFonts w:ascii="Times New Roman" w:hAnsi="Times New Roman"/>
          <w:color w:val="000000" w:themeColor="text1"/>
          <w:sz w:val="24"/>
          <w:szCs w:val="24"/>
        </w:rPr>
        <w:t>era</w:t>
      </w:r>
      <w:r w:rsidR="00557694" w:rsidRPr="00DF2360">
        <w:rPr>
          <w:rFonts w:ascii="Times New Roman" w:hAnsi="Times New Roman"/>
          <w:color w:val="000000" w:themeColor="text1"/>
          <w:sz w:val="24"/>
          <w:szCs w:val="24"/>
        </w:rPr>
        <w:t>py with hormonal therapy) (8,9</w:t>
      </w:r>
      <w:r w:rsidR="00C72567" w:rsidRPr="00DF2360">
        <w:rPr>
          <w:rFonts w:ascii="Times New Roman" w:hAnsi="Times New Roman"/>
          <w:color w:val="000000" w:themeColor="text1"/>
          <w:sz w:val="24"/>
          <w:szCs w:val="24"/>
        </w:rPr>
        <w:t>). Thus</w:t>
      </w:r>
      <w:r w:rsidRPr="00DF2360">
        <w:rPr>
          <w:rFonts w:ascii="Times New Roman" w:hAnsi="Times New Roman"/>
          <w:color w:val="000000" w:themeColor="text1"/>
          <w:sz w:val="24"/>
          <w:szCs w:val="24"/>
        </w:rPr>
        <w:t xml:space="preserve"> most of the patients were undertreated.</w:t>
      </w:r>
    </w:p>
    <w:p w14:paraId="1926CDA3" w14:textId="0A7995CC" w:rsidR="0094433B" w:rsidRPr="00DF2360" w:rsidRDefault="002742BC" w:rsidP="00DF2360">
      <w:pPr>
        <w:spacing w:after="0" w:line="360" w:lineRule="auto"/>
        <w:jc w:val="both"/>
        <w:rPr>
          <w:rFonts w:ascii="Times New Roman" w:hAnsi="Times New Roman"/>
          <w:color w:val="000000" w:themeColor="text1"/>
          <w:sz w:val="24"/>
          <w:szCs w:val="24"/>
        </w:rPr>
      </w:pPr>
      <w:r w:rsidRPr="00DF2360">
        <w:rPr>
          <w:rFonts w:ascii="Times New Roman" w:hAnsi="Times New Roman"/>
          <w:color w:val="000000" w:themeColor="text1"/>
          <w:sz w:val="24"/>
          <w:szCs w:val="24"/>
          <w:lang w:bidi="en-US"/>
        </w:rPr>
        <w:t xml:space="preserve"> </w:t>
      </w:r>
      <w:r w:rsidR="0094433B" w:rsidRPr="00DF2360">
        <w:rPr>
          <w:rFonts w:ascii="Times New Roman" w:hAnsi="Times New Roman"/>
          <w:color w:val="000000" w:themeColor="text1"/>
          <w:sz w:val="24"/>
          <w:szCs w:val="24"/>
          <w:lang w:bidi="en-US"/>
        </w:rPr>
        <w:t xml:space="preserve">The </w:t>
      </w:r>
      <w:r w:rsidRPr="00DF2360">
        <w:rPr>
          <w:rFonts w:ascii="Times New Roman" w:hAnsi="Times New Roman"/>
          <w:color w:val="000000" w:themeColor="text1"/>
          <w:sz w:val="24"/>
          <w:szCs w:val="24"/>
          <w:lang w:bidi="en-US"/>
        </w:rPr>
        <w:t xml:space="preserve">study </w:t>
      </w:r>
      <w:r w:rsidR="0094433B" w:rsidRPr="00DF2360">
        <w:rPr>
          <w:rFonts w:ascii="Times New Roman" w:hAnsi="Times New Roman"/>
          <w:color w:val="000000" w:themeColor="text1"/>
          <w:sz w:val="24"/>
          <w:szCs w:val="24"/>
          <w:lang w:bidi="en-US"/>
        </w:rPr>
        <w:t>show</w:t>
      </w:r>
      <w:r w:rsidRPr="00DF2360">
        <w:rPr>
          <w:rFonts w:ascii="Times New Roman" w:hAnsi="Times New Roman"/>
          <w:color w:val="000000" w:themeColor="text1"/>
          <w:sz w:val="24"/>
          <w:szCs w:val="24"/>
          <w:lang w:bidi="en-US"/>
        </w:rPr>
        <w:t>s</w:t>
      </w:r>
      <w:r w:rsidR="0094433B" w:rsidRPr="00DF2360">
        <w:rPr>
          <w:rFonts w:ascii="Times New Roman" w:hAnsi="Times New Roman"/>
          <w:color w:val="000000" w:themeColor="text1"/>
          <w:sz w:val="24"/>
          <w:szCs w:val="24"/>
          <w:lang w:bidi="en-US"/>
        </w:rPr>
        <w:t xml:space="preserve"> that the majority of intermediate risk patients (52.9%) received androgen depravation therapy as a primary treatment. This is contrary to CAPRA risk assessment tool recommendations. Patients with intermediate risk are managed with</w:t>
      </w:r>
      <w:r w:rsidR="0094433B" w:rsidRPr="00DF2360">
        <w:rPr>
          <w:rFonts w:ascii="Times New Roman" w:hAnsi="Times New Roman"/>
          <w:color w:val="000000" w:themeColor="text1"/>
          <w:sz w:val="24"/>
          <w:szCs w:val="24"/>
        </w:rPr>
        <w:t xml:space="preserve"> localized treatment (surgery or radiation alone, brachytherapy with or without exter</w:t>
      </w:r>
      <w:r w:rsidR="00644765" w:rsidRPr="00DF2360">
        <w:rPr>
          <w:rFonts w:ascii="Times New Roman" w:hAnsi="Times New Roman"/>
          <w:color w:val="000000" w:themeColor="text1"/>
          <w:sz w:val="24"/>
          <w:szCs w:val="24"/>
        </w:rPr>
        <w:t xml:space="preserve">nal-beam </w:t>
      </w:r>
      <w:proofErr w:type="gramStart"/>
      <w:r w:rsidR="00644765" w:rsidRPr="00DF2360">
        <w:rPr>
          <w:rFonts w:ascii="Times New Roman" w:hAnsi="Times New Roman"/>
          <w:color w:val="000000" w:themeColor="text1"/>
          <w:sz w:val="24"/>
          <w:szCs w:val="24"/>
        </w:rPr>
        <w:t>therapy)(</w:t>
      </w:r>
      <w:proofErr w:type="gramEnd"/>
      <w:r w:rsidR="00644765" w:rsidRPr="00DF2360">
        <w:rPr>
          <w:rFonts w:ascii="Times New Roman" w:hAnsi="Times New Roman"/>
          <w:color w:val="000000" w:themeColor="text1"/>
          <w:sz w:val="24"/>
          <w:szCs w:val="24"/>
        </w:rPr>
        <w:t>8,9</w:t>
      </w:r>
      <w:r w:rsidR="0094433B" w:rsidRPr="00DF2360">
        <w:rPr>
          <w:rFonts w:ascii="Times New Roman" w:hAnsi="Times New Roman"/>
          <w:color w:val="000000" w:themeColor="text1"/>
          <w:sz w:val="24"/>
          <w:szCs w:val="24"/>
        </w:rPr>
        <w:t xml:space="preserve">).Only 23.5% </w:t>
      </w:r>
      <w:r w:rsidR="00381458" w:rsidRPr="00DF2360">
        <w:rPr>
          <w:rFonts w:ascii="Times New Roman" w:hAnsi="Times New Roman"/>
          <w:color w:val="000000" w:themeColor="text1"/>
          <w:sz w:val="24"/>
          <w:szCs w:val="24"/>
        </w:rPr>
        <w:t xml:space="preserve">?of these </w:t>
      </w:r>
      <w:r w:rsidR="0094433B" w:rsidRPr="00DF2360">
        <w:rPr>
          <w:rFonts w:ascii="Times New Roman" w:hAnsi="Times New Roman"/>
          <w:color w:val="000000" w:themeColor="text1"/>
          <w:sz w:val="24"/>
          <w:szCs w:val="24"/>
        </w:rPr>
        <w:t>patients received appropriate treatment based on CAPRA risk assessment tool recommendations as they were treated by radical prostatectomy.</w:t>
      </w:r>
    </w:p>
    <w:p w14:paraId="00ABAD1A" w14:textId="48BA2A45" w:rsidR="0094433B" w:rsidRPr="00DF2360" w:rsidRDefault="0094433B" w:rsidP="00DF2360">
      <w:pPr>
        <w:spacing w:after="0" w:line="360" w:lineRule="auto"/>
        <w:jc w:val="both"/>
        <w:rPr>
          <w:rFonts w:ascii="Times New Roman" w:hAnsi="Times New Roman"/>
          <w:color w:val="000000" w:themeColor="text1"/>
          <w:sz w:val="24"/>
          <w:szCs w:val="24"/>
          <w:lang w:bidi="en-US"/>
        </w:rPr>
      </w:pPr>
      <w:r w:rsidRPr="00DF2360">
        <w:rPr>
          <w:rFonts w:ascii="Times New Roman" w:hAnsi="Times New Roman"/>
          <w:color w:val="000000" w:themeColor="text1"/>
          <w:sz w:val="24"/>
          <w:szCs w:val="24"/>
        </w:rPr>
        <w:t xml:space="preserve">Only one-third of low risk patients received appropriate treatment (active </w:t>
      </w:r>
      <w:proofErr w:type="gramStart"/>
      <w:r w:rsidRPr="00DF2360">
        <w:rPr>
          <w:rFonts w:ascii="Times New Roman" w:hAnsi="Times New Roman"/>
          <w:color w:val="000000" w:themeColor="text1"/>
          <w:sz w:val="24"/>
          <w:szCs w:val="24"/>
        </w:rPr>
        <w:t>surveillance .Two</w:t>
      </w:r>
      <w:proofErr w:type="gramEnd"/>
      <w:r w:rsidRPr="00DF2360">
        <w:rPr>
          <w:rFonts w:ascii="Times New Roman" w:hAnsi="Times New Roman"/>
          <w:color w:val="000000" w:themeColor="text1"/>
          <w:sz w:val="24"/>
          <w:szCs w:val="24"/>
        </w:rPr>
        <w:t>-thirds were over treated.</w:t>
      </w:r>
      <w:r w:rsidR="003C34A4" w:rsidRPr="00DF2360">
        <w:rPr>
          <w:rFonts w:ascii="Times New Roman" w:hAnsi="Times New Roman"/>
          <w:color w:val="000000" w:themeColor="text1"/>
          <w:sz w:val="24"/>
          <w:szCs w:val="24"/>
        </w:rPr>
        <w:t xml:space="preserve"> </w:t>
      </w:r>
      <w:r w:rsidRPr="00DF2360">
        <w:rPr>
          <w:rFonts w:ascii="Times New Roman" w:hAnsi="Times New Roman"/>
          <w:color w:val="000000" w:themeColor="text1"/>
          <w:sz w:val="24"/>
          <w:szCs w:val="24"/>
        </w:rPr>
        <w:t>CAPRA risk assessment tool recom</w:t>
      </w:r>
      <w:r w:rsidR="00790F15" w:rsidRPr="00DF2360">
        <w:rPr>
          <w:rFonts w:ascii="Times New Roman" w:hAnsi="Times New Roman"/>
          <w:color w:val="000000" w:themeColor="text1"/>
          <w:sz w:val="24"/>
          <w:szCs w:val="24"/>
        </w:rPr>
        <w:t>mends low risk</w:t>
      </w:r>
      <w:r w:rsidRPr="00DF2360">
        <w:rPr>
          <w:rFonts w:ascii="Times New Roman" w:hAnsi="Times New Roman"/>
          <w:color w:val="000000" w:themeColor="text1"/>
          <w:sz w:val="24"/>
          <w:szCs w:val="24"/>
        </w:rPr>
        <w:t xml:space="preserve"> </w:t>
      </w:r>
      <w:r w:rsidR="002742BC" w:rsidRPr="00DF2360">
        <w:rPr>
          <w:rFonts w:ascii="Times New Roman" w:hAnsi="Times New Roman"/>
          <w:color w:val="000000" w:themeColor="text1"/>
          <w:sz w:val="24"/>
          <w:szCs w:val="24"/>
        </w:rPr>
        <w:t xml:space="preserve">patients </w:t>
      </w:r>
      <w:r w:rsidRPr="00DF2360">
        <w:rPr>
          <w:rFonts w:ascii="Times New Roman" w:hAnsi="Times New Roman"/>
          <w:color w:val="000000" w:themeColor="text1"/>
          <w:sz w:val="24"/>
          <w:szCs w:val="24"/>
        </w:rPr>
        <w:t xml:space="preserve">be managed by active </w:t>
      </w:r>
      <w:proofErr w:type="gramStart"/>
      <w:r w:rsidRPr="00DF2360">
        <w:rPr>
          <w:rFonts w:ascii="Times New Roman" w:hAnsi="Times New Roman"/>
          <w:color w:val="000000" w:themeColor="text1"/>
          <w:sz w:val="24"/>
          <w:szCs w:val="24"/>
        </w:rPr>
        <w:t>surveil</w:t>
      </w:r>
      <w:r w:rsidR="00790F15" w:rsidRPr="00DF2360">
        <w:rPr>
          <w:rFonts w:ascii="Times New Roman" w:hAnsi="Times New Roman"/>
          <w:color w:val="000000" w:themeColor="text1"/>
          <w:sz w:val="24"/>
          <w:szCs w:val="24"/>
        </w:rPr>
        <w:t>lance</w:t>
      </w:r>
      <w:r w:rsidR="00764E57" w:rsidRPr="00DF2360">
        <w:rPr>
          <w:rFonts w:ascii="Times New Roman" w:hAnsi="Times New Roman"/>
          <w:color w:val="000000" w:themeColor="text1"/>
          <w:sz w:val="24"/>
          <w:szCs w:val="24"/>
        </w:rPr>
        <w:t>.(</w:t>
      </w:r>
      <w:proofErr w:type="gramEnd"/>
      <w:r w:rsidR="00764E57" w:rsidRPr="00DF2360">
        <w:rPr>
          <w:rFonts w:ascii="Times New Roman" w:hAnsi="Times New Roman"/>
          <w:color w:val="000000" w:themeColor="text1"/>
          <w:sz w:val="24"/>
          <w:szCs w:val="24"/>
        </w:rPr>
        <w:t>8,9</w:t>
      </w:r>
      <w:r w:rsidRPr="00DF2360">
        <w:rPr>
          <w:rFonts w:ascii="Times New Roman" w:hAnsi="Times New Roman"/>
          <w:color w:val="000000" w:themeColor="text1"/>
          <w:sz w:val="24"/>
          <w:szCs w:val="24"/>
        </w:rPr>
        <w:t>)</w:t>
      </w:r>
      <w:r w:rsidR="00764E57" w:rsidRPr="00DF2360">
        <w:rPr>
          <w:rFonts w:ascii="Times New Roman" w:hAnsi="Times New Roman"/>
          <w:color w:val="000000" w:themeColor="text1"/>
          <w:sz w:val="24"/>
          <w:szCs w:val="24"/>
        </w:rPr>
        <w:t>.</w:t>
      </w:r>
    </w:p>
    <w:p w14:paraId="551C6B7A" w14:textId="77777777" w:rsidR="0094433B" w:rsidRPr="00DF2360" w:rsidRDefault="0094433B" w:rsidP="00DF2360">
      <w:pPr>
        <w:autoSpaceDE w:val="0"/>
        <w:autoSpaceDN w:val="0"/>
        <w:adjustRightInd w:val="0"/>
        <w:spacing w:after="0" w:line="360" w:lineRule="auto"/>
        <w:jc w:val="both"/>
        <w:rPr>
          <w:rFonts w:ascii="Times New Roman" w:eastAsia="Calibri" w:hAnsi="Times New Roman"/>
          <w:color w:val="000000" w:themeColor="text1"/>
          <w:sz w:val="24"/>
          <w:szCs w:val="24"/>
        </w:rPr>
      </w:pPr>
    </w:p>
    <w:p w14:paraId="3E540788" w14:textId="6BC1A40C" w:rsidR="00D3791A" w:rsidRPr="00DF2360" w:rsidRDefault="0094433B" w:rsidP="00DF2360">
      <w:pPr>
        <w:spacing w:after="0" w:line="360" w:lineRule="auto"/>
        <w:jc w:val="both"/>
        <w:rPr>
          <w:rFonts w:ascii="Times New Roman" w:hAnsi="Times New Roman"/>
          <w:color w:val="000000" w:themeColor="text1"/>
          <w:sz w:val="24"/>
          <w:szCs w:val="24"/>
        </w:rPr>
      </w:pPr>
      <w:r w:rsidRPr="00DF2360">
        <w:rPr>
          <w:rFonts w:ascii="Times New Roman" w:eastAsia="Calibri" w:hAnsi="Times New Roman"/>
          <w:color w:val="000000" w:themeColor="text1"/>
          <w:sz w:val="24"/>
          <w:szCs w:val="24"/>
        </w:rPr>
        <w:t>This study had several limitations. Different staging modalities (CT scan and MRI) were used depending on surgeon preference and</w:t>
      </w:r>
      <w:r w:rsidRPr="00DF2360">
        <w:rPr>
          <w:rFonts w:ascii="Times New Roman" w:hAnsi="Times New Roman"/>
          <w:color w:val="000000" w:themeColor="text1"/>
          <w:sz w:val="24"/>
          <w:szCs w:val="24"/>
        </w:rPr>
        <w:t xml:space="preserve"> financial constrains for paying for MRI whi</w:t>
      </w:r>
      <w:r w:rsidRPr="00DF2360">
        <w:rPr>
          <w:rFonts w:ascii="Times New Roman" w:eastAsia="Calibri" w:hAnsi="Times New Roman"/>
          <w:color w:val="000000" w:themeColor="text1"/>
          <w:sz w:val="24"/>
          <w:szCs w:val="24"/>
        </w:rPr>
        <w:t>ch</w:t>
      </w:r>
      <w:r w:rsidRPr="00DF2360">
        <w:rPr>
          <w:rFonts w:ascii="Times New Roman" w:hAnsi="Times New Roman"/>
          <w:color w:val="000000" w:themeColor="text1"/>
          <w:sz w:val="24"/>
          <w:szCs w:val="24"/>
        </w:rPr>
        <w:t xml:space="preserve"> is</w:t>
      </w:r>
      <w:r w:rsidR="00381458" w:rsidRPr="00DF2360">
        <w:rPr>
          <w:rFonts w:ascii="Times New Roman" w:hAnsi="Times New Roman"/>
          <w:color w:val="000000" w:themeColor="text1"/>
          <w:sz w:val="24"/>
          <w:szCs w:val="24"/>
        </w:rPr>
        <w:t xml:space="preserve"> preferable but</w:t>
      </w:r>
      <w:r w:rsidRPr="00DF2360">
        <w:rPr>
          <w:rFonts w:ascii="Times New Roman" w:hAnsi="Times New Roman"/>
          <w:color w:val="000000" w:themeColor="text1"/>
          <w:sz w:val="24"/>
          <w:szCs w:val="24"/>
        </w:rPr>
        <w:t xml:space="preserve"> more expensive as compared with CT scan.</w:t>
      </w:r>
      <w:r w:rsidRPr="00DF2360">
        <w:rPr>
          <w:rFonts w:ascii="Times New Roman" w:eastAsia="Calibri" w:hAnsi="Times New Roman"/>
          <w:color w:val="000000" w:themeColor="text1"/>
          <w:sz w:val="24"/>
          <w:szCs w:val="24"/>
        </w:rPr>
        <w:t xml:space="preserve"> This affects the results of CAPRA score. </w:t>
      </w:r>
      <w:r w:rsidR="00381458" w:rsidRPr="00DF2360">
        <w:rPr>
          <w:rFonts w:ascii="Times New Roman" w:eastAsia="Calibri" w:hAnsi="Times New Roman"/>
          <w:color w:val="000000" w:themeColor="text1"/>
          <w:sz w:val="24"/>
          <w:szCs w:val="24"/>
        </w:rPr>
        <w:t xml:space="preserve">Other </w:t>
      </w:r>
      <w:r w:rsidRPr="00DF2360">
        <w:rPr>
          <w:rFonts w:ascii="Times New Roman" w:eastAsia="Calibri" w:hAnsi="Times New Roman"/>
          <w:color w:val="000000" w:themeColor="text1"/>
          <w:sz w:val="24"/>
          <w:szCs w:val="24"/>
        </w:rPr>
        <w:t xml:space="preserve">than standard recommended treatment modalities had been employed in management of prostate cancer, due to inaccessibility of specialized radiotherapy techniques and </w:t>
      </w:r>
      <w:r w:rsidR="003C34A4" w:rsidRPr="00DF2360">
        <w:rPr>
          <w:rFonts w:ascii="Times New Roman" w:eastAsia="Calibri" w:hAnsi="Times New Roman"/>
          <w:color w:val="000000" w:themeColor="text1"/>
          <w:sz w:val="24"/>
          <w:szCs w:val="24"/>
        </w:rPr>
        <w:t>limited expertise in</w:t>
      </w:r>
      <w:r w:rsidRPr="00DF2360">
        <w:rPr>
          <w:rFonts w:ascii="Times New Roman" w:eastAsia="Calibri" w:hAnsi="Times New Roman"/>
          <w:color w:val="000000" w:themeColor="text1"/>
          <w:sz w:val="24"/>
          <w:szCs w:val="24"/>
        </w:rPr>
        <w:t xml:space="preserve"> performing radical prostatectomy. This may affect decision on treatment modality to be used as observed in this study.</w:t>
      </w:r>
      <w:r w:rsidRPr="00DF2360">
        <w:rPr>
          <w:rFonts w:ascii="Times New Roman" w:hAnsi="Times New Roman"/>
          <w:color w:val="000000" w:themeColor="text1"/>
          <w:sz w:val="24"/>
          <w:szCs w:val="24"/>
        </w:rPr>
        <w:t xml:space="preserve"> Despite these limitations, </w:t>
      </w:r>
      <w:r w:rsidR="00381458" w:rsidRPr="00DF2360">
        <w:rPr>
          <w:rFonts w:ascii="Times New Roman" w:hAnsi="Times New Roman"/>
          <w:color w:val="000000" w:themeColor="text1"/>
          <w:sz w:val="24"/>
          <w:szCs w:val="24"/>
        </w:rPr>
        <w:t xml:space="preserve">the </w:t>
      </w:r>
      <w:r w:rsidRPr="00DF2360">
        <w:rPr>
          <w:rFonts w:ascii="Times New Roman" w:hAnsi="Times New Roman"/>
          <w:color w:val="000000" w:themeColor="text1"/>
          <w:sz w:val="24"/>
          <w:szCs w:val="24"/>
        </w:rPr>
        <w:t>data are reliable and can be used as proxy for a risk- adapted treatment strategy for localized prostate cancer in our setting.</w:t>
      </w:r>
      <w:bookmarkStart w:id="6" w:name="_Toc514628118"/>
    </w:p>
    <w:p w14:paraId="60A37744" w14:textId="77777777" w:rsidR="00C72567" w:rsidRPr="00DF2360" w:rsidRDefault="00C72567" w:rsidP="00DF2360">
      <w:pPr>
        <w:spacing w:after="0" w:line="360" w:lineRule="auto"/>
        <w:jc w:val="both"/>
        <w:rPr>
          <w:rFonts w:ascii="Times New Roman" w:hAnsi="Times New Roman"/>
          <w:b/>
          <w:bCs/>
          <w:color w:val="000000" w:themeColor="text1"/>
          <w:sz w:val="24"/>
          <w:szCs w:val="24"/>
          <w:lang w:bidi="en-US"/>
        </w:rPr>
      </w:pPr>
    </w:p>
    <w:p w14:paraId="38B1B40A" w14:textId="75A5470B" w:rsidR="0094433B" w:rsidRPr="00DF2360" w:rsidRDefault="0094433B" w:rsidP="00DF2360">
      <w:pPr>
        <w:spacing w:after="0" w:line="360" w:lineRule="auto"/>
        <w:jc w:val="both"/>
        <w:rPr>
          <w:rFonts w:ascii="Times New Roman" w:hAnsi="Times New Roman"/>
          <w:color w:val="000000" w:themeColor="text1"/>
          <w:sz w:val="24"/>
          <w:szCs w:val="24"/>
        </w:rPr>
      </w:pPr>
      <w:r w:rsidRPr="00DF2360">
        <w:rPr>
          <w:rFonts w:ascii="Times New Roman" w:hAnsi="Times New Roman"/>
          <w:b/>
          <w:bCs/>
          <w:color w:val="000000" w:themeColor="text1"/>
          <w:sz w:val="24"/>
          <w:szCs w:val="24"/>
          <w:lang w:bidi="en-US"/>
        </w:rPr>
        <w:lastRenderedPageBreak/>
        <w:t>C</w:t>
      </w:r>
      <w:bookmarkEnd w:id="6"/>
      <w:r w:rsidR="009948CE" w:rsidRPr="00DF2360">
        <w:rPr>
          <w:rFonts w:ascii="Times New Roman" w:hAnsi="Times New Roman"/>
          <w:b/>
          <w:bCs/>
          <w:color w:val="000000" w:themeColor="text1"/>
          <w:sz w:val="24"/>
          <w:szCs w:val="24"/>
          <w:lang w:bidi="en-US"/>
        </w:rPr>
        <w:t>onclusion</w:t>
      </w:r>
    </w:p>
    <w:p w14:paraId="1454AFFD" w14:textId="1A803799" w:rsidR="00442C8A" w:rsidRPr="00DF2360" w:rsidRDefault="0094433B" w:rsidP="00DF2360">
      <w:pPr>
        <w:autoSpaceDE w:val="0"/>
        <w:autoSpaceDN w:val="0"/>
        <w:adjustRightInd w:val="0"/>
        <w:spacing w:after="0" w:line="360" w:lineRule="auto"/>
        <w:jc w:val="both"/>
        <w:rPr>
          <w:rFonts w:ascii="Times New Roman" w:eastAsia="Calibri" w:hAnsi="Times New Roman"/>
          <w:color w:val="000000" w:themeColor="text1"/>
          <w:sz w:val="24"/>
          <w:szCs w:val="24"/>
        </w:rPr>
      </w:pPr>
      <w:r w:rsidRPr="00DF2360">
        <w:rPr>
          <w:rFonts w:ascii="Times New Roman" w:eastAsia="Calibri" w:hAnsi="Times New Roman"/>
          <w:color w:val="000000" w:themeColor="text1"/>
          <w:sz w:val="24"/>
          <w:szCs w:val="24"/>
        </w:rPr>
        <w:t xml:space="preserve"> </w:t>
      </w:r>
      <w:r w:rsidRPr="00DF2360">
        <w:rPr>
          <w:rFonts w:ascii="Times New Roman" w:hAnsi="Times New Roman"/>
          <w:color w:val="000000" w:themeColor="text1"/>
          <w:sz w:val="24"/>
          <w:szCs w:val="24"/>
          <w:lang w:bidi="en-US"/>
        </w:rPr>
        <w:t>The majority of patients were</w:t>
      </w:r>
      <w:r w:rsidRPr="00DF2360">
        <w:rPr>
          <w:rFonts w:ascii="Times New Roman" w:hAnsi="Times New Roman"/>
          <w:color w:val="000000" w:themeColor="text1"/>
          <w:sz w:val="24"/>
          <w:szCs w:val="24"/>
        </w:rPr>
        <w:t xml:space="preserve"> treated with primary androgen deprivation therapy regardless of the risk category. Comparison of management approach as suggested by the UCSF-CAPRA score to what has been the practice shows only twelve percent of patients received standard </w:t>
      </w:r>
      <w:r w:rsidR="00263C66" w:rsidRPr="00DF2360">
        <w:rPr>
          <w:rFonts w:ascii="Times New Roman" w:hAnsi="Times New Roman"/>
          <w:color w:val="000000" w:themeColor="text1"/>
          <w:sz w:val="24"/>
          <w:szCs w:val="24"/>
        </w:rPr>
        <w:t>treatment</w:t>
      </w:r>
      <w:proofErr w:type="gramStart"/>
      <w:r w:rsidR="00263C66" w:rsidRPr="00DF2360">
        <w:rPr>
          <w:rFonts w:ascii="Times New Roman" w:hAnsi="Times New Roman"/>
          <w:color w:val="000000" w:themeColor="text1"/>
          <w:sz w:val="24"/>
          <w:szCs w:val="24"/>
        </w:rPr>
        <w:t xml:space="preserve">. </w:t>
      </w:r>
      <w:r w:rsidR="00C72567" w:rsidRPr="00DF2360">
        <w:rPr>
          <w:rFonts w:ascii="Times New Roman" w:hAnsi="Times New Roman"/>
          <w:color w:val="000000" w:themeColor="text1"/>
          <w:sz w:val="24"/>
          <w:szCs w:val="24"/>
        </w:rPr>
        <w:t>?</w:t>
      </w:r>
      <w:proofErr w:type="gramEnd"/>
      <w:r w:rsidR="00C72567" w:rsidRPr="00DF2360">
        <w:rPr>
          <w:rFonts w:ascii="Times New Roman" w:hAnsi="Times New Roman"/>
          <w:color w:val="000000" w:themeColor="text1"/>
          <w:sz w:val="24"/>
          <w:szCs w:val="24"/>
        </w:rPr>
        <w:t xml:space="preserve"> There</w:t>
      </w:r>
      <w:r w:rsidR="00381458" w:rsidRPr="00DF2360">
        <w:rPr>
          <w:rFonts w:ascii="Times New Roman" w:hAnsi="Times New Roman"/>
          <w:color w:val="000000" w:themeColor="text1"/>
          <w:sz w:val="24"/>
          <w:szCs w:val="24"/>
        </w:rPr>
        <w:t xml:space="preserve"> was</w:t>
      </w:r>
      <w:r w:rsidR="003466E8" w:rsidRPr="00DF2360">
        <w:rPr>
          <w:rFonts w:ascii="Times New Roman" w:hAnsi="Times New Roman"/>
          <w:color w:val="000000" w:themeColor="text1"/>
          <w:sz w:val="24"/>
          <w:szCs w:val="24"/>
        </w:rPr>
        <w:t xml:space="preserve"> </w:t>
      </w:r>
      <w:r w:rsidRPr="00DF2360">
        <w:rPr>
          <w:rFonts w:ascii="Times New Roman" w:eastAsia="Calibri" w:hAnsi="Times New Roman"/>
          <w:color w:val="000000" w:themeColor="text1"/>
          <w:sz w:val="24"/>
          <w:szCs w:val="24"/>
        </w:rPr>
        <w:t>overtreatment of low-risk disease and under treatment of int</w:t>
      </w:r>
      <w:r w:rsidR="00E80506" w:rsidRPr="00DF2360">
        <w:rPr>
          <w:rFonts w:ascii="Times New Roman" w:eastAsia="Calibri" w:hAnsi="Times New Roman"/>
          <w:color w:val="000000" w:themeColor="text1"/>
          <w:sz w:val="24"/>
          <w:szCs w:val="24"/>
        </w:rPr>
        <w:t xml:space="preserve">ermediate and high-risk </w:t>
      </w:r>
      <w:r w:rsidR="00A97118" w:rsidRPr="00DF2360">
        <w:rPr>
          <w:rFonts w:ascii="Times New Roman" w:eastAsia="Calibri" w:hAnsi="Times New Roman"/>
          <w:color w:val="000000" w:themeColor="text1"/>
          <w:sz w:val="24"/>
          <w:szCs w:val="24"/>
        </w:rPr>
        <w:t>disease. These</w:t>
      </w:r>
      <w:r w:rsidRPr="00DF2360">
        <w:rPr>
          <w:rFonts w:ascii="Times New Roman" w:eastAsia="Calibri" w:hAnsi="Times New Roman"/>
          <w:color w:val="000000" w:themeColor="text1"/>
          <w:sz w:val="24"/>
          <w:szCs w:val="24"/>
        </w:rPr>
        <w:t xml:space="preserve"> </w:t>
      </w:r>
      <w:r w:rsidR="003466E8" w:rsidRPr="00DF2360">
        <w:rPr>
          <w:rFonts w:ascii="Times New Roman" w:eastAsia="Calibri" w:hAnsi="Times New Roman"/>
          <w:color w:val="000000" w:themeColor="text1"/>
          <w:sz w:val="24"/>
          <w:szCs w:val="24"/>
        </w:rPr>
        <w:t xml:space="preserve">findings </w:t>
      </w:r>
      <w:r w:rsidRPr="00DF2360">
        <w:rPr>
          <w:rFonts w:ascii="Times New Roman" w:eastAsia="Calibri" w:hAnsi="Times New Roman"/>
          <w:color w:val="000000" w:themeColor="text1"/>
          <w:sz w:val="24"/>
          <w:szCs w:val="24"/>
        </w:rPr>
        <w:t xml:space="preserve">support the </w:t>
      </w:r>
      <w:r w:rsidR="003C34A4" w:rsidRPr="00DF2360">
        <w:rPr>
          <w:rFonts w:ascii="Times New Roman" w:eastAsia="Calibri" w:hAnsi="Times New Roman"/>
          <w:color w:val="000000" w:themeColor="text1"/>
          <w:sz w:val="24"/>
          <w:szCs w:val="24"/>
        </w:rPr>
        <w:t xml:space="preserve">application </w:t>
      </w:r>
      <w:r w:rsidRPr="00DF2360">
        <w:rPr>
          <w:rFonts w:ascii="Times New Roman" w:eastAsia="Calibri" w:hAnsi="Times New Roman"/>
          <w:color w:val="000000" w:themeColor="text1"/>
          <w:sz w:val="24"/>
          <w:szCs w:val="24"/>
        </w:rPr>
        <w:t>of the CAPRA score as a risk assessment and stratification to</w:t>
      </w:r>
      <w:r w:rsidR="00037A13" w:rsidRPr="00DF2360">
        <w:rPr>
          <w:rFonts w:ascii="Times New Roman" w:eastAsia="Calibri" w:hAnsi="Times New Roman"/>
          <w:color w:val="000000" w:themeColor="text1"/>
          <w:sz w:val="24"/>
          <w:szCs w:val="24"/>
        </w:rPr>
        <w:t xml:space="preserve">ol </w:t>
      </w:r>
      <w:r w:rsidR="00A97118" w:rsidRPr="00DF2360">
        <w:rPr>
          <w:rFonts w:ascii="Times New Roman" w:eastAsia="Calibri" w:hAnsi="Times New Roman"/>
          <w:color w:val="000000" w:themeColor="text1"/>
          <w:sz w:val="24"/>
          <w:szCs w:val="24"/>
        </w:rPr>
        <w:t>for clinical</w:t>
      </w:r>
      <w:r w:rsidRPr="00DF2360">
        <w:rPr>
          <w:rFonts w:ascii="Times New Roman" w:eastAsia="Calibri" w:hAnsi="Times New Roman"/>
          <w:color w:val="000000" w:themeColor="text1"/>
          <w:sz w:val="24"/>
          <w:szCs w:val="24"/>
        </w:rPr>
        <w:t xml:space="preserve"> practice</w:t>
      </w:r>
      <w:r w:rsidR="00037A13" w:rsidRPr="00DF2360">
        <w:rPr>
          <w:rFonts w:ascii="Times New Roman" w:eastAsia="Calibri" w:hAnsi="Times New Roman"/>
          <w:color w:val="000000" w:themeColor="text1"/>
          <w:sz w:val="24"/>
          <w:szCs w:val="24"/>
        </w:rPr>
        <w:t>.</w:t>
      </w:r>
    </w:p>
    <w:p w14:paraId="0FF033E9" w14:textId="77777777" w:rsidR="004E6488" w:rsidRPr="00DF2360" w:rsidRDefault="004E6488" w:rsidP="00DF2360">
      <w:pPr>
        <w:autoSpaceDE w:val="0"/>
        <w:autoSpaceDN w:val="0"/>
        <w:adjustRightInd w:val="0"/>
        <w:spacing w:after="0" w:line="360" w:lineRule="auto"/>
        <w:jc w:val="both"/>
        <w:rPr>
          <w:rFonts w:ascii="Times New Roman" w:eastAsia="Calibri" w:hAnsi="Times New Roman"/>
          <w:b/>
          <w:color w:val="000000" w:themeColor="text1"/>
          <w:sz w:val="24"/>
          <w:szCs w:val="24"/>
        </w:rPr>
      </w:pPr>
      <w:r w:rsidRPr="00DF2360">
        <w:rPr>
          <w:rFonts w:ascii="Times New Roman" w:eastAsia="Calibri" w:hAnsi="Times New Roman"/>
          <w:b/>
          <w:color w:val="000000" w:themeColor="text1"/>
          <w:sz w:val="24"/>
          <w:szCs w:val="24"/>
        </w:rPr>
        <w:t>Competing interests</w:t>
      </w:r>
    </w:p>
    <w:p w14:paraId="0D043190" w14:textId="77777777" w:rsidR="004E6488" w:rsidRPr="00DF2360" w:rsidRDefault="004E6488" w:rsidP="00DF2360">
      <w:pPr>
        <w:autoSpaceDE w:val="0"/>
        <w:autoSpaceDN w:val="0"/>
        <w:adjustRightInd w:val="0"/>
        <w:spacing w:after="0" w:line="360" w:lineRule="auto"/>
        <w:jc w:val="both"/>
        <w:rPr>
          <w:rFonts w:ascii="Times New Roman" w:eastAsia="Calibri" w:hAnsi="Times New Roman"/>
          <w:color w:val="000000" w:themeColor="text1"/>
          <w:sz w:val="24"/>
          <w:szCs w:val="24"/>
        </w:rPr>
      </w:pPr>
      <w:r w:rsidRPr="00DF2360">
        <w:rPr>
          <w:rFonts w:ascii="Times New Roman" w:eastAsia="Calibri" w:hAnsi="Times New Roman"/>
          <w:color w:val="000000" w:themeColor="text1"/>
          <w:sz w:val="24"/>
          <w:szCs w:val="24"/>
        </w:rPr>
        <w:t>The authors declare no competing interests.</w:t>
      </w:r>
    </w:p>
    <w:p w14:paraId="74EE1276" w14:textId="77777777" w:rsidR="004E6488" w:rsidRPr="00DF2360" w:rsidRDefault="004E6488" w:rsidP="00DF2360">
      <w:pPr>
        <w:autoSpaceDE w:val="0"/>
        <w:autoSpaceDN w:val="0"/>
        <w:adjustRightInd w:val="0"/>
        <w:spacing w:after="0" w:line="360" w:lineRule="auto"/>
        <w:jc w:val="both"/>
        <w:rPr>
          <w:rFonts w:ascii="Times New Roman" w:eastAsia="Calibri" w:hAnsi="Times New Roman"/>
          <w:color w:val="000000" w:themeColor="text1"/>
          <w:sz w:val="24"/>
          <w:szCs w:val="24"/>
        </w:rPr>
      </w:pPr>
    </w:p>
    <w:p w14:paraId="6C473F10" w14:textId="77777777" w:rsidR="004E6488" w:rsidRPr="00DF2360" w:rsidRDefault="004E6488" w:rsidP="00DF2360">
      <w:pPr>
        <w:autoSpaceDE w:val="0"/>
        <w:autoSpaceDN w:val="0"/>
        <w:adjustRightInd w:val="0"/>
        <w:spacing w:after="0" w:line="360" w:lineRule="auto"/>
        <w:jc w:val="both"/>
        <w:rPr>
          <w:rFonts w:ascii="Times New Roman" w:eastAsia="Calibri" w:hAnsi="Times New Roman"/>
          <w:b/>
          <w:color w:val="000000" w:themeColor="text1"/>
          <w:sz w:val="24"/>
          <w:szCs w:val="24"/>
        </w:rPr>
      </w:pPr>
      <w:r w:rsidRPr="00DF2360">
        <w:rPr>
          <w:rFonts w:ascii="Times New Roman" w:eastAsia="Calibri" w:hAnsi="Times New Roman"/>
          <w:b/>
          <w:color w:val="000000" w:themeColor="text1"/>
          <w:sz w:val="24"/>
          <w:szCs w:val="24"/>
        </w:rPr>
        <w:t>Authors’ contributions</w:t>
      </w:r>
    </w:p>
    <w:p w14:paraId="044B2EF2" w14:textId="77777777" w:rsidR="004E6488" w:rsidRPr="00DF2360" w:rsidRDefault="004E6488" w:rsidP="00DF2360">
      <w:pPr>
        <w:autoSpaceDE w:val="0"/>
        <w:autoSpaceDN w:val="0"/>
        <w:adjustRightInd w:val="0"/>
        <w:spacing w:after="0" w:line="360" w:lineRule="auto"/>
        <w:jc w:val="both"/>
        <w:rPr>
          <w:rFonts w:ascii="Times New Roman" w:eastAsia="Calibri" w:hAnsi="Times New Roman"/>
          <w:color w:val="000000" w:themeColor="text1"/>
          <w:sz w:val="24"/>
          <w:szCs w:val="24"/>
        </w:rPr>
      </w:pPr>
      <w:r w:rsidRPr="00DF2360">
        <w:rPr>
          <w:rFonts w:ascii="Times New Roman" w:eastAsia="Calibri" w:hAnsi="Times New Roman"/>
          <w:color w:val="000000" w:themeColor="text1"/>
          <w:sz w:val="24"/>
          <w:szCs w:val="24"/>
        </w:rPr>
        <w:t>OES: designed the study, collected data, performed data analysis and wrote the report with a manuscript.</w:t>
      </w:r>
    </w:p>
    <w:p w14:paraId="53549D34" w14:textId="77777777" w:rsidR="004E6488" w:rsidRPr="00DF2360" w:rsidRDefault="004E6488" w:rsidP="00DF2360">
      <w:pPr>
        <w:autoSpaceDE w:val="0"/>
        <w:autoSpaceDN w:val="0"/>
        <w:adjustRightInd w:val="0"/>
        <w:spacing w:after="0" w:line="360" w:lineRule="auto"/>
        <w:jc w:val="both"/>
        <w:rPr>
          <w:rFonts w:ascii="Times New Roman" w:eastAsia="Calibri" w:hAnsi="Times New Roman"/>
          <w:color w:val="000000" w:themeColor="text1"/>
          <w:sz w:val="24"/>
          <w:szCs w:val="24"/>
        </w:rPr>
      </w:pPr>
      <w:r w:rsidRPr="00DF2360">
        <w:rPr>
          <w:rFonts w:ascii="Times New Roman" w:eastAsia="Calibri" w:hAnsi="Times New Roman"/>
          <w:color w:val="000000" w:themeColor="text1"/>
          <w:sz w:val="24"/>
          <w:szCs w:val="24"/>
        </w:rPr>
        <w:t>1OVN and CAM, participated in the study design and manuscript preparation.</w:t>
      </w:r>
    </w:p>
    <w:p w14:paraId="701FC2EF" w14:textId="77777777" w:rsidR="004E00A5" w:rsidRPr="00DF2360" w:rsidRDefault="004E00A5" w:rsidP="00DF2360">
      <w:pPr>
        <w:autoSpaceDE w:val="0"/>
        <w:autoSpaceDN w:val="0"/>
        <w:adjustRightInd w:val="0"/>
        <w:spacing w:after="0" w:line="360" w:lineRule="auto"/>
        <w:rPr>
          <w:rFonts w:ascii="Times New Roman" w:eastAsiaTheme="minorHAnsi" w:hAnsi="Times New Roman"/>
          <w:b/>
          <w:color w:val="000000" w:themeColor="text1"/>
          <w:sz w:val="24"/>
          <w:szCs w:val="24"/>
        </w:rPr>
      </w:pPr>
      <w:r w:rsidRPr="00DF2360">
        <w:rPr>
          <w:rFonts w:ascii="Times New Roman" w:eastAsiaTheme="minorHAnsi" w:hAnsi="Times New Roman"/>
          <w:b/>
          <w:color w:val="000000" w:themeColor="text1"/>
          <w:sz w:val="24"/>
          <w:szCs w:val="24"/>
        </w:rPr>
        <w:t>Acknowledgements</w:t>
      </w:r>
    </w:p>
    <w:p w14:paraId="0D862C02" w14:textId="4E772700" w:rsidR="00E46B5E" w:rsidRPr="00DF2360" w:rsidRDefault="003466E8" w:rsidP="00DF2360">
      <w:pPr>
        <w:spacing w:line="360" w:lineRule="auto"/>
        <w:jc w:val="both"/>
        <w:rPr>
          <w:rFonts w:ascii="Times New Roman" w:hAnsi="Times New Roman"/>
          <w:color w:val="000000" w:themeColor="text1"/>
          <w:sz w:val="24"/>
          <w:szCs w:val="24"/>
        </w:rPr>
      </w:pPr>
      <w:r w:rsidRPr="00DF2360">
        <w:rPr>
          <w:rFonts w:ascii="Times New Roman" w:hAnsi="Times New Roman"/>
          <w:color w:val="000000" w:themeColor="text1"/>
          <w:sz w:val="24"/>
          <w:szCs w:val="24"/>
        </w:rPr>
        <w:t xml:space="preserve">Our </w:t>
      </w:r>
      <w:r w:rsidR="000C479A" w:rsidRPr="00DF2360">
        <w:rPr>
          <w:rFonts w:ascii="Times New Roman" w:hAnsi="Times New Roman"/>
          <w:color w:val="000000" w:themeColor="text1"/>
          <w:sz w:val="24"/>
          <w:szCs w:val="24"/>
        </w:rPr>
        <w:t xml:space="preserve">heartfelt appreciation is directed to </w:t>
      </w:r>
      <w:proofErr w:type="spellStart"/>
      <w:proofErr w:type="gramStart"/>
      <w:r w:rsidR="000C479A" w:rsidRPr="00DF2360">
        <w:rPr>
          <w:rFonts w:ascii="Times New Roman" w:hAnsi="Times New Roman"/>
          <w:color w:val="000000" w:themeColor="text1"/>
          <w:sz w:val="24"/>
          <w:szCs w:val="24"/>
        </w:rPr>
        <w:t>Dr.Angela</w:t>
      </w:r>
      <w:proofErr w:type="spellEnd"/>
      <w:proofErr w:type="gramEnd"/>
      <w:r w:rsidR="000C479A" w:rsidRPr="00DF2360">
        <w:rPr>
          <w:rFonts w:ascii="Times New Roman" w:hAnsi="Times New Roman"/>
          <w:color w:val="000000" w:themeColor="text1"/>
          <w:sz w:val="24"/>
          <w:szCs w:val="24"/>
        </w:rPr>
        <w:t xml:space="preserve"> </w:t>
      </w:r>
      <w:proofErr w:type="spellStart"/>
      <w:r w:rsidR="000C479A" w:rsidRPr="00DF2360">
        <w:rPr>
          <w:rFonts w:ascii="Times New Roman" w:hAnsi="Times New Roman"/>
          <w:color w:val="000000" w:themeColor="text1"/>
          <w:sz w:val="24"/>
          <w:szCs w:val="24"/>
        </w:rPr>
        <w:t>Mwakimonga</w:t>
      </w:r>
      <w:proofErr w:type="spellEnd"/>
      <w:r w:rsidR="000C479A" w:rsidRPr="00DF2360">
        <w:rPr>
          <w:rFonts w:ascii="Times New Roman" w:hAnsi="Times New Roman"/>
          <w:color w:val="000000" w:themeColor="text1"/>
          <w:sz w:val="24"/>
          <w:szCs w:val="24"/>
        </w:rPr>
        <w:t xml:space="preserve"> from Pathology Department</w:t>
      </w:r>
      <w:r w:rsidRPr="00DF2360">
        <w:rPr>
          <w:rFonts w:ascii="Times New Roman" w:hAnsi="Times New Roman"/>
          <w:color w:val="000000" w:themeColor="text1"/>
          <w:sz w:val="24"/>
          <w:szCs w:val="24"/>
        </w:rPr>
        <w:t xml:space="preserve"> and</w:t>
      </w:r>
      <w:r w:rsidR="000C479A" w:rsidRPr="00DF2360">
        <w:rPr>
          <w:rFonts w:ascii="Times New Roman" w:hAnsi="Times New Roman"/>
          <w:color w:val="000000" w:themeColor="text1"/>
          <w:sz w:val="24"/>
          <w:szCs w:val="24"/>
        </w:rPr>
        <w:t xml:space="preserve"> Dr. Gerald </w:t>
      </w:r>
      <w:proofErr w:type="spellStart"/>
      <w:r w:rsidR="000C479A" w:rsidRPr="00DF2360">
        <w:rPr>
          <w:rFonts w:ascii="Times New Roman" w:hAnsi="Times New Roman"/>
          <w:color w:val="000000" w:themeColor="text1"/>
          <w:sz w:val="24"/>
          <w:szCs w:val="24"/>
        </w:rPr>
        <w:t>Mpemba</w:t>
      </w:r>
      <w:proofErr w:type="spellEnd"/>
      <w:r w:rsidR="000C479A" w:rsidRPr="00DF2360">
        <w:rPr>
          <w:rFonts w:ascii="Times New Roman" w:hAnsi="Times New Roman"/>
          <w:color w:val="000000" w:themeColor="text1"/>
          <w:sz w:val="24"/>
          <w:szCs w:val="24"/>
        </w:rPr>
        <w:t xml:space="preserve">, from Radiology Department for their contributions and constructive ideas which made this work possible. Lastly, </w:t>
      </w:r>
      <w:r w:rsidRPr="00DF2360">
        <w:rPr>
          <w:rFonts w:ascii="Times New Roman" w:hAnsi="Times New Roman"/>
          <w:color w:val="000000" w:themeColor="text1"/>
          <w:sz w:val="24"/>
          <w:szCs w:val="24"/>
        </w:rPr>
        <w:t xml:space="preserve">our </w:t>
      </w:r>
      <w:r w:rsidR="000C479A" w:rsidRPr="00DF2360">
        <w:rPr>
          <w:rFonts w:ascii="Times New Roman" w:hAnsi="Times New Roman"/>
          <w:color w:val="000000" w:themeColor="text1"/>
          <w:sz w:val="24"/>
          <w:szCs w:val="24"/>
        </w:rPr>
        <w:t>appreciation goes to all health care providers and the authorities for the health care facilities where the study was conducted.</w:t>
      </w:r>
      <w:bookmarkStart w:id="7" w:name="_Toc514628120"/>
    </w:p>
    <w:bookmarkEnd w:id="7"/>
    <w:p w14:paraId="6F5312D4" w14:textId="77777777" w:rsidR="004E6488" w:rsidRPr="00DF2360" w:rsidRDefault="004E6488" w:rsidP="00DF2360">
      <w:pPr>
        <w:autoSpaceDE w:val="0"/>
        <w:autoSpaceDN w:val="0"/>
        <w:adjustRightInd w:val="0"/>
        <w:spacing w:after="0" w:line="360" w:lineRule="auto"/>
        <w:jc w:val="both"/>
        <w:rPr>
          <w:rFonts w:ascii="Times New Roman" w:eastAsia="Calibri" w:hAnsi="Times New Roman"/>
          <w:color w:val="0070C0"/>
          <w:sz w:val="24"/>
          <w:szCs w:val="24"/>
        </w:rPr>
      </w:pPr>
    </w:p>
    <w:p w14:paraId="61064181" w14:textId="77777777" w:rsidR="00260AEA" w:rsidRPr="00DF2360" w:rsidRDefault="004E6488" w:rsidP="00DF2360">
      <w:pPr>
        <w:autoSpaceDE w:val="0"/>
        <w:autoSpaceDN w:val="0"/>
        <w:adjustRightInd w:val="0"/>
        <w:spacing w:after="0" w:line="360" w:lineRule="auto"/>
        <w:jc w:val="both"/>
        <w:rPr>
          <w:rFonts w:ascii="Times New Roman" w:eastAsia="Calibri" w:hAnsi="Times New Roman"/>
          <w:b/>
          <w:sz w:val="24"/>
          <w:szCs w:val="24"/>
        </w:rPr>
      </w:pPr>
      <w:r w:rsidRPr="00DF2360">
        <w:rPr>
          <w:rFonts w:ascii="Times New Roman" w:eastAsia="Calibri" w:hAnsi="Times New Roman"/>
          <w:b/>
          <w:sz w:val="24"/>
          <w:szCs w:val="24"/>
        </w:rPr>
        <w:t>References</w:t>
      </w:r>
    </w:p>
    <w:p w14:paraId="480BE0AF" w14:textId="77777777" w:rsidR="00627477" w:rsidRPr="00DF2360" w:rsidRDefault="00782824"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C72567">
        <w:rPr>
          <w:rFonts w:ascii="Times New Roman" w:eastAsia="Calibri" w:hAnsi="Times New Roman"/>
          <w:sz w:val="24"/>
          <w:szCs w:val="24"/>
        </w:rPr>
        <w:fldChar w:fldCharType="begin" w:fldLock="1"/>
      </w:r>
      <w:r w:rsidRPr="00DF2360">
        <w:rPr>
          <w:rFonts w:ascii="Times New Roman" w:eastAsia="Calibri" w:hAnsi="Times New Roman"/>
          <w:sz w:val="24"/>
          <w:szCs w:val="24"/>
        </w:rPr>
        <w:instrText xml:space="preserve">ADDIN Mendeley Bibliography CSL_BIBLIOGRAPHY </w:instrText>
      </w:r>
      <w:r w:rsidRPr="00C72567">
        <w:rPr>
          <w:rFonts w:ascii="Times New Roman" w:eastAsia="Calibri" w:hAnsi="Times New Roman"/>
          <w:sz w:val="24"/>
          <w:szCs w:val="24"/>
        </w:rPr>
        <w:fldChar w:fldCharType="separate"/>
      </w:r>
      <w:r w:rsidR="00627477" w:rsidRPr="00C72567">
        <w:rPr>
          <w:rFonts w:ascii="Times New Roman" w:hAnsi="Times New Roman"/>
          <w:noProof/>
          <w:sz w:val="24"/>
          <w:szCs w:val="24"/>
        </w:rPr>
        <w:t xml:space="preserve">1. </w:t>
      </w:r>
      <w:r w:rsidR="00627477" w:rsidRPr="00C72567">
        <w:rPr>
          <w:rFonts w:ascii="Times New Roman" w:hAnsi="Times New Roman"/>
          <w:noProof/>
          <w:sz w:val="24"/>
          <w:szCs w:val="24"/>
        </w:rPr>
        <w:tab/>
        <w:t xml:space="preserve">Crawford ED, Quinn M, Babb P, Gronberg H, Lunenfeld B, Haas GP, et al. </w:t>
      </w:r>
      <w:r w:rsidR="00627477" w:rsidRPr="00DF2360">
        <w:rPr>
          <w:rFonts w:ascii="Times New Roman" w:hAnsi="Times New Roman"/>
          <w:noProof/>
          <w:sz w:val="24"/>
          <w:szCs w:val="24"/>
        </w:rPr>
        <w:t>Epidemiology of p</w:t>
      </w:r>
      <w:r w:rsidR="000E1023" w:rsidRPr="00DF2360">
        <w:rPr>
          <w:rFonts w:ascii="Times New Roman" w:hAnsi="Times New Roman"/>
          <w:noProof/>
          <w:sz w:val="24"/>
          <w:szCs w:val="24"/>
        </w:rPr>
        <w:t>rostate cancer. J Urology. 2003 Dec</w:t>
      </w:r>
      <w:r w:rsidR="00627477" w:rsidRPr="00DF2360">
        <w:rPr>
          <w:rFonts w:ascii="Times New Roman" w:hAnsi="Times New Roman"/>
          <w:noProof/>
          <w:sz w:val="24"/>
          <w:szCs w:val="24"/>
        </w:rPr>
        <w:t>;62(6):3–</w:t>
      </w:r>
      <w:r w:rsidR="000E1023" w:rsidRPr="00DF2360">
        <w:rPr>
          <w:rFonts w:ascii="Times New Roman" w:hAnsi="Times New Roman"/>
          <w:noProof/>
          <w:sz w:val="24"/>
          <w:szCs w:val="24"/>
        </w:rPr>
        <w:t xml:space="preserve">12. </w:t>
      </w:r>
    </w:p>
    <w:p w14:paraId="0AB765DB" w14:textId="77777777" w:rsidR="00627477"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t xml:space="preserve">2. </w:t>
      </w:r>
      <w:r w:rsidRPr="00DF2360">
        <w:rPr>
          <w:rFonts w:ascii="Times New Roman" w:hAnsi="Times New Roman"/>
          <w:noProof/>
          <w:sz w:val="24"/>
          <w:szCs w:val="24"/>
        </w:rPr>
        <w:tab/>
        <w:t>Haas GP, Delongchamps N, Brawley OW, Wang CY, de la Roza G. The worldwide epidemiology of prostate cancer: perspectives from auto</w:t>
      </w:r>
      <w:r w:rsidR="00767DDA" w:rsidRPr="00DF2360">
        <w:rPr>
          <w:rFonts w:ascii="Times New Roman" w:hAnsi="Times New Roman"/>
          <w:noProof/>
          <w:sz w:val="24"/>
          <w:szCs w:val="24"/>
        </w:rPr>
        <w:t>psy studies. Can J Urol. 2008 Feb</w:t>
      </w:r>
      <w:r w:rsidRPr="00DF2360">
        <w:rPr>
          <w:rFonts w:ascii="Times New Roman" w:hAnsi="Times New Roman"/>
          <w:noProof/>
          <w:sz w:val="24"/>
          <w:szCs w:val="24"/>
        </w:rPr>
        <w:t>;15(1):3866–</w:t>
      </w:r>
      <w:r w:rsidR="00767DDA" w:rsidRPr="00DF2360">
        <w:rPr>
          <w:rFonts w:ascii="Times New Roman" w:hAnsi="Times New Roman"/>
          <w:noProof/>
          <w:sz w:val="24"/>
          <w:szCs w:val="24"/>
        </w:rPr>
        <w:t xml:space="preserve">71. </w:t>
      </w:r>
    </w:p>
    <w:p w14:paraId="38CB3297" w14:textId="77777777" w:rsidR="00837BBD" w:rsidRPr="00DF2360" w:rsidRDefault="00627477" w:rsidP="00DF2360">
      <w:pPr>
        <w:tabs>
          <w:tab w:val="left" w:pos="720"/>
        </w:tabs>
        <w:suppressAutoHyphens/>
        <w:spacing w:after="0" w:line="360" w:lineRule="auto"/>
        <w:jc w:val="both"/>
        <w:textDirection w:val="btLr"/>
        <w:textAlignment w:val="top"/>
        <w:outlineLvl w:val="0"/>
        <w:rPr>
          <w:rFonts w:ascii="Times New Roman" w:hAnsi="Times New Roman"/>
          <w:sz w:val="24"/>
          <w:szCs w:val="24"/>
        </w:rPr>
      </w:pPr>
      <w:r w:rsidRPr="00DF2360">
        <w:rPr>
          <w:rFonts w:ascii="Times New Roman" w:hAnsi="Times New Roman"/>
          <w:noProof/>
          <w:sz w:val="24"/>
          <w:szCs w:val="24"/>
        </w:rPr>
        <w:t xml:space="preserve">3. </w:t>
      </w:r>
      <w:r w:rsidRPr="00DF2360">
        <w:rPr>
          <w:rFonts w:ascii="Times New Roman" w:hAnsi="Times New Roman"/>
          <w:noProof/>
          <w:sz w:val="24"/>
          <w:szCs w:val="24"/>
        </w:rPr>
        <w:tab/>
      </w:r>
      <w:r w:rsidR="00186A73" w:rsidRPr="00DF2360">
        <w:rPr>
          <w:rFonts w:ascii="Times New Roman" w:hAnsi="Times New Roman"/>
          <w:noProof/>
          <w:sz w:val="24"/>
          <w:szCs w:val="24"/>
        </w:rPr>
        <w:t xml:space="preserve"> </w:t>
      </w:r>
      <w:r w:rsidR="00837BBD" w:rsidRPr="00DF2360">
        <w:rPr>
          <w:rFonts w:ascii="Times New Roman" w:hAnsi="Times New Roman"/>
          <w:sz w:val="24"/>
          <w:szCs w:val="24"/>
        </w:rPr>
        <w:t>Cooperberg M, Pasta D, Elkin E, Litwin M, Latini D, Duchane J, et al. the University of California, San Francisco Cancer of the Prostate Risk Assessment Score: a Straightforward and Reliable Preoperative Predictor of Disease Recurrence After Radical Prosta</w:t>
      </w:r>
      <w:r w:rsidR="00045AC5" w:rsidRPr="00DF2360">
        <w:rPr>
          <w:rFonts w:ascii="Times New Roman" w:hAnsi="Times New Roman"/>
          <w:sz w:val="24"/>
          <w:szCs w:val="24"/>
        </w:rPr>
        <w:t>tectomy. J Urol</w:t>
      </w:r>
      <w:r w:rsidR="00837BBD" w:rsidRPr="00DF2360">
        <w:rPr>
          <w:rFonts w:ascii="Times New Roman" w:hAnsi="Times New Roman"/>
          <w:sz w:val="24"/>
          <w:szCs w:val="24"/>
        </w:rPr>
        <w:t>. 2005 Jun;173(6):1938–42.</w:t>
      </w:r>
    </w:p>
    <w:p w14:paraId="66608EE3" w14:textId="77777777" w:rsidR="00627477"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p>
    <w:p w14:paraId="215697F9" w14:textId="77777777" w:rsidR="00627477"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lastRenderedPageBreak/>
        <w:t xml:space="preserve">4. </w:t>
      </w:r>
      <w:r w:rsidRPr="00DF2360">
        <w:rPr>
          <w:rFonts w:ascii="Times New Roman" w:hAnsi="Times New Roman"/>
          <w:noProof/>
          <w:sz w:val="24"/>
          <w:szCs w:val="24"/>
        </w:rPr>
        <w:tab/>
        <w:t xml:space="preserve">Cooperberg MR, Broering JM, Carroll PR. Risk Assessment for Prostate Cancer Metastasis and Mortality at the Time of Diagnosis. 2009;101(12). </w:t>
      </w:r>
    </w:p>
    <w:p w14:paraId="1210E874" w14:textId="77777777" w:rsidR="00627477"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t xml:space="preserve">5. </w:t>
      </w:r>
      <w:r w:rsidRPr="00DF2360">
        <w:rPr>
          <w:rFonts w:ascii="Times New Roman" w:hAnsi="Times New Roman"/>
          <w:noProof/>
          <w:sz w:val="24"/>
          <w:szCs w:val="24"/>
        </w:rPr>
        <w:tab/>
        <w:t xml:space="preserve">Shariat SF, Kattan MW, Vickers AJ, Karakiewicz PI, Scardino PT. </w:t>
      </w:r>
      <w:r w:rsidR="00314DE4" w:rsidRPr="00DF2360">
        <w:rPr>
          <w:rFonts w:ascii="Times New Roman" w:hAnsi="Times New Roman"/>
          <w:noProof/>
          <w:sz w:val="24"/>
          <w:szCs w:val="24"/>
        </w:rPr>
        <w:t xml:space="preserve">Critical review of prostate cancer predictive tools. </w:t>
      </w:r>
    </w:p>
    <w:p w14:paraId="2DB25813" w14:textId="77777777" w:rsidR="00627477"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t xml:space="preserve">6. </w:t>
      </w:r>
      <w:r w:rsidRPr="00DF2360">
        <w:rPr>
          <w:rFonts w:ascii="Times New Roman" w:hAnsi="Times New Roman"/>
          <w:noProof/>
          <w:sz w:val="24"/>
          <w:szCs w:val="24"/>
        </w:rPr>
        <w:tab/>
        <w:t>Lowrance WT, Scardino PT. Predictive models for newly diagnosed prostat</w:t>
      </w:r>
      <w:r w:rsidR="00610F61" w:rsidRPr="00DF2360">
        <w:rPr>
          <w:rFonts w:ascii="Times New Roman" w:hAnsi="Times New Roman"/>
          <w:noProof/>
          <w:sz w:val="24"/>
          <w:szCs w:val="24"/>
        </w:rPr>
        <w:t>e cancer patients. Rev Urol. 2009</w:t>
      </w:r>
      <w:r w:rsidRPr="00DF2360">
        <w:rPr>
          <w:rFonts w:ascii="Times New Roman" w:hAnsi="Times New Roman"/>
          <w:noProof/>
          <w:sz w:val="24"/>
          <w:szCs w:val="24"/>
        </w:rPr>
        <w:t>;11(3):117–</w:t>
      </w:r>
      <w:r w:rsidR="00610F61" w:rsidRPr="00DF2360">
        <w:rPr>
          <w:rFonts w:ascii="Times New Roman" w:hAnsi="Times New Roman"/>
          <w:noProof/>
          <w:sz w:val="24"/>
          <w:szCs w:val="24"/>
        </w:rPr>
        <w:t xml:space="preserve">26. </w:t>
      </w:r>
    </w:p>
    <w:p w14:paraId="2DE991A4" w14:textId="77777777" w:rsidR="00A52882"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t xml:space="preserve">7. </w:t>
      </w:r>
      <w:r w:rsidRPr="00DF2360">
        <w:rPr>
          <w:rFonts w:ascii="Times New Roman" w:hAnsi="Times New Roman"/>
          <w:noProof/>
          <w:sz w:val="24"/>
          <w:szCs w:val="24"/>
        </w:rPr>
        <w:tab/>
        <w:t xml:space="preserve"> </w:t>
      </w:r>
      <w:r w:rsidR="00A52882" w:rsidRPr="00DF2360">
        <w:rPr>
          <w:rFonts w:ascii="Times New Roman" w:hAnsi="Times New Roman"/>
          <w:noProof/>
          <w:sz w:val="24"/>
          <w:szCs w:val="24"/>
        </w:rPr>
        <w:t>Middleton, R. G., Thompson, I. M., Austenfeld, M. S., Cooner, W. H., Correa, R. J., Gibbons, R. P. et al: Prostate Cancer Clinical Guidelines Panel Summary report on the management of clinically localized prostate cancer. The American Urological Association. J Urol, 154: 2144, 1995</w:t>
      </w:r>
    </w:p>
    <w:p w14:paraId="74851804" w14:textId="77777777" w:rsidR="00627477" w:rsidRPr="00DF2360" w:rsidRDefault="00A52882"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t>8</w:t>
      </w:r>
      <w:r w:rsidR="00627477" w:rsidRPr="00DF2360">
        <w:rPr>
          <w:rFonts w:ascii="Times New Roman" w:hAnsi="Times New Roman"/>
          <w:noProof/>
          <w:sz w:val="24"/>
          <w:szCs w:val="24"/>
        </w:rPr>
        <w:t xml:space="preserve">. </w:t>
      </w:r>
      <w:r w:rsidR="00627477" w:rsidRPr="00DF2360">
        <w:rPr>
          <w:rFonts w:ascii="Times New Roman" w:hAnsi="Times New Roman"/>
          <w:noProof/>
          <w:sz w:val="24"/>
          <w:szCs w:val="24"/>
        </w:rPr>
        <w:tab/>
        <w:t xml:space="preserve">Cooperberg MR, Freedland SJ, Pasta DJ, Elkin EP, Presti JC, Amling CL, et al. Multiinstitutional validation of the UCSF cancer of the prostate risk assessment for prediction of recurrence after radical </w:t>
      </w:r>
      <w:r w:rsidR="001E0415" w:rsidRPr="00DF2360">
        <w:rPr>
          <w:rFonts w:ascii="Times New Roman" w:hAnsi="Times New Roman"/>
          <w:noProof/>
          <w:sz w:val="24"/>
          <w:szCs w:val="24"/>
        </w:rPr>
        <w:t xml:space="preserve">prostatectomy. </w:t>
      </w:r>
      <w:r w:rsidR="00C7068D" w:rsidRPr="00DF2360">
        <w:rPr>
          <w:rFonts w:ascii="Times New Roman" w:hAnsi="Times New Roman"/>
          <w:noProof/>
          <w:sz w:val="24"/>
          <w:szCs w:val="24"/>
        </w:rPr>
        <w:t xml:space="preserve">J </w:t>
      </w:r>
      <w:r w:rsidR="001E0415" w:rsidRPr="00DF2360">
        <w:rPr>
          <w:rFonts w:ascii="Times New Roman" w:hAnsi="Times New Roman"/>
          <w:noProof/>
          <w:sz w:val="24"/>
          <w:szCs w:val="24"/>
        </w:rPr>
        <w:t xml:space="preserve">Cancer </w:t>
      </w:r>
      <w:r w:rsidR="00627477" w:rsidRPr="00DF2360">
        <w:rPr>
          <w:rFonts w:ascii="Times New Roman" w:hAnsi="Times New Roman"/>
          <w:noProof/>
          <w:sz w:val="24"/>
          <w:szCs w:val="24"/>
        </w:rPr>
        <w:t>.</w:t>
      </w:r>
      <w:r w:rsidR="001E0415" w:rsidRPr="00DF2360">
        <w:rPr>
          <w:rFonts w:ascii="Times New Roman" w:hAnsi="Times New Roman"/>
          <w:noProof/>
          <w:sz w:val="24"/>
          <w:szCs w:val="24"/>
        </w:rPr>
        <w:t xml:space="preserve"> 2006 Nov 15 </w:t>
      </w:r>
      <w:r w:rsidR="00627477" w:rsidRPr="00DF2360">
        <w:rPr>
          <w:rFonts w:ascii="Times New Roman" w:hAnsi="Times New Roman"/>
          <w:noProof/>
          <w:sz w:val="24"/>
          <w:szCs w:val="24"/>
        </w:rPr>
        <w:t>;107(10):2384–</w:t>
      </w:r>
      <w:r w:rsidR="001E0415" w:rsidRPr="00DF2360">
        <w:rPr>
          <w:rFonts w:ascii="Times New Roman" w:hAnsi="Times New Roman"/>
          <w:noProof/>
          <w:sz w:val="24"/>
          <w:szCs w:val="24"/>
        </w:rPr>
        <w:t xml:space="preserve">91. </w:t>
      </w:r>
    </w:p>
    <w:p w14:paraId="30F750AF" w14:textId="77777777" w:rsidR="00627477"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t xml:space="preserve">9. </w:t>
      </w:r>
      <w:r w:rsidRPr="00DF2360">
        <w:rPr>
          <w:rFonts w:ascii="Times New Roman" w:hAnsi="Times New Roman"/>
          <w:noProof/>
          <w:sz w:val="24"/>
          <w:szCs w:val="24"/>
        </w:rPr>
        <w:tab/>
        <w:t xml:space="preserve">Cooperberg MR, Freedland SJ, Pasta DJ, Elkin EP, Presti JC, Amling CL, et al. Multiinstitutional validation of the UCSF cancer of the prostate risk assessment for prediction of recurrence after radical </w:t>
      </w:r>
      <w:r w:rsidR="00C7068D" w:rsidRPr="00DF2360">
        <w:rPr>
          <w:rFonts w:ascii="Times New Roman" w:hAnsi="Times New Roman"/>
          <w:noProof/>
          <w:sz w:val="24"/>
          <w:szCs w:val="24"/>
        </w:rPr>
        <w:t xml:space="preserve">prostatectomy. J Cancer </w:t>
      </w:r>
      <w:r w:rsidRPr="00DF2360">
        <w:rPr>
          <w:rFonts w:ascii="Times New Roman" w:hAnsi="Times New Roman"/>
          <w:noProof/>
          <w:sz w:val="24"/>
          <w:szCs w:val="24"/>
        </w:rPr>
        <w:t>. 2</w:t>
      </w:r>
      <w:r w:rsidR="00C7068D" w:rsidRPr="00DF2360">
        <w:rPr>
          <w:rFonts w:ascii="Times New Roman" w:hAnsi="Times New Roman"/>
          <w:noProof/>
          <w:sz w:val="24"/>
          <w:szCs w:val="24"/>
        </w:rPr>
        <w:t xml:space="preserve">006 Nov 15 </w:t>
      </w:r>
      <w:r w:rsidRPr="00DF2360">
        <w:rPr>
          <w:rFonts w:ascii="Times New Roman" w:hAnsi="Times New Roman"/>
          <w:noProof/>
          <w:sz w:val="24"/>
          <w:szCs w:val="24"/>
        </w:rPr>
        <w:t>;107(10):2384–</w:t>
      </w:r>
      <w:r w:rsidR="00C7068D" w:rsidRPr="00DF2360">
        <w:rPr>
          <w:rFonts w:ascii="Times New Roman" w:hAnsi="Times New Roman"/>
          <w:noProof/>
          <w:sz w:val="24"/>
          <w:szCs w:val="24"/>
        </w:rPr>
        <w:t xml:space="preserve">91. </w:t>
      </w:r>
    </w:p>
    <w:p w14:paraId="1ADF0D89" w14:textId="77777777" w:rsidR="00627477"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t xml:space="preserve">10. </w:t>
      </w:r>
      <w:r w:rsidRPr="00DF2360">
        <w:rPr>
          <w:rFonts w:ascii="Times New Roman" w:hAnsi="Times New Roman"/>
          <w:noProof/>
          <w:sz w:val="24"/>
          <w:szCs w:val="24"/>
        </w:rPr>
        <w:tab/>
        <w:t>Ishizaki F, Hoque MA, Nishiyama T, Kawasaki T, Kasahara T, Hara N, et al. External Validation of the UCSF-CAPRA (University of California, San Francisco, Cancer of the Prostate Risk Assessment) in Japanese Patients Receiving Radical Prostatect</w:t>
      </w:r>
      <w:r w:rsidR="009612B8" w:rsidRPr="00DF2360">
        <w:rPr>
          <w:rFonts w:ascii="Times New Roman" w:hAnsi="Times New Roman"/>
          <w:noProof/>
          <w:sz w:val="24"/>
          <w:szCs w:val="24"/>
        </w:rPr>
        <w:t xml:space="preserve">omy. Jpn J Clin Oncol </w:t>
      </w:r>
      <w:r w:rsidR="001E1D51" w:rsidRPr="00DF2360">
        <w:rPr>
          <w:rFonts w:ascii="Times New Roman" w:hAnsi="Times New Roman"/>
          <w:noProof/>
          <w:sz w:val="24"/>
          <w:szCs w:val="24"/>
        </w:rPr>
        <w:t>. 2011 Nov 1</w:t>
      </w:r>
      <w:r w:rsidRPr="00DF2360">
        <w:rPr>
          <w:rFonts w:ascii="Times New Roman" w:hAnsi="Times New Roman"/>
          <w:noProof/>
          <w:sz w:val="24"/>
          <w:szCs w:val="24"/>
        </w:rPr>
        <w:t>;41(11):1259–</w:t>
      </w:r>
      <w:r w:rsidR="009612B8" w:rsidRPr="00DF2360">
        <w:rPr>
          <w:rFonts w:ascii="Times New Roman" w:hAnsi="Times New Roman"/>
          <w:noProof/>
          <w:sz w:val="24"/>
          <w:szCs w:val="24"/>
        </w:rPr>
        <w:t xml:space="preserve">64. </w:t>
      </w:r>
    </w:p>
    <w:p w14:paraId="7A1710F1" w14:textId="77777777" w:rsidR="00627477"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t xml:space="preserve">11. </w:t>
      </w:r>
      <w:r w:rsidRPr="00DF2360">
        <w:rPr>
          <w:rFonts w:ascii="Times New Roman" w:hAnsi="Times New Roman"/>
          <w:noProof/>
          <w:sz w:val="24"/>
          <w:szCs w:val="24"/>
        </w:rPr>
        <w:tab/>
        <w:t>May M, Knoll N, Siegsmund M, Fahlenkamp D, Vogler H, Hoschke B, et al. Validity of the CAPRA Score to Predict Biochemical Recurrence-Free Survival After Radical Prostatectomy. Results From a European Multicenter S</w:t>
      </w:r>
      <w:r w:rsidR="004B1BD0" w:rsidRPr="00DF2360">
        <w:rPr>
          <w:rFonts w:ascii="Times New Roman" w:hAnsi="Times New Roman"/>
          <w:noProof/>
          <w:sz w:val="24"/>
          <w:szCs w:val="24"/>
        </w:rPr>
        <w:t>urvey of 1,296 Patients. J Urol. 2007 Nov</w:t>
      </w:r>
      <w:r w:rsidRPr="00DF2360">
        <w:rPr>
          <w:rFonts w:ascii="Times New Roman" w:hAnsi="Times New Roman"/>
          <w:noProof/>
          <w:sz w:val="24"/>
          <w:szCs w:val="24"/>
        </w:rPr>
        <w:t>;178(5):1957–</w:t>
      </w:r>
      <w:r w:rsidR="004B1BD0" w:rsidRPr="00DF2360">
        <w:rPr>
          <w:rFonts w:ascii="Times New Roman" w:hAnsi="Times New Roman"/>
          <w:noProof/>
          <w:sz w:val="24"/>
          <w:szCs w:val="24"/>
        </w:rPr>
        <w:t xml:space="preserve">62. </w:t>
      </w:r>
    </w:p>
    <w:p w14:paraId="61F1D506" w14:textId="77777777" w:rsidR="00627477"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t xml:space="preserve">12. </w:t>
      </w:r>
      <w:r w:rsidRPr="00DF2360">
        <w:rPr>
          <w:rFonts w:ascii="Times New Roman" w:hAnsi="Times New Roman"/>
          <w:noProof/>
          <w:sz w:val="24"/>
          <w:szCs w:val="24"/>
        </w:rPr>
        <w:tab/>
        <w:t>Meurs P, Galvin R, Fanning DM, Fahey T. Prognostic value of the CAPRA clinical prediction rule: a systematic review and</w:t>
      </w:r>
      <w:r w:rsidR="00A61EDF" w:rsidRPr="00DF2360">
        <w:rPr>
          <w:rFonts w:ascii="Times New Roman" w:hAnsi="Times New Roman"/>
          <w:noProof/>
          <w:sz w:val="24"/>
          <w:szCs w:val="24"/>
        </w:rPr>
        <w:t xml:space="preserve"> meta-analysis. BJU Int. 2013 Mar </w:t>
      </w:r>
      <w:r w:rsidRPr="00DF2360">
        <w:rPr>
          <w:rFonts w:ascii="Times New Roman" w:hAnsi="Times New Roman"/>
          <w:noProof/>
          <w:sz w:val="24"/>
          <w:szCs w:val="24"/>
        </w:rPr>
        <w:t>;111(3):427–</w:t>
      </w:r>
      <w:r w:rsidR="00A61EDF" w:rsidRPr="00DF2360">
        <w:rPr>
          <w:rFonts w:ascii="Times New Roman" w:hAnsi="Times New Roman"/>
          <w:noProof/>
          <w:sz w:val="24"/>
          <w:szCs w:val="24"/>
        </w:rPr>
        <w:t xml:space="preserve">36. </w:t>
      </w:r>
    </w:p>
    <w:p w14:paraId="1586418A" w14:textId="77777777" w:rsidR="009D1E1B" w:rsidRPr="00DF2360" w:rsidRDefault="009D1E1B" w:rsidP="00DF2360">
      <w:pPr>
        <w:tabs>
          <w:tab w:val="left" w:pos="720"/>
        </w:tabs>
        <w:suppressAutoHyphens/>
        <w:spacing w:after="0" w:line="360" w:lineRule="auto"/>
        <w:textDirection w:val="btLr"/>
        <w:textAlignment w:val="top"/>
        <w:outlineLvl w:val="0"/>
        <w:rPr>
          <w:rFonts w:ascii="Times New Roman" w:hAnsi="Times New Roman"/>
          <w:sz w:val="24"/>
          <w:szCs w:val="24"/>
        </w:rPr>
      </w:pPr>
      <w:r w:rsidRPr="00DF2360">
        <w:rPr>
          <w:rFonts w:ascii="Times New Roman" w:hAnsi="Times New Roman"/>
          <w:noProof/>
          <w:sz w:val="24"/>
          <w:szCs w:val="24"/>
        </w:rPr>
        <w:t>13.</w:t>
      </w:r>
      <w:r w:rsidRPr="00DF2360">
        <w:rPr>
          <w:rFonts w:ascii="Times New Roman" w:hAnsi="Times New Roman"/>
          <w:sz w:val="24"/>
          <w:szCs w:val="24"/>
        </w:rPr>
        <w:t xml:space="preserve"> Cooperberg MR, Broering JM, Carroll PR. Risk Assessment for Prostate Cancer Metastasis and Mortality at the Time of Diagnosis. 2009;101(12).</w:t>
      </w:r>
    </w:p>
    <w:p w14:paraId="5A8D165C" w14:textId="77777777" w:rsidR="009D1E1B" w:rsidRPr="00DF2360" w:rsidRDefault="009D1E1B" w:rsidP="00DF2360">
      <w:pPr>
        <w:widowControl w:val="0"/>
        <w:autoSpaceDE w:val="0"/>
        <w:autoSpaceDN w:val="0"/>
        <w:adjustRightInd w:val="0"/>
        <w:spacing w:after="0" w:line="360" w:lineRule="auto"/>
        <w:ind w:left="640" w:hanging="640"/>
        <w:rPr>
          <w:rFonts w:ascii="Times New Roman" w:hAnsi="Times New Roman"/>
          <w:noProof/>
          <w:sz w:val="24"/>
          <w:szCs w:val="24"/>
        </w:rPr>
      </w:pPr>
    </w:p>
    <w:p w14:paraId="719FAF58" w14:textId="77777777" w:rsidR="00260AEA" w:rsidRPr="0094433B" w:rsidRDefault="00782824" w:rsidP="00DF2360">
      <w:pPr>
        <w:widowControl w:val="0"/>
        <w:autoSpaceDE w:val="0"/>
        <w:autoSpaceDN w:val="0"/>
        <w:adjustRightInd w:val="0"/>
        <w:spacing w:after="0" w:line="360" w:lineRule="auto"/>
        <w:ind w:left="640" w:hanging="640"/>
        <w:rPr>
          <w:rFonts w:ascii="Times New Roman" w:eastAsia="Calibri" w:hAnsi="Times New Roman"/>
          <w:sz w:val="24"/>
          <w:szCs w:val="24"/>
        </w:rPr>
      </w:pPr>
      <w:r w:rsidRPr="00C72567">
        <w:rPr>
          <w:rFonts w:ascii="Times New Roman" w:eastAsia="Calibri" w:hAnsi="Times New Roman"/>
          <w:sz w:val="24"/>
          <w:szCs w:val="24"/>
        </w:rPr>
        <w:fldChar w:fldCharType="end"/>
      </w:r>
    </w:p>
    <w:p w14:paraId="1616C0B4" w14:textId="77777777" w:rsidR="0094433B" w:rsidRPr="0094433B" w:rsidRDefault="0094433B" w:rsidP="0094433B">
      <w:pPr>
        <w:spacing w:after="0" w:line="360" w:lineRule="auto"/>
        <w:rPr>
          <w:rFonts w:ascii="Times New Roman" w:hAnsi="Times New Roman"/>
          <w:sz w:val="24"/>
          <w:szCs w:val="24"/>
          <w:lang w:bidi="en-US"/>
        </w:rPr>
      </w:pPr>
    </w:p>
    <w:p w14:paraId="01EB6514" w14:textId="77777777" w:rsidR="0094433B" w:rsidRPr="0094433B" w:rsidRDefault="0094433B" w:rsidP="0094433B">
      <w:pPr>
        <w:spacing w:after="0" w:line="360" w:lineRule="auto"/>
        <w:rPr>
          <w:rFonts w:ascii="Times New Roman" w:hAnsi="Times New Roman"/>
          <w:sz w:val="24"/>
          <w:szCs w:val="24"/>
          <w:lang w:bidi="en-US"/>
        </w:rPr>
      </w:pPr>
    </w:p>
    <w:p w14:paraId="0B49E2B9" w14:textId="77777777" w:rsidR="003258F1" w:rsidRDefault="003258F1"/>
    <w:sectPr w:rsidR="00325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160t00">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DC7"/>
    <w:multiLevelType w:val="multilevel"/>
    <w:tmpl w:val="40B86750"/>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575F2DB4"/>
    <w:multiLevelType w:val="hybridMultilevel"/>
    <w:tmpl w:val="32E6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92A9C"/>
    <w:multiLevelType w:val="multilevel"/>
    <w:tmpl w:val="B45470DA"/>
    <w:lvl w:ilvl="0">
      <w:start w:val="1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53"/>
    <w:rsid w:val="000071E4"/>
    <w:rsid w:val="00032BB5"/>
    <w:rsid w:val="00036F83"/>
    <w:rsid w:val="00037A13"/>
    <w:rsid w:val="00045AC5"/>
    <w:rsid w:val="0007178B"/>
    <w:rsid w:val="00077F50"/>
    <w:rsid w:val="000830C8"/>
    <w:rsid w:val="00091C63"/>
    <w:rsid w:val="000A7442"/>
    <w:rsid w:val="000C0DC3"/>
    <w:rsid w:val="000C479A"/>
    <w:rsid w:val="000D6F5B"/>
    <w:rsid w:val="000E1023"/>
    <w:rsid w:val="00100CDC"/>
    <w:rsid w:val="001052AF"/>
    <w:rsid w:val="00105E39"/>
    <w:rsid w:val="0011305D"/>
    <w:rsid w:val="00116D71"/>
    <w:rsid w:val="00117494"/>
    <w:rsid w:val="00127FAE"/>
    <w:rsid w:val="00133FA0"/>
    <w:rsid w:val="00137072"/>
    <w:rsid w:val="0015131A"/>
    <w:rsid w:val="00155D6B"/>
    <w:rsid w:val="00156DB0"/>
    <w:rsid w:val="00157331"/>
    <w:rsid w:val="00176508"/>
    <w:rsid w:val="00186A73"/>
    <w:rsid w:val="001914B0"/>
    <w:rsid w:val="001924DA"/>
    <w:rsid w:val="00195352"/>
    <w:rsid w:val="001A5B35"/>
    <w:rsid w:val="001B2556"/>
    <w:rsid w:val="001C5C92"/>
    <w:rsid w:val="001C75B0"/>
    <w:rsid w:val="001D7FBE"/>
    <w:rsid w:val="001E0415"/>
    <w:rsid w:val="001E1840"/>
    <w:rsid w:val="001E1D51"/>
    <w:rsid w:val="00207839"/>
    <w:rsid w:val="0023087F"/>
    <w:rsid w:val="00240568"/>
    <w:rsid w:val="0025407E"/>
    <w:rsid w:val="00260AEA"/>
    <w:rsid w:val="00263C66"/>
    <w:rsid w:val="00267B68"/>
    <w:rsid w:val="0027187F"/>
    <w:rsid w:val="002742BC"/>
    <w:rsid w:val="00283C89"/>
    <w:rsid w:val="0028525C"/>
    <w:rsid w:val="002A1453"/>
    <w:rsid w:val="002B2577"/>
    <w:rsid w:val="002B5CDF"/>
    <w:rsid w:val="002C25EB"/>
    <w:rsid w:val="002C43DD"/>
    <w:rsid w:val="002D2E11"/>
    <w:rsid w:val="002F530A"/>
    <w:rsid w:val="002F7C29"/>
    <w:rsid w:val="00305C8E"/>
    <w:rsid w:val="00314DE4"/>
    <w:rsid w:val="003258F1"/>
    <w:rsid w:val="00334DA7"/>
    <w:rsid w:val="003466E8"/>
    <w:rsid w:val="003769A9"/>
    <w:rsid w:val="00381458"/>
    <w:rsid w:val="00381A4E"/>
    <w:rsid w:val="00391E82"/>
    <w:rsid w:val="00392F96"/>
    <w:rsid w:val="003A5F83"/>
    <w:rsid w:val="003B2C53"/>
    <w:rsid w:val="003B6EC6"/>
    <w:rsid w:val="003B7E96"/>
    <w:rsid w:val="003C34A4"/>
    <w:rsid w:val="003D08EE"/>
    <w:rsid w:val="003D501A"/>
    <w:rsid w:val="003D7B06"/>
    <w:rsid w:val="003E4A9F"/>
    <w:rsid w:val="003E591E"/>
    <w:rsid w:val="003F7A5A"/>
    <w:rsid w:val="00403646"/>
    <w:rsid w:val="004232E0"/>
    <w:rsid w:val="00427B5F"/>
    <w:rsid w:val="00433F1E"/>
    <w:rsid w:val="00441BED"/>
    <w:rsid w:val="00442C8A"/>
    <w:rsid w:val="00443223"/>
    <w:rsid w:val="00464106"/>
    <w:rsid w:val="004718EE"/>
    <w:rsid w:val="00492EDB"/>
    <w:rsid w:val="004B1BD0"/>
    <w:rsid w:val="004C6CEF"/>
    <w:rsid w:val="004D138E"/>
    <w:rsid w:val="004D791A"/>
    <w:rsid w:val="004E00A5"/>
    <w:rsid w:val="004E3213"/>
    <w:rsid w:val="004E4680"/>
    <w:rsid w:val="004E6488"/>
    <w:rsid w:val="00501012"/>
    <w:rsid w:val="00501AE9"/>
    <w:rsid w:val="00504921"/>
    <w:rsid w:val="00523A76"/>
    <w:rsid w:val="00530850"/>
    <w:rsid w:val="005526AA"/>
    <w:rsid w:val="0055532E"/>
    <w:rsid w:val="00557694"/>
    <w:rsid w:val="00571C68"/>
    <w:rsid w:val="00572F42"/>
    <w:rsid w:val="005A01ED"/>
    <w:rsid w:val="005A5DEC"/>
    <w:rsid w:val="005B0404"/>
    <w:rsid w:val="005B446B"/>
    <w:rsid w:val="005C108B"/>
    <w:rsid w:val="005C187E"/>
    <w:rsid w:val="005C23FB"/>
    <w:rsid w:val="005D0C43"/>
    <w:rsid w:val="005E24BB"/>
    <w:rsid w:val="005E4C75"/>
    <w:rsid w:val="005E6353"/>
    <w:rsid w:val="005F7FDD"/>
    <w:rsid w:val="00602626"/>
    <w:rsid w:val="00602976"/>
    <w:rsid w:val="00610F61"/>
    <w:rsid w:val="00612DCF"/>
    <w:rsid w:val="00627477"/>
    <w:rsid w:val="006338DE"/>
    <w:rsid w:val="006361C1"/>
    <w:rsid w:val="00644765"/>
    <w:rsid w:val="00646B75"/>
    <w:rsid w:val="00647104"/>
    <w:rsid w:val="00661BBF"/>
    <w:rsid w:val="006639C4"/>
    <w:rsid w:val="00696064"/>
    <w:rsid w:val="006A4056"/>
    <w:rsid w:val="006A43E3"/>
    <w:rsid w:val="006A594D"/>
    <w:rsid w:val="006B610C"/>
    <w:rsid w:val="006C66C8"/>
    <w:rsid w:val="006D2B99"/>
    <w:rsid w:val="006E3986"/>
    <w:rsid w:val="006F4ECC"/>
    <w:rsid w:val="00701F95"/>
    <w:rsid w:val="00705DAB"/>
    <w:rsid w:val="00714707"/>
    <w:rsid w:val="00726B05"/>
    <w:rsid w:val="00764E57"/>
    <w:rsid w:val="00767DDA"/>
    <w:rsid w:val="00767F9A"/>
    <w:rsid w:val="00771DC6"/>
    <w:rsid w:val="00782824"/>
    <w:rsid w:val="00785A1D"/>
    <w:rsid w:val="00790F15"/>
    <w:rsid w:val="00793BFE"/>
    <w:rsid w:val="00795413"/>
    <w:rsid w:val="007A3034"/>
    <w:rsid w:val="007A6618"/>
    <w:rsid w:val="007B707D"/>
    <w:rsid w:val="007C2FAD"/>
    <w:rsid w:val="007D230F"/>
    <w:rsid w:val="007E0E8E"/>
    <w:rsid w:val="007E2C2B"/>
    <w:rsid w:val="007E688E"/>
    <w:rsid w:val="007E743A"/>
    <w:rsid w:val="007F0DBA"/>
    <w:rsid w:val="007F294B"/>
    <w:rsid w:val="007F4F1D"/>
    <w:rsid w:val="007F7F77"/>
    <w:rsid w:val="0081633B"/>
    <w:rsid w:val="0082436C"/>
    <w:rsid w:val="00835774"/>
    <w:rsid w:val="00837BBD"/>
    <w:rsid w:val="00840690"/>
    <w:rsid w:val="008421C4"/>
    <w:rsid w:val="0084455D"/>
    <w:rsid w:val="008609EC"/>
    <w:rsid w:val="00865495"/>
    <w:rsid w:val="00867A54"/>
    <w:rsid w:val="00867B2C"/>
    <w:rsid w:val="008764AE"/>
    <w:rsid w:val="00891F72"/>
    <w:rsid w:val="008A7DD1"/>
    <w:rsid w:val="008C1756"/>
    <w:rsid w:val="008E03BC"/>
    <w:rsid w:val="008E2731"/>
    <w:rsid w:val="008F5560"/>
    <w:rsid w:val="00934AA2"/>
    <w:rsid w:val="00937829"/>
    <w:rsid w:val="0094433B"/>
    <w:rsid w:val="00952956"/>
    <w:rsid w:val="0096107C"/>
    <w:rsid w:val="009612B8"/>
    <w:rsid w:val="00961947"/>
    <w:rsid w:val="0096542A"/>
    <w:rsid w:val="00992612"/>
    <w:rsid w:val="009948CE"/>
    <w:rsid w:val="009A6C08"/>
    <w:rsid w:val="009A780F"/>
    <w:rsid w:val="009B0171"/>
    <w:rsid w:val="009B4478"/>
    <w:rsid w:val="009B7208"/>
    <w:rsid w:val="009B7249"/>
    <w:rsid w:val="009C2E1C"/>
    <w:rsid w:val="009D0E53"/>
    <w:rsid w:val="009D1E1B"/>
    <w:rsid w:val="009E3F3F"/>
    <w:rsid w:val="009F06A0"/>
    <w:rsid w:val="009F65C9"/>
    <w:rsid w:val="00A15A68"/>
    <w:rsid w:val="00A23215"/>
    <w:rsid w:val="00A24FC1"/>
    <w:rsid w:val="00A25CF8"/>
    <w:rsid w:val="00A36112"/>
    <w:rsid w:val="00A369BF"/>
    <w:rsid w:val="00A37624"/>
    <w:rsid w:val="00A52882"/>
    <w:rsid w:val="00A57808"/>
    <w:rsid w:val="00A60F08"/>
    <w:rsid w:val="00A61EDF"/>
    <w:rsid w:val="00A646EC"/>
    <w:rsid w:val="00A726B0"/>
    <w:rsid w:val="00A751F9"/>
    <w:rsid w:val="00A92229"/>
    <w:rsid w:val="00A97118"/>
    <w:rsid w:val="00AB714E"/>
    <w:rsid w:val="00AC6A5D"/>
    <w:rsid w:val="00AD2C27"/>
    <w:rsid w:val="00AE72F6"/>
    <w:rsid w:val="00AF184F"/>
    <w:rsid w:val="00AF42E6"/>
    <w:rsid w:val="00B006F0"/>
    <w:rsid w:val="00B02DA3"/>
    <w:rsid w:val="00B24146"/>
    <w:rsid w:val="00B25E09"/>
    <w:rsid w:val="00B34490"/>
    <w:rsid w:val="00B43685"/>
    <w:rsid w:val="00B6420C"/>
    <w:rsid w:val="00B65E71"/>
    <w:rsid w:val="00B70675"/>
    <w:rsid w:val="00B7091C"/>
    <w:rsid w:val="00B77F9B"/>
    <w:rsid w:val="00BA1389"/>
    <w:rsid w:val="00BA4B80"/>
    <w:rsid w:val="00BB7E8E"/>
    <w:rsid w:val="00BC0CED"/>
    <w:rsid w:val="00BC3059"/>
    <w:rsid w:val="00BF5288"/>
    <w:rsid w:val="00C040B2"/>
    <w:rsid w:val="00C17109"/>
    <w:rsid w:val="00C17857"/>
    <w:rsid w:val="00C22423"/>
    <w:rsid w:val="00C22890"/>
    <w:rsid w:val="00C25831"/>
    <w:rsid w:val="00C26307"/>
    <w:rsid w:val="00C41DEC"/>
    <w:rsid w:val="00C42F98"/>
    <w:rsid w:val="00C442DC"/>
    <w:rsid w:val="00C5765B"/>
    <w:rsid w:val="00C57C75"/>
    <w:rsid w:val="00C638F3"/>
    <w:rsid w:val="00C7068D"/>
    <w:rsid w:val="00C72567"/>
    <w:rsid w:val="00C80780"/>
    <w:rsid w:val="00C876A0"/>
    <w:rsid w:val="00C94CF0"/>
    <w:rsid w:val="00CA485C"/>
    <w:rsid w:val="00CB69F2"/>
    <w:rsid w:val="00CC76C6"/>
    <w:rsid w:val="00CD129B"/>
    <w:rsid w:val="00CD299D"/>
    <w:rsid w:val="00CE7454"/>
    <w:rsid w:val="00D121FA"/>
    <w:rsid w:val="00D13CDE"/>
    <w:rsid w:val="00D34F03"/>
    <w:rsid w:val="00D36A0A"/>
    <w:rsid w:val="00D37878"/>
    <w:rsid w:val="00D3791A"/>
    <w:rsid w:val="00D47C3B"/>
    <w:rsid w:val="00D52807"/>
    <w:rsid w:val="00D609BC"/>
    <w:rsid w:val="00D60FC6"/>
    <w:rsid w:val="00D73F27"/>
    <w:rsid w:val="00D7723A"/>
    <w:rsid w:val="00D9089D"/>
    <w:rsid w:val="00D94E00"/>
    <w:rsid w:val="00DD0218"/>
    <w:rsid w:val="00DD42E6"/>
    <w:rsid w:val="00DE5B2F"/>
    <w:rsid w:val="00DF2360"/>
    <w:rsid w:val="00DF5B12"/>
    <w:rsid w:val="00DF7E39"/>
    <w:rsid w:val="00E05C27"/>
    <w:rsid w:val="00E11C1E"/>
    <w:rsid w:val="00E146DA"/>
    <w:rsid w:val="00E31969"/>
    <w:rsid w:val="00E4100A"/>
    <w:rsid w:val="00E462A6"/>
    <w:rsid w:val="00E46B5E"/>
    <w:rsid w:val="00E527F5"/>
    <w:rsid w:val="00E605EC"/>
    <w:rsid w:val="00E71C72"/>
    <w:rsid w:val="00E75B42"/>
    <w:rsid w:val="00E761CE"/>
    <w:rsid w:val="00E802F6"/>
    <w:rsid w:val="00E80506"/>
    <w:rsid w:val="00E973D5"/>
    <w:rsid w:val="00EA61E8"/>
    <w:rsid w:val="00EB17E6"/>
    <w:rsid w:val="00EB3934"/>
    <w:rsid w:val="00EC55E0"/>
    <w:rsid w:val="00EC7B9A"/>
    <w:rsid w:val="00ED5DA2"/>
    <w:rsid w:val="00EE46CB"/>
    <w:rsid w:val="00EE648E"/>
    <w:rsid w:val="00EE7DC1"/>
    <w:rsid w:val="00F02479"/>
    <w:rsid w:val="00F0293F"/>
    <w:rsid w:val="00F0618F"/>
    <w:rsid w:val="00F1755A"/>
    <w:rsid w:val="00F20901"/>
    <w:rsid w:val="00F27B1B"/>
    <w:rsid w:val="00F27EEC"/>
    <w:rsid w:val="00F36CC8"/>
    <w:rsid w:val="00F379CF"/>
    <w:rsid w:val="00F62AE6"/>
    <w:rsid w:val="00F8396B"/>
    <w:rsid w:val="00F84D5E"/>
    <w:rsid w:val="00F90027"/>
    <w:rsid w:val="00F95C84"/>
    <w:rsid w:val="00FA69C9"/>
    <w:rsid w:val="00FB4451"/>
    <w:rsid w:val="00FB6966"/>
    <w:rsid w:val="00FE2E5D"/>
    <w:rsid w:val="00FE5F08"/>
    <w:rsid w:val="00FE5F93"/>
    <w:rsid w:val="00FF260A"/>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0408"/>
  <w15:docId w15:val="{3DDFC445-EAAC-4963-AD2E-F7FEEA60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5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F0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D230F"/>
    <w:rPr>
      <w:color w:val="0000FF" w:themeColor="hyperlink"/>
      <w:u w:val="single"/>
    </w:rPr>
  </w:style>
  <w:style w:type="character" w:styleId="CommentReference">
    <w:name w:val="annotation reference"/>
    <w:basedOn w:val="DefaultParagraphFont"/>
    <w:uiPriority w:val="99"/>
    <w:semiHidden/>
    <w:unhideWhenUsed/>
    <w:rsid w:val="00A15A68"/>
    <w:rPr>
      <w:sz w:val="16"/>
      <w:szCs w:val="16"/>
    </w:rPr>
  </w:style>
  <w:style w:type="paragraph" w:styleId="CommentText">
    <w:name w:val="annotation text"/>
    <w:basedOn w:val="Normal"/>
    <w:link w:val="CommentTextChar"/>
    <w:uiPriority w:val="99"/>
    <w:semiHidden/>
    <w:unhideWhenUsed/>
    <w:rsid w:val="00A15A68"/>
    <w:pPr>
      <w:spacing w:line="240" w:lineRule="auto"/>
    </w:pPr>
    <w:rPr>
      <w:sz w:val="20"/>
      <w:szCs w:val="20"/>
    </w:rPr>
  </w:style>
  <w:style w:type="character" w:customStyle="1" w:styleId="CommentTextChar">
    <w:name w:val="Comment Text Char"/>
    <w:basedOn w:val="DefaultParagraphFont"/>
    <w:link w:val="CommentText"/>
    <w:uiPriority w:val="99"/>
    <w:semiHidden/>
    <w:rsid w:val="00A15A6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5A68"/>
    <w:rPr>
      <w:b/>
      <w:bCs/>
    </w:rPr>
  </w:style>
  <w:style w:type="character" w:customStyle="1" w:styleId="CommentSubjectChar">
    <w:name w:val="Comment Subject Char"/>
    <w:basedOn w:val="CommentTextChar"/>
    <w:link w:val="CommentSubject"/>
    <w:uiPriority w:val="99"/>
    <w:semiHidden/>
    <w:rsid w:val="00A15A6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15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nyongole@yahoo.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CFD1-B73F-4D2A-B7C7-A9006656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9091</Words>
  <Characters>51820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ntumami</dc:creator>
  <cp:lastModifiedBy>Dr. Obadia</cp:lastModifiedBy>
  <cp:revision>4</cp:revision>
  <dcterms:created xsi:type="dcterms:W3CDTF">2019-05-02T07:03:00Z</dcterms:created>
  <dcterms:modified xsi:type="dcterms:W3CDTF">2019-05-02T07:25:00Z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Unable to retrieve uuid - error: 0. Server error 'Network access is disabled.'</vt:lpwstr>
  </property>
  <property fmtid="{D5CDD505-2E9C-101B-9397-08002B2CF9AE}" pid="24" name="Mendeley Citation Style_1">
    <vt:lpwstr>http://www.zotero.org/styles/vancouver</vt:lpwstr>
  </property>
</Properties>
</file>