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b/>
          <w:bCs/>
        </w:rPr>
      </w:pPr>
      <w:bookmarkStart w:id="0" w:name="_Hlk28970959"/>
      <w:r>
        <w:rPr>
          <w:b/>
          <w:bCs/>
        </w:rPr>
        <w:t>X-ray</w:t>
      </w:r>
      <w:bookmarkEnd w:id="0"/>
      <w:r>
        <w:rPr>
          <w:b/>
          <w:bCs/>
        </w:rPr>
        <w:t xml:space="preserve"> measurement and analysis on parameters of intervertebral foramen in the </w:t>
      </w:r>
      <w:bookmarkStart w:id="1" w:name="_Hlk28970901"/>
      <w:r>
        <w:rPr>
          <w:b/>
          <w:bCs/>
        </w:rPr>
        <w:t>lower lumbar spine</w:t>
      </w:r>
      <w:bookmarkEnd w:id="1"/>
      <w:r>
        <w:rPr>
          <w:b/>
          <w:bCs/>
        </w:rPr>
        <w:t xml:space="preserve"> associated with the superior articular process</w:t>
      </w:r>
    </w:p>
    <w:p>
      <w:pPr>
        <w:spacing w:line="360" w:lineRule="auto"/>
        <w:jc w:val="both"/>
        <w:rPr>
          <w:b/>
          <w:bCs/>
        </w:rPr>
      </w:pPr>
    </w:p>
    <w:p>
      <w:pPr>
        <w:spacing w:line="360" w:lineRule="auto"/>
        <w:jc w:val="both"/>
        <w:rPr>
          <w:szCs w:val="21"/>
          <w:lang w:val="en-US" w:eastAsia="zh-CN"/>
        </w:rPr>
      </w:pPr>
      <w:r>
        <w:rPr>
          <w:szCs w:val="21"/>
        </w:rPr>
        <w:t>Zhaoyang</w:t>
      </w:r>
      <w:r>
        <w:rPr>
          <w:rFonts w:hint="eastAsia"/>
          <w:szCs w:val="21"/>
          <w:lang w:val="en-US" w:eastAsia="zh-CN"/>
        </w:rPr>
        <w:t xml:space="preserve"> </w:t>
      </w:r>
      <w:r>
        <w:rPr>
          <w:szCs w:val="21"/>
        </w:rPr>
        <w:t>Qiu</w:t>
      </w:r>
      <w:r>
        <w:rPr>
          <w:rFonts w:hint="eastAsia"/>
          <w:szCs w:val="21"/>
          <w:lang w:val="en-US" w:eastAsia="zh-CN"/>
        </w:rPr>
        <w:t>, Yang Yu*, ZhanYing Ma, Peng Yan, Yixuan Gao, Qixiang Wang</w:t>
      </w:r>
    </w:p>
    <w:p>
      <w:pPr>
        <w:spacing w:line="360" w:lineRule="auto"/>
        <w:jc w:val="both"/>
        <w:rPr>
          <w:szCs w:val="21"/>
          <w:lang w:val="en-US" w:eastAsia="zh-CN"/>
        </w:rPr>
      </w:pPr>
    </w:p>
    <w:p>
      <w:pPr>
        <w:spacing w:line="360" w:lineRule="auto"/>
        <w:jc w:val="both"/>
        <w:rPr>
          <w:szCs w:val="21"/>
          <w:lang w:val="en-US" w:eastAsia="zh-CN"/>
        </w:rPr>
      </w:pPr>
      <w:r>
        <w:rPr>
          <w:rFonts w:hint="eastAsia"/>
          <w:szCs w:val="21"/>
          <w:lang w:val="en-US" w:eastAsia="zh-CN"/>
        </w:rPr>
        <w:t>Department of bone and spine surgery, jinzhou medical university, Jinzhou, China.</w:t>
      </w:r>
    </w:p>
    <w:p>
      <w:pPr>
        <w:spacing w:line="360" w:lineRule="auto"/>
        <w:jc w:val="both"/>
        <w:rPr>
          <w:rFonts w:eastAsia="Calibri"/>
        </w:rPr>
      </w:pPr>
      <w:r>
        <w:rPr>
          <w:rFonts w:eastAsia="Calibri"/>
        </w:rPr>
        <w:t xml:space="preserve">Correspondence: </w:t>
      </w:r>
      <w:r>
        <w:rPr>
          <w:rFonts w:hint="eastAsia"/>
          <w:szCs w:val="21"/>
          <w:lang w:val="en-US" w:eastAsia="zh-CN"/>
        </w:rPr>
        <w:t xml:space="preserve">Yang Yu, Department of bone and spine surgery, jinzhou medical university, Jinzhou, China. </w:t>
      </w:r>
      <w:r>
        <w:rPr>
          <w:rFonts w:eastAsia="Calibri"/>
        </w:rPr>
        <w:t xml:space="preserve"> </w:t>
      </w:r>
    </w:p>
    <w:p>
      <w:pPr>
        <w:spacing w:line="360" w:lineRule="auto"/>
        <w:jc w:val="both"/>
        <w:rPr>
          <w:rFonts w:eastAsia="宋体"/>
          <w:b/>
          <w:bCs/>
          <w:szCs w:val="21"/>
          <w:lang w:val="en-US" w:eastAsia="zh-CN"/>
        </w:rPr>
      </w:pPr>
      <w:r>
        <w:rPr>
          <w:rFonts w:eastAsia="Calibri"/>
        </w:rPr>
        <w:t>E-mail:</w:t>
      </w:r>
      <w:r>
        <w:rPr>
          <w:rFonts w:hint="eastAsia" w:eastAsia="宋体"/>
          <w:lang w:val="en-US" w:eastAsia="zh-CN"/>
        </w:rPr>
        <w:t xml:space="preserve"> </w:t>
      </w:r>
      <w:r>
        <w:fldChar w:fldCharType="begin"/>
      </w:r>
      <w:r>
        <w:instrText xml:space="preserve"> HYPERLINK "mailto:doctoryoung@163.com" </w:instrText>
      </w:r>
      <w:r>
        <w:fldChar w:fldCharType="separate"/>
      </w:r>
      <w:r>
        <w:rPr>
          <w:rStyle w:val="19"/>
          <w:rFonts w:hint="eastAsia" w:ascii="Arial" w:hAnsi="Arial" w:cs="Arial"/>
          <w:sz w:val="21"/>
          <w:szCs w:val="21"/>
          <w:shd w:val="clear" w:color="auto" w:fill="FFFFFF"/>
          <w:lang w:val="en-US" w:eastAsia="zh-CN"/>
        </w:rPr>
        <w:t>doctoryoung@163.com</w:t>
      </w:r>
      <w:r>
        <w:rPr>
          <w:rStyle w:val="19"/>
          <w:rFonts w:hint="eastAsia" w:ascii="Arial" w:hAnsi="Arial" w:cs="Arial"/>
          <w:sz w:val="21"/>
          <w:szCs w:val="21"/>
          <w:shd w:val="clear" w:color="auto" w:fill="FFFFFF"/>
          <w:lang w:val="en-US" w:eastAsia="zh-CN"/>
        </w:rPr>
        <w:fldChar w:fldCharType="end"/>
      </w:r>
    </w:p>
    <w:p>
      <w:pPr>
        <w:spacing w:line="360" w:lineRule="auto"/>
        <w:jc w:val="both"/>
        <w:rPr>
          <w:b/>
          <w:bCs/>
          <w:szCs w:val="21"/>
        </w:rPr>
      </w:pPr>
      <w:r>
        <w:rPr>
          <w:rFonts w:hint="eastAsia"/>
          <w:b/>
          <w:bCs/>
          <w:szCs w:val="21"/>
        </w:rPr>
        <w:t>Abstract</w:t>
      </w:r>
    </w:p>
    <w:p>
      <w:pPr>
        <w:spacing w:line="360" w:lineRule="auto"/>
        <w:jc w:val="both"/>
        <w:rPr>
          <w:bCs/>
        </w:rPr>
      </w:pPr>
      <w:r>
        <w:rPr>
          <w:b/>
          <w:bCs/>
          <w:szCs w:val="21"/>
        </w:rPr>
        <w:t xml:space="preserve">Objectives: </w:t>
      </w:r>
      <w:r>
        <w:rPr>
          <w:szCs w:val="21"/>
        </w:rPr>
        <w:t>In this study, we aimed to supplement the database of intervertebral foramen by measuring the parameters of the lower lumbar spine related to the articular process of the X-ray</w:t>
      </w:r>
      <w:r>
        <w:rPr>
          <w:rFonts w:hint="eastAsia"/>
          <w:szCs w:val="21"/>
          <w:lang w:eastAsia="zh-CN"/>
        </w:rPr>
        <w:t>,</w:t>
      </w:r>
      <w:r>
        <w:rPr>
          <w:rFonts w:hint="eastAsia"/>
          <w:szCs w:val="21"/>
        </w:rPr>
        <w:t xml:space="preserve"> </w:t>
      </w:r>
      <w:r>
        <w:rPr>
          <w:szCs w:val="21"/>
        </w:rPr>
        <w:t xml:space="preserve">which </w:t>
      </w:r>
      <w:r>
        <w:rPr>
          <w:rFonts w:hint="eastAsia"/>
          <w:szCs w:val="21"/>
        </w:rPr>
        <w:t>could</w:t>
      </w:r>
      <w:r>
        <w:rPr>
          <w:szCs w:val="21"/>
        </w:rPr>
        <w:t xml:space="preserve"> </w:t>
      </w:r>
      <w:bookmarkStart w:id="2" w:name="_Hlk28966840"/>
      <w:r>
        <w:rPr>
          <w:szCs w:val="21"/>
        </w:rPr>
        <w:t>lay a theoretical foundation</w:t>
      </w:r>
      <w:bookmarkEnd w:id="2"/>
      <w:r>
        <w:rPr>
          <w:szCs w:val="21"/>
        </w:rPr>
        <w:t xml:space="preserve"> for the individualized surgery of </w:t>
      </w:r>
      <w:bookmarkStart w:id="3" w:name="_Hlk28969080"/>
      <w:r>
        <w:rPr>
          <w:szCs w:val="21"/>
        </w:rPr>
        <w:t>transforaminal endoscopic spine technique (TEST)</w:t>
      </w:r>
      <w:bookmarkEnd w:id="3"/>
      <w:r>
        <w:rPr>
          <w:szCs w:val="21"/>
        </w:rPr>
        <w:t xml:space="preserve">. </w:t>
      </w:r>
      <w:r>
        <w:rPr>
          <w:b/>
        </w:rPr>
        <w:t xml:space="preserve">Methods: </w:t>
      </w:r>
      <w:bookmarkStart w:id="4" w:name="_Hlk28966347"/>
      <w:r>
        <w:rPr>
          <w:bCs/>
        </w:rPr>
        <w:t xml:space="preserve">Anteroposterior and lateral </w:t>
      </w:r>
      <w:r>
        <w:rPr>
          <w:szCs w:val="21"/>
        </w:rPr>
        <w:t>X-ray</w:t>
      </w:r>
      <w:r>
        <w:rPr>
          <w:rFonts w:hint="eastAsia"/>
          <w:szCs w:val="21"/>
        </w:rPr>
        <w:t>s</w:t>
      </w:r>
      <w:r>
        <w:rPr>
          <w:szCs w:val="21"/>
        </w:rPr>
        <w:t xml:space="preserve"> of the lumbar spine from 104 adults (50 male and 54 female) who met the measurement criteria were selected. The height and width of the intervertebral foramen, the height of the intervertebral space, the length from </w:t>
      </w:r>
      <w:bookmarkStart w:id="5" w:name="_Hlk28971385"/>
      <w:r>
        <w:rPr>
          <w:szCs w:val="21"/>
        </w:rPr>
        <w:t>the superior articular process</w:t>
      </w:r>
      <w:bookmarkEnd w:id="5"/>
      <w:r>
        <w:rPr>
          <w:szCs w:val="21"/>
        </w:rPr>
        <w:t xml:space="preserve"> (SAP) to the lower edge of the upper lumbar pedicle, and the length from SAP to posterior margin of superior vertebra posterior edge were measured.</w:t>
      </w:r>
      <w:bookmarkEnd w:id="4"/>
      <w:r>
        <w:rPr>
          <w:szCs w:val="21"/>
        </w:rPr>
        <w:t xml:space="preserve"> </w:t>
      </w:r>
      <w:r>
        <w:rPr>
          <w:b/>
        </w:rPr>
        <w:t>Results:</w:t>
      </w:r>
      <w:r>
        <w:rPr>
          <w:szCs w:val="21"/>
        </w:rPr>
        <w:t xml:space="preserve"> </w:t>
      </w:r>
      <w:bookmarkStart w:id="6" w:name="_Hlk28966367"/>
      <w:r>
        <w:rPr>
          <w:szCs w:val="21"/>
        </w:rPr>
        <w:t>There was no significant difference in the shape of the lower lumbar intervertebral foramen between normal adult men and women.</w:t>
      </w:r>
      <w:r>
        <w:rPr>
          <w:b/>
        </w:rPr>
        <w:t xml:space="preserve"> </w:t>
      </w:r>
      <w:r>
        <w:rPr>
          <w:szCs w:val="21"/>
        </w:rPr>
        <w:t xml:space="preserve">There were significant differences in parameters related to </w:t>
      </w:r>
      <w:bookmarkStart w:id="7" w:name="_Hlk28969149"/>
      <w:r>
        <w:rPr>
          <w:szCs w:val="21"/>
        </w:rPr>
        <w:t>the lower lumbar intervertebral foramen</w:t>
      </w:r>
      <w:bookmarkEnd w:id="7"/>
      <w:r>
        <w:rPr>
          <w:szCs w:val="21"/>
        </w:rPr>
        <w:t xml:space="preserve"> between the age group from 40 to 60 and above 60, and especially those related to the SAP.</w:t>
      </w:r>
      <w:bookmarkEnd w:id="6"/>
      <w:r>
        <w:rPr>
          <w:szCs w:val="21"/>
        </w:rPr>
        <w:t xml:space="preserve"> </w:t>
      </w:r>
      <w:r>
        <w:rPr>
          <w:b/>
        </w:rPr>
        <w:t xml:space="preserve">Conclusion: </w:t>
      </w:r>
      <w:bookmarkStart w:id="8" w:name="OLE_LINK16"/>
      <w:bookmarkStart w:id="9" w:name="OLE_LINK20"/>
      <w:r>
        <w:rPr>
          <w:bCs/>
        </w:rPr>
        <w:t>Parameters of the lower lumbar intervertebral foramen were obtained from 104 normal adults, which supplemented the lumbar intervertebral foramen database.</w:t>
      </w:r>
      <w:bookmarkEnd w:id="8"/>
      <w:r>
        <w:rPr>
          <w:bCs/>
        </w:rPr>
        <w:t xml:space="preserve"> After the age of 60, the morphology of the lower lumbar intervertebral foramen was significantly changed in normal adults, </w:t>
      </w:r>
      <w:bookmarkStart w:id="10" w:name="_Hlk28971771"/>
      <w:r>
        <w:rPr>
          <w:bCs/>
        </w:rPr>
        <w:t>and especially parameters related to the SAP</w:t>
      </w:r>
      <w:bookmarkEnd w:id="10"/>
      <w:r>
        <w:rPr>
          <w:bCs/>
        </w:rPr>
        <w:t>. This study provided a reference for individualized minimally invasive surgery using TEST for elderly people over 60 years of age.</w:t>
      </w:r>
      <w:bookmarkEnd w:id="9"/>
    </w:p>
    <w:p>
      <w:pPr>
        <w:spacing w:line="360" w:lineRule="auto"/>
        <w:jc w:val="both"/>
        <w:rPr>
          <w:bCs/>
          <w:szCs w:val="21"/>
        </w:rPr>
      </w:pPr>
      <w:bookmarkStart w:id="11" w:name="_Hlk28971151"/>
      <w:r>
        <w:rPr>
          <w:b/>
          <w:szCs w:val="21"/>
        </w:rPr>
        <w:t>Keywords</w:t>
      </w:r>
      <w:r>
        <w:rPr>
          <w:rFonts w:hint="eastAsia"/>
          <w:b/>
          <w:szCs w:val="21"/>
        </w:rPr>
        <w:t>:</w:t>
      </w:r>
      <w:r>
        <w:rPr>
          <w:b/>
          <w:szCs w:val="21"/>
        </w:rPr>
        <w:t xml:space="preserve"> </w:t>
      </w:r>
      <w:r>
        <w:rPr>
          <w:szCs w:val="21"/>
        </w:rPr>
        <w:t>Transforaminal endoscopic spine technique</w:t>
      </w:r>
      <w:r>
        <w:rPr>
          <w:bCs/>
          <w:szCs w:val="21"/>
        </w:rPr>
        <w:t xml:space="preserve">; </w:t>
      </w:r>
      <w:r>
        <w:rPr>
          <w:szCs w:val="21"/>
        </w:rPr>
        <w:t>Superior articular process</w:t>
      </w:r>
      <w:r>
        <w:rPr>
          <w:bCs/>
          <w:szCs w:val="21"/>
        </w:rPr>
        <w:t xml:space="preserve">; </w:t>
      </w:r>
      <w:r>
        <w:rPr>
          <w:szCs w:val="21"/>
        </w:rPr>
        <w:t>Intervertebral foramen;</w:t>
      </w:r>
      <w:r>
        <w:rPr>
          <w:bCs/>
          <w:szCs w:val="21"/>
        </w:rPr>
        <w:t xml:space="preserve"> Lower lumbar spine; X-ray; Age</w:t>
      </w:r>
    </w:p>
    <w:bookmarkEnd w:id="11"/>
    <w:p>
      <w:pPr>
        <w:spacing w:line="360" w:lineRule="auto"/>
        <w:jc w:val="both"/>
        <w:rPr>
          <w:b/>
          <w:bCs/>
          <w:szCs w:val="21"/>
        </w:rPr>
      </w:pPr>
    </w:p>
    <w:p>
      <w:pPr>
        <w:spacing w:line="360" w:lineRule="auto"/>
        <w:jc w:val="both"/>
        <w:rPr>
          <w:b/>
          <w:bCs/>
          <w:szCs w:val="21"/>
          <w:lang w:eastAsia="zh-CN"/>
        </w:rPr>
      </w:pPr>
    </w:p>
    <w:p>
      <w:pPr>
        <w:spacing w:line="360" w:lineRule="auto"/>
        <w:jc w:val="both"/>
        <w:rPr>
          <w:b/>
          <w:bCs/>
          <w:szCs w:val="21"/>
          <w:lang w:eastAsia="zh-CN"/>
        </w:rPr>
      </w:pPr>
    </w:p>
    <w:p>
      <w:pPr>
        <w:spacing w:line="360" w:lineRule="auto"/>
        <w:jc w:val="both"/>
        <w:rPr>
          <w:b/>
          <w:bCs/>
          <w:szCs w:val="21"/>
          <w:lang w:eastAsia="zh-CN"/>
        </w:rPr>
      </w:pPr>
    </w:p>
    <w:p>
      <w:pPr>
        <w:spacing w:line="360" w:lineRule="auto"/>
        <w:jc w:val="both"/>
        <w:rPr>
          <w:b/>
          <w:bCs/>
          <w:szCs w:val="21"/>
          <w:lang w:eastAsia="zh-CN"/>
        </w:rPr>
      </w:pPr>
    </w:p>
    <w:p>
      <w:pPr>
        <w:spacing w:line="360" w:lineRule="auto"/>
        <w:jc w:val="both"/>
        <w:rPr>
          <w:b/>
          <w:bCs/>
          <w:szCs w:val="21"/>
        </w:rPr>
      </w:pPr>
      <w:r>
        <w:rPr>
          <w:b/>
          <w:bCs/>
          <w:szCs w:val="21"/>
        </w:rPr>
        <w:t>I</w:t>
      </w:r>
      <w:r>
        <w:rPr>
          <w:rFonts w:hint="eastAsia"/>
          <w:b/>
          <w:bCs/>
          <w:szCs w:val="21"/>
        </w:rPr>
        <w:t>n</w:t>
      </w:r>
      <w:r>
        <w:rPr>
          <w:b/>
          <w:bCs/>
          <w:szCs w:val="21"/>
        </w:rPr>
        <w:t>troduction</w:t>
      </w:r>
    </w:p>
    <w:p>
      <w:pPr>
        <w:spacing w:line="360" w:lineRule="auto"/>
        <w:ind w:firstLine="480" w:firstLineChars="200"/>
        <w:jc w:val="both"/>
        <w:rPr>
          <w:szCs w:val="21"/>
        </w:rPr>
      </w:pPr>
      <w:r>
        <w:rPr>
          <w:szCs w:val="21"/>
        </w:rPr>
        <w:t xml:space="preserve">Symptomatic lumbar disc herniation (LDH) is one of the common causes of spinal surgery. Surgical treatment has evolved from traditional spine surgery to transforaminal percutaneous endoscopic discectomy (TPED) using the </w:t>
      </w:r>
      <w:bookmarkStart w:id="12" w:name="_Hlk28935509"/>
      <w:r>
        <w:rPr>
          <w:szCs w:val="21"/>
        </w:rPr>
        <w:t>transforaminal endoscopic spine technique</w:t>
      </w:r>
      <w:bookmarkEnd w:id="12"/>
      <w:r>
        <w:rPr>
          <w:szCs w:val="21"/>
        </w:rPr>
        <w:t xml:space="preserve"> (TEST)[1]. TEST has several advantages such as less trauma, faster recovery, less scarring and more complete retention of the original physiological structure of the spine. And research showed that there was no statistical difference in clinical efficacy between spinal endoscopy and traditional open spinal surgery[2].</w:t>
      </w:r>
    </w:p>
    <w:p>
      <w:pPr>
        <w:spacing w:line="360" w:lineRule="auto"/>
        <w:ind w:firstLine="480" w:firstLineChars="200"/>
        <w:jc w:val="both"/>
        <w:rPr>
          <w:szCs w:val="21"/>
        </w:rPr>
      </w:pPr>
      <w:r>
        <w:rPr>
          <w:szCs w:val="21"/>
        </w:rPr>
        <w:t xml:space="preserve">A large number of present studies have reported that TEST is a successful system operation, and the </w:t>
      </w:r>
      <w:bookmarkStart w:id="13" w:name="OLE_LINK2"/>
      <w:r>
        <w:rPr>
          <w:szCs w:val="21"/>
        </w:rPr>
        <w:t xml:space="preserve">inserted cannula by transforaminal spinal endoscopy can safely pass through the </w:t>
      </w:r>
      <w:bookmarkEnd w:id="13"/>
      <w:r>
        <w:rPr>
          <w:szCs w:val="21"/>
        </w:rPr>
        <w:t xml:space="preserve">intervertebral foramen[3-6]. With the emergence of the transforaminal technique, the importance of the study on the intervertebral foraminal morphology is self-evident, which has led to more research on the morphological characteristics of the intervertebral foramen[7-11]. Intervertebral foraminal morphology is particularly important for transforaminal spinal endoscopy. A natural hole composed of two adjacent vertebral pedicles contains nerves and blood vessels. The upper and lower boundaries are the upper vertebral vertebrae. Roof and floor are formed by inferior and superior notch of respective vertebral pedicles. The anterior boundary is composed of two vertebral discs and the posterior longitudinal ligament, and the posterior boundary is composed of the capsule of the small joint and part of the yellow ligament[12]. The shape of the intervertebral foramen is not constant, and some pathological changes will cause the morphologic </w:t>
      </w:r>
      <w:r>
        <w:rPr>
          <w:rFonts w:hint="eastAsia"/>
          <w:szCs w:val="21"/>
        </w:rPr>
        <w:t>change</w:t>
      </w:r>
      <w:r>
        <w:rPr>
          <w:szCs w:val="21"/>
        </w:rPr>
        <w:t xml:space="preserve"> of the intervertebral foramen[13]. Many studies showed that the movement of the lumbar spine can also change of the morphology of the </w:t>
      </w:r>
      <w:bookmarkStart w:id="14" w:name="_Hlk28712250"/>
      <w:r>
        <w:rPr>
          <w:szCs w:val="21"/>
        </w:rPr>
        <w:t>intervertebral</w:t>
      </w:r>
      <w:bookmarkEnd w:id="14"/>
      <w:r>
        <w:rPr>
          <w:szCs w:val="21"/>
        </w:rPr>
        <w:t xml:space="preserve"> foramen[14-16]. The study of </w:t>
      </w:r>
      <w:bookmarkStart w:id="15" w:name="OLE_LINK4"/>
      <w:r>
        <w:rPr>
          <w:szCs w:val="21"/>
        </w:rPr>
        <w:t>intervertebral</w:t>
      </w:r>
      <w:bookmarkEnd w:id="15"/>
      <w:r>
        <w:rPr>
          <w:szCs w:val="21"/>
        </w:rPr>
        <w:t xml:space="preserve"> foraminal morphology has guiding significance for the imaging diagnosis and treatment of lumbar spine diseases. In terms of the technique of transforaminal spinal endoscopy, it is of guiding significance to grasp the parameters of intervertebral foramina for accurate insertion of cannula[17]. </w:t>
      </w:r>
    </w:p>
    <w:p>
      <w:pPr>
        <w:spacing w:line="360" w:lineRule="auto"/>
        <w:ind w:firstLine="480" w:firstLineChars="200"/>
        <w:jc w:val="both"/>
        <w:rPr>
          <w:szCs w:val="21"/>
        </w:rPr>
      </w:pPr>
      <w:r>
        <w:rPr>
          <w:szCs w:val="21"/>
        </w:rPr>
        <w:t xml:space="preserve">The superior articular process (SAP) is an important part of the intervertebral foramen, and the morphology of the SAP is also an influencing important factor of </w:t>
      </w:r>
      <w:bookmarkStart w:id="16" w:name="OLE_LINK5"/>
      <w:r>
        <w:rPr>
          <w:szCs w:val="21"/>
        </w:rPr>
        <w:t>intervertebral foramen stenosis</w:t>
      </w:r>
      <w:bookmarkEnd w:id="16"/>
      <w:r>
        <w:rPr>
          <w:szCs w:val="21"/>
        </w:rPr>
        <w:t xml:space="preserve"> and the nerve root compression. Intervertebral foramen stenosis was related to the degeneration of the intervertebral space and the upward movement of the SAP: the height of intervertebral space decreased, resulting in the height of intervertebral foramen reduced. The osteophyte formation of the articular process and the thickened of the ligament flava lead to the intervertebral foramen stenosis[18-22]. Hoogland et al. in 2006 proposed the transforaminal endoscopic spine system (TESSYS) technology, which is quite representative of TEST. The surgical procedure requires the use of a ring drill to grind the SAP in order to successfully place the cannula into the spinal canal indicating that the morphology of the SAP is an important factor for whether the cannula can enter the spinal canal in TESSYS technology. However, only a limited number of studies have included the intervertebral foramen, and even less has been done on the measurement of parameters associated with the SAP. In order to better grasp the geometry of the intervertebral foramen and improve the success rate of surgery, this study supplemented the database of the intervertebral foramen by measuring the parameters of the lower lumbar vertebra related to the SAP of the X-ray, which </w:t>
      </w:r>
      <w:r>
        <w:rPr>
          <w:rFonts w:hint="eastAsia"/>
          <w:szCs w:val="21"/>
        </w:rPr>
        <w:t>could</w:t>
      </w:r>
      <w:r>
        <w:rPr>
          <w:szCs w:val="21"/>
        </w:rPr>
        <w:t xml:space="preserve"> provid</w:t>
      </w:r>
      <w:r>
        <w:rPr>
          <w:rFonts w:hint="eastAsia"/>
          <w:szCs w:val="21"/>
        </w:rPr>
        <w:t>e</w:t>
      </w:r>
      <w:r>
        <w:rPr>
          <w:szCs w:val="21"/>
        </w:rPr>
        <w:t xml:space="preserve"> a reference for the individualized surgery of TEST.</w:t>
      </w:r>
    </w:p>
    <w:p>
      <w:pPr>
        <w:spacing w:line="360" w:lineRule="auto"/>
        <w:jc w:val="both"/>
        <w:rPr>
          <w:rFonts w:ascii="BnbrxnAdvPTimesB" w:hAnsi="BnbrxnAdvPTimesB" w:cs="BnbrxnAdvPTimesB"/>
          <w:b/>
          <w:bCs/>
          <w:sz w:val="22"/>
        </w:rPr>
      </w:pPr>
    </w:p>
    <w:p>
      <w:pPr>
        <w:spacing w:line="360" w:lineRule="auto"/>
        <w:jc w:val="both"/>
        <w:rPr>
          <w:rFonts w:ascii="BnbrxnAdvPTimesB" w:hAnsi="BnbrxnAdvPTimesB" w:cs="BnbrxnAdvPTimesB"/>
          <w:b/>
          <w:bCs/>
          <w:sz w:val="22"/>
        </w:rPr>
      </w:pPr>
      <w:r>
        <w:rPr>
          <w:rFonts w:ascii="BnbrxnAdvPTimesB" w:hAnsi="BnbrxnAdvPTimesB" w:cs="BnbrxnAdvPTimesB"/>
          <w:b/>
          <w:bCs/>
          <w:sz w:val="22"/>
        </w:rPr>
        <w:t>Methods and materials</w:t>
      </w:r>
    </w:p>
    <w:p>
      <w:pPr>
        <w:spacing w:line="360" w:lineRule="auto"/>
        <w:jc w:val="both"/>
        <w:rPr>
          <w:b/>
          <w:bCs/>
          <w:szCs w:val="21"/>
        </w:rPr>
      </w:pPr>
      <w:r>
        <w:rPr>
          <w:b/>
          <w:bCs/>
          <w:szCs w:val="21"/>
        </w:rPr>
        <w:t>General information</w:t>
      </w:r>
    </w:p>
    <w:p>
      <w:pPr>
        <w:spacing w:line="360" w:lineRule="auto"/>
        <w:ind w:firstLine="480" w:firstLineChars="200"/>
        <w:jc w:val="both"/>
        <w:rPr>
          <w:szCs w:val="21"/>
        </w:rPr>
      </w:pPr>
      <w:bookmarkStart w:id="17" w:name="_Hlk28975075"/>
      <w:r>
        <w:rPr>
          <w:szCs w:val="21"/>
        </w:rPr>
        <w:t xml:space="preserve">104 adults (50 male and 54 female) were selected from the outpatient and inpatient cases in the first affiliated hospital of Jinzhou Medical University who were to </w:t>
      </w:r>
      <w:bookmarkStart w:id="18" w:name="OLE_LINK14"/>
      <w:bookmarkStart w:id="19" w:name="OLE_LINK15"/>
      <w:r>
        <w:rPr>
          <w:szCs w:val="21"/>
        </w:rPr>
        <w:t xml:space="preserve">receive </w:t>
      </w:r>
      <w:r>
        <w:rPr>
          <w:bCs/>
        </w:rPr>
        <w:t>anteroposterior</w:t>
      </w:r>
      <w:r>
        <w:rPr>
          <w:szCs w:val="21"/>
        </w:rPr>
        <w:t xml:space="preserve"> and lateral X-ray photographs of the lumbar spine</w:t>
      </w:r>
      <w:bookmarkEnd w:id="18"/>
      <w:bookmarkEnd w:id="19"/>
      <w:r>
        <w:rPr>
          <w:szCs w:val="21"/>
        </w:rPr>
        <w:t xml:space="preserve"> from October 2017 to May 2019, all of whom were aged from 18 to 80. Male age: 50.65±14.52, female age: 49.63±18.04.</w:t>
      </w:r>
    </w:p>
    <w:p>
      <w:pPr>
        <w:spacing w:line="360" w:lineRule="auto"/>
        <w:ind w:firstLine="480" w:firstLineChars="200"/>
        <w:jc w:val="both"/>
        <w:rPr>
          <w:szCs w:val="21"/>
        </w:rPr>
      </w:pPr>
      <w:r>
        <w:rPr>
          <w:szCs w:val="21"/>
        </w:rPr>
        <w:t>Inclusion criteria:</w:t>
      </w:r>
      <w:r>
        <w:rPr>
          <w:rFonts w:hint="eastAsia"/>
          <w:szCs w:val="21"/>
        </w:rPr>
        <w:t>(</w:t>
      </w:r>
      <w:r>
        <w:rPr>
          <w:szCs w:val="21"/>
        </w:rPr>
        <w:t>1) No history of lumbar disease and lumbar trauma;(2) No history of waist and leg pain and lower extremity radiation pain;(3) No history of lumbar spine fractures and surgery;(4)</w:t>
      </w:r>
      <w:r>
        <w:t xml:space="preserve"> </w:t>
      </w:r>
      <w:r>
        <w:rPr>
          <w:szCs w:val="21"/>
        </w:rPr>
        <w:t>No nerve root symptoms such as lower limb numbness and intermittent claudication;(5)</w:t>
      </w:r>
      <w:r>
        <w:t xml:space="preserve"> </w:t>
      </w:r>
      <w:r>
        <w:rPr>
          <w:szCs w:val="21"/>
        </w:rPr>
        <w:t xml:space="preserve">The selected samples were taken in accordance with unified standards. </w:t>
      </w:r>
      <w:commentRangeStart w:id="0"/>
      <w:r>
        <w:rPr>
          <w:szCs w:val="21"/>
        </w:rPr>
        <w:t>No lumbar disc herniation, no lumbar spinal stenosis, lumbar pathological changes, osteogenesis, lumbar spondylolisthesis, scoliosis and other congenital or acquired osteopathy were confirmed as normal lumbar spine by imaging examination</w:t>
      </w:r>
      <w:bookmarkEnd w:id="17"/>
      <w:r>
        <w:rPr>
          <w:szCs w:val="21"/>
        </w:rPr>
        <w:t>.</w:t>
      </w:r>
      <w:commentRangeEnd w:id="0"/>
      <w:r>
        <w:rPr>
          <w:rStyle w:val="20"/>
        </w:rPr>
        <w:commentReference w:id="0"/>
      </w:r>
    </w:p>
    <w:p>
      <w:pPr>
        <w:spacing w:line="360" w:lineRule="auto"/>
        <w:jc w:val="both"/>
        <w:rPr>
          <w:b/>
          <w:bCs/>
          <w:szCs w:val="21"/>
        </w:rPr>
      </w:pPr>
      <w:r>
        <w:rPr>
          <w:b/>
          <w:bCs/>
          <w:szCs w:val="21"/>
        </w:rPr>
        <w:t>Measurement methods and parameters</w:t>
      </w:r>
    </w:p>
    <w:p>
      <w:pPr>
        <w:spacing w:line="360" w:lineRule="auto"/>
        <w:ind w:firstLine="480" w:firstLineChars="200"/>
        <w:jc w:val="both"/>
        <w:rPr>
          <w:szCs w:val="21"/>
        </w:rPr>
      </w:pPr>
      <w:r>
        <w:rPr>
          <w:szCs w:val="21"/>
        </w:rPr>
        <w:t>The upright and lateral positions of the lumbar spine were photographed in the standing position. The projection centre was about 3 cm above the condyle, about 8 cm before the lumbar spinous process, about L3 vertebral level, and the projection distance was about 100 cm,</w:t>
      </w:r>
      <w:r>
        <w:t xml:space="preserve"> </w:t>
      </w:r>
      <w:r>
        <w:rPr>
          <w:szCs w:val="21"/>
        </w:rPr>
        <w:t>referring to the scale on the X-ray. The X-ray can clearly and completely show the shape of the intervertebral foramen and the SAP. The following parameters of each intervertebral foramen (l3-l4, l4-l5, l5-s1) were measured and recorded on the X-ray of the lateral lumbar spine:</w:t>
      </w:r>
      <w:r>
        <w:rPr>
          <w:rFonts w:hint="eastAsia"/>
          <w:szCs w:val="21"/>
          <w:lang w:eastAsia="zh-CN"/>
        </w:rPr>
        <w:t xml:space="preserve"> </w:t>
      </w:r>
      <w:r>
        <w:rPr>
          <w:szCs w:val="21"/>
        </w:rPr>
        <w:t>(1)</w:t>
      </w:r>
      <w:r>
        <w:t xml:space="preserve"> </w:t>
      </w:r>
      <w:r>
        <w:rPr>
          <w:szCs w:val="21"/>
        </w:rPr>
        <w:t>Determine the height of the intervertebral foramen in the lower lumbar vertebra (a). Use the measurement tool on the computer imaging software to make a line between the midpoint of the upper pedicle and the midpoint of the lower pedicle and read it. The value is the height of the intervertebral foramen (a);</w:t>
      </w:r>
      <w:r>
        <w:rPr>
          <w:rFonts w:hint="eastAsia"/>
          <w:szCs w:val="21"/>
          <w:lang w:eastAsia="zh-CN"/>
        </w:rPr>
        <w:t xml:space="preserve"> </w:t>
      </w:r>
      <w:r>
        <w:rPr>
          <w:szCs w:val="21"/>
        </w:rPr>
        <w:t>(2) Determine the width of the intervertebral foramen in the lower lumbar vertebra (b).</w:t>
      </w:r>
      <w:r>
        <w:t xml:space="preserve"> </w:t>
      </w:r>
      <w:commentRangeStart w:id="1"/>
      <w:r>
        <w:rPr>
          <w:szCs w:val="21"/>
        </w:rPr>
        <w:t xml:space="preserve">For the superior lumbar pedicle, record the length from the posterior cortex of lamina to the anterior cortex of the vertebral body, which is the width of the intervertebral foramen </w:t>
      </w:r>
      <w:commentRangeEnd w:id="1"/>
      <w:r>
        <w:rPr>
          <w:rStyle w:val="20"/>
        </w:rPr>
        <w:commentReference w:id="1"/>
      </w:r>
      <w:r>
        <w:rPr>
          <w:szCs w:val="21"/>
        </w:rPr>
        <w:t>(b);</w:t>
      </w:r>
      <w:r>
        <w:rPr>
          <w:rFonts w:hint="eastAsia"/>
          <w:szCs w:val="21"/>
          <w:lang w:eastAsia="zh-CN"/>
        </w:rPr>
        <w:t xml:space="preserve"> </w:t>
      </w:r>
      <w:r>
        <w:rPr>
          <w:szCs w:val="21"/>
        </w:rPr>
        <w:t>(3) Determine the height of the intervertebral foramen in the lower lumbar spine (c). The length from the lower edge of the upper vertebrae to the upper edge of the lower vertebrae is the intervertebral height value (c);</w:t>
      </w:r>
      <w:r>
        <w:rPr>
          <w:rFonts w:hint="eastAsia"/>
          <w:szCs w:val="21"/>
          <w:lang w:eastAsia="zh-CN"/>
        </w:rPr>
        <w:t xml:space="preserve"> </w:t>
      </w:r>
      <w:r>
        <w:rPr>
          <w:szCs w:val="21"/>
        </w:rPr>
        <w:t>(4)</w:t>
      </w:r>
      <w:r>
        <w:t xml:space="preserve"> </w:t>
      </w:r>
      <w:r>
        <w:rPr>
          <w:szCs w:val="21"/>
        </w:rPr>
        <w:t xml:space="preserve">Determine the distance from the SAP in the lower lumbar spine to the lower edge of the upper lumbar pedicle (d). The length from the apex of the SAP in the </w:t>
      </w:r>
      <w:bookmarkStart w:id="20" w:name="OLE_LINK24"/>
      <w:bookmarkStart w:id="21" w:name="OLE_LINK25"/>
      <w:r>
        <w:rPr>
          <w:szCs w:val="21"/>
        </w:rPr>
        <w:t>lower lumbar spine to the lower edge of the upper lumbar pedicle</w:t>
      </w:r>
      <w:bookmarkEnd w:id="20"/>
      <w:bookmarkEnd w:id="21"/>
      <w:r>
        <w:rPr>
          <w:szCs w:val="21"/>
        </w:rPr>
        <w:t xml:space="preserve"> is d value</w:t>
      </w:r>
      <w:r>
        <w:rPr>
          <w:rFonts w:hint="eastAsia"/>
          <w:szCs w:val="21"/>
          <w:lang w:eastAsia="zh-CN"/>
        </w:rPr>
        <w:t xml:space="preserve"> </w:t>
      </w:r>
      <w:r>
        <w:rPr>
          <w:szCs w:val="21"/>
        </w:rPr>
        <w:t>;(5) Determine the distance from the SAP in the lower lumbar vertebrae to the posterior edge of the upper vertebra (e).</w:t>
      </w:r>
      <w:r>
        <w:t xml:space="preserve"> </w:t>
      </w:r>
      <w:r>
        <w:rPr>
          <w:szCs w:val="21"/>
        </w:rPr>
        <w:t>The length from the apex of the superior articular process in the lower lumbar vertebrae to the posterior edge of the vertebral body is e value.</w:t>
      </w:r>
    </w:p>
    <w:p>
      <w:pPr>
        <w:spacing w:line="360" w:lineRule="auto"/>
        <w:jc w:val="both"/>
        <w:rPr>
          <w:b/>
          <w:bCs/>
          <w:szCs w:val="21"/>
        </w:rPr>
      </w:pPr>
      <w:r>
        <w:rPr>
          <w:b/>
          <w:bCs/>
          <w:szCs w:val="21"/>
        </w:rPr>
        <w:t>Statistical analysis</w:t>
      </w:r>
    </w:p>
    <w:p>
      <w:pPr>
        <w:spacing w:line="360" w:lineRule="auto"/>
        <w:ind w:firstLine="480" w:firstLineChars="200"/>
        <w:jc w:val="both"/>
        <w:rPr>
          <w:szCs w:val="21"/>
        </w:rPr>
      </w:pPr>
      <w:r>
        <w:rPr>
          <w:szCs w:val="21"/>
        </w:rPr>
        <w:t>The statistical software SPSS21.0 was used for statistical analysis, and all results were represented</w:t>
      </w:r>
      <w:r>
        <w:rPr>
          <w:rFonts w:hint="eastAsia"/>
          <w:szCs w:val="21"/>
        </w:rPr>
        <w:t xml:space="preserve"> </w:t>
      </w:r>
      <w:r>
        <w:rPr>
          <w:szCs w:val="21"/>
        </w:rPr>
        <w:t>as means ± standard deviations. The obtained data were tested for normality, and the original data met the normality requirements of anova. The independent sample t-test was used to compare the differences caused by gender and age. When P &lt; 0.05, the differences were considered statistically significant.</w:t>
      </w:r>
    </w:p>
    <w:p>
      <w:pPr>
        <w:spacing w:line="360" w:lineRule="auto"/>
        <w:jc w:val="both"/>
        <w:rPr>
          <w:b/>
          <w:bCs/>
          <w:szCs w:val="21"/>
        </w:rPr>
      </w:pPr>
      <w:r>
        <w:rPr>
          <w:b/>
          <w:bCs/>
          <w:szCs w:val="21"/>
        </w:rPr>
        <w:t>Results</w:t>
      </w:r>
    </w:p>
    <w:p>
      <w:pPr>
        <w:spacing w:line="360" w:lineRule="auto"/>
        <w:jc w:val="both"/>
        <w:rPr>
          <w:b/>
          <w:bCs/>
          <w:szCs w:val="21"/>
        </w:rPr>
      </w:pPr>
      <w:r>
        <w:rPr>
          <w:b/>
          <w:bCs/>
          <w:szCs w:val="21"/>
        </w:rPr>
        <w:t>X-ray measurement of the lower lumbar intervertebral foramen in normal adults</w:t>
      </w:r>
    </w:p>
    <w:p>
      <w:pPr>
        <w:spacing w:line="360" w:lineRule="auto"/>
        <w:ind w:firstLine="480" w:firstLineChars="200"/>
        <w:jc w:val="both"/>
        <w:rPr>
          <w:b/>
          <w:bCs/>
          <w:szCs w:val="21"/>
        </w:rPr>
      </w:pPr>
      <w:r>
        <w:rPr>
          <w:szCs w:val="21"/>
        </w:rPr>
        <w:t xml:space="preserve">A total of 300 lumbar X-rays (L3/4, L4/5, L5/S1) in 104 normal adults were measured and analyzed. The obtained data were all counting data, which were consistent with normal distribution by normal test. The relevant parameters of the lower lumbar foramen in normal adults </w:t>
      </w:r>
      <w:r>
        <w:rPr>
          <w:rFonts w:hint="eastAsia"/>
          <w:szCs w:val="21"/>
        </w:rPr>
        <w:t>we</w:t>
      </w:r>
      <w:r>
        <w:rPr>
          <w:szCs w:val="21"/>
        </w:rPr>
        <w:t>re successively as follows</w:t>
      </w:r>
      <w:r>
        <w:rPr>
          <w:rFonts w:hint="eastAsia"/>
          <w:szCs w:val="21"/>
        </w:rPr>
        <w:t>:</w:t>
      </w:r>
      <w:r>
        <w:rPr>
          <w:szCs w:val="21"/>
        </w:rPr>
        <w:t xml:space="preserve"> the heights of the intervertebral foramen were 22.25±2.55mm, 20.47±2.75mm, and 15.04±2.58mm; The widths of the intervertebral foramen were 9.78±2.06mm</w:t>
      </w:r>
      <w:r>
        <w:rPr>
          <w:rFonts w:hint="eastAsia"/>
          <w:szCs w:val="21"/>
        </w:rPr>
        <w:t>,</w:t>
      </w:r>
      <w:r>
        <w:rPr>
          <w:szCs w:val="21"/>
        </w:rPr>
        <w:t xml:space="preserve"> 8.53±2.81mm</w:t>
      </w:r>
      <w:r>
        <w:rPr>
          <w:rFonts w:hint="eastAsia"/>
          <w:szCs w:val="21"/>
        </w:rPr>
        <w:t>,</w:t>
      </w:r>
      <w:r>
        <w:rPr>
          <w:szCs w:val="21"/>
        </w:rPr>
        <w:t xml:space="preserve"> and 6.52±2.23mm; The heights of the lumbar intervertebral were 10.71±1.70mm</w:t>
      </w:r>
      <w:r>
        <w:rPr>
          <w:rFonts w:hint="eastAsia"/>
          <w:szCs w:val="21"/>
        </w:rPr>
        <w:t>,</w:t>
      </w:r>
      <w:r>
        <w:rPr>
          <w:szCs w:val="21"/>
        </w:rPr>
        <w:t xml:space="preserve"> 11.26±1.99mm</w:t>
      </w:r>
      <w:r>
        <w:rPr>
          <w:rFonts w:hint="eastAsia"/>
          <w:szCs w:val="21"/>
        </w:rPr>
        <w:t>,</w:t>
      </w:r>
      <w:r>
        <w:rPr>
          <w:szCs w:val="21"/>
        </w:rPr>
        <w:t xml:space="preserve"> and 10.38±1.59mm; The lengths from SAP to the lower edge of the upper lumbar pedicle were 11.26±1.35mm</w:t>
      </w:r>
      <w:r>
        <w:rPr>
          <w:rFonts w:hint="eastAsia"/>
          <w:szCs w:val="21"/>
        </w:rPr>
        <w:t>,</w:t>
      </w:r>
      <w:r>
        <w:rPr>
          <w:szCs w:val="21"/>
        </w:rPr>
        <w:t xml:space="preserve"> 10.34±1.44mm</w:t>
      </w:r>
      <w:r>
        <w:rPr>
          <w:rFonts w:hint="eastAsia"/>
          <w:szCs w:val="21"/>
        </w:rPr>
        <w:t>,</w:t>
      </w:r>
      <w:r>
        <w:rPr>
          <w:szCs w:val="21"/>
        </w:rPr>
        <w:t xml:space="preserve"> and 7.61±1.32mm; The lengths from SAP to posterior margin of superior vertebra posterior edge were 6.84±1.45mm</w:t>
      </w:r>
      <w:r>
        <w:rPr>
          <w:rFonts w:hint="eastAsia"/>
          <w:szCs w:val="21"/>
        </w:rPr>
        <w:t>,</w:t>
      </w:r>
      <w:r>
        <w:rPr>
          <w:szCs w:val="21"/>
        </w:rPr>
        <w:t xml:space="preserve"> 5.96±1.96mm</w:t>
      </w:r>
      <w:r>
        <w:rPr>
          <w:rFonts w:hint="eastAsia"/>
          <w:szCs w:val="21"/>
        </w:rPr>
        <w:t>,</w:t>
      </w:r>
      <w:r>
        <w:rPr>
          <w:szCs w:val="21"/>
        </w:rPr>
        <w:t xml:space="preserve"> 4.56±1.56mm.</w:t>
      </w:r>
    </w:p>
    <w:p>
      <w:pPr>
        <w:spacing w:line="360" w:lineRule="auto"/>
        <w:jc w:val="both"/>
        <w:rPr>
          <w:b/>
          <w:bCs/>
          <w:szCs w:val="21"/>
        </w:rPr>
      </w:pPr>
      <w:bookmarkStart w:id="22" w:name="_Hlk28807434"/>
      <w:r>
        <w:rPr>
          <w:b/>
          <w:bCs/>
          <w:szCs w:val="21"/>
        </w:rPr>
        <w:t>Parameters of the intervertebral foramen in the lower lumbar spine of different genders</w:t>
      </w:r>
      <w:bookmarkEnd w:id="22"/>
    </w:p>
    <w:p>
      <w:pPr>
        <w:spacing w:line="360" w:lineRule="auto"/>
        <w:ind w:firstLine="480" w:firstLineChars="200"/>
        <w:jc w:val="both"/>
        <w:rPr>
          <w:szCs w:val="21"/>
        </w:rPr>
      </w:pPr>
      <w:r>
        <w:rPr>
          <w:szCs w:val="21"/>
        </w:rPr>
        <w:t xml:space="preserve">The measured data of various parameters in the lower lumbar intervertebral foramen between different genders were shown in Table 1. </w:t>
      </w:r>
      <w:bookmarkStart w:id="23" w:name="OLE_LINK9"/>
      <w:r>
        <w:rPr>
          <w:szCs w:val="21"/>
        </w:rPr>
        <w:t>The results showed that there was no significant difference in</w:t>
      </w:r>
      <w:r>
        <w:t xml:space="preserve"> the </w:t>
      </w:r>
      <w:r>
        <w:rPr>
          <w:szCs w:val="21"/>
        </w:rPr>
        <w:t xml:space="preserve">parameters of the lower lumbar </w:t>
      </w:r>
      <w:bookmarkStart w:id="24" w:name="_Hlk28810354"/>
      <w:r>
        <w:rPr>
          <w:szCs w:val="21"/>
        </w:rPr>
        <w:t>intervertebral</w:t>
      </w:r>
      <w:bookmarkEnd w:id="24"/>
      <w:r>
        <w:rPr>
          <w:szCs w:val="21"/>
        </w:rPr>
        <w:t xml:space="preserve"> foramen </w:t>
      </w:r>
      <w:bookmarkStart w:id="25" w:name="_Hlk28809885"/>
      <w:r>
        <w:rPr>
          <w:szCs w:val="21"/>
        </w:rPr>
        <w:t>between</w:t>
      </w:r>
      <w:bookmarkEnd w:id="25"/>
      <w:r>
        <w:rPr>
          <w:szCs w:val="21"/>
        </w:rPr>
        <w:t xml:space="preserve"> different genders</w:t>
      </w:r>
      <w:bookmarkEnd w:id="23"/>
      <w:r>
        <w:rPr>
          <w:szCs w:val="21"/>
        </w:rPr>
        <w:t xml:space="preserve"> (P&gt;0.05).</w:t>
      </w:r>
    </w:p>
    <w:p>
      <w:pPr>
        <w:spacing w:line="360" w:lineRule="auto"/>
        <w:jc w:val="both"/>
        <w:rPr>
          <w:b/>
          <w:bCs/>
          <w:szCs w:val="21"/>
        </w:rPr>
      </w:pPr>
      <w:r>
        <w:rPr>
          <w:b/>
          <w:bCs/>
          <w:szCs w:val="21"/>
        </w:rPr>
        <w:t>Parameters of the intervertebral foramen in the lower lumbar spine at different ages</w:t>
      </w:r>
    </w:p>
    <w:p>
      <w:pPr>
        <w:spacing w:line="360" w:lineRule="auto"/>
        <w:ind w:firstLine="480" w:firstLineChars="200"/>
        <w:jc w:val="both"/>
        <w:rPr>
          <w:szCs w:val="21"/>
        </w:rPr>
      </w:pPr>
      <w:r>
        <w:rPr>
          <w:szCs w:val="21"/>
        </w:rPr>
        <w:t>The data of male and female groups were combined and counted, and a total of 104 cases were divided into three groups according to age: 28 cases under 40 years old, 41 cases between 40 and 60 years old, and 35 cases above 60 years old. A statistical comparison of the parameters in the lower lumbar intervertebral foramen</w:t>
      </w:r>
      <w:r>
        <w:rPr>
          <w:color w:val="FF0000"/>
          <w:szCs w:val="21"/>
        </w:rPr>
        <w:t xml:space="preserve"> </w:t>
      </w:r>
      <w:r>
        <w:rPr>
          <w:szCs w:val="21"/>
        </w:rPr>
        <w:t>among the three groups showed that there was a difference between the age group under 40 and the age group between 40 and 60, but the difference was not statistically significant. There were significant differences in parameters a, c, d and e between the age group from 40 to 60 years old and the age group above 60 years old (Table 2). Meanwhile, it was found that the differences in parameters related to the SAP were particularly significant, and the differences were statistically significant (p&lt;0.05).</w:t>
      </w:r>
    </w:p>
    <w:p>
      <w:pPr>
        <w:spacing w:line="360" w:lineRule="auto"/>
        <w:jc w:val="both"/>
        <w:rPr>
          <w:b/>
          <w:bCs/>
          <w:szCs w:val="21"/>
        </w:rPr>
      </w:pPr>
    </w:p>
    <w:p>
      <w:pPr>
        <w:spacing w:line="360" w:lineRule="auto"/>
        <w:jc w:val="both"/>
        <w:rPr>
          <w:b/>
          <w:bCs/>
          <w:szCs w:val="21"/>
        </w:rPr>
      </w:pPr>
      <w:r>
        <w:rPr>
          <w:b/>
          <w:bCs/>
          <w:szCs w:val="21"/>
        </w:rPr>
        <w:t>Discussion</w:t>
      </w:r>
    </w:p>
    <w:p>
      <w:pPr>
        <w:spacing w:line="360" w:lineRule="auto"/>
        <w:jc w:val="both"/>
      </w:pPr>
      <w:r>
        <w:t xml:space="preserve">Our results suggested that there were no significant differences between </w:t>
      </w:r>
      <w:r>
        <w:rPr>
          <w:szCs w:val="21"/>
        </w:rPr>
        <w:t>parameters in the lower lumbar intervertebral foramen between normal males and females.</w:t>
      </w:r>
      <w:r>
        <w:t xml:space="preserve"> </w:t>
      </w:r>
      <w:r>
        <w:rPr>
          <w:szCs w:val="21"/>
        </w:rPr>
        <w:t>Gkasdaris G</w:t>
      </w:r>
      <w:r>
        <w:t xml:space="preserve"> et al. found that no significant width differences for </w:t>
      </w:r>
      <w:r>
        <w:rPr>
          <w:szCs w:val="21"/>
        </w:rPr>
        <w:t>intervertebral foramen</w:t>
      </w:r>
      <w:r>
        <w:t xml:space="preserve"> was observed at any level for either sex whether measured directly from the body or by CT [25,26]. This finding was also consistent with earlier reports on the sex-dependent size of the spinal dimension</w:t>
      </w:r>
      <w:r>
        <w:rPr>
          <w:rFonts w:hint="eastAsia"/>
          <w:lang w:eastAsia="zh-CN"/>
        </w:rPr>
        <w:t xml:space="preserve"> </w:t>
      </w:r>
      <w:r>
        <w:t xml:space="preserve">[27,28]. </w:t>
      </w:r>
    </w:p>
    <w:p>
      <w:pPr>
        <w:spacing w:line="360" w:lineRule="auto"/>
        <w:ind w:firstLine="420"/>
        <w:jc w:val="both"/>
        <w:rPr>
          <w:szCs w:val="21"/>
        </w:rPr>
      </w:pPr>
      <w:commentRangeStart w:id="2"/>
      <w:r>
        <w:t xml:space="preserve">There were differences in parameters a, c, d, and e between the age group from 40 to 60 years old and the age above 60 years old. </w:t>
      </w:r>
      <w:commentRangeEnd w:id="2"/>
      <w:r>
        <w:rPr>
          <w:rStyle w:val="20"/>
        </w:rPr>
        <w:commentReference w:id="2"/>
      </w:r>
      <w:r>
        <w:t>Adams and Hutton [24] found that the intervertebral joints were subjected to different stresses in different positions, and the lower the intervertebral space height, the more stress on the superior articular process, and the elder‘s lumbar superior articular process receives more stress than the youngers'. According to ‘Wolf's Law’[</w:t>
      </w:r>
      <w:r>
        <w:rPr>
          <w:rFonts w:hint="eastAsia"/>
        </w:rPr>
        <w:t>23</w:t>
      </w:r>
      <w:r>
        <w:t>], bone is not an invariable material. It has the ability to reshape and repair after repeated damage under chronic external pressure for a long time in order to better adapt to the environment. As time goes on,</w:t>
      </w:r>
      <w:r>
        <w:rPr>
          <w:rFonts w:hint="eastAsia"/>
        </w:rPr>
        <w:t xml:space="preserve"> </w:t>
      </w:r>
      <w:r>
        <w:t xml:space="preserve">these </w:t>
      </w:r>
      <w:bookmarkStart w:id="27" w:name="_GoBack"/>
      <w:bookmarkEnd w:id="27"/>
      <w:r>
        <w:t xml:space="preserve">small changes gradually affect the anatomical structure of bones, ultimately leading to people over 60 show significant differences in </w:t>
      </w:r>
      <w:r>
        <w:rPr>
          <w:szCs w:val="21"/>
        </w:rPr>
        <w:t>intervertebral foramen parameters</w:t>
      </w:r>
      <w:r>
        <w:t xml:space="preserve"> compared to those under 60. With the improvement of living standards, the aging of China and the world's population will be inevitable. Therefore, our data could have clinical application on </w:t>
      </w:r>
      <w:r>
        <w:rPr>
          <w:rFonts w:eastAsia="宋体"/>
          <w:szCs w:val="21"/>
        </w:rPr>
        <w:t xml:space="preserve">individualized minimally invasive surgery using </w:t>
      </w:r>
      <w:r>
        <w:rPr>
          <w:szCs w:val="21"/>
        </w:rPr>
        <w:t>transforaminal endoscopic spine technique</w:t>
      </w:r>
      <w:r>
        <w:rPr>
          <w:rFonts w:eastAsia="宋体"/>
          <w:szCs w:val="21"/>
        </w:rPr>
        <w:t xml:space="preserve"> for elderly people over 60 years of age</w:t>
      </w:r>
      <w:r>
        <w:t>. Our results also suggested that parameters related to the superior articular processes change more significantly</w:t>
      </w:r>
      <w:r>
        <w:rPr>
          <w:rFonts w:hint="eastAsia"/>
        </w:rPr>
        <w:t>.</w:t>
      </w:r>
      <w:r>
        <w:t xml:space="preserve"> Many studies have reported that [7-11] </w:t>
      </w:r>
      <w:r>
        <w:rPr>
          <w:szCs w:val="21"/>
        </w:rPr>
        <w:t>intervertebral foramen</w:t>
      </w:r>
      <w:r>
        <w:t xml:space="preserve"> stenosis was related to the degeneration of the intervertebral space and upward movement of the superior articular process. The decrease of the intervertebral space height leads to a decrease in the height of the intervertebral foramen. The formation and hypertrophy of the facet joint capsule lead to the narrowing of the intervertebral foramen and compress the corresponding nerve roots. Due to factors such as degeneration of the intervertebral space and the movement of the articular processes, the height and width of the intervertebral foramen vary widely between reports. These may cause differences in the parameters of the lower lumbar intervertebral </w:t>
      </w:r>
      <w:r>
        <w:rPr>
          <w:szCs w:val="21"/>
        </w:rPr>
        <w:t>foramen</w:t>
      </w:r>
      <w:r>
        <w:t xml:space="preserve"> between different ages. But we speculated that the changes in the two parameters related to the superior articular process in our results were associated to the decrease in the height of the intervertebral space. When the height of the intervertebral space decreased, </w:t>
      </w:r>
      <w:r>
        <w:rPr>
          <w:rFonts w:hint="eastAsia"/>
          <w:lang w:eastAsia="zh-CN"/>
        </w:rPr>
        <w:t xml:space="preserve">it needs to further </w:t>
      </w:r>
      <w:r>
        <w:rPr>
          <w:lang w:eastAsia="zh-CN"/>
        </w:rPr>
        <w:t>investigate</w:t>
      </w:r>
      <w:r>
        <w:rPr>
          <w:rFonts w:hint="eastAsia"/>
          <w:lang w:eastAsia="zh-CN"/>
        </w:rPr>
        <w:t xml:space="preserve"> </w:t>
      </w:r>
      <w:r>
        <w:t xml:space="preserve">whether the length from </w:t>
      </w:r>
      <w:r>
        <w:rPr>
          <w:szCs w:val="21"/>
        </w:rPr>
        <w:t>SAP to the lower edge of the upper lumbar pedicle</w:t>
      </w:r>
      <w:r>
        <w:t xml:space="preserve"> (d) is more sensitive and representative than the intervertebral foraminal height.</w:t>
      </w:r>
    </w:p>
    <w:p>
      <w:pPr>
        <w:spacing w:line="360" w:lineRule="auto"/>
        <w:ind w:firstLine="420"/>
        <w:jc w:val="both"/>
        <w:rPr>
          <w:szCs w:val="21"/>
        </w:rPr>
      </w:pPr>
      <w:r>
        <w:rPr>
          <w:szCs w:val="21"/>
        </w:rPr>
        <w:t xml:space="preserve">This study is only a part of the regional anatomy data obtained from the X-ray parameters of the lower lumbar </w:t>
      </w:r>
      <w:r>
        <w:rPr>
          <w:bCs/>
        </w:rPr>
        <w:t>intervertebral</w:t>
      </w:r>
      <w:r>
        <w:rPr>
          <w:szCs w:val="21"/>
        </w:rPr>
        <w:t xml:space="preserve"> </w:t>
      </w:r>
      <w:r>
        <w:rPr>
          <w:bCs/>
        </w:rPr>
        <w:t>foramen</w:t>
      </w:r>
      <w:r>
        <w:rPr>
          <w:szCs w:val="21"/>
        </w:rPr>
        <w:t xml:space="preserve"> associated with the SAP, and can merely provide a limited reference for the diagnosis and treatment of TEST and lumbar spinal stenosis. The specific application of our data to the guidance of intervertebral foraminal endoscopic surgery needs to be further studied and discussed.</w:t>
      </w:r>
    </w:p>
    <w:p>
      <w:pPr>
        <w:spacing w:line="360" w:lineRule="auto"/>
        <w:jc w:val="both"/>
        <w:rPr>
          <w:b/>
          <w:bCs/>
          <w:szCs w:val="21"/>
        </w:rPr>
      </w:pPr>
    </w:p>
    <w:p>
      <w:pPr>
        <w:spacing w:line="360" w:lineRule="auto"/>
        <w:jc w:val="both"/>
        <w:rPr>
          <w:b/>
          <w:bCs/>
          <w:szCs w:val="21"/>
        </w:rPr>
      </w:pPr>
      <w:r>
        <w:rPr>
          <w:rFonts w:hint="eastAsia"/>
          <w:b/>
          <w:bCs/>
          <w:szCs w:val="21"/>
        </w:rPr>
        <w:t>C</w:t>
      </w:r>
      <w:r>
        <w:rPr>
          <w:b/>
          <w:bCs/>
          <w:szCs w:val="21"/>
        </w:rPr>
        <w:t>onclusion</w:t>
      </w:r>
    </w:p>
    <w:p>
      <w:pPr>
        <w:spacing w:line="360" w:lineRule="auto"/>
        <w:jc w:val="both"/>
        <w:rPr>
          <w:szCs w:val="21"/>
        </w:rPr>
      </w:pPr>
      <w:r>
        <w:rPr>
          <w:bCs/>
        </w:rPr>
        <w:t xml:space="preserve">Parameters of the lower lumbar intervertebral foramen were obtained from 104 normal adults, which supplemented the lumbar intervertebral foramen database. After the age of 60, the morphology of the lower lumbar intervertebral foramen was significantly changed in normal adults, and especially parameters related to the SAP. </w:t>
      </w:r>
      <w:r>
        <w:rPr>
          <w:szCs w:val="21"/>
        </w:rPr>
        <w:t xml:space="preserve">Our data could have clinical application on </w:t>
      </w:r>
      <w:r>
        <w:rPr>
          <w:bCs/>
        </w:rPr>
        <w:t>individualized minimally invasive surgery using TEST</w:t>
      </w:r>
      <w:r>
        <w:rPr>
          <w:szCs w:val="21"/>
        </w:rPr>
        <w:t>.</w:t>
      </w:r>
    </w:p>
    <w:p>
      <w:pPr>
        <w:spacing w:line="360" w:lineRule="auto"/>
        <w:jc w:val="both"/>
        <w:rPr>
          <w:szCs w:val="21"/>
        </w:rPr>
      </w:pPr>
      <w:r>
        <w:rPr>
          <w:szCs w:val="21"/>
        </w:rPr>
        <w:br w:type="page"/>
      </w:r>
    </w:p>
    <w:p>
      <w:pPr>
        <w:spacing w:line="360" w:lineRule="auto"/>
        <w:jc w:val="both"/>
        <w:rPr>
          <w:b/>
          <w:bCs/>
          <w:szCs w:val="21"/>
          <w:lang w:eastAsia="zh-CN"/>
        </w:rPr>
      </w:pPr>
      <w:r>
        <w:rPr>
          <w:rFonts w:hint="eastAsia"/>
          <w:b/>
          <w:bCs/>
          <w:szCs w:val="21"/>
          <w:lang w:eastAsia="zh-CN"/>
        </w:rPr>
        <w:t>R</w:t>
      </w:r>
      <w:r>
        <w:rPr>
          <w:b/>
          <w:bCs/>
          <w:szCs w:val="21"/>
          <w:lang w:eastAsia="zh-CN"/>
        </w:rPr>
        <w:t>eferences</w:t>
      </w:r>
    </w:p>
    <w:p>
      <w:pPr>
        <w:spacing w:line="360" w:lineRule="auto"/>
        <w:jc w:val="both"/>
        <w:rPr>
          <w:szCs w:val="21"/>
        </w:rPr>
      </w:pPr>
      <w:r>
        <w:rPr>
          <w:rFonts w:hint="eastAsia"/>
          <w:szCs w:val="21"/>
        </w:rPr>
        <w:t>[</w:t>
      </w:r>
      <w:r>
        <w:rPr>
          <w:szCs w:val="21"/>
        </w:rPr>
        <w:t>1] Transforaminal Percutaneous Endoscopic Discectomy using Transforaminal Endoscopic Spine System technique: Pitfalls that a beginner should avoid.</w:t>
      </w:r>
    </w:p>
    <w:p>
      <w:pPr>
        <w:spacing w:line="360" w:lineRule="auto"/>
        <w:jc w:val="both"/>
        <w:rPr>
          <w:szCs w:val="21"/>
        </w:rPr>
      </w:pPr>
      <w:r>
        <w:rPr>
          <w:rFonts w:hint="eastAsia"/>
          <w:szCs w:val="21"/>
        </w:rPr>
        <w:t>[</w:t>
      </w:r>
      <w:r>
        <w:rPr>
          <w:szCs w:val="21"/>
        </w:rPr>
        <w:t>2] Telfeian Albert E,Iprenburg Menno,Wagner Ralf. Endoscopic Spine Surgery: Distance Patients Will Travel for Minimally Invasive Spine Surgery.[J]. Pain physician,2017,20(1).</w:t>
      </w:r>
    </w:p>
    <w:p>
      <w:pPr>
        <w:spacing w:line="360" w:lineRule="auto"/>
        <w:jc w:val="both"/>
        <w:rPr>
          <w:szCs w:val="21"/>
        </w:rPr>
      </w:pPr>
      <w:r>
        <w:rPr>
          <w:szCs w:val="21"/>
        </w:rPr>
        <w:t>[3] Choi I , Ahn J O , So W S , et al. Exiting root injury in transforaminal endoscopic discectomy: preoperative image considerations for safety[J]. European Spine Journal, 2013, 22(11):2481-2487.</w:t>
      </w:r>
    </w:p>
    <w:p>
      <w:pPr>
        <w:spacing w:line="360" w:lineRule="auto"/>
        <w:jc w:val="both"/>
        <w:rPr>
          <w:szCs w:val="21"/>
        </w:rPr>
      </w:pPr>
      <w:r>
        <w:rPr>
          <w:szCs w:val="21"/>
        </w:rPr>
        <w:t>[4] Tsou P M, Yeung A T. Transforaminal endoscopic decompression for radiculopathy secondary to intracanal noncontained lumbar disc herniations: outcome and technique[J]. Spine Journal, 2002, 2(1):41-48.</w:t>
      </w:r>
    </w:p>
    <w:p>
      <w:pPr>
        <w:spacing w:line="360" w:lineRule="auto"/>
        <w:jc w:val="both"/>
        <w:rPr>
          <w:szCs w:val="21"/>
        </w:rPr>
      </w:pPr>
      <w:r>
        <w:rPr>
          <w:szCs w:val="21"/>
        </w:rPr>
        <w:t>[5] Ruetten S . Full-endoscopic interlaminar and transforaminal lumbar discectomy versus conventional microsurgical technique. A prospective, randomized, controlled study[J]. Spine, 2008, 33.</w:t>
      </w:r>
    </w:p>
    <w:p>
      <w:pPr>
        <w:spacing w:line="360" w:lineRule="auto"/>
        <w:jc w:val="both"/>
        <w:rPr>
          <w:szCs w:val="21"/>
        </w:rPr>
      </w:pPr>
      <w:r>
        <w:rPr>
          <w:szCs w:val="21"/>
        </w:rPr>
        <w:t>[6] Yeung A T, Tsou P M . Posterolateral Endoscopic Excision for Lumbar Disc Herniation[J]. Spine, 2002, 27(7):722-731.</w:t>
      </w:r>
    </w:p>
    <w:p>
      <w:pPr>
        <w:spacing w:line="360" w:lineRule="auto"/>
        <w:jc w:val="both"/>
        <w:rPr>
          <w:szCs w:val="21"/>
        </w:rPr>
      </w:pPr>
      <w:r>
        <w:rPr>
          <w:szCs w:val="21"/>
        </w:rPr>
        <w:t>[7] Min J H, Kang S J, Cho T H, et al. Morphometric analysis of the working zone for endoscopic lumbar discectomy.[J]. Journal of Spinal Disorders &amp; Techniques, 2005, 18(2):132-135.</w:t>
      </w:r>
    </w:p>
    <w:p>
      <w:pPr>
        <w:spacing w:line="360" w:lineRule="auto"/>
        <w:jc w:val="both"/>
        <w:rPr>
          <w:szCs w:val="21"/>
        </w:rPr>
      </w:pPr>
      <w:r>
        <w:rPr>
          <w:szCs w:val="21"/>
        </w:rPr>
        <w:t>[8] Mirkovic S R, Schwartz D G , Glazier K D . Anatomic Considerations in Lumbar Posterolateral Percutaneous Procedures[J]. Spine, 1995, 20(18):1965-1971.</w:t>
      </w:r>
    </w:p>
    <w:p>
      <w:pPr>
        <w:spacing w:line="360" w:lineRule="auto"/>
        <w:jc w:val="both"/>
        <w:rPr>
          <w:szCs w:val="21"/>
        </w:rPr>
      </w:pPr>
      <w:r>
        <w:rPr>
          <w:szCs w:val="21"/>
        </w:rPr>
        <w:t>[9] Epstein B S, Epstein J A , Lavine L . The effect of anatomic variations in the lumbar vertebrae and spinal canal on cauda equina nerve root syndromes[J]. The American journal of roentgenology, radium therapy, and nuclear medicine, 1964, 91:1055-1063.</w:t>
      </w:r>
    </w:p>
    <w:p>
      <w:pPr>
        <w:spacing w:line="360" w:lineRule="auto"/>
        <w:jc w:val="both"/>
        <w:rPr>
          <w:szCs w:val="21"/>
        </w:rPr>
      </w:pPr>
      <w:r>
        <w:rPr>
          <w:szCs w:val="21"/>
        </w:rPr>
        <w:t>[10] Giles L G. A histological investigation of human lower lumbar intervertebral canal (foramen) dimensions[J]. J Manipulative Physiol Ther, 1994, 17(1):4-14.</w:t>
      </w:r>
    </w:p>
    <w:p>
      <w:pPr>
        <w:spacing w:line="360" w:lineRule="auto"/>
        <w:jc w:val="both"/>
        <w:rPr>
          <w:szCs w:val="21"/>
        </w:rPr>
      </w:pPr>
      <w:r>
        <w:rPr>
          <w:szCs w:val="21"/>
        </w:rPr>
        <w:t>[11] Torun F , Dolgun H , Tuna H , et al. Morphometric analysis of the roots and neural foramina of the lumbar vertebrae[J]. Surgical Neurology, 2006, 66(2):0-151.</w:t>
      </w:r>
    </w:p>
    <w:p>
      <w:pPr>
        <w:spacing w:line="360" w:lineRule="auto"/>
        <w:jc w:val="both"/>
        <w:rPr>
          <w:szCs w:val="21"/>
        </w:rPr>
      </w:pPr>
      <w:r>
        <w:rPr>
          <w:rFonts w:hint="eastAsia"/>
          <w:szCs w:val="21"/>
        </w:rPr>
        <w:t>[</w:t>
      </w:r>
      <w:r>
        <w:rPr>
          <w:szCs w:val="21"/>
        </w:rPr>
        <w:t>12] Choi G, Pophale C S, Patel B, et al. Endoscopic spine surgery[J]. Journal of Korean Neurosurgical Society, 2017, 60(5): 485.</w:t>
      </w:r>
    </w:p>
    <w:p>
      <w:pPr>
        <w:spacing w:line="360" w:lineRule="auto"/>
        <w:jc w:val="both"/>
        <w:rPr>
          <w:szCs w:val="21"/>
        </w:rPr>
      </w:pPr>
      <w:r>
        <w:rPr>
          <w:szCs w:val="21"/>
        </w:rPr>
        <w:t>[13]Bulyshchenko G G, Gaivoronskii A I , Gaivoronskii I V . Morphoscopic and Morphometric Characteristics of Intervertebral Foramina in the Lumbar Segment of the Spine[J]. Neuroscience and Behavioral Physiology, 2018.</w:t>
      </w:r>
    </w:p>
    <w:p>
      <w:pPr>
        <w:spacing w:line="360" w:lineRule="auto"/>
        <w:jc w:val="both"/>
        <w:rPr>
          <w:szCs w:val="21"/>
        </w:rPr>
      </w:pPr>
      <w:r>
        <w:rPr>
          <w:szCs w:val="21"/>
        </w:rPr>
        <w:t xml:space="preserve">[14] Revel M, Mayoux-Benhamou MA, Aaron C, Amor B. Variations destrous deconjugaison lombaires lors de la flflexion-extensionet de l’affaisement discal. Rev Rhum 1988;55:361—6. </w:t>
      </w:r>
    </w:p>
    <w:p>
      <w:pPr>
        <w:spacing w:line="360" w:lineRule="auto"/>
        <w:jc w:val="both"/>
        <w:rPr>
          <w:szCs w:val="21"/>
        </w:rPr>
      </w:pPr>
      <w:r>
        <w:rPr>
          <w:szCs w:val="21"/>
        </w:rPr>
        <w:t>[15] Punjabi M M , Takata K , Goel V K . Kinematics of Lumbar Intervertebral Foramen[J]. Spine, 1983, 8(4):348-357.</w:t>
      </w:r>
    </w:p>
    <w:p>
      <w:pPr>
        <w:spacing w:line="360" w:lineRule="auto"/>
        <w:jc w:val="both"/>
        <w:rPr>
          <w:szCs w:val="21"/>
        </w:rPr>
      </w:pPr>
      <w:r>
        <w:rPr>
          <w:szCs w:val="21"/>
        </w:rPr>
        <w:t>[16] Inufusa A , An H S , Lim T H , et al. Anatomic Changes of the Spinal Canal and Intervertebral Foramen Associated With Flexion-Extension Movement[J]. Spine, 1996, 21(21):2412-2420.</w:t>
      </w:r>
    </w:p>
    <w:p>
      <w:pPr>
        <w:spacing w:line="360" w:lineRule="auto"/>
        <w:jc w:val="both"/>
        <w:rPr>
          <w:szCs w:val="21"/>
        </w:rPr>
      </w:pPr>
      <w:r>
        <w:rPr>
          <w:szCs w:val="21"/>
        </w:rPr>
        <w:t>[17] Imran J B , Madni T D , Pruitt J H , et al. Can CT imaging of the chest, abdomen, and pelvis identify all vertebral injuries of the thoracolumbar spine without dedicated reformatting?[J]. The American Journal of Surgery, 2017:S0002961017309236.</w:t>
      </w:r>
    </w:p>
    <w:p>
      <w:pPr>
        <w:spacing w:line="360" w:lineRule="auto"/>
        <w:jc w:val="both"/>
        <w:rPr>
          <w:szCs w:val="21"/>
        </w:rPr>
      </w:pPr>
      <w:r>
        <w:rPr>
          <w:szCs w:val="21"/>
        </w:rPr>
        <w:t>[18]Min J H, Kang S J, Cho T H, et al. Morphometric analysis of the working zone for endoscopic lumbar discectomy.[J]. Journal of Spinal Disorders &amp; Techniques, 2005, 18(2):132-135.</w:t>
      </w:r>
    </w:p>
    <w:p>
      <w:pPr>
        <w:spacing w:line="360" w:lineRule="auto"/>
        <w:jc w:val="both"/>
        <w:rPr>
          <w:szCs w:val="21"/>
        </w:rPr>
      </w:pPr>
      <w:r>
        <w:rPr>
          <w:szCs w:val="21"/>
        </w:rPr>
        <w:t>[19]Mirkovic S R , Schwartz D G , Glazier K D . Anatomic Considerations in Lumbar Posterolateral Percutaneous Procedures[J]. Spine, 1995, 20(18):1965-1971.</w:t>
      </w:r>
    </w:p>
    <w:p>
      <w:pPr>
        <w:spacing w:line="360" w:lineRule="auto"/>
        <w:jc w:val="both"/>
        <w:rPr>
          <w:szCs w:val="21"/>
        </w:rPr>
      </w:pPr>
      <w:r>
        <w:rPr>
          <w:szCs w:val="21"/>
        </w:rPr>
        <w:t>[20]Epstein B S , Epstein J A , Lavine L . The effect of anatomic variations in the lumbar vertebrae and spinal canal on cauda equina nerve root syndromes[J]. The American journal of roentgenology, radium therapy, and nuclear medicine, 1964, 91:1055-1063.</w:t>
      </w:r>
    </w:p>
    <w:p>
      <w:pPr>
        <w:spacing w:line="360" w:lineRule="auto"/>
        <w:jc w:val="both"/>
        <w:rPr>
          <w:szCs w:val="21"/>
        </w:rPr>
      </w:pPr>
      <w:r>
        <w:rPr>
          <w:szCs w:val="21"/>
        </w:rPr>
        <w:t>[21]Giles L G . A histological investigation of human lower lumbar intervertebral canal (foramen) dimensions[J]. J Manipulative Physiol Ther, 1994, 17(1):4-14.</w:t>
      </w:r>
    </w:p>
    <w:p>
      <w:pPr>
        <w:spacing w:line="360" w:lineRule="auto"/>
        <w:jc w:val="both"/>
        <w:rPr>
          <w:szCs w:val="21"/>
        </w:rPr>
      </w:pPr>
      <w:r>
        <w:rPr>
          <w:szCs w:val="21"/>
        </w:rPr>
        <w:t>[22]Torun F , Dolgun H , Tuna H , et al. Morphometric analysis of the roots and neural foramina of the lumbar vertebrae[J]. Surgical Neurology, 2006, 66(2):0-151.</w:t>
      </w:r>
    </w:p>
    <w:p>
      <w:pPr>
        <w:spacing w:line="360" w:lineRule="auto"/>
        <w:jc w:val="both"/>
        <w:rPr>
          <w:szCs w:val="21"/>
        </w:rPr>
      </w:pPr>
      <w:r>
        <w:rPr>
          <w:rFonts w:hint="eastAsia"/>
          <w:szCs w:val="21"/>
        </w:rPr>
        <w:t>[</w:t>
      </w:r>
      <w:r>
        <w:rPr>
          <w:szCs w:val="21"/>
        </w:rPr>
        <w:t>23]</w:t>
      </w:r>
      <w:r>
        <w:t xml:space="preserve"> </w:t>
      </w:r>
      <w:r>
        <w:rPr>
          <w:szCs w:val="21"/>
        </w:rPr>
        <w:t>Julius Wolff. Das Gesetz der Transformation der Knochen[J]. Dtsch med Wochenschr,1893,19(47).</w:t>
      </w:r>
    </w:p>
    <w:p>
      <w:pPr>
        <w:spacing w:line="360" w:lineRule="auto"/>
        <w:jc w:val="both"/>
        <w:rPr>
          <w:szCs w:val="21"/>
        </w:rPr>
      </w:pPr>
      <w:r>
        <w:rPr>
          <w:rFonts w:hint="eastAsia"/>
          <w:szCs w:val="21"/>
        </w:rPr>
        <w:t>[</w:t>
      </w:r>
      <w:r>
        <w:rPr>
          <w:szCs w:val="21"/>
        </w:rPr>
        <w:t>24]</w:t>
      </w:r>
      <w:r>
        <w:t xml:space="preserve"> </w:t>
      </w:r>
      <w:r>
        <w:rPr>
          <w:szCs w:val="21"/>
        </w:rPr>
        <w:t>Adams M A , Hutton W C . The effect of posture on the role of the apophysial joints in resisting intervertebral compressive forces[J]. The Journal of Bone and Joint Surgery. British volume, 1980, 62-B(3):358-362.</w:t>
      </w:r>
    </w:p>
    <w:p>
      <w:pPr>
        <w:spacing w:line="360" w:lineRule="auto"/>
        <w:jc w:val="both"/>
        <w:rPr>
          <w:szCs w:val="21"/>
        </w:rPr>
      </w:pPr>
      <w:r>
        <w:rPr>
          <w:rFonts w:hint="eastAsia"/>
          <w:szCs w:val="21"/>
        </w:rPr>
        <w:t>[</w:t>
      </w:r>
      <w:r>
        <w:rPr>
          <w:szCs w:val="21"/>
        </w:rPr>
        <w:t>25]</w:t>
      </w:r>
      <w:r>
        <w:t xml:space="preserve"> </w:t>
      </w:r>
      <w:r>
        <w:rPr>
          <w:szCs w:val="21"/>
        </w:rPr>
        <w:t>Gkasdaris G, Tripsianis G, Kotopoulos K, et al. Clinical anatomy and significance of the thoracic intervertebral foramen: A cadaveric study and review of the literature[J]. Journal of craniovertebral junction &amp; spine, 2016, 7(4): 228.</w:t>
      </w:r>
    </w:p>
    <w:p>
      <w:pPr>
        <w:spacing w:line="360" w:lineRule="auto"/>
        <w:jc w:val="both"/>
        <w:rPr>
          <w:szCs w:val="21"/>
        </w:rPr>
      </w:pPr>
      <w:r>
        <w:rPr>
          <w:szCs w:val="21"/>
        </w:rPr>
        <w:t>[26]GKASDARIS G, HOURMOUZI D, CHANIOTAKIS C, et al. CT Assessment of the in vivo Osseous Lumbar Intervertebral Foramen: a Radiologic Study with Clinical Applications[J]. Maedica, 2018, 13(4): 294.</w:t>
      </w:r>
    </w:p>
    <w:p>
      <w:pPr>
        <w:spacing w:line="360" w:lineRule="auto"/>
        <w:jc w:val="both"/>
        <w:rPr>
          <w:szCs w:val="21"/>
        </w:rPr>
      </w:pPr>
      <w:r>
        <w:rPr>
          <w:rFonts w:hint="eastAsia"/>
          <w:szCs w:val="21"/>
        </w:rPr>
        <w:t>[</w:t>
      </w:r>
      <w:r>
        <w:rPr>
          <w:szCs w:val="21"/>
        </w:rPr>
        <w:t>27]</w:t>
      </w:r>
      <w:r>
        <w:t xml:space="preserve"> </w:t>
      </w:r>
      <w:r>
        <w:rPr>
          <w:szCs w:val="21"/>
        </w:rPr>
        <w:t>Hasue M, Kunogi J, Konno S, et al. Classification by position of dorsal root ganglia in the lumbosacral region[J]. Spine, 1989, 14(11): 1261-1264.</w:t>
      </w:r>
    </w:p>
    <w:p>
      <w:pPr>
        <w:spacing w:line="360" w:lineRule="auto"/>
        <w:jc w:val="both"/>
        <w:rPr>
          <w:szCs w:val="21"/>
        </w:rPr>
      </w:pPr>
      <w:r>
        <w:rPr>
          <w:szCs w:val="21"/>
        </w:rPr>
        <w:t>[</w:t>
      </w:r>
      <w:r>
        <w:rPr>
          <w:rFonts w:hint="eastAsia"/>
          <w:szCs w:val="21"/>
        </w:rPr>
        <w:t>2</w:t>
      </w:r>
      <w:r>
        <w:rPr>
          <w:szCs w:val="21"/>
        </w:rPr>
        <w:t>8]</w:t>
      </w:r>
      <w:r>
        <w:t xml:space="preserve"> </w:t>
      </w:r>
      <w:r>
        <w:rPr>
          <w:szCs w:val="21"/>
        </w:rPr>
        <w:t>Kikuchi S, Hasue M, Nishiyama K, et al. Anatomic and clinical studies of radicular symptoms[J]. Spine, 1984, 9(1): 23-30.</w:t>
      </w:r>
    </w:p>
    <w:p>
      <w:pPr>
        <w:spacing w:line="360" w:lineRule="auto"/>
        <w:jc w:val="both"/>
        <w:rPr>
          <w:szCs w:val="21"/>
        </w:rPr>
      </w:pPr>
    </w:p>
    <w:p>
      <w:pPr>
        <w:spacing w:line="360" w:lineRule="auto"/>
        <w:jc w:val="both"/>
        <w:rPr>
          <w:szCs w:val="21"/>
        </w:rPr>
      </w:pPr>
    </w:p>
    <w:p>
      <w:pPr>
        <w:spacing w:line="360" w:lineRule="auto"/>
        <w:jc w:val="both"/>
        <w:rPr>
          <w:b/>
          <w:bCs/>
          <w:szCs w:val="21"/>
          <w:lang w:eastAsia="zh-CN"/>
        </w:rPr>
      </w:pPr>
    </w:p>
    <w:p>
      <w:pPr>
        <w:spacing w:line="360" w:lineRule="auto"/>
        <w:jc w:val="both"/>
        <w:rPr>
          <w:b/>
          <w:bCs/>
          <w:szCs w:val="21"/>
          <w:lang w:eastAsia="zh-CN"/>
        </w:rPr>
      </w:pPr>
      <w:r>
        <w:rPr>
          <w:rFonts w:hint="eastAsia"/>
          <w:b/>
          <w:bCs/>
          <w:szCs w:val="21"/>
          <w:lang w:eastAsia="zh-CN"/>
        </w:rPr>
        <w:t>T</w:t>
      </w:r>
      <w:r>
        <w:rPr>
          <w:b/>
          <w:bCs/>
          <w:szCs w:val="21"/>
          <w:lang w:eastAsia="zh-CN"/>
        </w:rPr>
        <w:t>ables</w:t>
      </w:r>
    </w:p>
    <w:p>
      <w:pPr>
        <w:spacing w:line="360" w:lineRule="auto"/>
        <w:jc w:val="both"/>
        <w:rPr>
          <w:szCs w:val="21"/>
        </w:rPr>
      </w:pPr>
      <w:bookmarkStart w:id="26" w:name="_Hlk28811215"/>
      <w:r>
        <w:rPr>
          <w:rFonts w:hint="eastAsia"/>
          <w:szCs w:val="21"/>
        </w:rPr>
        <w:t>T</w:t>
      </w:r>
      <w:r>
        <w:rPr>
          <w:szCs w:val="21"/>
        </w:rPr>
        <w:t>able 1 X-ray measurement results of intervertebral foramen in normal adults of different genders (x ± s, mm)</w:t>
      </w:r>
    </w:p>
    <w:bookmarkEnd w:id="26"/>
    <w:tbl>
      <w:tblPr>
        <w:tblStyle w:val="16"/>
        <w:tblW w:w="8522"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Borders>
              <w:bottom w:val="single" w:color="auto" w:sz="6" w:space="0"/>
            </w:tcBorders>
          </w:tcPr>
          <w:p>
            <w:pPr>
              <w:spacing w:line="360" w:lineRule="auto"/>
              <w:jc w:val="both"/>
              <w:rPr>
                <w:rFonts w:eastAsia="宋体"/>
                <w:b/>
                <w:bCs/>
                <w:szCs w:val="21"/>
              </w:rPr>
            </w:pPr>
            <w:r>
              <w:rPr>
                <w:rFonts w:eastAsia="宋体"/>
                <w:szCs w:val="21"/>
              </w:rPr>
              <w:t>Parameters</w:t>
            </w:r>
          </w:p>
        </w:tc>
        <w:tc>
          <w:tcPr>
            <w:tcW w:w="2130" w:type="dxa"/>
            <w:tcBorders>
              <w:bottom w:val="single" w:color="auto" w:sz="6" w:space="0"/>
            </w:tcBorders>
          </w:tcPr>
          <w:p>
            <w:pPr>
              <w:spacing w:line="360" w:lineRule="auto"/>
              <w:jc w:val="both"/>
              <w:rPr>
                <w:rFonts w:eastAsia="宋体"/>
                <w:b/>
                <w:bCs/>
                <w:szCs w:val="21"/>
              </w:rPr>
            </w:pPr>
            <w:r>
              <w:rPr>
                <w:rFonts w:eastAsia="宋体"/>
                <w:szCs w:val="21"/>
              </w:rPr>
              <w:t>Male</w:t>
            </w:r>
          </w:p>
        </w:tc>
        <w:tc>
          <w:tcPr>
            <w:tcW w:w="2131" w:type="dxa"/>
            <w:tcBorders>
              <w:bottom w:val="single" w:color="auto" w:sz="6" w:space="0"/>
            </w:tcBorders>
          </w:tcPr>
          <w:p>
            <w:pPr>
              <w:spacing w:line="360" w:lineRule="auto"/>
              <w:ind w:right="415"/>
              <w:jc w:val="both"/>
              <w:rPr>
                <w:rFonts w:eastAsia="宋体"/>
                <w:b/>
                <w:bCs/>
                <w:szCs w:val="21"/>
              </w:rPr>
            </w:pPr>
            <w:r>
              <w:rPr>
                <w:rFonts w:eastAsia="宋体"/>
                <w:szCs w:val="21"/>
              </w:rPr>
              <w:t>Female</w:t>
            </w:r>
          </w:p>
        </w:tc>
        <w:tc>
          <w:tcPr>
            <w:tcW w:w="2131" w:type="dxa"/>
            <w:tcBorders>
              <w:bottom w:val="single" w:color="auto" w:sz="6" w:space="0"/>
            </w:tcBorders>
          </w:tcPr>
          <w:p>
            <w:pPr>
              <w:spacing w:line="360" w:lineRule="auto"/>
              <w:jc w:val="both"/>
              <w:rPr>
                <w:rFonts w:eastAsia="宋体"/>
                <w:b/>
                <w:bCs/>
                <w:szCs w:val="21"/>
              </w:rPr>
            </w:pPr>
            <w:r>
              <w:rPr>
                <w:rFonts w:eastAsia="宋体"/>
                <w:szCs w:val="21"/>
              </w:rPr>
              <w:t>Total</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130" w:type="dxa"/>
            <w:tcBorders>
              <w:top w:val="single" w:color="auto" w:sz="6" w:space="0"/>
            </w:tcBorders>
          </w:tcPr>
          <w:p>
            <w:pPr>
              <w:spacing w:line="360" w:lineRule="auto"/>
              <w:jc w:val="both"/>
              <w:rPr>
                <w:rFonts w:eastAsia="宋体"/>
                <w:b/>
                <w:bCs/>
                <w:szCs w:val="21"/>
              </w:rPr>
            </w:pPr>
            <w:r>
              <w:rPr>
                <w:rFonts w:hint="eastAsia" w:eastAsia="宋体"/>
                <w:szCs w:val="21"/>
              </w:rPr>
              <w:t>a</w:t>
            </w:r>
            <w:r>
              <w:rPr>
                <w:rFonts w:eastAsia="宋体"/>
                <w:szCs w:val="21"/>
              </w:rPr>
              <w:t>ge</w:t>
            </w:r>
          </w:p>
        </w:tc>
        <w:tc>
          <w:tcPr>
            <w:tcW w:w="2130" w:type="dxa"/>
            <w:tcBorders>
              <w:top w:val="single" w:color="auto" w:sz="6" w:space="0"/>
            </w:tcBorders>
          </w:tcPr>
          <w:p>
            <w:pPr>
              <w:spacing w:line="360" w:lineRule="auto"/>
              <w:jc w:val="both"/>
              <w:rPr>
                <w:rFonts w:eastAsia="宋体"/>
                <w:b/>
                <w:bCs/>
                <w:szCs w:val="21"/>
                <w:lang w:eastAsia="en-US"/>
              </w:rPr>
            </w:pPr>
            <w:r>
              <w:rPr>
                <w:szCs w:val="21"/>
              </w:rPr>
              <w:t>50.65</w:t>
            </w:r>
            <w:r>
              <w:rPr>
                <w:rFonts w:eastAsia="宋体"/>
                <w:szCs w:val="21"/>
              </w:rPr>
              <w:t>±</w:t>
            </w:r>
            <w:r>
              <w:rPr>
                <w:szCs w:val="21"/>
              </w:rPr>
              <w:t>14.52</w:t>
            </w:r>
          </w:p>
        </w:tc>
        <w:tc>
          <w:tcPr>
            <w:tcW w:w="2131" w:type="dxa"/>
            <w:tcBorders>
              <w:top w:val="single" w:color="auto" w:sz="6" w:space="0"/>
            </w:tcBorders>
          </w:tcPr>
          <w:p>
            <w:pPr>
              <w:spacing w:line="360" w:lineRule="auto"/>
              <w:jc w:val="both"/>
              <w:rPr>
                <w:rFonts w:eastAsia="宋体"/>
                <w:szCs w:val="21"/>
              </w:rPr>
            </w:pPr>
            <w:r>
              <w:rPr>
                <w:szCs w:val="21"/>
              </w:rPr>
              <w:t>49.63</w:t>
            </w:r>
            <w:r>
              <w:rPr>
                <w:rFonts w:eastAsia="宋体"/>
                <w:szCs w:val="21"/>
              </w:rPr>
              <w:t>±</w:t>
            </w:r>
            <w:r>
              <w:rPr>
                <w:szCs w:val="21"/>
              </w:rPr>
              <w:t>18.04</w:t>
            </w:r>
          </w:p>
        </w:tc>
        <w:tc>
          <w:tcPr>
            <w:tcW w:w="2131" w:type="dxa"/>
            <w:tcBorders>
              <w:top w:val="single" w:color="auto" w:sz="6" w:space="0"/>
            </w:tcBorders>
          </w:tcPr>
          <w:p>
            <w:pPr>
              <w:spacing w:line="360" w:lineRule="auto"/>
              <w:jc w:val="both"/>
              <w:rPr>
                <w:rFonts w:eastAsia="宋体"/>
                <w:szCs w:val="21"/>
              </w:rPr>
            </w:pPr>
            <w:r>
              <w:rPr>
                <w:szCs w:val="21"/>
              </w:rPr>
              <w:t>50.14±16.30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b/>
                <w:bCs/>
                <w:szCs w:val="21"/>
              </w:rPr>
            </w:pPr>
            <w:r>
              <w:rPr>
                <w:szCs w:val="21"/>
              </w:rPr>
              <w:t xml:space="preserve">L3-L4 </w:t>
            </w:r>
            <w:r>
              <w:rPr>
                <w:rFonts w:eastAsia="宋体"/>
                <w:szCs w:val="21"/>
              </w:rPr>
              <w:t>a</w:t>
            </w:r>
          </w:p>
        </w:tc>
        <w:tc>
          <w:tcPr>
            <w:tcW w:w="2130" w:type="dxa"/>
          </w:tcPr>
          <w:p>
            <w:pPr>
              <w:spacing w:line="360" w:lineRule="auto"/>
              <w:jc w:val="both"/>
              <w:rPr>
                <w:rFonts w:eastAsia="宋体"/>
                <w:b/>
                <w:bCs/>
                <w:szCs w:val="21"/>
                <w:lang w:eastAsia="en-US"/>
              </w:rPr>
            </w:pPr>
            <w:r>
              <w:rPr>
                <w:szCs w:val="21"/>
              </w:rPr>
              <w:t>21.99</w:t>
            </w:r>
            <w:r>
              <w:rPr>
                <w:rFonts w:eastAsia="宋体"/>
                <w:szCs w:val="21"/>
              </w:rPr>
              <w:t>±</w:t>
            </w:r>
            <w:r>
              <w:rPr>
                <w:szCs w:val="21"/>
              </w:rPr>
              <w:t>2.58</w:t>
            </w:r>
          </w:p>
        </w:tc>
        <w:tc>
          <w:tcPr>
            <w:tcW w:w="2131" w:type="dxa"/>
          </w:tcPr>
          <w:p>
            <w:pPr>
              <w:spacing w:line="360" w:lineRule="auto"/>
              <w:jc w:val="both"/>
              <w:rPr>
                <w:rFonts w:eastAsia="宋体"/>
                <w:szCs w:val="21"/>
              </w:rPr>
            </w:pPr>
            <w:r>
              <w:rPr>
                <w:szCs w:val="21"/>
              </w:rPr>
              <w:t>22.51</w:t>
            </w:r>
            <w:r>
              <w:rPr>
                <w:rFonts w:eastAsia="宋体"/>
                <w:szCs w:val="21"/>
              </w:rPr>
              <w:t>±</w:t>
            </w:r>
            <w:r>
              <w:rPr>
                <w:szCs w:val="21"/>
              </w:rPr>
              <w:t>2.52</w:t>
            </w:r>
          </w:p>
        </w:tc>
        <w:tc>
          <w:tcPr>
            <w:tcW w:w="2131" w:type="dxa"/>
          </w:tcPr>
          <w:p>
            <w:pPr>
              <w:spacing w:line="360" w:lineRule="auto"/>
              <w:jc w:val="both"/>
              <w:rPr>
                <w:rFonts w:eastAsia="宋体"/>
                <w:szCs w:val="21"/>
              </w:rPr>
            </w:pPr>
            <w:r>
              <w:rPr>
                <w:szCs w:val="21"/>
              </w:rPr>
              <w:t>22.25</w:t>
            </w:r>
            <w:r>
              <w:rPr>
                <w:rFonts w:eastAsia="宋体"/>
                <w:szCs w:val="21"/>
              </w:rPr>
              <w:t>±</w:t>
            </w:r>
            <w:r>
              <w:rPr>
                <w:szCs w:val="21"/>
              </w:rPr>
              <w:t>2.55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b/>
                <w:bCs/>
                <w:szCs w:val="21"/>
              </w:rPr>
            </w:pPr>
            <w:r>
              <w:rPr>
                <w:szCs w:val="21"/>
              </w:rPr>
              <w:t xml:space="preserve">L3-L4 </w:t>
            </w:r>
            <w:r>
              <w:rPr>
                <w:rFonts w:eastAsia="宋体"/>
                <w:szCs w:val="21"/>
              </w:rPr>
              <w:t>b</w:t>
            </w:r>
          </w:p>
        </w:tc>
        <w:tc>
          <w:tcPr>
            <w:tcW w:w="2130" w:type="dxa"/>
          </w:tcPr>
          <w:p>
            <w:pPr>
              <w:spacing w:line="360" w:lineRule="auto"/>
              <w:jc w:val="both"/>
              <w:rPr>
                <w:rFonts w:eastAsia="宋体"/>
                <w:b/>
                <w:bCs/>
                <w:szCs w:val="21"/>
                <w:lang w:eastAsia="en-US"/>
              </w:rPr>
            </w:pPr>
            <w:r>
              <w:rPr>
                <w:szCs w:val="21"/>
              </w:rPr>
              <w:t>10.06</w:t>
            </w:r>
            <w:r>
              <w:rPr>
                <w:rFonts w:eastAsia="宋体"/>
                <w:szCs w:val="21"/>
              </w:rPr>
              <w:t>±</w:t>
            </w:r>
            <w:r>
              <w:rPr>
                <w:szCs w:val="21"/>
              </w:rPr>
              <w:t>2.00</w:t>
            </w:r>
          </w:p>
        </w:tc>
        <w:tc>
          <w:tcPr>
            <w:tcW w:w="2131" w:type="dxa"/>
          </w:tcPr>
          <w:p>
            <w:pPr>
              <w:spacing w:line="360" w:lineRule="auto"/>
              <w:jc w:val="both"/>
              <w:rPr>
                <w:rFonts w:eastAsia="宋体"/>
                <w:szCs w:val="21"/>
              </w:rPr>
            </w:pPr>
            <w:r>
              <w:rPr>
                <w:szCs w:val="21"/>
              </w:rPr>
              <w:t>9.51</w:t>
            </w:r>
            <w:r>
              <w:rPr>
                <w:rFonts w:eastAsia="宋体"/>
                <w:szCs w:val="21"/>
              </w:rPr>
              <w:t>±</w:t>
            </w:r>
            <w:r>
              <w:rPr>
                <w:szCs w:val="21"/>
              </w:rPr>
              <w:t>2.09</w:t>
            </w:r>
          </w:p>
        </w:tc>
        <w:tc>
          <w:tcPr>
            <w:tcW w:w="2131" w:type="dxa"/>
          </w:tcPr>
          <w:p>
            <w:pPr>
              <w:spacing w:line="360" w:lineRule="auto"/>
              <w:jc w:val="both"/>
              <w:rPr>
                <w:rFonts w:eastAsia="宋体"/>
                <w:szCs w:val="21"/>
              </w:rPr>
            </w:pPr>
            <w:r>
              <w:rPr>
                <w:szCs w:val="21"/>
              </w:rPr>
              <w:t>9.78</w:t>
            </w:r>
            <w:r>
              <w:rPr>
                <w:rFonts w:eastAsia="宋体"/>
                <w:szCs w:val="21"/>
              </w:rPr>
              <w:t>±</w:t>
            </w:r>
            <w:r>
              <w:rPr>
                <w:szCs w:val="21"/>
              </w:rPr>
              <w:t>2.06</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b/>
                <w:bCs/>
                <w:szCs w:val="21"/>
              </w:rPr>
            </w:pPr>
            <w:r>
              <w:rPr>
                <w:szCs w:val="21"/>
              </w:rPr>
              <w:t xml:space="preserve">L3-L4 </w:t>
            </w:r>
            <w:r>
              <w:rPr>
                <w:rFonts w:eastAsia="宋体"/>
                <w:szCs w:val="21"/>
              </w:rPr>
              <w:t>c</w:t>
            </w:r>
          </w:p>
        </w:tc>
        <w:tc>
          <w:tcPr>
            <w:tcW w:w="2130" w:type="dxa"/>
          </w:tcPr>
          <w:p>
            <w:pPr>
              <w:spacing w:line="360" w:lineRule="auto"/>
              <w:jc w:val="both"/>
              <w:rPr>
                <w:rFonts w:eastAsia="宋体"/>
                <w:b/>
                <w:bCs/>
                <w:szCs w:val="21"/>
                <w:lang w:eastAsia="en-US"/>
              </w:rPr>
            </w:pPr>
            <w:r>
              <w:rPr>
                <w:szCs w:val="21"/>
              </w:rPr>
              <w:t>10.81</w:t>
            </w:r>
            <w:r>
              <w:rPr>
                <w:rFonts w:eastAsia="宋体"/>
                <w:szCs w:val="21"/>
              </w:rPr>
              <w:t>±1.</w:t>
            </w:r>
            <w:r>
              <w:rPr>
                <w:szCs w:val="21"/>
              </w:rPr>
              <w:t>62</w:t>
            </w:r>
          </w:p>
        </w:tc>
        <w:tc>
          <w:tcPr>
            <w:tcW w:w="2131" w:type="dxa"/>
          </w:tcPr>
          <w:p>
            <w:pPr>
              <w:spacing w:line="360" w:lineRule="auto"/>
              <w:jc w:val="both"/>
              <w:rPr>
                <w:rFonts w:eastAsia="宋体"/>
                <w:szCs w:val="21"/>
              </w:rPr>
            </w:pPr>
            <w:r>
              <w:rPr>
                <w:rFonts w:eastAsia="宋体"/>
                <w:szCs w:val="21"/>
              </w:rPr>
              <w:t xml:space="preserve"> </w:t>
            </w:r>
            <w:r>
              <w:rPr>
                <w:szCs w:val="21"/>
              </w:rPr>
              <w:t>10.61</w:t>
            </w:r>
            <w:r>
              <w:rPr>
                <w:rFonts w:eastAsia="宋体"/>
                <w:szCs w:val="21"/>
              </w:rPr>
              <w:t>±1.7</w:t>
            </w:r>
            <w:r>
              <w:rPr>
                <w:szCs w:val="21"/>
              </w:rPr>
              <w:t>8</w:t>
            </w:r>
          </w:p>
        </w:tc>
        <w:tc>
          <w:tcPr>
            <w:tcW w:w="2131" w:type="dxa"/>
          </w:tcPr>
          <w:p>
            <w:pPr>
              <w:spacing w:line="360" w:lineRule="auto"/>
              <w:jc w:val="both"/>
              <w:rPr>
                <w:rFonts w:eastAsia="宋体"/>
                <w:szCs w:val="21"/>
              </w:rPr>
            </w:pPr>
            <w:r>
              <w:rPr>
                <w:szCs w:val="21"/>
              </w:rPr>
              <w:t>10.71</w:t>
            </w:r>
            <w:r>
              <w:rPr>
                <w:rFonts w:eastAsia="宋体"/>
                <w:szCs w:val="21"/>
              </w:rPr>
              <w:t>±1.</w:t>
            </w:r>
            <w:r>
              <w:rPr>
                <w:szCs w:val="21"/>
              </w:rPr>
              <w:t>70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b/>
                <w:bCs/>
                <w:szCs w:val="21"/>
              </w:rPr>
            </w:pPr>
            <w:r>
              <w:rPr>
                <w:szCs w:val="21"/>
              </w:rPr>
              <w:t xml:space="preserve">L3-L4 </w:t>
            </w:r>
            <w:r>
              <w:rPr>
                <w:rFonts w:eastAsia="宋体"/>
                <w:szCs w:val="21"/>
              </w:rPr>
              <w:t>d</w:t>
            </w:r>
          </w:p>
        </w:tc>
        <w:tc>
          <w:tcPr>
            <w:tcW w:w="2130" w:type="dxa"/>
          </w:tcPr>
          <w:p>
            <w:pPr>
              <w:spacing w:line="360" w:lineRule="auto"/>
              <w:jc w:val="both"/>
              <w:rPr>
                <w:rFonts w:eastAsia="宋体"/>
                <w:b/>
                <w:bCs/>
                <w:szCs w:val="21"/>
                <w:lang w:eastAsia="en-US"/>
              </w:rPr>
            </w:pPr>
            <w:r>
              <w:rPr>
                <w:szCs w:val="21"/>
              </w:rPr>
              <w:t>11.16</w:t>
            </w:r>
            <w:r>
              <w:rPr>
                <w:rFonts w:eastAsia="宋体"/>
                <w:szCs w:val="21"/>
              </w:rPr>
              <w:t>±1.</w:t>
            </w:r>
            <w:r>
              <w:rPr>
                <w:szCs w:val="21"/>
              </w:rPr>
              <w:t>41</w:t>
            </w:r>
          </w:p>
        </w:tc>
        <w:tc>
          <w:tcPr>
            <w:tcW w:w="2131" w:type="dxa"/>
          </w:tcPr>
          <w:p>
            <w:pPr>
              <w:spacing w:line="360" w:lineRule="auto"/>
              <w:jc w:val="both"/>
              <w:rPr>
                <w:rFonts w:eastAsia="宋体"/>
                <w:szCs w:val="21"/>
              </w:rPr>
            </w:pPr>
            <w:r>
              <w:rPr>
                <w:szCs w:val="21"/>
              </w:rPr>
              <w:t>11.36</w:t>
            </w:r>
            <w:r>
              <w:rPr>
                <w:rFonts w:eastAsia="宋体"/>
                <w:szCs w:val="21"/>
              </w:rPr>
              <w:t>±1.3</w:t>
            </w:r>
            <w:r>
              <w:rPr>
                <w:szCs w:val="21"/>
              </w:rPr>
              <w:t>0</w:t>
            </w:r>
          </w:p>
        </w:tc>
        <w:tc>
          <w:tcPr>
            <w:tcW w:w="2131" w:type="dxa"/>
          </w:tcPr>
          <w:p>
            <w:pPr>
              <w:spacing w:line="360" w:lineRule="auto"/>
              <w:jc w:val="both"/>
              <w:rPr>
                <w:rFonts w:eastAsia="宋体"/>
                <w:szCs w:val="21"/>
              </w:rPr>
            </w:pPr>
            <w:r>
              <w:rPr>
                <w:szCs w:val="21"/>
              </w:rPr>
              <w:t>11.26</w:t>
            </w:r>
            <w:r>
              <w:rPr>
                <w:rFonts w:eastAsia="宋体"/>
                <w:szCs w:val="21"/>
              </w:rPr>
              <w:t>±1.3</w:t>
            </w:r>
            <w:r>
              <w:rPr>
                <w:szCs w:val="21"/>
              </w:rPr>
              <w:t>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b/>
                <w:bCs/>
                <w:szCs w:val="21"/>
              </w:rPr>
            </w:pPr>
            <w:r>
              <w:rPr>
                <w:szCs w:val="21"/>
              </w:rPr>
              <w:t xml:space="preserve">L3-L4 </w:t>
            </w:r>
            <w:r>
              <w:rPr>
                <w:rFonts w:eastAsia="宋体"/>
                <w:szCs w:val="21"/>
              </w:rPr>
              <w:t>e</w:t>
            </w:r>
          </w:p>
        </w:tc>
        <w:tc>
          <w:tcPr>
            <w:tcW w:w="2130" w:type="dxa"/>
          </w:tcPr>
          <w:p>
            <w:pPr>
              <w:spacing w:line="360" w:lineRule="auto"/>
              <w:jc w:val="both"/>
              <w:rPr>
                <w:rFonts w:eastAsia="宋体"/>
                <w:b/>
                <w:bCs/>
                <w:szCs w:val="21"/>
                <w:lang w:eastAsia="en-US"/>
              </w:rPr>
            </w:pPr>
            <w:r>
              <w:rPr>
                <w:rFonts w:eastAsia="宋体"/>
                <w:szCs w:val="21"/>
              </w:rPr>
              <w:t>7.</w:t>
            </w:r>
            <w:r>
              <w:rPr>
                <w:szCs w:val="21"/>
              </w:rPr>
              <w:t>05</w:t>
            </w:r>
            <w:r>
              <w:rPr>
                <w:rFonts w:eastAsia="宋体"/>
                <w:szCs w:val="21"/>
              </w:rPr>
              <w:t>±1.</w:t>
            </w:r>
            <w:r>
              <w:rPr>
                <w:szCs w:val="21"/>
              </w:rPr>
              <w:t>43</w:t>
            </w:r>
          </w:p>
        </w:tc>
        <w:tc>
          <w:tcPr>
            <w:tcW w:w="2131" w:type="dxa"/>
          </w:tcPr>
          <w:p>
            <w:pPr>
              <w:spacing w:line="360" w:lineRule="auto"/>
              <w:jc w:val="both"/>
              <w:rPr>
                <w:rFonts w:eastAsia="宋体"/>
                <w:szCs w:val="21"/>
              </w:rPr>
            </w:pPr>
            <w:r>
              <w:rPr>
                <w:szCs w:val="21"/>
              </w:rPr>
              <w:t>6.63</w:t>
            </w:r>
            <w:r>
              <w:rPr>
                <w:rFonts w:eastAsia="宋体"/>
                <w:szCs w:val="21"/>
              </w:rPr>
              <w:t>±1.</w:t>
            </w:r>
            <w:r>
              <w:rPr>
                <w:szCs w:val="21"/>
              </w:rPr>
              <w:t>46</w:t>
            </w:r>
          </w:p>
        </w:tc>
        <w:tc>
          <w:tcPr>
            <w:tcW w:w="2131" w:type="dxa"/>
          </w:tcPr>
          <w:p>
            <w:pPr>
              <w:spacing w:line="360" w:lineRule="auto"/>
              <w:jc w:val="both"/>
              <w:rPr>
                <w:rFonts w:eastAsia="宋体"/>
                <w:szCs w:val="21"/>
              </w:rPr>
            </w:pPr>
            <w:r>
              <w:rPr>
                <w:szCs w:val="21"/>
              </w:rPr>
              <w:t>6.84</w:t>
            </w:r>
            <w:r>
              <w:rPr>
                <w:rFonts w:eastAsia="宋体"/>
                <w:szCs w:val="21"/>
              </w:rPr>
              <w:t>±</w:t>
            </w:r>
            <w:r>
              <w:rPr>
                <w:szCs w:val="21"/>
              </w:rPr>
              <w:t>1.45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2130" w:type="dxa"/>
          </w:tcPr>
          <w:p>
            <w:pPr>
              <w:spacing w:line="360" w:lineRule="auto"/>
              <w:jc w:val="both"/>
              <w:rPr>
                <w:rFonts w:eastAsia="宋体"/>
                <w:szCs w:val="21"/>
              </w:rPr>
            </w:pPr>
            <w:r>
              <w:rPr>
                <w:szCs w:val="21"/>
              </w:rPr>
              <w:t xml:space="preserve">L4-L5 </w:t>
            </w:r>
            <w:r>
              <w:rPr>
                <w:rFonts w:eastAsia="宋体"/>
                <w:szCs w:val="21"/>
              </w:rPr>
              <w:t>a</w:t>
            </w:r>
          </w:p>
        </w:tc>
        <w:tc>
          <w:tcPr>
            <w:tcW w:w="2130" w:type="dxa"/>
          </w:tcPr>
          <w:p>
            <w:pPr>
              <w:spacing w:line="360" w:lineRule="auto"/>
              <w:jc w:val="both"/>
              <w:rPr>
                <w:rFonts w:eastAsia="宋体"/>
                <w:szCs w:val="21"/>
              </w:rPr>
            </w:pPr>
            <w:r>
              <w:rPr>
                <w:szCs w:val="21"/>
              </w:rPr>
              <w:t>20.34</w:t>
            </w:r>
            <w:r>
              <w:rPr>
                <w:rFonts w:eastAsia="宋体"/>
                <w:szCs w:val="21"/>
              </w:rPr>
              <w:t>±</w:t>
            </w:r>
            <w:r>
              <w:rPr>
                <w:szCs w:val="21"/>
              </w:rPr>
              <w:t>2.56</w:t>
            </w:r>
          </w:p>
        </w:tc>
        <w:tc>
          <w:tcPr>
            <w:tcW w:w="2131" w:type="dxa"/>
          </w:tcPr>
          <w:p>
            <w:pPr>
              <w:spacing w:line="360" w:lineRule="auto"/>
              <w:jc w:val="both"/>
              <w:rPr>
                <w:rFonts w:eastAsia="宋体"/>
                <w:szCs w:val="21"/>
              </w:rPr>
            </w:pPr>
            <w:r>
              <w:rPr>
                <w:szCs w:val="21"/>
              </w:rPr>
              <w:t>20.60</w:t>
            </w:r>
            <w:r>
              <w:rPr>
                <w:rFonts w:eastAsia="宋体"/>
                <w:szCs w:val="21"/>
              </w:rPr>
              <w:t>±2.</w:t>
            </w:r>
            <w:r>
              <w:rPr>
                <w:szCs w:val="21"/>
              </w:rPr>
              <w:t>94</w:t>
            </w:r>
          </w:p>
        </w:tc>
        <w:tc>
          <w:tcPr>
            <w:tcW w:w="2131" w:type="dxa"/>
          </w:tcPr>
          <w:p>
            <w:pPr>
              <w:spacing w:line="360" w:lineRule="auto"/>
              <w:jc w:val="both"/>
              <w:rPr>
                <w:rFonts w:eastAsia="宋体"/>
                <w:szCs w:val="21"/>
              </w:rPr>
            </w:pPr>
            <w:r>
              <w:rPr>
                <w:szCs w:val="21"/>
              </w:rPr>
              <w:t>20.47</w:t>
            </w:r>
            <w:r>
              <w:rPr>
                <w:rFonts w:eastAsia="宋体"/>
                <w:szCs w:val="21"/>
              </w:rPr>
              <w:t>±2.</w:t>
            </w:r>
            <w:r>
              <w:rPr>
                <w:szCs w:val="21"/>
              </w:rPr>
              <w:t>75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L4-L5 </w:t>
            </w:r>
            <w:r>
              <w:rPr>
                <w:rFonts w:eastAsia="宋体"/>
                <w:szCs w:val="21"/>
              </w:rPr>
              <w:t>b</w:t>
            </w:r>
          </w:p>
        </w:tc>
        <w:tc>
          <w:tcPr>
            <w:tcW w:w="2130" w:type="dxa"/>
          </w:tcPr>
          <w:p>
            <w:pPr>
              <w:spacing w:line="360" w:lineRule="auto"/>
              <w:jc w:val="both"/>
              <w:rPr>
                <w:rFonts w:eastAsia="宋体"/>
                <w:szCs w:val="21"/>
              </w:rPr>
            </w:pPr>
            <w:r>
              <w:rPr>
                <w:szCs w:val="21"/>
              </w:rPr>
              <w:t>8.78</w:t>
            </w:r>
            <w:r>
              <w:rPr>
                <w:rFonts w:eastAsia="宋体"/>
                <w:szCs w:val="21"/>
              </w:rPr>
              <w:t>±</w:t>
            </w:r>
            <w:r>
              <w:rPr>
                <w:szCs w:val="21"/>
              </w:rPr>
              <w:t>2.67</w:t>
            </w:r>
          </w:p>
        </w:tc>
        <w:tc>
          <w:tcPr>
            <w:tcW w:w="2131" w:type="dxa"/>
          </w:tcPr>
          <w:p>
            <w:pPr>
              <w:spacing w:line="360" w:lineRule="auto"/>
              <w:jc w:val="both"/>
              <w:rPr>
                <w:rFonts w:eastAsia="宋体"/>
                <w:szCs w:val="21"/>
              </w:rPr>
            </w:pPr>
            <w:r>
              <w:rPr>
                <w:szCs w:val="21"/>
              </w:rPr>
              <w:t>8.28</w:t>
            </w:r>
            <w:r>
              <w:rPr>
                <w:rFonts w:eastAsia="宋体"/>
                <w:szCs w:val="21"/>
              </w:rPr>
              <w:t>±</w:t>
            </w:r>
            <w:r>
              <w:rPr>
                <w:szCs w:val="21"/>
              </w:rPr>
              <w:t>2.96</w:t>
            </w:r>
          </w:p>
        </w:tc>
        <w:tc>
          <w:tcPr>
            <w:tcW w:w="2131" w:type="dxa"/>
          </w:tcPr>
          <w:p>
            <w:pPr>
              <w:spacing w:line="360" w:lineRule="auto"/>
              <w:jc w:val="both"/>
              <w:rPr>
                <w:rFonts w:eastAsia="宋体"/>
                <w:szCs w:val="21"/>
              </w:rPr>
            </w:pPr>
            <w:r>
              <w:rPr>
                <w:szCs w:val="21"/>
              </w:rPr>
              <w:t>8.53</w:t>
            </w:r>
            <w:r>
              <w:rPr>
                <w:rFonts w:eastAsia="宋体"/>
                <w:szCs w:val="21"/>
              </w:rPr>
              <w:t>±</w:t>
            </w:r>
            <w:r>
              <w:rPr>
                <w:szCs w:val="21"/>
              </w:rPr>
              <w:t>2.81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L4-L5 </w:t>
            </w:r>
            <w:r>
              <w:rPr>
                <w:rFonts w:eastAsia="宋体"/>
                <w:szCs w:val="21"/>
              </w:rPr>
              <w:t>c</w:t>
            </w:r>
          </w:p>
        </w:tc>
        <w:tc>
          <w:tcPr>
            <w:tcW w:w="2130" w:type="dxa"/>
          </w:tcPr>
          <w:p>
            <w:pPr>
              <w:spacing w:line="360" w:lineRule="auto"/>
              <w:jc w:val="both"/>
              <w:rPr>
                <w:rFonts w:eastAsia="宋体"/>
                <w:szCs w:val="21"/>
              </w:rPr>
            </w:pPr>
            <w:r>
              <w:rPr>
                <w:szCs w:val="21"/>
              </w:rPr>
              <w:t>11.41</w:t>
            </w:r>
            <w:r>
              <w:rPr>
                <w:rFonts w:eastAsia="宋体"/>
                <w:szCs w:val="21"/>
              </w:rPr>
              <w:t>±</w:t>
            </w:r>
            <w:r>
              <w:rPr>
                <w:szCs w:val="21"/>
              </w:rPr>
              <w:t>2.00</w:t>
            </w:r>
          </w:p>
        </w:tc>
        <w:tc>
          <w:tcPr>
            <w:tcW w:w="2131" w:type="dxa"/>
          </w:tcPr>
          <w:p>
            <w:pPr>
              <w:spacing w:line="360" w:lineRule="auto"/>
              <w:jc w:val="both"/>
              <w:rPr>
                <w:rFonts w:eastAsia="宋体"/>
                <w:szCs w:val="21"/>
              </w:rPr>
            </w:pPr>
            <w:r>
              <w:rPr>
                <w:szCs w:val="21"/>
              </w:rPr>
              <w:t>11.11</w:t>
            </w:r>
            <w:r>
              <w:rPr>
                <w:rFonts w:eastAsia="宋体"/>
                <w:szCs w:val="21"/>
              </w:rPr>
              <w:t>±1.</w:t>
            </w:r>
            <w:r>
              <w:rPr>
                <w:szCs w:val="21"/>
              </w:rPr>
              <w:t>98</w:t>
            </w:r>
          </w:p>
        </w:tc>
        <w:tc>
          <w:tcPr>
            <w:tcW w:w="2131" w:type="dxa"/>
          </w:tcPr>
          <w:p>
            <w:pPr>
              <w:spacing w:line="360" w:lineRule="auto"/>
              <w:jc w:val="both"/>
              <w:rPr>
                <w:rFonts w:eastAsia="宋体"/>
                <w:szCs w:val="21"/>
              </w:rPr>
            </w:pPr>
            <w:r>
              <w:rPr>
                <w:szCs w:val="21"/>
              </w:rPr>
              <w:t>11.26</w:t>
            </w:r>
            <w:r>
              <w:rPr>
                <w:rFonts w:eastAsia="宋体"/>
                <w:szCs w:val="21"/>
              </w:rPr>
              <w:t>±1.</w:t>
            </w:r>
            <w:r>
              <w:rPr>
                <w:szCs w:val="21"/>
              </w:rPr>
              <w:t>99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L4-L5 </w:t>
            </w:r>
            <w:r>
              <w:rPr>
                <w:rFonts w:eastAsia="宋体"/>
                <w:szCs w:val="21"/>
              </w:rPr>
              <w:t>d</w:t>
            </w:r>
          </w:p>
        </w:tc>
        <w:tc>
          <w:tcPr>
            <w:tcW w:w="2130" w:type="dxa"/>
          </w:tcPr>
          <w:p>
            <w:pPr>
              <w:spacing w:line="360" w:lineRule="auto"/>
              <w:jc w:val="both"/>
              <w:rPr>
                <w:rFonts w:eastAsia="宋体"/>
                <w:szCs w:val="21"/>
              </w:rPr>
            </w:pPr>
            <w:r>
              <w:rPr>
                <w:szCs w:val="21"/>
              </w:rPr>
              <w:t>10.28</w:t>
            </w:r>
            <w:r>
              <w:rPr>
                <w:rFonts w:eastAsia="宋体"/>
                <w:szCs w:val="21"/>
              </w:rPr>
              <w:t>±1.</w:t>
            </w:r>
            <w:r>
              <w:rPr>
                <w:szCs w:val="21"/>
              </w:rPr>
              <w:t>35</w:t>
            </w:r>
          </w:p>
        </w:tc>
        <w:tc>
          <w:tcPr>
            <w:tcW w:w="2131" w:type="dxa"/>
          </w:tcPr>
          <w:p>
            <w:pPr>
              <w:spacing w:line="360" w:lineRule="auto"/>
              <w:jc w:val="both"/>
              <w:rPr>
                <w:rFonts w:eastAsia="宋体"/>
                <w:szCs w:val="21"/>
              </w:rPr>
            </w:pPr>
            <w:r>
              <w:rPr>
                <w:szCs w:val="21"/>
              </w:rPr>
              <w:t>10.41</w:t>
            </w:r>
            <w:r>
              <w:rPr>
                <w:rFonts w:eastAsia="宋体"/>
                <w:szCs w:val="21"/>
              </w:rPr>
              <w:t>±1.</w:t>
            </w:r>
            <w:r>
              <w:rPr>
                <w:szCs w:val="21"/>
              </w:rPr>
              <w:t>53</w:t>
            </w:r>
          </w:p>
        </w:tc>
        <w:tc>
          <w:tcPr>
            <w:tcW w:w="2131" w:type="dxa"/>
          </w:tcPr>
          <w:p>
            <w:pPr>
              <w:spacing w:line="360" w:lineRule="auto"/>
              <w:jc w:val="both"/>
              <w:rPr>
                <w:rFonts w:eastAsia="宋体"/>
                <w:szCs w:val="21"/>
              </w:rPr>
            </w:pPr>
            <w:r>
              <w:rPr>
                <w:szCs w:val="21"/>
              </w:rPr>
              <w:t>10.34</w:t>
            </w:r>
            <w:r>
              <w:rPr>
                <w:rFonts w:eastAsia="宋体"/>
                <w:szCs w:val="21"/>
              </w:rPr>
              <w:t>±1.</w:t>
            </w:r>
            <w:r>
              <w:rPr>
                <w:szCs w:val="21"/>
              </w:rPr>
              <w:t>44</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L4-L5 </w:t>
            </w:r>
            <w:r>
              <w:rPr>
                <w:rFonts w:eastAsia="宋体"/>
                <w:szCs w:val="21"/>
              </w:rPr>
              <w:t>e</w:t>
            </w:r>
          </w:p>
        </w:tc>
        <w:tc>
          <w:tcPr>
            <w:tcW w:w="2130" w:type="dxa"/>
          </w:tcPr>
          <w:p>
            <w:pPr>
              <w:spacing w:line="360" w:lineRule="auto"/>
              <w:jc w:val="both"/>
              <w:rPr>
                <w:rFonts w:eastAsia="宋体"/>
                <w:szCs w:val="21"/>
              </w:rPr>
            </w:pPr>
            <w:r>
              <w:rPr>
                <w:szCs w:val="21"/>
              </w:rPr>
              <w:t>6.14</w:t>
            </w:r>
            <w:r>
              <w:rPr>
                <w:rFonts w:eastAsia="宋体"/>
                <w:szCs w:val="21"/>
              </w:rPr>
              <w:t>±</w:t>
            </w:r>
            <w:r>
              <w:rPr>
                <w:szCs w:val="21"/>
              </w:rPr>
              <w:t>1.85</w:t>
            </w:r>
          </w:p>
        </w:tc>
        <w:tc>
          <w:tcPr>
            <w:tcW w:w="2131" w:type="dxa"/>
          </w:tcPr>
          <w:p>
            <w:pPr>
              <w:spacing w:line="360" w:lineRule="auto"/>
              <w:jc w:val="both"/>
              <w:rPr>
                <w:rFonts w:eastAsia="宋体"/>
                <w:szCs w:val="21"/>
              </w:rPr>
            </w:pPr>
            <w:r>
              <w:rPr>
                <w:szCs w:val="21"/>
              </w:rPr>
              <w:t>5.77</w:t>
            </w:r>
            <w:r>
              <w:rPr>
                <w:rFonts w:eastAsia="宋体"/>
                <w:szCs w:val="21"/>
              </w:rPr>
              <w:t>±</w:t>
            </w:r>
            <w:r>
              <w:rPr>
                <w:szCs w:val="21"/>
              </w:rPr>
              <w:t>2.06</w:t>
            </w:r>
          </w:p>
        </w:tc>
        <w:tc>
          <w:tcPr>
            <w:tcW w:w="2131" w:type="dxa"/>
          </w:tcPr>
          <w:p>
            <w:pPr>
              <w:spacing w:line="360" w:lineRule="auto"/>
              <w:jc w:val="both"/>
              <w:rPr>
                <w:rFonts w:eastAsia="宋体"/>
                <w:szCs w:val="21"/>
              </w:rPr>
            </w:pPr>
            <w:r>
              <w:rPr>
                <w:szCs w:val="21"/>
              </w:rPr>
              <w:t>5.96</w:t>
            </w:r>
            <w:r>
              <w:rPr>
                <w:rFonts w:eastAsia="宋体"/>
                <w:szCs w:val="21"/>
              </w:rPr>
              <w:t>±1.</w:t>
            </w:r>
            <w:r>
              <w:rPr>
                <w:szCs w:val="21"/>
              </w:rPr>
              <w:t>96</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L5-S1 </w:t>
            </w:r>
            <w:r>
              <w:rPr>
                <w:rFonts w:eastAsia="宋体"/>
                <w:szCs w:val="21"/>
              </w:rPr>
              <w:t>a</w:t>
            </w:r>
          </w:p>
        </w:tc>
        <w:tc>
          <w:tcPr>
            <w:tcW w:w="2130" w:type="dxa"/>
          </w:tcPr>
          <w:p>
            <w:pPr>
              <w:spacing w:line="360" w:lineRule="auto"/>
              <w:jc w:val="both"/>
              <w:rPr>
                <w:rFonts w:eastAsia="宋体"/>
                <w:szCs w:val="21"/>
              </w:rPr>
            </w:pPr>
            <w:r>
              <w:rPr>
                <w:szCs w:val="21"/>
              </w:rPr>
              <w:t>14.56</w:t>
            </w:r>
            <w:r>
              <w:rPr>
                <w:rFonts w:eastAsia="宋体"/>
                <w:szCs w:val="21"/>
              </w:rPr>
              <w:t>±</w:t>
            </w:r>
            <w:r>
              <w:rPr>
                <w:szCs w:val="21"/>
              </w:rPr>
              <w:t>2.60</w:t>
            </w:r>
          </w:p>
        </w:tc>
        <w:tc>
          <w:tcPr>
            <w:tcW w:w="2131" w:type="dxa"/>
          </w:tcPr>
          <w:p>
            <w:pPr>
              <w:spacing w:line="360" w:lineRule="auto"/>
              <w:jc w:val="both"/>
              <w:rPr>
                <w:rFonts w:eastAsia="宋体"/>
                <w:szCs w:val="21"/>
              </w:rPr>
            </w:pPr>
            <w:r>
              <w:rPr>
                <w:szCs w:val="21"/>
              </w:rPr>
              <w:t>15.52</w:t>
            </w:r>
            <w:r>
              <w:rPr>
                <w:rFonts w:eastAsia="宋体"/>
                <w:szCs w:val="21"/>
              </w:rPr>
              <w:t>±</w:t>
            </w:r>
            <w:r>
              <w:rPr>
                <w:szCs w:val="21"/>
              </w:rPr>
              <w:t>2.50</w:t>
            </w:r>
          </w:p>
        </w:tc>
        <w:tc>
          <w:tcPr>
            <w:tcW w:w="2131" w:type="dxa"/>
          </w:tcPr>
          <w:p>
            <w:pPr>
              <w:spacing w:line="360" w:lineRule="auto"/>
              <w:jc w:val="both"/>
              <w:rPr>
                <w:rFonts w:eastAsia="宋体"/>
                <w:szCs w:val="21"/>
              </w:rPr>
            </w:pPr>
            <w:r>
              <w:rPr>
                <w:szCs w:val="21"/>
              </w:rPr>
              <w:t>15.04</w:t>
            </w:r>
            <w:r>
              <w:rPr>
                <w:rFonts w:eastAsia="宋体"/>
                <w:szCs w:val="21"/>
              </w:rPr>
              <w:t>±</w:t>
            </w:r>
            <w:r>
              <w:rPr>
                <w:szCs w:val="21"/>
              </w:rPr>
              <w:t>2.58</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L5-S1 </w:t>
            </w:r>
            <w:r>
              <w:rPr>
                <w:rFonts w:eastAsia="宋体"/>
                <w:szCs w:val="21"/>
              </w:rPr>
              <w:t>b</w:t>
            </w:r>
          </w:p>
        </w:tc>
        <w:tc>
          <w:tcPr>
            <w:tcW w:w="2130" w:type="dxa"/>
          </w:tcPr>
          <w:p>
            <w:pPr>
              <w:spacing w:line="360" w:lineRule="auto"/>
              <w:jc w:val="both"/>
              <w:rPr>
                <w:rFonts w:eastAsia="宋体"/>
                <w:szCs w:val="21"/>
              </w:rPr>
            </w:pPr>
            <w:r>
              <w:rPr>
                <w:szCs w:val="21"/>
              </w:rPr>
              <w:t>6.47</w:t>
            </w:r>
            <w:r>
              <w:rPr>
                <w:rFonts w:eastAsia="宋体"/>
                <w:szCs w:val="21"/>
              </w:rPr>
              <w:t>±</w:t>
            </w:r>
            <w:r>
              <w:rPr>
                <w:szCs w:val="21"/>
              </w:rPr>
              <w:t>2.21</w:t>
            </w:r>
          </w:p>
        </w:tc>
        <w:tc>
          <w:tcPr>
            <w:tcW w:w="2131" w:type="dxa"/>
          </w:tcPr>
          <w:p>
            <w:pPr>
              <w:spacing w:line="360" w:lineRule="auto"/>
              <w:jc w:val="both"/>
              <w:rPr>
                <w:rFonts w:eastAsia="宋体"/>
                <w:szCs w:val="21"/>
              </w:rPr>
            </w:pPr>
            <w:r>
              <w:rPr>
                <w:szCs w:val="21"/>
              </w:rPr>
              <w:t>6.57</w:t>
            </w:r>
            <w:r>
              <w:rPr>
                <w:rFonts w:eastAsia="宋体"/>
                <w:szCs w:val="21"/>
              </w:rPr>
              <w:t>±</w:t>
            </w:r>
            <w:r>
              <w:rPr>
                <w:szCs w:val="21"/>
              </w:rPr>
              <w:t>2.28</w:t>
            </w:r>
          </w:p>
        </w:tc>
        <w:tc>
          <w:tcPr>
            <w:tcW w:w="2131" w:type="dxa"/>
          </w:tcPr>
          <w:p>
            <w:pPr>
              <w:spacing w:line="360" w:lineRule="auto"/>
              <w:jc w:val="both"/>
              <w:rPr>
                <w:rFonts w:eastAsia="宋体"/>
                <w:szCs w:val="21"/>
              </w:rPr>
            </w:pPr>
            <w:r>
              <w:rPr>
                <w:szCs w:val="21"/>
              </w:rPr>
              <w:t>6.52</w:t>
            </w:r>
            <w:r>
              <w:rPr>
                <w:rFonts w:eastAsia="宋体"/>
                <w:szCs w:val="21"/>
              </w:rPr>
              <w:t>±</w:t>
            </w:r>
            <w:r>
              <w:rPr>
                <w:szCs w:val="21"/>
              </w:rPr>
              <w:t>2.23</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L5-S1 </w:t>
            </w:r>
            <w:r>
              <w:rPr>
                <w:rFonts w:eastAsia="宋体"/>
                <w:szCs w:val="21"/>
              </w:rPr>
              <w:t>c</w:t>
            </w:r>
          </w:p>
        </w:tc>
        <w:tc>
          <w:tcPr>
            <w:tcW w:w="2130" w:type="dxa"/>
          </w:tcPr>
          <w:p>
            <w:pPr>
              <w:spacing w:line="360" w:lineRule="auto"/>
              <w:jc w:val="both"/>
              <w:rPr>
                <w:rFonts w:eastAsia="宋体"/>
                <w:szCs w:val="21"/>
              </w:rPr>
            </w:pPr>
            <w:r>
              <w:rPr>
                <w:szCs w:val="21"/>
              </w:rPr>
              <w:t>10.34</w:t>
            </w:r>
            <w:r>
              <w:rPr>
                <w:rFonts w:eastAsia="宋体"/>
                <w:szCs w:val="21"/>
              </w:rPr>
              <w:t>±1.</w:t>
            </w:r>
            <w:r>
              <w:rPr>
                <w:szCs w:val="21"/>
              </w:rPr>
              <w:t>61</w:t>
            </w:r>
          </w:p>
        </w:tc>
        <w:tc>
          <w:tcPr>
            <w:tcW w:w="2131" w:type="dxa"/>
          </w:tcPr>
          <w:p>
            <w:pPr>
              <w:spacing w:line="360" w:lineRule="auto"/>
              <w:jc w:val="both"/>
              <w:rPr>
                <w:rFonts w:eastAsia="宋体"/>
                <w:szCs w:val="21"/>
              </w:rPr>
            </w:pPr>
            <w:r>
              <w:rPr>
                <w:szCs w:val="21"/>
              </w:rPr>
              <w:t>10.42</w:t>
            </w:r>
            <w:r>
              <w:rPr>
                <w:rFonts w:eastAsia="宋体"/>
                <w:szCs w:val="21"/>
              </w:rPr>
              <w:t>±1.</w:t>
            </w:r>
            <w:r>
              <w:rPr>
                <w:szCs w:val="21"/>
              </w:rPr>
              <w:t>58</w:t>
            </w:r>
          </w:p>
        </w:tc>
        <w:tc>
          <w:tcPr>
            <w:tcW w:w="2131" w:type="dxa"/>
          </w:tcPr>
          <w:p>
            <w:pPr>
              <w:spacing w:line="360" w:lineRule="auto"/>
              <w:jc w:val="both"/>
              <w:rPr>
                <w:rFonts w:eastAsia="宋体"/>
                <w:szCs w:val="21"/>
              </w:rPr>
            </w:pPr>
            <w:r>
              <w:rPr>
                <w:szCs w:val="21"/>
              </w:rPr>
              <w:t>10.38</w:t>
            </w:r>
            <w:r>
              <w:rPr>
                <w:rFonts w:eastAsia="宋体"/>
                <w:szCs w:val="21"/>
              </w:rPr>
              <w:t>±1.</w:t>
            </w:r>
            <w:r>
              <w:rPr>
                <w:szCs w:val="21"/>
              </w:rPr>
              <w:t>59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L5-S1 </w:t>
            </w:r>
            <w:r>
              <w:rPr>
                <w:rFonts w:eastAsia="宋体"/>
                <w:szCs w:val="21"/>
              </w:rPr>
              <w:t>d</w:t>
            </w:r>
          </w:p>
        </w:tc>
        <w:tc>
          <w:tcPr>
            <w:tcW w:w="2130" w:type="dxa"/>
          </w:tcPr>
          <w:p>
            <w:pPr>
              <w:spacing w:line="360" w:lineRule="auto"/>
              <w:jc w:val="both"/>
              <w:rPr>
                <w:rFonts w:eastAsia="宋体"/>
                <w:szCs w:val="21"/>
              </w:rPr>
            </w:pPr>
            <w:r>
              <w:rPr>
                <w:szCs w:val="21"/>
              </w:rPr>
              <w:t>7.38</w:t>
            </w:r>
            <w:r>
              <w:rPr>
                <w:rFonts w:eastAsia="宋体"/>
                <w:szCs w:val="21"/>
              </w:rPr>
              <w:t>±</w:t>
            </w:r>
            <w:r>
              <w:rPr>
                <w:szCs w:val="21"/>
              </w:rPr>
              <w:t>1.35</w:t>
            </w:r>
          </w:p>
        </w:tc>
        <w:tc>
          <w:tcPr>
            <w:tcW w:w="2131" w:type="dxa"/>
          </w:tcPr>
          <w:p>
            <w:pPr>
              <w:spacing w:line="360" w:lineRule="auto"/>
              <w:jc w:val="both"/>
              <w:rPr>
                <w:rFonts w:eastAsia="宋体"/>
                <w:szCs w:val="21"/>
              </w:rPr>
            </w:pPr>
            <w:r>
              <w:rPr>
                <w:szCs w:val="21"/>
              </w:rPr>
              <w:t>7.85</w:t>
            </w:r>
            <w:r>
              <w:rPr>
                <w:rFonts w:eastAsia="宋体"/>
                <w:szCs w:val="21"/>
              </w:rPr>
              <w:t>±</w:t>
            </w:r>
            <w:r>
              <w:rPr>
                <w:szCs w:val="21"/>
              </w:rPr>
              <w:t>1.31</w:t>
            </w:r>
          </w:p>
        </w:tc>
        <w:tc>
          <w:tcPr>
            <w:tcW w:w="2131" w:type="dxa"/>
          </w:tcPr>
          <w:p>
            <w:pPr>
              <w:spacing w:line="360" w:lineRule="auto"/>
              <w:jc w:val="both"/>
              <w:rPr>
                <w:rFonts w:eastAsia="宋体"/>
                <w:szCs w:val="21"/>
              </w:rPr>
            </w:pPr>
            <w:r>
              <w:rPr>
                <w:szCs w:val="21"/>
              </w:rPr>
              <w:t>7.61</w:t>
            </w:r>
            <w:r>
              <w:rPr>
                <w:rFonts w:eastAsia="宋体"/>
                <w:szCs w:val="21"/>
              </w:rPr>
              <w:t>±</w:t>
            </w:r>
            <w:r>
              <w:rPr>
                <w:szCs w:val="21"/>
              </w:rPr>
              <w:t>1.32</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L5-S1 </w:t>
            </w:r>
            <w:r>
              <w:rPr>
                <w:rFonts w:eastAsia="宋体"/>
                <w:szCs w:val="21"/>
              </w:rPr>
              <w:t>e</w:t>
            </w:r>
          </w:p>
        </w:tc>
        <w:tc>
          <w:tcPr>
            <w:tcW w:w="2130" w:type="dxa"/>
          </w:tcPr>
          <w:p>
            <w:pPr>
              <w:spacing w:line="360" w:lineRule="auto"/>
              <w:jc w:val="both"/>
              <w:rPr>
                <w:rFonts w:eastAsia="宋体"/>
                <w:szCs w:val="21"/>
              </w:rPr>
            </w:pPr>
            <w:r>
              <w:rPr>
                <w:szCs w:val="21"/>
              </w:rPr>
              <w:t>4.53</w:t>
            </w:r>
            <w:r>
              <w:rPr>
                <w:rFonts w:eastAsia="宋体"/>
                <w:szCs w:val="21"/>
              </w:rPr>
              <w:t>±1.</w:t>
            </w:r>
            <w:r>
              <w:rPr>
                <w:szCs w:val="21"/>
              </w:rPr>
              <w:t>57</w:t>
            </w:r>
          </w:p>
        </w:tc>
        <w:tc>
          <w:tcPr>
            <w:tcW w:w="2131" w:type="dxa"/>
          </w:tcPr>
          <w:p>
            <w:pPr>
              <w:spacing w:line="360" w:lineRule="auto"/>
              <w:jc w:val="both"/>
              <w:rPr>
                <w:rFonts w:eastAsia="宋体"/>
                <w:szCs w:val="21"/>
              </w:rPr>
            </w:pPr>
            <w:r>
              <w:rPr>
                <w:szCs w:val="21"/>
              </w:rPr>
              <w:t>4.59</w:t>
            </w:r>
            <w:r>
              <w:rPr>
                <w:rFonts w:eastAsia="宋体"/>
                <w:szCs w:val="21"/>
              </w:rPr>
              <w:t>±</w:t>
            </w:r>
            <w:r>
              <w:rPr>
                <w:szCs w:val="21"/>
              </w:rPr>
              <w:t>1.57</w:t>
            </w:r>
          </w:p>
        </w:tc>
        <w:tc>
          <w:tcPr>
            <w:tcW w:w="2131" w:type="dxa"/>
          </w:tcPr>
          <w:p>
            <w:pPr>
              <w:spacing w:line="360" w:lineRule="auto"/>
              <w:jc w:val="both"/>
              <w:rPr>
                <w:rFonts w:eastAsia="宋体"/>
                <w:szCs w:val="21"/>
              </w:rPr>
            </w:pPr>
            <w:r>
              <w:rPr>
                <w:szCs w:val="21"/>
              </w:rPr>
              <w:t>4.56</w:t>
            </w:r>
            <w:r>
              <w:rPr>
                <w:rFonts w:eastAsia="宋体"/>
                <w:szCs w:val="21"/>
              </w:rPr>
              <w:t>±1.</w:t>
            </w:r>
            <w:r>
              <w:rPr>
                <w:szCs w:val="21"/>
              </w:rPr>
              <w:t>56</w:t>
            </w:r>
          </w:p>
        </w:tc>
      </w:tr>
    </w:tbl>
    <w:p>
      <w:pPr>
        <w:spacing w:line="360" w:lineRule="auto"/>
        <w:jc w:val="both"/>
        <w:rPr>
          <w:szCs w:val="21"/>
        </w:rPr>
      </w:pPr>
    </w:p>
    <w:p>
      <w:pPr>
        <w:spacing w:line="360" w:lineRule="auto"/>
        <w:jc w:val="both"/>
        <w:rPr>
          <w:szCs w:val="21"/>
          <w:lang w:eastAsia="zh-CN"/>
        </w:rPr>
      </w:pPr>
    </w:p>
    <w:p>
      <w:pPr>
        <w:spacing w:line="360" w:lineRule="auto"/>
        <w:jc w:val="both"/>
        <w:rPr>
          <w:szCs w:val="21"/>
          <w:lang w:eastAsia="zh-CN"/>
        </w:rPr>
      </w:pPr>
    </w:p>
    <w:p>
      <w:pPr>
        <w:spacing w:line="360" w:lineRule="auto"/>
        <w:jc w:val="both"/>
        <w:rPr>
          <w:szCs w:val="21"/>
          <w:lang w:eastAsia="zh-CN"/>
        </w:rPr>
      </w:pPr>
    </w:p>
    <w:p>
      <w:pPr>
        <w:spacing w:line="360" w:lineRule="auto"/>
        <w:jc w:val="both"/>
        <w:rPr>
          <w:szCs w:val="21"/>
          <w:lang w:eastAsia="zh-CN"/>
        </w:rPr>
      </w:pPr>
    </w:p>
    <w:p>
      <w:pPr>
        <w:spacing w:line="360" w:lineRule="auto"/>
        <w:jc w:val="both"/>
        <w:rPr>
          <w:szCs w:val="21"/>
          <w:lang w:eastAsia="zh-CN"/>
        </w:rPr>
      </w:pPr>
    </w:p>
    <w:p>
      <w:pPr>
        <w:spacing w:line="360" w:lineRule="auto"/>
        <w:jc w:val="both"/>
        <w:rPr>
          <w:szCs w:val="21"/>
          <w:lang w:eastAsia="zh-CN"/>
        </w:rPr>
      </w:pPr>
    </w:p>
    <w:p>
      <w:pPr>
        <w:spacing w:line="360" w:lineRule="auto"/>
        <w:jc w:val="both"/>
        <w:rPr>
          <w:szCs w:val="21"/>
          <w:lang w:eastAsia="zh-CN"/>
        </w:rPr>
      </w:pPr>
    </w:p>
    <w:p>
      <w:pPr>
        <w:spacing w:line="360" w:lineRule="auto"/>
        <w:jc w:val="both"/>
        <w:rPr>
          <w:szCs w:val="21"/>
        </w:rPr>
      </w:pPr>
      <w:r>
        <w:rPr>
          <w:szCs w:val="21"/>
        </w:rPr>
        <w:t>Table 2 X-ray measurement results of intervertebral foramen in normal adults at different ages (x ± s, mm)</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000000" w:sz="12" w:space="0"/>
              <w:left w:val="nil"/>
              <w:bottom w:val="nil"/>
              <w:right w:val="nil"/>
            </w:tcBorders>
          </w:tcPr>
          <w:p>
            <w:pPr>
              <w:spacing w:line="360" w:lineRule="auto"/>
              <w:jc w:val="both"/>
              <w:rPr>
                <w:rFonts w:eastAsia="宋体"/>
                <w:szCs w:val="21"/>
              </w:rPr>
            </w:pPr>
            <w:r>
              <w:rPr>
                <w:rFonts w:eastAsia="宋体"/>
                <w:szCs w:val="21"/>
              </w:rPr>
              <w:t>Parameters</w:t>
            </w:r>
          </w:p>
        </w:tc>
        <w:tc>
          <w:tcPr>
            <w:tcW w:w="2130" w:type="dxa"/>
            <w:tcBorders>
              <w:top w:val="single" w:color="000000" w:sz="12" w:space="0"/>
              <w:left w:val="nil"/>
              <w:bottom w:val="nil"/>
              <w:right w:val="nil"/>
            </w:tcBorders>
          </w:tcPr>
          <w:p>
            <w:pPr>
              <w:spacing w:line="360" w:lineRule="auto"/>
              <w:jc w:val="both"/>
              <w:rPr>
                <w:rFonts w:eastAsia="宋体"/>
                <w:szCs w:val="21"/>
              </w:rPr>
            </w:pPr>
            <w:r>
              <w:rPr>
                <w:rFonts w:eastAsia="宋体"/>
                <w:szCs w:val="21"/>
              </w:rPr>
              <w:t>Under 40 years old</w:t>
            </w:r>
          </w:p>
        </w:tc>
        <w:tc>
          <w:tcPr>
            <w:tcW w:w="2131" w:type="dxa"/>
            <w:tcBorders>
              <w:top w:val="single" w:color="000000" w:sz="12" w:space="0"/>
              <w:left w:val="nil"/>
              <w:bottom w:val="nil"/>
              <w:right w:val="nil"/>
            </w:tcBorders>
          </w:tcPr>
          <w:p>
            <w:pPr>
              <w:spacing w:line="360" w:lineRule="auto"/>
              <w:jc w:val="both"/>
              <w:rPr>
                <w:rFonts w:eastAsia="宋体"/>
                <w:szCs w:val="21"/>
              </w:rPr>
            </w:pPr>
            <w:r>
              <w:rPr>
                <w:rFonts w:eastAsia="宋体"/>
                <w:szCs w:val="21"/>
              </w:rPr>
              <w:t>40</w:t>
            </w:r>
            <w:r>
              <w:rPr>
                <w:rFonts w:hint="eastAsia" w:eastAsia="宋体"/>
                <w:szCs w:val="21"/>
              </w:rPr>
              <w:t>-</w:t>
            </w:r>
            <w:r>
              <w:rPr>
                <w:rFonts w:eastAsia="宋体"/>
                <w:szCs w:val="21"/>
              </w:rPr>
              <w:t>60</w:t>
            </w:r>
            <w:r>
              <w:rPr>
                <w:rFonts w:hint="eastAsia" w:eastAsia="宋体"/>
                <w:szCs w:val="21"/>
              </w:rPr>
              <w:t xml:space="preserve"> </w:t>
            </w:r>
            <w:r>
              <w:rPr>
                <w:rFonts w:eastAsia="宋体"/>
                <w:szCs w:val="21"/>
              </w:rPr>
              <w:t>years old</w:t>
            </w:r>
          </w:p>
        </w:tc>
        <w:tc>
          <w:tcPr>
            <w:tcW w:w="2131" w:type="dxa"/>
            <w:tcBorders>
              <w:top w:val="single" w:color="000000" w:sz="12" w:space="0"/>
              <w:left w:val="nil"/>
              <w:bottom w:val="nil"/>
              <w:right w:val="nil"/>
            </w:tcBorders>
          </w:tcPr>
          <w:p>
            <w:pPr>
              <w:spacing w:line="360" w:lineRule="auto"/>
              <w:jc w:val="both"/>
              <w:rPr>
                <w:rFonts w:eastAsia="宋体"/>
                <w:szCs w:val="21"/>
              </w:rPr>
            </w:pPr>
            <w:r>
              <w:rPr>
                <w:rFonts w:eastAsia="宋体"/>
                <w:szCs w:val="21"/>
              </w:rPr>
              <w:t>Above 60 years 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000000" w:sz="6" w:space="0"/>
              <w:left w:val="nil"/>
              <w:bottom w:val="nil"/>
              <w:right w:val="nil"/>
            </w:tcBorders>
          </w:tcPr>
          <w:p>
            <w:pPr>
              <w:spacing w:line="360" w:lineRule="auto"/>
              <w:jc w:val="both"/>
              <w:rPr>
                <w:rFonts w:eastAsia="宋体"/>
                <w:szCs w:val="21"/>
              </w:rPr>
            </w:pPr>
            <w:r>
              <w:rPr>
                <w:szCs w:val="21"/>
              </w:rPr>
              <w:t xml:space="preserve">L3-L4 </w:t>
            </w:r>
            <w:r>
              <w:rPr>
                <w:rFonts w:eastAsia="宋体"/>
                <w:szCs w:val="21"/>
              </w:rPr>
              <w:t>a</w:t>
            </w:r>
          </w:p>
        </w:tc>
        <w:tc>
          <w:tcPr>
            <w:tcW w:w="2130" w:type="dxa"/>
            <w:tcBorders>
              <w:top w:val="single" w:color="000000" w:sz="6" w:space="0"/>
              <w:left w:val="nil"/>
              <w:bottom w:val="nil"/>
              <w:right w:val="nil"/>
            </w:tcBorders>
          </w:tcPr>
          <w:p>
            <w:pPr>
              <w:spacing w:line="360" w:lineRule="auto"/>
              <w:jc w:val="both"/>
              <w:rPr>
                <w:rFonts w:eastAsia="宋体"/>
                <w:szCs w:val="21"/>
              </w:rPr>
            </w:pPr>
            <w:r>
              <w:rPr>
                <w:szCs w:val="21"/>
              </w:rPr>
              <w:t>21.56</w:t>
            </w:r>
            <w:r>
              <w:rPr>
                <w:rFonts w:eastAsia="宋体"/>
                <w:szCs w:val="21"/>
              </w:rPr>
              <w:t>±</w:t>
            </w:r>
            <w:r>
              <w:rPr>
                <w:szCs w:val="21"/>
              </w:rPr>
              <w:t>2.67</w:t>
            </w:r>
          </w:p>
        </w:tc>
        <w:tc>
          <w:tcPr>
            <w:tcW w:w="2131" w:type="dxa"/>
            <w:tcBorders>
              <w:top w:val="single" w:color="000000" w:sz="6" w:space="0"/>
              <w:left w:val="nil"/>
              <w:bottom w:val="nil"/>
              <w:right w:val="nil"/>
            </w:tcBorders>
          </w:tcPr>
          <w:p>
            <w:pPr>
              <w:spacing w:line="360" w:lineRule="auto"/>
              <w:jc w:val="both"/>
              <w:rPr>
                <w:rFonts w:eastAsia="宋体"/>
                <w:szCs w:val="21"/>
              </w:rPr>
            </w:pPr>
            <w:r>
              <w:rPr>
                <w:szCs w:val="21"/>
              </w:rPr>
              <w:t>22.51</w:t>
            </w:r>
            <w:r>
              <w:rPr>
                <w:rFonts w:eastAsia="宋体"/>
                <w:szCs w:val="21"/>
              </w:rPr>
              <w:t>±</w:t>
            </w:r>
            <w:r>
              <w:rPr>
                <w:szCs w:val="21"/>
              </w:rPr>
              <w:t>2.40</w:t>
            </w:r>
          </w:p>
        </w:tc>
        <w:tc>
          <w:tcPr>
            <w:tcW w:w="2131" w:type="dxa"/>
            <w:tcBorders>
              <w:top w:val="single" w:color="000000" w:sz="6" w:space="0"/>
              <w:left w:val="nil"/>
              <w:bottom w:val="nil"/>
              <w:right w:val="nil"/>
            </w:tcBorders>
          </w:tcPr>
          <w:p>
            <w:pPr>
              <w:spacing w:line="360" w:lineRule="auto"/>
              <w:jc w:val="both"/>
              <w:rPr>
                <w:rFonts w:eastAsia="宋体"/>
                <w:szCs w:val="21"/>
              </w:rPr>
            </w:pPr>
            <w:r>
              <w:rPr>
                <w:szCs w:val="21"/>
              </w:rPr>
              <w:t>21.37</w:t>
            </w:r>
            <w:r>
              <w:rPr>
                <w:rFonts w:eastAsia="宋体"/>
                <w:szCs w:val="21"/>
              </w:rPr>
              <w:t>±</w:t>
            </w:r>
            <w:r>
              <w:rPr>
                <w:szCs w:val="21"/>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L3-L4 </w:t>
            </w:r>
            <w:r>
              <w:rPr>
                <w:rFonts w:eastAsia="宋体"/>
                <w:szCs w:val="21"/>
              </w:rPr>
              <w:t>b</w:t>
            </w:r>
          </w:p>
        </w:tc>
        <w:tc>
          <w:tcPr>
            <w:tcW w:w="2130" w:type="dxa"/>
            <w:tcBorders>
              <w:top w:val="nil"/>
              <w:left w:val="nil"/>
              <w:bottom w:val="nil"/>
              <w:right w:val="nil"/>
            </w:tcBorders>
          </w:tcPr>
          <w:p>
            <w:pPr>
              <w:spacing w:line="360" w:lineRule="auto"/>
              <w:jc w:val="both"/>
              <w:rPr>
                <w:rFonts w:eastAsia="宋体"/>
                <w:szCs w:val="21"/>
              </w:rPr>
            </w:pPr>
            <w:r>
              <w:rPr>
                <w:szCs w:val="21"/>
              </w:rPr>
              <w:t>9.84</w:t>
            </w:r>
            <w:r>
              <w:rPr>
                <w:rFonts w:eastAsia="宋体"/>
                <w:szCs w:val="21"/>
              </w:rPr>
              <w:t>±1.</w:t>
            </w:r>
            <w:r>
              <w:rPr>
                <w:szCs w:val="21"/>
              </w:rPr>
              <w:t>92</w:t>
            </w:r>
          </w:p>
        </w:tc>
        <w:tc>
          <w:tcPr>
            <w:tcW w:w="2131" w:type="dxa"/>
            <w:tcBorders>
              <w:top w:val="nil"/>
              <w:left w:val="nil"/>
              <w:bottom w:val="nil"/>
              <w:right w:val="nil"/>
            </w:tcBorders>
          </w:tcPr>
          <w:p>
            <w:pPr>
              <w:spacing w:line="360" w:lineRule="auto"/>
              <w:jc w:val="both"/>
              <w:rPr>
                <w:rFonts w:eastAsia="宋体"/>
                <w:szCs w:val="21"/>
              </w:rPr>
            </w:pPr>
            <w:r>
              <w:rPr>
                <w:szCs w:val="21"/>
              </w:rPr>
              <w:t>9.98</w:t>
            </w:r>
            <w:r>
              <w:rPr>
                <w:rFonts w:eastAsia="宋体"/>
                <w:szCs w:val="21"/>
              </w:rPr>
              <w:t>±</w:t>
            </w:r>
            <w:r>
              <w:rPr>
                <w:szCs w:val="21"/>
              </w:rPr>
              <w:t>2.05</w:t>
            </w:r>
          </w:p>
        </w:tc>
        <w:tc>
          <w:tcPr>
            <w:tcW w:w="2131" w:type="dxa"/>
            <w:tcBorders>
              <w:top w:val="nil"/>
              <w:left w:val="nil"/>
              <w:bottom w:val="nil"/>
              <w:right w:val="nil"/>
            </w:tcBorders>
          </w:tcPr>
          <w:p>
            <w:pPr>
              <w:spacing w:line="360" w:lineRule="auto"/>
              <w:jc w:val="both"/>
              <w:rPr>
                <w:rFonts w:eastAsia="宋体"/>
                <w:szCs w:val="21"/>
              </w:rPr>
            </w:pPr>
            <w:r>
              <w:rPr>
                <w:szCs w:val="21"/>
              </w:rPr>
              <w:t>9</w:t>
            </w:r>
            <w:r>
              <w:rPr>
                <w:rFonts w:eastAsia="宋体"/>
                <w:szCs w:val="21"/>
              </w:rPr>
              <w:t>.</w:t>
            </w:r>
            <w:r>
              <w:rPr>
                <w:szCs w:val="21"/>
              </w:rPr>
              <w:t>11</w:t>
            </w:r>
            <w:r>
              <w:rPr>
                <w:rFonts w:eastAsia="宋体"/>
                <w:szCs w:val="21"/>
              </w:rPr>
              <w:t>±</w:t>
            </w:r>
            <w:r>
              <w:rPr>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L3-L4 </w:t>
            </w:r>
            <w:r>
              <w:rPr>
                <w:rFonts w:eastAsia="宋体"/>
                <w:szCs w:val="21"/>
              </w:rPr>
              <w:t>c</w:t>
            </w:r>
          </w:p>
        </w:tc>
        <w:tc>
          <w:tcPr>
            <w:tcW w:w="2130" w:type="dxa"/>
            <w:tcBorders>
              <w:top w:val="nil"/>
              <w:left w:val="nil"/>
              <w:bottom w:val="nil"/>
              <w:right w:val="nil"/>
            </w:tcBorders>
          </w:tcPr>
          <w:p>
            <w:pPr>
              <w:spacing w:line="360" w:lineRule="auto"/>
              <w:jc w:val="both"/>
              <w:rPr>
                <w:rFonts w:eastAsia="宋体"/>
                <w:szCs w:val="21"/>
              </w:rPr>
            </w:pPr>
            <w:r>
              <w:rPr>
                <w:szCs w:val="21"/>
              </w:rPr>
              <w:t>10.80</w:t>
            </w:r>
            <w:r>
              <w:rPr>
                <w:rFonts w:eastAsia="宋体"/>
                <w:szCs w:val="21"/>
              </w:rPr>
              <w:t>±</w:t>
            </w:r>
            <w:r>
              <w:rPr>
                <w:szCs w:val="21"/>
              </w:rPr>
              <w:t>1.77</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1</w:t>
            </w:r>
            <w:r>
              <w:rPr>
                <w:szCs w:val="21"/>
              </w:rPr>
              <w:t>1.12</w:t>
            </w:r>
            <w:r>
              <w:rPr>
                <w:rFonts w:eastAsia="宋体"/>
                <w:szCs w:val="21"/>
              </w:rPr>
              <w:t>±1.</w:t>
            </w:r>
            <w:r>
              <w:rPr>
                <w:szCs w:val="21"/>
              </w:rPr>
              <w:t>52</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 xml:space="preserve"> 10.3</w:t>
            </w:r>
            <w:r>
              <w:rPr>
                <w:szCs w:val="21"/>
              </w:rPr>
              <w:t>0</w:t>
            </w:r>
            <w:r>
              <w:rPr>
                <w:rFonts w:eastAsia="宋体"/>
                <w:szCs w:val="21"/>
              </w:rPr>
              <w:t>±1.</w:t>
            </w:r>
            <w:r>
              <w:rPr>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L3-L4 </w:t>
            </w:r>
            <w:r>
              <w:rPr>
                <w:rFonts w:eastAsia="宋体"/>
                <w:szCs w:val="21"/>
              </w:rPr>
              <w:t>d</w:t>
            </w:r>
          </w:p>
        </w:tc>
        <w:tc>
          <w:tcPr>
            <w:tcW w:w="2130" w:type="dxa"/>
            <w:tcBorders>
              <w:top w:val="nil"/>
              <w:left w:val="nil"/>
              <w:bottom w:val="nil"/>
              <w:right w:val="nil"/>
            </w:tcBorders>
          </w:tcPr>
          <w:p>
            <w:pPr>
              <w:spacing w:line="360" w:lineRule="auto"/>
              <w:jc w:val="both"/>
              <w:rPr>
                <w:rFonts w:eastAsia="宋体"/>
                <w:szCs w:val="21"/>
              </w:rPr>
            </w:pPr>
            <w:r>
              <w:rPr>
                <w:szCs w:val="21"/>
              </w:rPr>
              <w:t>10.93</w:t>
            </w:r>
            <w:r>
              <w:rPr>
                <w:rFonts w:eastAsia="宋体"/>
                <w:szCs w:val="21"/>
              </w:rPr>
              <w:t>±1.3</w:t>
            </w:r>
            <w:r>
              <w:rPr>
                <w:szCs w:val="21"/>
              </w:rPr>
              <w:t>9</w:t>
            </w:r>
          </w:p>
        </w:tc>
        <w:tc>
          <w:tcPr>
            <w:tcW w:w="2131" w:type="dxa"/>
            <w:tcBorders>
              <w:top w:val="nil"/>
              <w:left w:val="nil"/>
              <w:bottom w:val="nil"/>
              <w:right w:val="nil"/>
            </w:tcBorders>
          </w:tcPr>
          <w:p>
            <w:pPr>
              <w:spacing w:line="360" w:lineRule="auto"/>
              <w:jc w:val="both"/>
              <w:rPr>
                <w:rFonts w:eastAsia="宋体"/>
                <w:szCs w:val="21"/>
              </w:rPr>
            </w:pPr>
            <w:r>
              <w:rPr>
                <w:szCs w:val="21"/>
              </w:rPr>
              <w:t>11.38</w:t>
            </w:r>
            <w:r>
              <w:rPr>
                <w:rFonts w:eastAsia="宋体"/>
                <w:szCs w:val="21"/>
              </w:rPr>
              <w:t>±1.</w:t>
            </w:r>
            <w:r>
              <w:rPr>
                <w:szCs w:val="21"/>
              </w:rPr>
              <w:t>27</w:t>
            </w:r>
          </w:p>
        </w:tc>
        <w:tc>
          <w:tcPr>
            <w:tcW w:w="2131" w:type="dxa"/>
            <w:tcBorders>
              <w:top w:val="nil"/>
              <w:left w:val="nil"/>
              <w:bottom w:val="nil"/>
              <w:right w:val="nil"/>
            </w:tcBorders>
          </w:tcPr>
          <w:p>
            <w:pPr>
              <w:spacing w:line="360" w:lineRule="auto"/>
              <w:jc w:val="both"/>
              <w:rPr>
                <w:rFonts w:eastAsia="宋体"/>
                <w:szCs w:val="21"/>
              </w:rPr>
            </w:pPr>
            <w:r>
              <w:rPr>
                <w:szCs w:val="21"/>
              </w:rPr>
              <w:t>10.68</w:t>
            </w:r>
            <w:r>
              <w:rPr>
                <w:rFonts w:eastAsia="宋体"/>
                <w:szCs w:val="21"/>
              </w:rPr>
              <w:t>±1.</w:t>
            </w:r>
            <w:r>
              <w:rPr>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L3-L4 </w:t>
            </w:r>
            <w:r>
              <w:rPr>
                <w:rFonts w:eastAsia="宋体"/>
                <w:szCs w:val="21"/>
              </w:rPr>
              <w:t>e</w:t>
            </w:r>
          </w:p>
        </w:tc>
        <w:tc>
          <w:tcPr>
            <w:tcW w:w="2130" w:type="dxa"/>
            <w:tcBorders>
              <w:top w:val="nil"/>
              <w:left w:val="nil"/>
              <w:bottom w:val="nil"/>
              <w:right w:val="nil"/>
            </w:tcBorders>
          </w:tcPr>
          <w:p>
            <w:pPr>
              <w:spacing w:line="360" w:lineRule="auto"/>
              <w:jc w:val="both"/>
              <w:rPr>
                <w:rFonts w:eastAsia="宋体"/>
                <w:szCs w:val="21"/>
              </w:rPr>
            </w:pPr>
            <w:r>
              <w:rPr>
                <w:szCs w:val="21"/>
              </w:rPr>
              <w:t>6.85</w:t>
            </w:r>
            <w:r>
              <w:rPr>
                <w:rFonts w:eastAsia="宋体"/>
                <w:szCs w:val="21"/>
              </w:rPr>
              <w:t>±1.</w:t>
            </w:r>
            <w:r>
              <w:rPr>
                <w:szCs w:val="21"/>
              </w:rPr>
              <w:t>37</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7.</w:t>
            </w:r>
            <w:r>
              <w:rPr>
                <w:szCs w:val="21"/>
              </w:rPr>
              <w:t>02</w:t>
            </w:r>
            <w:r>
              <w:rPr>
                <w:rFonts w:eastAsia="宋体"/>
                <w:szCs w:val="21"/>
              </w:rPr>
              <w:t>±1.</w:t>
            </w:r>
            <w:r>
              <w:rPr>
                <w:szCs w:val="21"/>
              </w:rPr>
              <w:t>43</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7.59±1.28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L4-L5 </w:t>
            </w:r>
            <w:r>
              <w:rPr>
                <w:rFonts w:eastAsia="宋体"/>
                <w:szCs w:val="21"/>
              </w:rPr>
              <w:t>a</w:t>
            </w:r>
          </w:p>
        </w:tc>
        <w:tc>
          <w:tcPr>
            <w:tcW w:w="2130" w:type="dxa"/>
            <w:tcBorders>
              <w:top w:val="nil"/>
              <w:left w:val="nil"/>
              <w:bottom w:val="nil"/>
              <w:right w:val="nil"/>
            </w:tcBorders>
          </w:tcPr>
          <w:p>
            <w:pPr>
              <w:spacing w:line="360" w:lineRule="auto"/>
              <w:jc w:val="both"/>
              <w:rPr>
                <w:rFonts w:eastAsia="宋体"/>
                <w:szCs w:val="21"/>
              </w:rPr>
            </w:pPr>
            <w:r>
              <w:rPr>
                <w:szCs w:val="21"/>
              </w:rPr>
              <w:t>20.15</w:t>
            </w:r>
            <w:r>
              <w:rPr>
                <w:rFonts w:eastAsia="宋体"/>
                <w:szCs w:val="21"/>
              </w:rPr>
              <w:t>±</w:t>
            </w:r>
            <w:r>
              <w:rPr>
                <w:szCs w:val="21"/>
              </w:rPr>
              <w:t>2.36</w:t>
            </w:r>
          </w:p>
        </w:tc>
        <w:tc>
          <w:tcPr>
            <w:tcW w:w="2131" w:type="dxa"/>
            <w:tcBorders>
              <w:top w:val="nil"/>
              <w:left w:val="nil"/>
              <w:bottom w:val="nil"/>
              <w:right w:val="nil"/>
            </w:tcBorders>
          </w:tcPr>
          <w:p>
            <w:pPr>
              <w:spacing w:line="360" w:lineRule="auto"/>
              <w:jc w:val="both"/>
              <w:rPr>
                <w:rFonts w:eastAsia="宋体"/>
                <w:szCs w:val="21"/>
              </w:rPr>
            </w:pPr>
            <w:r>
              <w:rPr>
                <w:szCs w:val="21"/>
              </w:rPr>
              <w:t>20.77</w:t>
            </w:r>
            <w:r>
              <w:rPr>
                <w:rFonts w:eastAsia="宋体"/>
                <w:szCs w:val="21"/>
              </w:rPr>
              <w:t>±2.</w:t>
            </w:r>
            <w:r>
              <w:rPr>
                <w:szCs w:val="21"/>
              </w:rPr>
              <w:t>78</w:t>
            </w:r>
          </w:p>
        </w:tc>
        <w:tc>
          <w:tcPr>
            <w:tcW w:w="2131" w:type="dxa"/>
            <w:tcBorders>
              <w:top w:val="nil"/>
              <w:left w:val="nil"/>
              <w:bottom w:val="nil"/>
              <w:right w:val="nil"/>
            </w:tcBorders>
          </w:tcPr>
          <w:p>
            <w:pPr>
              <w:spacing w:line="360" w:lineRule="auto"/>
              <w:jc w:val="both"/>
              <w:rPr>
                <w:rFonts w:eastAsia="宋体"/>
                <w:szCs w:val="21"/>
              </w:rPr>
            </w:pPr>
            <w:r>
              <w:rPr>
                <w:szCs w:val="21"/>
              </w:rPr>
              <w:t>19.42</w:t>
            </w:r>
            <w:r>
              <w:rPr>
                <w:rFonts w:eastAsia="宋体"/>
                <w:szCs w:val="21"/>
              </w:rPr>
              <w:t>±2.</w:t>
            </w:r>
            <w:r>
              <w:rPr>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L4-L5 </w:t>
            </w:r>
            <w:r>
              <w:rPr>
                <w:rFonts w:eastAsia="宋体"/>
                <w:szCs w:val="21"/>
              </w:rPr>
              <w:t>b</w:t>
            </w:r>
          </w:p>
        </w:tc>
        <w:tc>
          <w:tcPr>
            <w:tcW w:w="2130" w:type="dxa"/>
            <w:tcBorders>
              <w:top w:val="nil"/>
              <w:left w:val="nil"/>
              <w:bottom w:val="nil"/>
              <w:right w:val="nil"/>
            </w:tcBorders>
          </w:tcPr>
          <w:p>
            <w:pPr>
              <w:spacing w:line="360" w:lineRule="auto"/>
              <w:jc w:val="both"/>
              <w:rPr>
                <w:rFonts w:eastAsia="宋体"/>
                <w:szCs w:val="21"/>
              </w:rPr>
            </w:pPr>
            <w:r>
              <w:rPr>
                <w:szCs w:val="21"/>
              </w:rPr>
              <w:t>8.89</w:t>
            </w:r>
            <w:r>
              <w:rPr>
                <w:rFonts w:eastAsia="宋体"/>
                <w:szCs w:val="21"/>
              </w:rPr>
              <w:t>±</w:t>
            </w:r>
            <w:r>
              <w:rPr>
                <w:szCs w:val="21"/>
              </w:rPr>
              <w:t>2.75</w:t>
            </w:r>
          </w:p>
        </w:tc>
        <w:tc>
          <w:tcPr>
            <w:tcW w:w="2131" w:type="dxa"/>
            <w:tcBorders>
              <w:top w:val="nil"/>
              <w:left w:val="nil"/>
              <w:bottom w:val="nil"/>
              <w:right w:val="nil"/>
            </w:tcBorders>
          </w:tcPr>
          <w:p>
            <w:pPr>
              <w:spacing w:line="360" w:lineRule="auto"/>
              <w:jc w:val="both"/>
              <w:rPr>
                <w:rFonts w:eastAsia="宋体"/>
                <w:szCs w:val="21"/>
              </w:rPr>
            </w:pPr>
            <w:r>
              <w:rPr>
                <w:szCs w:val="21"/>
              </w:rPr>
              <w:t>8.40</w:t>
            </w:r>
            <w:r>
              <w:rPr>
                <w:rFonts w:eastAsia="宋体"/>
                <w:szCs w:val="21"/>
              </w:rPr>
              <w:t>±</w:t>
            </w:r>
            <w:r>
              <w:rPr>
                <w:szCs w:val="21"/>
              </w:rPr>
              <w:t>2.99</w:t>
            </w:r>
          </w:p>
        </w:tc>
        <w:tc>
          <w:tcPr>
            <w:tcW w:w="2131" w:type="dxa"/>
            <w:tcBorders>
              <w:top w:val="nil"/>
              <w:left w:val="nil"/>
              <w:bottom w:val="nil"/>
              <w:right w:val="nil"/>
            </w:tcBorders>
          </w:tcPr>
          <w:p>
            <w:pPr>
              <w:spacing w:line="360" w:lineRule="auto"/>
              <w:jc w:val="both"/>
              <w:rPr>
                <w:rFonts w:eastAsia="宋体"/>
                <w:szCs w:val="21"/>
              </w:rPr>
            </w:pPr>
            <w:r>
              <w:rPr>
                <w:szCs w:val="21"/>
              </w:rPr>
              <w:t>8.41</w:t>
            </w:r>
            <w:r>
              <w:rPr>
                <w:rFonts w:eastAsia="宋体"/>
                <w:szCs w:val="21"/>
              </w:rPr>
              <w:t>±</w:t>
            </w:r>
            <w:r>
              <w:rPr>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L4-L5 </w:t>
            </w:r>
            <w:r>
              <w:rPr>
                <w:rFonts w:eastAsia="宋体"/>
                <w:szCs w:val="21"/>
              </w:rPr>
              <w:t>c</w:t>
            </w:r>
          </w:p>
        </w:tc>
        <w:tc>
          <w:tcPr>
            <w:tcW w:w="2130" w:type="dxa"/>
            <w:tcBorders>
              <w:top w:val="nil"/>
              <w:left w:val="nil"/>
              <w:bottom w:val="nil"/>
              <w:right w:val="nil"/>
            </w:tcBorders>
          </w:tcPr>
          <w:p>
            <w:pPr>
              <w:spacing w:line="360" w:lineRule="auto"/>
              <w:jc w:val="both"/>
              <w:rPr>
                <w:rFonts w:eastAsia="宋体"/>
                <w:szCs w:val="21"/>
              </w:rPr>
            </w:pPr>
            <w:r>
              <w:rPr>
                <w:szCs w:val="21"/>
              </w:rPr>
              <w:t>10.88</w:t>
            </w:r>
            <w:r>
              <w:rPr>
                <w:rFonts w:eastAsia="宋体"/>
                <w:szCs w:val="21"/>
              </w:rPr>
              <w:t>±</w:t>
            </w:r>
            <w:r>
              <w:rPr>
                <w:szCs w:val="21"/>
              </w:rPr>
              <w:t>2.08</w:t>
            </w:r>
          </w:p>
        </w:tc>
        <w:tc>
          <w:tcPr>
            <w:tcW w:w="2131" w:type="dxa"/>
            <w:tcBorders>
              <w:top w:val="nil"/>
              <w:left w:val="nil"/>
              <w:bottom w:val="nil"/>
              <w:right w:val="nil"/>
            </w:tcBorders>
          </w:tcPr>
          <w:p>
            <w:pPr>
              <w:spacing w:line="360" w:lineRule="auto"/>
              <w:jc w:val="both"/>
              <w:rPr>
                <w:rFonts w:eastAsia="宋体"/>
                <w:szCs w:val="21"/>
              </w:rPr>
            </w:pPr>
            <w:r>
              <w:rPr>
                <w:szCs w:val="21"/>
              </w:rPr>
              <w:t>11.37</w:t>
            </w:r>
            <w:r>
              <w:rPr>
                <w:rFonts w:eastAsia="宋体"/>
                <w:szCs w:val="21"/>
              </w:rPr>
              <w:t>±</w:t>
            </w:r>
            <w:r>
              <w:rPr>
                <w:szCs w:val="21"/>
              </w:rPr>
              <w:t>2.02</w:t>
            </w:r>
          </w:p>
        </w:tc>
        <w:tc>
          <w:tcPr>
            <w:tcW w:w="2131" w:type="dxa"/>
            <w:tcBorders>
              <w:top w:val="nil"/>
              <w:left w:val="nil"/>
              <w:bottom w:val="nil"/>
              <w:right w:val="nil"/>
            </w:tcBorders>
          </w:tcPr>
          <w:p>
            <w:pPr>
              <w:spacing w:line="360" w:lineRule="auto"/>
              <w:jc w:val="both"/>
              <w:rPr>
                <w:rFonts w:eastAsia="宋体"/>
                <w:szCs w:val="21"/>
              </w:rPr>
            </w:pPr>
            <w:r>
              <w:rPr>
                <w:szCs w:val="21"/>
              </w:rPr>
              <w:t>10.43</w:t>
            </w:r>
            <w:r>
              <w:rPr>
                <w:rFonts w:eastAsia="宋体"/>
                <w:szCs w:val="21"/>
              </w:rPr>
              <w:t>±1.</w:t>
            </w:r>
            <w:r>
              <w:rPr>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L4-L5 </w:t>
            </w:r>
            <w:r>
              <w:rPr>
                <w:rFonts w:eastAsia="宋体"/>
                <w:szCs w:val="21"/>
              </w:rPr>
              <w:t>d</w:t>
            </w:r>
          </w:p>
        </w:tc>
        <w:tc>
          <w:tcPr>
            <w:tcW w:w="2130" w:type="dxa"/>
            <w:tcBorders>
              <w:top w:val="nil"/>
              <w:left w:val="nil"/>
              <w:bottom w:val="nil"/>
              <w:right w:val="nil"/>
            </w:tcBorders>
          </w:tcPr>
          <w:p>
            <w:pPr>
              <w:spacing w:line="360" w:lineRule="auto"/>
              <w:jc w:val="both"/>
              <w:rPr>
                <w:rFonts w:eastAsia="宋体"/>
                <w:szCs w:val="21"/>
              </w:rPr>
            </w:pPr>
            <w:r>
              <w:rPr>
                <w:szCs w:val="21"/>
              </w:rPr>
              <w:t>10.15</w:t>
            </w:r>
            <w:r>
              <w:rPr>
                <w:rFonts w:eastAsia="宋体"/>
                <w:szCs w:val="21"/>
              </w:rPr>
              <w:t>±1.</w:t>
            </w:r>
            <w:r>
              <w:rPr>
                <w:szCs w:val="21"/>
              </w:rPr>
              <w:t>21</w:t>
            </w:r>
          </w:p>
        </w:tc>
        <w:tc>
          <w:tcPr>
            <w:tcW w:w="2131" w:type="dxa"/>
            <w:tcBorders>
              <w:top w:val="nil"/>
              <w:left w:val="nil"/>
              <w:bottom w:val="nil"/>
              <w:right w:val="nil"/>
            </w:tcBorders>
          </w:tcPr>
          <w:p>
            <w:pPr>
              <w:spacing w:line="360" w:lineRule="auto"/>
              <w:jc w:val="both"/>
              <w:rPr>
                <w:rFonts w:eastAsia="宋体"/>
                <w:szCs w:val="21"/>
              </w:rPr>
            </w:pPr>
            <w:r>
              <w:rPr>
                <w:szCs w:val="21"/>
              </w:rPr>
              <w:t>10.52</w:t>
            </w:r>
            <w:r>
              <w:rPr>
                <w:rFonts w:eastAsia="宋体"/>
                <w:szCs w:val="21"/>
              </w:rPr>
              <w:t>±1.</w:t>
            </w:r>
            <w:r>
              <w:rPr>
                <w:szCs w:val="21"/>
              </w:rPr>
              <w:t>48</w:t>
            </w:r>
          </w:p>
        </w:tc>
        <w:tc>
          <w:tcPr>
            <w:tcW w:w="2131" w:type="dxa"/>
            <w:tcBorders>
              <w:top w:val="nil"/>
              <w:left w:val="nil"/>
              <w:bottom w:val="nil"/>
              <w:right w:val="nil"/>
            </w:tcBorders>
          </w:tcPr>
          <w:p>
            <w:pPr>
              <w:spacing w:line="360" w:lineRule="auto"/>
              <w:jc w:val="both"/>
              <w:rPr>
                <w:rFonts w:eastAsia="宋体"/>
                <w:szCs w:val="21"/>
              </w:rPr>
            </w:pPr>
            <w:r>
              <w:rPr>
                <w:szCs w:val="21"/>
              </w:rPr>
              <w:t>9.29</w:t>
            </w:r>
            <w:r>
              <w:rPr>
                <w:rFonts w:eastAsia="宋体"/>
                <w:szCs w:val="21"/>
              </w:rPr>
              <w:t>±1.</w:t>
            </w:r>
            <w:r>
              <w:rPr>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L4-L5 </w:t>
            </w:r>
            <w:r>
              <w:rPr>
                <w:rFonts w:eastAsia="宋体"/>
                <w:szCs w:val="21"/>
              </w:rPr>
              <w:t>e</w:t>
            </w:r>
          </w:p>
        </w:tc>
        <w:tc>
          <w:tcPr>
            <w:tcW w:w="2130" w:type="dxa"/>
            <w:tcBorders>
              <w:top w:val="nil"/>
              <w:left w:val="nil"/>
              <w:bottom w:val="nil"/>
              <w:right w:val="nil"/>
            </w:tcBorders>
          </w:tcPr>
          <w:p>
            <w:pPr>
              <w:spacing w:line="360" w:lineRule="auto"/>
              <w:jc w:val="both"/>
              <w:rPr>
                <w:rFonts w:eastAsia="宋体"/>
                <w:szCs w:val="21"/>
              </w:rPr>
            </w:pPr>
            <w:r>
              <w:rPr>
                <w:szCs w:val="21"/>
              </w:rPr>
              <w:t>6.17</w:t>
            </w:r>
            <w:r>
              <w:rPr>
                <w:rFonts w:eastAsia="宋体"/>
                <w:szCs w:val="21"/>
              </w:rPr>
              <w:t>±1.</w:t>
            </w:r>
            <w:r>
              <w:rPr>
                <w:szCs w:val="21"/>
              </w:rPr>
              <w:t>89</w:t>
            </w:r>
          </w:p>
        </w:tc>
        <w:tc>
          <w:tcPr>
            <w:tcW w:w="2131" w:type="dxa"/>
            <w:tcBorders>
              <w:top w:val="nil"/>
              <w:left w:val="nil"/>
              <w:bottom w:val="nil"/>
              <w:right w:val="nil"/>
            </w:tcBorders>
          </w:tcPr>
          <w:p>
            <w:pPr>
              <w:spacing w:line="360" w:lineRule="auto"/>
              <w:jc w:val="both"/>
              <w:rPr>
                <w:rFonts w:eastAsia="宋体"/>
                <w:szCs w:val="21"/>
              </w:rPr>
            </w:pPr>
            <w:r>
              <w:rPr>
                <w:szCs w:val="21"/>
              </w:rPr>
              <w:t>5.87</w:t>
            </w:r>
            <w:r>
              <w:rPr>
                <w:rFonts w:eastAsia="宋体"/>
                <w:szCs w:val="21"/>
              </w:rPr>
              <w:t>±</w:t>
            </w:r>
            <w:r>
              <w:rPr>
                <w:szCs w:val="21"/>
              </w:rPr>
              <w:t>2.09</w:t>
            </w:r>
          </w:p>
        </w:tc>
        <w:tc>
          <w:tcPr>
            <w:tcW w:w="2131" w:type="dxa"/>
            <w:tcBorders>
              <w:top w:val="nil"/>
              <w:left w:val="nil"/>
              <w:bottom w:val="nil"/>
              <w:right w:val="nil"/>
            </w:tcBorders>
          </w:tcPr>
          <w:p>
            <w:pPr>
              <w:spacing w:line="360" w:lineRule="auto"/>
              <w:jc w:val="both"/>
              <w:rPr>
                <w:rFonts w:eastAsia="宋体"/>
                <w:szCs w:val="21"/>
              </w:rPr>
            </w:pPr>
            <w:r>
              <w:rPr>
                <w:szCs w:val="21"/>
              </w:rPr>
              <w:t>4.89</w:t>
            </w:r>
            <w:r>
              <w:rPr>
                <w:rFonts w:eastAsia="宋体"/>
                <w:szCs w:val="21"/>
              </w:rPr>
              <w:t>±1.</w:t>
            </w:r>
            <w:r>
              <w:rPr>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L5-S1 </w:t>
            </w:r>
            <w:r>
              <w:rPr>
                <w:rFonts w:eastAsia="宋体"/>
                <w:szCs w:val="21"/>
              </w:rPr>
              <w:t>a</w:t>
            </w:r>
          </w:p>
        </w:tc>
        <w:tc>
          <w:tcPr>
            <w:tcW w:w="2130" w:type="dxa"/>
            <w:tcBorders>
              <w:top w:val="nil"/>
              <w:left w:val="nil"/>
              <w:bottom w:val="nil"/>
              <w:right w:val="nil"/>
            </w:tcBorders>
          </w:tcPr>
          <w:p>
            <w:pPr>
              <w:spacing w:line="360" w:lineRule="auto"/>
              <w:jc w:val="both"/>
              <w:rPr>
                <w:rFonts w:eastAsia="宋体"/>
                <w:szCs w:val="21"/>
              </w:rPr>
            </w:pPr>
            <w:r>
              <w:rPr>
                <w:szCs w:val="21"/>
              </w:rPr>
              <w:t>15.43</w:t>
            </w:r>
            <w:r>
              <w:rPr>
                <w:rFonts w:eastAsia="宋体"/>
                <w:szCs w:val="21"/>
              </w:rPr>
              <w:t>±</w:t>
            </w:r>
            <w:r>
              <w:rPr>
                <w:szCs w:val="21"/>
              </w:rPr>
              <w:t>2.52</w:t>
            </w:r>
          </w:p>
        </w:tc>
        <w:tc>
          <w:tcPr>
            <w:tcW w:w="2131" w:type="dxa"/>
            <w:tcBorders>
              <w:top w:val="nil"/>
              <w:left w:val="nil"/>
              <w:bottom w:val="nil"/>
              <w:right w:val="nil"/>
            </w:tcBorders>
          </w:tcPr>
          <w:p>
            <w:pPr>
              <w:spacing w:line="360" w:lineRule="auto"/>
              <w:jc w:val="both"/>
              <w:rPr>
                <w:rFonts w:eastAsia="宋体"/>
                <w:szCs w:val="21"/>
              </w:rPr>
            </w:pPr>
            <w:r>
              <w:rPr>
                <w:szCs w:val="21"/>
              </w:rPr>
              <w:t>15.13</w:t>
            </w:r>
            <w:r>
              <w:rPr>
                <w:rFonts w:eastAsia="宋体"/>
                <w:szCs w:val="21"/>
              </w:rPr>
              <w:t>±</w:t>
            </w:r>
            <w:r>
              <w:rPr>
                <w:szCs w:val="21"/>
              </w:rPr>
              <w:t>2.62</w:t>
            </w:r>
          </w:p>
        </w:tc>
        <w:tc>
          <w:tcPr>
            <w:tcW w:w="2131" w:type="dxa"/>
            <w:tcBorders>
              <w:top w:val="nil"/>
              <w:left w:val="nil"/>
              <w:bottom w:val="nil"/>
              <w:right w:val="nil"/>
            </w:tcBorders>
          </w:tcPr>
          <w:p>
            <w:pPr>
              <w:spacing w:line="360" w:lineRule="auto"/>
              <w:jc w:val="both"/>
              <w:rPr>
                <w:rFonts w:eastAsia="宋体"/>
                <w:szCs w:val="21"/>
              </w:rPr>
            </w:pPr>
            <w:r>
              <w:rPr>
                <w:szCs w:val="21"/>
              </w:rPr>
              <w:t>13.82</w:t>
            </w:r>
            <w:r>
              <w:rPr>
                <w:rFonts w:eastAsia="宋体"/>
                <w:szCs w:val="21"/>
              </w:rPr>
              <w:t>±</w:t>
            </w:r>
            <w:r>
              <w:rPr>
                <w:szCs w:val="21"/>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L5-S1 </w:t>
            </w:r>
            <w:r>
              <w:rPr>
                <w:rFonts w:eastAsia="宋体"/>
                <w:szCs w:val="21"/>
              </w:rPr>
              <w:t>b</w:t>
            </w:r>
          </w:p>
        </w:tc>
        <w:tc>
          <w:tcPr>
            <w:tcW w:w="2130" w:type="dxa"/>
            <w:tcBorders>
              <w:top w:val="nil"/>
              <w:left w:val="nil"/>
              <w:bottom w:val="nil"/>
              <w:right w:val="nil"/>
            </w:tcBorders>
          </w:tcPr>
          <w:p>
            <w:pPr>
              <w:spacing w:line="360" w:lineRule="auto"/>
              <w:jc w:val="both"/>
              <w:rPr>
                <w:rFonts w:eastAsia="宋体"/>
                <w:szCs w:val="21"/>
              </w:rPr>
            </w:pPr>
            <w:r>
              <w:rPr>
                <w:szCs w:val="21"/>
              </w:rPr>
              <w:t>6.44</w:t>
            </w:r>
            <w:r>
              <w:rPr>
                <w:rFonts w:eastAsia="宋体"/>
                <w:szCs w:val="21"/>
              </w:rPr>
              <w:t>±</w:t>
            </w:r>
            <w:r>
              <w:rPr>
                <w:szCs w:val="21"/>
              </w:rPr>
              <w:t>2.20</w:t>
            </w:r>
          </w:p>
        </w:tc>
        <w:tc>
          <w:tcPr>
            <w:tcW w:w="2131" w:type="dxa"/>
            <w:tcBorders>
              <w:top w:val="nil"/>
              <w:left w:val="nil"/>
              <w:bottom w:val="nil"/>
              <w:right w:val="nil"/>
            </w:tcBorders>
          </w:tcPr>
          <w:p>
            <w:pPr>
              <w:spacing w:line="360" w:lineRule="auto"/>
              <w:jc w:val="both"/>
              <w:rPr>
                <w:rFonts w:eastAsia="宋体"/>
                <w:szCs w:val="21"/>
              </w:rPr>
            </w:pPr>
            <w:r>
              <w:rPr>
                <w:szCs w:val="21"/>
              </w:rPr>
              <w:t>6.49</w:t>
            </w:r>
            <w:r>
              <w:rPr>
                <w:rFonts w:eastAsia="宋体"/>
                <w:szCs w:val="21"/>
              </w:rPr>
              <w:t>±</w:t>
            </w:r>
            <w:r>
              <w:rPr>
                <w:szCs w:val="21"/>
              </w:rPr>
              <w:t>2.47</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11.05±1.16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L5-S1 </w:t>
            </w:r>
            <w:r>
              <w:rPr>
                <w:rFonts w:eastAsia="宋体"/>
                <w:szCs w:val="21"/>
              </w:rPr>
              <w:t>c</w:t>
            </w:r>
          </w:p>
        </w:tc>
        <w:tc>
          <w:tcPr>
            <w:tcW w:w="2130" w:type="dxa"/>
            <w:tcBorders>
              <w:top w:val="nil"/>
              <w:left w:val="nil"/>
              <w:bottom w:val="nil"/>
              <w:right w:val="nil"/>
            </w:tcBorders>
          </w:tcPr>
          <w:p>
            <w:pPr>
              <w:spacing w:line="360" w:lineRule="auto"/>
              <w:jc w:val="both"/>
              <w:rPr>
                <w:rFonts w:eastAsia="宋体"/>
                <w:szCs w:val="21"/>
              </w:rPr>
            </w:pPr>
            <w:r>
              <w:rPr>
                <w:szCs w:val="21"/>
              </w:rPr>
              <w:t>10.08</w:t>
            </w:r>
            <w:r>
              <w:rPr>
                <w:rFonts w:eastAsia="宋体"/>
                <w:szCs w:val="21"/>
              </w:rPr>
              <w:t>±1.</w:t>
            </w:r>
            <w:r>
              <w:rPr>
                <w:szCs w:val="21"/>
              </w:rPr>
              <w:t>67</w:t>
            </w:r>
          </w:p>
        </w:tc>
        <w:tc>
          <w:tcPr>
            <w:tcW w:w="2131" w:type="dxa"/>
            <w:tcBorders>
              <w:top w:val="nil"/>
              <w:left w:val="nil"/>
              <w:bottom w:val="nil"/>
              <w:right w:val="nil"/>
            </w:tcBorders>
          </w:tcPr>
          <w:p>
            <w:pPr>
              <w:spacing w:line="360" w:lineRule="auto"/>
              <w:jc w:val="both"/>
              <w:rPr>
                <w:rFonts w:eastAsia="宋体"/>
                <w:szCs w:val="21"/>
              </w:rPr>
            </w:pPr>
            <w:r>
              <w:rPr>
                <w:szCs w:val="21"/>
              </w:rPr>
              <w:t>10.72</w:t>
            </w:r>
            <w:r>
              <w:rPr>
                <w:rFonts w:eastAsia="宋体"/>
                <w:szCs w:val="21"/>
              </w:rPr>
              <w:t>±1.</w:t>
            </w:r>
            <w:r>
              <w:rPr>
                <w:szCs w:val="21"/>
              </w:rPr>
              <w:t>57</w:t>
            </w:r>
          </w:p>
        </w:tc>
        <w:tc>
          <w:tcPr>
            <w:tcW w:w="2131" w:type="dxa"/>
            <w:tcBorders>
              <w:top w:val="nil"/>
              <w:left w:val="nil"/>
              <w:bottom w:val="nil"/>
              <w:right w:val="nil"/>
            </w:tcBorders>
          </w:tcPr>
          <w:p>
            <w:pPr>
              <w:spacing w:line="360" w:lineRule="auto"/>
              <w:jc w:val="both"/>
              <w:rPr>
                <w:rFonts w:eastAsia="宋体"/>
                <w:szCs w:val="21"/>
              </w:rPr>
            </w:pPr>
            <w:r>
              <w:rPr>
                <w:szCs w:val="21"/>
              </w:rPr>
              <w:t>9.93</w:t>
            </w:r>
            <w:r>
              <w:rPr>
                <w:rFonts w:eastAsia="宋体"/>
                <w:szCs w:val="21"/>
              </w:rPr>
              <w:t>±1.</w:t>
            </w:r>
            <w:r>
              <w:rPr>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L5-S1 </w:t>
            </w:r>
            <w:r>
              <w:rPr>
                <w:rFonts w:eastAsia="宋体"/>
                <w:szCs w:val="21"/>
              </w:rPr>
              <w:t>d</w:t>
            </w:r>
          </w:p>
        </w:tc>
        <w:tc>
          <w:tcPr>
            <w:tcW w:w="2130" w:type="dxa"/>
            <w:tcBorders>
              <w:top w:val="nil"/>
              <w:left w:val="nil"/>
              <w:bottom w:val="nil"/>
              <w:right w:val="nil"/>
            </w:tcBorders>
          </w:tcPr>
          <w:p>
            <w:pPr>
              <w:spacing w:line="360" w:lineRule="auto"/>
              <w:jc w:val="both"/>
              <w:rPr>
                <w:rFonts w:eastAsia="宋体"/>
                <w:szCs w:val="21"/>
              </w:rPr>
            </w:pPr>
            <w:r>
              <w:rPr>
                <w:rFonts w:eastAsia="宋体"/>
                <w:szCs w:val="21"/>
              </w:rPr>
              <w:t>7.</w:t>
            </w:r>
            <w:r>
              <w:rPr>
                <w:szCs w:val="21"/>
              </w:rPr>
              <w:t>82</w:t>
            </w:r>
            <w:r>
              <w:rPr>
                <w:rFonts w:eastAsia="宋体"/>
                <w:szCs w:val="21"/>
              </w:rPr>
              <w:t>±</w:t>
            </w:r>
            <w:r>
              <w:rPr>
                <w:szCs w:val="21"/>
              </w:rPr>
              <w:t>1.29</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7.</w:t>
            </w:r>
            <w:r>
              <w:rPr>
                <w:szCs w:val="21"/>
              </w:rPr>
              <w:t>63</w:t>
            </w:r>
            <w:r>
              <w:rPr>
                <w:rFonts w:eastAsia="宋体"/>
                <w:szCs w:val="21"/>
              </w:rPr>
              <w:t>±</w:t>
            </w:r>
            <w:r>
              <w:rPr>
                <w:szCs w:val="21"/>
              </w:rPr>
              <w:t>1.34</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6.</w:t>
            </w:r>
            <w:r>
              <w:rPr>
                <w:szCs w:val="21"/>
              </w:rPr>
              <w:t>42</w:t>
            </w:r>
            <w:r>
              <w:rPr>
                <w:rFonts w:eastAsia="宋体"/>
                <w:szCs w:val="21"/>
              </w:rPr>
              <w:t>±</w:t>
            </w:r>
            <w:r>
              <w:rPr>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single" w:color="000000" w:sz="12" w:space="0"/>
              <w:right w:val="nil"/>
            </w:tcBorders>
          </w:tcPr>
          <w:p>
            <w:pPr>
              <w:spacing w:line="360" w:lineRule="auto"/>
              <w:jc w:val="both"/>
              <w:rPr>
                <w:rFonts w:eastAsia="宋体"/>
                <w:szCs w:val="21"/>
              </w:rPr>
            </w:pPr>
            <w:r>
              <w:rPr>
                <w:szCs w:val="21"/>
              </w:rPr>
              <w:t xml:space="preserve">L5-S1 </w:t>
            </w:r>
            <w:r>
              <w:rPr>
                <w:rFonts w:eastAsia="宋体"/>
                <w:szCs w:val="21"/>
              </w:rPr>
              <w:t>e</w:t>
            </w:r>
          </w:p>
        </w:tc>
        <w:tc>
          <w:tcPr>
            <w:tcW w:w="2130" w:type="dxa"/>
            <w:tcBorders>
              <w:top w:val="nil"/>
              <w:left w:val="nil"/>
              <w:bottom w:val="single" w:color="000000" w:sz="12" w:space="0"/>
              <w:right w:val="nil"/>
            </w:tcBorders>
          </w:tcPr>
          <w:p>
            <w:pPr>
              <w:spacing w:line="360" w:lineRule="auto"/>
              <w:jc w:val="both"/>
              <w:rPr>
                <w:rFonts w:eastAsia="宋体"/>
                <w:szCs w:val="21"/>
              </w:rPr>
            </w:pPr>
            <w:r>
              <w:rPr>
                <w:szCs w:val="21"/>
              </w:rPr>
              <w:t>4.50</w:t>
            </w:r>
            <w:r>
              <w:rPr>
                <w:rFonts w:eastAsia="宋体"/>
                <w:szCs w:val="21"/>
              </w:rPr>
              <w:t>±</w:t>
            </w:r>
            <w:r>
              <w:rPr>
                <w:szCs w:val="21"/>
              </w:rPr>
              <w:t>1.52</w:t>
            </w:r>
          </w:p>
        </w:tc>
        <w:tc>
          <w:tcPr>
            <w:tcW w:w="2131" w:type="dxa"/>
            <w:tcBorders>
              <w:top w:val="nil"/>
              <w:left w:val="nil"/>
              <w:bottom w:val="single" w:color="000000" w:sz="12" w:space="0"/>
              <w:right w:val="nil"/>
            </w:tcBorders>
          </w:tcPr>
          <w:p>
            <w:pPr>
              <w:spacing w:line="360" w:lineRule="auto"/>
              <w:jc w:val="both"/>
              <w:rPr>
                <w:rFonts w:eastAsia="宋体"/>
                <w:szCs w:val="21"/>
              </w:rPr>
            </w:pPr>
            <w:r>
              <w:rPr>
                <w:szCs w:val="21"/>
              </w:rPr>
              <w:t>4.54</w:t>
            </w:r>
            <w:r>
              <w:rPr>
                <w:rFonts w:eastAsia="宋体"/>
                <w:szCs w:val="21"/>
              </w:rPr>
              <w:t>±1.</w:t>
            </w:r>
            <w:r>
              <w:rPr>
                <w:szCs w:val="21"/>
              </w:rPr>
              <w:t>75</w:t>
            </w:r>
          </w:p>
        </w:tc>
        <w:tc>
          <w:tcPr>
            <w:tcW w:w="2131" w:type="dxa"/>
            <w:tcBorders>
              <w:top w:val="nil"/>
              <w:left w:val="nil"/>
              <w:bottom w:val="single" w:color="000000" w:sz="12" w:space="0"/>
              <w:right w:val="nil"/>
            </w:tcBorders>
          </w:tcPr>
          <w:p>
            <w:pPr>
              <w:spacing w:line="360" w:lineRule="auto"/>
              <w:jc w:val="both"/>
              <w:rPr>
                <w:rFonts w:eastAsia="宋体"/>
                <w:szCs w:val="21"/>
              </w:rPr>
            </w:pPr>
            <w:r>
              <w:rPr>
                <w:szCs w:val="21"/>
              </w:rPr>
              <w:t>3.74</w:t>
            </w:r>
            <w:r>
              <w:rPr>
                <w:rFonts w:eastAsia="宋体"/>
                <w:szCs w:val="21"/>
              </w:rPr>
              <w:t>±1.</w:t>
            </w:r>
            <w:r>
              <w:rPr>
                <w:szCs w:val="21"/>
              </w:rPr>
              <w:t>41</w:t>
            </w:r>
          </w:p>
        </w:tc>
      </w:tr>
    </w:tbl>
    <w:p>
      <w:pPr>
        <w:spacing w:line="360" w:lineRule="auto"/>
        <w:jc w:val="both"/>
        <w:rPr>
          <w:szCs w:val="21"/>
        </w:rPr>
      </w:pPr>
    </w:p>
    <w:p>
      <w:pPr>
        <w:spacing w:line="360" w:lineRule="auto"/>
        <w:jc w:val="both"/>
        <w:rPr>
          <w:szCs w:val="21"/>
          <w:lang w:eastAsia="zh-CN"/>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xtzj" w:date="2020-03-12T18:09:00Z" w:initials="x">
    <w:p w14:paraId="2E11706F">
      <w:pPr>
        <w:pStyle w:val="9"/>
      </w:pPr>
      <w:r>
        <w:t>Please explain which imaging examination is used for confirmation</w:t>
      </w:r>
    </w:p>
  </w:comment>
  <w:comment w:id="1" w:author="xtzj" w:date="2020-03-12T18:20:00Z" w:initials="x">
    <w:p w14:paraId="41A576CC">
      <w:pPr>
        <w:pStyle w:val="9"/>
      </w:pPr>
      <w:r>
        <w:t>Please confirm that the width of the intervertebral foramen should not be from the posterior cortex of the lamina to the posterior cortex of the vertebral body</w:t>
      </w:r>
      <w:r>
        <w:rPr>
          <w:rFonts w:hint="eastAsia"/>
          <w:lang w:eastAsia="zh-CN"/>
        </w:rPr>
        <w:t>？</w:t>
      </w:r>
    </w:p>
  </w:comment>
  <w:comment w:id="2" w:author="xtzj" w:date="2020-03-12T18:29:00Z" w:initials="x">
    <w:p w14:paraId="5CDD342A">
      <w:pPr>
        <w:pStyle w:val="9"/>
      </w:pPr>
      <w:r>
        <w:t>According to age, the patients were divided into three groups, but there was no statistical significance between the first two groups. Does the author think this is due to the influence of sample size? Or why not divide into two groups based on 60 years old?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11706F" w15:done="0"/>
  <w15:commentEx w15:paraId="41A576CC" w15:done="0"/>
  <w15:commentEx w15:paraId="5CDD342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BnbrxnAdvPTimesB">
    <w:altName w:val="Cambria"/>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A0000287" w:usb1="28CF3C52"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0C07"/>
    <w:multiLevelType w:val="multilevel"/>
    <w:tmpl w:val="3C5D0C07"/>
    <w:lvl w:ilvl="0" w:tentative="0">
      <w:start w:val="1"/>
      <w:numFmt w:val="decimal"/>
      <w:pStyle w:val="39"/>
      <w:lvlText w:val="(%1)"/>
      <w:lvlJc w:val="right"/>
      <w:pPr>
        <w:ind w:left="720" w:hanging="153"/>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BD96BF8"/>
    <w:multiLevelType w:val="multilevel"/>
    <w:tmpl w:val="5BD96BF8"/>
    <w:lvl w:ilvl="0" w:tentative="0">
      <w:start w:val="1"/>
      <w:numFmt w:val="bullet"/>
      <w:pStyle w:val="4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Arial"/>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Arial"/>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tzj">
    <w15:presenceInfo w15:providerId="None" w15:userId="xtz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linkStyle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IzsDAwMjc2MTY0sjBV0lEKTi0uzszPAykwrQUAGKvKmywAAAA="/>
    <w:docVar w:name="EN.Layout" w:val="&lt;ENLayout&gt;&lt;Style&gt;Ge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311B55"/>
    <w:rsid w:val="0000269E"/>
    <w:rsid w:val="00004A92"/>
    <w:rsid w:val="00010C8E"/>
    <w:rsid w:val="00013D7A"/>
    <w:rsid w:val="000362CD"/>
    <w:rsid w:val="00036496"/>
    <w:rsid w:val="000810D0"/>
    <w:rsid w:val="00094D74"/>
    <w:rsid w:val="000B7B95"/>
    <w:rsid w:val="000C5453"/>
    <w:rsid w:val="000C77F5"/>
    <w:rsid w:val="000D2D3A"/>
    <w:rsid w:val="000F0570"/>
    <w:rsid w:val="000F257A"/>
    <w:rsid w:val="000F381D"/>
    <w:rsid w:val="000F737E"/>
    <w:rsid w:val="00114D0A"/>
    <w:rsid w:val="00146B93"/>
    <w:rsid w:val="00172290"/>
    <w:rsid w:val="001A1085"/>
    <w:rsid w:val="001B7498"/>
    <w:rsid w:val="001E1CC0"/>
    <w:rsid w:val="001E6C5F"/>
    <w:rsid w:val="002249C0"/>
    <w:rsid w:val="00237073"/>
    <w:rsid w:val="00251F69"/>
    <w:rsid w:val="002945A0"/>
    <w:rsid w:val="002C2136"/>
    <w:rsid w:val="002C369C"/>
    <w:rsid w:val="002E60F5"/>
    <w:rsid w:val="0030641B"/>
    <w:rsid w:val="00311B55"/>
    <w:rsid w:val="00364734"/>
    <w:rsid w:val="00366E14"/>
    <w:rsid w:val="00384763"/>
    <w:rsid w:val="003A671B"/>
    <w:rsid w:val="003A76A6"/>
    <w:rsid w:val="003B024D"/>
    <w:rsid w:val="003C46CD"/>
    <w:rsid w:val="003D0F59"/>
    <w:rsid w:val="0040477C"/>
    <w:rsid w:val="004441E5"/>
    <w:rsid w:val="00455976"/>
    <w:rsid w:val="00455AA9"/>
    <w:rsid w:val="004D440C"/>
    <w:rsid w:val="004E53F7"/>
    <w:rsid w:val="00537939"/>
    <w:rsid w:val="0055559A"/>
    <w:rsid w:val="005575C1"/>
    <w:rsid w:val="005677E4"/>
    <w:rsid w:val="00585798"/>
    <w:rsid w:val="005F1B04"/>
    <w:rsid w:val="00604CE4"/>
    <w:rsid w:val="00613C95"/>
    <w:rsid w:val="00625913"/>
    <w:rsid w:val="00626ABE"/>
    <w:rsid w:val="00653B37"/>
    <w:rsid w:val="00685177"/>
    <w:rsid w:val="006A1944"/>
    <w:rsid w:val="00717A14"/>
    <w:rsid w:val="00743EE8"/>
    <w:rsid w:val="00754176"/>
    <w:rsid w:val="00767CD5"/>
    <w:rsid w:val="0077349C"/>
    <w:rsid w:val="00785D36"/>
    <w:rsid w:val="007A421B"/>
    <w:rsid w:val="007C2C81"/>
    <w:rsid w:val="007D7A57"/>
    <w:rsid w:val="007E4871"/>
    <w:rsid w:val="00852B5E"/>
    <w:rsid w:val="008804F0"/>
    <w:rsid w:val="008A3C54"/>
    <w:rsid w:val="008B3D3F"/>
    <w:rsid w:val="008C783F"/>
    <w:rsid w:val="008D4ECE"/>
    <w:rsid w:val="009236BC"/>
    <w:rsid w:val="009338D6"/>
    <w:rsid w:val="00986577"/>
    <w:rsid w:val="009B7674"/>
    <w:rsid w:val="009E2AED"/>
    <w:rsid w:val="00A55365"/>
    <w:rsid w:val="00A56679"/>
    <w:rsid w:val="00A86ACE"/>
    <w:rsid w:val="00AA126E"/>
    <w:rsid w:val="00AB6649"/>
    <w:rsid w:val="00AD01A4"/>
    <w:rsid w:val="00AD3F69"/>
    <w:rsid w:val="00AE7624"/>
    <w:rsid w:val="00AF1131"/>
    <w:rsid w:val="00AF2C7A"/>
    <w:rsid w:val="00B117B5"/>
    <w:rsid w:val="00B6502A"/>
    <w:rsid w:val="00B73534"/>
    <w:rsid w:val="00BA2FED"/>
    <w:rsid w:val="00C03C15"/>
    <w:rsid w:val="00C04EAE"/>
    <w:rsid w:val="00C07546"/>
    <w:rsid w:val="00C71B4F"/>
    <w:rsid w:val="00C8363B"/>
    <w:rsid w:val="00CA6816"/>
    <w:rsid w:val="00CB19FF"/>
    <w:rsid w:val="00CB5056"/>
    <w:rsid w:val="00CB7394"/>
    <w:rsid w:val="00CC08B9"/>
    <w:rsid w:val="00D05896"/>
    <w:rsid w:val="00D22CDD"/>
    <w:rsid w:val="00D24C17"/>
    <w:rsid w:val="00D36DBD"/>
    <w:rsid w:val="00D53066"/>
    <w:rsid w:val="00DA4049"/>
    <w:rsid w:val="00DA411D"/>
    <w:rsid w:val="00DB0569"/>
    <w:rsid w:val="00DB72B6"/>
    <w:rsid w:val="00DB73FC"/>
    <w:rsid w:val="00DC1B07"/>
    <w:rsid w:val="00DC2229"/>
    <w:rsid w:val="00E23A42"/>
    <w:rsid w:val="00E26465"/>
    <w:rsid w:val="00E35529"/>
    <w:rsid w:val="00E460DD"/>
    <w:rsid w:val="00E7268D"/>
    <w:rsid w:val="00EA259C"/>
    <w:rsid w:val="00EB54F9"/>
    <w:rsid w:val="00EF14AA"/>
    <w:rsid w:val="00F00777"/>
    <w:rsid w:val="00F06489"/>
    <w:rsid w:val="00F264B8"/>
    <w:rsid w:val="00F81720"/>
    <w:rsid w:val="00F82118"/>
    <w:rsid w:val="00FA76CF"/>
    <w:rsid w:val="00FC383C"/>
    <w:rsid w:val="00FD23E4"/>
    <w:rsid w:val="00FE7FDC"/>
    <w:rsid w:val="311F0C5B"/>
    <w:rsid w:val="5E0D5CAA"/>
    <w:rsid w:val="69513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qFormat="1" w:uiPriority="99" w:name="annotation reference"/>
    <w:lsdException w:uiPriority="99" w:name="line number"/>
    <w:lsdException w:uiPriority="99"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0" w:lineRule="auto"/>
    </w:pPr>
    <w:rPr>
      <w:rFonts w:ascii="Times New Roman" w:hAnsi="Times New Roman" w:cs="Times New Roman" w:eastAsiaTheme="minorEastAsia"/>
      <w:sz w:val="24"/>
      <w:szCs w:val="24"/>
      <w:lang w:val="en-GB" w:eastAsia="en-GB" w:bidi="ar-SA"/>
    </w:rPr>
  </w:style>
  <w:style w:type="paragraph" w:styleId="2">
    <w:name w:val="heading 1"/>
    <w:basedOn w:val="1"/>
    <w:next w:val="3"/>
    <w:link w:val="27"/>
    <w:qFormat/>
    <w:uiPriority w:val="0"/>
    <w:pPr>
      <w:keepNext/>
      <w:spacing w:before="360" w:after="60" w:line="360" w:lineRule="auto"/>
      <w:ind w:right="567"/>
      <w:contextualSpacing/>
      <w:outlineLvl w:val="0"/>
    </w:pPr>
    <w:rPr>
      <w:rFonts w:cs="Arial"/>
      <w:b/>
      <w:bCs/>
      <w:kern w:val="32"/>
      <w:szCs w:val="32"/>
    </w:rPr>
  </w:style>
  <w:style w:type="paragraph" w:styleId="5">
    <w:name w:val="heading 2"/>
    <w:basedOn w:val="1"/>
    <w:next w:val="3"/>
    <w:link w:val="28"/>
    <w:qFormat/>
    <w:uiPriority w:val="0"/>
    <w:pPr>
      <w:keepNext/>
      <w:spacing w:before="360" w:after="60" w:line="360" w:lineRule="auto"/>
      <w:ind w:right="567"/>
      <w:contextualSpacing/>
      <w:outlineLvl w:val="1"/>
    </w:pPr>
    <w:rPr>
      <w:rFonts w:cs="Arial"/>
      <w:b/>
      <w:bCs/>
      <w:i/>
      <w:iCs/>
      <w:szCs w:val="28"/>
    </w:rPr>
  </w:style>
  <w:style w:type="paragraph" w:styleId="6">
    <w:name w:val="heading 3"/>
    <w:basedOn w:val="1"/>
    <w:next w:val="3"/>
    <w:link w:val="29"/>
    <w:qFormat/>
    <w:uiPriority w:val="0"/>
    <w:pPr>
      <w:keepNext/>
      <w:spacing w:before="360" w:after="60" w:line="360" w:lineRule="auto"/>
      <w:ind w:right="567"/>
      <w:contextualSpacing/>
      <w:outlineLvl w:val="2"/>
    </w:pPr>
    <w:rPr>
      <w:rFonts w:cs="Arial"/>
      <w:bCs/>
      <w:i/>
      <w:szCs w:val="26"/>
    </w:rPr>
  </w:style>
  <w:style w:type="paragraph" w:styleId="7">
    <w:name w:val="heading 4"/>
    <w:basedOn w:val="3"/>
    <w:next w:val="4"/>
    <w:link w:val="30"/>
    <w:uiPriority w:val="0"/>
    <w:pPr>
      <w:spacing w:before="360"/>
      <w:outlineLvl w:val="3"/>
    </w:pPr>
    <w:rPr>
      <w:bCs/>
      <w:szCs w:val="28"/>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customStyle="1" w:styleId="3">
    <w:name w:val="Paragraph"/>
    <w:basedOn w:val="1"/>
    <w:next w:val="4"/>
    <w:qFormat/>
    <w:uiPriority w:val="0"/>
    <w:pPr>
      <w:widowControl w:val="0"/>
      <w:spacing w:before="240"/>
    </w:pPr>
  </w:style>
  <w:style w:type="paragraph" w:customStyle="1" w:styleId="4">
    <w:name w:val="New paragraph"/>
    <w:basedOn w:val="1"/>
    <w:qFormat/>
    <w:uiPriority w:val="0"/>
    <w:pPr>
      <w:ind w:firstLine="720"/>
    </w:pPr>
  </w:style>
  <w:style w:type="paragraph" w:styleId="8">
    <w:name w:val="Normal Indent"/>
    <w:basedOn w:val="1"/>
    <w:qFormat/>
    <w:uiPriority w:val="0"/>
    <w:pPr>
      <w:ind w:left="720"/>
    </w:pPr>
  </w:style>
  <w:style w:type="paragraph" w:styleId="9">
    <w:name w:val="annotation text"/>
    <w:basedOn w:val="1"/>
    <w:link w:val="24"/>
    <w:semiHidden/>
    <w:unhideWhenUsed/>
    <w:uiPriority w:val="99"/>
  </w:style>
  <w:style w:type="paragraph" w:styleId="10">
    <w:name w:val="endnote text"/>
    <w:basedOn w:val="1"/>
    <w:link w:val="51"/>
    <w:qFormat/>
    <w:uiPriority w:val="0"/>
    <w:pPr>
      <w:ind w:left="284" w:hanging="284"/>
    </w:pPr>
    <w:rPr>
      <w:sz w:val="22"/>
      <w:szCs w:val="20"/>
    </w:rPr>
  </w:style>
  <w:style w:type="paragraph" w:styleId="11">
    <w:name w:val="Balloon Text"/>
    <w:basedOn w:val="1"/>
    <w:link w:val="26"/>
    <w:semiHidden/>
    <w:unhideWhenUsed/>
    <w:qFormat/>
    <w:uiPriority w:val="99"/>
    <w:rPr>
      <w:sz w:val="18"/>
      <w:szCs w:val="18"/>
    </w:rPr>
  </w:style>
  <w:style w:type="paragraph" w:styleId="12">
    <w:name w:val="footer"/>
    <w:basedOn w:val="1"/>
    <w:link w:val="23"/>
    <w:qFormat/>
    <w:uiPriority w:val="0"/>
    <w:pPr>
      <w:tabs>
        <w:tab w:val="center" w:pos="4320"/>
        <w:tab w:val="right" w:pos="8640"/>
      </w:tabs>
      <w:spacing w:before="240" w:line="240" w:lineRule="auto"/>
      <w:contextualSpacing/>
    </w:pPr>
  </w:style>
  <w:style w:type="paragraph" w:styleId="13">
    <w:name w:val="header"/>
    <w:basedOn w:val="1"/>
    <w:link w:val="22"/>
    <w:qFormat/>
    <w:uiPriority w:val="0"/>
    <w:pPr>
      <w:tabs>
        <w:tab w:val="center" w:pos="4320"/>
        <w:tab w:val="right" w:pos="8640"/>
      </w:tabs>
      <w:spacing w:after="120" w:line="240" w:lineRule="auto"/>
      <w:contextualSpacing/>
    </w:pPr>
  </w:style>
  <w:style w:type="paragraph" w:styleId="14">
    <w:name w:val="footnote text"/>
    <w:basedOn w:val="1"/>
    <w:link w:val="50"/>
    <w:qFormat/>
    <w:uiPriority w:val="0"/>
    <w:pPr>
      <w:ind w:left="284" w:hanging="284"/>
    </w:pPr>
    <w:rPr>
      <w:sz w:val="22"/>
      <w:szCs w:val="20"/>
    </w:rPr>
  </w:style>
  <w:style w:type="paragraph" w:styleId="15">
    <w:name w:val="annotation subject"/>
    <w:basedOn w:val="9"/>
    <w:next w:val="9"/>
    <w:link w:val="25"/>
    <w:semiHidden/>
    <w:unhideWhenUsed/>
    <w:qFormat/>
    <w:uiPriority w:val="99"/>
    <w:rPr>
      <w:b/>
      <w:bCs/>
    </w:rPr>
  </w:style>
  <w:style w:type="character" w:styleId="18">
    <w:name w:val="endnote reference"/>
    <w:basedOn w:val="17"/>
    <w:qFormat/>
    <w:uiPriority w:val="0"/>
    <w:rPr>
      <w:vertAlign w:val="superscript"/>
    </w:rPr>
  </w:style>
  <w:style w:type="character" w:styleId="19">
    <w:name w:val="Hyperlink"/>
    <w:basedOn w:val="17"/>
    <w:uiPriority w:val="0"/>
    <w:rPr>
      <w:color w:val="0000FF"/>
      <w:u w:val="single"/>
    </w:rPr>
  </w:style>
  <w:style w:type="character" w:styleId="20">
    <w:name w:val="annotation reference"/>
    <w:basedOn w:val="17"/>
    <w:semiHidden/>
    <w:unhideWhenUsed/>
    <w:qFormat/>
    <w:uiPriority w:val="99"/>
    <w:rPr>
      <w:sz w:val="21"/>
      <w:szCs w:val="21"/>
    </w:rPr>
  </w:style>
  <w:style w:type="character" w:styleId="21">
    <w:name w:val="footnote reference"/>
    <w:basedOn w:val="17"/>
    <w:uiPriority w:val="0"/>
    <w:rPr>
      <w:vertAlign w:val="superscript"/>
    </w:rPr>
  </w:style>
  <w:style w:type="character" w:customStyle="1" w:styleId="22">
    <w:name w:val="页眉 字符"/>
    <w:basedOn w:val="17"/>
    <w:link w:val="13"/>
    <w:qFormat/>
    <w:uiPriority w:val="0"/>
    <w:rPr>
      <w:rFonts w:ascii="Times New Roman" w:hAnsi="Times New Roman" w:cs="Times New Roman"/>
      <w:kern w:val="0"/>
      <w:sz w:val="24"/>
      <w:szCs w:val="24"/>
      <w:lang w:val="en-GB" w:eastAsia="en-GB"/>
    </w:rPr>
  </w:style>
  <w:style w:type="character" w:customStyle="1" w:styleId="23">
    <w:name w:val="页脚 字符"/>
    <w:basedOn w:val="17"/>
    <w:link w:val="12"/>
    <w:qFormat/>
    <w:uiPriority w:val="0"/>
    <w:rPr>
      <w:rFonts w:ascii="Times New Roman" w:hAnsi="Times New Roman" w:cs="Times New Roman"/>
      <w:kern w:val="0"/>
      <w:sz w:val="24"/>
      <w:szCs w:val="24"/>
      <w:lang w:val="en-GB" w:eastAsia="en-GB"/>
    </w:rPr>
  </w:style>
  <w:style w:type="character" w:customStyle="1" w:styleId="24">
    <w:name w:val="批注文字 字符"/>
    <w:basedOn w:val="17"/>
    <w:link w:val="9"/>
    <w:semiHidden/>
    <w:qFormat/>
    <w:uiPriority w:val="99"/>
  </w:style>
  <w:style w:type="character" w:customStyle="1" w:styleId="25">
    <w:name w:val="批注主题 字符"/>
    <w:basedOn w:val="24"/>
    <w:link w:val="15"/>
    <w:semiHidden/>
    <w:qFormat/>
    <w:uiPriority w:val="99"/>
    <w:rPr>
      <w:b/>
      <w:bCs/>
    </w:rPr>
  </w:style>
  <w:style w:type="character" w:customStyle="1" w:styleId="26">
    <w:name w:val="批注框文本 字符"/>
    <w:basedOn w:val="17"/>
    <w:link w:val="11"/>
    <w:semiHidden/>
    <w:uiPriority w:val="99"/>
    <w:rPr>
      <w:sz w:val="18"/>
      <w:szCs w:val="18"/>
    </w:rPr>
  </w:style>
  <w:style w:type="character" w:customStyle="1" w:styleId="27">
    <w:name w:val="标题 1 字符"/>
    <w:basedOn w:val="17"/>
    <w:link w:val="2"/>
    <w:uiPriority w:val="0"/>
    <w:rPr>
      <w:rFonts w:ascii="Times New Roman" w:hAnsi="Times New Roman" w:cs="Arial"/>
      <w:b/>
      <w:bCs/>
      <w:kern w:val="32"/>
      <w:sz w:val="24"/>
      <w:szCs w:val="32"/>
      <w:lang w:val="en-GB" w:eastAsia="en-GB"/>
    </w:rPr>
  </w:style>
  <w:style w:type="character" w:customStyle="1" w:styleId="28">
    <w:name w:val="标题 2 字符"/>
    <w:basedOn w:val="17"/>
    <w:link w:val="5"/>
    <w:uiPriority w:val="0"/>
    <w:rPr>
      <w:rFonts w:ascii="Times New Roman" w:hAnsi="Times New Roman" w:cs="Arial"/>
      <w:b/>
      <w:bCs/>
      <w:i/>
      <w:iCs/>
      <w:kern w:val="0"/>
      <w:sz w:val="24"/>
      <w:szCs w:val="28"/>
      <w:lang w:val="en-GB" w:eastAsia="en-GB"/>
    </w:rPr>
  </w:style>
  <w:style w:type="character" w:customStyle="1" w:styleId="29">
    <w:name w:val="标题 3 字符"/>
    <w:basedOn w:val="17"/>
    <w:link w:val="6"/>
    <w:qFormat/>
    <w:uiPriority w:val="0"/>
    <w:rPr>
      <w:rFonts w:ascii="Times New Roman" w:hAnsi="Times New Roman" w:cs="Arial"/>
      <w:bCs/>
      <w:i/>
      <w:kern w:val="0"/>
      <w:sz w:val="24"/>
      <w:szCs w:val="26"/>
      <w:lang w:val="en-GB" w:eastAsia="en-GB"/>
    </w:rPr>
  </w:style>
  <w:style w:type="character" w:customStyle="1" w:styleId="30">
    <w:name w:val="标题 4 字符"/>
    <w:basedOn w:val="17"/>
    <w:link w:val="7"/>
    <w:qFormat/>
    <w:uiPriority w:val="0"/>
    <w:rPr>
      <w:rFonts w:ascii="Times New Roman" w:hAnsi="Times New Roman" w:cs="Times New Roman"/>
      <w:bCs/>
      <w:kern w:val="0"/>
      <w:sz w:val="24"/>
      <w:szCs w:val="28"/>
      <w:lang w:val="en-GB" w:eastAsia="en-GB"/>
    </w:rPr>
  </w:style>
  <w:style w:type="paragraph" w:customStyle="1" w:styleId="31">
    <w:name w:val="Article title"/>
    <w:basedOn w:val="1"/>
    <w:next w:val="1"/>
    <w:qFormat/>
    <w:uiPriority w:val="0"/>
    <w:pPr>
      <w:spacing w:after="120" w:line="360" w:lineRule="auto"/>
    </w:pPr>
    <w:rPr>
      <w:b/>
      <w:sz w:val="28"/>
    </w:rPr>
  </w:style>
  <w:style w:type="paragraph" w:customStyle="1" w:styleId="32">
    <w:name w:val="Author names"/>
    <w:basedOn w:val="1"/>
    <w:next w:val="1"/>
    <w:qFormat/>
    <w:uiPriority w:val="0"/>
    <w:pPr>
      <w:spacing w:before="240" w:line="360" w:lineRule="auto"/>
    </w:pPr>
    <w:rPr>
      <w:sz w:val="28"/>
    </w:rPr>
  </w:style>
  <w:style w:type="paragraph" w:customStyle="1" w:styleId="33">
    <w:name w:val="Affiliation"/>
    <w:basedOn w:val="1"/>
    <w:qFormat/>
    <w:uiPriority w:val="0"/>
    <w:pPr>
      <w:spacing w:before="240" w:line="360" w:lineRule="auto"/>
    </w:pPr>
    <w:rPr>
      <w:i/>
    </w:rPr>
  </w:style>
  <w:style w:type="paragraph" w:customStyle="1" w:styleId="34">
    <w:name w:val="Received dates"/>
    <w:basedOn w:val="33"/>
    <w:next w:val="1"/>
    <w:qFormat/>
    <w:uiPriority w:val="0"/>
  </w:style>
  <w:style w:type="paragraph" w:customStyle="1" w:styleId="35">
    <w:name w:val="Abstract"/>
    <w:basedOn w:val="1"/>
    <w:next w:val="36"/>
    <w:qFormat/>
    <w:uiPriority w:val="0"/>
    <w:pPr>
      <w:spacing w:before="360" w:after="300" w:line="360" w:lineRule="auto"/>
      <w:ind w:left="720" w:right="567"/>
    </w:pPr>
    <w:rPr>
      <w:sz w:val="22"/>
    </w:rPr>
  </w:style>
  <w:style w:type="paragraph" w:customStyle="1" w:styleId="36">
    <w:name w:val="Keywords"/>
    <w:basedOn w:val="1"/>
    <w:next w:val="3"/>
    <w:qFormat/>
    <w:uiPriority w:val="0"/>
    <w:pPr>
      <w:spacing w:before="240" w:after="240" w:line="360" w:lineRule="auto"/>
      <w:ind w:left="720" w:right="567"/>
    </w:pPr>
    <w:rPr>
      <w:sz w:val="22"/>
    </w:rPr>
  </w:style>
  <w:style w:type="paragraph" w:customStyle="1" w:styleId="37">
    <w:name w:val="Correspondence details"/>
    <w:basedOn w:val="1"/>
    <w:qFormat/>
    <w:uiPriority w:val="0"/>
    <w:pPr>
      <w:spacing w:before="240" w:line="360" w:lineRule="auto"/>
    </w:pPr>
  </w:style>
  <w:style w:type="paragraph" w:customStyle="1" w:styleId="38">
    <w:name w:val="Displayed quotation"/>
    <w:basedOn w:val="1"/>
    <w:qFormat/>
    <w:uiPriority w:val="0"/>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39">
    <w:name w:val="Numbered list"/>
    <w:basedOn w:val="3"/>
    <w:next w:val="3"/>
    <w:qFormat/>
    <w:uiPriority w:val="0"/>
    <w:pPr>
      <w:widowControl/>
      <w:numPr>
        <w:ilvl w:val="0"/>
        <w:numId w:val="1"/>
      </w:numPr>
      <w:spacing w:after="240"/>
      <w:contextualSpacing/>
    </w:pPr>
  </w:style>
  <w:style w:type="paragraph" w:customStyle="1" w:styleId="40">
    <w:name w:val="Displayed equation"/>
    <w:basedOn w:val="1"/>
    <w:next w:val="3"/>
    <w:qFormat/>
    <w:uiPriority w:val="0"/>
    <w:pPr>
      <w:tabs>
        <w:tab w:val="center" w:pos="4253"/>
        <w:tab w:val="right" w:pos="8222"/>
      </w:tabs>
      <w:spacing w:before="240" w:after="240"/>
      <w:jc w:val="center"/>
    </w:pPr>
  </w:style>
  <w:style w:type="paragraph" w:customStyle="1" w:styleId="41">
    <w:name w:val="Acknowledgements"/>
    <w:basedOn w:val="1"/>
    <w:next w:val="1"/>
    <w:qFormat/>
    <w:uiPriority w:val="0"/>
    <w:pPr>
      <w:spacing w:before="120" w:line="360" w:lineRule="auto"/>
    </w:pPr>
    <w:rPr>
      <w:sz w:val="22"/>
    </w:rPr>
  </w:style>
  <w:style w:type="paragraph" w:customStyle="1" w:styleId="42">
    <w:name w:val="Table title"/>
    <w:basedOn w:val="1"/>
    <w:next w:val="1"/>
    <w:qFormat/>
    <w:uiPriority w:val="0"/>
    <w:pPr>
      <w:spacing w:before="240" w:line="360" w:lineRule="auto"/>
    </w:pPr>
  </w:style>
  <w:style w:type="paragraph" w:customStyle="1" w:styleId="43">
    <w:name w:val="Figure caption"/>
    <w:basedOn w:val="1"/>
    <w:next w:val="1"/>
    <w:qFormat/>
    <w:uiPriority w:val="0"/>
    <w:pPr>
      <w:spacing w:before="240" w:line="360" w:lineRule="auto"/>
    </w:pPr>
  </w:style>
  <w:style w:type="paragraph" w:customStyle="1" w:styleId="44">
    <w:name w:val="Footnotes"/>
    <w:basedOn w:val="1"/>
    <w:qFormat/>
    <w:uiPriority w:val="0"/>
    <w:pPr>
      <w:spacing w:before="120" w:line="360" w:lineRule="auto"/>
      <w:ind w:left="482" w:hanging="482"/>
      <w:contextualSpacing/>
    </w:pPr>
    <w:rPr>
      <w:sz w:val="22"/>
    </w:rPr>
  </w:style>
  <w:style w:type="paragraph" w:customStyle="1" w:styleId="45">
    <w:name w:val="Notes on contributors"/>
    <w:basedOn w:val="1"/>
    <w:qFormat/>
    <w:uiPriority w:val="0"/>
    <w:pPr>
      <w:spacing w:before="240" w:line="360" w:lineRule="auto"/>
    </w:pPr>
    <w:rPr>
      <w:sz w:val="22"/>
    </w:rPr>
  </w:style>
  <w:style w:type="paragraph" w:customStyle="1" w:styleId="46">
    <w:name w:val="Normal paragraph style"/>
    <w:basedOn w:val="1"/>
    <w:next w:val="1"/>
    <w:qFormat/>
    <w:uiPriority w:val="0"/>
  </w:style>
  <w:style w:type="paragraph" w:customStyle="1" w:styleId="47">
    <w:name w:val="References"/>
    <w:basedOn w:val="1"/>
    <w:qFormat/>
    <w:uiPriority w:val="0"/>
    <w:pPr>
      <w:spacing w:before="120" w:line="360" w:lineRule="auto"/>
      <w:ind w:left="720" w:hanging="720"/>
      <w:contextualSpacing/>
    </w:pPr>
  </w:style>
  <w:style w:type="paragraph" w:customStyle="1" w:styleId="48">
    <w:name w:val="Subject codes"/>
    <w:basedOn w:val="36"/>
    <w:next w:val="3"/>
    <w:qFormat/>
    <w:uiPriority w:val="0"/>
  </w:style>
  <w:style w:type="paragraph" w:customStyle="1" w:styleId="49">
    <w:name w:val="Bulleted list"/>
    <w:basedOn w:val="3"/>
    <w:next w:val="3"/>
    <w:qFormat/>
    <w:uiPriority w:val="0"/>
    <w:pPr>
      <w:widowControl/>
      <w:numPr>
        <w:ilvl w:val="0"/>
        <w:numId w:val="2"/>
      </w:numPr>
      <w:spacing w:after="240"/>
      <w:contextualSpacing/>
    </w:pPr>
  </w:style>
  <w:style w:type="character" w:customStyle="1" w:styleId="50">
    <w:name w:val="脚注文本 字符"/>
    <w:basedOn w:val="17"/>
    <w:link w:val="14"/>
    <w:uiPriority w:val="0"/>
    <w:rPr>
      <w:rFonts w:ascii="Times New Roman" w:hAnsi="Times New Roman" w:cs="Times New Roman"/>
      <w:kern w:val="0"/>
      <w:sz w:val="22"/>
      <w:szCs w:val="20"/>
      <w:lang w:val="en-GB" w:eastAsia="en-GB"/>
    </w:rPr>
  </w:style>
  <w:style w:type="character" w:customStyle="1" w:styleId="51">
    <w:name w:val="尾注文本 字符"/>
    <w:basedOn w:val="17"/>
    <w:link w:val="10"/>
    <w:uiPriority w:val="0"/>
    <w:rPr>
      <w:rFonts w:ascii="Times New Roman" w:hAnsi="Times New Roman" w:cs="Times New Roman"/>
      <w:kern w:val="0"/>
      <w:sz w:val="22"/>
      <w:szCs w:val="20"/>
      <w:lang w:val="en-GB" w:eastAsia="en-GB"/>
    </w:rPr>
  </w:style>
  <w:style w:type="paragraph" w:customStyle="1" w:styleId="52">
    <w:name w:val="Heading 4 + Paragraph"/>
    <w:basedOn w:val="3"/>
    <w:next w:val="4"/>
    <w:qFormat/>
    <w:uiPriority w:val="0"/>
    <w:pPr>
      <w:widowControl/>
      <w:spacing w:before="36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WQ-20160501NYYU\AppData\Roaming\Microsoft\Templates\TF_Template_Word_Windows_201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80D96A-6C7B-4CB3-A981-7BEE738CDCEE}">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Pages>13</Pages>
  <Words>3255</Words>
  <Characters>18557</Characters>
  <Lines>154</Lines>
  <Paragraphs>43</Paragraphs>
  <TotalTime>31</TotalTime>
  <ScaleCrop>false</ScaleCrop>
  <LinksUpToDate>false</LinksUpToDate>
  <CharactersWithSpaces>21769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2019-12-27T08:31:00Z</dcterms:created>
  <dc:creator>office</dc:creator>
  <cp:lastModifiedBy>hh</cp:lastModifiedBy>
  <dcterms:modified xsi:type="dcterms:W3CDTF">2020-03-13T01:31:34Z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