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FD48D6" w14:textId="77777777" w:rsidR="00CA799D" w:rsidRDefault="00415B73">
      <w:pPr>
        <w:jc w:val="center"/>
        <w:rPr>
          <w:b/>
          <w:sz w:val="28"/>
          <w:szCs w:val="28"/>
        </w:rPr>
      </w:pPr>
      <w:r>
        <w:rPr>
          <w:b/>
          <w:sz w:val="28"/>
          <w:szCs w:val="28"/>
        </w:rPr>
        <w:t>Paper Title     Foramen magnum papilloma case report and review of the literature</w:t>
      </w:r>
    </w:p>
    <w:p w14:paraId="50E00F62" w14:textId="77777777" w:rsidR="00CA799D" w:rsidRDefault="00CA799D"/>
    <w:p w14:paraId="3EBB140B" w14:textId="77777777" w:rsidR="00CA799D" w:rsidRDefault="00415B73">
      <w:pPr>
        <w:rPr>
          <w:b/>
          <w:sz w:val="22"/>
          <w:szCs w:val="22"/>
          <w:vertAlign w:val="superscript"/>
          <w:lang w:val="en-US"/>
        </w:rPr>
      </w:pPr>
      <w:r>
        <w:rPr>
          <w:b/>
          <w:sz w:val="22"/>
          <w:szCs w:val="22"/>
        </w:rPr>
        <w:t xml:space="preserve">Veranis Sotiris </w:t>
      </w:r>
      <w:r>
        <w:rPr>
          <w:b/>
          <w:sz w:val="22"/>
          <w:szCs w:val="22"/>
          <w:vertAlign w:val="superscript"/>
        </w:rPr>
        <w:t>1</w:t>
      </w:r>
      <w:r>
        <w:rPr>
          <w:b/>
          <w:sz w:val="22"/>
          <w:szCs w:val="22"/>
        </w:rPr>
        <w:t xml:space="preserve">, Karydakis Ploutarchos </w:t>
      </w:r>
      <w:r>
        <w:rPr>
          <w:b/>
          <w:sz w:val="22"/>
          <w:szCs w:val="22"/>
          <w:vertAlign w:val="superscript"/>
        </w:rPr>
        <w:t>1</w:t>
      </w:r>
      <w:r>
        <w:rPr>
          <w:b/>
          <w:sz w:val="22"/>
          <w:szCs w:val="22"/>
        </w:rPr>
        <w:t xml:space="preserve">, </w:t>
      </w:r>
      <w:r>
        <w:rPr>
          <w:b/>
          <w:sz w:val="22"/>
          <w:szCs w:val="22"/>
          <w:lang w:val="en-US"/>
        </w:rPr>
        <w:t>Tsantopoulos Margaritis</w:t>
      </w:r>
      <w:r>
        <w:rPr>
          <w:b/>
          <w:sz w:val="22"/>
          <w:szCs w:val="22"/>
          <w:vertAlign w:val="superscript"/>
          <w:lang w:val="en-US"/>
        </w:rPr>
        <w:t>2,</w:t>
      </w:r>
      <w:r>
        <w:rPr>
          <w:b/>
          <w:sz w:val="22"/>
          <w:szCs w:val="22"/>
          <w:lang w:val="en-US"/>
        </w:rPr>
        <w:t xml:space="preserve"> Spanou Kallirroi</w:t>
      </w:r>
      <w:r>
        <w:rPr>
          <w:b/>
          <w:sz w:val="22"/>
          <w:szCs w:val="22"/>
          <w:vertAlign w:val="superscript"/>
          <w:lang w:val="en-US"/>
        </w:rPr>
        <w:t>2</w:t>
      </w:r>
      <w:r>
        <w:rPr>
          <w:b/>
          <w:sz w:val="22"/>
          <w:szCs w:val="22"/>
          <w:lang w:val="en-US"/>
        </w:rPr>
        <w:t>,</w:t>
      </w:r>
      <w:r>
        <w:rPr>
          <w:b/>
          <w:sz w:val="22"/>
          <w:szCs w:val="22"/>
        </w:rPr>
        <w:t xml:space="preserve"> Koutsoumpelis George</w:t>
      </w:r>
      <w:r>
        <w:rPr>
          <w:b/>
          <w:sz w:val="22"/>
          <w:szCs w:val="22"/>
          <w:vertAlign w:val="superscript"/>
        </w:rPr>
        <w:t>1</w:t>
      </w:r>
    </w:p>
    <w:p w14:paraId="29FCC3FD" w14:textId="77777777" w:rsidR="00CA799D" w:rsidRDefault="00CA799D">
      <w:pPr>
        <w:rPr>
          <w:sz w:val="22"/>
          <w:szCs w:val="22"/>
        </w:rPr>
      </w:pPr>
    </w:p>
    <w:p w14:paraId="60F77A27" w14:textId="77777777" w:rsidR="00CA799D" w:rsidRDefault="00CA799D"/>
    <w:p w14:paraId="111621AF" w14:textId="77777777" w:rsidR="00CA799D" w:rsidRDefault="00415B73">
      <w:pPr>
        <w:rPr>
          <w:sz w:val="20"/>
          <w:szCs w:val="20"/>
        </w:rPr>
      </w:pPr>
      <w:r>
        <w:rPr>
          <w:sz w:val="20"/>
          <w:szCs w:val="20"/>
          <w:vertAlign w:val="superscript"/>
        </w:rPr>
        <w:t>1</w:t>
      </w:r>
      <w:r>
        <w:rPr>
          <w:sz w:val="20"/>
          <w:szCs w:val="20"/>
        </w:rPr>
        <w:t xml:space="preserve"> 251 General Air Force and Reserve Hospital, Neurosurgical Department</w:t>
      </w:r>
    </w:p>
    <w:p w14:paraId="1916DF30" w14:textId="77777777" w:rsidR="00CA799D" w:rsidRDefault="00415B73">
      <w:pPr>
        <w:rPr>
          <w:sz w:val="20"/>
          <w:szCs w:val="20"/>
          <w:lang w:val="en-US"/>
        </w:rPr>
      </w:pPr>
      <w:r>
        <w:rPr>
          <w:sz w:val="20"/>
          <w:szCs w:val="20"/>
          <w:vertAlign w:val="superscript"/>
        </w:rPr>
        <w:t xml:space="preserve">2 </w:t>
      </w:r>
      <w:r>
        <w:rPr>
          <w:sz w:val="20"/>
          <w:szCs w:val="20"/>
        </w:rPr>
        <w:t xml:space="preserve">251 </w:t>
      </w:r>
      <w:r>
        <w:rPr>
          <w:sz w:val="20"/>
          <w:szCs w:val="20"/>
          <w:lang w:val="en-US"/>
        </w:rPr>
        <w:t>General Air Force and Reserve Hospital, Neuropathology Department</w:t>
      </w:r>
    </w:p>
    <w:p w14:paraId="1D7CF926" w14:textId="77777777" w:rsidR="00CA799D" w:rsidRDefault="00CA799D">
      <w:pPr>
        <w:rPr>
          <w:sz w:val="20"/>
          <w:szCs w:val="20"/>
        </w:rPr>
      </w:pPr>
    </w:p>
    <w:p w14:paraId="5E6EEFEF" w14:textId="77777777" w:rsidR="00CA799D" w:rsidRDefault="00415B73">
      <w:pPr>
        <w:rPr>
          <w:sz w:val="20"/>
          <w:szCs w:val="20"/>
        </w:rPr>
      </w:pPr>
      <w:r>
        <w:rPr>
          <w:sz w:val="20"/>
          <w:szCs w:val="20"/>
        </w:rPr>
        <w:t>Correspondence</w:t>
      </w:r>
    </w:p>
    <w:p w14:paraId="60F78874" w14:textId="77777777" w:rsidR="00CA799D" w:rsidRDefault="00415B73">
      <w:pPr>
        <w:rPr>
          <w:sz w:val="20"/>
          <w:szCs w:val="20"/>
        </w:rPr>
      </w:pPr>
      <w:r>
        <w:rPr>
          <w:sz w:val="20"/>
          <w:szCs w:val="20"/>
        </w:rPr>
        <w:t>Veranis Sotiris, 251 General Air Force and Reserve Hospital, 3-5 Kanellopoulou Street po box 11525</w:t>
      </w:r>
      <w:r>
        <w:rPr>
          <w:sz w:val="20"/>
          <w:szCs w:val="20"/>
        </w:rPr>
        <w:t xml:space="preserve">, </w:t>
      </w:r>
    </w:p>
    <w:p w14:paraId="133AA1CF" w14:textId="77777777" w:rsidR="00CA799D" w:rsidRDefault="00415B73">
      <w:r>
        <w:rPr>
          <w:sz w:val="20"/>
          <w:szCs w:val="20"/>
        </w:rPr>
        <w:t xml:space="preserve">Athens, Greece </w:t>
      </w:r>
    </w:p>
    <w:p w14:paraId="4B5E499B" w14:textId="77777777" w:rsidR="00CA799D" w:rsidRDefault="00415B73">
      <w:r>
        <w:rPr>
          <w:b/>
          <w:sz w:val="20"/>
          <w:szCs w:val="20"/>
        </w:rPr>
        <w:t>Email address</w:t>
      </w:r>
      <w:r>
        <w:rPr>
          <w:sz w:val="20"/>
          <w:szCs w:val="20"/>
        </w:rPr>
        <w:t xml:space="preserve">: </w:t>
      </w:r>
      <w:hyperlink r:id="rId8" w:history="1">
        <w:r>
          <w:rPr>
            <w:rStyle w:val="Hyperlink"/>
            <w:sz w:val="20"/>
            <w:szCs w:val="20"/>
          </w:rPr>
          <w:t>veranissotiris@gmail.com</w:t>
        </w:r>
      </w:hyperlink>
      <w:r>
        <w:rPr>
          <w:sz w:val="20"/>
          <w:szCs w:val="20"/>
        </w:rPr>
        <w:t xml:space="preserve"> </w:t>
      </w:r>
    </w:p>
    <w:p w14:paraId="7B3A9D1E" w14:textId="77777777" w:rsidR="00CA799D" w:rsidRDefault="00CA799D"/>
    <w:p w14:paraId="12AA71A0" w14:textId="77777777" w:rsidR="00CA799D" w:rsidRDefault="00415B73">
      <w:pPr>
        <w:rPr>
          <w:b/>
        </w:rPr>
      </w:pPr>
      <w:r>
        <w:rPr>
          <w:b/>
        </w:rPr>
        <w:t xml:space="preserve">Abstract </w:t>
      </w:r>
    </w:p>
    <w:p w14:paraId="2FD5C5FE" w14:textId="77777777" w:rsidR="00CA799D" w:rsidRDefault="00415B73">
      <w:pPr>
        <w:jc w:val="both"/>
      </w:pPr>
      <w:r>
        <w:t>Atypical choroid plexus papillomas are rare tumors in adults especially when there are located in an extraventricular location.</w:t>
      </w:r>
    </w:p>
    <w:p w14:paraId="371963F6" w14:textId="77777777" w:rsidR="00CA799D" w:rsidRDefault="00415B73">
      <w:pPr>
        <w:jc w:val="both"/>
      </w:pPr>
      <w:r>
        <w:t>We presen</w:t>
      </w:r>
      <w:r>
        <w:t>t a case of a 42-year-old male patient suffering from a foramen magnum choroid plexus papilloma resembling meningioma in initial evaluation who developed dizziness, hearing loss and gait disturbances Patient was treated with suboccipital craniotomy and par</w:t>
      </w:r>
      <w:r>
        <w:t>tial tumor removal. We describe technique and postoperative complications. We further review other published cases with atypical choroid plexus papillomas of the posterior fossa in adults.</w:t>
      </w:r>
    </w:p>
    <w:p w14:paraId="641CA12B" w14:textId="77777777" w:rsidR="00CA799D" w:rsidRDefault="00415B73">
      <w:r>
        <w:rPr>
          <w:b/>
        </w:rPr>
        <w:t>Keywords</w:t>
      </w:r>
      <w:r>
        <w:t xml:space="preserve"> Papilloma, foramen magnum, suboccipital craniotomy, posterior fossa</w:t>
      </w:r>
    </w:p>
    <w:p w14:paraId="395FCF6E" w14:textId="77777777" w:rsidR="00CA799D" w:rsidRDefault="00CA799D"/>
    <w:p w14:paraId="2BA57C83" w14:textId="77777777" w:rsidR="00CA799D" w:rsidRDefault="00415B73">
      <w:pPr>
        <w:rPr>
          <w:b/>
        </w:rPr>
      </w:pPr>
      <w:r>
        <w:rPr>
          <w:b/>
        </w:rPr>
        <w:t>1.Introduction</w:t>
      </w:r>
    </w:p>
    <w:p w14:paraId="06A6875C" w14:textId="77777777" w:rsidR="00CA799D" w:rsidRPr="000D0D1E" w:rsidRDefault="00415B73">
      <w:pPr>
        <w:jc w:val="both"/>
        <w:rPr>
          <w:rFonts w:eastAsia="Times New Roman"/>
          <w:color w:val="000000"/>
          <w:shd w:val="clear" w:color="auto" w:fill="FFFFFF"/>
        </w:rPr>
      </w:pPr>
      <w:r>
        <w:rPr>
          <w:rFonts w:eastAsia="Times New Roman"/>
          <w:color w:val="000000"/>
          <w:shd w:val="clear" w:color="auto" w:fill="FFFFFF"/>
        </w:rPr>
        <w:t xml:space="preserve">Choroid plexus papilloma (CPP) is a rare tumor of neuroectodermal origin. Is more common in paediatric population than adults and it presents supratentorial in the former </w:t>
      </w:r>
      <w:r>
        <w:rPr>
          <w:rFonts w:eastAsia="Times New Roman"/>
          <w:color w:val="000000"/>
          <w:shd w:val="clear" w:color="auto" w:fill="FFFFFF"/>
        </w:rPr>
        <w:t>and subtentorial in the latter.  According to the 2016 World Health Organization classification,</w:t>
      </w:r>
      <w:r>
        <w:rPr>
          <w:rStyle w:val="apple-converted-space"/>
          <w:rFonts w:eastAsia="Times New Roman"/>
          <w:color w:val="000000"/>
          <w:shd w:val="clear" w:color="auto" w:fill="FFFFFF"/>
        </w:rPr>
        <w:t> </w:t>
      </w:r>
      <w:r>
        <w:rPr>
          <w:rFonts w:eastAsia="Times New Roman"/>
          <w:color w:val="000000"/>
          <w:shd w:val="clear" w:color="auto" w:fill="FFFFFF"/>
        </w:rPr>
        <w:t>choroid plexus tumors are classified as papillomas (grade I), atypical tumors (grade II) and carcinomas (grade III). Choroid plexus papillomas grade I have les</w:t>
      </w:r>
      <w:r>
        <w:rPr>
          <w:rFonts w:eastAsia="Times New Roman"/>
          <w:color w:val="000000"/>
          <w:shd w:val="clear" w:color="auto" w:fill="FFFFFF"/>
        </w:rPr>
        <w:t>s than two mitotic figures per 10 high power fields, atypical grade II depict two to five per 10 high power fields, and carcinomas grade III have greater than five mitotic figures per 10 high power fields. Grossly, the tumors are soft, globular, friable pi</w:t>
      </w:r>
      <w:r>
        <w:rPr>
          <w:rFonts w:eastAsia="Times New Roman"/>
          <w:color w:val="000000"/>
          <w:shd w:val="clear" w:color="auto" w:fill="FFFFFF"/>
        </w:rPr>
        <w:t xml:space="preserve">nk masses with irregular projections and high </w:t>
      </w:r>
      <w:r w:rsidR="000D0D1E">
        <w:rPr>
          <w:rFonts w:eastAsia="Times New Roman"/>
          <w:color w:val="000000"/>
          <w:shd w:val="clear" w:color="auto" w:fill="FFFFFF"/>
        </w:rPr>
        <w:t>vascularity. [1], [2]</w:t>
      </w:r>
    </w:p>
    <w:p w14:paraId="3DA378C3" w14:textId="77777777" w:rsidR="00CA799D" w:rsidRDefault="00415B73">
      <w:pPr>
        <w:jc w:val="both"/>
        <w:rPr>
          <w:rFonts w:eastAsia="Times New Roman"/>
          <w:color w:val="000000"/>
          <w:shd w:val="clear" w:color="auto" w:fill="FFFFFF"/>
          <w:vertAlign w:val="superscript"/>
        </w:rPr>
      </w:pPr>
      <w:r>
        <w:rPr>
          <w:rFonts w:eastAsia="Times New Roman"/>
          <w:color w:val="000000"/>
          <w:shd w:val="clear" w:color="auto" w:fill="FFFFFF"/>
        </w:rPr>
        <w:t>Choroid plexus papillomas of the posterior fossa cause symptoms of cranial nerves palsies, such as deafness or tinnitus, cerebellar dysfunction and raised intracranial pressure which can cause pap</w:t>
      </w:r>
      <w:r>
        <w:rPr>
          <w:rFonts w:eastAsia="Times New Roman"/>
          <w:color w:val="000000"/>
          <w:shd w:val="clear" w:color="auto" w:fill="FFFFFF"/>
        </w:rPr>
        <w:t xml:space="preserve">illedema and </w:t>
      </w:r>
      <w:r w:rsidR="000D0D1E">
        <w:rPr>
          <w:rFonts w:eastAsia="Times New Roman"/>
          <w:color w:val="000000"/>
          <w:shd w:val="clear" w:color="auto" w:fill="FFFFFF"/>
        </w:rPr>
        <w:t>blindness. [1], [2</w:t>
      </w:r>
      <w:r w:rsidR="00C04002">
        <w:rPr>
          <w:rFonts w:eastAsia="Times New Roman"/>
          <w:color w:val="000000"/>
          <w:shd w:val="clear" w:color="auto" w:fill="FFFFFF"/>
        </w:rPr>
        <w:t>]</w:t>
      </w:r>
      <w:r w:rsidR="000D0D1E">
        <w:rPr>
          <w:rFonts w:eastAsia="Times New Roman"/>
          <w:color w:val="000000"/>
          <w:shd w:val="clear" w:color="auto" w:fill="FFFFFF"/>
        </w:rPr>
        <w:t>.</w:t>
      </w:r>
    </w:p>
    <w:p w14:paraId="435CAE5A" w14:textId="77777777" w:rsidR="00CA799D" w:rsidRPr="000D0D1E" w:rsidRDefault="00415B73">
      <w:pPr>
        <w:jc w:val="both"/>
        <w:rPr>
          <w:rFonts w:eastAsia="Times New Roman"/>
          <w:color w:val="000000"/>
          <w:shd w:val="clear" w:color="auto" w:fill="FFFFFF"/>
        </w:rPr>
      </w:pPr>
      <w:r>
        <w:rPr>
          <w:rFonts w:eastAsia="Times New Roman"/>
          <w:color w:val="000000"/>
          <w:shd w:val="clear" w:color="auto" w:fill="FFFFFF"/>
        </w:rPr>
        <w:t>CPP in adults is located usually inside the fourth ventricle and extraventricular locations are rare. Although the most common anatomical site of involvement is the fourth ventricle, some may arise from the foramen of Luschka</w:t>
      </w:r>
      <w:r>
        <w:rPr>
          <w:rFonts w:eastAsia="Times New Roman"/>
          <w:color w:val="000000"/>
          <w:shd w:val="clear" w:color="auto" w:fill="FFFFFF"/>
        </w:rPr>
        <w:t xml:space="preserve"> and extend to the extraventricular area </w:t>
      </w:r>
      <w:r w:rsidR="000D0D1E">
        <w:rPr>
          <w:rFonts w:eastAsia="Times New Roman"/>
          <w:color w:val="000000"/>
          <w:shd w:val="clear" w:color="auto" w:fill="FFFFFF"/>
        </w:rPr>
        <w:t>[3]</w:t>
      </w:r>
      <w:r w:rsidR="00C04002">
        <w:rPr>
          <w:rFonts w:eastAsia="Times New Roman"/>
          <w:color w:val="000000"/>
          <w:shd w:val="clear" w:color="auto" w:fill="FFFFFF"/>
        </w:rPr>
        <w:t>,</w:t>
      </w:r>
      <w:r w:rsidR="00C04002" w:rsidRPr="00C04002">
        <w:rPr>
          <w:rFonts w:eastAsia="Times New Roman"/>
          <w:color w:val="000000"/>
          <w:shd w:val="clear" w:color="auto" w:fill="FFFFFF"/>
        </w:rPr>
        <w:t xml:space="preserve"> </w:t>
      </w:r>
      <w:r w:rsidR="00C04002">
        <w:rPr>
          <w:rFonts w:eastAsia="Times New Roman"/>
          <w:color w:val="000000"/>
          <w:shd w:val="clear" w:color="auto" w:fill="FFFFFF"/>
        </w:rPr>
        <w:t>[4], [</w:t>
      </w:r>
      <w:r w:rsidR="00C04002">
        <w:rPr>
          <w:rFonts w:eastAsia="Times New Roman"/>
          <w:color w:val="000000"/>
          <w:shd w:val="clear" w:color="auto" w:fill="FFFFFF"/>
        </w:rPr>
        <w:t>5], [6], [7]</w:t>
      </w:r>
      <w:r>
        <w:rPr>
          <w:rFonts w:eastAsia="Times New Roman"/>
          <w:color w:val="000000"/>
          <w:shd w:val="clear" w:color="auto" w:fill="FFFFFF"/>
        </w:rPr>
        <w:t xml:space="preserve">. Furthermore, a rare case of multiple spinal drop metastases from CPP of the posterior fossa has been </w:t>
      </w:r>
      <w:r w:rsidR="000D0D1E">
        <w:rPr>
          <w:rFonts w:eastAsia="Times New Roman"/>
          <w:color w:val="000000"/>
          <w:shd w:val="clear" w:color="auto" w:fill="FFFFFF"/>
        </w:rPr>
        <w:t>published. [8]</w:t>
      </w:r>
    </w:p>
    <w:p w14:paraId="5599808B" w14:textId="77777777" w:rsidR="00CA799D" w:rsidRDefault="00415B73">
      <w:pPr>
        <w:jc w:val="both"/>
        <w:rPr>
          <w:rFonts w:eastAsia="Times New Roman"/>
          <w:color w:val="000000"/>
          <w:shd w:val="clear" w:color="auto" w:fill="FFFFFF"/>
        </w:rPr>
      </w:pPr>
      <w:r>
        <w:rPr>
          <w:rFonts w:eastAsia="Times New Roman"/>
          <w:color w:val="000000"/>
          <w:shd w:val="clear" w:color="auto" w:fill="FFFFFF"/>
        </w:rPr>
        <w:t>CT (computed tomography), MR (magnetic resonance) and rarely angiography are the initial diagnostic</w:t>
      </w:r>
      <w:r>
        <w:rPr>
          <w:rFonts w:eastAsia="Times New Roman"/>
          <w:color w:val="000000"/>
          <w:shd w:val="clear" w:color="auto" w:fill="FFFFFF"/>
        </w:rPr>
        <w:t xml:space="preserve"> workup modalities. CPP in adults. They are weak enhancing tumors, entrapped cyst of CSF or peritumoral flow voids are occasionally seen and calcification as well in some cases.</w:t>
      </w:r>
    </w:p>
    <w:p w14:paraId="7CE54A21" w14:textId="77777777" w:rsidR="00CA799D" w:rsidRPr="000D0D1E" w:rsidRDefault="00415B73">
      <w:pPr>
        <w:jc w:val="both"/>
        <w:rPr>
          <w:rFonts w:eastAsia="Times New Roman"/>
          <w:color w:val="000000"/>
          <w:shd w:val="clear" w:color="auto" w:fill="FFFFFF"/>
        </w:rPr>
      </w:pPr>
      <w:r>
        <w:rPr>
          <w:rFonts w:eastAsia="Times New Roman"/>
          <w:color w:val="000000"/>
          <w:shd w:val="clear" w:color="auto" w:fill="FFFFFF"/>
        </w:rPr>
        <w:t>Tumors are iso or hyperintense in T2 imaging compared to cerebellar gray matte</w:t>
      </w:r>
      <w:r>
        <w:rPr>
          <w:rFonts w:eastAsia="Times New Roman"/>
          <w:color w:val="000000"/>
          <w:shd w:val="clear" w:color="auto" w:fill="FFFFFF"/>
        </w:rPr>
        <w:t xml:space="preserve">r. In head CT tumor mass is usually isodense in precontrast and hyperdense in postconstrast imaging compared to white </w:t>
      </w:r>
      <w:r w:rsidR="00C04002">
        <w:rPr>
          <w:rFonts w:eastAsia="Times New Roman"/>
          <w:color w:val="000000"/>
          <w:shd w:val="clear" w:color="auto" w:fill="FFFFFF"/>
        </w:rPr>
        <w:t>matter. [5],</w:t>
      </w:r>
      <w:r w:rsidR="000D0D1E">
        <w:rPr>
          <w:rFonts w:eastAsia="Times New Roman"/>
          <w:color w:val="000000"/>
          <w:shd w:val="clear" w:color="auto" w:fill="FFFFFF"/>
        </w:rPr>
        <w:t xml:space="preserve"> [6]</w:t>
      </w:r>
    </w:p>
    <w:p w14:paraId="0359DAF0" w14:textId="77777777" w:rsidR="00CA799D" w:rsidRPr="000D0D1E" w:rsidRDefault="00415B73">
      <w:pPr>
        <w:jc w:val="both"/>
        <w:rPr>
          <w:rFonts w:eastAsia="Times New Roman"/>
          <w:color w:val="000000"/>
          <w:shd w:val="clear" w:color="auto" w:fill="FFFFFF"/>
        </w:rPr>
      </w:pPr>
      <w:r>
        <w:rPr>
          <w:rFonts w:eastAsia="Times New Roman"/>
          <w:color w:val="000000"/>
          <w:shd w:val="clear" w:color="auto" w:fill="FFFFFF"/>
        </w:rPr>
        <w:t xml:space="preserve">Anterior or Posterior inferior cerebellar arteries are involved mainly in the blood supply of the tumor in angiographic </w:t>
      </w:r>
      <w:r w:rsidR="000D0D1E">
        <w:rPr>
          <w:rFonts w:eastAsia="Times New Roman"/>
          <w:color w:val="000000"/>
          <w:shd w:val="clear" w:color="auto" w:fill="FFFFFF"/>
        </w:rPr>
        <w:t>images. [3]</w:t>
      </w:r>
    </w:p>
    <w:p w14:paraId="2930E1E9" w14:textId="77777777" w:rsidR="00CA799D" w:rsidRDefault="00415B73">
      <w:pPr>
        <w:widowControl w:val="0"/>
        <w:autoSpaceDE w:val="0"/>
        <w:autoSpaceDN w:val="0"/>
        <w:adjustRightInd w:val="0"/>
        <w:spacing w:after="240"/>
        <w:jc w:val="both"/>
        <w:rPr>
          <w:b/>
          <w:sz w:val="28"/>
          <w:szCs w:val="28"/>
        </w:rPr>
      </w:pPr>
      <w:r>
        <w:rPr>
          <w:color w:val="000000"/>
        </w:rPr>
        <w:t xml:space="preserve">Surgery with complete resection can be curative in papillomas, with 5-year survival rates close </w:t>
      </w:r>
      <w:r>
        <w:rPr>
          <w:color w:val="000000"/>
        </w:rPr>
        <w:lastRenderedPageBreak/>
        <w:t xml:space="preserve">to 100% and occasional recurrences. Radical surgery in carcinomas is difficult and usually requires adjuvant therapy. </w:t>
      </w:r>
      <w:r w:rsidR="00C04002">
        <w:rPr>
          <w:color w:val="000000"/>
        </w:rPr>
        <w:t>Table 1</w:t>
      </w:r>
    </w:p>
    <w:tbl>
      <w:tblPr>
        <w:tblStyle w:val="TableGrid"/>
        <w:tblW w:w="0" w:type="auto"/>
        <w:tblLook w:val="04A0" w:firstRow="1" w:lastRow="0" w:firstColumn="1" w:lastColumn="0" w:noHBand="0" w:noVBand="1"/>
      </w:tblPr>
      <w:tblGrid>
        <w:gridCol w:w="1170"/>
        <w:gridCol w:w="899"/>
        <w:gridCol w:w="1805"/>
        <w:gridCol w:w="1360"/>
        <w:gridCol w:w="1316"/>
        <w:gridCol w:w="1077"/>
        <w:gridCol w:w="1383"/>
      </w:tblGrid>
      <w:tr w:rsidR="00CA799D" w14:paraId="0675D131" w14:textId="77777777">
        <w:tc>
          <w:tcPr>
            <w:tcW w:w="1287" w:type="dxa"/>
            <w:shd w:val="clear" w:color="auto" w:fill="auto"/>
          </w:tcPr>
          <w:p w14:paraId="53576E60" w14:textId="77777777" w:rsidR="00CA799D" w:rsidRDefault="00415B73">
            <w:pPr>
              <w:rPr>
                <w:b/>
                <w:sz w:val="20"/>
                <w:szCs w:val="20"/>
              </w:rPr>
            </w:pPr>
            <w:r>
              <w:rPr>
                <w:b/>
                <w:sz w:val="20"/>
                <w:szCs w:val="20"/>
              </w:rPr>
              <w:t xml:space="preserve">Article </w:t>
            </w:r>
          </w:p>
        </w:tc>
        <w:tc>
          <w:tcPr>
            <w:tcW w:w="1287" w:type="dxa"/>
            <w:shd w:val="clear" w:color="auto" w:fill="auto"/>
          </w:tcPr>
          <w:p w14:paraId="5C3244B2" w14:textId="77777777" w:rsidR="00CA799D" w:rsidRDefault="00415B73">
            <w:pPr>
              <w:rPr>
                <w:b/>
                <w:sz w:val="20"/>
                <w:szCs w:val="20"/>
              </w:rPr>
            </w:pPr>
            <w:r>
              <w:rPr>
                <w:b/>
                <w:sz w:val="20"/>
                <w:szCs w:val="20"/>
              </w:rPr>
              <w:t>Patient age /sex</w:t>
            </w:r>
          </w:p>
        </w:tc>
        <w:tc>
          <w:tcPr>
            <w:tcW w:w="1287" w:type="dxa"/>
            <w:shd w:val="clear" w:color="auto" w:fill="auto"/>
          </w:tcPr>
          <w:p w14:paraId="0F82491E" w14:textId="77777777" w:rsidR="00CA799D" w:rsidRDefault="00415B73">
            <w:pPr>
              <w:rPr>
                <w:b/>
                <w:sz w:val="20"/>
                <w:szCs w:val="20"/>
              </w:rPr>
            </w:pPr>
            <w:r>
              <w:rPr>
                <w:b/>
                <w:sz w:val="20"/>
                <w:szCs w:val="20"/>
              </w:rPr>
              <w:t xml:space="preserve">Tumor </w:t>
            </w:r>
            <w:r>
              <w:rPr>
                <w:b/>
                <w:sz w:val="20"/>
                <w:szCs w:val="20"/>
              </w:rPr>
              <w:t>Location</w:t>
            </w:r>
          </w:p>
        </w:tc>
        <w:tc>
          <w:tcPr>
            <w:tcW w:w="1287" w:type="dxa"/>
            <w:shd w:val="clear" w:color="auto" w:fill="auto"/>
          </w:tcPr>
          <w:p w14:paraId="143BBF52" w14:textId="77777777" w:rsidR="00CA799D" w:rsidRDefault="00415B73">
            <w:pPr>
              <w:rPr>
                <w:b/>
                <w:sz w:val="20"/>
                <w:szCs w:val="20"/>
              </w:rPr>
            </w:pPr>
            <w:r>
              <w:rPr>
                <w:b/>
                <w:sz w:val="20"/>
                <w:szCs w:val="20"/>
              </w:rPr>
              <w:t>Pathology</w:t>
            </w:r>
          </w:p>
        </w:tc>
        <w:tc>
          <w:tcPr>
            <w:tcW w:w="1287" w:type="dxa"/>
            <w:shd w:val="clear" w:color="auto" w:fill="auto"/>
          </w:tcPr>
          <w:p w14:paraId="532761D6" w14:textId="77777777" w:rsidR="00CA799D" w:rsidRDefault="00415B73">
            <w:pPr>
              <w:rPr>
                <w:b/>
                <w:sz w:val="20"/>
                <w:szCs w:val="20"/>
              </w:rPr>
            </w:pPr>
            <w:r>
              <w:rPr>
                <w:b/>
                <w:sz w:val="20"/>
                <w:szCs w:val="20"/>
              </w:rPr>
              <w:t>Approach</w:t>
            </w:r>
          </w:p>
        </w:tc>
        <w:tc>
          <w:tcPr>
            <w:tcW w:w="1287" w:type="dxa"/>
            <w:shd w:val="clear" w:color="auto" w:fill="auto"/>
          </w:tcPr>
          <w:p w14:paraId="28E13FA9" w14:textId="77777777" w:rsidR="00CA799D" w:rsidRDefault="00415B73">
            <w:pPr>
              <w:rPr>
                <w:b/>
                <w:sz w:val="20"/>
                <w:szCs w:val="20"/>
              </w:rPr>
            </w:pPr>
            <w:r>
              <w:rPr>
                <w:b/>
                <w:sz w:val="20"/>
                <w:szCs w:val="20"/>
              </w:rPr>
              <w:t>Resection</w:t>
            </w:r>
          </w:p>
        </w:tc>
        <w:tc>
          <w:tcPr>
            <w:tcW w:w="1288" w:type="dxa"/>
            <w:shd w:val="clear" w:color="auto" w:fill="auto"/>
          </w:tcPr>
          <w:p w14:paraId="645405F7" w14:textId="77777777" w:rsidR="00CA799D" w:rsidRDefault="00415B73">
            <w:pPr>
              <w:rPr>
                <w:b/>
                <w:sz w:val="20"/>
                <w:szCs w:val="20"/>
              </w:rPr>
            </w:pPr>
            <w:r>
              <w:rPr>
                <w:b/>
                <w:sz w:val="20"/>
                <w:szCs w:val="20"/>
              </w:rPr>
              <w:t>Complication</w:t>
            </w:r>
          </w:p>
        </w:tc>
      </w:tr>
      <w:tr w:rsidR="00CA799D" w14:paraId="69E0F3E5" w14:textId="77777777">
        <w:tc>
          <w:tcPr>
            <w:tcW w:w="1287" w:type="dxa"/>
            <w:shd w:val="clear" w:color="auto" w:fill="auto"/>
          </w:tcPr>
          <w:p w14:paraId="70E6ECF6" w14:textId="77777777" w:rsidR="00CA799D" w:rsidRDefault="00415B73">
            <w:pPr>
              <w:rPr>
                <w:b/>
                <w:sz w:val="20"/>
                <w:szCs w:val="20"/>
                <w:vertAlign w:val="superscript"/>
              </w:rPr>
            </w:pPr>
            <w:r>
              <w:rPr>
                <w:bCs/>
                <w:iCs/>
                <w:color w:val="000000"/>
                <w:sz w:val="20"/>
                <w:szCs w:val="20"/>
              </w:rPr>
              <w:t>Ignacio Jusué-Torres et al</w:t>
            </w:r>
            <w:r>
              <w:rPr>
                <w:bCs/>
                <w:iCs/>
                <w:color w:val="000000"/>
                <w:sz w:val="20"/>
                <w:szCs w:val="20"/>
                <w:vertAlign w:val="superscript"/>
              </w:rPr>
              <w:t>1</w:t>
            </w:r>
          </w:p>
        </w:tc>
        <w:tc>
          <w:tcPr>
            <w:tcW w:w="1287" w:type="dxa"/>
            <w:shd w:val="clear" w:color="auto" w:fill="auto"/>
          </w:tcPr>
          <w:p w14:paraId="661D80FE" w14:textId="77777777" w:rsidR="00CA799D" w:rsidRDefault="00415B73">
            <w:pPr>
              <w:rPr>
                <w:sz w:val="20"/>
                <w:szCs w:val="20"/>
              </w:rPr>
            </w:pPr>
            <w:r>
              <w:rPr>
                <w:sz w:val="20"/>
                <w:szCs w:val="20"/>
              </w:rPr>
              <w:t>38 male</w:t>
            </w:r>
          </w:p>
        </w:tc>
        <w:tc>
          <w:tcPr>
            <w:tcW w:w="1287" w:type="dxa"/>
            <w:shd w:val="clear" w:color="auto" w:fill="auto"/>
          </w:tcPr>
          <w:p w14:paraId="14EA7235" w14:textId="77777777" w:rsidR="00CA799D" w:rsidRDefault="00415B73">
            <w:pPr>
              <w:rPr>
                <w:sz w:val="20"/>
                <w:szCs w:val="20"/>
              </w:rPr>
            </w:pPr>
            <w:r>
              <w:rPr>
                <w:sz w:val="20"/>
                <w:szCs w:val="20"/>
              </w:rPr>
              <w:t>4</w:t>
            </w:r>
            <w:r>
              <w:rPr>
                <w:sz w:val="20"/>
                <w:szCs w:val="20"/>
                <w:vertAlign w:val="superscript"/>
              </w:rPr>
              <w:t>th</w:t>
            </w:r>
            <w:r>
              <w:rPr>
                <w:sz w:val="20"/>
                <w:szCs w:val="20"/>
              </w:rPr>
              <w:t xml:space="preserve"> ventricle</w:t>
            </w:r>
          </w:p>
        </w:tc>
        <w:tc>
          <w:tcPr>
            <w:tcW w:w="1287" w:type="dxa"/>
            <w:shd w:val="clear" w:color="auto" w:fill="auto"/>
          </w:tcPr>
          <w:p w14:paraId="012C1E3E" w14:textId="77777777" w:rsidR="00CA799D" w:rsidRDefault="00415B73">
            <w:pPr>
              <w:rPr>
                <w:sz w:val="20"/>
                <w:szCs w:val="20"/>
              </w:rPr>
            </w:pPr>
            <w:r>
              <w:rPr>
                <w:sz w:val="20"/>
                <w:szCs w:val="20"/>
              </w:rPr>
              <w:t>Atypical choroid papilloma</w:t>
            </w:r>
          </w:p>
        </w:tc>
        <w:tc>
          <w:tcPr>
            <w:tcW w:w="1287" w:type="dxa"/>
            <w:shd w:val="clear" w:color="auto" w:fill="auto"/>
          </w:tcPr>
          <w:p w14:paraId="1490F2D7" w14:textId="77777777" w:rsidR="00CA799D" w:rsidRDefault="00415B73">
            <w:pPr>
              <w:rPr>
                <w:sz w:val="20"/>
                <w:szCs w:val="20"/>
              </w:rPr>
            </w:pPr>
            <w:r>
              <w:rPr>
                <w:sz w:val="20"/>
                <w:szCs w:val="20"/>
              </w:rPr>
              <w:t>Telovellar</w:t>
            </w:r>
          </w:p>
        </w:tc>
        <w:tc>
          <w:tcPr>
            <w:tcW w:w="1287" w:type="dxa"/>
            <w:shd w:val="clear" w:color="auto" w:fill="auto"/>
          </w:tcPr>
          <w:p w14:paraId="17C0CC12" w14:textId="77777777" w:rsidR="00CA799D" w:rsidRDefault="00415B73">
            <w:pPr>
              <w:rPr>
                <w:sz w:val="20"/>
                <w:szCs w:val="20"/>
              </w:rPr>
            </w:pPr>
            <w:r>
              <w:rPr>
                <w:sz w:val="20"/>
                <w:szCs w:val="20"/>
              </w:rPr>
              <w:t>Total</w:t>
            </w:r>
          </w:p>
        </w:tc>
        <w:tc>
          <w:tcPr>
            <w:tcW w:w="1288" w:type="dxa"/>
            <w:shd w:val="clear" w:color="auto" w:fill="auto"/>
          </w:tcPr>
          <w:p w14:paraId="5A6182BA" w14:textId="77777777" w:rsidR="00CA799D" w:rsidRDefault="00415B73">
            <w:pPr>
              <w:rPr>
                <w:sz w:val="20"/>
                <w:szCs w:val="20"/>
              </w:rPr>
            </w:pPr>
            <w:r>
              <w:rPr>
                <w:sz w:val="20"/>
                <w:szCs w:val="20"/>
              </w:rPr>
              <w:t>None</w:t>
            </w:r>
          </w:p>
        </w:tc>
      </w:tr>
      <w:tr w:rsidR="00CA799D" w14:paraId="1125245C" w14:textId="77777777">
        <w:tc>
          <w:tcPr>
            <w:tcW w:w="1287" w:type="dxa"/>
            <w:shd w:val="clear" w:color="auto" w:fill="auto"/>
          </w:tcPr>
          <w:p w14:paraId="75F983EF" w14:textId="77777777" w:rsidR="00CA799D" w:rsidRDefault="00415B73">
            <w:pPr>
              <w:rPr>
                <w:b/>
                <w:sz w:val="20"/>
                <w:szCs w:val="20"/>
                <w:vertAlign w:val="superscript"/>
              </w:rPr>
            </w:pPr>
            <w:r>
              <w:rPr>
                <w:sz w:val="20"/>
                <w:szCs w:val="20"/>
              </w:rPr>
              <w:t xml:space="preserve">Lechanoine F et al </w:t>
            </w:r>
            <w:r>
              <w:rPr>
                <w:sz w:val="20"/>
                <w:szCs w:val="20"/>
                <w:vertAlign w:val="superscript"/>
              </w:rPr>
              <w:t>4</w:t>
            </w:r>
          </w:p>
        </w:tc>
        <w:tc>
          <w:tcPr>
            <w:tcW w:w="1287" w:type="dxa"/>
            <w:shd w:val="clear" w:color="auto" w:fill="auto"/>
          </w:tcPr>
          <w:p w14:paraId="00476FAC" w14:textId="77777777" w:rsidR="00CA799D" w:rsidRDefault="00415B73">
            <w:pPr>
              <w:rPr>
                <w:sz w:val="20"/>
                <w:szCs w:val="20"/>
              </w:rPr>
            </w:pPr>
            <w:r>
              <w:rPr>
                <w:sz w:val="20"/>
                <w:szCs w:val="20"/>
              </w:rPr>
              <w:t>47 male</w:t>
            </w:r>
          </w:p>
        </w:tc>
        <w:tc>
          <w:tcPr>
            <w:tcW w:w="1287" w:type="dxa"/>
            <w:shd w:val="clear" w:color="auto" w:fill="auto"/>
          </w:tcPr>
          <w:p w14:paraId="4F93D919" w14:textId="77777777" w:rsidR="00CA799D" w:rsidRDefault="00415B73">
            <w:pPr>
              <w:rPr>
                <w:sz w:val="20"/>
                <w:szCs w:val="20"/>
              </w:rPr>
            </w:pPr>
            <w:r>
              <w:rPr>
                <w:sz w:val="20"/>
                <w:szCs w:val="20"/>
              </w:rPr>
              <w:t>Cerebellomedullary cistern</w:t>
            </w:r>
          </w:p>
        </w:tc>
        <w:tc>
          <w:tcPr>
            <w:tcW w:w="1287" w:type="dxa"/>
            <w:shd w:val="clear" w:color="auto" w:fill="auto"/>
          </w:tcPr>
          <w:p w14:paraId="75FC7616" w14:textId="77777777" w:rsidR="00CA799D" w:rsidRDefault="00415B73">
            <w:pPr>
              <w:rPr>
                <w:sz w:val="20"/>
                <w:szCs w:val="20"/>
              </w:rPr>
            </w:pPr>
            <w:r>
              <w:rPr>
                <w:sz w:val="20"/>
                <w:szCs w:val="20"/>
              </w:rPr>
              <w:t>Benign CPP</w:t>
            </w:r>
          </w:p>
        </w:tc>
        <w:tc>
          <w:tcPr>
            <w:tcW w:w="1287" w:type="dxa"/>
            <w:shd w:val="clear" w:color="auto" w:fill="auto"/>
          </w:tcPr>
          <w:p w14:paraId="714B28B1" w14:textId="77777777" w:rsidR="00CA799D" w:rsidRDefault="00415B73">
            <w:pPr>
              <w:rPr>
                <w:sz w:val="20"/>
                <w:szCs w:val="20"/>
              </w:rPr>
            </w:pPr>
            <w:r>
              <w:rPr>
                <w:sz w:val="20"/>
                <w:szCs w:val="20"/>
              </w:rPr>
              <w:t xml:space="preserve">Midline suboccipital and c1 partial </w:t>
            </w:r>
            <w:r>
              <w:rPr>
                <w:sz w:val="20"/>
                <w:szCs w:val="20"/>
              </w:rPr>
              <w:t>laminectomy</w:t>
            </w:r>
          </w:p>
        </w:tc>
        <w:tc>
          <w:tcPr>
            <w:tcW w:w="1287" w:type="dxa"/>
            <w:shd w:val="clear" w:color="auto" w:fill="auto"/>
          </w:tcPr>
          <w:p w14:paraId="6B65147F" w14:textId="77777777" w:rsidR="00CA799D" w:rsidRDefault="00415B73">
            <w:pPr>
              <w:rPr>
                <w:sz w:val="20"/>
                <w:szCs w:val="20"/>
              </w:rPr>
            </w:pPr>
            <w:r>
              <w:rPr>
                <w:sz w:val="20"/>
                <w:szCs w:val="20"/>
              </w:rPr>
              <w:t>Total</w:t>
            </w:r>
          </w:p>
        </w:tc>
        <w:tc>
          <w:tcPr>
            <w:tcW w:w="1288" w:type="dxa"/>
            <w:shd w:val="clear" w:color="auto" w:fill="auto"/>
          </w:tcPr>
          <w:p w14:paraId="1FD03244" w14:textId="77777777" w:rsidR="00CA799D" w:rsidRDefault="00415B73">
            <w:pPr>
              <w:rPr>
                <w:sz w:val="20"/>
                <w:szCs w:val="20"/>
              </w:rPr>
            </w:pPr>
            <w:r>
              <w:rPr>
                <w:sz w:val="20"/>
                <w:szCs w:val="20"/>
              </w:rPr>
              <w:t>None preoperative hydrocephalus and Rinorrhea</w:t>
            </w:r>
          </w:p>
        </w:tc>
      </w:tr>
      <w:tr w:rsidR="00CA799D" w14:paraId="25BA1362" w14:textId="77777777">
        <w:tc>
          <w:tcPr>
            <w:tcW w:w="1287" w:type="dxa"/>
            <w:shd w:val="clear" w:color="auto" w:fill="auto"/>
          </w:tcPr>
          <w:p w14:paraId="58F0A61A" w14:textId="77777777" w:rsidR="00CA799D" w:rsidRDefault="00415B73">
            <w:pPr>
              <w:widowControl w:val="0"/>
              <w:autoSpaceDE w:val="0"/>
              <w:autoSpaceDN w:val="0"/>
              <w:adjustRightInd w:val="0"/>
              <w:spacing w:after="240" w:line="360" w:lineRule="atLeast"/>
              <w:rPr>
                <w:rFonts w:ascii="Times" w:hAnsi="Times" w:cs="Times"/>
                <w:color w:val="000000"/>
                <w:sz w:val="20"/>
                <w:szCs w:val="20"/>
                <w:vertAlign w:val="superscript"/>
                <w:lang w:val="de-DE" w:eastAsia="en-US"/>
              </w:rPr>
            </w:pPr>
            <w:r>
              <w:rPr>
                <w:sz w:val="20"/>
                <w:szCs w:val="20"/>
                <w:lang w:val="de-DE"/>
              </w:rPr>
              <w:t xml:space="preserve">van Swieten JC et al </w:t>
            </w:r>
            <w:r>
              <w:rPr>
                <w:sz w:val="20"/>
                <w:szCs w:val="20"/>
                <w:vertAlign w:val="superscript"/>
                <w:lang w:val="de-DE"/>
              </w:rPr>
              <w:t>6</w:t>
            </w:r>
          </w:p>
        </w:tc>
        <w:tc>
          <w:tcPr>
            <w:tcW w:w="1287" w:type="dxa"/>
            <w:shd w:val="clear" w:color="auto" w:fill="auto"/>
          </w:tcPr>
          <w:p w14:paraId="232114A1" w14:textId="77777777" w:rsidR="00CA799D" w:rsidRDefault="00415B73">
            <w:pPr>
              <w:rPr>
                <w:sz w:val="20"/>
                <w:szCs w:val="20"/>
                <w:lang w:val="en-US"/>
              </w:rPr>
            </w:pPr>
            <w:r>
              <w:rPr>
                <w:sz w:val="20"/>
                <w:szCs w:val="20"/>
              </w:rPr>
              <w:t>28 female</w:t>
            </w:r>
          </w:p>
        </w:tc>
        <w:tc>
          <w:tcPr>
            <w:tcW w:w="1287" w:type="dxa"/>
            <w:shd w:val="clear" w:color="auto" w:fill="auto"/>
          </w:tcPr>
          <w:p w14:paraId="47212E84" w14:textId="77777777" w:rsidR="00CA799D" w:rsidRDefault="00415B73">
            <w:pPr>
              <w:rPr>
                <w:sz w:val="20"/>
                <w:szCs w:val="20"/>
              </w:rPr>
            </w:pPr>
            <w:r>
              <w:rPr>
                <w:sz w:val="20"/>
                <w:szCs w:val="20"/>
              </w:rPr>
              <w:t>4</w:t>
            </w:r>
            <w:r>
              <w:rPr>
                <w:sz w:val="20"/>
                <w:szCs w:val="20"/>
                <w:vertAlign w:val="superscript"/>
              </w:rPr>
              <w:t>th</w:t>
            </w:r>
            <w:r>
              <w:rPr>
                <w:sz w:val="20"/>
                <w:szCs w:val="20"/>
              </w:rPr>
              <w:t xml:space="preserve"> ventricle - CPA</w:t>
            </w:r>
          </w:p>
        </w:tc>
        <w:tc>
          <w:tcPr>
            <w:tcW w:w="1287" w:type="dxa"/>
            <w:shd w:val="clear" w:color="auto" w:fill="auto"/>
          </w:tcPr>
          <w:p w14:paraId="5F026979" w14:textId="77777777" w:rsidR="00CA799D" w:rsidRDefault="00415B73">
            <w:pPr>
              <w:rPr>
                <w:sz w:val="20"/>
                <w:szCs w:val="20"/>
              </w:rPr>
            </w:pPr>
            <w:r>
              <w:rPr>
                <w:sz w:val="20"/>
                <w:szCs w:val="20"/>
              </w:rPr>
              <w:t>Benign CPP</w:t>
            </w:r>
          </w:p>
        </w:tc>
        <w:tc>
          <w:tcPr>
            <w:tcW w:w="1287" w:type="dxa"/>
            <w:shd w:val="clear" w:color="auto" w:fill="auto"/>
          </w:tcPr>
          <w:p w14:paraId="7A9539E5" w14:textId="77777777" w:rsidR="00CA799D" w:rsidRDefault="00415B73">
            <w:pPr>
              <w:rPr>
                <w:sz w:val="20"/>
                <w:szCs w:val="20"/>
              </w:rPr>
            </w:pPr>
            <w:r>
              <w:rPr>
                <w:sz w:val="20"/>
                <w:szCs w:val="20"/>
              </w:rPr>
              <w:t>Midline suboccipital sitting position</w:t>
            </w:r>
          </w:p>
        </w:tc>
        <w:tc>
          <w:tcPr>
            <w:tcW w:w="1287" w:type="dxa"/>
            <w:shd w:val="clear" w:color="auto" w:fill="auto"/>
          </w:tcPr>
          <w:p w14:paraId="49DAF875" w14:textId="77777777" w:rsidR="00CA799D" w:rsidRDefault="00415B73">
            <w:pPr>
              <w:rPr>
                <w:sz w:val="20"/>
                <w:szCs w:val="20"/>
              </w:rPr>
            </w:pPr>
            <w:r>
              <w:rPr>
                <w:sz w:val="20"/>
                <w:szCs w:val="20"/>
              </w:rPr>
              <w:t>Subtotal</w:t>
            </w:r>
          </w:p>
        </w:tc>
        <w:tc>
          <w:tcPr>
            <w:tcW w:w="1288" w:type="dxa"/>
            <w:shd w:val="clear" w:color="auto" w:fill="auto"/>
          </w:tcPr>
          <w:p w14:paraId="707A7A7D" w14:textId="77777777" w:rsidR="00CA799D" w:rsidRDefault="00415B73">
            <w:pPr>
              <w:rPr>
                <w:sz w:val="20"/>
                <w:szCs w:val="20"/>
              </w:rPr>
            </w:pPr>
            <w:r>
              <w:rPr>
                <w:sz w:val="20"/>
                <w:szCs w:val="20"/>
              </w:rPr>
              <w:t>None</w:t>
            </w:r>
          </w:p>
        </w:tc>
      </w:tr>
      <w:tr w:rsidR="00CA799D" w14:paraId="4F2E4D00" w14:textId="77777777">
        <w:trPr>
          <w:trHeight w:val="940"/>
        </w:trPr>
        <w:tc>
          <w:tcPr>
            <w:tcW w:w="1287" w:type="dxa"/>
            <w:shd w:val="clear" w:color="auto" w:fill="auto"/>
          </w:tcPr>
          <w:p w14:paraId="6E8667BF" w14:textId="77777777" w:rsidR="00CA799D" w:rsidRDefault="00415B73">
            <w:pPr>
              <w:rPr>
                <w:b/>
                <w:sz w:val="20"/>
                <w:szCs w:val="20"/>
                <w:vertAlign w:val="superscript"/>
                <w:lang w:val="de-DE"/>
              </w:rPr>
            </w:pPr>
            <w:r>
              <w:rPr>
                <w:sz w:val="20"/>
                <w:szCs w:val="20"/>
                <w:lang w:val="de-DE"/>
              </w:rPr>
              <w:t xml:space="preserve">van Swieten JC et al </w:t>
            </w:r>
            <w:r>
              <w:rPr>
                <w:sz w:val="20"/>
                <w:szCs w:val="20"/>
                <w:vertAlign w:val="superscript"/>
                <w:lang w:val="de-DE"/>
              </w:rPr>
              <w:t>6</w:t>
            </w:r>
          </w:p>
        </w:tc>
        <w:tc>
          <w:tcPr>
            <w:tcW w:w="1287" w:type="dxa"/>
            <w:shd w:val="clear" w:color="auto" w:fill="auto"/>
          </w:tcPr>
          <w:p w14:paraId="3546FFBA" w14:textId="77777777" w:rsidR="00CA799D" w:rsidRDefault="00415B73">
            <w:pPr>
              <w:rPr>
                <w:sz w:val="20"/>
                <w:szCs w:val="20"/>
              </w:rPr>
            </w:pPr>
            <w:r>
              <w:rPr>
                <w:sz w:val="20"/>
                <w:szCs w:val="20"/>
              </w:rPr>
              <w:t>30 male</w:t>
            </w:r>
          </w:p>
        </w:tc>
        <w:tc>
          <w:tcPr>
            <w:tcW w:w="1287" w:type="dxa"/>
            <w:shd w:val="clear" w:color="auto" w:fill="auto"/>
          </w:tcPr>
          <w:p w14:paraId="7FCD476D" w14:textId="77777777" w:rsidR="00CA799D" w:rsidRDefault="00415B73">
            <w:pPr>
              <w:rPr>
                <w:sz w:val="20"/>
                <w:szCs w:val="20"/>
              </w:rPr>
            </w:pPr>
            <w:r>
              <w:rPr>
                <w:sz w:val="20"/>
                <w:szCs w:val="20"/>
              </w:rPr>
              <w:t>Cerebellomedullary cistern</w:t>
            </w:r>
          </w:p>
        </w:tc>
        <w:tc>
          <w:tcPr>
            <w:tcW w:w="1287" w:type="dxa"/>
            <w:shd w:val="clear" w:color="auto" w:fill="auto"/>
          </w:tcPr>
          <w:p w14:paraId="013A1E08" w14:textId="77777777" w:rsidR="00CA799D" w:rsidRDefault="00415B73">
            <w:pPr>
              <w:rPr>
                <w:sz w:val="20"/>
                <w:szCs w:val="20"/>
              </w:rPr>
            </w:pPr>
            <w:r>
              <w:rPr>
                <w:sz w:val="20"/>
                <w:szCs w:val="20"/>
              </w:rPr>
              <w:t>Benign CPP</w:t>
            </w:r>
          </w:p>
        </w:tc>
        <w:tc>
          <w:tcPr>
            <w:tcW w:w="1287" w:type="dxa"/>
            <w:shd w:val="clear" w:color="auto" w:fill="auto"/>
          </w:tcPr>
          <w:p w14:paraId="2D9ECF15" w14:textId="77777777" w:rsidR="00CA799D" w:rsidRDefault="00415B73">
            <w:pPr>
              <w:rPr>
                <w:sz w:val="20"/>
                <w:szCs w:val="20"/>
              </w:rPr>
            </w:pPr>
            <w:r>
              <w:rPr>
                <w:sz w:val="20"/>
                <w:szCs w:val="20"/>
              </w:rPr>
              <w:t>Midline suboccipital sitting position</w:t>
            </w:r>
          </w:p>
        </w:tc>
        <w:tc>
          <w:tcPr>
            <w:tcW w:w="1287" w:type="dxa"/>
            <w:shd w:val="clear" w:color="auto" w:fill="auto"/>
          </w:tcPr>
          <w:p w14:paraId="407B189E" w14:textId="77777777" w:rsidR="00CA799D" w:rsidRDefault="00415B73">
            <w:pPr>
              <w:rPr>
                <w:sz w:val="20"/>
                <w:szCs w:val="20"/>
              </w:rPr>
            </w:pPr>
            <w:r>
              <w:rPr>
                <w:sz w:val="20"/>
                <w:szCs w:val="20"/>
              </w:rPr>
              <w:t>Total</w:t>
            </w:r>
          </w:p>
        </w:tc>
        <w:tc>
          <w:tcPr>
            <w:tcW w:w="1288" w:type="dxa"/>
            <w:shd w:val="clear" w:color="auto" w:fill="auto"/>
          </w:tcPr>
          <w:p w14:paraId="4D6C4F62" w14:textId="77777777" w:rsidR="00CA799D" w:rsidRDefault="00415B73">
            <w:pPr>
              <w:rPr>
                <w:sz w:val="20"/>
                <w:szCs w:val="20"/>
              </w:rPr>
            </w:pPr>
            <w:r>
              <w:rPr>
                <w:sz w:val="20"/>
                <w:szCs w:val="20"/>
              </w:rPr>
              <w:t>None</w:t>
            </w:r>
          </w:p>
        </w:tc>
      </w:tr>
      <w:tr w:rsidR="00CA799D" w14:paraId="65DFEAB3" w14:textId="77777777">
        <w:tc>
          <w:tcPr>
            <w:tcW w:w="1287" w:type="dxa"/>
            <w:shd w:val="clear" w:color="auto" w:fill="auto"/>
          </w:tcPr>
          <w:p w14:paraId="3E4CD024" w14:textId="77777777" w:rsidR="00CA799D" w:rsidRDefault="00415B73">
            <w:pPr>
              <w:rPr>
                <w:b/>
                <w:sz w:val="28"/>
                <w:szCs w:val="28"/>
                <w:lang w:val="de-DE"/>
              </w:rPr>
            </w:pPr>
            <w:r>
              <w:rPr>
                <w:sz w:val="20"/>
                <w:szCs w:val="20"/>
                <w:lang w:val="de-DE"/>
              </w:rPr>
              <w:t xml:space="preserve">van Swieten JC et al </w:t>
            </w:r>
            <w:r>
              <w:rPr>
                <w:sz w:val="20"/>
                <w:szCs w:val="20"/>
                <w:vertAlign w:val="superscript"/>
                <w:lang w:val="de-DE"/>
              </w:rPr>
              <w:t>6</w:t>
            </w:r>
          </w:p>
        </w:tc>
        <w:tc>
          <w:tcPr>
            <w:tcW w:w="1287" w:type="dxa"/>
            <w:shd w:val="clear" w:color="auto" w:fill="auto"/>
          </w:tcPr>
          <w:p w14:paraId="23D9D86F" w14:textId="77777777" w:rsidR="00CA799D" w:rsidRDefault="00415B73">
            <w:pPr>
              <w:rPr>
                <w:sz w:val="20"/>
                <w:szCs w:val="20"/>
              </w:rPr>
            </w:pPr>
            <w:r>
              <w:rPr>
                <w:sz w:val="20"/>
                <w:szCs w:val="20"/>
              </w:rPr>
              <w:t>64 female</w:t>
            </w:r>
          </w:p>
        </w:tc>
        <w:tc>
          <w:tcPr>
            <w:tcW w:w="1287" w:type="dxa"/>
            <w:shd w:val="clear" w:color="auto" w:fill="auto"/>
          </w:tcPr>
          <w:p w14:paraId="7750EE9E" w14:textId="77777777" w:rsidR="00CA799D" w:rsidRDefault="00415B73">
            <w:pPr>
              <w:rPr>
                <w:sz w:val="20"/>
                <w:szCs w:val="20"/>
              </w:rPr>
            </w:pPr>
            <w:r>
              <w:rPr>
                <w:sz w:val="20"/>
                <w:szCs w:val="20"/>
              </w:rPr>
              <w:t>CPA angle</w:t>
            </w:r>
          </w:p>
        </w:tc>
        <w:tc>
          <w:tcPr>
            <w:tcW w:w="1287" w:type="dxa"/>
            <w:shd w:val="clear" w:color="auto" w:fill="auto"/>
          </w:tcPr>
          <w:p w14:paraId="76DF0A7F" w14:textId="77777777" w:rsidR="00CA799D" w:rsidRDefault="00415B73">
            <w:pPr>
              <w:rPr>
                <w:b/>
                <w:sz w:val="28"/>
                <w:szCs w:val="28"/>
              </w:rPr>
            </w:pPr>
            <w:r>
              <w:rPr>
                <w:sz w:val="20"/>
                <w:szCs w:val="20"/>
              </w:rPr>
              <w:t>Benign CPP</w:t>
            </w:r>
          </w:p>
        </w:tc>
        <w:tc>
          <w:tcPr>
            <w:tcW w:w="1287" w:type="dxa"/>
            <w:shd w:val="clear" w:color="auto" w:fill="auto"/>
          </w:tcPr>
          <w:p w14:paraId="65A2A7F0" w14:textId="77777777" w:rsidR="00CA799D" w:rsidRDefault="00415B73">
            <w:pPr>
              <w:rPr>
                <w:sz w:val="20"/>
                <w:szCs w:val="20"/>
              </w:rPr>
            </w:pPr>
            <w:r>
              <w:rPr>
                <w:sz w:val="20"/>
                <w:szCs w:val="20"/>
              </w:rPr>
              <w:t>Left suboccipital sitting position</w:t>
            </w:r>
          </w:p>
        </w:tc>
        <w:tc>
          <w:tcPr>
            <w:tcW w:w="1287" w:type="dxa"/>
            <w:shd w:val="clear" w:color="auto" w:fill="auto"/>
          </w:tcPr>
          <w:p w14:paraId="2C11A17E" w14:textId="77777777" w:rsidR="00CA799D" w:rsidRDefault="00415B73">
            <w:pPr>
              <w:rPr>
                <w:sz w:val="20"/>
                <w:szCs w:val="20"/>
              </w:rPr>
            </w:pPr>
            <w:r>
              <w:rPr>
                <w:sz w:val="20"/>
                <w:szCs w:val="20"/>
              </w:rPr>
              <w:t>Total</w:t>
            </w:r>
          </w:p>
        </w:tc>
        <w:tc>
          <w:tcPr>
            <w:tcW w:w="1288" w:type="dxa"/>
            <w:shd w:val="clear" w:color="auto" w:fill="auto"/>
          </w:tcPr>
          <w:p w14:paraId="3B6D298D" w14:textId="77777777" w:rsidR="00CA799D" w:rsidRDefault="00415B73">
            <w:pPr>
              <w:rPr>
                <w:sz w:val="20"/>
                <w:szCs w:val="20"/>
              </w:rPr>
            </w:pPr>
            <w:r>
              <w:rPr>
                <w:sz w:val="20"/>
                <w:szCs w:val="20"/>
              </w:rPr>
              <w:t>Meningitis</w:t>
            </w:r>
          </w:p>
        </w:tc>
      </w:tr>
      <w:tr w:rsidR="00CA799D" w14:paraId="4147F60E" w14:textId="77777777">
        <w:tc>
          <w:tcPr>
            <w:tcW w:w="1287" w:type="dxa"/>
            <w:shd w:val="clear" w:color="auto" w:fill="auto"/>
          </w:tcPr>
          <w:p w14:paraId="5A3BC51E" w14:textId="77777777" w:rsidR="00CA799D" w:rsidRDefault="00415B73">
            <w:pPr>
              <w:rPr>
                <w:b/>
                <w:sz w:val="28"/>
                <w:szCs w:val="28"/>
                <w:vertAlign w:val="superscript"/>
              </w:rPr>
            </w:pPr>
            <w:r>
              <w:rPr>
                <w:sz w:val="20"/>
                <w:szCs w:val="20"/>
              </w:rPr>
              <w:t xml:space="preserve">Matsushita S et al </w:t>
            </w:r>
            <w:r>
              <w:rPr>
                <w:sz w:val="20"/>
                <w:szCs w:val="20"/>
                <w:vertAlign w:val="superscript"/>
              </w:rPr>
              <w:t>7</w:t>
            </w:r>
          </w:p>
        </w:tc>
        <w:tc>
          <w:tcPr>
            <w:tcW w:w="1287" w:type="dxa"/>
            <w:shd w:val="clear" w:color="auto" w:fill="auto"/>
          </w:tcPr>
          <w:p w14:paraId="420605E9" w14:textId="77777777" w:rsidR="00CA799D" w:rsidRDefault="00415B73">
            <w:pPr>
              <w:rPr>
                <w:sz w:val="20"/>
                <w:szCs w:val="20"/>
              </w:rPr>
            </w:pPr>
            <w:r>
              <w:rPr>
                <w:sz w:val="20"/>
                <w:szCs w:val="20"/>
              </w:rPr>
              <w:t>42 female</w:t>
            </w:r>
          </w:p>
        </w:tc>
        <w:tc>
          <w:tcPr>
            <w:tcW w:w="1287" w:type="dxa"/>
            <w:shd w:val="clear" w:color="auto" w:fill="auto"/>
          </w:tcPr>
          <w:p w14:paraId="7C1D98B4" w14:textId="77777777" w:rsidR="00CA799D" w:rsidRDefault="00415B73">
            <w:pPr>
              <w:rPr>
                <w:sz w:val="20"/>
                <w:szCs w:val="20"/>
              </w:rPr>
            </w:pPr>
            <w:r>
              <w:rPr>
                <w:sz w:val="20"/>
                <w:szCs w:val="20"/>
              </w:rPr>
              <w:t xml:space="preserve">Left foramen of Luschka </w:t>
            </w:r>
          </w:p>
        </w:tc>
        <w:tc>
          <w:tcPr>
            <w:tcW w:w="1287" w:type="dxa"/>
            <w:shd w:val="clear" w:color="auto" w:fill="auto"/>
          </w:tcPr>
          <w:p w14:paraId="16782229" w14:textId="77777777" w:rsidR="00CA799D" w:rsidRDefault="00415B73">
            <w:pPr>
              <w:rPr>
                <w:b/>
                <w:sz w:val="28"/>
                <w:szCs w:val="28"/>
              </w:rPr>
            </w:pPr>
            <w:r>
              <w:rPr>
                <w:sz w:val="20"/>
                <w:szCs w:val="20"/>
              </w:rPr>
              <w:t xml:space="preserve">Benign CPP with focal ependymal </w:t>
            </w:r>
            <w:r>
              <w:rPr>
                <w:sz w:val="20"/>
                <w:szCs w:val="20"/>
              </w:rPr>
              <w:t>differentiation</w:t>
            </w:r>
          </w:p>
        </w:tc>
        <w:tc>
          <w:tcPr>
            <w:tcW w:w="1287" w:type="dxa"/>
            <w:shd w:val="clear" w:color="auto" w:fill="auto"/>
          </w:tcPr>
          <w:p w14:paraId="19C3409C" w14:textId="77777777" w:rsidR="00CA799D" w:rsidRDefault="00415B73">
            <w:pPr>
              <w:rPr>
                <w:sz w:val="20"/>
                <w:szCs w:val="20"/>
              </w:rPr>
            </w:pPr>
            <w:r>
              <w:rPr>
                <w:sz w:val="20"/>
                <w:szCs w:val="20"/>
              </w:rPr>
              <w:t>Preoperative emobilization Suboccipital approach park bench position</w:t>
            </w:r>
          </w:p>
        </w:tc>
        <w:tc>
          <w:tcPr>
            <w:tcW w:w="1287" w:type="dxa"/>
            <w:shd w:val="clear" w:color="auto" w:fill="auto"/>
          </w:tcPr>
          <w:p w14:paraId="72925F9C" w14:textId="77777777" w:rsidR="00CA799D" w:rsidRDefault="00415B73">
            <w:pPr>
              <w:rPr>
                <w:sz w:val="20"/>
                <w:szCs w:val="20"/>
              </w:rPr>
            </w:pPr>
            <w:r>
              <w:rPr>
                <w:sz w:val="20"/>
                <w:szCs w:val="20"/>
              </w:rPr>
              <w:t>Total</w:t>
            </w:r>
          </w:p>
        </w:tc>
        <w:tc>
          <w:tcPr>
            <w:tcW w:w="1288" w:type="dxa"/>
            <w:shd w:val="clear" w:color="auto" w:fill="auto"/>
          </w:tcPr>
          <w:p w14:paraId="746AD3B0" w14:textId="77777777" w:rsidR="00CA799D" w:rsidRDefault="00415B73">
            <w:pPr>
              <w:rPr>
                <w:sz w:val="20"/>
                <w:szCs w:val="20"/>
              </w:rPr>
            </w:pPr>
            <w:r>
              <w:rPr>
                <w:sz w:val="20"/>
                <w:szCs w:val="20"/>
              </w:rPr>
              <w:t>Brain stem infraction</w:t>
            </w:r>
          </w:p>
        </w:tc>
      </w:tr>
      <w:tr w:rsidR="00CA799D" w14:paraId="6D4BF053" w14:textId="77777777">
        <w:trPr>
          <w:trHeight w:val="451"/>
        </w:trPr>
        <w:tc>
          <w:tcPr>
            <w:tcW w:w="1287" w:type="dxa"/>
            <w:shd w:val="clear" w:color="auto" w:fill="auto"/>
          </w:tcPr>
          <w:p w14:paraId="00B75F51" w14:textId="77777777" w:rsidR="00CA799D" w:rsidRDefault="00415B73">
            <w:pPr>
              <w:rPr>
                <w:sz w:val="20"/>
                <w:szCs w:val="20"/>
                <w:vertAlign w:val="superscript"/>
              </w:rPr>
            </w:pPr>
            <w:r>
              <w:rPr>
                <w:sz w:val="20"/>
                <w:szCs w:val="20"/>
              </w:rPr>
              <w:t xml:space="preserve">Symms NP et al </w:t>
            </w:r>
            <w:r>
              <w:rPr>
                <w:sz w:val="20"/>
                <w:szCs w:val="20"/>
                <w:vertAlign w:val="superscript"/>
              </w:rPr>
              <w:t>9</w:t>
            </w:r>
          </w:p>
        </w:tc>
        <w:tc>
          <w:tcPr>
            <w:tcW w:w="1287" w:type="dxa"/>
            <w:shd w:val="clear" w:color="auto" w:fill="auto"/>
          </w:tcPr>
          <w:p w14:paraId="15D04CF1" w14:textId="77777777" w:rsidR="00CA799D" w:rsidRDefault="00415B73">
            <w:pPr>
              <w:rPr>
                <w:sz w:val="20"/>
                <w:szCs w:val="20"/>
              </w:rPr>
            </w:pPr>
            <w:r>
              <w:rPr>
                <w:sz w:val="20"/>
                <w:szCs w:val="20"/>
              </w:rPr>
              <w:t>61 male</w:t>
            </w:r>
          </w:p>
        </w:tc>
        <w:tc>
          <w:tcPr>
            <w:tcW w:w="1287" w:type="dxa"/>
            <w:shd w:val="clear" w:color="auto" w:fill="auto"/>
          </w:tcPr>
          <w:p w14:paraId="73247AF6" w14:textId="77777777" w:rsidR="00CA799D" w:rsidRDefault="00415B73">
            <w:pPr>
              <w:rPr>
                <w:sz w:val="20"/>
                <w:szCs w:val="20"/>
              </w:rPr>
            </w:pPr>
            <w:r>
              <w:rPr>
                <w:sz w:val="20"/>
                <w:szCs w:val="20"/>
              </w:rPr>
              <w:t>4</w:t>
            </w:r>
            <w:r>
              <w:rPr>
                <w:sz w:val="20"/>
                <w:szCs w:val="20"/>
                <w:vertAlign w:val="superscript"/>
              </w:rPr>
              <w:t>th</w:t>
            </w:r>
            <w:r>
              <w:rPr>
                <w:sz w:val="20"/>
                <w:szCs w:val="20"/>
              </w:rPr>
              <w:t xml:space="preserve"> ventricle and foramen magnum</w:t>
            </w:r>
          </w:p>
        </w:tc>
        <w:tc>
          <w:tcPr>
            <w:tcW w:w="1287" w:type="dxa"/>
            <w:shd w:val="clear" w:color="auto" w:fill="auto"/>
          </w:tcPr>
          <w:p w14:paraId="598E2AA9" w14:textId="77777777" w:rsidR="00CA799D" w:rsidRDefault="00415B73">
            <w:pPr>
              <w:rPr>
                <w:sz w:val="20"/>
                <w:szCs w:val="20"/>
              </w:rPr>
            </w:pPr>
            <w:r>
              <w:rPr>
                <w:sz w:val="20"/>
                <w:szCs w:val="20"/>
              </w:rPr>
              <w:t>Benign CPP</w:t>
            </w:r>
          </w:p>
        </w:tc>
        <w:tc>
          <w:tcPr>
            <w:tcW w:w="1287" w:type="dxa"/>
            <w:shd w:val="clear" w:color="auto" w:fill="auto"/>
          </w:tcPr>
          <w:p w14:paraId="3E077E38" w14:textId="77777777" w:rsidR="00CA799D" w:rsidRDefault="00415B73">
            <w:pPr>
              <w:rPr>
                <w:sz w:val="20"/>
                <w:szCs w:val="20"/>
              </w:rPr>
            </w:pPr>
            <w:r>
              <w:rPr>
                <w:sz w:val="20"/>
                <w:szCs w:val="20"/>
              </w:rPr>
              <w:t>Midline suboccipital and c1 partial laminectomy</w:t>
            </w:r>
          </w:p>
        </w:tc>
        <w:tc>
          <w:tcPr>
            <w:tcW w:w="1287" w:type="dxa"/>
            <w:shd w:val="clear" w:color="auto" w:fill="auto"/>
          </w:tcPr>
          <w:p w14:paraId="4082089B" w14:textId="77777777" w:rsidR="00CA799D" w:rsidRDefault="00415B73">
            <w:pPr>
              <w:rPr>
                <w:sz w:val="20"/>
                <w:szCs w:val="20"/>
              </w:rPr>
            </w:pPr>
            <w:r>
              <w:rPr>
                <w:sz w:val="20"/>
                <w:szCs w:val="20"/>
              </w:rPr>
              <w:t>Total</w:t>
            </w:r>
          </w:p>
        </w:tc>
        <w:tc>
          <w:tcPr>
            <w:tcW w:w="1288" w:type="dxa"/>
            <w:shd w:val="clear" w:color="auto" w:fill="auto"/>
          </w:tcPr>
          <w:p w14:paraId="5790E91D" w14:textId="77777777" w:rsidR="00CA799D" w:rsidRDefault="00415B73">
            <w:pPr>
              <w:rPr>
                <w:sz w:val="20"/>
                <w:szCs w:val="20"/>
              </w:rPr>
            </w:pPr>
            <w:r>
              <w:rPr>
                <w:sz w:val="20"/>
                <w:szCs w:val="20"/>
              </w:rPr>
              <w:t>None</w:t>
            </w:r>
          </w:p>
        </w:tc>
      </w:tr>
      <w:tr w:rsidR="00CA799D" w14:paraId="54C1E2C8" w14:textId="77777777">
        <w:trPr>
          <w:trHeight w:val="451"/>
        </w:trPr>
        <w:tc>
          <w:tcPr>
            <w:tcW w:w="1287" w:type="dxa"/>
            <w:shd w:val="clear" w:color="auto" w:fill="auto"/>
          </w:tcPr>
          <w:p w14:paraId="154F847C" w14:textId="77777777" w:rsidR="00CA799D" w:rsidRDefault="00415B73">
            <w:pPr>
              <w:rPr>
                <w:b/>
                <w:sz w:val="28"/>
                <w:szCs w:val="28"/>
                <w:vertAlign w:val="superscript"/>
              </w:rPr>
            </w:pPr>
            <w:r>
              <w:rPr>
                <w:sz w:val="20"/>
                <w:szCs w:val="20"/>
              </w:rPr>
              <w:t xml:space="preserve">Yu H et al </w:t>
            </w:r>
            <w:r>
              <w:rPr>
                <w:sz w:val="20"/>
                <w:szCs w:val="20"/>
                <w:vertAlign w:val="superscript"/>
              </w:rPr>
              <w:t>8</w:t>
            </w:r>
          </w:p>
        </w:tc>
        <w:tc>
          <w:tcPr>
            <w:tcW w:w="1287" w:type="dxa"/>
            <w:shd w:val="clear" w:color="auto" w:fill="auto"/>
          </w:tcPr>
          <w:p w14:paraId="269A44EB" w14:textId="77777777" w:rsidR="00CA799D" w:rsidRDefault="00415B73">
            <w:pPr>
              <w:rPr>
                <w:sz w:val="20"/>
                <w:szCs w:val="20"/>
              </w:rPr>
            </w:pPr>
            <w:r>
              <w:rPr>
                <w:sz w:val="20"/>
                <w:szCs w:val="20"/>
              </w:rPr>
              <w:t>49 male</w:t>
            </w:r>
          </w:p>
        </w:tc>
        <w:tc>
          <w:tcPr>
            <w:tcW w:w="1287" w:type="dxa"/>
            <w:shd w:val="clear" w:color="auto" w:fill="auto"/>
          </w:tcPr>
          <w:p w14:paraId="0752A3DF" w14:textId="77777777" w:rsidR="00CA799D" w:rsidRDefault="00415B73">
            <w:pPr>
              <w:rPr>
                <w:sz w:val="20"/>
                <w:szCs w:val="20"/>
              </w:rPr>
            </w:pPr>
            <w:r>
              <w:rPr>
                <w:sz w:val="20"/>
                <w:szCs w:val="20"/>
              </w:rPr>
              <w:t>Conus medullaris, C3-4, T7</w:t>
            </w:r>
          </w:p>
        </w:tc>
        <w:tc>
          <w:tcPr>
            <w:tcW w:w="1287" w:type="dxa"/>
            <w:shd w:val="clear" w:color="auto" w:fill="auto"/>
          </w:tcPr>
          <w:p w14:paraId="086553D8" w14:textId="77777777" w:rsidR="00CA799D" w:rsidRDefault="00415B73">
            <w:pPr>
              <w:rPr>
                <w:sz w:val="20"/>
                <w:szCs w:val="20"/>
              </w:rPr>
            </w:pPr>
            <w:r>
              <w:rPr>
                <w:sz w:val="20"/>
                <w:szCs w:val="20"/>
              </w:rPr>
              <w:t>Atypical CPP</w:t>
            </w:r>
          </w:p>
        </w:tc>
        <w:tc>
          <w:tcPr>
            <w:tcW w:w="1287" w:type="dxa"/>
            <w:shd w:val="clear" w:color="auto" w:fill="auto"/>
          </w:tcPr>
          <w:p w14:paraId="324E30EE" w14:textId="77777777" w:rsidR="00CA799D" w:rsidRDefault="00415B73">
            <w:pPr>
              <w:rPr>
                <w:sz w:val="20"/>
                <w:szCs w:val="20"/>
              </w:rPr>
            </w:pPr>
            <w:r>
              <w:rPr>
                <w:sz w:val="20"/>
                <w:szCs w:val="20"/>
              </w:rPr>
              <w:t xml:space="preserve">Staged excision </w:t>
            </w:r>
          </w:p>
        </w:tc>
        <w:tc>
          <w:tcPr>
            <w:tcW w:w="1287" w:type="dxa"/>
            <w:shd w:val="clear" w:color="auto" w:fill="auto"/>
          </w:tcPr>
          <w:p w14:paraId="7CB7DB6C" w14:textId="77777777" w:rsidR="00CA799D" w:rsidRDefault="00415B73">
            <w:pPr>
              <w:rPr>
                <w:sz w:val="20"/>
                <w:szCs w:val="20"/>
              </w:rPr>
            </w:pPr>
            <w:r>
              <w:rPr>
                <w:sz w:val="20"/>
                <w:szCs w:val="20"/>
              </w:rPr>
              <w:t>Partial</w:t>
            </w:r>
          </w:p>
        </w:tc>
        <w:tc>
          <w:tcPr>
            <w:tcW w:w="1288" w:type="dxa"/>
            <w:shd w:val="clear" w:color="auto" w:fill="auto"/>
          </w:tcPr>
          <w:p w14:paraId="3469AA95" w14:textId="77777777" w:rsidR="00CA799D" w:rsidRDefault="00415B73">
            <w:pPr>
              <w:rPr>
                <w:sz w:val="20"/>
                <w:szCs w:val="20"/>
              </w:rPr>
            </w:pPr>
            <w:r>
              <w:rPr>
                <w:sz w:val="20"/>
                <w:szCs w:val="20"/>
              </w:rPr>
              <w:t>None</w:t>
            </w:r>
          </w:p>
        </w:tc>
      </w:tr>
    </w:tbl>
    <w:p w14:paraId="2D25E587" w14:textId="77777777" w:rsidR="00CA799D" w:rsidRDefault="00CA799D">
      <w:pPr>
        <w:rPr>
          <w:b/>
          <w:sz w:val="28"/>
          <w:szCs w:val="28"/>
        </w:rPr>
      </w:pPr>
    </w:p>
    <w:p w14:paraId="21E341D7" w14:textId="77777777" w:rsidR="00CA799D" w:rsidRDefault="00415B73">
      <w:r>
        <w:t>Table 1 Case reports publication with relevant pathology and surgical results</w:t>
      </w:r>
    </w:p>
    <w:p w14:paraId="266187C2" w14:textId="77777777" w:rsidR="00CA799D" w:rsidRDefault="00CA799D"/>
    <w:p w14:paraId="06A1EF3A" w14:textId="77777777" w:rsidR="00CA799D" w:rsidRDefault="00CA799D"/>
    <w:p w14:paraId="0D633E11" w14:textId="77777777" w:rsidR="00CA799D" w:rsidRDefault="00CA799D"/>
    <w:p w14:paraId="3350DC48" w14:textId="77777777" w:rsidR="00CA799D" w:rsidRDefault="00CA799D"/>
    <w:p w14:paraId="401F8249" w14:textId="77777777" w:rsidR="00CA799D" w:rsidRDefault="00CA799D"/>
    <w:p w14:paraId="13D5F2FA" w14:textId="77777777" w:rsidR="00CA799D" w:rsidRDefault="00CA799D"/>
    <w:p w14:paraId="11D72D1A" w14:textId="77777777" w:rsidR="00CA799D" w:rsidRDefault="00CA799D"/>
    <w:p w14:paraId="06E9EE7A" w14:textId="77777777" w:rsidR="00CA799D" w:rsidRDefault="00CA799D"/>
    <w:p w14:paraId="576E825B" w14:textId="77777777" w:rsidR="00CA799D" w:rsidRDefault="00CA799D"/>
    <w:p w14:paraId="458BB433" w14:textId="77777777" w:rsidR="00CA799D" w:rsidRDefault="00415B73">
      <w:pPr>
        <w:keepNext/>
      </w:pPr>
      <w:r>
        <w:rPr>
          <w:b/>
          <w:noProof/>
        </w:rPr>
        <w:drawing>
          <wp:inline distT="0" distB="0" distL="0" distR="0" wp14:anchorId="4ABE1767" wp14:editId="7994B184">
            <wp:extent cx="3345180" cy="3772535"/>
            <wp:effectExtent l="0" t="0" r="762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400620" cy="3835692"/>
                    </a:xfrm>
                    <a:prstGeom prst="rect">
                      <a:avLst/>
                    </a:prstGeom>
                  </pic:spPr>
                </pic:pic>
              </a:graphicData>
            </a:graphic>
          </wp:inline>
        </w:drawing>
      </w:r>
      <w:r>
        <w:rPr>
          <w:b/>
          <w:noProof/>
        </w:rPr>
        <w:drawing>
          <wp:inline distT="0" distB="0" distL="0" distR="0" wp14:anchorId="586B12C2" wp14:editId="1EBB756B">
            <wp:extent cx="3315335" cy="3590290"/>
            <wp:effectExtent l="50800" t="50800" r="62865" b="673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414006" cy="3697501"/>
                    </a:xfrm>
                    <a:prstGeom prst="rect">
                      <a:avLst/>
                    </a:prstGeom>
                    <a:scene3d>
                      <a:camera prst="orthographicFront">
                        <a:rot lat="0" lon="10800000" rev="0"/>
                      </a:camera>
                      <a:lightRig rig="threePt" dir="t"/>
                    </a:scene3d>
                  </pic:spPr>
                </pic:pic>
              </a:graphicData>
            </a:graphic>
          </wp:inline>
        </w:drawing>
      </w:r>
    </w:p>
    <w:p w14:paraId="1B8CEBE3" w14:textId="77777777" w:rsidR="00CA799D" w:rsidRPr="00C04002" w:rsidRDefault="00415B73">
      <w:pPr>
        <w:pStyle w:val="Caption"/>
      </w:pPr>
      <w:r w:rsidRPr="00C04002">
        <w:t xml:space="preserve">Figure </w:t>
      </w:r>
      <w:r w:rsidRPr="00C04002">
        <w:fldChar w:fldCharType="begin"/>
      </w:r>
      <w:r w:rsidRPr="00C04002">
        <w:instrText xml:space="preserve"> SEQ Figure \* ARABIC </w:instrText>
      </w:r>
      <w:r w:rsidRPr="00C04002">
        <w:fldChar w:fldCharType="separate"/>
      </w:r>
      <w:r w:rsidRPr="00C04002">
        <w:t>1</w:t>
      </w:r>
      <w:r w:rsidRPr="00C04002">
        <w:fldChar w:fldCharType="end"/>
      </w:r>
      <w:r w:rsidRPr="00C04002">
        <w:t xml:space="preserve"> Preoperative sagittal and coronal T2 MR depicted a large mass at the level of the fourth ventricle and left lateral and anterior foramen magnum. Note calcification at the upper pole of the tumor</w:t>
      </w:r>
    </w:p>
    <w:p w14:paraId="08421166" w14:textId="77777777" w:rsidR="00CA799D" w:rsidRDefault="00CA799D">
      <w:pPr>
        <w:rPr>
          <w:b/>
        </w:rPr>
      </w:pPr>
    </w:p>
    <w:p w14:paraId="69A236CA" w14:textId="77777777" w:rsidR="00CA799D" w:rsidRDefault="00CA799D">
      <w:pPr>
        <w:rPr>
          <w:b/>
        </w:rPr>
      </w:pPr>
    </w:p>
    <w:p w14:paraId="0F1CE131" w14:textId="77777777" w:rsidR="00CA799D" w:rsidRDefault="00CA799D">
      <w:pPr>
        <w:rPr>
          <w:b/>
          <w:sz w:val="28"/>
          <w:szCs w:val="28"/>
        </w:rPr>
      </w:pPr>
    </w:p>
    <w:p w14:paraId="61F7C74D" w14:textId="77777777" w:rsidR="00CA799D" w:rsidRDefault="00CA799D">
      <w:pPr>
        <w:rPr>
          <w:b/>
          <w:sz w:val="28"/>
          <w:szCs w:val="28"/>
        </w:rPr>
      </w:pPr>
    </w:p>
    <w:p w14:paraId="79A5BF25" w14:textId="77777777" w:rsidR="00CA799D" w:rsidRDefault="00CA799D">
      <w:pPr>
        <w:rPr>
          <w:b/>
          <w:sz w:val="28"/>
          <w:szCs w:val="28"/>
        </w:rPr>
      </w:pPr>
    </w:p>
    <w:p w14:paraId="66A2D70A" w14:textId="77777777" w:rsidR="00CA799D" w:rsidRDefault="00415B73">
      <w:pPr>
        <w:rPr>
          <w:b/>
        </w:rPr>
      </w:pPr>
      <w:r>
        <w:rPr>
          <w:b/>
        </w:rPr>
        <w:t>2. Method</w:t>
      </w:r>
    </w:p>
    <w:p w14:paraId="10208A5B" w14:textId="77777777" w:rsidR="00CA799D" w:rsidRDefault="00415B73">
      <w:pPr>
        <w:jc w:val="both"/>
      </w:pPr>
      <w:r>
        <w:t>We present a case of a 42 years old man who r</w:t>
      </w:r>
      <w:r>
        <w:t xml:space="preserve">eported to our clinic with symptoms of progressive headache, left side deafness, diplopia and episodes of sudden loss of consciousness. Clinical examination revealed unsteady gait, left side nystagmus and deafness on the left side. On MRI and examination, </w:t>
      </w:r>
      <w:r>
        <w:t>a large mass at the left ant anterior foramen magnum has been diagnosed. (Fig 1) There were calcifications at the upper part of the tumor which was seated in the cerebellomedullary cistern. The tumor depicted mild enhancement after contrast administration.</w:t>
      </w:r>
      <w:r>
        <w:t xml:space="preserve"> Differential diagnosis was between meningioma of the foramen magnum and choroid plexus papilloma. </w:t>
      </w:r>
    </w:p>
    <w:p w14:paraId="4B6871DE" w14:textId="77777777" w:rsidR="00CA799D" w:rsidRDefault="00415B73">
      <w:pPr>
        <w:jc w:val="both"/>
      </w:pPr>
      <w:r>
        <w:t>Patient was operated under general anaesthesia and in the prone position, by a midline left suboccipital craniotomy and left C1 laminectomy. Microsurgical t</w:t>
      </w:r>
      <w:r>
        <w:t>echnique was applied for tumor removal and detachment from critical structures such as lower cranial nerves, vertebral artery and PICA. Vertebral artery and PICA (Posterior Inferior Cerebellar Artery) were detached from the lower pole of the tumor using an</w:t>
      </w:r>
      <w:r>
        <w:t xml:space="preserve"> arachnoid plane. Central debulking was done with CUSA (Cavitronic Ultrasound Aspirator). On the anterior and lateral part of the tumor we recognized IX, X, XI and XII nerves. The upper part of the tumor was located inside the cerebellomedullary cistern an</w:t>
      </w:r>
      <w:r>
        <w:t>d was heavily calcified and firmly attached to the dorsal aspect of the medulla and the distal PICA. This part was left intact to prevent neurological injury. (Fig</w:t>
      </w:r>
      <w:r w:rsidR="00C04002">
        <w:t xml:space="preserve"> </w:t>
      </w:r>
      <w:r>
        <w:t>2) Artificial dura and tissue glue were used to seal any dural defects Closure of the craniot</w:t>
      </w:r>
      <w:r>
        <w:t>omy was done by replacing the bone flap with titanium mini plates.</w:t>
      </w:r>
    </w:p>
    <w:p w14:paraId="11932E50" w14:textId="77777777" w:rsidR="0078270F" w:rsidRDefault="0078270F">
      <w:pPr>
        <w:jc w:val="both"/>
      </w:pPr>
      <w:bookmarkStart w:id="0" w:name="_GoBack"/>
      <w:bookmarkEnd w:id="0"/>
    </w:p>
    <w:p w14:paraId="00E51CF5" w14:textId="77777777" w:rsidR="00CA799D" w:rsidRDefault="00415B73">
      <w:pPr>
        <w:rPr>
          <w:b/>
        </w:rPr>
      </w:pPr>
      <w:r>
        <w:rPr>
          <w:b/>
        </w:rPr>
        <w:t>3. Results</w:t>
      </w:r>
    </w:p>
    <w:p w14:paraId="7094852B" w14:textId="77777777" w:rsidR="00CA799D" w:rsidRDefault="00415B73">
      <w:pPr>
        <w:jc w:val="both"/>
      </w:pPr>
      <w:r>
        <w:t>Patient extubated immediately after surgery without neurological deficit. Postoperative course was complicated with mild voice hoarsens which gradually resolved. Fifteen days lat</w:t>
      </w:r>
      <w:r>
        <w:t>er patient was readmitted because of fever and nuchal rigidity. Meningitis by a MRSA strain was diagnosed and patient treated for 15 days with intravenous vancomycin 1gr twice per day. Meningitis resolved completely and patient discharged at home.</w:t>
      </w:r>
    </w:p>
    <w:p w14:paraId="0CC5BC3C" w14:textId="77777777" w:rsidR="00CA799D" w:rsidRDefault="00415B73">
      <w:pPr>
        <w:jc w:val="both"/>
        <w:rPr>
          <w:rFonts w:eastAsia="Times New Roman"/>
          <w:color w:val="000000"/>
          <w:shd w:val="clear" w:color="auto" w:fill="FFFFFF"/>
        </w:rPr>
      </w:pPr>
      <w:r>
        <w:t>Histolog</w:t>
      </w:r>
      <w:r>
        <w:t xml:space="preserve">ical findings consisted of well-differentiated papillary pattern composed of a single layer of monomorphic cells. Number of mitoses was </w:t>
      </w:r>
      <w:r>
        <w:rPr>
          <w:rFonts w:eastAsia="Times New Roman"/>
          <w:color w:val="000000"/>
          <w:shd w:val="clear" w:color="auto" w:fill="FFFFFF"/>
        </w:rPr>
        <w:t>two to five per 10 high power fields and therefore we diagnosed the tumor as grade II atypical choroid papilloma. Fig 3-</w:t>
      </w:r>
      <w:r>
        <w:rPr>
          <w:rFonts w:eastAsia="Times New Roman"/>
          <w:color w:val="000000"/>
          <w:shd w:val="clear" w:color="auto" w:fill="FFFFFF"/>
        </w:rPr>
        <w:t>5</w:t>
      </w:r>
    </w:p>
    <w:p w14:paraId="18D30152" w14:textId="1BA7D365" w:rsidR="00CA799D" w:rsidRPr="000D0D1E" w:rsidRDefault="00415B73" w:rsidP="000D0D1E">
      <w:r>
        <w:rPr>
          <w:rFonts w:eastAsia="Times New Roman"/>
          <w:color w:val="000000"/>
          <w:shd w:val="clear" w:color="auto" w:fill="FFFFFF"/>
        </w:rPr>
        <w:t>In our patient, choroid papilloma cell</w:t>
      </w:r>
      <w:r w:rsidR="000D0D1E">
        <w:rPr>
          <w:rFonts w:eastAsia="Times New Roman"/>
          <w:color w:val="000000"/>
          <w:shd w:val="clear" w:color="auto" w:fill="FFFFFF"/>
        </w:rPr>
        <w:t>s</w:t>
      </w:r>
      <w:r>
        <w:rPr>
          <w:rFonts w:eastAsia="Times New Roman"/>
          <w:color w:val="000000"/>
          <w:shd w:val="clear" w:color="auto" w:fill="FFFFFF"/>
        </w:rPr>
        <w:t xml:space="preserve"> were stained 100% for s100 which is a good prognostic </w:t>
      </w:r>
      <w:r w:rsidR="000D0D1E">
        <w:rPr>
          <w:rFonts w:eastAsia="Times New Roman"/>
          <w:color w:val="000000"/>
          <w:shd w:val="clear" w:color="auto" w:fill="FFFFFF"/>
        </w:rPr>
        <w:t xml:space="preserve">feature. </w:t>
      </w:r>
      <w:r w:rsidR="00DA5680">
        <w:rPr>
          <w:rFonts w:eastAsia="Times New Roman"/>
          <w:color w:val="000000"/>
          <w:shd w:val="clear" w:color="auto" w:fill="FFFFFF"/>
        </w:rPr>
        <w:t>Figure 6,</w:t>
      </w:r>
      <w:r w:rsidR="000D0D1E">
        <w:rPr>
          <w:rFonts w:eastAsia="Times New Roman"/>
          <w:color w:val="000000"/>
          <w:shd w:val="clear" w:color="auto" w:fill="FFFFFF"/>
        </w:rPr>
        <w:t>[10], [11]</w:t>
      </w:r>
    </w:p>
    <w:p w14:paraId="71E6711D" w14:textId="77777777" w:rsidR="00CA799D" w:rsidRDefault="00CA799D">
      <w:pPr>
        <w:jc w:val="both"/>
      </w:pPr>
    </w:p>
    <w:p w14:paraId="308E6CEF" w14:textId="77777777" w:rsidR="00CA799D" w:rsidRDefault="00CA799D">
      <w:pPr>
        <w:rPr>
          <w:b/>
        </w:rPr>
      </w:pPr>
    </w:p>
    <w:p w14:paraId="62F5C8FD" w14:textId="77777777" w:rsidR="00CA799D" w:rsidRDefault="00CA799D">
      <w:pPr>
        <w:rPr>
          <w:b/>
        </w:rPr>
      </w:pPr>
    </w:p>
    <w:p w14:paraId="0A2C8CA5" w14:textId="77777777" w:rsidR="00CA799D" w:rsidRDefault="00415B73">
      <w:pPr>
        <w:keepNext/>
      </w:pPr>
      <w:r>
        <w:rPr>
          <w:b/>
          <w:noProof/>
        </w:rPr>
        <w:drawing>
          <wp:inline distT="0" distB="0" distL="0" distR="0" wp14:anchorId="189454A7" wp14:editId="0D8048C9">
            <wp:extent cx="4046220" cy="34213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161738" cy="3519023"/>
                    </a:xfrm>
                    <a:prstGeom prst="rect">
                      <a:avLst/>
                    </a:prstGeom>
                  </pic:spPr>
                </pic:pic>
              </a:graphicData>
            </a:graphic>
          </wp:inline>
        </w:drawing>
      </w:r>
      <w:r>
        <w:rPr>
          <w:b/>
          <w:noProof/>
        </w:rPr>
        <w:drawing>
          <wp:inline distT="0" distB="0" distL="0" distR="0" wp14:anchorId="0D7510C1" wp14:editId="5F106566">
            <wp:extent cx="4051935" cy="4420235"/>
            <wp:effectExtent l="0" t="0" r="1206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063174" cy="4432552"/>
                    </a:xfrm>
                    <a:prstGeom prst="rect">
                      <a:avLst/>
                    </a:prstGeom>
                  </pic:spPr>
                </pic:pic>
              </a:graphicData>
            </a:graphic>
          </wp:inline>
        </w:drawing>
      </w:r>
    </w:p>
    <w:p w14:paraId="6A1C5DA5" w14:textId="77777777" w:rsidR="00CA799D" w:rsidRDefault="00415B73">
      <w:pPr>
        <w:pStyle w:val="Caption"/>
      </w:pPr>
      <w:r>
        <w:t xml:space="preserve">Figure </w:t>
      </w:r>
      <w:r>
        <w:fldChar w:fldCharType="begin"/>
      </w:r>
      <w:r>
        <w:instrText xml:space="preserve"> SEQ Figure \* ARABIC </w:instrText>
      </w:r>
      <w:r>
        <w:fldChar w:fldCharType="separate"/>
      </w:r>
      <w:r>
        <w:t>2</w:t>
      </w:r>
      <w:r>
        <w:fldChar w:fldCharType="end"/>
      </w:r>
      <w:r>
        <w:t xml:space="preserve"> Postoperative coronal and sagittal T1 MRI depicts partial resection of the firmly adherent upper pole of th</w:t>
      </w:r>
      <w:r>
        <w:t xml:space="preserve">e tumor to the brainstem and PICA </w:t>
      </w:r>
    </w:p>
    <w:p w14:paraId="5D417CA0" w14:textId="77777777" w:rsidR="00CA799D" w:rsidRDefault="00CA799D">
      <w:pPr>
        <w:rPr>
          <w:b/>
        </w:rPr>
      </w:pPr>
    </w:p>
    <w:p w14:paraId="3456DF5E" w14:textId="77777777" w:rsidR="00CA799D" w:rsidRDefault="00CA799D">
      <w:pPr>
        <w:rPr>
          <w:b/>
        </w:rPr>
      </w:pPr>
    </w:p>
    <w:p w14:paraId="03C3D971" w14:textId="77777777" w:rsidR="00CA799D" w:rsidRDefault="00CA799D">
      <w:pPr>
        <w:rPr>
          <w:b/>
        </w:rPr>
      </w:pPr>
    </w:p>
    <w:p w14:paraId="0B7971B0" w14:textId="77777777" w:rsidR="00CA799D" w:rsidRDefault="00CA799D">
      <w:pPr>
        <w:rPr>
          <w:b/>
        </w:rPr>
      </w:pPr>
    </w:p>
    <w:p w14:paraId="4D0B11CD" w14:textId="77777777" w:rsidR="00CA799D" w:rsidRDefault="00415B73">
      <w:pPr>
        <w:keepNext/>
      </w:pPr>
      <w:r>
        <w:rPr>
          <w:noProof/>
        </w:rPr>
        <w:drawing>
          <wp:inline distT="0" distB="0" distL="0" distR="0" wp14:anchorId="130ED71E" wp14:editId="3B5F644E">
            <wp:extent cx="5699125" cy="4262755"/>
            <wp:effectExtent l="19050" t="0" r="0" b="0"/>
            <wp:docPr id="1" name="Εικόνα 1" descr="G:\20200508\LabImage_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G:\20200508\LabImage_618.jpg"/>
                    <pic:cNvPicPr>
                      <a:picLocks noChangeAspect="1" noChangeArrowheads="1"/>
                    </pic:cNvPicPr>
                  </pic:nvPicPr>
                  <pic:blipFill>
                    <a:blip r:embed="rId13" cstate="print"/>
                    <a:srcRect/>
                    <a:stretch>
                      <a:fillRect/>
                    </a:stretch>
                  </pic:blipFill>
                  <pic:spPr>
                    <a:xfrm>
                      <a:off x="0" y="0"/>
                      <a:ext cx="5699125" cy="4263213"/>
                    </a:xfrm>
                    <a:prstGeom prst="rect">
                      <a:avLst/>
                    </a:prstGeom>
                    <a:noFill/>
                    <a:ln w="9525">
                      <a:noFill/>
                      <a:miter lim="800000"/>
                      <a:headEnd/>
                      <a:tailEnd/>
                    </a:ln>
                  </pic:spPr>
                </pic:pic>
              </a:graphicData>
            </a:graphic>
          </wp:inline>
        </w:drawing>
      </w:r>
    </w:p>
    <w:p w14:paraId="3CB6CD66" w14:textId="77777777" w:rsidR="00CA799D" w:rsidRDefault="00415B73">
      <w:pPr>
        <w:pStyle w:val="Caption"/>
        <w:rPr>
          <w:b/>
          <w:sz w:val="28"/>
          <w:szCs w:val="28"/>
        </w:rPr>
      </w:pPr>
      <w:r>
        <w:t xml:space="preserve">Figure </w:t>
      </w:r>
      <w:r>
        <w:fldChar w:fldCharType="begin"/>
      </w:r>
      <w:r>
        <w:instrText xml:space="preserve"> SEQ Figure \* ARABIC </w:instrText>
      </w:r>
      <w:r>
        <w:fldChar w:fldCharType="separate"/>
      </w:r>
      <w:r>
        <w:t>3</w:t>
      </w:r>
      <w:r>
        <w:fldChar w:fldCharType="end"/>
      </w:r>
      <w:r>
        <w:t xml:space="preserve"> x20 Well-differentiated papillary pattern composed of a single layer of monomorphic cells</w:t>
      </w:r>
    </w:p>
    <w:p w14:paraId="4BF2996C" w14:textId="77777777" w:rsidR="00CA799D" w:rsidRDefault="00CA799D">
      <w:pPr>
        <w:rPr>
          <w:b/>
          <w:sz w:val="28"/>
          <w:szCs w:val="28"/>
        </w:rPr>
      </w:pPr>
    </w:p>
    <w:p w14:paraId="34F49622" w14:textId="77777777" w:rsidR="00CA799D" w:rsidRDefault="00CA799D">
      <w:pPr>
        <w:rPr>
          <w:b/>
          <w:sz w:val="28"/>
          <w:szCs w:val="28"/>
        </w:rPr>
      </w:pPr>
    </w:p>
    <w:p w14:paraId="26305E49" w14:textId="77777777" w:rsidR="00CA799D" w:rsidRDefault="00CA799D">
      <w:pPr>
        <w:rPr>
          <w:b/>
          <w:sz w:val="28"/>
          <w:szCs w:val="28"/>
        </w:rPr>
      </w:pPr>
    </w:p>
    <w:p w14:paraId="289DD862" w14:textId="77777777" w:rsidR="00CA799D" w:rsidRDefault="00415B73">
      <w:pPr>
        <w:keepNext/>
      </w:pPr>
      <w:r>
        <w:rPr>
          <w:noProof/>
        </w:rPr>
        <w:drawing>
          <wp:inline distT="0" distB="0" distL="0" distR="0" wp14:anchorId="5597C5F9" wp14:editId="3A92BFCB">
            <wp:extent cx="5699125" cy="4262755"/>
            <wp:effectExtent l="19050" t="0" r="0" b="0"/>
            <wp:docPr id="2" name="Εικόνα 2" descr="G:\20200508\LabImage_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descr="G:\20200508\LabImage_619.jpg"/>
                    <pic:cNvPicPr>
                      <a:picLocks noChangeAspect="1" noChangeArrowheads="1"/>
                    </pic:cNvPicPr>
                  </pic:nvPicPr>
                  <pic:blipFill>
                    <a:blip r:embed="rId14" cstate="print"/>
                    <a:srcRect/>
                    <a:stretch>
                      <a:fillRect/>
                    </a:stretch>
                  </pic:blipFill>
                  <pic:spPr>
                    <a:xfrm>
                      <a:off x="0" y="0"/>
                      <a:ext cx="5699125" cy="4263213"/>
                    </a:xfrm>
                    <a:prstGeom prst="rect">
                      <a:avLst/>
                    </a:prstGeom>
                    <a:noFill/>
                    <a:ln w="9525">
                      <a:noFill/>
                      <a:miter lim="800000"/>
                      <a:headEnd/>
                      <a:tailEnd/>
                    </a:ln>
                  </pic:spPr>
                </pic:pic>
              </a:graphicData>
            </a:graphic>
          </wp:inline>
        </w:drawing>
      </w:r>
    </w:p>
    <w:p w14:paraId="4A82F47A" w14:textId="77777777" w:rsidR="00CA799D" w:rsidRDefault="00415B73">
      <w:pPr>
        <w:pStyle w:val="Caption"/>
      </w:pPr>
      <w:r>
        <w:t xml:space="preserve">Figure </w:t>
      </w:r>
      <w:r>
        <w:fldChar w:fldCharType="begin"/>
      </w:r>
      <w:r>
        <w:instrText xml:space="preserve"> SEQ Figure \* ARABIC </w:instrText>
      </w:r>
      <w:r>
        <w:fldChar w:fldCharType="separate"/>
      </w:r>
      <w:r>
        <w:t>4</w:t>
      </w:r>
      <w:r>
        <w:fldChar w:fldCharType="end"/>
      </w:r>
      <w:r>
        <w:t xml:space="preserve"> x40 focally the neoplastic cells are mild atypical and pseudostratified</w:t>
      </w:r>
    </w:p>
    <w:p w14:paraId="1CE9D419" w14:textId="77777777" w:rsidR="00CA799D" w:rsidRDefault="00CA799D"/>
    <w:p w14:paraId="517A8C83" w14:textId="77777777" w:rsidR="00CA799D" w:rsidRDefault="00415B73">
      <w:pPr>
        <w:keepNext/>
      </w:pPr>
      <w:r>
        <w:rPr>
          <w:noProof/>
        </w:rPr>
        <w:drawing>
          <wp:inline distT="0" distB="0" distL="0" distR="0" wp14:anchorId="2AD49C86" wp14:editId="398588FC">
            <wp:extent cx="5699125" cy="4262755"/>
            <wp:effectExtent l="19050" t="0" r="0" b="0"/>
            <wp:docPr id="3" name="Εικόνα 3" descr="G:\20200508\LabImage_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G:\20200508\LabImage_621.jpg"/>
                    <pic:cNvPicPr>
                      <a:picLocks noChangeAspect="1" noChangeArrowheads="1"/>
                    </pic:cNvPicPr>
                  </pic:nvPicPr>
                  <pic:blipFill>
                    <a:blip r:embed="rId15" cstate="print"/>
                    <a:srcRect/>
                    <a:stretch>
                      <a:fillRect/>
                    </a:stretch>
                  </pic:blipFill>
                  <pic:spPr>
                    <a:xfrm>
                      <a:off x="0" y="0"/>
                      <a:ext cx="5699125" cy="4263213"/>
                    </a:xfrm>
                    <a:prstGeom prst="rect">
                      <a:avLst/>
                    </a:prstGeom>
                    <a:noFill/>
                    <a:ln w="9525">
                      <a:noFill/>
                      <a:miter lim="800000"/>
                      <a:headEnd/>
                      <a:tailEnd/>
                    </a:ln>
                  </pic:spPr>
                </pic:pic>
              </a:graphicData>
            </a:graphic>
          </wp:inline>
        </w:drawing>
      </w:r>
    </w:p>
    <w:p w14:paraId="656D57BA" w14:textId="77777777" w:rsidR="00CA799D" w:rsidRDefault="00415B73">
      <w:pPr>
        <w:pStyle w:val="Caption"/>
      </w:pPr>
      <w:r>
        <w:t xml:space="preserve">Figure </w:t>
      </w:r>
      <w:r>
        <w:fldChar w:fldCharType="begin"/>
      </w:r>
      <w:r>
        <w:instrText xml:space="preserve"> SEQ Figure \* ARABIC </w:instrText>
      </w:r>
      <w:r>
        <w:fldChar w:fldCharType="separate"/>
      </w:r>
      <w:r>
        <w:t>5</w:t>
      </w:r>
      <w:r>
        <w:fldChar w:fldCharType="end"/>
      </w:r>
      <w:r>
        <w:t xml:space="preserve"> Focal increase of proliferation (ki-67 proliferation index)</w:t>
      </w:r>
    </w:p>
    <w:p w14:paraId="2ECB681E" w14:textId="77777777" w:rsidR="00CA799D" w:rsidRDefault="00CA799D">
      <w:pPr>
        <w:rPr>
          <w:b/>
          <w:sz w:val="28"/>
          <w:szCs w:val="28"/>
        </w:rPr>
      </w:pPr>
    </w:p>
    <w:p w14:paraId="4C660FCE" w14:textId="77777777" w:rsidR="00CA799D" w:rsidRDefault="00415B73">
      <w:pPr>
        <w:keepNext/>
      </w:pPr>
      <w:r>
        <w:rPr>
          <w:noProof/>
        </w:rPr>
        <w:drawing>
          <wp:inline distT="0" distB="0" distL="0" distR="0" wp14:anchorId="52E51040" wp14:editId="38AD45E3">
            <wp:extent cx="5699125" cy="4262755"/>
            <wp:effectExtent l="19050" t="0" r="0" b="0"/>
            <wp:docPr id="4" name="Εικόνα 4" descr="G:\20200508\LabImage_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G:\20200508\LabImage_620.jpg"/>
                    <pic:cNvPicPr>
                      <a:picLocks noChangeAspect="1" noChangeArrowheads="1"/>
                    </pic:cNvPicPr>
                  </pic:nvPicPr>
                  <pic:blipFill>
                    <a:blip r:embed="rId16" cstate="print"/>
                    <a:srcRect/>
                    <a:stretch>
                      <a:fillRect/>
                    </a:stretch>
                  </pic:blipFill>
                  <pic:spPr>
                    <a:xfrm>
                      <a:off x="0" y="0"/>
                      <a:ext cx="5699125" cy="4263213"/>
                    </a:xfrm>
                    <a:prstGeom prst="rect">
                      <a:avLst/>
                    </a:prstGeom>
                    <a:noFill/>
                    <a:ln w="9525">
                      <a:noFill/>
                      <a:miter lim="800000"/>
                      <a:headEnd/>
                      <a:tailEnd/>
                    </a:ln>
                  </pic:spPr>
                </pic:pic>
              </a:graphicData>
            </a:graphic>
          </wp:inline>
        </w:drawing>
      </w:r>
    </w:p>
    <w:p w14:paraId="02792190" w14:textId="77777777" w:rsidR="00CA799D" w:rsidRDefault="00415B73">
      <w:pPr>
        <w:pStyle w:val="Caption"/>
        <w:rPr>
          <w:b/>
          <w:sz w:val="28"/>
          <w:szCs w:val="28"/>
          <w:vertAlign w:val="superscript"/>
        </w:rPr>
      </w:pPr>
      <w:r>
        <w:t xml:space="preserve">Figure </w:t>
      </w:r>
      <w:r>
        <w:fldChar w:fldCharType="begin"/>
      </w:r>
      <w:r>
        <w:instrText xml:space="preserve"> SEQ Figure \* ARABIC </w:instrText>
      </w:r>
      <w:r>
        <w:fldChar w:fldCharType="separate"/>
      </w:r>
      <w:r>
        <w:t>6</w:t>
      </w:r>
      <w:r>
        <w:fldChar w:fldCharType="end"/>
      </w:r>
      <w:r>
        <w:t xml:space="preserve"> Diffuse S100 positive staining is related with ol</w:t>
      </w:r>
      <w:r>
        <w:t xml:space="preserve">der patient age and better prognosis </w:t>
      </w:r>
      <w:r>
        <w:rPr>
          <w:vertAlign w:val="superscript"/>
        </w:rPr>
        <w:t>10,11</w:t>
      </w:r>
    </w:p>
    <w:p w14:paraId="7C094EFA" w14:textId="77777777" w:rsidR="00CA799D" w:rsidRDefault="00CA799D">
      <w:pPr>
        <w:rPr>
          <w:b/>
          <w:sz w:val="28"/>
          <w:szCs w:val="28"/>
        </w:rPr>
      </w:pPr>
    </w:p>
    <w:p w14:paraId="0C27B979" w14:textId="77777777" w:rsidR="00CA799D" w:rsidRDefault="00415B73">
      <w:pPr>
        <w:rPr>
          <w:b/>
        </w:rPr>
      </w:pPr>
      <w:r>
        <w:rPr>
          <w:b/>
        </w:rPr>
        <w:t>4. Discussion</w:t>
      </w:r>
    </w:p>
    <w:p w14:paraId="6B0309AE" w14:textId="77777777" w:rsidR="00CA799D" w:rsidRDefault="00CA799D"/>
    <w:p w14:paraId="6E975749" w14:textId="77777777" w:rsidR="00CA799D" w:rsidRDefault="00415B73">
      <w:pPr>
        <w:jc w:val="both"/>
      </w:pPr>
      <w:r>
        <w:t>First line treatment of CPP in all studies were surgical excision, Adjuvant treatment has been suggested only for carcinoma and simple follow up for benign CPPs.</w:t>
      </w:r>
      <w:r>
        <w:rPr>
          <w:vertAlign w:val="superscript"/>
        </w:rPr>
        <w:t>5</w:t>
      </w:r>
      <w:r>
        <w:t>. Chemotherapy is suggested for cho</w:t>
      </w:r>
      <w:r>
        <w:t>roid plexus carcinomas in infants and radiotherapy for choroid plexus carcinomas in adults.</w:t>
      </w:r>
      <w:r>
        <w:rPr>
          <w:vertAlign w:val="superscript"/>
        </w:rPr>
        <w:t>5</w:t>
      </w:r>
      <w:r>
        <w:t>Although it not clear what is the best strategy for atypical CPPs.</w:t>
      </w:r>
    </w:p>
    <w:p w14:paraId="3EFC8E1F" w14:textId="77777777" w:rsidR="00CA799D" w:rsidRDefault="00415B73">
      <w:pPr>
        <w:jc w:val="both"/>
      </w:pPr>
      <w:r>
        <w:t>Prognosis of CPP depends mainly on histology. 10-year projected survival rate was 77% in benign C</w:t>
      </w:r>
      <w:r>
        <w:t xml:space="preserve">PP and 35% in choroid plexus carcinoma in a meta-analysis reported by Wolff et al </w:t>
      </w:r>
      <w:r>
        <w:rPr>
          <w:vertAlign w:val="superscript"/>
        </w:rPr>
        <w:t xml:space="preserve">5. </w:t>
      </w:r>
      <w:r>
        <w:t xml:space="preserve">Relapse after primary treatment is a poor prognostic factor for carcinoma only in respect to benign papilloma. </w:t>
      </w:r>
    </w:p>
    <w:p w14:paraId="79E505D0" w14:textId="77777777" w:rsidR="00CA799D" w:rsidRDefault="00CA799D"/>
    <w:p w14:paraId="621CF27F" w14:textId="77777777" w:rsidR="00CA799D" w:rsidRDefault="00CA799D">
      <w:pPr>
        <w:rPr>
          <w:lang w:val="en-US"/>
        </w:rPr>
      </w:pPr>
    </w:p>
    <w:p w14:paraId="0B8FEEBF" w14:textId="77777777" w:rsidR="00CA799D" w:rsidRDefault="00CA799D">
      <w:pPr>
        <w:rPr>
          <w:b/>
        </w:rPr>
      </w:pPr>
    </w:p>
    <w:p w14:paraId="2BC6CB7D" w14:textId="77777777" w:rsidR="00CA799D" w:rsidRDefault="00CA799D">
      <w:pPr>
        <w:rPr>
          <w:b/>
          <w:sz w:val="28"/>
          <w:szCs w:val="28"/>
        </w:rPr>
      </w:pPr>
    </w:p>
    <w:p w14:paraId="0479336F" w14:textId="77777777" w:rsidR="00CA799D" w:rsidRDefault="00CA799D">
      <w:pPr>
        <w:rPr>
          <w:b/>
          <w:sz w:val="28"/>
          <w:szCs w:val="28"/>
        </w:rPr>
      </w:pPr>
    </w:p>
    <w:p w14:paraId="38B6E591" w14:textId="77777777" w:rsidR="00CA799D" w:rsidRDefault="00415B73">
      <w:pPr>
        <w:rPr>
          <w:b/>
        </w:rPr>
      </w:pPr>
      <w:r>
        <w:rPr>
          <w:b/>
        </w:rPr>
        <w:t>5.Conclusion</w:t>
      </w:r>
    </w:p>
    <w:p w14:paraId="5B91C703" w14:textId="77777777" w:rsidR="00CA799D" w:rsidRDefault="00CA799D">
      <w:pPr>
        <w:rPr>
          <w:b/>
          <w:sz w:val="28"/>
          <w:szCs w:val="28"/>
        </w:rPr>
      </w:pPr>
    </w:p>
    <w:p w14:paraId="028CA80B" w14:textId="77777777" w:rsidR="00CA799D" w:rsidRDefault="00415B73">
      <w:pPr>
        <w:widowControl w:val="0"/>
        <w:autoSpaceDE w:val="0"/>
        <w:autoSpaceDN w:val="0"/>
        <w:adjustRightInd w:val="0"/>
        <w:spacing w:after="240" w:line="200" w:lineRule="atLeast"/>
        <w:jc w:val="both"/>
        <w:rPr>
          <w:color w:val="000000"/>
        </w:rPr>
      </w:pPr>
      <w:r>
        <w:rPr>
          <w:color w:val="000000"/>
        </w:rPr>
        <w:t>Atypical choroid plexus papillomas are a</w:t>
      </w:r>
      <w:r>
        <w:rPr>
          <w:color w:val="000000"/>
        </w:rPr>
        <w:t>ssociated with an increased risk of recurrence or malignant transformation when compared to “typical” papillomas. At present, complete surgical excision and close follow-up seems to be the most reliable treatment. Adjuvant chemotherapy or radiotherapy shou</w:t>
      </w:r>
      <w:r>
        <w:rPr>
          <w:color w:val="000000"/>
        </w:rPr>
        <w:t xml:space="preserve">ld be considered in cases of partial resection, recurrence or dissemination </w:t>
      </w:r>
    </w:p>
    <w:p w14:paraId="69175B53" w14:textId="77777777" w:rsidR="00CA799D" w:rsidRDefault="00CA799D">
      <w:pPr>
        <w:rPr>
          <w:b/>
          <w:sz w:val="28"/>
          <w:szCs w:val="28"/>
        </w:rPr>
      </w:pPr>
    </w:p>
    <w:p w14:paraId="40177B3C" w14:textId="77777777" w:rsidR="00CA799D" w:rsidRDefault="00CA799D">
      <w:pPr>
        <w:rPr>
          <w:b/>
        </w:rPr>
      </w:pPr>
    </w:p>
    <w:p w14:paraId="5FDF95D8" w14:textId="77777777" w:rsidR="001076F1" w:rsidRPr="000D0D1E" w:rsidRDefault="001076F1" w:rsidP="001076F1">
      <w:pPr>
        <w:shd w:val="clear" w:color="auto" w:fill="FFFFFF"/>
        <w:rPr>
          <w:rFonts w:eastAsia="Times New Roman"/>
          <w:color w:val="222222"/>
        </w:rPr>
      </w:pPr>
      <w:r w:rsidRPr="000D0D1E">
        <w:rPr>
          <w:rFonts w:eastAsia="Times New Roman"/>
          <w:color w:val="222222"/>
        </w:rPr>
        <w:t>Acknowledgements</w:t>
      </w:r>
    </w:p>
    <w:p w14:paraId="1F8472A3" w14:textId="77777777" w:rsidR="000D0D1E" w:rsidRDefault="000D0D1E" w:rsidP="001076F1">
      <w:pPr>
        <w:shd w:val="clear" w:color="auto" w:fill="FFFFFF"/>
        <w:rPr>
          <w:rFonts w:eastAsia="Times New Roman"/>
          <w:color w:val="222222"/>
        </w:rPr>
      </w:pPr>
      <w:r>
        <w:rPr>
          <w:rFonts w:eastAsia="Times New Roman"/>
          <w:color w:val="222222"/>
        </w:rPr>
        <w:t>Not Applicable</w:t>
      </w:r>
    </w:p>
    <w:p w14:paraId="372E91A9" w14:textId="77777777" w:rsidR="001076F1" w:rsidRDefault="001076F1" w:rsidP="001076F1">
      <w:pPr>
        <w:shd w:val="clear" w:color="auto" w:fill="FFFFFF"/>
        <w:rPr>
          <w:rFonts w:eastAsia="Times New Roman"/>
          <w:color w:val="222222"/>
        </w:rPr>
      </w:pPr>
      <w:r w:rsidRPr="000D0D1E">
        <w:rPr>
          <w:rFonts w:eastAsia="Times New Roman"/>
          <w:color w:val="222222"/>
        </w:rPr>
        <w:t>Authors' contributions</w:t>
      </w:r>
    </w:p>
    <w:p w14:paraId="1096CDF3" w14:textId="77777777" w:rsidR="000D0D1E" w:rsidRPr="000D0D1E" w:rsidRDefault="000D0D1E" w:rsidP="001076F1">
      <w:pPr>
        <w:shd w:val="clear" w:color="auto" w:fill="FFFFFF"/>
        <w:rPr>
          <w:rFonts w:eastAsia="Times New Roman"/>
          <w:color w:val="222222"/>
        </w:rPr>
      </w:pPr>
      <w:r>
        <w:rPr>
          <w:rFonts w:eastAsia="Times New Roman"/>
          <w:color w:val="222222"/>
        </w:rPr>
        <w:t>Main Surgeon</w:t>
      </w:r>
    </w:p>
    <w:p w14:paraId="046796AF" w14:textId="77777777" w:rsidR="000D0D1E" w:rsidRDefault="000D0D1E" w:rsidP="001076F1">
      <w:pPr>
        <w:shd w:val="clear" w:color="auto" w:fill="FFFFFF"/>
        <w:rPr>
          <w:rFonts w:eastAsia="Times New Roman"/>
          <w:color w:val="222222"/>
        </w:rPr>
      </w:pPr>
    </w:p>
    <w:p w14:paraId="150C5BEB" w14:textId="77777777" w:rsidR="000D0D1E" w:rsidRDefault="001076F1" w:rsidP="001076F1">
      <w:pPr>
        <w:shd w:val="clear" w:color="auto" w:fill="FFFFFF"/>
        <w:rPr>
          <w:rFonts w:eastAsia="Times New Roman"/>
          <w:color w:val="222222"/>
        </w:rPr>
      </w:pPr>
      <w:r w:rsidRPr="000D0D1E">
        <w:rPr>
          <w:rFonts w:eastAsia="Times New Roman"/>
          <w:color w:val="222222"/>
        </w:rPr>
        <w:t>Financial support and sponsorship</w:t>
      </w:r>
      <w:r w:rsidR="000D0D1E">
        <w:rPr>
          <w:rFonts w:eastAsia="Times New Roman"/>
          <w:color w:val="222222"/>
        </w:rPr>
        <w:t xml:space="preserve"> </w:t>
      </w:r>
    </w:p>
    <w:p w14:paraId="162EFD85" w14:textId="77777777" w:rsidR="000D0D1E" w:rsidRPr="000D0D1E" w:rsidRDefault="000D0D1E" w:rsidP="001076F1">
      <w:pPr>
        <w:shd w:val="clear" w:color="auto" w:fill="FFFFFF"/>
        <w:rPr>
          <w:rFonts w:eastAsia="Times New Roman"/>
          <w:color w:val="222222"/>
        </w:rPr>
      </w:pPr>
      <w:r>
        <w:rPr>
          <w:rFonts w:eastAsia="Times New Roman"/>
          <w:color w:val="222222"/>
        </w:rPr>
        <w:t>251 General Air force and Reserve Hospital</w:t>
      </w:r>
    </w:p>
    <w:p w14:paraId="23C0A52B" w14:textId="77777777" w:rsidR="000D0D1E" w:rsidRDefault="000D0D1E" w:rsidP="001076F1">
      <w:pPr>
        <w:shd w:val="clear" w:color="auto" w:fill="FFFFFF"/>
        <w:rPr>
          <w:rFonts w:eastAsia="Times New Roman"/>
          <w:color w:val="222222"/>
        </w:rPr>
      </w:pPr>
    </w:p>
    <w:p w14:paraId="308D31E6" w14:textId="77777777" w:rsidR="001076F1" w:rsidRDefault="001076F1" w:rsidP="001076F1">
      <w:pPr>
        <w:shd w:val="clear" w:color="auto" w:fill="FFFFFF"/>
        <w:rPr>
          <w:rFonts w:eastAsia="Times New Roman"/>
          <w:color w:val="222222"/>
        </w:rPr>
      </w:pPr>
      <w:r w:rsidRPr="000D0D1E">
        <w:rPr>
          <w:rFonts w:eastAsia="Times New Roman"/>
          <w:color w:val="222222"/>
        </w:rPr>
        <w:t>Conflicts of interest</w:t>
      </w:r>
    </w:p>
    <w:p w14:paraId="33BFFEC6" w14:textId="77777777" w:rsidR="000D0D1E" w:rsidRDefault="000D0D1E" w:rsidP="001076F1">
      <w:pPr>
        <w:shd w:val="clear" w:color="auto" w:fill="FFFFFF"/>
        <w:rPr>
          <w:rFonts w:eastAsia="Times New Roman"/>
          <w:color w:val="222222"/>
        </w:rPr>
      </w:pPr>
      <w:r>
        <w:rPr>
          <w:rFonts w:eastAsia="Times New Roman"/>
          <w:color w:val="222222"/>
        </w:rPr>
        <w:t>No conflict of interest</w:t>
      </w:r>
    </w:p>
    <w:p w14:paraId="679DD0F0" w14:textId="77777777" w:rsidR="000D0D1E" w:rsidRPr="000D0D1E" w:rsidRDefault="000D0D1E" w:rsidP="001076F1">
      <w:pPr>
        <w:shd w:val="clear" w:color="auto" w:fill="FFFFFF"/>
        <w:rPr>
          <w:rFonts w:eastAsia="Times New Roman"/>
          <w:color w:val="222222"/>
        </w:rPr>
      </w:pPr>
    </w:p>
    <w:p w14:paraId="2C656D51" w14:textId="77777777" w:rsidR="001076F1" w:rsidRDefault="001076F1" w:rsidP="001076F1">
      <w:pPr>
        <w:shd w:val="clear" w:color="auto" w:fill="FFFFFF"/>
        <w:rPr>
          <w:rFonts w:eastAsia="Times New Roman"/>
          <w:color w:val="222222"/>
        </w:rPr>
      </w:pPr>
      <w:r w:rsidRPr="000D0D1E">
        <w:rPr>
          <w:rFonts w:eastAsia="Times New Roman"/>
          <w:color w:val="222222"/>
        </w:rPr>
        <w:t>Ethics approval and consent to participate</w:t>
      </w:r>
    </w:p>
    <w:p w14:paraId="4A1F8601" w14:textId="77777777" w:rsidR="000D0D1E" w:rsidRDefault="000D0D1E" w:rsidP="001076F1">
      <w:pPr>
        <w:shd w:val="clear" w:color="auto" w:fill="FFFFFF"/>
        <w:rPr>
          <w:rFonts w:eastAsia="Times New Roman"/>
          <w:color w:val="222222"/>
        </w:rPr>
      </w:pPr>
      <w:r>
        <w:rPr>
          <w:rFonts w:eastAsia="Times New Roman"/>
          <w:color w:val="222222"/>
        </w:rPr>
        <w:t xml:space="preserve">Patients consented for surgery </w:t>
      </w:r>
    </w:p>
    <w:p w14:paraId="3664BC71" w14:textId="77777777" w:rsidR="000D0D1E" w:rsidRPr="000D0D1E" w:rsidRDefault="000D0D1E" w:rsidP="001076F1">
      <w:pPr>
        <w:shd w:val="clear" w:color="auto" w:fill="FFFFFF"/>
        <w:rPr>
          <w:rFonts w:eastAsia="Times New Roman"/>
          <w:color w:val="222222"/>
        </w:rPr>
      </w:pPr>
    </w:p>
    <w:p w14:paraId="519DF9FD" w14:textId="77777777" w:rsidR="001076F1" w:rsidRDefault="001076F1" w:rsidP="001076F1">
      <w:pPr>
        <w:shd w:val="clear" w:color="auto" w:fill="FFFFFF"/>
        <w:rPr>
          <w:rFonts w:eastAsia="Times New Roman"/>
          <w:color w:val="222222"/>
        </w:rPr>
      </w:pPr>
      <w:r w:rsidRPr="000D0D1E">
        <w:rPr>
          <w:rFonts w:eastAsia="Times New Roman"/>
          <w:color w:val="222222"/>
        </w:rPr>
        <w:t>Consent for publication</w:t>
      </w:r>
    </w:p>
    <w:p w14:paraId="348C4EEE" w14:textId="77777777" w:rsidR="000D0D1E" w:rsidRDefault="000D0D1E" w:rsidP="001076F1">
      <w:pPr>
        <w:shd w:val="clear" w:color="auto" w:fill="FFFFFF"/>
        <w:rPr>
          <w:rFonts w:eastAsia="Times New Roman"/>
          <w:color w:val="222222"/>
        </w:rPr>
      </w:pPr>
      <w:r>
        <w:rPr>
          <w:rFonts w:eastAsia="Times New Roman"/>
          <w:color w:val="222222"/>
        </w:rPr>
        <w:t xml:space="preserve">All the authors consented for the final manuscript to be published </w:t>
      </w:r>
    </w:p>
    <w:p w14:paraId="05BCC925" w14:textId="77777777" w:rsidR="000D0D1E" w:rsidRPr="000D0D1E" w:rsidRDefault="000D0D1E" w:rsidP="001076F1">
      <w:pPr>
        <w:shd w:val="clear" w:color="auto" w:fill="FFFFFF"/>
        <w:rPr>
          <w:rFonts w:eastAsia="Times New Roman"/>
          <w:color w:val="222222"/>
        </w:rPr>
      </w:pPr>
    </w:p>
    <w:p w14:paraId="367D4B43" w14:textId="77777777" w:rsidR="001076F1" w:rsidRPr="000D0D1E" w:rsidRDefault="001076F1">
      <w:pPr>
        <w:rPr>
          <w:b/>
        </w:rPr>
      </w:pPr>
    </w:p>
    <w:p w14:paraId="7FBD135E" w14:textId="77777777" w:rsidR="001076F1" w:rsidRDefault="001076F1">
      <w:pPr>
        <w:rPr>
          <w:b/>
        </w:rPr>
      </w:pPr>
    </w:p>
    <w:p w14:paraId="139CE8AC" w14:textId="77777777" w:rsidR="00CA799D" w:rsidRDefault="00415B73">
      <w:pPr>
        <w:rPr>
          <w:b/>
        </w:rPr>
      </w:pPr>
      <w:r>
        <w:rPr>
          <w:b/>
        </w:rPr>
        <w:t>References</w:t>
      </w:r>
    </w:p>
    <w:p w14:paraId="0596DB24" w14:textId="77777777" w:rsidR="00CA799D" w:rsidRDefault="00CA799D">
      <w:pPr>
        <w:rPr>
          <w:b/>
        </w:rPr>
      </w:pPr>
    </w:p>
    <w:p w14:paraId="0761A097" w14:textId="77777777" w:rsidR="00CA799D" w:rsidRDefault="00415B73">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100"/>
        <w:ind w:right="720"/>
        <w:jc w:val="both"/>
        <w:rPr>
          <w:rFonts w:ascii="Times New Roman" w:hAnsi="Times New Roman" w:cs="Times New Roman"/>
          <w:sz w:val="20"/>
          <w:szCs w:val="20"/>
          <w:lang w:val="en-GB" w:eastAsia="en-GB"/>
        </w:rPr>
      </w:pPr>
      <w:r>
        <w:rPr>
          <w:rFonts w:ascii="Times New Roman" w:hAnsi="Times New Roman" w:cs="Times New Roman"/>
          <w:sz w:val="20"/>
          <w:szCs w:val="20"/>
          <w:lang w:val="en-GB" w:eastAsia="en-GB"/>
        </w:rPr>
        <w:t>Jusué-Torres I, Ortega-Zufiría JM, Tamarit-Degenhardt M, Poveda-Núñez PD.</w:t>
      </w:r>
    </w:p>
    <w:p w14:paraId="475A7049" w14:textId="77777777" w:rsidR="00CA799D" w:rsidRDefault="00415B7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100"/>
        <w:ind w:right="720"/>
        <w:jc w:val="both"/>
        <w:rPr>
          <w:rFonts w:ascii="Times New Roman" w:hAnsi="Times New Roman" w:cs="Times New Roman"/>
          <w:sz w:val="20"/>
          <w:szCs w:val="20"/>
          <w:lang w:val="en-GB" w:eastAsia="en-GB"/>
        </w:rPr>
      </w:pPr>
      <w:r>
        <w:rPr>
          <w:rFonts w:ascii="Times New Roman" w:hAnsi="Times New Roman" w:cs="Times New Roman"/>
          <w:sz w:val="20"/>
          <w:szCs w:val="20"/>
          <w:lang w:val="en-GB" w:eastAsia="en-GB"/>
        </w:rPr>
        <w:t xml:space="preserve">[Atypical choroid plexus papilloma in adults: case report and literature review]. </w:t>
      </w:r>
      <w:r>
        <w:rPr>
          <w:rFonts w:ascii="Times New Roman" w:hAnsi="Times New Roman" w:cs="Times New Roman"/>
          <w:sz w:val="20"/>
          <w:szCs w:val="20"/>
          <w:lang w:val="en-GB" w:eastAsia="en-GB"/>
        </w:rPr>
        <w:t>Neurocirugia (Astur). 2012 May;23(3):116-21. doi: 10.1016/j.neucir.2011.02.001.</w:t>
      </w:r>
    </w:p>
    <w:p w14:paraId="73927988" w14:textId="77777777" w:rsidR="00CA799D" w:rsidRDefault="00415B7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100"/>
        <w:ind w:right="720"/>
        <w:jc w:val="both"/>
        <w:rPr>
          <w:rFonts w:ascii="Times New Roman" w:hAnsi="Times New Roman" w:cs="Times New Roman"/>
          <w:sz w:val="20"/>
          <w:szCs w:val="20"/>
          <w:lang w:val="en-GB" w:eastAsia="en-GB"/>
        </w:rPr>
      </w:pPr>
      <w:r>
        <w:rPr>
          <w:rFonts w:ascii="Times New Roman" w:hAnsi="Times New Roman" w:cs="Times New Roman"/>
          <w:sz w:val="20"/>
          <w:szCs w:val="20"/>
          <w:lang w:val="en-GB" w:eastAsia="en-GB"/>
        </w:rPr>
        <w:t>Epub 2012 May 8. Review. Spanish. PubMed PMID: 22575760.</w:t>
      </w:r>
    </w:p>
    <w:p w14:paraId="554D4E84" w14:textId="77777777" w:rsidR="00CA799D" w:rsidRDefault="00415B73">
      <w:pPr>
        <w:pStyle w:val="ListParagraph"/>
        <w:numPr>
          <w:ilvl w:val="0"/>
          <w:numId w:val="1"/>
        </w:numPr>
        <w:jc w:val="both"/>
        <w:rPr>
          <w:rStyle w:val="bkciteavail"/>
          <w:rFonts w:ascii="Times New Roman" w:eastAsia="Times New Roman" w:hAnsi="Times New Roman" w:cs="Times New Roman"/>
          <w:sz w:val="20"/>
          <w:szCs w:val="20"/>
        </w:rPr>
      </w:pPr>
      <w:r>
        <w:rPr>
          <w:rFonts w:ascii="Times New Roman" w:eastAsia="Times New Roman" w:hAnsi="Times New Roman" w:cs="Times New Roman"/>
          <w:color w:val="222222"/>
          <w:sz w:val="20"/>
          <w:szCs w:val="20"/>
          <w:shd w:val="clear" w:color="auto" w:fill="FFFFFF"/>
        </w:rPr>
        <w:t>Joseph JJ, M Das J. Choroid Plexus Papilloma. [Updated 2019 Oct 21]. In: StatPearls [Internet]. Treasure Island (FL): S</w:t>
      </w:r>
      <w:r>
        <w:rPr>
          <w:rFonts w:ascii="Times New Roman" w:eastAsia="Times New Roman" w:hAnsi="Times New Roman" w:cs="Times New Roman"/>
          <w:color w:val="222222"/>
          <w:sz w:val="20"/>
          <w:szCs w:val="20"/>
          <w:shd w:val="clear" w:color="auto" w:fill="FFFFFF"/>
        </w:rPr>
        <w:t>tatPearls Publishing; 2020 Jan-.</w:t>
      </w:r>
      <w:r>
        <w:rPr>
          <w:rStyle w:val="apple-converted-space"/>
          <w:rFonts w:ascii="Times New Roman" w:eastAsia="Times New Roman" w:hAnsi="Times New Roman" w:cs="Times New Roman"/>
          <w:color w:val="222222"/>
          <w:sz w:val="20"/>
          <w:szCs w:val="20"/>
          <w:shd w:val="clear" w:color="auto" w:fill="FFFFFF"/>
        </w:rPr>
        <w:t> </w:t>
      </w:r>
      <w:r>
        <w:rPr>
          <w:rStyle w:val="bkciteavail"/>
          <w:rFonts w:ascii="Times New Roman" w:eastAsia="Times New Roman" w:hAnsi="Times New Roman" w:cs="Times New Roman"/>
          <w:color w:val="222222"/>
          <w:sz w:val="20"/>
          <w:szCs w:val="20"/>
        </w:rPr>
        <w:t>Available from: https://www.ncbi.nlm.nih.gov/books/NBK539749/</w:t>
      </w:r>
    </w:p>
    <w:p w14:paraId="11C9FE64" w14:textId="77777777" w:rsidR="00CA799D" w:rsidRDefault="00415B73">
      <w:pPr>
        <w:pStyle w:val="ListParagraph"/>
        <w:widowControl w:val="0"/>
        <w:numPr>
          <w:ilvl w:val="0"/>
          <w:numId w:val="1"/>
        </w:numPr>
        <w:autoSpaceDE w:val="0"/>
        <w:autoSpaceDN w:val="0"/>
        <w:adjustRightInd w:val="0"/>
        <w:spacing w:after="240"/>
        <w:jc w:val="both"/>
        <w:rPr>
          <w:rFonts w:ascii="Times New Roman" w:hAnsi="Times New Roman" w:cs="Times New Roman"/>
          <w:color w:val="000000"/>
          <w:sz w:val="20"/>
          <w:szCs w:val="20"/>
        </w:rPr>
      </w:pPr>
      <w:r>
        <w:rPr>
          <w:rFonts w:ascii="Times New Roman" w:hAnsi="Times New Roman" w:cs="Times New Roman"/>
          <w:color w:val="000000"/>
          <w:sz w:val="20"/>
          <w:szCs w:val="20"/>
        </w:rPr>
        <w:t>Ji Hoon Shin, Ho Kyu Lee, Ae Kyung Jeong, Sung Hye Park, Choong Gon Choi, Dae Chul Suh</w:t>
      </w:r>
      <w:r>
        <w:rPr>
          <w:rFonts w:ascii="Times New Roman" w:hAnsi="Times New Roman" w:cs="Times New Roman"/>
          <w:color w:val="000000"/>
          <w:position w:val="16"/>
          <w:sz w:val="20"/>
          <w:szCs w:val="20"/>
        </w:rPr>
        <w:t xml:space="preserve">    </w:t>
      </w:r>
      <w:r>
        <w:rPr>
          <w:rFonts w:ascii="Times New Roman" w:hAnsi="Times New Roman" w:cs="Times New Roman"/>
          <w:color w:val="000000"/>
          <w:sz w:val="20"/>
          <w:szCs w:val="20"/>
        </w:rPr>
        <w:t>Choroid plexus papilloma in the posterior cranial fossa MR, CT, and ang</w:t>
      </w:r>
      <w:r>
        <w:rPr>
          <w:rFonts w:ascii="Times New Roman" w:hAnsi="Times New Roman" w:cs="Times New Roman"/>
          <w:color w:val="000000"/>
          <w:sz w:val="20"/>
          <w:szCs w:val="20"/>
        </w:rPr>
        <w:t xml:space="preserve">iographic findings Journal of Clinical Imaging 25 (2001) 154–162 </w:t>
      </w:r>
    </w:p>
    <w:p w14:paraId="0D30ED0A" w14:textId="77777777" w:rsidR="00CA799D" w:rsidRDefault="00415B73">
      <w:pPr>
        <w:pStyle w:val="ListParagraph"/>
        <w:widowControl w:val="0"/>
        <w:numPr>
          <w:ilvl w:val="0"/>
          <w:numId w:val="1"/>
        </w:numPr>
        <w:autoSpaceDE w:val="0"/>
        <w:autoSpaceDN w:val="0"/>
        <w:adjustRightInd w:val="0"/>
        <w:spacing w:after="240"/>
        <w:jc w:val="both"/>
        <w:rPr>
          <w:rFonts w:ascii="Times New Roman" w:hAnsi="Times New Roman" w:cs="Times New Roman"/>
          <w:color w:val="000000"/>
          <w:sz w:val="20"/>
          <w:szCs w:val="20"/>
        </w:rPr>
      </w:pPr>
      <w:r>
        <w:rPr>
          <w:rFonts w:ascii="Times New Roman" w:hAnsi="Times New Roman" w:cs="Times New Roman"/>
          <w:sz w:val="20"/>
          <w:szCs w:val="20"/>
        </w:rPr>
        <w:t xml:space="preserve">Lechanoine F, Zemmoura I, Velut S. Treating Cerebrospinal Fluid Rhinorrhea without Dura Repair: A Case Report of Posterior Fossa Choroid Plexus Papilloma and Review of the Literature. </w:t>
      </w:r>
      <w:r>
        <w:rPr>
          <w:rFonts w:ascii="Times New Roman" w:hAnsi="Times New Roman" w:cs="Times New Roman"/>
          <w:sz w:val="20"/>
          <w:szCs w:val="20"/>
          <w:lang w:val="de-DE"/>
        </w:rPr>
        <w:t xml:space="preserve">World </w:t>
      </w:r>
      <w:r>
        <w:rPr>
          <w:rFonts w:ascii="Times New Roman" w:hAnsi="Times New Roman" w:cs="Times New Roman"/>
          <w:sz w:val="20"/>
          <w:szCs w:val="20"/>
          <w:lang w:val="de-DE"/>
        </w:rPr>
        <w:t xml:space="preserve">Neurosurg. 2017 Dec; 108:990. e1-990.e9. doi: 10.1016/j.wneu.2017.08.121. Epub 2017 Sep 1. </w:t>
      </w:r>
      <w:r>
        <w:rPr>
          <w:rFonts w:ascii="Times New Roman" w:hAnsi="Times New Roman" w:cs="Times New Roman"/>
          <w:sz w:val="20"/>
          <w:szCs w:val="20"/>
        </w:rPr>
        <w:t>Review. PubMed PMID: 28866068.</w:t>
      </w:r>
    </w:p>
    <w:p w14:paraId="290260A4" w14:textId="77777777" w:rsidR="00CA799D" w:rsidRDefault="00415B73">
      <w:pPr>
        <w:pStyle w:val="ListParagraph"/>
        <w:widowControl w:val="0"/>
        <w:numPr>
          <w:ilvl w:val="0"/>
          <w:numId w:val="1"/>
        </w:numPr>
        <w:autoSpaceDE w:val="0"/>
        <w:autoSpaceDN w:val="0"/>
        <w:adjustRightInd w:val="0"/>
        <w:spacing w:after="240"/>
        <w:jc w:val="both"/>
        <w:rPr>
          <w:rFonts w:ascii="Times New Roman" w:hAnsi="Times New Roman" w:cs="Times New Roman"/>
          <w:color w:val="000000"/>
          <w:sz w:val="20"/>
          <w:szCs w:val="20"/>
        </w:rPr>
      </w:pPr>
      <w:r>
        <w:rPr>
          <w:rFonts w:ascii="Times New Roman" w:hAnsi="Times New Roman" w:cs="Times New Roman"/>
          <w:color w:val="000000"/>
          <w:sz w:val="20"/>
          <w:szCs w:val="20"/>
        </w:rPr>
        <w:t>JEA Wolff, M Sajedi, R Brant, MJ Coppes</w:t>
      </w:r>
      <w:r>
        <w:rPr>
          <w:rFonts w:ascii="Times New Roman" w:hAnsi="Times New Roman" w:cs="Times New Roman"/>
          <w:color w:val="000000"/>
          <w:position w:val="10"/>
          <w:sz w:val="20"/>
          <w:szCs w:val="20"/>
        </w:rPr>
        <w:t xml:space="preserve"> </w:t>
      </w:r>
      <w:r>
        <w:rPr>
          <w:rFonts w:ascii="Times New Roman" w:hAnsi="Times New Roman" w:cs="Times New Roman"/>
          <w:color w:val="000000"/>
          <w:sz w:val="20"/>
          <w:szCs w:val="20"/>
        </w:rPr>
        <w:t>and RM Egeler</w:t>
      </w:r>
      <w:r>
        <w:rPr>
          <w:rFonts w:ascii="Times New Roman" w:hAnsi="Times New Roman" w:cs="Times New Roman"/>
          <w:color w:val="000000"/>
          <w:position w:val="10"/>
          <w:sz w:val="20"/>
          <w:szCs w:val="20"/>
        </w:rPr>
        <w:t xml:space="preserve"> </w:t>
      </w:r>
      <w:r>
        <w:rPr>
          <w:rFonts w:ascii="Times New Roman" w:hAnsi="Times New Roman" w:cs="Times New Roman"/>
          <w:color w:val="000000"/>
          <w:sz w:val="20"/>
          <w:szCs w:val="20"/>
        </w:rPr>
        <w:t xml:space="preserve">Choroid plexus tumors British Journal of Cancer (2002) 87, 1086 – 1091 </w:t>
      </w:r>
    </w:p>
    <w:p w14:paraId="5B423C68" w14:textId="77777777" w:rsidR="00CA799D" w:rsidRDefault="00415B73">
      <w:pPr>
        <w:pStyle w:val="ListParagraph"/>
        <w:widowControl w:val="0"/>
        <w:numPr>
          <w:ilvl w:val="0"/>
          <w:numId w:val="1"/>
        </w:numPr>
        <w:autoSpaceDE w:val="0"/>
        <w:autoSpaceDN w:val="0"/>
        <w:adjustRightInd w:val="0"/>
        <w:spacing w:after="240"/>
        <w:jc w:val="both"/>
        <w:rPr>
          <w:rFonts w:ascii="Times New Roman" w:hAnsi="Times New Roman" w:cs="Times New Roman"/>
          <w:color w:val="000000"/>
          <w:sz w:val="20"/>
          <w:szCs w:val="20"/>
        </w:rPr>
      </w:pPr>
      <w:r>
        <w:rPr>
          <w:rFonts w:ascii="Times New Roman" w:hAnsi="Times New Roman" w:cs="Times New Roman"/>
          <w:sz w:val="20"/>
          <w:szCs w:val="20"/>
          <w:lang w:val="de-DE"/>
        </w:rPr>
        <w:t xml:space="preserve">van Swieten JC, Thomeer RT, Vielvoye GJ, Bots GT. </w:t>
      </w:r>
      <w:r>
        <w:rPr>
          <w:rFonts w:ascii="Times New Roman" w:hAnsi="Times New Roman" w:cs="Times New Roman"/>
          <w:sz w:val="20"/>
          <w:szCs w:val="20"/>
        </w:rPr>
        <w:t>Choroid plexus papilloma in the posterior fossa. Surg Neurol. 1987 Aug;28(2):129-34. PubMed PMID: 3496674.</w:t>
      </w:r>
    </w:p>
    <w:p w14:paraId="171450E7" w14:textId="77777777" w:rsidR="00CA799D" w:rsidRDefault="00415B73">
      <w:pPr>
        <w:pStyle w:val="ListParagraph"/>
        <w:widowControl w:val="0"/>
        <w:numPr>
          <w:ilvl w:val="0"/>
          <w:numId w:val="1"/>
        </w:numPr>
        <w:autoSpaceDE w:val="0"/>
        <w:autoSpaceDN w:val="0"/>
        <w:adjustRightInd w:val="0"/>
        <w:spacing w:after="240"/>
        <w:jc w:val="both"/>
        <w:rPr>
          <w:rFonts w:ascii="Times New Roman" w:hAnsi="Times New Roman" w:cs="Times New Roman"/>
          <w:color w:val="000000"/>
          <w:sz w:val="20"/>
          <w:szCs w:val="20"/>
        </w:rPr>
      </w:pPr>
      <w:r>
        <w:rPr>
          <w:rFonts w:ascii="Times New Roman" w:hAnsi="Times New Roman" w:cs="Times New Roman"/>
          <w:sz w:val="20"/>
          <w:szCs w:val="20"/>
        </w:rPr>
        <w:t>Matsushita S, Shimono T, Goto T, Doishita S, Kuwae Y, Miki Y. Posterior fossa choroid plexus papill</w:t>
      </w:r>
      <w:r>
        <w:rPr>
          <w:rFonts w:ascii="Times New Roman" w:hAnsi="Times New Roman" w:cs="Times New Roman"/>
          <w:sz w:val="20"/>
          <w:szCs w:val="20"/>
        </w:rPr>
        <w:t>oma with focal ependymal differentiation in an adult</w:t>
      </w:r>
      <w:r>
        <w:rPr>
          <w:rFonts w:ascii="Times New Roman" w:hAnsi="Times New Roman" w:cs="Times New Roman"/>
        </w:rPr>
        <w:t xml:space="preserve"> </w:t>
      </w:r>
      <w:r>
        <w:rPr>
          <w:rFonts w:ascii="Times New Roman" w:hAnsi="Times New Roman" w:cs="Times New Roman"/>
          <w:sz w:val="20"/>
          <w:szCs w:val="20"/>
        </w:rPr>
        <w:t>patient: A case report and literature review. Radiol Case Rep. 2018 Dec4;14(3):304-308. doi: 10.1016/j.radcr.2018.11.017. eCollection 2019 Mar. PubMed PMID: 30546813; PubMed Central PMCID: PMC6282631</w:t>
      </w:r>
    </w:p>
    <w:p w14:paraId="01706FB6" w14:textId="77777777" w:rsidR="00CA799D" w:rsidRDefault="00415B73">
      <w:pPr>
        <w:pStyle w:val="ListParagraph"/>
        <w:widowControl w:val="0"/>
        <w:numPr>
          <w:ilvl w:val="0"/>
          <w:numId w:val="1"/>
        </w:numPr>
        <w:autoSpaceDE w:val="0"/>
        <w:autoSpaceDN w:val="0"/>
        <w:adjustRightInd w:val="0"/>
        <w:spacing w:after="240"/>
        <w:jc w:val="both"/>
        <w:rPr>
          <w:rFonts w:ascii="Times New Roman" w:hAnsi="Times New Roman" w:cs="Times New Roman"/>
          <w:color w:val="000000"/>
          <w:sz w:val="20"/>
          <w:szCs w:val="20"/>
        </w:rPr>
      </w:pPr>
      <w:r>
        <w:rPr>
          <w:rFonts w:ascii="Times New Roman" w:hAnsi="Times New Roman" w:cs="Times New Roman"/>
          <w:sz w:val="20"/>
          <w:szCs w:val="20"/>
        </w:rPr>
        <w:t xml:space="preserve">Yu </w:t>
      </w:r>
      <w:r>
        <w:rPr>
          <w:rFonts w:ascii="Times New Roman" w:hAnsi="Times New Roman" w:cs="Times New Roman"/>
          <w:sz w:val="20"/>
          <w:szCs w:val="20"/>
        </w:rPr>
        <w:t>H, Yao TL, Spooner J, Stumph JR, Hester R, Konrad PE. Delayed occurrence of multiple spinal drop metastases from a posterior fossa choroid plexus papilloma. Case report. J Neurosurg Spine. 2006 Jun;4(6):494-6. PubMed PMID</w:t>
      </w:r>
    </w:p>
    <w:p w14:paraId="517A38A9" w14:textId="77777777" w:rsidR="00CA799D" w:rsidRDefault="00415B73">
      <w:pPr>
        <w:pStyle w:val="ListParagraph"/>
        <w:widowControl w:val="0"/>
        <w:numPr>
          <w:ilvl w:val="0"/>
          <w:numId w:val="1"/>
        </w:numPr>
        <w:autoSpaceDE w:val="0"/>
        <w:autoSpaceDN w:val="0"/>
        <w:adjustRightInd w:val="0"/>
        <w:spacing w:after="240"/>
        <w:jc w:val="both"/>
        <w:rPr>
          <w:rFonts w:ascii="Times New Roman" w:hAnsi="Times New Roman" w:cs="Times New Roman"/>
          <w:color w:val="000000"/>
          <w:sz w:val="20"/>
          <w:szCs w:val="20"/>
        </w:rPr>
      </w:pPr>
      <w:r>
        <w:rPr>
          <w:rFonts w:ascii="Times New Roman" w:hAnsi="Times New Roman" w:cs="Times New Roman"/>
          <w:sz w:val="20"/>
          <w:szCs w:val="20"/>
        </w:rPr>
        <w:t>Symss NP, Prasad AN, Vasudevan MC,</w:t>
      </w:r>
      <w:r>
        <w:rPr>
          <w:rFonts w:ascii="Times New Roman" w:hAnsi="Times New Roman" w:cs="Times New Roman"/>
          <w:sz w:val="20"/>
          <w:szCs w:val="20"/>
        </w:rPr>
        <w:t xml:space="preserve"> Ramamurthi R. Exophytic choroid plexuspapilloma of the fourth ventricle presenting with cerebrospinal fluid rhinorrhea: a case report. Surg Neurol. 2009 Jun;71(6):705-8. doi: 10.1016/j.surneu.2007.11.019. Epub 2008 Mar 3. PubMed PMID: 18313738.</w:t>
      </w:r>
    </w:p>
    <w:p w14:paraId="58DC974B" w14:textId="77777777" w:rsidR="00CA799D" w:rsidRDefault="00415B73">
      <w:pPr>
        <w:pStyle w:val="ListParagraph"/>
        <w:widowControl w:val="0"/>
        <w:numPr>
          <w:ilvl w:val="0"/>
          <w:numId w:val="1"/>
        </w:numPr>
        <w:autoSpaceDE w:val="0"/>
        <w:autoSpaceDN w:val="0"/>
        <w:adjustRightInd w:val="0"/>
        <w:spacing w:after="240"/>
        <w:jc w:val="both"/>
        <w:rPr>
          <w:rFonts w:ascii="Times New Roman" w:hAnsi="Times New Roman" w:cs="Times New Roman"/>
          <w:color w:val="000000"/>
          <w:sz w:val="20"/>
          <w:szCs w:val="20"/>
        </w:rPr>
      </w:pPr>
      <w:r>
        <w:rPr>
          <w:rFonts w:ascii="Times New Roman" w:hAnsi="Times New Roman" w:cs="Times New Roman"/>
          <w:color w:val="000000"/>
          <w:sz w:val="20"/>
          <w:szCs w:val="20"/>
          <w:lang w:val="en-GB"/>
        </w:rPr>
        <w:t>Paulus W (</w:t>
      </w:r>
      <w:r>
        <w:rPr>
          <w:rFonts w:ascii="Times New Roman" w:hAnsi="Times New Roman" w:cs="Times New Roman"/>
          <w:color w:val="000000"/>
          <w:sz w:val="20"/>
          <w:szCs w:val="20"/>
          <w:lang w:val="en-GB"/>
        </w:rPr>
        <w:t xml:space="preserve">1), Jänisch W </w:t>
      </w:r>
      <w:r>
        <w:rPr>
          <w:rFonts w:ascii="Times New Roman" w:hAnsi="Times New Roman" w:cs="Times New Roman"/>
          <w:color w:val="000000"/>
          <w:sz w:val="20"/>
          <w:szCs w:val="20"/>
        </w:rPr>
        <w:t>Clinicopathologic correlations in epithelial choroid plexus neoplasms: a study of52 cases.</w:t>
      </w:r>
      <w:r>
        <w:rPr>
          <w:rFonts w:ascii="Times New Roman" w:hAnsi="Times New Roman" w:cs="Times New Roman"/>
          <w:color w:val="000000"/>
          <w:sz w:val="20"/>
          <w:szCs w:val="20"/>
          <w:lang w:val="en-GB"/>
        </w:rPr>
        <w:t xml:space="preserve"> </w:t>
      </w:r>
      <w:r>
        <w:rPr>
          <w:rFonts w:ascii="Times New Roman" w:hAnsi="Times New Roman" w:cs="Times New Roman"/>
          <w:color w:val="000000"/>
          <w:sz w:val="20"/>
          <w:szCs w:val="20"/>
          <w:lang w:val="de-DE"/>
        </w:rPr>
        <w:t xml:space="preserve">Acta Neuropathol. </w:t>
      </w:r>
      <w:r>
        <w:rPr>
          <w:rFonts w:ascii="Times New Roman" w:hAnsi="Times New Roman" w:cs="Times New Roman"/>
          <w:color w:val="000000"/>
          <w:sz w:val="20"/>
          <w:szCs w:val="20"/>
        </w:rPr>
        <w:t>1990;80(6):635-41.</w:t>
      </w:r>
    </w:p>
    <w:p w14:paraId="21A4ECC4" w14:textId="77777777" w:rsidR="00CA799D" w:rsidRDefault="00415B73">
      <w:pPr>
        <w:pStyle w:val="ListParagraph"/>
        <w:widowControl w:val="0"/>
        <w:numPr>
          <w:ilvl w:val="0"/>
          <w:numId w:val="1"/>
        </w:numPr>
        <w:autoSpaceDE w:val="0"/>
        <w:autoSpaceDN w:val="0"/>
        <w:adjustRightInd w:val="0"/>
        <w:spacing w:after="240"/>
        <w:jc w:val="both"/>
        <w:rPr>
          <w:rFonts w:ascii="Times New Roman" w:hAnsi="Times New Roman" w:cs="Times New Roman"/>
          <w:color w:val="000000"/>
          <w:sz w:val="22"/>
          <w:szCs w:val="22"/>
        </w:rPr>
      </w:pPr>
      <w:r>
        <w:rPr>
          <w:rFonts w:ascii="Times New Roman" w:hAnsi="Times New Roman" w:cs="Times New Roman"/>
          <w:color w:val="000000"/>
          <w:sz w:val="22"/>
          <w:szCs w:val="22"/>
          <w:lang w:val="en-GB"/>
        </w:rPr>
        <w:t>Coffin CM, Wick MR, Braun JT, Dehner LP</w:t>
      </w:r>
      <w:r>
        <w:rPr>
          <w:rFonts w:ascii="Times New Roman" w:hAnsi="Times New Roman" w:cs="Times New Roman"/>
          <w:color w:val="000000"/>
          <w:sz w:val="22"/>
          <w:szCs w:val="22"/>
        </w:rPr>
        <w:t xml:space="preserve"> Choroid plexus neoplasms. Clinicopathologic and immunohistochemically stud</w:t>
      </w:r>
      <w:r>
        <w:rPr>
          <w:rFonts w:ascii="Times New Roman" w:hAnsi="Times New Roman" w:cs="Times New Roman"/>
          <w:color w:val="000000"/>
          <w:sz w:val="22"/>
          <w:szCs w:val="22"/>
        </w:rPr>
        <w:t>ies. Am J Surg Pathol. 1986 Jun;10(6):394-404.</w:t>
      </w:r>
    </w:p>
    <w:p w14:paraId="4F1BF0D8" w14:textId="77777777" w:rsidR="00CA799D" w:rsidRDefault="00CA799D">
      <w:pPr>
        <w:widowControl w:val="0"/>
        <w:autoSpaceDE w:val="0"/>
        <w:autoSpaceDN w:val="0"/>
        <w:adjustRightInd w:val="0"/>
        <w:spacing w:after="240"/>
        <w:ind w:left="426"/>
        <w:jc w:val="both"/>
        <w:rPr>
          <w:color w:val="000000"/>
          <w:sz w:val="22"/>
          <w:szCs w:val="22"/>
        </w:rPr>
      </w:pPr>
    </w:p>
    <w:p w14:paraId="7DF37FE8" w14:textId="77777777" w:rsidR="00CA799D" w:rsidRDefault="00CA799D">
      <w:pPr>
        <w:pStyle w:val="ListParagraph"/>
        <w:widowControl w:val="0"/>
        <w:autoSpaceDE w:val="0"/>
        <w:autoSpaceDN w:val="0"/>
        <w:adjustRightInd w:val="0"/>
        <w:spacing w:after="240"/>
        <w:ind w:left="786"/>
        <w:jc w:val="both"/>
        <w:rPr>
          <w:rFonts w:ascii="Times New Roman" w:hAnsi="Times New Roman" w:cs="Times New Roman"/>
          <w:color w:val="000000"/>
          <w:sz w:val="20"/>
          <w:szCs w:val="20"/>
          <w:lang w:val="en-GB"/>
        </w:rPr>
      </w:pPr>
    </w:p>
    <w:p w14:paraId="017EE7A3" w14:textId="77777777" w:rsidR="00CA799D" w:rsidRDefault="00CA799D">
      <w:pPr>
        <w:pStyle w:val="ListParagraph"/>
        <w:widowControl w:val="0"/>
        <w:autoSpaceDE w:val="0"/>
        <w:autoSpaceDN w:val="0"/>
        <w:adjustRightInd w:val="0"/>
        <w:spacing w:after="240" w:line="280" w:lineRule="atLeast"/>
        <w:ind w:left="786"/>
        <w:jc w:val="both"/>
        <w:rPr>
          <w:rFonts w:ascii="Times" w:hAnsi="Times" w:cs="Times"/>
          <w:color w:val="000000"/>
          <w:sz w:val="20"/>
          <w:szCs w:val="20"/>
          <w:lang w:val="en-GB"/>
        </w:rPr>
      </w:pPr>
    </w:p>
    <w:p w14:paraId="7C891188" w14:textId="77777777" w:rsidR="00CA799D" w:rsidRDefault="00CA799D">
      <w:pPr>
        <w:pStyle w:val="ListParagraph"/>
        <w:widowControl w:val="0"/>
        <w:autoSpaceDE w:val="0"/>
        <w:autoSpaceDN w:val="0"/>
        <w:adjustRightInd w:val="0"/>
        <w:spacing w:after="240"/>
        <w:jc w:val="both"/>
        <w:rPr>
          <w:rFonts w:ascii="Times New Roman" w:hAnsi="Times New Roman" w:cs="Times New Roman"/>
          <w:lang w:val="en-GB"/>
        </w:rPr>
      </w:pPr>
    </w:p>
    <w:p w14:paraId="31728CE3" w14:textId="77777777" w:rsidR="00CA799D" w:rsidRDefault="00CA799D">
      <w:pPr>
        <w:pStyle w:val="ListParagraph"/>
        <w:widowControl w:val="0"/>
        <w:autoSpaceDE w:val="0"/>
        <w:autoSpaceDN w:val="0"/>
        <w:adjustRightInd w:val="0"/>
        <w:spacing w:after="240"/>
        <w:rPr>
          <w:rFonts w:ascii="Times New Roman" w:hAnsi="Times New Roman" w:cs="Times New Roman"/>
          <w:lang w:val="en-GB"/>
        </w:rPr>
      </w:pPr>
    </w:p>
    <w:p w14:paraId="1293B6DC" w14:textId="77777777" w:rsidR="00CA799D" w:rsidRDefault="00CA799D">
      <w:pPr>
        <w:widowControl w:val="0"/>
        <w:autoSpaceDE w:val="0"/>
        <w:autoSpaceDN w:val="0"/>
        <w:adjustRightInd w:val="0"/>
        <w:spacing w:after="240" w:line="260" w:lineRule="atLeast"/>
      </w:pPr>
    </w:p>
    <w:p w14:paraId="47DAD9F5" w14:textId="77777777" w:rsidR="00CA799D" w:rsidRDefault="00CA799D"/>
    <w:p w14:paraId="31E86326" w14:textId="77777777" w:rsidR="00CA799D" w:rsidRDefault="00CA799D"/>
    <w:p w14:paraId="3B3065CC" w14:textId="77777777" w:rsidR="00CA799D" w:rsidRDefault="00CA799D"/>
    <w:sectPr w:rsidR="00CA799D">
      <w:footerReference w:type="even" r:id="rId17"/>
      <w:footerReference w:type="default" r:id="rId1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090CE2" w14:textId="77777777" w:rsidR="00415B73" w:rsidRDefault="00415B73">
      <w:r>
        <w:separator/>
      </w:r>
    </w:p>
  </w:endnote>
  <w:endnote w:type="continuationSeparator" w:id="0">
    <w:p w14:paraId="78014B6A" w14:textId="77777777" w:rsidR="00415B73" w:rsidRDefault="00415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Courier New">
    <w:panose1 w:val="020703090202050204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29784" w14:textId="77777777" w:rsidR="00CA799D" w:rsidRDefault="00415B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6B6663" w14:textId="77777777" w:rsidR="00CA799D" w:rsidRDefault="00CA799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92B9F4" w14:textId="77777777" w:rsidR="00CA799D" w:rsidRDefault="00415B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4F496F0" w14:textId="77777777" w:rsidR="00CA799D" w:rsidRDefault="00CA799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579DD3" w14:textId="77777777" w:rsidR="00415B73" w:rsidRDefault="00415B73">
      <w:r>
        <w:separator/>
      </w:r>
    </w:p>
  </w:footnote>
  <w:footnote w:type="continuationSeparator" w:id="0">
    <w:p w14:paraId="4504E769" w14:textId="77777777" w:rsidR="00415B73" w:rsidRDefault="00415B7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846A84"/>
    <w:multiLevelType w:val="multilevel"/>
    <w:tmpl w:val="0F846A84"/>
    <w:lvl w:ilvl="0">
      <w:start w:val="1"/>
      <w:numFmt w:val="decimal"/>
      <w:lvlText w:val="%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C1B"/>
    <w:rsid w:val="0003433C"/>
    <w:rsid w:val="00044DA5"/>
    <w:rsid w:val="00057C8E"/>
    <w:rsid w:val="00064269"/>
    <w:rsid w:val="00084591"/>
    <w:rsid w:val="00091139"/>
    <w:rsid w:val="00094C1B"/>
    <w:rsid w:val="000B3037"/>
    <w:rsid w:val="000C4221"/>
    <w:rsid w:val="000D0D1E"/>
    <w:rsid w:val="000E6292"/>
    <w:rsid w:val="000E63B4"/>
    <w:rsid w:val="001076F1"/>
    <w:rsid w:val="00144DBC"/>
    <w:rsid w:val="001A3AD9"/>
    <w:rsid w:val="001A4F03"/>
    <w:rsid w:val="001C698E"/>
    <w:rsid w:val="001E509B"/>
    <w:rsid w:val="00210F73"/>
    <w:rsid w:val="00220801"/>
    <w:rsid w:val="00235450"/>
    <w:rsid w:val="00260E54"/>
    <w:rsid w:val="002704C8"/>
    <w:rsid w:val="00280003"/>
    <w:rsid w:val="002A13C1"/>
    <w:rsid w:val="002D2E1D"/>
    <w:rsid w:val="002D394E"/>
    <w:rsid w:val="002E01B1"/>
    <w:rsid w:val="002E5A1E"/>
    <w:rsid w:val="0035350B"/>
    <w:rsid w:val="00365B4A"/>
    <w:rsid w:val="00382CBC"/>
    <w:rsid w:val="003858BF"/>
    <w:rsid w:val="003E6844"/>
    <w:rsid w:val="003F262F"/>
    <w:rsid w:val="00415B73"/>
    <w:rsid w:val="00435D2A"/>
    <w:rsid w:val="00436599"/>
    <w:rsid w:val="00447303"/>
    <w:rsid w:val="00451C97"/>
    <w:rsid w:val="00455318"/>
    <w:rsid w:val="0047115C"/>
    <w:rsid w:val="00494096"/>
    <w:rsid w:val="00494AA9"/>
    <w:rsid w:val="004E6677"/>
    <w:rsid w:val="00503AD5"/>
    <w:rsid w:val="005260E2"/>
    <w:rsid w:val="005317E0"/>
    <w:rsid w:val="005333CB"/>
    <w:rsid w:val="005453E8"/>
    <w:rsid w:val="0054658A"/>
    <w:rsid w:val="00594E28"/>
    <w:rsid w:val="00596105"/>
    <w:rsid w:val="005B5C5F"/>
    <w:rsid w:val="005C7616"/>
    <w:rsid w:val="005F06C2"/>
    <w:rsid w:val="005F79D1"/>
    <w:rsid w:val="0060623E"/>
    <w:rsid w:val="00632596"/>
    <w:rsid w:val="00656CAC"/>
    <w:rsid w:val="006B4380"/>
    <w:rsid w:val="006D7E58"/>
    <w:rsid w:val="00744F0F"/>
    <w:rsid w:val="0074698E"/>
    <w:rsid w:val="00764EA4"/>
    <w:rsid w:val="00775E54"/>
    <w:rsid w:val="0078270F"/>
    <w:rsid w:val="00793585"/>
    <w:rsid w:val="007948E7"/>
    <w:rsid w:val="00796FDE"/>
    <w:rsid w:val="007A2A70"/>
    <w:rsid w:val="007D7BB3"/>
    <w:rsid w:val="00827AAD"/>
    <w:rsid w:val="00854CCC"/>
    <w:rsid w:val="00872281"/>
    <w:rsid w:val="008778DB"/>
    <w:rsid w:val="00896FAF"/>
    <w:rsid w:val="008D5351"/>
    <w:rsid w:val="008D7066"/>
    <w:rsid w:val="00957CA6"/>
    <w:rsid w:val="009755FC"/>
    <w:rsid w:val="0098262C"/>
    <w:rsid w:val="00993A2F"/>
    <w:rsid w:val="009D5ECB"/>
    <w:rsid w:val="009F10ED"/>
    <w:rsid w:val="00A238A8"/>
    <w:rsid w:val="00A3232E"/>
    <w:rsid w:val="00A4128A"/>
    <w:rsid w:val="00A923D0"/>
    <w:rsid w:val="00AC2192"/>
    <w:rsid w:val="00AE2866"/>
    <w:rsid w:val="00AE58AA"/>
    <w:rsid w:val="00AF1B55"/>
    <w:rsid w:val="00AF4CF2"/>
    <w:rsid w:val="00B04AB0"/>
    <w:rsid w:val="00B3581C"/>
    <w:rsid w:val="00B36483"/>
    <w:rsid w:val="00B36CBA"/>
    <w:rsid w:val="00B6001F"/>
    <w:rsid w:val="00B61E4C"/>
    <w:rsid w:val="00B62F51"/>
    <w:rsid w:val="00B745EB"/>
    <w:rsid w:val="00B772B3"/>
    <w:rsid w:val="00B9745D"/>
    <w:rsid w:val="00BA06C4"/>
    <w:rsid w:val="00BC0313"/>
    <w:rsid w:val="00BF594D"/>
    <w:rsid w:val="00C04002"/>
    <w:rsid w:val="00C404EB"/>
    <w:rsid w:val="00C408E3"/>
    <w:rsid w:val="00C42105"/>
    <w:rsid w:val="00C46AF5"/>
    <w:rsid w:val="00C747EF"/>
    <w:rsid w:val="00C76A7B"/>
    <w:rsid w:val="00CA799D"/>
    <w:rsid w:val="00CC5377"/>
    <w:rsid w:val="00CE23F0"/>
    <w:rsid w:val="00CE3F4C"/>
    <w:rsid w:val="00D05717"/>
    <w:rsid w:val="00D4666C"/>
    <w:rsid w:val="00D91BED"/>
    <w:rsid w:val="00DA5680"/>
    <w:rsid w:val="00DC5B26"/>
    <w:rsid w:val="00DD7C54"/>
    <w:rsid w:val="00DF568E"/>
    <w:rsid w:val="00E00587"/>
    <w:rsid w:val="00E359C7"/>
    <w:rsid w:val="00EA4CDD"/>
    <w:rsid w:val="00ED7A45"/>
    <w:rsid w:val="00EE2A04"/>
    <w:rsid w:val="00F52D50"/>
    <w:rsid w:val="00F61A2C"/>
    <w:rsid w:val="00F82F20"/>
    <w:rsid w:val="00FA580D"/>
    <w:rsid w:val="00FD6FBF"/>
    <w:rsid w:val="00FF4CD4"/>
    <w:rsid w:val="4CDE6F0F"/>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ecimalSymbol w:val=","/>
  <w:listSeparator w:val=","/>
  <w14:docId w14:val="0975170E"/>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GB" w:eastAsia="en-GB"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Footer">
    <w:name w:val="footer"/>
    <w:basedOn w:val="Normal"/>
    <w:link w:val="FooterChar"/>
    <w:uiPriority w:val="99"/>
    <w:unhideWhenUsed/>
    <w:pPr>
      <w:tabs>
        <w:tab w:val="center" w:pos="4680"/>
        <w:tab w:val="right" w:pos="9360"/>
      </w:tabs>
    </w:pPr>
    <w:rPr>
      <w:rFonts w:asciiTheme="minorHAnsi" w:hAnsiTheme="minorHAnsi" w:cstheme="minorBidi"/>
      <w:lang w:val="en-US" w:eastAsia="en-U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style>
  <w:style w:type="character" w:styleId="Hyperlink">
    <w:name w:val="Hyperlink"/>
    <w:basedOn w:val="DefaultParagraphFont"/>
    <w:uiPriority w:val="99"/>
    <w:unhideWhenUsed/>
    <w:rPr>
      <w:color w:val="0563C1" w:themeColor="hyperlink"/>
      <w:u w:val="single"/>
    </w:r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rPr>
      <w:rFonts w:asciiTheme="minorHAnsi" w:hAnsiTheme="minorHAnsi" w:cstheme="minorBidi"/>
      <w:lang w:val="en-US" w:eastAsia="en-US"/>
    </w:rPr>
  </w:style>
  <w:style w:type="character" w:customStyle="1" w:styleId="HTMLPreformattedChar">
    <w:name w:val="HTML Preformatted Char"/>
    <w:basedOn w:val="DefaultParagraphFont"/>
    <w:link w:val="HTMLPreformatted"/>
    <w:uiPriority w:val="99"/>
    <w:semiHidden/>
    <w:rPr>
      <w:rFonts w:ascii="Courier New" w:hAnsi="Courier New" w:cs="Courier New"/>
      <w:sz w:val="20"/>
      <w:szCs w:val="20"/>
      <w:lang w:val="en-GB" w:eastAsia="en-GB"/>
    </w:rPr>
  </w:style>
  <w:style w:type="character" w:customStyle="1" w:styleId="apple-converted-space">
    <w:name w:val="apple-converted-space"/>
    <w:basedOn w:val="DefaultParagraphFont"/>
  </w:style>
  <w:style w:type="character" w:customStyle="1" w:styleId="bkciteavail">
    <w:name w:val="bk_cite_avail"/>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7301248">
      <w:bodyDiv w:val="1"/>
      <w:marLeft w:val="0"/>
      <w:marRight w:val="0"/>
      <w:marTop w:val="0"/>
      <w:marBottom w:val="0"/>
      <w:divBdr>
        <w:top w:val="none" w:sz="0" w:space="0" w:color="auto"/>
        <w:left w:val="none" w:sz="0" w:space="0" w:color="auto"/>
        <w:bottom w:val="none" w:sz="0" w:space="0" w:color="auto"/>
        <w:right w:val="none" w:sz="0" w:space="0" w:color="auto"/>
      </w:divBdr>
      <w:divsChild>
        <w:div w:id="1786658827">
          <w:marLeft w:val="0"/>
          <w:marRight w:val="0"/>
          <w:marTop w:val="0"/>
          <w:marBottom w:val="0"/>
          <w:divBdr>
            <w:top w:val="none" w:sz="0" w:space="0" w:color="auto"/>
            <w:left w:val="none" w:sz="0" w:space="0" w:color="auto"/>
            <w:bottom w:val="none" w:sz="0" w:space="0" w:color="auto"/>
            <w:right w:val="none" w:sz="0" w:space="0" w:color="auto"/>
          </w:divBdr>
        </w:div>
        <w:div w:id="103502546">
          <w:marLeft w:val="0"/>
          <w:marRight w:val="0"/>
          <w:marTop w:val="0"/>
          <w:marBottom w:val="0"/>
          <w:divBdr>
            <w:top w:val="none" w:sz="0" w:space="0" w:color="auto"/>
            <w:left w:val="none" w:sz="0" w:space="0" w:color="auto"/>
            <w:bottom w:val="none" w:sz="0" w:space="0" w:color="auto"/>
            <w:right w:val="none" w:sz="0" w:space="0" w:color="auto"/>
          </w:divBdr>
        </w:div>
        <w:div w:id="1483306201">
          <w:marLeft w:val="0"/>
          <w:marRight w:val="0"/>
          <w:marTop w:val="0"/>
          <w:marBottom w:val="0"/>
          <w:divBdr>
            <w:top w:val="none" w:sz="0" w:space="0" w:color="auto"/>
            <w:left w:val="none" w:sz="0" w:space="0" w:color="auto"/>
            <w:bottom w:val="none" w:sz="0" w:space="0" w:color="auto"/>
            <w:right w:val="none" w:sz="0" w:space="0" w:color="auto"/>
          </w:divBdr>
        </w:div>
        <w:div w:id="1138837078">
          <w:marLeft w:val="0"/>
          <w:marRight w:val="0"/>
          <w:marTop w:val="0"/>
          <w:marBottom w:val="0"/>
          <w:divBdr>
            <w:top w:val="none" w:sz="0" w:space="0" w:color="auto"/>
            <w:left w:val="none" w:sz="0" w:space="0" w:color="auto"/>
            <w:bottom w:val="none" w:sz="0" w:space="0" w:color="auto"/>
            <w:right w:val="none" w:sz="0" w:space="0" w:color="auto"/>
          </w:divBdr>
        </w:div>
        <w:div w:id="1610966202">
          <w:marLeft w:val="0"/>
          <w:marRight w:val="0"/>
          <w:marTop w:val="0"/>
          <w:marBottom w:val="0"/>
          <w:divBdr>
            <w:top w:val="none" w:sz="0" w:space="0" w:color="auto"/>
            <w:left w:val="none" w:sz="0" w:space="0" w:color="auto"/>
            <w:bottom w:val="none" w:sz="0" w:space="0" w:color="auto"/>
            <w:right w:val="none" w:sz="0" w:space="0" w:color="auto"/>
          </w:divBdr>
        </w:div>
        <w:div w:id="1275137027">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veranissotiri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1791</Words>
  <Characters>10212</Characters>
  <Application>Microsoft Macintosh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2</cp:revision>
  <cp:lastPrinted>2020-05-12T10:45:00Z</cp:lastPrinted>
  <dcterms:created xsi:type="dcterms:W3CDTF">2020-09-03T15:23:00Z</dcterms:created>
  <dcterms:modified xsi:type="dcterms:W3CDTF">2020-09-03T15:23:00Z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