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eastAsia="宋体" w:cs="Times New Roman"/>
          <w:b/>
          <w:sz w:val="36"/>
          <w:szCs w:val="36"/>
          <w:lang w:val="en-US" w:eastAsia="zh-CN"/>
        </w:rPr>
      </w:pPr>
      <w:r>
        <w:rPr>
          <w:rFonts w:hint="eastAsia" w:ascii="Times New Roman" w:hAnsi="Times New Roman" w:eastAsia="宋体" w:cs="Times New Roman"/>
          <w:b/>
          <w:sz w:val="36"/>
          <w:szCs w:val="36"/>
          <w:lang w:val="en-US" w:eastAsia="zh-CN"/>
        </w:rPr>
        <w:t>Res</w:t>
      </w:r>
      <w:bookmarkStart w:id="0" w:name="_GoBack"/>
      <w:bookmarkEnd w:id="0"/>
      <w:r>
        <w:rPr>
          <w:rFonts w:hint="eastAsia" w:ascii="Times New Roman" w:hAnsi="Times New Roman" w:eastAsia="宋体" w:cs="Times New Roman"/>
          <w:b/>
          <w:sz w:val="36"/>
          <w:szCs w:val="36"/>
          <w:lang w:val="en-US" w:eastAsia="zh-CN"/>
        </w:rPr>
        <w:t>earch Article</w:t>
      </w:r>
    </w:p>
    <w:p>
      <w:pPr>
        <w:spacing w:line="480" w:lineRule="auto"/>
        <w:rPr>
          <w:rFonts w:ascii="Times New Roman" w:hAnsi="Times New Roman" w:cs="Times New Roman"/>
          <w:b/>
          <w:sz w:val="24"/>
          <w:szCs w:val="24"/>
        </w:rPr>
      </w:pPr>
      <w:r>
        <w:rPr>
          <w:rFonts w:ascii="Times New Roman" w:hAnsi="Times New Roman" w:cs="Times New Roman"/>
          <w:b/>
          <w:sz w:val="24"/>
          <w:szCs w:val="24"/>
        </w:rPr>
        <w:t>Peritonitis in Children: Experience in a Tertiary Hospital in Enugu, Nigeria</w:t>
      </w: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Chukwubuike Kevin Emeka</w:t>
      </w: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Department of Surgery, Enugu State University Teaching Hospital, Enugu, Nigeria.</w:t>
      </w:r>
    </w:p>
    <w:p>
      <w:pPr>
        <w:spacing w:after="160" w:line="480" w:lineRule="auto"/>
        <w:rPr>
          <w:rFonts w:ascii="Times New Roman" w:hAnsi="Times New Roman" w:cs="Times New Roman"/>
          <w:sz w:val="24"/>
          <w:szCs w:val="24"/>
        </w:rPr>
      </w:pPr>
      <w:r>
        <w:rPr>
          <w:rFonts w:ascii="Times New Roman" w:hAnsi="Times New Roman" w:eastAsia="Calibri" w:cs="Times New Roman"/>
          <w:sz w:val="24"/>
          <w:szCs w:val="24"/>
          <w:vertAlign w:val="superscript"/>
        </w:rPr>
        <w:t xml:space="preserve"> </w:t>
      </w:r>
      <w:r>
        <w:rPr>
          <w:rFonts w:ascii="Times New Roman" w:hAnsi="Times New Roman" w:eastAsia="Calibri" w:cs="Times New Roman"/>
          <w:sz w:val="24"/>
          <w:szCs w:val="24"/>
        </w:rPr>
        <w:t xml:space="preserve">Correspondence: Chukwubuike Kevin Emeka, Department of Surgery, Enugu State University Teaching Hospital, Enugu, Nigeria.  E-mail: </w:t>
      </w:r>
      <w:r>
        <w:fldChar w:fldCharType="begin"/>
      </w:r>
      <w:r>
        <w:instrText xml:space="preserve"> HYPERLINK "mailto:chukwubuikeonline@yahoo.com" </w:instrText>
      </w:r>
      <w:r>
        <w:fldChar w:fldCharType="separate"/>
      </w:r>
      <w:r>
        <w:rPr>
          <w:rStyle w:val="10"/>
          <w:rFonts w:ascii="Times New Roman" w:hAnsi="Times New Roman" w:eastAsia="Calibri" w:cs="Times New Roman"/>
          <w:sz w:val="24"/>
          <w:szCs w:val="24"/>
        </w:rPr>
        <w:t>chukwubuikeonline@yahoo.com</w:t>
      </w:r>
      <w:r>
        <w:rPr>
          <w:rStyle w:val="10"/>
          <w:rFonts w:ascii="Times New Roman" w:hAnsi="Times New Roman" w:eastAsia="Calibri" w:cs="Times New Roman"/>
          <w:sz w:val="24"/>
          <w:szCs w:val="24"/>
        </w:rPr>
        <w:fldChar w:fldCharType="end"/>
      </w: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Running title: Peritonitis in Children</w:t>
      </w: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pPr>
        <w:spacing w:after="0" w:line="48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Peritonitis may be associated with significant morbidity and mortality. The aim of this study was to evaluate our experience with the management of secondary peritonitis in children. </w:t>
      </w:r>
    </w:p>
    <w:p>
      <w:pPr>
        <w:spacing w:after="0" w:line="480" w:lineRule="auto"/>
        <w:rPr>
          <w:rFonts w:ascii="Times New Roman" w:hAnsi="Times New Roman" w:eastAsia="Calibri" w:cs="Times New Roman"/>
          <w:sz w:val="24"/>
          <w:szCs w:val="24"/>
        </w:rPr>
      </w:pPr>
      <w:r>
        <w:rPr>
          <w:rFonts w:ascii="Times New Roman" w:hAnsi="Times New Roman" w:eastAsia="Calibri" w:cs="Times New Roman"/>
          <w:b/>
          <w:sz w:val="24"/>
          <w:szCs w:val="24"/>
        </w:rPr>
        <w:t>Methods</w:t>
      </w:r>
      <w:r>
        <w:rPr>
          <w:rFonts w:ascii="Times New Roman" w:hAnsi="Times New Roman" w:eastAsia="Calibri" w:cs="Times New Roman"/>
          <w:sz w:val="24"/>
          <w:szCs w:val="24"/>
        </w:rPr>
        <w:t xml:space="preserve">: This was a retrospective study of children who had undergone laparotomy for peritonitis in the pediatric surgery unit of Enugu State University Teaching Hospital (ESUTH) in Enugu, Nigeria over a five-year period. </w:t>
      </w:r>
    </w:p>
    <w:p>
      <w:pPr>
        <w:spacing w:after="0" w:line="480" w:lineRule="auto"/>
        <w:rPr>
          <w:rFonts w:ascii="Times New Roman" w:hAnsi="Times New Roman"/>
          <w:b/>
          <w:sz w:val="24"/>
          <w:szCs w:val="24"/>
        </w:rPr>
      </w:pPr>
      <w:r>
        <w:rPr>
          <w:rFonts w:ascii="Times New Roman" w:hAnsi="Times New Roman" w:eastAsia="Calibri" w:cs="Times New Roman"/>
          <w:b/>
          <w:sz w:val="24"/>
          <w:szCs w:val="24"/>
        </w:rPr>
        <w:t>Results:</w:t>
      </w:r>
      <w:r>
        <w:rPr>
          <w:rFonts w:ascii="Times New Roman" w:hAnsi="Times New Roman" w:eastAsia="Calibri" w:cs="Times New Roman"/>
          <w:sz w:val="24"/>
          <w:szCs w:val="24"/>
        </w:rPr>
        <w:t xml:space="preserve"> There were 52 cases of laparotomies for peritonitis, with an age range of </w:t>
      </w:r>
      <w:r>
        <w:rPr>
          <w:rFonts w:ascii="Times New Roman" w:hAnsi="Times New Roman"/>
          <w:sz w:val="24"/>
          <w:szCs w:val="24"/>
        </w:rPr>
        <w:t xml:space="preserve">two weeks to 14 years (median nine years) and a male to female ratio of 3.3:1. The etiologies of peritonitis were typhoid intestinal perforation in 25 cases (48%), ruptured appendix in nine cases (17.3%), perforated intussusception in eight cases (15.4%), perforated external hernia in three cases (5.8%), perforation due to adhesive intestinal obstruction in three cases (5.8%), perforated necrotizing enterocolitis in three cases (5.8%), and bowel perforation due to trauma in one case (1.9%). The following definitive surgical procedures were performed: closure of bowel perforation in 26 cases (50%), appendectomy plus abscess drainage in nine cases (17.3%), right hemicolectomy with ileotransverse anastomosis in eight cases (15.4%), segmental bowel resection in six cases (11.5%), and insertion of peritoneal drains in three cases (5.8%). The median duration of symptoms prior to presentation and the median duration from presentation to surgery were four days and two days, respectively. Twenty-four patients (46.2%) developed complications that included surgical site infection in 12 cases (23.1%), </w:t>
      </w:r>
      <w:r>
        <w:rPr>
          <w:rFonts w:ascii="Times New Roman" w:hAnsi="Times New Roman" w:cs="Times New Roman"/>
          <w:sz w:val="24"/>
          <w:szCs w:val="24"/>
        </w:rPr>
        <w:t xml:space="preserve">enterocutanous fistula in five cases (9.6%), intra-abdominal abscess in four cases (7.7%), and wound dehiscence in three cases (5.8%). </w:t>
      </w:r>
      <w:r>
        <w:rPr>
          <w:rFonts w:ascii="Times New Roman" w:hAnsi="Times New Roman"/>
          <w:sz w:val="24"/>
          <w:szCs w:val="24"/>
        </w:rPr>
        <w:t>There were seven deaths, accounting for 13.5% of the patients.</w:t>
      </w:r>
      <w:r>
        <w:rPr>
          <w:rFonts w:ascii="Times New Roman" w:hAnsi="Times New Roman"/>
          <w:b/>
          <w:sz w:val="24"/>
          <w:szCs w:val="24"/>
        </w:rPr>
        <w:t xml:space="preserve"> </w:t>
      </w:r>
    </w:p>
    <w:p>
      <w:pPr>
        <w:spacing w:after="0" w:line="480" w:lineRule="auto"/>
        <w:rPr>
          <w:rFonts w:ascii="Times New Roman" w:hAnsi="Times New Roman"/>
          <w:sz w:val="24"/>
          <w:szCs w:val="24"/>
        </w:rPr>
      </w:pPr>
      <w:r>
        <w:rPr>
          <w:rFonts w:ascii="Times New Roman" w:hAnsi="Times New Roman"/>
          <w:b/>
          <w:sz w:val="24"/>
          <w:szCs w:val="24"/>
        </w:rPr>
        <w:t>Conclusion</w:t>
      </w:r>
      <w:r>
        <w:rPr>
          <w:rFonts w:ascii="Times New Roman" w:hAnsi="Times New Roman"/>
          <w:sz w:val="24"/>
          <w:szCs w:val="24"/>
        </w:rPr>
        <w:t>: Typhoid intestinal perforation was the most common cause of peritonitis in the present study.</w:t>
      </w:r>
    </w:p>
    <w:p>
      <w:pPr>
        <w:spacing w:line="480" w:lineRule="auto"/>
        <w:rPr>
          <w:rFonts w:ascii="Times New Roman" w:hAnsi="Times New Roman"/>
          <w:sz w:val="24"/>
          <w:szCs w:val="24"/>
        </w:rPr>
      </w:pPr>
      <w:r>
        <w:rPr>
          <w:rFonts w:ascii="Times New Roman" w:hAnsi="Times New Roman"/>
          <w:b/>
          <w:sz w:val="24"/>
          <w:szCs w:val="24"/>
        </w:rPr>
        <w:t xml:space="preserve">Keywords: </w:t>
      </w:r>
      <w:r>
        <w:rPr>
          <w:rFonts w:ascii="Times New Roman" w:hAnsi="Times New Roman"/>
          <w:sz w:val="24"/>
          <w:szCs w:val="24"/>
        </w:rPr>
        <w:t>children; peritonitis; developing country; single center.</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1. Introduction</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Peritonitis can be defined as inflammation of the peritoneum regardless of its etiology, and it is a potentially life-threatening pathology [1]. Other terms synonymously used for peritonitis, but which are not exactly the same, include intra-abdominal infection or intra-abdominal sepsis [1]. Peritonitis may be caused by perforation of the bowel or hollow viscus, as can occur with a ruptured appendix. Other causes of peritonitis include but are not limited to anastomotic leak and translocation of bacteria [1]. Peritonitis may be classified into primary, secondary, and tertiary peritonitis based on the source and nature of the microbial contamination [2]. Peritonitis may also be classified into localized or diffuse peritonitis. </w:t>
      </w:r>
    </w:p>
    <w:p>
      <w:pPr>
        <w:spacing w:after="0" w:line="480" w:lineRule="auto"/>
        <w:rPr>
          <w:rFonts w:ascii="Times New Roman" w:hAnsi="Times New Roman"/>
          <w:sz w:val="24"/>
          <w:szCs w:val="24"/>
        </w:rPr>
      </w:pPr>
      <w:r>
        <w:rPr>
          <w:rFonts w:ascii="Times New Roman" w:hAnsi="Times New Roman" w:cs="Times New Roman"/>
          <w:sz w:val="24"/>
          <w:szCs w:val="24"/>
        </w:rPr>
        <w:t xml:space="preserve">In 1926, Kirschner demonstrated that by following strict surgical principles, the mortality rate of peritonitis could be reduced from 80% to about 60% [3]. Subsequently, the development of new operative techniques, the provision of potent antibiotics, and the availability of intensive care treatment have reduced the mortality of peritonitis to an average of 30% to 40% [4]. The factors that affect the outcome of peritonitis are related to the patient, the disease, and the intervention [5]. </w:t>
      </w:r>
      <w:r>
        <w:rPr>
          <w:rFonts w:ascii="Times New Roman" w:hAnsi="Times New Roman"/>
          <w:sz w:val="24"/>
          <w:szCs w:val="24"/>
        </w:rPr>
        <w:t>The goal of this study was to evaluate the profiles and management outcomes of children treated for secondary peritonitis at a tertiary hospital in Enugu, Nigeria.</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2. Methodology</w:t>
      </w:r>
    </w:p>
    <w:p>
      <w:pPr>
        <w:spacing w:line="480" w:lineRule="auto"/>
        <w:rPr>
          <w:rStyle w:val="11"/>
        </w:rPr>
      </w:pPr>
      <w:r>
        <w:rPr>
          <w:rFonts w:ascii="Times New Roman" w:hAnsi="Times New Roman" w:cs="Times New Roman"/>
          <w:sz w:val="24"/>
          <w:szCs w:val="24"/>
        </w:rPr>
        <w:t>This was a retrospective study of children aged 15 years and below who were managed for peritonitis between January 2014 and December 2018 in the pediatric surgery unit of Enugu State University Teaching Hospital (ESUTH) in Enugu, Nigeria. Patients who had surgery for peritonitis at a peripheral hospital before referral to</w:t>
      </w:r>
      <w:r>
        <w:rPr>
          <w:rFonts w:ascii="Times New Roman" w:hAnsi="Times New Roman"/>
          <w:sz w:val="24"/>
          <w:szCs w:val="24"/>
        </w:rPr>
        <w:t xml:space="preserve"> ESUTH</w:t>
      </w:r>
      <w:r>
        <w:rPr>
          <w:rFonts w:ascii="Times New Roman" w:hAnsi="Times New Roman" w:cs="Times New Roman"/>
          <w:sz w:val="24"/>
          <w:szCs w:val="24"/>
        </w:rPr>
        <w:t xml:space="preserve"> for reoperation were excluded from the study, as were patients with primary peritonitis. </w:t>
      </w:r>
      <w:r>
        <w:rPr>
          <w:rFonts w:ascii="Times New Roman" w:hAnsi="Times New Roman"/>
          <w:sz w:val="24"/>
          <w:szCs w:val="24"/>
        </w:rPr>
        <w:t>ESUTH is a tertiary hospital located in Enugu, South East Nigeria. The hospital serves the entirety of Enugu State, which, according to the 2016 estimates of the National Population Commission and the Nigerian National Bureau of Statistics, has a population of about four million and a population density of 616.0/km</w:t>
      </w:r>
      <w:r>
        <w:rPr>
          <w:rFonts w:ascii="Times New Roman" w:hAnsi="Times New Roman"/>
          <w:sz w:val="24"/>
          <w:szCs w:val="24"/>
          <w:vertAlign w:val="superscript"/>
        </w:rPr>
        <w:t>2</w:t>
      </w:r>
      <w:r>
        <w:rPr>
          <w:rFonts w:ascii="Times New Roman" w:hAnsi="Times New Roman"/>
          <w:sz w:val="24"/>
          <w:szCs w:val="24"/>
        </w:rPr>
        <w:t>. The hospital also receives referrals from its neighboring states.</w:t>
      </w:r>
      <w:r>
        <w:rPr>
          <w:rStyle w:val="11"/>
        </w:rPr>
        <w:t xml:space="preserve"> </w:t>
      </w:r>
    </w:p>
    <w:p>
      <w:pPr>
        <w:spacing w:line="480" w:lineRule="auto"/>
        <w:rPr>
          <w:rFonts w:ascii="Times New Roman" w:hAnsi="Times New Roman"/>
          <w:sz w:val="24"/>
          <w:szCs w:val="24"/>
        </w:rPr>
      </w:pPr>
      <w:r>
        <w:rPr>
          <w:rFonts w:ascii="Times New Roman" w:hAnsi="Times New Roman"/>
          <w:sz w:val="24"/>
          <w:szCs w:val="24"/>
        </w:rPr>
        <w:t xml:space="preserve"> Information was extracted from the case notes, operation notes, operation register, and admission-discharge records. The information extracted included age, gender, presenting symptoms, duration of symptoms before presentation, time interval between presentation and intervention, intra-operative finding, definitive operative procedure performed, complications of treatment, duration of hospital stay, and outcome of treatment. The diagnoses of peritonitis were made based on clinical and radiological findings. The follow-up period was 12 months</w:t>
      </w:r>
      <w:r>
        <w:rPr>
          <w:rFonts w:ascii="Times New Roman" w:hAnsi="Times New Roman" w:cs="Times New Roman"/>
          <w:sz w:val="24"/>
          <w:szCs w:val="24"/>
        </w:rPr>
        <w:t xml:space="preserve">. </w:t>
      </w:r>
      <w:r>
        <w:rPr>
          <w:rFonts w:ascii="Times New Roman" w:hAnsi="Times New Roman"/>
          <w:sz w:val="24"/>
          <w:szCs w:val="24"/>
        </w:rPr>
        <w:t>Ethical approval was obtained from the ethics and research committee of ESUTH, and informed consent was obtained from the patients’ caregivers.</w:t>
      </w:r>
      <w:r>
        <w:rPr>
          <w:rFonts w:ascii="Times New Roman" w:hAnsi="Times New Roman"/>
          <w:b/>
          <w:sz w:val="24"/>
          <w:szCs w:val="24"/>
        </w:rPr>
        <w:t xml:space="preserve"> </w:t>
      </w:r>
      <w:r>
        <w:rPr>
          <w:rFonts w:ascii="Times New Roman" w:hAnsi="Times New Roman"/>
          <w:sz w:val="24"/>
          <w:szCs w:val="24"/>
        </w:rPr>
        <w:t>Statistical Package for Social Science (SPSS) version 21 (manufactured by IBM Corporation, Chicago, Illinois) was used for data entry and analysis. Data were expressed as percentages, medians, means, and ranges.</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3. Results</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3.1. Patients’ demographics</w:t>
      </w:r>
    </w:p>
    <w:p>
      <w:pPr>
        <w:spacing w:line="480" w:lineRule="auto"/>
        <w:rPr>
          <w:rFonts w:ascii="Times New Roman" w:hAnsi="Times New Roman" w:cs="Times New Roman"/>
          <w:b/>
          <w:sz w:val="24"/>
          <w:szCs w:val="24"/>
        </w:rPr>
      </w:pPr>
      <w:r>
        <w:rPr>
          <w:rFonts w:ascii="Times New Roman" w:hAnsi="Times New Roman"/>
          <w:sz w:val="24"/>
          <w:szCs w:val="24"/>
        </w:rPr>
        <w:t xml:space="preserve">Sixty-two laparotomies were performed for peritonitis during the study period, but only 52 cases had complete case records; these formed the basis of this report. There were 40 males (76.9%) and 12 females (23.1%), which corresponds to a male to female ratio of 3.3:1. Details are depicted in Table 1. </w:t>
      </w:r>
    </w:p>
    <w:p>
      <w:pPr>
        <w:spacing w:after="0" w:line="480" w:lineRule="auto"/>
        <w:rPr>
          <w:rFonts w:ascii="Times New Roman" w:hAnsi="Times New Roman"/>
          <w:sz w:val="24"/>
          <w:szCs w:val="24"/>
        </w:rPr>
      </w:pPr>
      <w:r>
        <w:rPr>
          <w:rFonts w:ascii="Times New Roman" w:hAnsi="Times New Roman"/>
          <w:sz w:val="24"/>
          <w:szCs w:val="24"/>
        </w:rPr>
        <w:t xml:space="preserve">Table 1. Demographic characteristics of the patients (n=52)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Gender</w:t>
            </w:r>
          </w:p>
          <w:p>
            <w:pPr>
              <w:spacing w:after="0" w:line="480" w:lineRule="auto"/>
              <w:rPr>
                <w:rFonts w:ascii="Times New Roman" w:hAnsi="Times New Roman"/>
                <w:sz w:val="24"/>
                <w:szCs w:val="24"/>
              </w:rPr>
            </w:pPr>
            <w:r>
              <w:rPr>
                <w:rFonts w:ascii="Times New Roman" w:hAnsi="Times New Roman"/>
                <w:sz w:val="24"/>
                <w:szCs w:val="24"/>
              </w:rPr>
              <w:t xml:space="preserve">             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40 (76.9%)</w:t>
            </w:r>
            <w:r>
              <w:rPr>
                <w:rFonts w:ascii="Times New Roman" w:hAnsi="Times New Roman"/>
                <w:sz w:val="24"/>
                <w:szCs w:val="24"/>
              </w:rPr>
              <w:tab/>
            </w:r>
          </w:p>
          <w:p>
            <w:pPr>
              <w:spacing w:after="0" w:line="480" w:lineRule="auto"/>
              <w:rPr>
                <w:rFonts w:ascii="Times New Roman" w:hAnsi="Times New Roman"/>
                <w:sz w:val="24"/>
                <w:szCs w:val="24"/>
              </w:rPr>
            </w:pPr>
            <w:r>
              <w:rPr>
                <w:rFonts w:ascii="Times New Roman" w:hAnsi="Times New Roman"/>
                <w:sz w:val="24"/>
                <w:szCs w:val="24"/>
              </w:rPr>
              <w:t xml:space="preserve">             Female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12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Age group of the patients</w:t>
            </w:r>
          </w:p>
          <w:p>
            <w:pPr>
              <w:spacing w:after="0" w:line="480" w:lineRule="auto"/>
              <w:rPr>
                <w:rFonts w:ascii="Times New Roman" w:hAnsi="Times New Roman"/>
                <w:sz w:val="24"/>
                <w:szCs w:val="24"/>
              </w:rPr>
            </w:pPr>
            <w:r>
              <w:rPr>
                <w:rFonts w:ascii="Times New Roman" w:hAnsi="Times New Roman"/>
                <w:sz w:val="24"/>
                <w:szCs w:val="24"/>
              </w:rPr>
              <w:t xml:space="preserve">             Neonate (less than one month)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3 (5.8%)</w:t>
            </w:r>
          </w:p>
          <w:p>
            <w:pPr>
              <w:spacing w:after="0" w:line="480" w:lineRule="auto"/>
              <w:rPr>
                <w:rFonts w:ascii="Times New Roman" w:hAnsi="Times New Roman"/>
                <w:sz w:val="24"/>
                <w:szCs w:val="24"/>
              </w:rPr>
            </w:pPr>
            <w:r>
              <w:rPr>
                <w:rFonts w:ascii="Times New Roman" w:hAnsi="Times New Roman"/>
                <w:sz w:val="24"/>
                <w:szCs w:val="24"/>
              </w:rPr>
              <w:t xml:space="preserve">             Older than one month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49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Median age of patients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9 years (2 weeks - 14 years)</w:t>
            </w:r>
            <w:r>
              <w:rPr>
                <w:rFonts w:ascii="Times New Roman" w:hAnsi="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Median duration of symptoms prior to presentation                  4 days (2–6).</w:t>
            </w:r>
          </w:p>
          <w:p>
            <w:pPr>
              <w:spacing w:after="0" w:line="480" w:lineRule="auto"/>
              <w:rPr>
                <w:rFonts w:ascii="Times New Roman" w:hAnsi="Times New Roman"/>
                <w:sz w:val="24"/>
                <w:szCs w:val="24"/>
              </w:rPr>
            </w:pPr>
            <w:r>
              <w:rPr>
                <w:rFonts w:ascii="Times New Roman" w:hAnsi="Times New Roman"/>
                <w:sz w:val="24"/>
                <w:szCs w:val="24"/>
              </w:rPr>
              <w:t xml:space="preserve">             Presented within 24 hours                                             7 (13.5%)</w:t>
            </w:r>
          </w:p>
          <w:p>
            <w:pPr>
              <w:spacing w:after="0" w:line="480" w:lineRule="auto"/>
              <w:rPr>
                <w:rFonts w:ascii="Times New Roman" w:hAnsi="Times New Roman"/>
                <w:sz w:val="24"/>
                <w:szCs w:val="24"/>
              </w:rPr>
            </w:pPr>
            <w:r>
              <w:rPr>
                <w:rFonts w:ascii="Times New Roman" w:hAnsi="Times New Roman"/>
                <w:sz w:val="24"/>
                <w:szCs w:val="24"/>
              </w:rPr>
              <w:t xml:space="preserve">             Presented between 24 and 48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11 (21.2%)</w:t>
            </w:r>
          </w:p>
          <w:p>
            <w:pPr>
              <w:spacing w:after="0" w:line="480" w:lineRule="auto"/>
              <w:rPr>
                <w:rFonts w:ascii="Times New Roman" w:hAnsi="Times New Roman"/>
                <w:sz w:val="24"/>
                <w:szCs w:val="24"/>
              </w:rPr>
            </w:pPr>
            <w:r>
              <w:rPr>
                <w:rFonts w:ascii="Times New Roman" w:hAnsi="Times New Roman"/>
                <w:sz w:val="24"/>
                <w:szCs w:val="24"/>
              </w:rPr>
              <w:t xml:space="preserve">             Presented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34 (65.3%)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Median duration from presentation to surgery                          2 days (1 - 3)</w:t>
            </w:r>
          </w:p>
          <w:p>
            <w:pPr>
              <w:spacing w:after="0" w:line="480" w:lineRule="auto"/>
              <w:rPr>
                <w:rFonts w:ascii="Times New Roman" w:hAnsi="Times New Roman"/>
                <w:sz w:val="24"/>
                <w:szCs w:val="24"/>
              </w:rPr>
            </w:pPr>
            <w:r>
              <w:rPr>
                <w:rFonts w:ascii="Times New Roman" w:hAnsi="Times New Roman"/>
                <w:sz w:val="24"/>
                <w:szCs w:val="24"/>
              </w:rPr>
              <w:t xml:space="preserve">             Within 24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7 patients (13.5%)</w:t>
            </w:r>
          </w:p>
          <w:p>
            <w:pPr>
              <w:spacing w:after="0" w:line="480" w:lineRule="auto"/>
              <w:rPr>
                <w:rFonts w:ascii="Times New Roman" w:hAnsi="Times New Roman"/>
                <w:sz w:val="24"/>
                <w:szCs w:val="24"/>
              </w:rPr>
            </w:pPr>
            <w:r>
              <w:rPr>
                <w:rFonts w:ascii="Times New Roman" w:hAnsi="Times New Roman"/>
                <w:sz w:val="24"/>
                <w:szCs w:val="24"/>
              </w:rPr>
              <w:t xml:space="preserve">             Between 24 and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29 patients (55.8%)</w:t>
            </w:r>
          </w:p>
          <w:p>
            <w:pPr>
              <w:spacing w:after="0" w:line="480" w:lineRule="auto"/>
              <w:rPr>
                <w:rFonts w:ascii="Times New Roman" w:hAnsi="Times New Roman"/>
                <w:sz w:val="24"/>
                <w:szCs w:val="24"/>
              </w:rPr>
            </w:pPr>
            <w:r>
              <w:rPr>
                <w:rFonts w:ascii="Times New Roman" w:hAnsi="Times New Roman"/>
                <w:sz w:val="24"/>
                <w:szCs w:val="24"/>
              </w:rPr>
              <w:t xml:space="preserve">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16 patients (30.7%)</w:t>
            </w:r>
            <w:r>
              <w:rPr>
                <w:rFonts w:ascii="Times New Roman" w:hAnsi="Times New Roman"/>
                <w:sz w:val="24"/>
                <w:szCs w:val="24"/>
              </w:rPr>
              <w:tab/>
            </w:r>
            <w:r>
              <w:rPr>
                <w:rFonts w:ascii="Times New Roman" w:hAnsi="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 xml:space="preserve">The mean duration of hospital stay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12 days (7-21)</w:t>
            </w:r>
          </w:p>
        </w:tc>
      </w:tr>
    </w:tbl>
    <w:p>
      <w:pPr>
        <w:spacing w:after="0" w:line="480" w:lineRule="auto"/>
        <w:rPr>
          <w:rFonts w:ascii="Times New Roman" w:hAnsi="Times New Roman" w:cs="Times New Roman"/>
          <w:b/>
          <w:sz w:val="24"/>
          <w:szCs w:val="24"/>
        </w:rPr>
      </w:pPr>
    </w:p>
    <w:p>
      <w:pPr>
        <w:spacing w:before="240" w:after="0" w:line="480" w:lineRule="auto"/>
        <w:rPr>
          <w:rFonts w:ascii="Times New Roman" w:hAnsi="Times New Roman"/>
          <w:b/>
          <w:sz w:val="24"/>
          <w:szCs w:val="24"/>
        </w:rPr>
      </w:pPr>
      <w:r>
        <w:rPr>
          <w:rFonts w:ascii="Times New Roman" w:hAnsi="Times New Roman"/>
          <w:b/>
          <w:sz w:val="24"/>
          <w:szCs w:val="24"/>
        </w:rPr>
        <w:t>3.2. Clinical features</w:t>
      </w:r>
    </w:p>
    <w:p>
      <w:pPr>
        <w:spacing w:after="0" w:line="480" w:lineRule="auto"/>
        <w:rPr>
          <w:rFonts w:ascii="Times New Roman" w:hAnsi="Times New Roman"/>
          <w:sz w:val="24"/>
          <w:szCs w:val="24"/>
        </w:rPr>
      </w:pPr>
      <w:r>
        <w:rPr>
          <w:rFonts w:ascii="Times New Roman" w:hAnsi="Times New Roman"/>
          <w:sz w:val="24"/>
          <w:szCs w:val="24"/>
        </w:rPr>
        <w:t xml:space="preserve">3.2.1. Presenting symptoms </w:t>
      </w:r>
    </w:p>
    <w:p>
      <w:pPr>
        <w:spacing w:after="0" w:line="480" w:lineRule="auto"/>
        <w:rPr>
          <w:rFonts w:ascii="Times New Roman" w:hAnsi="Times New Roman"/>
          <w:sz w:val="24"/>
          <w:szCs w:val="24"/>
        </w:rPr>
      </w:pPr>
      <w:r>
        <w:rPr>
          <w:rFonts w:ascii="Times New Roman" w:hAnsi="Times New Roman"/>
          <w:sz w:val="24"/>
          <w:szCs w:val="24"/>
        </w:rPr>
        <w:t>Presenting symptoms are shown in Table 2.</w:t>
      </w:r>
    </w:p>
    <w:p>
      <w:pPr>
        <w:spacing w:before="240" w:after="0" w:line="480" w:lineRule="auto"/>
        <w:rPr>
          <w:rFonts w:ascii="Times New Roman" w:hAnsi="Times New Roman"/>
          <w:sz w:val="24"/>
          <w:szCs w:val="24"/>
        </w:rPr>
      </w:pPr>
      <w:r>
        <w:rPr>
          <w:rFonts w:ascii="Times New Roman" w:hAnsi="Times New Roman"/>
          <w:sz w:val="24"/>
          <w:szCs w:val="24"/>
        </w:rPr>
        <w:t>Table 2. Presenting symptoms of the patients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sz w:val="24"/>
                <w:szCs w:val="24"/>
              </w:rPr>
            </w:pPr>
            <w:r>
              <w:rPr>
                <w:rFonts w:ascii="Times New Roman" w:hAnsi="Times New Roman"/>
                <w:sz w:val="24"/>
                <w:szCs w:val="24"/>
              </w:rPr>
              <w:t xml:space="preserve">            Presenting symptom                         Number of patients                               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sz w:val="24"/>
                <w:szCs w:val="24"/>
              </w:rPr>
            </w:pPr>
            <w:r>
              <w:rPr>
                <w:rFonts w:ascii="Times New Roman" w:hAnsi="Times New Roman"/>
                <w:sz w:val="24"/>
                <w:szCs w:val="24"/>
              </w:rPr>
              <w:t xml:space="preserve">             Abdominal pain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53.8</w:t>
            </w:r>
          </w:p>
          <w:p>
            <w:pPr>
              <w:spacing w:after="0" w:line="480" w:lineRule="auto"/>
              <w:rPr>
                <w:rFonts w:ascii="Times New Roman" w:hAnsi="Times New Roman"/>
                <w:sz w:val="24"/>
                <w:szCs w:val="24"/>
              </w:rPr>
            </w:pPr>
            <w:r>
              <w:rPr>
                <w:rFonts w:ascii="Times New Roman" w:hAnsi="Times New Roman"/>
                <w:sz w:val="24"/>
                <w:szCs w:val="24"/>
              </w:rPr>
              <w:t xml:space="preserve">             Fever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19.2</w:t>
            </w:r>
          </w:p>
          <w:p>
            <w:pPr>
              <w:spacing w:after="0" w:line="480" w:lineRule="auto"/>
              <w:rPr>
                <w:rFonts w:ascii="Times New Roman" w:hAnsi="Times New Roman"/>
                <w:sz w:val="24"/>
                <w:szCs w:val="24"/>
              </w:rPr>
            </w:pPr>
            <w:r>
              <w:rPr>
                <w:rFonts w:ascii="Times New Roman" w:hAnsi="Times New Roman"/>
                <w:sz w:val="24"/>
                <w:szCs w:val="24"/>
              </w:rPr>
              <w:t xml:space="preserve">             Abdominal distension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11.6</w:t>
            </w:r>
          </w:p>
          <w:p>
            <w:pPr>
              <w:spacing w:after="0" w:line="480" w:lineRule="auto"/>
              <w:rPr>
                <w:rFonts w:ascii="Times New Roman" w:hAnsi="Times New Roman"/>
                <w:sz w:val="24"/>
                <w:szCs w:val="24"/>
              </w:rPr>
            </w:pPr>
            <w:r>
              <w:rPr>
                <w:rFonts w:ascii="Times New Roman" w:hAnsi="Times New Roman"/>
                <w:sz w:val="24"/>
                <w:szCs w:val="24"/>
              </w:rPr>
              <w:t xml:space="preserve">             Vomiting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9.6</w:t>
            </w:r>
          </w:p>
          <w:p>
            <w:pPr>
              <w:spacing w:after="0" w:line="480" w:lineRule="auto"/>
              <w:rPr>
                <w:rFonts w:ascii="Times New Roman" w:hAnsi="Times New Roman"/>
                <w:sz w:val="24"/>
                <w:szCs w:val="24"/>
              </w:rPr>
            </w:pPr>
            <w:r>
              <w:rPr>
                <w:rFonts w:ascii="Times New Roman" w:hAnsi="Times New Roman"/>
                <w:sz w:val="24"/>
                <w:szCs w:val="24"/>
              </w:rPr>
              <w:t xml:space="preserve">             Constipation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5.8  </w:t>
            </w:r>
          </w:p>
        </w:tc>
      </w:tr>
    </w:tbl>
    <w:p>
      <w:pPr>
        <w:spacing w:after="0" w:line="480" w:lineRule="auto"/>
        <w:rPr>
          <w:rFonts w:ascii="Times New Roman" w:hAnsi="Times New Roman"/>
          <w:sz w:val="24"/>
          <w:szCs w:val="24"/>
        </w:rPr>
      </w:pPr>
    </w:p>
    <w:p>
      <w:pPr>
        <w:spacing w:before="240" w:after="0" w:line="480" w:lineRule="auto"/>
        <w:rPr>
          <w:rFonts w:ascii="Times New Roman" w:hAnsi="Times New Roman"/>
          <w:sz w:val="24"/>
          <w:szCs w:val="24"/>
        </w:rPr>
      </w:pPr>
      <w:r>
        <w:rPr>
          <w:rFonts w:ascii="Times New Roman" w:hAnsi="Times New Roman"/>
          <w:sz w:val="24"/>
          <w:szCs w:val="24"/>
        </w:rPr>
        <w:t>3.2.2. Clinical signs</w:t>
      </w:r>
    </w:p>
    <w:p>
      <w:pPr>
        <w:spacing w:after="0" w:line="480" w:lineRule="auto"/>
        <w:rPr>
          <w:rFonts w:ascii="Times New Roman" w:hAnsi="Times New Roman"/>
          <w:sz w:val="24"/>
          <w:szCs w:val="24"/>
        </w:rPr>
      </w:pPr>
      <w:r>
        <w:rPr>
          <w:rFonts w:ascii="Times New Roman" w:hAnsi="Times New Roman"/>
          <w:sz w:val="24"/>
          <w:szCs w:val="24"/>
        </w:rPr>
        <w:t>Fifty-two patients (96.2%) had generalized abdominal tenderness, and 48 patients (92.3%) had abdominal rigidity with guarding. On digital rectal examination, 26 patients (50%) had collections in the rectovesical pouch.</w:t>
      </w:r>
    </w:p>
    <w:p>
      <w:pPr>
        <w:spacing w:before="240" w:after="0" w:line="480" w:lineRule="auto"/>
        <w:rPr>
          <w:rFonts w:ascii="Times New Roman" w:hAnsi="Times New Roman"/>
          <w:b/>
          <w:sz w:val="24"/>
          <w:szCs w:val="24"/>
        </w:rPr>
      </w:pPr>
      <w:r>
        <w:rPr>
          <w:rFonts w:ascii="Times New Roman" w:hAnsi="Times New Roman"/>
          <w:b/>
          <w:sz w:val="24"/>
          <w:szCs w:val="24"/>
        </w:rPr>
        <w:t>3.3. Radiological findings</w:t>
      </w:r>
    </w:p>
    <w:p>
      <w:pPr>
        <w:spacing w:after="0" w:line="480" w:lineRule="auto"/>
        <w:rPr>
          <w:rFonts w:ascii="Times New Roman" w:hAnsi="Times New Roman"/>
          <w:sz w:val="24"/>
          <w:szCs w:val="24"/>
        </w:rPr>
      </w:pPr>
      <w:r>
        <w:rPr>
          <w:rFonts w:ascii="Times New Roman" w:hAnsi="Times New Roman"/>
          <w:sz w:val="24"/>
          <w:szCs w:val="24"/>
        </w:rPr>
        <w:t xml:space="preserve">All the patients had plain abdominal radiographs; the radiographs were diagnostic in five patients (9.6%). Forty-seven patients (90.4%) had abdominal ultrasound, out of which 26 (55.3%) showed echo-rich peritoneal fluid. Computed tomography scans were not performed as they were not available at the facility. </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3.4. Etiology of peritonitis</w:t>
      </w:r>
    </w:p>
    <w:p>
      <w:pPr>
        <w:spacing w:after="0" w:line="480" w:lineRule="auto"/>
        <w:rPr>
          <w:rFonts w:ascii="Times New Roman" w:hAnsi="Times New Roman" w:cs="Times New Roman"/>
          <w:sz w:val="24"/>
          <w:szCs w:val="24"/>
        </w:rPr>
      </w:pPr>
      <w:r>
        <w:rPr>
          <w:rFonts w:ascii="Times New Roman" w:hAnsi="Times New Roman" w:cs="Times New Roman"/>
          <w:sz w:val="24"/>
          <w:szCs w:val="24"/>
        </w:rPr>
        <w:t>Based on the intra-operative findings, the most common etiology causing peritonitis was typhoid intestinal perforation. Others are shown in Table 3.</w:t>
      </w:r>
    </w:p>
    <w:p>
      <w:pPr>
        <w:spacing w:before="240" w:after="0" w:line="480" w:lineRule="auto"/>
        <w:rPr>
          <w:rFonts w:ascii="Times New Roman" w:hAnsi="Times New Roman" w:cs="Times New Roman"/>
          <w:sz w:val="24"/>
          <w:szCs w:val="24"/>
        </w:rPr>
      </w:pPr>
      <w:r>
        <w:rPr>
          <w:rFonts w:ascii="Times New Roman" w:hAnsi="Times New Roman" w:cs="Times New Roman"/>
          <w:sz w:val="24"/>
          <w:szCs w:val="24"/>
        </w:rPr>
        <w:t>Table 3. Etiology of peritonitis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Intra-operative finding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Number of patients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Typhoid intestinal perforation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48.0</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Ruptured vermiform appendix </w:t>
            </w:r>
            <w:r>
              <w:rPr>
                <w:rFonts w:ascii="Times New Roman" w:hAnsi="Times New Roman" w:cs="Times New Roman"/>
                <w:sz w:val="24"/>
                <w:szCs w:val="24"/>
              </w:rPr>
              <w:tab/>
            </w:r>
            <w:r>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17.3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intussusception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15.4</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external hernia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bowel due to AIO</w:t>
            </w: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NEC</w:t>
            </w:r>
            <w:r>
              <w:rPr>
                <w:rFonts w:ascii="Times New Roman" w:hAnsi="Times New Roman" w:cs="Times New Roman"/>
                <w:sz w:val="24"/>
                <w:szCs w:val="24"/>
                <w:vertAlign w:val="superscript"/>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p>
            <w:pPr>
              <w:spacing w:after="0" w:line="480" w:lineRule="auto"/>
              <w:rPr>
                <w:rFonts w:ascii="Times New Roman" w:hAnsi="Times New Roman" w:cs="Times New Roman"/>
                <w:sz w:val="24"/>
                <w:szCs w:val="24"/>
              </w:rPr>
            </w:pPr>
            <w:r>
              <w:rPr>
                <w:rFonts w:ascii="Times New Roman" w:hAnsi="Times New Roman" w:cs="Times New Roman"/>
                <w:sz w:val="24"/>
                <w:szCs w:val="24"/>
              </w:rPr>
              <w:t>Bowel perforation due to abdominal trauma</w:t>
            </w:r>
            <w:r>
              <w:rPr>
                <w:rFonts w:ascii="Times New Roman" w:hAnsi="Times New Roman" w:cs="Times New Roman"/>
                <w:sz w:val="24"/>
                <w:szCs w:val="24"/>
              </w:rPr>
              <w:tab/>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1.9</w:t>
            </w:r>
          </w:p>
        </w:tc>
      </w:tr>
    </w:tbl>
    <w:p>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NEC = Necrotizing enterocolitis, </w:t>
      </w:r>
      <w:r>
        <w:rPr>
          <w:rFonts w:ascii="Times New Roman" w:hAnsi="Times New Roman" w:cs="Times New Roman"/>
          <w:sz w:val="24"/>
          <w:szCs w:val="24"/>
          <w:vertAlign w:val="superscript"/>
        </w:rPr>
        <w:t>a</w:t>
      </w:r>
      <w:r>
        <w:rPr>
          <w:rFonts w:ascii="Times New Roman" w:hAnsi="Times New Roman" w:cs="Times New Roman"/>
          <w:sz w:val="24"/>
          <w:szCs w:val="24"/>
        </w:rPr>
        <w:t xml:space="preserve">AIO = Adhesive intestinal obstruction  </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3.5. Definitive operation performed</w:t>
      </w:r>
    </w:p>
    <w:p>
      <w:pPr>
        <w:spacing w:after="0" w:line="480" w:lineRule="auto"/>
        <w:rPr>
          <w:rFonts w:ascii="Times New Roman" w:hAnsi="Times New Roman" w:cs="Times New Roman"/>
          <w:sz w:val="24"/>
          <w:szCs w:val="24"/>
        </w:rPr>
      </w:pPr>
      <w:r>
        <w:rPr>
          <w:rFonts w:ascii="Times New Roman" w:hAnsi="Times New Roman" w:cs="Times New Roman"/>
          <w:sz w:val="24"/>
          <w:szCs w:val="24"/>
        </w:rPr>
        <w:t>The definitive surgeries are shown in Table 4.</w:t>
      </w:r>
    </w:p>
    <w:p>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Table 4. Definitive operation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Definitive procedure performed                              Number                             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Closure of bowel perforation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50.0</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Appendectomy plus abscess drainage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17.3</w:t>
            </w:r>
          </w:p>
          <w:p>
            <w:pPr>
              <w:spacing w:after="0" w:line="480" w:lineRule="auto"/>
              <w:rPr>
                <w:rFonts w:ascii="Times New Roman" w:hAnsi="Times New Roman" w:cs="Times New Roman"/>
                <w:sz w:val="24"/>
                <w:szCs w:val="24"/>
              </w:rPr>
            </w:pPr>
            <w:r>
              <w:rPr>
                <w:rFonts w:ascii="Times New Roman" w:hAnsi="Times New Roman" w:cs="Times New Roman"/>
                <w:sz w:val="24"/>
                <w:szCs w:val="24"/>
              </w:rPr>
              <w:t>Right hemicolectomy with ITA</w:t>
            </w:r>
            <w:r>
              <w:rPr>
                <w:rFonts w:ascii="Times New Roman" w:hAnsi="Times New Roman" w:cs="Times New Roman"/>
                <w:sz w:val="24"/>
                <w:szCs w:val="24"/>
                <w:vertAlign w:val="superscript"/>
              </w:rPr>
              <w:t xml:space="preserve">c </w:t>
            </w: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15.4</w:t>
            </w:r>
          </w:p>
          <w:p>
            <w:pPr>
              <w:spacing w:after="0" w:line="480" w:lineRule="auto"/>
              <w:rPr>
                <w:rFonts w:ascii="Times New Roman" w:hAnsi="Times New Roman" w:cs="Times New Roman"/>
                <w:sz w:val="24"/>
                <w:szCs w:val="24"/>
              </w:rPr>
            </w:pPr>
            <w:r>
              <w:rPr>
                <w:rFonts w:ascii="Times New Roman" w:hAnsi="Times New Roman" w:cs="Times New Roman"/>
                <w:sz w:val="24"/>
                <w:szCs w:val="24"/>
              </w:rPr>
              <w:t>Segmental bowel resection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11.5</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Peritoneal drain insertion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tc>
      </w:tr>
    </w:tbl>
    <w:p>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ITA = Ileotransverse anastomosis </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3.6. Post-operative complications</w:t>
      </w:r>
    </w:p>
    <w:p>
      <w:pPr>
        <w:spacing w:after="0" w:line="480" w:lineRule="auto"/>
        <w:rPr>
          <w:rFonts w:ascii="Times New Roman" w:hAnsi="Times New Roman" w:cs="Times New Roman"/>
          <w:sz w:val="24"/>
          <w:szCs w:val="24"/>
        </w:rPr>
      </w:pPr>
      <w:r>
        <w:rPr>
          <w:rFonts w:ascii="Times New Roman" w:hAnsi="Times New Roman" w:cs="Times New Roman"/>
          <w:sz w:val="24"/>
          <w:szCs w:val="24"/>
        </w:rPr>
        <w:t>Twenty-eight patients (53.8%) did not develop any complications. Surgical site infection occurred in 12 patients (23.1%), and this was the most common complication recorded for the patients. Other complications included enterocutanous fistula in five cases (9.6%), intra-abdominal abscess in four cases (7.7%), and wound dehiscence in three cases (5.8%).</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3.7. Outcome</w:t>
      </w:r>
    </w:p>
    <w:p>
      <w:pPr>
        <w:spacing w:after="0" w:line="480" w:lineRule="auto"/>
        <w:rPr>
          <w:rFonts w:ascii="Times New Roman" w:hAnsi="Times New Roman" w:cs="Times New Roman"/>
          <w:sz w:val="24"/>
          <w:szCs w:val="24"/>
        </w:rPr>
      </w:pPr>
      <w:r>
        <w:rPr>
          <w:rFonts w:ascii="Times New Roman" w:hAnsi="Times New Roman" w:cs="Times New Roman"/>
          <w:sz w:val="24"/>
          <w:szCs w:val="24"/>
        </w:rPr>
        <w:t>Forty-two patients (80.8%) recovered well and were discharged. Two patients (3.8%) were signed out against medical advice. Mortality was recorded in seven patients (13.5%). Most mortality occurred among the neonates.</w:t>
      </w:r>
    </w:p>
    <w:p>
      <w:pPr>
        <w:spacing w:before="240" w:after="0" w:line="480" w:lineRule="auto"/>
        <w:rPr>
          <w:rFonts w:ascii="Times New Roman" w:hAnsi="Times New Roman"/>
          <w:b/>
          <w:bCs/>
          <w:sz w:val="24"/>
          <w:szCs w:val="24"/>
        </w:rPr>
      </w:pPr>
      <w:r>
        <w:rPr>
          <w:rFonts w:ascii="Times New Roman" w:hAnsi="Times New Roman"/>
          <w:b/>
          <w:bCs/>
          <w:sz w:val="24"/>
          <w:szCs w:val="24"/>
        </w:rPr>
        <w:t>3.8. Follow-up</w:t>
      </w:r>
    </w:p>
    <w:p>
      <w:pPr>
        <w:spacing w:after="0" w:line="480" w:lineRule="auto"/>
        <w:rPr>
          <w:rFonts w:ascii="Times New Roman" w:hAnsi="Times New Roman"/>
          <w:sz w:val="24"/>
          <w:szCs w:val="24"/>
        </w:rPr>
      </w:pPr>
      <w:r>
        <w:rPr>
          <w:rFonts w:ascii="Times New Roman" w:hAnsi="Times New Roman"/>
          <w:sz w:val="24"/>
          <w:szCs w:val="24"/>
        </w:rPr>
        <w:t xml:space="preserve">During the 12-month follow-up period, two patients (3.8%) developed adhesive bowel obstruction. These two patients recovered upon non-operative treatment of their adhesive bowel obstruction. </w:t>
      </w:r>
    </w:p>
    <w:p>
      <w:pPr>
        <w:spacing w:before="240" w:after="0" w:line="480" w:lineRule="auto"/>
        <w:rPr>
          <w:rFonts w:ascii="Times New Roman" w:hAnsi="Times New Roman"/>
          <w:b/>
          <w:bCs/>
          <w:sz w:val="24"/>
          <w:szCs w:val="24"/>
        </w:rPr>
      </w:pPr>
      <w:r>
        <w:rPr>
          <w:rFonts w:ascii="Times New Roman" w:hAnsi="Times New Roman"/>
          <w:b/>
          <w:bCs/>
          <w:sz w:val="24"/>
          <w:szCs w:val="24"/>
        </w:rPr>
        <w:t>4. Discussion</w:t>
      </w:r>
    </w:p>
    <w:p>
      <w:pPr>
        <w:spacing w:after="0" w:line="480" w:lineRule="auto"/>
        <w:rPr>
          <w:rFonts w:ascii="Times New Roman" w:hAnsi="Times New Roman" w:cs="Times New Roman"/>
          <w:sz w:val="24"/>
          <w:szCs w:val="24"/>
        </w:rPr>
      </w:pPr>
      <w:r>
        <w:rPr>
          <w:rFonts w:ascii="Times New Roman" w:hAnsi="Times New Roman" w:cs="Times New Roman"/>
          <w:sz w:val="24"/>
          <w:szCs w:val="24"/>
        </w:rPr>
        <w:t>Secondary peritonitis is a common emergency surgical condition managed by surgeons all over the world, and it represents a major cause of morbidity and mortality [6]. Secondary peritonitis results from the loss of integrity of the gastrointestinal tract, which leads to contamination of the peritoneal cavity by endogenous microflora [6]. Despite antimicrobial therapy, surgical intervention is the cornerstone of treatment for secondary peritonitis [7].</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present study, the male dominance of cases is consistent with the reports of other studies on secondary peritonitis [8, 9, 10]. However, Fowler reported a female dominance with regards to primary peritonitis [11].</w:t>
      </w:r>
      <w:r>
        <w:rPr>
          <w:rStyle w:val="11"/>
        </w:rPr>
        <w:t xml:space="preserve"> </w:t>
      </w:r>
      <w:r>
        <w:rPr>
          <w:rFonts w:ascii="Times New Roman" w:hAnsi="Times New Roman" w:cs="Times New Roman"/>
          <w:sz w:val="24"/>
          <w:szCs w:val="24"/>
        </w:rPr>
        <w:t xml:space="preserve"> The reason for this gender difference is not known. The median age of our patients of nine years is also similar to the reports of other studies [12, 13]. The published median ages of patients with peritonitis vary from five to 11.8 years [10, 14, 15]. The median age of patients with peritonitis may be dependent on the predominant pathology in a particular setting. For instance, typhoid intestinal perforation occurs more in older children and intussusception is more common in infants. Further, for the patients in this study, there was a four-day median period before presentation to the hospital, and this finding is consistent with the reports of other studies [16, 17, 18]. This late presentation could be due to the poverty and ignorance that is prevalent in developing countries. Delays in investigating the patients and a paucity of funds may have accounted for the 48-hour lag period before surgery. The length of hospital stay of our patients was similar to that in the study conducted by Osifo et al. [10]. However, Obinwa reported a median hospitalization period of six days [12]. The length of hospital stay may be determined by the etiology of the peritonitis and the age of the patients. For instance, neonates who have peritonitis generally have longer hospital stays than older children [10].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Abdominal pain, which was the predominant symptom in the present study, was also the most common symptom in other studies [9, 17, 18]. The symptoms of abdominal pain, fever, abdominal distension, vomiting, and constipation seen in our patients are similar to those reported by Nuhu et al. [17]. Typhoid intestinal perforation is one of the most dreaded and common complications of typhoid fever [19].  Typhoid intestinal perforation is observed in 0.8% to 39% of cases of typhoid fever [20], and it is the most common cause of peritonitis, especially in developing countries [17]. The findings of the present study are consistent with this fact. However, other studies have reported that a ruptured appendix is the most common cause of secondary peritonitis in children [10, 12]. </w:t>
      </w:r>
    </w:p>
    <w:p>
      <w:pPr>
        <w:spacing w:after="0" w:line="480" w:lineRule="auto"/>
        <w:rPr>
          <w:rFonts w:ascii="Times New Roman" w:hAnsi="Times New Roman" w:cs="Times New Roman"/>
          <w:sz w:val="24"/>
          <w:szCs w:val="24"/>
        </w:rPr>
      </w:pPr>
      <w:r>
        <w:rPr>
          <w:rFonts w:ascii="Times New Roman" w:hAnsi="Times New Roman" w:cs="Times New Roman"/>
          <w:sz w:val="24"/>
          <w:szCs w:val="24"/>
        </w:rPr>
        <w:t>The definitive procedure performed on our patients was dependent on the etiology of the peritonitis. Excision of the edge of the intestinal perforation and simple transverse closure in two layers was the most common procedure in our patients. A study conducted in Tanzania also adopted this method of treatment for typhoid intestinal perforation [21]. However, segmental ileal resection with primary end-to-end anastomosis for typhoid intestinal perforation is another option for treatment [22, 23]</w:t>
      </w:r>
      <w:r>
        <w:rPr>
          <w:rFonts w:hint="eastAsia" w:ascii="Times New Roman" w:hAnsi="Times New Roman" w:eastAsia="宋体" w:cs="Times New Roman"/>
          <w:sz w:val="24"/>
          <w:szCs w:val="24"/>
          <w:lang w:eastAsia="zh-CN"/>
        </w:rPr>
        <w:t>.</w:t>
      </w:r>
      <w:r>
        <w:rPr>
          <w:rFonts w:ascii="Times New Roman" w:hAnsi="Times New Roman" w:cs="Times New Roman"/>
          <w:sz w:val="24"/>
          <w:szCs w:val="24"/>
        </w:rPr>
        <w:t xml:space="preserve"> Laparotomy following peritonitis is froth with many post-operative complications. Surgical site infection, which we recorded as the most common complication, has also been consistently observed by other researchers [5, 9, 17].  Enterocutanous fistula is a potentially catastrophic post-operative complication and was recorded in about one tenth of our patients. This is similar to the findings reported by Nuhu et al. [17]. However, a study conducted in Benin, Nigeria reported no incidence of enterocutanous fistula following surgery for peritonitis [10]. Thus, the development of an enterocutanous fistula after laparotomy may depend on the primary pathology or modality of treatment.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mortality rate of 13.5% in the present study is comparable to the rates reported by other researchers [5, 9, 18,]. However, the published mortality rates of secondary peritonitis range from 8.8% to 26.1% [5]. In the present study, the most common cause of mortality was overwhelming sepsis due to late presentation and complications arising from the surgery itself. The age of the patient, degree of peritoneal contamination, and duration of surgery are some factors that may affect mortality in children who have peritonitis [5]. </w:t>
      </w:r>
    </w:p>
    <w:p>
      <w:pPr>
        <w:spacing w:before="240" w:after="0" w:line="480" w:lineRule="auto"/>
        <w:rPr>
          <w:rFonts w:ascii="Times New Roman" w:hAnsi="Times New Roman"/>
          <w:b/>
          <w:bCs/>
          <w:sz w:val="24"/>
          <w:szCs w:val="24"/>
        </w:rPr>
      </w:pPr>
      <w:r>
        <w:rPr>
          <w:rFonts w:ascii="Times New Roman" w:hAnsi="Times New Roman"/>
          <w:b/>
          <w:bCs/>
          <w:sz w:val="24"/>
          <w:szCs w:val="24"/>
        </w:rPr>
        <w:t>4.2. Strength of the study</w:t>
      </w:r>
    </w:p>
    <w:p>
      <w:pPr>
        <w:spacing w:after="0" w:line="480" w:lineRule="auto"/>
        <w:rPr>
          <w:rFonts w:ascii="Times New Roman" w:hAnsi="Times New Roman"/>
          <w:sz w:val="24"/>
          <w:szCs w:val="24"/>
        </w:rPr>
      </w:pPr>
      <w:r>
        <w:rPr>
          <w:rFonts w:ascii="Times New Roman" w:hAnsi="Times New Roman"/>
          <w:sz w:val="24"/>
          <w:szCs w:val="24"/>
        </w:rPr>
        <w:t>Treatment of peritonitis in children that developed from a wide range of causes was discussed in this study. Data on pediatric peritonitis, unlike adult peritonitis, is not readily available, especially in developing countries.</w:t>
      </w:r>
    </w:p>
    <w:p>
      <w:pPr>
        <w:spacing w:before="240" w:after="0" w:line="480" w:lineRule="auto"/>
        <w:rPr>
          <w:rFonts w:ascii="Times New Roman" w:hAnsi="Times New Roman"/>
          <w:b/>
          <w:bCs/>
          <w:sz w:val="24"/>
          <w:szCs w:val="24"/>
        </w:rPr>
      </w:pPr>
      <w:r>
        <w:rPr>
          <w:rFonts w:ascii="Times New Roman" w:hAnsi="Times New Roman"/>
          <w:b/>
          <w:bCs/>
          <w:sz w:val="24"/>
          <w:szCs w:val="24"/>
        </w:rPr>
        <w:t>4.3. Weakness/limitations of the study</w:t>
      </w:r>
    </w:p>
    <w:p>
      <w:pPr>
        <w:spacing w:after="0" w:line="480" w:lineRule="auto"/>
        <w:rPr>
          <w:rFonts w:ascii="Times New Roman" w:hAnsi="Times New Roman"/>
          <w:sz w:val="24"/>
          <w:szCs w:val="24"/>
        </w:rPr>
      </w:pPr>
      <w:r>
        <w:rPr>
          <w:rFonts w:ascii="Times New Roman" w:hAnsi="Times New Roman"/>
          <w:sz w:val="24"/>
          <w:szCs w:val="24"/>
        </w:rPr>
        <w:t>This was a retrospective study; a prospective study would have provided more information for analysis. The generalizability of this study was also limited by the small number of cases that was considered. Further, this was a single institution experience that may not be generalizable to other institutions.</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 xml:space="preserve">5. Conclusion </w:t>
      </w:r>
    </w:p>
    <w:p>
      <w:pPr>
        <w:spacing w:after="0" w:line="480" w:lineRule="auto"/>
        <w:rPr>
          <w:rFonts w:ascii="Times New Roman" w:hAnsi="Times New Roman"/>
          <w:sz w:val="24"/>
          <w:szCs w:val="24"/>
        </w:rPr>
      </w:pPr>
      <w:r>
        <w:rPr>
          <w:rFonts w:ascii="Times New Roman" w:hAnsi="Times New Roman"/>
          <w:sz w:val="24"/>
          <w:szCs w:val="24"/>
        </w:rPr>
        <w:t>In the present study, the demographics, clinical features, radiological features, etiologies, surgical procedures performed, post-operative complications, and management outcomes of children with peritonitis were evaluated. Typhoid intestinal perforation was the most common etiology of peritonitis, and closure of bowel perforation was the most frequently performed surgical procedure. The current state of late presentation and poor outcome should be improved upon.</w:t>
      </w: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b/>
          <w:sz w:val="24"/>
          <w:szCs w:val="24"/>
        </w:rPr>
        <w:t>Authors’ contribution</w:t>
      </w:r>
      <w:r>
        <w:rPr>
          <w:rFonts w:ascii="Times New Roman" w:hAnsi="Times New Roman" w:cs="Times New Roman"/>
          <w:sz w:val="24"/>
          <w:szCs w:val="24"/>
        </w:rPr>
        <w:t>: The author contributed solely to this article</w:t>
      </w:r>
    </w:p>
    <w:p>
      <w:pPr>
        <w:spacing w:line="480" w:lineRule="auto"/>
        <w:rPr>
          <w:rFonts w:ascii="Times New Roman" w:hAnsi="Times New Roman" w:cs="Times New Roman"/>
          <w:sz w:val="24"/>
          <w:szCs w:val="24"/>
        </w:rPr>
      </w:pPr>
      <w:r>
        <w:rPr>
          <w:rFonts w:ascii="Times New Roman" w:hAnsi="Times New Roman" w:cs="Times New Roman"/>
          <w:b/>
          <w:sz w:val="24"/>
          <w:szCs w:val="24"/>
        </w:rPr>
        <w:t>Availability of data and materials</w:t>
      </w:r>
      <w:r>
        <w:rPr>
          <w:rFonts w:ascii="Times New Roman" w:hAnsi="Times New Roman" w:cs="Times New Roman"/>
          <w:sz w:val="24"/>
          <w:szCs w:val="24"/>
        </w:rPr>
        <w:t>: Data is available with the author and can be provided on request.</w:t>
      </w:r>
    </w:p>
    <w:p>
      <w:pPr>
        <w:spacing w:line="480" w:lineRule="auto"/>
        <w:rPr>
          <w:rFonts w:ascii="Times New Roman" w:hAnsi="Times New Roman" w:cs="Times New Roman"/>
          <w:sz w:val="24"/>
          <w:szCs w:val="24"/>
        </w:rPr>
      </w:pPr>
      <w:r>
        <w:rPr>
          <w:rFonts w:ascii="Times New Roman" w:hAnsi="Times New Roman" w:cs="Times New Roman"/>
          <w:b/>
          <w:sz w:val="24"/>
          <w:szCs w:val="24"/>
        </w:rPr>
        <w:t>Financial support</w:t>
      </w:r>
      <w:r>
        <w:rPr>
          <w:rFonts w:ascii="Times New Roman" w:hAnsi="Times New Roman" w:cs="Times New Roman"/>
          <w:sz w:val="24"/>
          <w:szCs w:val="24"/>
        </w:rPr>
        <w:t>: None</w:t>
      </w:r>
    </w:p>
    <w:p>
      <w:pPr>
        <w:spacing w:line="480" w:lineRule="auto"/>
        <w:rPr>
          <w:rFonts w:ascii="Times New Roman" w:hAnsi="Times New Roman" w:cs="Times New Roman"/>
          <w:sz w:val="24"/>
          <w:szCs w:val="24"/>
        </w:rPr>
      </w:pPr>
      <w:r>
        <w:rPr>
          <w:rFonts w:ascii="Times New Roman" w:hAnsi="Times New Roman" w:cs="Times New Roman"/>
          <w:b/>
          <w:sz w:val="24"/>
          <w:szCs w:val="24"/>
        </w:rPr>
        <w:t>Conflict of interest</w:t>
      </w:r>
      <w:r>
        <w:rPr>
          <w:rFonts w:ascii="Times New Roman" w:hAnsi="Times New Roman" w:cs="Times New Roman"/>
          <w:sz w:val="24"/>
          <w:szCs w:val="24"/>
        </w:rPr>
        <w:t>: The author declares that there is conflict of interest.</w:t>
      </w:r>
    </w:p>
    <w:p>
      <w:pPr>
        <w:spacing w:line="480" w:lineRule="auto"/>
        <w:rPr>
          <w:rFonts w:ascii="Times New Roman" w:hAnsi="Times New Roman" w:cs="Times New Roman"/>
          <w:sz w:val="24"/>
          <w:szCs w:val="24"/>
        </w:rPr>
      </w:pPr>
      <w:r>
        <w:rPr>
          <w:rFonts w:ascii="Times New Roman" w:hAnsi="Times New Roman" w:cs="Times New Roman"/>
          <w:b/>
          <w:sz w:val="24"/>
          <w:szCs w:val="24"/>
        </w:rPr>
        <w:t>Ethical approval:</w:t>
      </w:r>
      <w:r>
        <w:rPr>
          <w:rFonts w:ascii="Times New Roman" w:hAnsi="Times New Roman" w:cs="Times New Roman"/>
          <w:sz w:val="24"/>
          <w:szCs w:val="24"/>
        </w:rPr>
        <w:t xml:space="preserve"> Ethical approval was obtained from the hospital ethics committee.</w:t>
      </w:r>
    </w:p>
    <w:p>
      <w:pPr>
        <w:spacing w:line="480" w:lineRule="auto"/>
        <w:rPr>
          <w:rFonts w:ascii="Times New Roman" w:hAnsi="Times New Roman" w:cs="Times New Roman"/>
          <w:sz w:val="24"/>
          <w:szCs w:val="24"/>
        </w:rPr>
      </w:pPr>
      <w:r>
        <w:rPr>
          <w:rFonts w:ascii="Times New Roman" w:hAnsi="Times New Roman" w:cs="Times New Roman"/>
          <w:b/>
          <w:sz w:val="24"/>
          <w:szCs w:val="24"/>
        </w:rPr>
        <w:t>Consent for publication</w:t>
      </w:r>
      <w:r>
        <w:rPr>
          <w:rFonts w:ascii="Times New Roman" w:hAnsi="Times New Roman" w:cs="Times New Roman"/>
          <w:sz w:val="24"/>
          <w:szCs w:val="24"/>
        </w:rPr>
        <w:t xml:space="preserve">: Not applicable </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pPr>
        <w:spacing w:line="480" w:lineRule="auto"/>
        <w:rPr>
          <w:rFonts w:ascii="Times New Roman" w:hAnsi="Times New Roman" w:cs="Times New Roman"/>
          <w:sz w:val="24"/>
          <w:szCs w:val="24"/>
        </w:rPr>
      </w:pPr>
      <w:r>
        <w:rPr>
          <w:rFonts w:ascii="Times New Roman" w:hAnsi="Times New Roman" w:cs="Times New Roman"/>
          <w:sz w:val="24"/>
          <w:szCs w:val="24"/>
        </w:rPr>
        <w:t>[1] Tochie JN, Agbor NV, Frank Leonel TT, Mbonda A, Abang DA, Danwang C. Global epidemiology of acute generalized peritonitis: a protocol for a systemic review and meta-analysis. BMJ Open. 2020; 10:e034326. doi: 10.1136/bmjopen-2019-034326</w:t>
      </w:r>
    </w:p>
    <w:p>
      <w:pPr>
        <w:spacing w:line="480" w:lineRule="auto"/>
        <w:rPr>
          <w:rFonts w:ascii="Times New Roman" w:hAnsi="Times New Roman" w:cs="Times New Roman"/>
          <w:sz w:val="24"/>
          <w:szCs w:val="24"/>
        </w:rPr>
      </w:pPr>
      <w:r>
        <w:rPr>
          <w:rFonts w:ascii="Times New Roman" w:hAnsi="Times New Roman" w:cs="Times New Roman"/>
          <w:sz w:val="24"/>
          <w:szCs w:val="24"/>
        </w:rPr>
        <w:t>[2] Ross JT, Matthay MA, Harris HW. Secondary peritonitis: principles of diagnosis and intervention. BMJ. 2018; 361: k1407. doi: 10.1136/bmj.k1407</w:t>
      </w:r>
    </w:p>
    <w:p>
      <w:pPr>
        <w:spacing w:line="480" w:lineRule="auto"/>
        <w:rPr>
          <w:rFonts w:ascii="Times New Roman" w:hAnsi="Times New Roman" w:cs="Times New Roman"/>
          <w:sz w:val="24"/>
          <w:szCs w:val="24"/>
        </w:rPr>
      </w:pPr>
      <w:r>
        <w:rPr>
          <w:rFonts w:ascii="Times New Roman" w:hAnsi="Times New Roman" w:cs="Times New Roman"/>
          <w:sz w:val="24"/>
          <w:szCs w:val="24"/>
        </w:rPr>
        <w:t>[3] Jaiswal S, Sharma SC. Role of peritoneal drainage in moribund patients of perforation peritonitis. Int Surg J. 2020; 7(5): 1357-1360.</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[4] Holzheimer RG. Management of secondary peritonitis. In: Holzheimer RG, Mannick JA, editors. Surgical Treatment: Evidence-Based and Problem-Oriented. Munich: Zuckschwerdt; 2001, Available from: </w:t>
      </w:r>
      <w:r>
        <w:fldChar w:fldCharType="begin"/>
      </w:r>
      <w:r>
        <w:instrText xml:space="preserve"> HYPERLINK "https://www.ncbi.nlm.nih.gov/books/NBK6950/" </w:instrText>
      </w:r>
      <w:r>
        <w:fldChar w:fldCharType="separate"/>
      </w:r>
      <w:r>
        <w:rPr>
          <w:rStyle w:val="10"/>
          <w:rFonts w:ascii="Times New Roman" w:hAnsi="Times New Roman" w:cs="Times New Roman"/>
          <w:sz w:val="24"/>
          <w:szCs w:val="24"/>
          <w:u w:val="none"/>
        </w:rPr>
        <w:t>https://www.ncbi.nlm.nih.gov/books/NBK6950/</w:t>
      </w:r>
      <w:r>
        <w:rPr>
          <w:rStyle w:val="10"/>
          <w:rFonts w:ascii="Times New Roman" w:hAnsi="Times New Roman" w:cs="Times New Roman"/>
          <w:sz w:val="24"/>
          <w:szCs w:val="24"/>
          <w:u w:val="none"/>
        </w:rPr>
        <w:fldChar w:fldCharType="end"/>
      </w:r>
      <w:r>
        <w:rPr>
          <w:rFonts w:ascii="Times New Roman" w:hAnsi="Times New Roman" w:cs="Times New Roman"/>
          <w:sz w:val="24"/>
          <w:szCs w:val="24"/>
        </w:rPr>
        <w:t xml:space="preserve"> accessed 30 Jan 2020.</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[5] Ayandipo OO, Afuwape OO, Irabor DO, Abdurrazzaaq AI, Nwafulume NA. Outcome of Laparotomy for Peritonitis in 302 consecutive patients in Ibadan, Nigeria. Ann Ib Postgrad Med. 2016; 14(1): 30-34. </w:t>
      </w:r>
    </w:p>
    <w:p>
      <w:pPr>
        <w:spacing w:line="480" w:lineRule="auto"/>
        <w:rPr>
          <w:rFonts w:ascii="Times New Roman" w:hAnsi="Times New Roman" w:cs="Times New Roman"/>
          <w:sz w:val="24"/>
          <w:szCs w:val="24"/>
        </w:rPr>
      </w:pPr>
      <w:r>
        <w:rPr>
          <w:rFonts w:ascii="Times New Roman" w:hAnsi="Times New Roman" w:cs="Times New Roman"/>
          <w:sz w:val="24"/>
          <w:szCs w:val="24"/>
        </w:rPr>
        <w:t>[6] Sartelli M, Catena F, Abu-Zidan FM et al. Management of intra-abdominal infections: recommendations by the WSES 2016 consensus conference. World J Emerg Surg. 2017; 12: 22. doi: 10.1186/s13017-017-0132-7</w:t>
      </w:r>
    </w:p>
    <w:p>
      <w:pPr>
        <w:spacing w:line="480" w:lineRule="auto"/>
        <w:rPr>
          <w:rFonts w:ascii="Times New Roman" w:hAnsi="Times New Roman" w:cs="Times New Roman"/>
          <w:sz w:val="24"/>
          <w:szCs w:val="24"/>
        </w:rPr>
      </w:pPr>
      <w:r>
        <w:rPr>
          <w:rFonts w:ascii="Times New Roman" w:hAnsi="Times New Roman" w:cs="Times New Roman"/>
          <w:sz w:val="24"/>
          <w:szCs w:val="24"/>
        </w:rPr>
        <w:t>[7] van Ruler O, Boermeester MA. Surgical treatment of secondary peritonitis: A continuing problem. Die chirurgische Therapie der sekundaren Peritonitis. Ein weiter andauemdes Problem. Chirurg. 2017; 88(Suppl 1): 1-6. doi: 10.1007/s00104-015-0121-x</w:t>
      </w:r>
    </w:p>
    <w:p>
      <w:pPr>
        <w:spacing w:line="480" w:lineRule="auto"/>
        <w:rPr>
          <w:rFonts w:ascii="Times New Roman" w:hAnsi="Times New Roman" w:cs="Times New Roman"/>
          <w:sz w:val="24"/>
          <w:szCs w:val="24"/>
        </w:rPr>
      </w:pPr>
      <w:r>
        <w:rPr>
          <w:rFonts w:ascii="Times New Roman" w:hAnsi="Times New Roman" w:cs="Times New Roman"/>
          <w:sz w:val="24"/>
          <w:szCs w:val="24"/>
        </w:rPr>
        <w:t>[8] Axler JP, Sterman T, Jean A. Descriptive and correlational study of peritonitis in the surgical department of the State University hospital of Haiti (HUEH): A cross sectional study. International Journal of Surgery Open. 2020; 24: 105-111.</w:t>
      </w:r>
    </w:p>
    <w:p>
      <w:pPr>
        <w:spacing w:line="480" w:lineRule="auto"/>
        <w:rPr>
          <w:rFonts w:ascii="Times New Roman" w:hAnsi="Times New Roman" w:cs="Times New Roman"/>
          <w:sz w:val="24"/>
          <w:szCs w:val="24"/>
        </w:rPr>
      </w:pPr>
      <w:r>
        <w:rPr>
          <w:rFonts w:ascii="Times New Roman" w:hAnsi="Times New Roman" w:cs="Times New Roman"/>
          <w:sz w:val="24"/>
          <w:szCs w:val="24"/>
        </w:rPr>
        <w:t>[9] Mabewa A, Seni J, Chalya PL, Mshana SE, Gilyoma JM. Etiology, treatment outcome and prognostic factors among patients with secondary peritonitis at Bugando Medical Centre, Mwanza, Tanzania. World J Emerg Surg. 2015; 10: 47. doi: 10.1186/s13017-015-0042-5.</w:t>
      </w:r>
    </w:p>
    <w:p>
      <w:pPr>
        <w:spacing w:line="480" w:lineRule="auto"/>
        <w:rPr>
          <w:rFonts w:ascii="Times New Roman" w:hAnsi="Times New Roman" w:cs="Times New Roman"/>
          <w:sz w:val="24"/>
          <w:szCs w:val="24"/>
        </w:rPr>
      </w:pPr>
      <w:r>
        <w:rPr>
          <w:rFonts w:ascii="Times New Roman" w:hAnsi="Times New Roman" w:cs="Times New Roman"/>
          <w:sz w:val="24"/>
          <w:szCs w:val="24"/>
        </w:rPr>
        <w:t>[10] Meena LN, Jain S, Bajiya P. Gastrointestinal perforation in India. A study of 442 cases. Saudi Surg J. 2017; 5: 116-121.</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[11] Khilji MF. Primary Peritonitis. A Forgotten Entity. European J Pediatr Surg Rep. 2015; 3(1): 27-29. </w:t>
      </w:r>
    </w:p>
    <w:p>
      <w:pPr>
        <w:spacing w:line="480" w:lineRule="auto"/>
        <w:rPr>
          <w:rFonts w:ascii="Times New Roman" w:hAnsi="Times New Roman" w:cs="Times New Roman"/>
          <w:sz w:val="24"/>
          <w:szCs w:val="24"/>
        </w:rPr>
      </w:pPr>
      <w:r>
        <w:rPr>
          <w:rFonts w:ascii="Times New Roman" w:hAnsi="Times New Roman" w:cs="Times New Roman"/>
          <w:sz w:val="24"/>
          <w:szCs w:val="24"/>
        </w:rPr>
        <w:t>[12] Obinwa O, Casidy M, Flynn J. The microbiology of bacterial peritonitis due to appendicitis in children. Ir J Med Sci. 2014; 183(4): 585-591. doi: 10.1007/s11845-013-1055-2.</w:t>
      </w:r>
    </w:p>
    <w:p>
      <w:pPr>
        <w:spacing w:line="480" w:lineRule="auto"/>
        <w:rPr>
          <w:rFonts w:ascii="Times New Roman" w:hAnsi="Times New Roman" w:cs="Times New Roman"/>
          <w:sz w:val="24"/>
          <w:szCs w:val="24"/>
        </w:rPr>
      </w:pPr>
      <w:r>
        <w:rPr>
          <w:rFonts w:ascii="Times New Roman" w:hAnsi="Times New Roman" w:cs="Times New Roman"/>
          <w:sz w:val="24"/>
          <w:szCs w:val="24"/>
        </w:rPr>
        <w:t>[13] Sethna CB, Bryant K, Munshi R, Warady BA, Richardson T, Lawlor J et al. Risk Factors for and Outcomes of Catheter-Associated Peritonitis in Children: The SCOPE Collaborative. CJASN. 2016; 11(9): 1590-1596. doi: 10.2215/CJN.02540316.</w:t>
      </w:r>
    </w:p>
    <w:p>
      <w:pPr>
        <w:spacing w:line="480" w:lineRule="auto"/>
        <w:rPr>
          <w:rFonts w:ascii="Times New Roman" w:hAnsi="Times New Roman" w:cs="Times New Roman"/>
          <w:sz w:val="24"/>
          <w:szCs w:val="24"/>
        </w:rPr>
      </w:pPr>
      <w:r>
        <w:rPr>
          <w:rFonts w:ascii="Times New Roman" w:hAnsi="Times New Roman" w:cs="Times New Roman"/>
          <w:sz w:val="24"/>
          <w:szCs w:val="24"/>
        </w:rPr>
        <w:t>[14] Chinchilla J, Sebastian K, Melendez R, Ramay B, Lou-Meda R. Risk Factors for Peritonitis in a Pediatric Program in Guatemala, 2011-2014. Advances in Nephrology. Volume 2016/Article ID 7179028/ 6 pages. doi: 10.1155/2016/7179028</w:t>
      </w:r>
    </w:p>
    <w:p>
      <w:pPr>
        <w:spacing w:line="480" w:lineRule="auto"/>
        <w:rPr>
          <w:rFonts w:ascii="Times New Roman" w:hAnsi="Times New Roman" w:cs="Times New Roman"/>
          <w:sz w:val="24"/>
          <w:szCs w:val="24"/>
        </w:rPr>
      </w:pPr>
      <w:r>
        <w:rPr>
          <w:rFonts w:ascii="Times New Roman" w:hAnsi="Times New Roman" w:cs="Times New Roman"/>
          <w:sz w:val="24"/>
          <w:szCs w:val="24"/>
        </w:rPr>
        <w:t>[15] Sutherland SM, Alexander SR, Feneberg R, Schaefer F, Warady BA. Enterococcal peritonitis in chidren receiving chronic peritoneal dialysis. Nephrol Dial Transplant. 2010; 25(12): 4048-54. doi: 10.1093/ndt/gfq295.</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[16] Doklestic SK, Bajec DD, Djukic RV, Bumbasirevic V, Detanac AD, Detanac SD, Bracanovic M, Karamarkovic RA. Secondary peritonitis-evaluation of 204 cases and literature review. J Med Life. 2014; 7(2): 132-138. </w:t>
      </w:r>
    </w:p>
    <w:p>
      <w:pPr>
        <w:spacing w:line="480" w:lineRule="auto"/>
        <w:rPr>
          <w:rFonts w:ascii="Times New Roman" w:hAnsi="Times New Roman" w:cs="Times New Roman"/>
          <w:sz w:val="24"/>
          <w:szCs w:val="24"/>
        </w:rPr>
      </w:pPr>
      <w:r>
        <w:rPr>
          <w:rFonts w:ascii="Times New Roman" w:hAnsi="Times New Roman" w:cs="Times New Roman"/>
          <w:sz w:val="24"/>
          <w:szCs w:val="24"/>
        </w:rPr>
        <w:t>[17] Ali N, Gall BM. Causes and treatment outcome of perforation peritonitis in north eastern Nigeria. Surgical Practice. 2010; 14(3): 92-96. doi: 10.1111/j.1744-1633.2010.00506.x</w:t>
      </w:r>
    </w:p>
    <w:p>
      <w:pPr>
        <w:spacing w:line="480" w:lineRule="auto"/>
        <w:rPr>
          <w:rFonts w:ascii="Times New Roman" w:hAnsi="Times New Roman" w:cs="Times New Roman"/>
          <w:sz w:val="24"/>
          <w:szCs w:val="24"/>
        </w:rPr>
      </w:pPr>
      <w:r>
        <w:rPr>
          <w:rFonts w:ascii="Times New Roman" w:hAnsi="Times New Roman" w:cs="Times New Roman"/>
          <w:sz w:val="24"/>
          <w:szCs w:val="24"/>
        </w:rPr>
        <w:t>[18] Chichom-Mefire A, Fon TA, Ngowe-Ngowe M. Which cause of diffuse peritonitis is the deadliest in the tropics? A retrospective analysis of 305 cases from the South-West Region of Cameroon. World J Emerg Surg. 2016; 11: 14. doi: 10.1186/s13017-016-0070-9.</w:t>
      </w:r>
    </w:p>
    <w:p>
      <w:pPr>
        <w:spacing w:line="480" w:lineRule="auto"/>
        <w:rPr>
          <w:rFonts w:ascii="Times New Roman" w:hAnsi="Times New Roman" w:cs="Times New Roman"/>
          <w:sz w:val="24"/>
          <w:szCs w:val="24"/>
        </w:rPr>
      </w:pPr>
      <w:r>
        <w:rPr>
          <w:rFonts w:ascii="Times New Roman" w:hAnsi="Times New Roman" w:cs="Times New Roman"/>
          <w:sz w:val="24"/>
          <w:szCs w:val="24"/>
        </w:rPr>
        <w:t>[19] Sharma AK, Sharma RK, Sharma SK, Sharma A, Soni D. Typhoid Intestinal Perforation: 24 perforations in One patient. Ann Med Health Sci Res. 2013; 3(Suppl1): S41-S43. doi: 10.4103/2141-9248.121220.</w:t>
      </w:r>
    </w:p>
    <w:p>
      <w:pPr>
        <w:spacing w:line="480" w:lineRule="auto"/>
        <w:rPr>
          <w:rFonts w:ascii="Times New Roman" w:hAnsi="Times New Roman" w:cs="Times New Roman"/>
          <w:sz w:val="24"/>
          <w:szCs w:val="24"/>
        </w:rPr>
      </w:pPr>
      <w:r>
        <w:rPr>
          <w:rFonts w:ascii="Times New Roman" w:hAnsi="Times New Roman" w:cs="Times New Roman"/>
          <w:sz w:val="24"/>
          <w:szCs w:val="24"/>
        </w:rPr>
        <w:t>[20] Contini S. Typhoid intestinal perforation in developing country: Still unavoidable death? World J Gastroenterol. 2017; 23(11): 1925-1931. doi: 10.3748/wig.v23.j11.1925.</w:t>
      </w:r>
    </w:p>
    <w:p>
      <w:pPr>
        <w:spacing w:line="480" w:lineRule="auto"/>
        <w:rPr>
          <w:rFonts w:ascii="Times New Roman" w:hAnsi="Times New Roman" w:cs="Times New Roman"/>
          <w:sz w:val="24"/>
          <w:szCs w:val="24"/>
        </w:rPr>
      </w:pPr>
      <w:r>
        <w:rPr>
          <w:rFonts w:ascii="Times New Roman" w:hAnsi="Times New Roman" w:cs="Times New Roman"/>
          <w:sz w:val="24"/>
          <w:szCs w:val="24"/>
        </w:rPr>
        <w:t>[21] Chalya PL, Mabula JB, Koy M et al. Typhoid intestinal perforations at a University teaching hospital in Northwestern Tanzania: A surgical experience of 104 cases in a resource-limited setting. World J Emerg Surg. 2012; 7: 4. doi: 10.1186/1749-7922-7-4.</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sz w:val="24"/>
          <w:szCs w:val="24"/>
        </w:rPr>
        <w:t>Sheshe AA, Anyanwu LJC, Mohammed AM, Mohammad AB, Obaro SK. Typhoid intestinal perforation: Analysis of the outcome of surgical treatment in Kano, Nigeria. Arch Med Health Sci. 2018; 6: 59-63.</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[23] Azad P, Paul K, Mulewa M. Surgical Management of Typhoid Ileum Perforations: A Systemic Review. Medical Journal of Zambia. 2019; 46(4): 349-356. </w:t>
      </w:r>
    </w:p>
    <w:p>
      <w:pPr>
        <w:spacing w:after="0" w:line="480" w:lineRule="auto"/>
        <w:rPr>
          <w:rFonts w:ascii="Times New Roman" w:hAnsi="Times New Roman"/>
          <w:sz w:val="24"/>
          <w:szCs w:val="24"/>
        </w:rPr>
      </w:pPr>
    </w:p>
    <w:sectPr>
      <w:footerReference r:id="rId3" w:type="default"/>
      <w:pgSz w:w="12240" w:h="15840"/>
      <w:pgMar w:top="1440" w:right="1440" w:bottom="1440" w:left="144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9517878"/>
    </w:sdtPr>
    <w:sdtContent>
      <w:p>
        <w:pPr>
          <w:pStyle w:val="4"/>
          <w:jc w:val="right"/>
        </w:pPr>
        <w:r>
          <w:fldChar w:fldCharType="begin"/>
        </w:r>
        <w:r>
          <w:instrText xml:space="preserve"> PAGE   \* MERGEFORMAT </w:instrText>
        </w:r>
        <w:r>
          <w:fldChar w:fldCharType="separate"/>
        </w:r>
        <w: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F"/>
    <w:rsid w:val="00000593"/>
    <w:rsid w:val="0000117B"/>
    <w:rsid w:val="00022FA0"/>
    <w:rsid w:val="00023013"/>
    <w:rsid w:val="0004638B"/>
    <w:rsid w:val="00047E4D"/>
    <w:rsid w:val="000521D1"/>
    <w:rsid w:val="00070BAC"/>
    <w:rsid w:val="00071DD4"/>
    <w:rsid w:val="00075262"/>
    <w:rsid w:val="00093EF5"/>
    <w:rsid w:val="000A46BD"/>
    <w:rsid w:val="000B027A"/>
    <w:rsid w:val="000D680C"/>
    <w:rsid w:val="000E4902"/>
    <w:rsid w:val="000F1C82"/>
    <w:rsid w:val="0011239E"/>
    <w:rsid w:val="001219C4"/>
    <w:rsid w:val="00133ADA"/>
    <w:rsid w:val="00142986"/>
    <w:rsid w:val="00145200"/>
    <w:rsid w:val="00145B68"/>
    <w:rsid w:val="00152F75"/>
    <w:rsid w:val="00157AB8"/>
    <w:rsid w:val="00164698"/>
    <w:rsid w:val="00191F96"/>
    <w:rsid w:val="001B29CE"/>
    <w:rsid w:val="001B60AD"/>
    <w:rsid w:val="001B6C30"/>
    <w:rsid w:val="001C78CC"/>
    <w:rsid w:val="001D6348"/>
    <w:rsid w:val="00200611"/>
    <w:rsid w:val="00200E92"/>
    <w:rsid w:val="002127D6"/>
    <w:rsid w:val="00216FDE"/>
    <w:rsid w:val="00242435"/>
    <w:rsid w:val="00243650"/>
    <w:rsid w:val="0025421B"/>
    <w:rsid w:val="00257A57"/>
    <w:rsid w:val="00261E44"/>
    <w:rsid w:val="00262817"/>
    <w:rsid w:val="00271C72"/>
    <w:rsid w:val="00274BC5"/>
    <w:rsid w:val="00282E0F"/>
    <w:rsid w:val="0028398C"/>
    <w:rsid w:val="00285218"/>
    <w:rsid w:val="00285283"/>
    <w:rsid w:val="00287B61"/>
    <w:rsid w:val="00290970"/>
    <w:rsid w:val="00293760"/>
    <w:rsid w:val="002A4D31"/>
    <w:rsid w:val="002A59FE"/>
    <w:rsid w:val="002C2AAB"/>
    <w:rsid w:val="002D4F75"/>
    <w:rsid w:val="002E3A90"/>
    <w:rsid w:val="002E44AC"/>
    <w:rsid w:val="002F6EF5"/>
    <w:rsid w:val="002F7ED6"/>
    <w:rsid w:val="003052D3"/>
    <w:rsid w:val="00306237"/>
    <w:rsid w:val="00313549"/>
    <w:rsid w:val="003163FF"/>
    <w:rsid w:val="0032159A"/>
    <w:rsid w:val="00325DE0"/>
    <w:rsid w:val="00332099"/>
    <w:rsid w:val="003321AC"/>
    <w:rsid w:val="00335AC4"/>
    <w:rsid w:val="00335CEF"/>
    <w:rsid w:val="00345A60"/>
    <w:rsid w:val="00360B18"/>
    <w:rsid w:val="003730D2"/>
    <w:rsid w:val="0038511F"/>
    <w:rsid w:val="00385657"/>
    <w:rsid w:val="00386A9F"/>
    <w:rsid w:val="003B0822"/>
    <w:rsid w:val="003B628E"/>
    <w:rsid w:val="003C7EB8"/>
    <w:rsid w:val="003D10D8"/>
    <w:rsid w:val="003D440C"/>
    <w:rsid w:val="003D51EC"/>
    <w:rsid w:val="003E2798"/>
    <w:rsid w:val="003E302F"/>
    <w:rsid w:val="003E370E"/>
    <w:rsid w:val="003F79DD"/>
    <w:rsid w:val="00405699"/>
    <w:rsid w:val="00415E30"/>
    <w:rsid w:val="00422BDE"/>
    <w:rsid w:val="00427F1C"/>
    <w:rsid w:val="00430B34"/>
    <w:rsid w:val="00430E5E"/>
    <w:rsid w:val="00433249"/>
    <w:rsid w:val="00441FEF"/>
    <w:rsid w:val="00460903"/>
    <w:rsid w:val="00460A68"/>
    <w:rsid w:val="00473D50"/>
    <w:rsid w:val="0047765A"/>
    <w:rsid w:val="004912EE"/>
    <w:rsid w:val="00491A0E"/>
    <w:rsid w:val="004A4920"/>
    <w:rsid w:val="004B6F68"/>
    <w:rsid w:val="004D79A0"/>
    <w:rsid w:val="004F1979"/>
    <w:rsid w:val="00501947"/>
    <w:rsid w:val="00501EC4"/>
    <w:rsid w:val="00510705"/>
    <w:rsid w:val="00524179"/>
    <w:rsid w:val="00526F74"/>
    <w:rsid w:val="0053737A"/>
    <w:rsid w:val="005406C8"/>
    <w:rsid w:val="005561EE"/>
    <w:rsid w:val="00560280"/>
    <w:rsid w:val="005672B4"/>
    <w:rsid w:val="00573B32"/>
    <w:rsid w:val="00576FDD"/>
    <w:rsid w:val="0058574E"/>
    <w:rsid w:val="005B1898"/>
    <w:rsid w:val="005C4C10"/>
    <w:rsid w:val="005E5190"/>
    <w:rsid w:val="005F1666"/>
    <w:rsid w:val="005F4434"/>
    <w:rsid w:val="005F774B"/>
    <w:rsid w:val="00600196"/>
    <w:rsid w:val="00623225"/>
    <w:rsid w:val="00625983"/>
    <w:rsid w:val="00626FFA"/>
    <w:rsid w:val="00637149"/>
    <w:rsid w:val="00637DE0"/>
    <w:rsid w:val="0064627C"/>
    <w:rsid w:val="00656A58"/>
    <w:rsid w:val="00681607"/>
    <w:rsid w:val="006919A9"/>
    <w:rsid w:val="00696761"/>
    <w:rsid w:val="006A1D47"/>
    <w:rsid w:val="006B0D91"/>
    <w:rsid w:val="006E1E07"/>
    <w:rsid w:val="006E2864"/>
    <w:rsid w:val="006E70BD"/>
    <w:rsid w:val="006F4619"/>
    <w:rsid w:val="006F5696"/>
    <w:rsid w:val="006F59E9"/>
    <w:rsid w:val="00733BF8"/>
    <w:rsid w:val="00734EE5"/>
    <w:rsid w:val="00755062"/>
    <w:rsid w:val="00760E6D"/>
    <w:rsid w:val="00774E70"/>
    <w:rsid w:val="00795217"/>
    <w:rsid w:val="007A0248"/>
    <w:rsid w:val="007A2D3C"/>
    <w:rsid w:val="007A7426"/>
    <w:rsid w:val="007D12B4"/>
    <w:rsid w:val="007D63B0"/>
    <w:rsid w:val="007D65F0"/>
    <w:rsid w:val="007D72E7"/>
    <w:rsid w:val="007E00B5"/>
    <w:rsid w:val="00812DE9"/>
    <w:rsid w:val="00817B24"/>
    <w:rsid w:val="008218AA"/>
    <w:rsid w:val="008311C5"/>
    <w:rsid w:val="008507E1"/>
    <w:rsid w:val="008613C3"/>
    <w:rsid w:val="00865271"/>
    <w:rsid w:val="00876A78"/>
    <w:rsid w:val="00886066"/>
    <w:rsid w:val="00892BE3"/>
    <w:rsid w:val="00896C24"/>
    <w:rsid w:val="008A0B04"/>
    <w:rsid w:val="008A4032"/>
    <w:rsid w:val="008B371D"/>
    <w:rsid w:val="008C5614"/>
    <w:rsid w:val="008D21E6"/>
    <w:rsid w:val="008D6623"/>
    <w:rsid w:val="008E4E84"/>
    <w:rsid w:val="008E5041"/>
    <w:rsid w:val="008E73EA"/>
    <w:rsid w:val="008F1CFF"/>
    <w:rsid w:val="008F6B15"/>
    <w:rsid w:val="009005B5"/>
    <w:rsid w:val="00924E0F"/>
    <w:rsid w:val="009313DA"/>
    <w:rsid w:val="00937DE4"/>
    <w:rsid w:val="00942DA2"/>
    <w:rsid w:val="00963ABD"/>
    <w:rsid w:val="00965FA4"/>
    <w:rsid w:val="009677B6"/>
    <w:rsid w:val="00981057"/>
    <w:rsid w:val="0098314D"/>
    <w:rsid w:val="00994907"/>
    <w:rsid w:val="009A1106"/>
    <w:rsid w:val="009A4DB5"/>
    <w:rsid w:val="009D5DD5"/>
    <w:rsid w:val="009D6FDC"/>
    <w:rsid w:val="009E3947"/>
    <w:rsid w:val="009E78BA"/>
    <w:rsid w:val="00A0490C"/>
    <w:rsid w:val="00A340E3"/>
    <w:rsid w:val="00A42D13"/>
    <w:rsid w:val="00A5542D"/>
    <w:rsid w:val="00A556B2"/>
    <w:rsid w:val="00A557BF"/>
    <w:rsid w:val="00A56D6D"/>
    <w:rsid w:val="00A63EBB"/>
    <w:rsid w:val="00A65BD3"/>
    <w:rsid w:val="00A727C3"/>
    <w:rsid w:val="00A80267"/>
    <w:rsid w:val="00A80DBB"/>
    <w:rsid w:val="00A92D82"/>
    <w:rsid w:val="00A94937"/>
    <w:rsid w:val="00A95367"/>
    <w:rsid w:val="00AA33E3"/>
    <w:rsid w:val="00AB149E"/>
    <w:rsid w:val="00AC2501"/>
    <w:rsid w:val="00AC7478"/>
    <w:rsid w:val="00AD02FA"/>
    <w:rsid w:val="00AD080B"/>
    <w:rsid w:val="00AD0AFA"/>
    <w:rsid w:val="00AD21A0"/>
    <w:rsid w:val="00AD6500"/>
    <w:rsid w:val="00AE11F4"/>
    <w:rsid w:val="00AE7041"/>
    <w:rsid w:val="00AF7954"/>
    <w:rsid w:val="00B00D16"/>
    <w:rsid w:val="00B25501"/>
    <w:rsid w:val="00B33CE6"/>
    <w:rsid w:val="00B3561D"/>
    <w:rsid w:val="00B47EC9"/>
    <w:rsid w:val="00B5074B"/>
    <w:rsid w:val="00B5339D"/>
    <w:rsid w:val="00B67E34"/>
    <w:rsid w:val="00B80E09"/>
    <w:rsid w:val="00B82203"/>
    <w:rsid w:val="00B83199"/>
    <w:rsid w:val="00B87EEF"/>
    <w:rsid w:val="00BA2903"/>
    <w:rsid w:val="00BA2DEC"/>
    <w:rsid w:val="00BA3BCD"/>
    <w:rsid w:val="00BA4F74"/>
    <w:rsid w:val="00BB17B7"/>
    <w:rsid w:val="00BB2BCD"/>
    <w:rsid w:val="00BB7283"/>
    <w:rsid w:val="00BC27E2"/>
    <w:rsid w:val="00BC39F1"/>
    <w:rsid w:val="00BE24C8"/>
    <w:rsid w:val="00BE5877"/>
    <w:rsid w:val="00C17319"/>
    <w:rsid w:val="00C20896"/>
    <w:rsid w:val="00C2683F"/>
    <w:rsid w:val="00C304A3"/>
    <w:rsid w:val="00C40C17"/>
    <w:rsid w:val="00C500D2"/>
    <w:rsid w:val="00C54372"/>
    <w:rsid w:val="00C622CD"/>
    <w:rsid w:val="00C845B6"/>
    <w:rsid w:val="00C86F59"/>
    <w:rsid w:val="00C9211B"/>
    <w:rsid w:val="00C97131"/>
    <w:rsid w:val="00CA5D18"/>
    <w:rsid w:val="00CB3505"/>
    <w:rsid w:val="00CB4C75"/>
    <w:rsid w:val="00CB781B"/>
    <w:rsid w:val="00CC2703"/>
    <w:rsid w:val="00CD400E"/>
    <w:rsid w:val="00CE38AD"/>
    <w:rsid w:val="00CF2ED8"/>
    <w:rsid w:val="00CF343C"/>
    <w:rsid w:val="00CF6798"/>
    <w:rsid w:val="00D1515F"/>
    <w:rsid w:val="00D220EF"/>
    <w:rsid w:val="00D27B8F"/>
    <w:rsid w:val="00D3046F"/>
    <w:rsid w:val="00D36F31"/>
    <w:rsid w:val="00D4284C"/>
    <w:rsid w:val="00D429BF"/>
    <w:rsid w:val="00D47ABE"/>
    <w:rsid w:val="00D51FDF"/>
    <w:rsid w:val="00D54DD6"/>
    <w:rsid w:val="00D57352"/>
    <w:rsid w:val="00D773E9"/>
    <w:rsid w:val="00D83FE2"/>
    <w:rsid w:val="00D85410"/>
    <w:rsid w:val="00D8542D"/>
    <w:rsid w:val="00D90498"/>
    <w:rsid w:val="00DA5BC3"/>
    <w:rsid w:val="00DA5E28"/>
    <w:rsid w:val="00DA796F"/>
    <w:rsid w:val="00DE33BF"/>
    <w:rsid w:val="00DF7678"/>
    <w:rsid w:val="00E061EA"/>
    <w:rsid w:val="00E11861"/>
    <w:rsid w:val="00E1489E"/>
    <w:rsid w:val="00E20FA0"/>
    <w:rsid w:val="00E21FA2"/>
    <w:rsid w:val="00E252E1"/>
    <w:rsid w:val="00E30C5E"/>
    <w:rsid w:val="00E32CD9"/>
    <w:rsid w:val="00E351DA"/>
    <w:rsid w:val="00E352E4"/>
    <w:rsid w:val="00E43674"/>
    <w:rsid w:val="00E4655B"/>
    <w:rsid w:val="00E4695E"/>
    <w:rsid w:val="00E55535"/>
    <w:rsid w:val="00E56C61"/>
    <w:rsid w:val="00E612FD"/>
    <w:rsid w:val="00E67D26"/>
    <w:rsid w:val="00E70DDD"/>
    <w:rsid w:val="00E71F38"/>
    <w:rsid w:val="00E84A66"/>
    <w:rsid w:val="00E87C96"/>
    <w:rsid w:val="00EA5024"/>
    <w:rsid w:val="00EA64B7"/>
    <w:rsid w:val="00EB0988"/>
    <w:rsid w:val="00EB32D0"/>
    <w:rsid w:val="00EC146D"/>
    <w:rsid w:val="00ED0D66"/>
    <w:rsid w:val="00ED7D60"/>
    <w:rsid w:val="00EE6A20"/>
    <w:rsid w:val="00EF0D87"/>
    <w:rsid w:val="00EF112E"/>
    <w:rsid w:val="00EF3094"/>
    <w:rsid w:val="00F001C7"/>
    <w:rsid w:val="00F13545"/>
    <w:rsid w:val="00F1457F"/>
    <w:rsid w:val="00F21065"/>
    <w:rsid w:val="00F22496"/>
    <w:rsid w:val="00F26240"/>
    <w:rsid w:val="00F26DAE"/>
    <w:rsid w:val="00F333ED"/>
    <w:rsid w:val="00F36E9C"/>
    <w:rsid w:val="00F417BE"/>
    <w:rsid w:val="00F42C28"/>
    <w:rsid w:val="00F6320C"/>
    <w:rsid w:val="00F6494B"/>
    <w:rsid w:val="00F71C77"/>
    <w:rsid w:val="00F73DF4"/>
    <w:rsid w:val="00F87966"/>
    <w:rsid w:val="00FA3BD2"/>
    <w:rsid w:val="00FA694E"/>
    <w:rsid w:val="00FB45D1"/>
    <w:rsid w:val="00FB6A4A"/>
    <w:rsid w:val="00FC29E0"/>
    <w:rsid w:val="00FD6BB0"/>
    <w:rsid w:val="00FE54B1"/>
    <w:rsid w:val="00FE54ED"/>
    <w:rsid w:val="04860E0C"/>
    <w:rsid w:val="0A1943E1"/>
    <w:rsid w:val="2C562FD7"/>
    <w:rsid w:val="2E17212F"/>
    <w:rsid w:val="31A70A0E"/>
    <w:rsid w:val="4776429D"/>
    <w:rsid w:val="7237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spacing w:line="240" w:lineRule="auto"/>
    </w:pPr>
    <w:rPr>
      <w:sz w:val="20"/>
      <w:szCs w:val="20"/>
    </w:rPr>
  </w:style>
  <w:style w:type="paragraph" w:styleId="3">
    <w:name w:val="Balloon Text"/>
    <w:basedOn w:val="1"/>
    <w:link w:val="15"/>
    <w:semiHidden/>
    <w:unhideWhenUsed/>
    <w:uiPriority w:val="99"/>
    <w:pPr>
      <w:spacing w:after="0" w:line="240" w:lineRule="auto"/>
    </w:pPr>
    <w:rPr>
      <w:rFonts w:ascii="Segoe UI" w:hAnsi="Segoe UI" w:cs="Segoe UI"/>
      <w:sz w:val="20"/>
      <w:szCs w:val="18"/>
    </w:rPr>
  </w:style>
  <w:style w:type="paragraph" w:styleId="4">
    <w:name w:val="footer"/>
    <w:basedOn w:val="1"/>
    <w:link w:val="13"/>
    <w:unhideWhenUsed/>
    <w:qFormat/>
    <w:uiPriority w:val="99"/>
    <w:pPr>
      <w:tabs>
        <w:tab w:val="center" w:pos="4680"/>
        <w:tab w:val="right" w:pos="9360"/>
      </w:tabs>
      <w:spacing w:after="0" w:line="240" w:lineRule="auto"/>
    </w:pPr>
  </w:style>
  <w:style w:type="paragraph" w:styleId="5">
    <w:name w:val="header"/>
    <w:basedOn w:val="1"/>
    <w:link w:val="12"/>
    <w:unhideWhenUsed/>
    <w:qFormat/>
    <w:uiPriority w:val="99"/>
    <w:pPr>
      <w:tabs>
        <w:tab w:val="center" w:pos="4680"/>
        <w:tab w:val="right" w:pos="9360"/>
      </w:tabs>
      <w:spacing w:after="0" w:line="240" w:lineRule="auto"/>
    </w:p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16"/>
      <w:szCs w:val="16"/>
    </w:rPr>
  </w:style>
  <w:style w:type="character" w:customStyle="1" w:styleId="12">
    <w:name w:val="Header Char"/>
    <w:basedOn w:val="9"/>
    <w:link w:val="5"/>
    <w:qFormat/>
    <w:uiPriority w:val="99"/>
  </w:style>
  <w:style w:type="character" w:customStyle="1" w:styleId="13">
    <w:name w:val="Footer Char"/>
    <w:basedOn w:val="9"/>
    <w:link w:val="4"/>
    <w:qFormat/>
    <w:uiPriority w:val="99"/>
  </w:style>
  <w:style w:type="character" w:customStyle="1" w:styleId="14">
    <w:name w:val="Comment Text Char"/>
    <w:basedOn w:val="9"/>
    <w:link w:val="2"/>
    <w:semiHidden/>
    <w:uiPriority w:val="99"/>
  </w:style>
  <w:style w:type="character" w:customStyle="1" w:styleId="15">
    <w:name w:val="Balloon Text Char"/>
    <w:basedOn w:val="9"/>
    <w:link w:val="3"/>
    <w:semiHidden/>
    <w:qFormat/>
    <w:uiPriority w:val="99"/>
    <w:rPr>
      <w:rFonts w:ascii="Segoe UI" w:hAnsi="Segoe UI" w:cs="Segoe UI"/>
      <w:szCs w:val="18"/>
    </w:rPr>
  </w:style>
  <w:style w:type="character" w:customStyle="1" w:styleId="16">
    <w:name w:val="Comment Subject Char"/>
    <w:basedOn w:val="14"/>
    <w:link w:val="6"/>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3144</Words>
  <Characters>17922</Characters>
  <Lines>149</Lines>
  <Paragraphs>42</Paragraphs>
  <TotalTime>6</TotalTime>
  <ScaleCrop>false</ScaleCrop>
  <LinksUpToDate>false</LinksUpToDate>
  <CharactersWithSpaces>21024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2020-08-31T18:38:00Z</dcterms:created>
  <dc:creator>MY PC</dc:creator>
  <cp:lastModifiedBy>lala</cp:lastModifiedBy>
  <dcterms:modified xsi:type="dcterms:W3CDTF">2020-09-01T00:52:28Z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