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rPr>
      </w:pPr>
      <w:bookmarkStart w:id="0" w:name="_Hlk49435463"/>
      <w:r>
        <w:rPr>
          <w:rFonts w:ascii="Times New Roman" w:hAnsi="Times New Roman" w:cs="Times New Roman"/>
        </w:rPr>
        <w:t>Reconstruction of Midface Defect with Temporalis Myofascial Pedicle Flap</w:t>
      </w:r>
    </w:p>
    <w:p>
      <w:pPr>
        <w:jc w:val="center"/>
        <w:rPr>
          <w:rFonts w:ascii="Times New Roman" w:hAnsi="Times New Roman" w:cs="Times New Roman"/>
        </w:rPr>
      </w:pPr>
      <w:r>
        <w:rPr>
          <w:rFonts w:ascii="Times New Roman" w:hAnsi="Times New Roman" w:cs="Times New Roman"/>
        </w:rPr>
        <w:t>A Review and Case series</w:t>
      </w:r>
    </w:p>
    <w:p>
      <w:pPr>
        <w:jc w:val="center"/>
        <w:rPr>
          <w:rFonts w:ascii="Times New Roman" w:hAnsi="Times New Roman" w:cs="Times New Roman"/>
        </w:rPr>
      </w:pPr>
    </w:p>
    <w:p>
      <w:pPr>
        <w:jc w:val="center"/>
      </w:pPr>
    </w:p>
    <w:bookmarkEnd w:id="0"/>
    <w:p>
      <w:pP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Authors Full Names</w:t>
      </w:r>
    </w:p>
    <w:p>
      <w:pPr>
        <w:jc w:val="center"/>
        <w:rPr>
          <w:rFonts w:ascii="Times New Roman" w:hAnsi="Times New Roman" w:cs="Times New Roman"/>
        </w:rPr>
      </w:pPr>
    </w:p>
    <w:p>
      <w:pPr>
        <w:spacing w:line="360" w:lineRule="auto"/>
        <w:jc w:val="center"/>
        <w:rPr>
          <w:rFonts w:ascii="Times New Roman" w:hAnsi="Times New Roman" w:cs="Times New Roman"/>
        </w:rPr>
      </w:pPr>
      <w:r>
        <w:rPr>
          <w:rFonts w:ascii="Times New Roman" w:hAnsi="Times New Roman" w:cs="Times New Roman"/>
        </w:rPr>
        <w:t xml:space="preserve">                    Dr Fawzia Mohamed Afrid  Butt BDS (UON), FDSRCS (ENG), FICD, MDS-   OMFS(UON)</w:t>
      </w:r>
    </w:p>
    <w:p>
      <w:pPr>
        <w:spacing w:line="360" w:lineRule="auto"/>
        <w:jc w:val="both"/>
        <w:rPr>
          <w:rFonts w:ascii="Times New Roman" w:hAnsi="Times New Roman" w:cs="Times New Roman"/>
        </w:rPr>
      </w:pPr>
      <w:r>
        <w:rPr>
          <w:rFonts w:ascii="Times New Roman" w:hAnsi="Times New Roman" w:cs="Times New Roman"/>
        </w:rPr>
        <w:t xml:space="preserve">                                Consultant Oral &amp; Maxillofacial Surgeon  Lecturer Dept Of Human Anatomy  </w:t>
      </w:r>
    </w:p>
    <w:p>
      <w:pPr>
        <w:spacing w:line="360" w:lineRule="auto"/>
        <w:jc w:val="both"/>
        <w:rPr>
          <w:rFonts w:ascii="Times New Roman" w:hAnsi="Times New Roman" w:cs="Times New Roman"/>
        </w:rPr>
      </w:pPr>
      <w:r>
        <w:rPr>
          <w:rFonts w:ascii="Times New Roman" w:hAnsi="Times New Roman" w:cs="Times New Roman"/>
        </w:rPr>
        <w:t xml:space="preserve">                                 University of Nairobi,   P.O Box 25361 CODE 00603, email     </w:t>
      </w:r>
    </w:p>
    <w:p>
      <w:pPr>
        <w:spacing w:line="360" w:lineRule="auto"/>
        <w:jc w:val="both"/>
        <w:rPr>
          <w:rFonts w:ascii="Times New Roman" w:hAnsi="Times New Roman" w:cs="Times New Roman"/>
        </w:rPr>
      </w:pPr>
      <w:r>
        <w:rPr>
          <w:rFonts w:ascii="Times New Roman" w:hAnsi="Times New Roman" w:cs="Times New Roman"/>
        </w:rPr>
        <w:t xml:space="preserve">                                 </w:t>
      </w:r>
      <w:r>
        <w:fldChar w:fldCharType="begin"/>
      </w:r>
      <w:r>
        <w:instrText xml:space="preserve"> HYPERLINK "mailto:fawziamaxfax@gmail.com" </w:instrText>
      </w:r>
      <w:r>
        <w:fldChar w:fldCharType="separate"/>
      </w:r>
      <w:r>
        <w:rPr>
          <w:rStyle w:val="37"/>
          <w:rFonts w:ascii="Times New Roman" w:hAnsi="Times New Roman" w:cs="Times New Roman"/>
        </w:rPr>
        <w:t>fawziamaxfax@gmail.com</w:t>
      </w:r>
      <w:r>
        <w:rPr>
          <w:rStyle w:val="37"/>
          <w:rFonts w:ascii="Times New Roman" w:hAnsi="Times New Roman" w:cs="Times New Roman"/>
        </w:rPr>
        <w:fldChar w:fldCharType="end"/>
      </w:r>
      <w:r>
        <w:rPr>
          <w:rFonts w:ascii="Times New Roman" w:hAnsi="Times New Roman" w:cs="Times New Roman"/>
        </w:rPr>
        <w:t xml:space="preserve"> Mob +254722703347 (Corresponding Author)</w:t>
      </w:r>
    </w:p>
    <w:p>
      <w:pPr>
        <w:pStyle w:val="16"/>
        <w:tabs>
          <w:tab w:val="left" w:pos="1065"/>
        </w:tabs>
        <w:spacing w:line="360" w:lineRule="auto"/>
        <w:ind w:left="1095"/>
        <w:jc w:val="both"/>
        <w:rPr>
          <w:rFonts w:ascii="Times New Roman" w:hAnsi="Times New Roman" w:cs="Times New Roman"/>
          <w:b w:val="0"/>
          <w:bCs w:val="0"/>
          <w:szCs w:val="22"/>
        </w:rPr>
      </w:pPr>
      <w:r>
        <w:rPr>
          <w:rFonts w:ascii="Times New Roman" w:hAnsi="Times New Roman" w:cs="Times New Roman"/>
          <w:b w:val="0"/>
          <w:bCs w:val="0"/>
          <w:szCs w:val="22"/>
        </w:rPr>
        <w:t xml:space="preserve">             </w:t>
      </w:r>
    </w:p>
    <w:p>
      <w:pPr>
        <w:pStyle w:val="16"/>
        <w:tabs>
          <w:tab w:val="left" w:pos="1065"/>
        </w:tabs>
        <w:spacing w:line="360" w:lineRule="auto"/>
        <w:ind w:left="1095"/>
        <w:jc w:val="both"/>
        <w:rPr>
          <w:rFonts w:ascii="Times New Roman" w:hAnsi="Times New Roman" w:cs="Times New Roman"/>
          <w:b w:val="0"/>
          <w:bCs w:val="0"/>
          <w:szCs w:val="22"/>
        </w:rPr>
      </w:pPr>
      <w:r>
        <w:rPr>
          <w:rFonts w:ascii="Times New Roman" w:hAnsi="Times New Roman" w:cs="Times New Roman"/>
          <w:b w:val="0"/>
          <w:bCs w:val="0"/>
          <w:szCs w:val="22"/>
        </w:rPr>
        <w:t xml:space="preserve">  Prof Symon Wangombe Guthua, B.D.S (UoN), M.M.ED.Sc (Harvard), DOMS (MGH-Harvard), </w:t>
      </w:r>
    </w:p>
    <w:p>
      <w:pPr>
        <w:pStyle w:val="16"/>
        <w:tabs>
          <w:tab w:val="left" w:pos="1065"/>
        </w:tabs>
        <w:spacing w:line="360" w:lineRule="auto"/>
        <w:ind w:left="1095"/>
        <w:jc w:val="both"/>
        <w:rPr>
          <w:rFonts w:ascii="Times New Roman" w:hAnsi="Times New Roman" w:cs="Times New Roman"/>
          <w:b w:val="0"/>
          <w:bCs w:val="0"/>
          <w:szCs w:val="22"/>
        </w:rPr>
      </w:pPr>
      <w:r>
        <w:rPr>
          <w:rFonts w:ascii="Times New Roman" w:hAnsi="Times New Roman" w:cs="Times New Roman"/>
          <w:b w:val="0"/>
          <w:bCs w:val="0"/>
          <w:szCs w:val="22"/>
        </w:rPr>
        <w:t xml:space="preserve">              FCS, F.I.A.O.M.S   Consultant Maxillofacial Surgeon/Professor of Oral &amp;</w:t>
      </w:r>
    </w:p>
    <w:p>
      <w:pPr>
        <w:pStyle w:val="16"/>
        <w:tabs>
          <w:tab w:val="left" w:pos="1065"/>
        </w:tabs>
        <w:spacing w:line="360" w:lineRule="auto"/>
        <w:ind w:left="1095"/>
        <w:jc w:val="both"/>
        <w:rPr>
          <w:rFonts w:ascii="Times New Roman" w:hAnsi="Times New Roman" w:cs="Times New Roman"/>
          <w:b w:val="0"/>
          <w:bCs w:val="0"/>
          <w:szCs w:val="22"/>
        </w:rPr>
      </w:pPr>
      <w:r>
        <w:rPr>
          <w:rFonts w:ascii="Times New Roman" w:hAnsi="Times New Roman" w:cs="Times New Roman"/>
          <w:b w:val="0"/>
          <w:bCs w:val="0"/>
          <w:szCs w:val="22"/>
        </w:rPr>
        <w:t xml:space="preserve">             Maxillofacial Surgery     Dept. Oral &amp; Maxillofacial Surgery, Oral Pathol and</w:t>
      </w:r>
    </w:p>
    <w:p>
      <w:pPr>
        <w:pStyle w:val="16"/>
        <w:tabs>
          <w:tab w:val="left" w:pos="1065"/>
        </w:tabs>
        <w:spacing w:line="360" w:lineRule="auto"/>
        <w:ind w:left="1095"/>
        <w:jc w:val="both"/>
        <w:rPr>
          <w:rFonts w:ascii="Times New Roman" w:hAnsi="Times New Roman" w:cs="Times New Roman"/>
          <w:b w:val="0"/>
          <w:bCs w:val="0"/>
          <w:szCs w:val="22"/>
        </w:rPr>
      </w:pPr>
      <w:r>
        <w:rPr>
          <w:rFonts w:ascii="Times New Roman" w:hAnsi="Times New Roman" w:cs="Times New Roman"/>
          <w:b w:val="0"/>
          <w:bCs w:val="0"/>
          <w:szCs w:val="22"/>
        </w:rPr>
        <w:t xml:space="preserve">              Oral Medicine</w:t>
      </w:r>
    </w:p>
    <w:p>
      <w:pPr>
        <w:pStyle w:val="16"/>
        <w:tabs>
          <w:tab w:val="left" w:pos="1065"/>
        </w:tabs>
        <w:spacing w:line="360" w:lineRule="auto"/>
        <w:ind w:left="1095"/>
        <w:jc w:val="both"/>
        <w:rPr>
          <w:rFonts w:ascii="Times New Roman" w:hAnsi="Times New Roman" w:cs="Times New Roman"/>
          <w:b w:val="0"/>
          <w:bCs w:val="0"/>
          <w:szCs w:val="22"/>
        </w:rPr>
      </w:pPr>
    </w:p>
    <w:p>
      <w:pPr>
        <w:pStyle w:val="16"/>
        <w:tabs>
          <w:tab w:val="left" w:pos="1065"/>
        </w:tabs>
        <w:spacing w:line="360" w:lineRule="auto"/>
        <w:ind w:left="1095"/>
        <w:jc w:val="both"/>
        <w:rPr>
          <w:rFonts w:ascii="Times New Roman" w:hAnsi="Times New Roman" w:cs="Times New Roman"/>
          <w:b w:val="0"/>
          <w:bCs w:val="0"/>
          <w:szCs w:val="22"/>
        </w:rPr>
      </w:pPr>
    </w:p>
    <w:p>
      <w:pPr>
        <w:pStyle w:val="16"/>
        <w:tabs>
          <w:tab w:val="left" w:pos="1065"/>
        </w:tabs>
        <w:spacing w:line="360" w:lineRule="auto"/>
        <w:ind w:left="1095"/>
        <w:jc w:val="both"/>
        <w:rPr>
          <w:rFonts w:ascii="Times New Roman" w:hAnsi="Times New Roman" w:cs="Times New Roman"/>
          <w:b w:val="0"/>
          <w:bCs w:val="0"/>
          <w:szCs w:val="22"/>
        </w:rPr>
      </w:pPr>
      <w:r>
        <w:rPr>
          <w:rFonts w:ascii="Times New Roman" w:hAnsi="Times New Roman" w:cs="Times New Roman"/>
          <w:b w:val="0"/>
          <w:bCs w:val="0"/>
          <w:szCs w:val="22"/>
        </w:rPr>
        <w:t>Corresponding  Authors Address:</w:t>
      </w:r>
    </w:p>
    <w:p>
      <w:pPr>
        <w:pStyle w:val="16"/>
        <w:tabs>
          <w:tab w:val="left" w:pos="1065"/>
        </w:tabs>
        <w:spacing w:line="360" w:lineRule="auto"/>
        <w:ind w:left="1095"/>
        <w:jc w:val="both"/>
        <w:rPr>
          <w:rFonts w:ascii="Times New Roman" w:hAnsi="Times New Roman" w:cs="Times New Roman"/>
          <w:b w:val="0"/>
          <w:bCs w:val="0"/>
          <w:szCs w:val="22"/>
        </w:rPr>
      </w:pPr>
      <w:bookmarkStart w:id="2" w:name="_GoBack"/>
      <w:bookmarkEnd w:id="2"/>
    </w:p>
    <w:p>
      <w:pPr>
        <w:pStyle w:val="16"/>
        <w:tabs>
          <w:tab w:val="left" w:pos="1065"/>
        </w:tabs>
        <w:spacing w:line="360" w:lineRule="auto"/>
        <w:ind w:left="1095"/>
        <w:jc w:val="both"/>
        <w:rPr>
          <w:rFonts w:ascii="Times New Roman" w:hAnsi="Times New Roman" w:cs="Times New Roman"/>
          <w:b w:val="0"/>
          <w:bCs w:val="0"/>
          <w:szCs w:val="22"/>
        </w:rPr>
      </w:pPr>
      <w:r>
        <w:rPr>
          <w:rFonts w:ascii="Times New Roman" w:hAnsi="Times New Roman" w:cs="Times New Roman"/>
          <w:b w:val="0"/>
          <w:bCs w:val="0"/>
          <w:szCs w:val="22"/>
        </w:rPr>
        <w:t>Dr F awzia Butt</w:t>
      </w:r>
    </w:p>
    <w:p>
      <w:pPr>
        <w:pStyle w:val="16"/>
        <w:tabs>
          <w:tab w:val="left" w:pos="1065"/>
        </w:tabs>
        <w:spacing w:line="360" w:lineRule="auto"/>
        <w:ind w:left="1095"/>
        <w:jc w:val="both"/>
        <w:rPr>
          <w:rFonts w:ascii="Times New Roman" w:hAnsi="Times New Roman" w:cs="Times New Roman"/>
          <w:b w:val="0"/>
          <w:bCs w:val="0"/>
          <w:szCs w:val="22"/>
        </w:rPr>
      </w:pPr>
      <w:r>
        <w:rPr>
          <w:rFonts w:ascii="Times New Roman" w:hAnsi="Times New Roman" w:cs="Times New Roman"/>
          <w:b w:val="0"/>
          <w:bCs w:val="0"/>
          <w:szCs w:val="22"/>
        </w:rPr>
        <w:t>University Of Nairobi,</w:t>
      </w:r>
    </w:p>
    <w:p>
      <w:pPr>
        <w:pStyle w:val="16"/>
        <w:tabs>
          <w:tab w:val="left" w:pos="1065"/>
        </w:tabs>
        <w:spacing w:line="360" w:lineRule="auto"/>
        <w:ind w:left="1095"/>
        <w:jc w:val="both"/>
        <w:rPr>
          <w:rFonts w:ascii="Times New Roman" w:hAnsi="Times New Roman" w:cs="Times New Roman"/>
          <w:b w:val="0"/>
          <w:bCs w:val="0"/>
          <w:szCs w:val="22"/>
        </w:rPr>
      </w:pPr>
      <w:r>
        <w:rPr>
          <w:rFonts w:ascii="Times New Roman" w:hAnsi="Times New Roman" w:cs="Times New Roman"/>
          <w:b w:val="0"/>
          <w:bCs w:val="0"/>
          <w:szCs w:val="22"/>
        </w:rPr>
        <w:t>College of Health Sciences, P.O Box 30197 Code 00100</w:t>
      </w:r>
    </w:p>
    <w:p>
      <w:pPr>
        <w:pStyle w:val="16"/>
        <w:tabs>
          <w:tab w:val="left" w:pos="1065"/>
        </w:tabs>
        <w:spacing w:line="360" w:lineRule="auto"/>
        <w:ind w:left="1095"/>
        <w:jc w:val="both"/>
        <w:rPr>
          <w:rFonts w:ascii="Times New Roman" w:hAnsi="Times New Roman" w:cs="Times New Roman"/>
          <w:b w:val="0"/>
          <w:bCs w:val="0"/>
          <w:szCs w:val="22"/>
        </w:rPr>
      </w:pPr>
      <w:r>
        <w:rPr>
          <w:rFonts w:ascii="Times New Roman" w:hAnsi="Times New Roman" w:cs="Times New Roman"/>
          <w:b w:val="0"/>
          <w:bCs w:val="0"/>
          <w:szCs w:val="22"/>
        </w:rPr>
        <w:t>Nairobi, Kenya</w:t>
      </w:r>
    </w:p>
    <w:p>
      <w:pPr>
        <w:pStyle w:val="16"/>
        <w:tabs>
          <w:tab w:val="left" w:pos="1065"/>
        </w:tabs>
        <w:spacing w:line="360" w:lineRule="auto"/>
        <w:ind w:left="1095"/>
        <w:jc w:val="both"/>
        <w:rPr>
          <w:rFonts w:ascii="Times New Roman" w:hAnsi="Times New Roman" w:cs="Times New Roman"/>
          <w:b w:val="0"/>
          <w:bCs w:val="0"/>
          <w:szCs w:val="22"/>
        </w:rPr>
      </w:pPr>
      <w:r>
        <w:rPr>
          <w:rFonts w:ascii="Times New Roman" w:hAnsi="Times New Roman" w:cs="Times New Roman"/>
          <w:b w:val="0"/>
          <w:bCs w:val="0"/>
          <w:szCs w:val="22"/>
        </w:rPr>
        <w:t xml:space="preserve">Email: </w:t>
      </w:r>
      <w:r>
        <w:fldChar w:fldCharType="begin"/>
      </w:r>
      <w:r>
        <w:instrText xml:space="preserve"> HYPERLINK "mailto:fawziamaxfax@gmail.com" </w:instrText>
      </w:r>
      <w:r>
        <w:fldChar w:fldCharType="separate"/>
      </w:r>
      <w:r>
        <w:rPr>
          <w:rStyle w:val="37"/>
          <w:rFonts w:ascii="Times New Roman" w:hAnsi="Times New Roman" w:cs="Times New Roman" w:eastAsiaTheme="majorEastAsia"/>
          <w:b w:val="0"/>
          <w:bCs w:val="0"/>
          <w:szCs w:val="22"/>
        </w:rPr>
        <w:t>fawziamaxfax@gmail.com</w:t>
      </w:r>
      <w:r>
        <w:rPr>
          <w:rStyle w:val="37"/>
          <w:rFonts w:ascii="Times New Roman" w:hAnsi="Times New Roman" w:cs="Times New Roman" w:eastAsiaTheme="majorEastAsia"/>
          <w:b w:val="0"/>
          <w:bCs w:val="0"/>
          <w:szCs w:val="22"/>
        </w:rPr>
        <w:fldChar w:fldCharType="end"/>
      </w:r>
    </w:p>
    <w:p>
      <w:pPr>
        <w:pStyle w:val="16"/>
        <w:tabs>
          <w:tab w:val="left" w:pos="1065"/>
        </w:tabs>
        <w:spacing w:line="360" w:lineRule="auto"/>
        <w:ind w:left="1095"/>
        <w:jc w:val="both"/>
        <w:rPr>
          <w:rFonts w:ascii="Times New Roman" w:hAnsi="Times New Roman" w:cs="Times New Roman"/>
          <w:b w:val="0"/>
          <w:bCs w:val="0"/>
          <w:szCs w:val="22"/>
        </w:rPr>
      </w:pPr>
      <w:r>
        <w:rPr>
          <w:rFonts w:ascii="Times New Roman" w:hAnsi="Times New Roman" w:cs="Times New Roman"/>
          <w:b w:val="0"/>
          <w:bCs w:val="0"/>
          <w:szCs w:val="22"/>
        </w:rPr>
        <w:t>Mobile +254722703347</w:t>
      </w:r>
    </w:p>
    <w:p>
      <w:pPr>
        <w:pStyle w:val="16"/>
        <w:tabs>
          <w:tab w:val="left" w:pos="1065"/>
        </w:tabs>
        <w:spacing w:line="360" w:lineRule="auto"/>
        <w:ind w:left="1095"/>
        <w:jc w:val="both"/>
        <w:rPr>
          <w:rFonts w:ascii="Times New Roman" w:hAnsi="Times New Roman" w:cs="Times New Roman"/>
          <w:b w:val="0"/>
          <w:bCs w:val="0"/>
          <w:szCs w:val="22"/>
        </w:rPr>
      </w:pPr>
    </w:p>
    <w:p>
      <w:pPr>
        <w:pStyle w:val="16"/>
        <w:tabs>
          <w:tab w:val="left" w:pos="1065"/>
        </w:tabs>
        <w:spacing w:line="360" w:lineRule="auto"/>
        <w:ind w:left="1095"/>
        <w:jc w:val="both"/>
        <w:rPr>
          <w:rFonts w:ascii="Times New Roman" w:hAnsi="Times New Roman" w:cs="Times New Roman"/>
          <w:b w:val="0"/>
          <w:bCs w:val="0"/>
          <w:szCs w:val="22"/>
        </w:rPr>
      </w:pPr>
    </w:p>
    <w:p>
      <w:pPr>
        <w:pStyle w:val="16"/>
        <w:tabs>
          <w:tab w:val="left" w:pos="1065"/>
        </w:tabs>
        <w:spacing w:line="360" w:lineRule="auto"/>
        <w:ind w:left="1095"/>
        <w:jc w:val="both"/>
        <w:rPr>
          <w:rFonts w:ascii="Times New Roman" w:hAnsi="Times New Roman" w:cs="Times New Roman"/>
          <w:b w:val="0"/>
          <w:bCs w:val="0"/>
          <w:szCs w:val="22"/>
        </w:rPr>
      </w:pPr>
    </w:p>
    <w:p>
      <w:pPr>
        <w:pStyle w:val="16"/>
        <w:tabs>
          <w:tab w:val="left" w:pos="1065"/>
        </w:tabs>
        <w:spacing w:line="360" w:lineRule="auto"/>
        <w:ind w:left="1095"/>
        <w:jc w:val="both"/>
        <w:rPr>
          <w:rFonts w:ascii="Times New Roman" w:hAnsi="Times New Roman" w:cs="Times New Roman"/>
          <w:b w:val="0"/>
          <w:bCs w:val="0"/>
          <w:szCs w:val="22"/>
        </w:rPr>
      </w:pPr>
    </w:p>
    <w:p>
      <w:pPr>
        <w:pStyle w:val="16"/>
        <w:tabs>
          <w:tab w:val="left" w:pos="1065"/>
        </w:tabs>
        <w:spacing w:line="360" w:lineRule="auto"/>
        <w:ind w:left="1095"/>
        <w:jc w:val="both"/>
        <w:rPr>
          <w:rFonts w:ascii="Times New Roman" w:hAnsi="Times New Roman" w:cs="Times New Roman"/>
          <w:b w:val="0"/>
          <w:bCs w:val="0"/>
          <w:szCs w:val="22"/>
        </w:rPr>
      </w:pPr>
    </w:p>
    <w:p>
      <w:pPr>
        <w:pStyle w:val="16"/>
        <w:tabs>
          <w:tab w:val="left" w:pos="1065"/>
        </w:tabs>
        <w:spacing w:line="360" w:lineRule="auto"/>
        <w:ind w:left="1095"/>
        <w:jc w:val="both"/>
        <w:rPr>
          <w:rFonts w:ascii="Times New Roman" w:hAnsi="Times New Roman" w:cs="Times New Roman"/>
          <w:b w:val="0"/>
          <w:bCs w:val="0"/>
          <w:szCs w:val="22"/>
        </w:rPr>
      </w:pPr>
    </w:p>
    <w:p>
      <w:pPr>
        <w:spacing w:line="360" w:lineRule="auto"/>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r>
        <w:rPr>
          <w:rFonts w:ascii="Times New Roman" w:hAnsi="Times New Roman"/>
        </w:rPr>
        <w:t>Abstract</w:t>
      </w:r>
    </w:p>
    <w:p>
      <w:pPr>
        <w:spacing w:line="360" w:lineRule="auto"/>
        <w:jc w:val="both"/>
        <w:rPr>
          <w:rFonts w:ascii="Times New Roman" w:hAnsi="Times New Roman"/>
          <w:color w:val="0D0D0D"/>
          <w:sz w:val="20"/>
          <w:szCs w:val="20"/>
        </w:rPr>
      </w:pPr>
      <w:bookmarkStart w:id="1" w:name="_Hlk49629166"/>
      <w:r>
        <w:rPr>
          <w:rFonts w:ascii="Times New Roman" w:hAnsi="Times New Roman"/>
        </w:rPr>
        <w:t>Temporalis Myofascial pedicle flap is used for mid face defects, a good alternative to free flaps for contemporary surgeons. We present a case series of 7 patients with  defects following ablative surgery secondary to oral squamous cell carcinoma. The flap was used to reconstruct the defect of the orbit</w:t>
      </w:r>
      <w:r>
        <w:rPr>
          <w:rFonts w:ascii="Times New Roman" w:hAnsi="Times New Roman"/>
          <w:color w:val="0D0D0D"/>
          <w:sz w:val="20"/>
          <w:szCs w:val="20"/>
        </w:rPr>
        <w:t>, buccal mucosa  and palate.</w:t>
      </w:r>
      <w:bookmarkEnd w:id="1"/>
    </w:p>
    <w:p>
      <w:pPr>
        <w:spacing w:line="360" w:lineRule="auto"/>
        <w:jc w:val="both"/>
        <w:rPr>
          <w:rFonts w:ascii="Times New Roman" w:hAnsi="Times New Roman"/>
          <w:color w:val="0D0D0D"/>
          <w:sz w:val="20"/>
          <w:szCs w:val="20"/>
        </w:rPr>
      </w:pPr>
    </w:p>
    <w:p>
      <w:pPr>
        <w:spacing w:line="360" w:lineRule="auto"/>
        <w:jc w:val="both"/>
        <w:rPr>
          <w:rFonts w:ascii="Times New Roman" w:hAnsi="Times New Roman"/>
          <w:color w:val="0D0D0D"/>
          <w:sz w:val="20"/>
          <w:szCs w:val="20"/>
        </w:rPr>
      </w:pPr>
      <w:r>
        <w:rPr>
          <w:rFonts w:ascii="Times New Roman" w:hAnsi="Times New Roman"/>
          <w:color w:val="0D0D0D"/>
          <w:sz w:val="20"/>
          <w:szCs w:val="20"/>
        </w:rPr>
        <w:t>Key Words    Temporals Flap, Midface defect, reconstruction</w:t>
      </w:r>
    </w:p>
    <w:p>
      <w:pPr>
        <w:spacing w:line="360" w:lineRule="auto"/>
        <w:jc w:val="both"/>
        <w:rPr>
          <w:rFonts w:ascii="Times New Roman" w:hAnsi="Times New Roman"/>
          <w:color w:val="0D0D0D"/>
          <w:sz w:val="20"/>
          <w:szCs w:val="20"/>
        </w:rPr>
      </w:pPr>
    </w:p>
    <w:p>
      <w:pPr>
        <w:spacing w:line="360" w:lineRule="auto"/>
        <w:jc w:val="both"/>
      </w:pPr>
    </w:p>
    <w:p>
      <w:pPr>
        <w:pStyle w:val="16"/>
        <w:tabs>
          <w:tab w:val="left" w:pos="1065"/>
        </w:tabs>
        <w:spacing w:line="360" w:lineRule="auto"/>
        <w:ind w:left="1095"/>
        <w:jc w:val="both"/>
        <w:rPr>
          <w:rFonts w:ascii="Times New Roman" w:hAnsi="Times New Roman" w:cs="Times New Roman"/>
          <w:b w:val="0"/>
          <w:bCs w:val="0"/>
          <w:szCs w:val="22"/>
        </w:rPr>
      </w:pPr>
    </w:p>
    <w:p>
      <w:pPr>
        <w:rPr>
          <w:rFonts w:ascii="Times New Roman" w:hAnsi="Times New Roman" w:cs="Times New Roman"/>
        </w:rPr>
      </w:pPr>
    </w:p>
    <w:p>
      <w:pPr>
        <w:rPr>
          <w:rFonts w:ascii="Times New Roman" w:hAnsi="Times New Roman" w:cs="Times New Roman"/>
        </w:rPr>
      </w:pPr>
    </w:p>
    <w:p>
      <w:pPr>
        <w:pStyle w:val="16"/>
        <w:tabs>
          <w:tab w:val="left" w:pos="1065"/>
        </w:tabs>
        <w:spacing w:line="360" w:lineRule="auto"/>
        <w:ind w:left="1095"/>
        <w:jc w:val="left"/>
        <w:rPr>
          <w:rFonts w:ascii="Times New Roman" w:hAnsi="Times New Roman" w:cs="Times New Roman"/>
          <w:b w:val="0"/>
          <w:bCs w:val="0"/>
          <w:szCs w:val="22"/>
        </w:rPr>
      </w:pPr>
    </w:p>
    <w:p>
      <w:pPr>
        <w:rPr>
          <w:rFonts w:ascii="Times New Roman" w:hAnsi="Times New Roman" w:cs="Times New Roman"/>
        </w:rPr>
      </w:pPr>
      <w:r>
        <w:rPr>
          <w:rFonts w:ascii="Times New Roman" w:hAnsi="Times New Roman" w:cs="Times New Roman"/>
        </w:rPr>
        <w:t xml:space="preserve">                  </w:t>
      </w:r>
    </w:p>
    <w:p>
      <w:pPr>
        <w:rPr>
          <w:rFonts w:ascii="Times New Roman" w:hAnsi="Times New Roman" w:cs="Times New Roman"/>
        </w:rPr>
      </w:pPr>
      <w:r>
        <w:rPr>
          <w:rFonts w:ascii="Times New Roman" w:hAnsi="Times New Roman" w:cs="Times New Roman"/>
        </w:rPr>
        <w:t xml:space="preserve">                                  </w:t>
      </w:r>
    </w:p>
    <w:p>
      <w:pPr>
        <w:tabs>
          <w:tab w:val="left" w:pos="3360"/>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p>
      <w:pPr>
        <w:tabs>
          <w:tab w:val="left" w:pos="3360"/>
        </w:tabs>
        <w:rPr>
          <w:rFonts w:ascii="Times New Roman" w:hAnsi="Times New Roman" w:cs="Times New Roman"/>
        </w:rPr>
      </w:pPr>
    </w:p>
    <w:p>
      <w:pPr>
        <w:tabs>
          <w:tab w:val="left" w:pos="3360"/>
        </w:tabs>
        <w:rPr>
          <w:rFonts w:ascii="Times New Roman" w:hAnsi="Times New Roman" w:cs="Times New Roman"/>
        </w:rPr>
      </w:pPr>
      <w:r>
        <w:rPr>
          <w:rFonts w:ascii="Times New Roman" w:hAnsi="Times New Roman" w:cs="Times New Roman"/>
        </w:rPr>
        <w:t xml:space="preserve">    </w:t>
      </w:r>
    </w:p>
    <w:p>
      <w:pPr>
        <w:jc w:val="center"/>
        <w:rPr>
          <w:rFonts w:ascii="Times New Roman" w:hAnsi="Times New Roman" w:cs="Times New Roman"/>
        </w:rPr>
      </w:pPr>
    </w:p>
    <w:p>
      <w:pPr>
        <w:jc w:val="center"/>
      </w:pPr>
    </w:p>
    <w:p/>
    <w:p>
      <w:pPr>
        <w:jc w:val="center"/>
      </w:pPr>
    </w:p>
    <w:p>
      <w:pPr>
        <w:jc w:val="cente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r>
        <w:rPr>
          <w:rFonts w:ascii="Times New Roman" w:hAnsi="Times New Roman" w:cs="Times New Roman"/>
          <w:sz w:val="20"/>
          <w:szCs w:val="20"/>
        </w:rPr>
        <w:t>Introduction</w:t>
      </w:r>
    </w:p>
    <w:p>
      <w:pPr>
        <w:jc w:val="both"/>
      </w:pPr>
    </w:p>
    <w:p>
      <w:pPr>
        <w:spacing w:line="360" w:lineRule="auto"/>
        <w:jc w:val="both"/>
        <w:rPr>
          <w:rFonts w:ascii="Times New Roman" w:hAnsi="Times New Roman" w:cs="Times New Roman"/>
          <w:color w:val="FF0000"/>
          <w:sz w:val="20"/>
          <w:szCs w:val="20"/>
        </w:rPr>
      </w:pPr>
      <w:r>
        <w:rPr>
          <w:rFonts w:ascii="Times New Roman" w:hAnsi="Times New Roman" w:cs="Times New Roman"/>
          <w:color w:val="000000"/>
          <w:sz w:val="20"/>
          <w:szCs w:val="20"/>
          <w:shd w:val="clear" w:color="auto" w:fill="FFFFFF"/>
        </w:rPr>
        <w:t>Temporalis myofascial pedicle flap (TMPF) was first used by Golovine more than 100 years ago in 1898 to obliterate dead space after orbital exenteration</w:t>
      </w:r>
      <w:r>
        <w:rPr>
          <w:rFonts w:ascii="Times New Roman" w:hAnsi="Times New Roman" w:cs="Times New Roman"/>
          <w:color w:val="000000"/>
          <w:sz w:val="20"/>
          <w:szCs w:val="20"/>
          <w:shd w:val="clear" w:color="auto" w:fill="FFFFFF"/>
          <w:vertAlign w:val="superscript"/>
        </w:rPr>
        <w:t xml:space="preserve">1 </w:t>
      </w:r>
      <w:r>
        <w:rPr>
          <w:rFonts w:ascii="Times New Roman" w:hAnsi="Times New Roman" w:cs="Times New Roman"/>
          <w:color w:val="000000"/>
          <w:sz w:val="20"/>
          <w:szCs w:val="20"/>
          <w:shd w:val="clear" w:color="auto" w:fill="FFFFFF"/>
        </w:rPr>
        <w:t>.</w:t>
      </w:r>
      <w:r>
        <w:rPr>
          <w:rFonts w:ascii="Times New Roman" w:hAnsi="Times New Roman" w:cs="Times New Roman"/>
          <w:sz w:val="20"/>
          <w:szCs w:val="20"/>
        </w:rPr>
        <w:t xml:space="preserve"> Fifty years later, Campbell used it to repair maxillary defects</w:t>
      </w:r>
      <w:r>
        <w:rPr>
          <w:rFonts w:ascii="Times New Roman" w:hAnsi="Times New Roman" w:cs="Times New Roman"/>
          <w:color w:val="000000"/>
          <w:sz w:val="20"/>
          <w:szCs w:val="20"/>
          <w:shd w:val="clear" w:color="auto" w:fill="FFFFFF"/>
        </w:rPr>
        <w:t xml:space="preserve"> and it remains a very reliable regional flap for the reconstruction of the maxillofacial defects</w:t>
      </w:r>
      <w:r>
        <w:rPr>
          <w:rFonts w:ascii="Times New Roman" w:hAnsi="Times New Roman" w:cs="Times New Roman"/>
          <w:color w:val="000000"/>
          <w:sz w:val="20"/>
          <w:szCs w:val="20"/>
          <w:shd w:val="clear" w:color="auto" w:fill="FFFFFF"/>
          <w:vertAlign w:val="superscript"/>
        </w:rPr>
        <w:t>2</w:t>
      </w:r>
      <w:r>
        <w:rPr>
          <w:rFonts w:ascii="Times New Roman" w:hAnsi="Times New Roman" w:cs="Times New Roman"/>
          <w:color w:val="000000"/>
          <w:sz w:val="20"/>
          <w:szCs w:val="20"/>
          <w:shd w:val="clear" w:color="auto" w:fill="FFFFFF"/>
        </w:rPr>
        <w:t xml:space="preserve"> . In 1976, </w:t>
      </w:r>
      <w:r>
        <w:rPr>
          <w:rFonts w:ascii="Times New Roman" w:hAnsi="Times New Roman" w:cs="Times New Roman"/>
          <w:sz w:val="20"/>
          <w:szCs w:val="20"/>
        </w:rPr>
        <w:t xml:space="preserve">Fox and Edger-ton first drew attention to the layers of well vascularised fascia and muscle in the temporal region. Their “fan” flap was a composite of periosteum, temporalis muscle and fascia </w:t>
      </w:r>
      <w:r>
        <w:rPr>
          <w:rFonts w:ascii="Times New Roman" w:hAnsi="Times New Roman" w:cs="Times New Roman"/>
          <w:sz w:val="20"/>
          <w:szCs w:val="20"/>
          <w:vertAlign w:val="superscript"/>
        </w:rPr>
        <w:t>3</w:t>
      </w:r>
      <w:r>
        <w:rPr>
          <w:rFonts w:ascii="Times New Roman" w:hAnsi="Times New Roman" w:cs="Times New Roman"/>
          <w:color w:val="000000"/>
          <w:sz w:val="20"/>
          <w:szCs w:val="20"/>
          <w:shd w:val="clear" w:color="auto" w:fill="FFFFFF"/>
          <w:vertAlign w:val="superscript"/>
        </w:rPr>
        <w:t>.</w:t>
      </w:r>
      <w:r>
        <w:rPr>
          <w:rFonts w:ascii="Times New Roman" w:hAnsi="Times New Roman" w:cs="Times New Roman"/>
          <w:sz w:val="20"/>
          <w:szCs w:val="20"/>
        </w:rPr>
        <w:t xml:space="preserve"> . The presence of two independent vascular territories in the temporal region permits separate utilisation of muscle or fascia in the elevation of regional flaps. The temporoparietal fascia and overlying skin are supplied by the superficial temporal artery providing thin axial-pattern fascial and fasciocutaneous flaps. The temporalis muscle and its distal peri cranial extension is supplied by deep temporal vessels and is a particularly useful source of tissue where bulk or dynamic function are required in reconstruction </w:t>
      </w:r>
      <w:r>
        <w:rPr>
          <w:rFonts w:ascii="Times New Roman" w:hAnsi="Times New Roman" w:cs="Times New Roman"/>
          <w:sz w:val="20"/>
          <w:szCs w:val="20"/>
          <w:vertAlign w:val="superscript"/>
        </w:rPr>
        <w:t>4</w:t>
      </w:r>
      <w:r>
        <w:rPr>
          <w:rFonts w:ascii="Times New Roman" w:hAnsi="Times New Roman" w:cs="Times New Roman"/>
          <w:color w:val="FF0000"/>
          <w:sz w:val="20"/>
          <w:szCs w:val="20"/>
        </w:rPr>
        <w:t>.</w:t>
      </w:r>
      <w:r>
        <w:rPr>
          <w:rFonts w:ascii="Times New Roman" w:hAnsi="Times New Roman" w:cs="Times New Roman"/>
          <w:color w:val="000000"/>
          <w:sz w:val="20"/>
          <w:szCs w:val="20"/>
          <w:shd w:val="clear" w:color="auto" w:fill="FFFFFF"/>
        </w:rPr>
        <w:t xml:space="preserve"> The proximity of the oral cavity, palate, oropharynx, and the middle third of the face in addition to the reliable vascular pedicle makes the TMPF valuable for reconstruction </w:t>
      </w:r>
      <w:r>
        <w:rPr>
          <w:rFonts w:ascii="Times New Roman" w:hAnsi="Times New Roman" w:cs="Times New Roman"/>
          <w:color w:val="000000"/>
          <w:sz w:val="20"/>
          <w:szCs w:val="20"/>
          <w:shd w:val="clear" w:color="auto" w:fill="FFFFFF"/>
          <w:vertAlign w:val="superscript"/>
        </w:rPr>
        <w:t>5</w:t>
      </w:r>
      <w:r>
        <w:rPr>
          <w:rFonts w:ascii="Times New Roman" w:hAnsi="Times New Roman" w:cs="Times New Roman"/>
          <w:color w:val="000000"/>
          <w:sz w:val="20"/>
          <w:szCs w:val="20"/>
          <w:shd w:val="clear" w:color="auto" w:fill="FFFFFF"/>
        </w:rPr>
        <w:t xml:space="preserve"> </w:t>
      </w:r>
      <w:r>
        <w:rPr>
          <w:rFonts w:ascii="Times New Roman" w:hAnsi="Times New Roman" w:cs="Times New Roman"/>
          <w:color w:val="FF0000"/>
          <w:sz w:val="20"/>
          <w:szCs w:val="20"/>
        </w:rPr>
        <w:t>.</w:t>
      </w:r>
    </w:p>
    <w:p>
      <w:pPr>
        <w:spacing w:line="360" w:lineRule="auto"/>
        <w:jc w:val="both"/>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pPr>
      <w:r>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t>Midfacial defects following tumour or trauma  involving both skeletal and soft tissue of  the palate, orbit and the mucosa can be reconstructed  using the TMPF. We present our experience in using this flap for reconstruction for  7 patients with  defects of the orbit, palate and buccal mucosa  after ablative surgery following resection of Squamous cell carcinoma from the affected  regions respectively.</w:t>
      </w:r>
    </w:p>
    <w:p>
      <w:pPr>
        <w:spacing w:line="360" w:lineRule="auto"/>
        <w:jc w:val="both"/>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pPr>
    </w:p>
    <w:p>
      <w:pPr>
        <w:spacing w:line="360" w:lineRule="auto"/>
        <w:jc w:val="both"/>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pPr>
      <w:r>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t>Case Report</w:t>
      </w:r>
    </w:p>
    <w:p>
      <w:pPr>
        <w:spacing w:line="360" w:lineRule="auto"/>
        <w:jc w:val="both"/>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pPr>
      <w:r>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t>All the patients were operated at the School of Dental Sciences -University of Nairobi. Approval was obtained to collect data for this case series  from the School and the patients consent was obtained for each case. A total of seven (07) patients were included in the study. Preoperative clinical, radiographical and pathological evaluation was done for each patient.</w:t>
      </w:r>
    </w:p>
    <w:p>
      <w:pPr>
        <w:spacing w:line="360" w:lineRule="auto"/>
        <w:jc w:val="both"/>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pPr>
      <w:r>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t xml:space="preserve">The patients presented with  Squamous Cell carcinoma involving the orbit (1), buccal mucosa (2), maxillary alveolar and palatal region (4). All the patients were in Stage III and IV of the TNM classification. According to the histopathological diagnosis, 5 had well differentiated and 2  moderately differentiated  Oral Squamous cell carcinoma. Intraoperative surgical treatment included Orbital exenteration, excision of buccal mucosa and maxillectomy with selective neck dissection. The resulting maxillary defect was Class 2 and 3 according to Brown et al., classification </w:t>
      </w:r>
      <w:r>
        <w:rPr>
          <w:rFonts w:ascii="Times New Roman" w:hAnsi="Times New Roman" w:cs="Times New Roman"/>
          <w:color w:val="0D0D0D" w:themeColor="text1" w:themeTint="F2"/>
          <w:sz w:val="20"/>
          <w:szCs w:val="20"/>
          <w:vertAlign w:val="superscript"/>
          <w14:textFill>
            <w14:solidFill>
              <w14:schemeClr w14:val="tx1">
                <w14:lumMod w14:val="95000"/>
                <w14:lumOff w14:val="5000"/>
              </w14:schemeClr>
            </w14:solidFill>
          </w14:textFill>
        </w:rPr>
        <w:t>6</w:t>
      </w:r>
      <w:r>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t xml:space="preserve">. The TMPF was used to cover the orbit and reconstruct the buccal defects after wide excision of the lesion. The oroantral fistula, resulting from  the partial maxillectomy was covered using the  temporalis muscle flap this helped to separate the  maxillary sinus from the oral cavity. </w:t>
      </w:r>
    </w:p>
    <w:p>
      <w:pPr>
        <w:spacing w:line="360" w:lineRule="auto"/>
        <w:jc w:val="both"/>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pPr>
    </w:p>
    <w:p>
      <w:pPr>
        <w:spacing w:line="360" w:lineRule="auto"/>
        <w:jc w:val="both"/>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pPr>
      <w:r>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t>In all cases the resulting,  defect was reconstructed using the TMPF at the same time of the ablative surgery. The hemi coronal incision  together with a pre auricular extension  was used  to expose the Temporalis muscle by dissecting in the subgaleal plane, and  freeing it from the temporal fossa. Incision of  fasciae attachment from the zygomatic arch allowed free  rotation of the flap.  Depending on the defect the muscle can be divided in half, cranially with respect to its blood supply when less tissue bulk is needed.  The Temporal and Frontal branches of the Facial nerve were  included  when needed in the flap to preserve their integrity. A tunnel was created via the infratemporal fossa using blunt dissection, for passage of the elevated TMPF into the oral cavity to reconstruction the defect. Once the muscle was transposed into the defect it was secured using 3 0 vicryl suture . A drain was inserted into the harvest site after irrigation and a compression dressing applied after skin closure over the temporal area. All patients except for the one with the orbital tumor were on nasogastric tube feeding for 4 - 5days to maintain oral hygiene. The patients recovered uneventfully and  were discharged on the 7</w:t>
      </w:r>
      <w:r>
        <w:rPr>
          <w:rFonts w:ascii="Times New Roman" w:hAnsi="Times New Roman" w:cs="Times New Roman"/>
          <w:color w:val="0D0D0D" w:themeColor="text1" w:themeTint="F2"/>
          <w:sz w:val="20"/>
          <w:szCs w:val="20"/>
          <w:vertAlign w:val="superscript"/>
          <w14:textFill>
            <w14:solidFill>
              <w14:schemeClr w14:val="tx1">
                <w14:lumMod w14:val="95000"/>
                <w14:lumOff w14:val="5000"/>
              </w14:schemeClr>
            </w14:solidFill>
          </w14:textFill>
        </w:rPr>
        <w:t>th</w:t>
      </w:r>
      <w:r>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t xml:space="preserve"> post operative day.  Radiotherapy started   was 4 weeks post-operatively and are  on regular follow up (Fig1,2,3).</w:t>
      </w:r>
    </w:p>
    <w:p>
      <w:pPr>
        <w:spacing w:line="360" w:lineRule="auto"/>
        <w:jc w:val="both"/>
        <w:rPr>
          <w:rFonts w:ascii="Times New Roman" w:hAnsi="Times New Roman" w:cs="Times New Roman"/>
          <w:b/>
          <w:bCs/>
          <w:color w:val="0D0D0D" w:themeColor="text1" w:themeTint="F2"/>
          <w:sz w:val="20"/>
          <w:szCs w:val="20"/>
          <w14:textFill>
            <w14:solidFill>
              <w14:schemeClr w14:val="tx1">
                <w14:lumMod w14:val="95000"/>
                <w14:lumOff w14:val="5000"/>
              </w14:schemeClr>
            </w14:solidFill>
          </w14:textFill>
        </w:rPr>
      </w:pPr>
    </w:p>
    <w:p>
      <w:pPr>
        <w:spacing w:line="360" w:lineRule="auto"/>
        <w:jc w:val="both"/>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pPr>
      <w:r>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t xml:space="preserve">There were a total number of seven patients, 4 females and 3 males with an age range 45 to 83 years in the case series(Table 1).Factors determining flap viability that were monitored post operatively were  its colour, marginal necrosis leading to dehiscence and  formation of  a fistula. All of our flaps survived with, the  intra-oral ones showing mucolisation/epithelization   within 3 to 5 weeks. Patients were encouraged on a regular diet postoperatively once the nasogastric tube was removed. We evaluated the patients for  complications arising as a resulting from  the flap  harvest for example trismus, dysphagia, Facial nerve paresis, mastication and  Temporal hollowing. Apart from one patient who presented with Temporal hollowing, all other patients had an unremarkable recovery.   They then   proceeded for radiotherapy  and are on regular follow up. </w:t>
      </w:r>
    </w:p>
    <w:p>
      <w:pPr>
        <w:spacing w:line="360" w:lineRule="auto"/>
        <w:jc w:val="both"/>
        <w:rPr>
          <w:rFonts w:ascii="Times New Roman" w:hAnsi="Times New Roman" w:cs="Times New Roman"/>
          <w:b/>
          <w:bCs/>
          <w:color w:val="0D0D0D" w:themeColor="text1" w:themeTint="F2"/>
          <w:sz w:val="20"/>
          <w:szCs w:val="20"/>
          <w14:textFill>
            <w14:solidFill>
              <w14:schemeClr w14:val="tx1">
                <w14:lumMod w14:val="95000"/>
                <w14:lumOff w14:val="5000"/>
              </w14:schemeClr>
            </w14:solidFill>
          </w14:textFill>
        </w:rPr>
      </w:pPr>
    </w:p>
    <w:p>
      <w:pPr>
        <w:spacing w:line="360" w:lineRule="auto"/>
        <w:jc w:val="both"/>
        <w:rPr>
          <w:rFonts w:ascii="Times New Roman" w:hAnsi="Times New Roman" w:cs="Times New Roman"/>
          <w:b/>
          <w:bCs/>
          <w:color w:val="0D0D0D" w:themeColor="text1" w:themeTint="F2"/>
          <w:sz w:val="20"/>
          <w:szCs w:val="20"/>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0"/>
          <w:szCs w:val="20"/>
          <w14:textFill>
            <w14:solidFill>
              <w14:schemeClr w14:val="tx1">
                <w14:lumMod w14:val="95000"/>
                <w14:lumOff w14:val="5000"/>
              </w14:schemeClr>
            </w14:solidFill>
          </w14:textFill>
        </w:rPr>
        <w:t>Discussion</w:t>
      </w:r>
    </w:p>
    <w:p>
      <w:pPr>
        <w:spacing w:line="360" w:lineRule="auto"/>
        <w:jc w:val="both"/>
        <w:rPr>
          <w:rFonts w:ascii="Times New Roman" w:hAnsi="Times New Roman" w:cs="Times New Roman"/>
          <w:sz w:val="20"/>
          <w:szCs w:val="20"/>
        </w:rPr>
      </w:pPr>
      <w:r>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t xml:space="preserve">The TMPF is an excellent regional flap with a good outcome, it has a high success rate due to its good vascularity. Literature reports flap necrosis of 1% with success after surgical debridement </w:t>
      </w:r>
      <w:r>
        <w:rPr>
          <w:rFonts w:ascii="Times New Roman" w:hAnsi="Times New Roman" w:cs="Times New Roman"/>
          <w:color w:val="0D0D0D" w:themeColor="text1" w:themeTint="F2"/>
          <w:sz w:val="20"/>
          <w:szCs w:val="20"/>
          <w:vertAlign w:val="superscript"/>
          <w14:textFill>
            <w14:solidFill>
              <w14:schemeClr w14:val="tx1">
                <w14:lumMod w14:val="95000"/>
                <w14:lumOff w14:val="5000"/>
              </w14:schemeClr>
            </w14:solidFill>
          </w14:textFill>
        </w:rPr>
        <w:t>7</w:t>
      </w:r>
      <w:r>
        <w:rPr>
          <w:rFonts w:ascii="Times New Roman" w:hAnsi="Times New Roman" w:cs="Times New Roman"/>
          <w:sz w:val="20"/>
          <w:szCs w:val="20"/>
        </w:rPr>
        <w:t>. The largest case series reported by  Wang et al., and Browne et al., of 67 and 72  patients respectively  reported the continues viability of the TMPF  for mid face defect reconstruction(</w:t>
      </w:r>
      <w:r>
        <w:rPr>
          <w:rFonts w:ascii="Times New Roman" w:hAnsi="Times New Roman" w:cs="Times New Roman"/>
          <w:sz w:val="20"/>
          <w:szCs w:val="20"/>
          <w:vertAlign w:val="superscript"/>
        </w:rPr>
        <w:t xml:space="preserve">8,9) </w:t>
      </w:r>
      <w:r>
        <w:rPr>
          <w:rFonts w:ascii="Times New Roman" w:hAnsi="Times New Roman" w:cs="Times New Roman"/>
          <w:color w:val="FF0000"/>
          <w:sz w:val="20"/>
          <w:szCs w:val="20"/>
        </w:rPr>
        <w:t xml:space="preserve">. </w:t>
      </w:r>
      <w:r>
        <w:rPr>
          <w:rFonts w:ascii="Times New Roman" w:hAnsi="Times New Roman" w:cs="Times New Roman"/>
          <w:sz w:val="20"/>
          <w:szCs w:val="20"/>
        </w:rPr>
        <w:t>Our case series is in tandem with these studies showing  the  excellent  versatility of the Temporalis flap for reconstruction of buccal mucosa, closure of oral antral fistula or to cover the defect after orbital exenteration. The close proximity of the Temporalis muscle makes it ideal to reconstruct the inner lining of the buccal mucosa which had been resected as long as the carcinoma has not involved the subcutaneous layer or the skin of the cheek.</w:t>
      </w:r>
    </w:p>
    <w:p>
      <w:pPr>
        <w:autoSpaceDE w:val="0"/>
        <w:autoSpaceDN w:val="0"/>
        <w:adjustRightInd w:val="0"/>
        <w:spacing w:line="360" w:lineRule="auto"/>
        <w:jc w:val="both"/>
        <w:rPr>
          <w:rFonts w:ascii="Times New Roman" w:hAnsi="Times New Roman" w:cs="Times New Roman"/>
          <w:sz w:val="20"/>
          <w:szCs w:val="20"/>
        </w:rPr>
      </w:pPr>
    </w:p>
    <w:p>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Majority  of the ablative procedures in the Head and neck region need simultaneous  reconstruction and the  surgeon has a range of flaps available for reconstruction beginning from local, regional or microvascular</w:t>
      </w:r>
      <w:r>
        <w:rPr>
          <w:rFonts w:ascii="Times New Roman" w:hAnsi="Times New Roman" w:cs="Times New Roman"/>
          <w:sz w:val="20"/>
          <w:szCs w:val="20"/>
          <w:vertAlign w:val="superscript"/>
        </w:rPr>
        <w:t>10</w:t>
      </w:r>
      <w:r>
        <w:rPr>
          <w:rFonts w:ascii="Times New Roman" w:hAnsi="Times New Roman" w:cs="Times New Roman"/>
          <w:sz w:val="20"/>
          <w:szCs w:val="20"/>
        </w:rPr>
        <w:t xml:space="preserve"> </w:t>
      </w:r>
      <w:r>
        <w:rPr>
          <w:rFonts w:ascii="Times New Roman" w:hAnsi="Times New Roman" w:cs="Times New Roman"/>
          <w:color w:val="FF0000"/>
          <w:sz w:val="20"/>
          <w:szCs w:val="20"/>
        </w:rPr>
        <w:t xml:space="preserve">. </w:t>
      </w:r>
      <w:r>
        <w:rPr>
          <w:rFonts w:ascii="Times New Roman" w:hAnsi="Times New Roman" w:cs="Times New Roman"/>
          <w:sz w:val="20"/>
          <w:szCs w:val="20"/>
        </w:rPr>
        <w:t>The main determinant of the flap is the size of the defect, the distance from the harvest site, and the desired outcome  keeping  mind the goal is to achieve  the functionality and cosmetics as close to the premorbid state</w:t>
      </w:r>
      <w:r>
        <w:rPr>
          <w:rFonts w:ascii="Times New Roman" w:hAnsi="Times New Roman" w:cs="Times New Roman"/>
          <w:sz w:val="20"/>
          <w:szCs w:val="20"/>
          <w:vertAlign w:val="superscript"/>
        </w:rPr>
        <w:t>8</w:t>
      </w:r>
      <w:r>
        <w:rPr>
          <w:rFonts w:ascii="Times New Roman" w:hAnsi="Times New Roman" w:cs="Times New Roman"/>
          <w:sz w:val="20"/>
          <w:szCs w:val="20"/>
        </w:rPr>
        <w:t xml:space="preserve"> </w:t>
      </w:r>
      <w:r>
        <w:rPr>
          <w:rFonts w:ascii="Times New Roman" w:hAnsi="Times New Roman" w:cs="Times New Roman"/>
          <w:color w:val="FF0000"/>
          <w:sz w:val="20"/>
          <w:szCs w:val="20"/>
        </w:rPr>
        <w:t xml:space="preserve">. </w:t>
      </w:r>
      <w:r>
        <w:rPr>
          <w:rFonts w:ascii="Times New Roman" w:hAnsi="Times New Roman" w:cs="Times New Roman"/>
          <w:sz w:val="20"/>
          <w:szCs w:val="20"/>
        </w:rPr>
        <w:t>Microvascular or free flaps have gained popularity over the local and regional flaps due the advantages of being  less bulky and are  associated with less donor site morbidity.  However, free flaps demand more surgical expertise, an extra  surgical team, longer operating time  and   financial costs  on the patient. Existing co-morbidities  like cardiovascular conditions or pre radiated patients are not ideal candidates for microvascular anastomosis</w:t>
      </w:r>
      <w:r>
        <w:rPr>
          <w:rFonts w:ascii="Times New Roman" w:hAnsi="Times New Roman" w:cs="Times New Roman"/>
          <w:sz w:val="20"/>
          <w:szCs w:val="20"/>
          <w:vertAlign w:val="superscript"/>
        </w:rPr>
        <w:t>8</w:t>
      </w:r>
      <w:r>
        <w:rPr>
          <w:rFonts w:ascii="Times New Roman" w:hAnsi="Times New Roman" w:cs="Times New Roman"/>
          <w:sz w:val="20"/>
          <w:szCs w:val="20"/>
        </w:rPr>
        <w:t xml:space="preserve"> .  TMPF on the other hand are easy to harvest, even for the younger surgeon  and  the operating time is shortened. The patients can be  discharged home  early. Our patients were kept for a little longer  for observation  as they had come  from rural areas where the  hospitals lack specialists.</w:t>
      </w:r>
    </w:p>
    <w:p>
      <w:pPr>
        <w:autoSpaceDE w:val="0"/>
        <w:autoSpaceDN w:val="0"/>
        <w:adjustRightInd w:val="0"/>
        <w:spacing w:line="360" w:lineRule="auto"/>
        <w:jc w:val="both"/>
        <w:rPr>
          <w:rFonts w:ascii="Times New Roman" w:hAnsi="Times New Roman" w:cs="Times New Roman"/>
          <w:color w:val="FF0000"/>
          <w:sz w:val="20"/>
          <w:szCs w:val="20"/>
        </w:rPr>
      </w:pPr>
      <w:r>
        <w:rPr>
          <w:rFonts w:ascii="Times New Roman" w:hAnsi="Times New Roman" w:cs="Times New Roman"/>
          <w:sz w:val="20"/>
          <w:szCs w:val="20"/>
        </w:rPr>
        <w:t xml:space="preserve">TMP flap has reduced the use of obturators which were  in use after a partial maxillectomy, but were cumbersome, difficulty to clean, caused nasal regurgitation of oral feeds and   a challenge to use for mastication or phonation for patients. Although, an obturator may still be selected over, surgical reconstruction intentionally as the tumour bed needs to be left open for observation and under these circumstances the patient will have to comply </w:t>
      </w:r>
      <w:r>
        <w:rPr>
          <w:rFonts w:ascii="Times New Roman" w:hAnsi="Times New Roman" w:cs="Times New Roman"/>
          <w:sz w:val="20"/>
          <w:szCs w:val="20"/>
          <w:vertAlign w:val="superscript"/>
        </w:rPr>
        <w:t>7</w:t>
      </w:r>
      <w:r>
        <w:rPr>
          <w:rFonts w:ascii="Times New Roman" w:hAnsi="Times New Roman" w:cs="Times New Roman"/>
          <w:color w:val="FF0000"/>
          <w:sz w:val="20"/>
          <w:szCs w:val="20"/>
        </w:rPr>
        <w:t xml:space="preserve">. </w:t>
      </w:r>
    </w:p>
    <w:p>
      <w:pPr>
        <w:autoSpaceDE w:val="0"/>
        <w:autoSpaceDN w:val="0"/>
        <w:adjustRightInd w:val="0"/>
        <w:spacing w:line="360" w:lineRule="auto"/>
        <w:jc w:val="both"/>
        <w:rPr>
          <w:rFonts w:ascii="Times New Roman" w:hAnsi="Times New Roman" w:cs="Times New Roman"/>
          <w:color w:val="FF0000"/>
          <w:sz w:val="20"/>
          <w:szCs w:val="20"/>
        </w:rPr>
      </w:pPr>
      <w:r>
        <w:rPr>
          <w:rFonts w:ascii="Times New Roman" w:hAnsi="Times New Roman" w:cs="Times New Roman"/>
          <w:sz w:val="20"/>
          <w:szCs w:val="20"/>
        </w:rPr>
        <w:t xml:space="preserve">Nasal regurgitation was not a post-operative complication in our patients as the TMPF separated the oral and nasal cavities. The patients were referred to prosthodontic department for occlusal rehabilitation after healing. </w:t>
      </w:r>
    </w:p>
    <w:p>
      <w:pPr>
        <w:autoSpaceDE w:val="0"/>
        <w:autoSpaceDN w:val="0"/>
        <w:adjustRightInd w:val="0"/>
        <w:spacing w:line="360" w:lineRule="auto"/>
        <w:jc w:val="both"/>
        <w:rPr>
          <w:rFonts w:ascii="Times New Roman" w:hAnsi="Times New Roman" w:cs="Times New Roman"/>
          <w:color w:val="FF0000"/>
          <w:sz w:val="20"/>
          <w:szCs w:val="20"/>
        </w:rPr>
      </w:pPr>
      <w:r>
        <w:rPr>
          <w:rFonts w:ascii="Times New Roman" w:hAnsi="Times New Roman" w:cs="Times New Roman"/>
          <w:sz w:val="20"/>
          <w:szCs w:val="20"/>
        </w:rPr>
        <w:t xml:space="preserve">Some of the complications associated with harvesting this flap are Temporal hollowing, trismus, Alopecia and formation of a fistula, cheek fullness, velopharngeal incompetence and necrotic flap </w:t>
      </w:r>
      <w:r>
        <w:rPr>
          <w:rFonts w:ascii="Times New Roman" w:hAnsi="Times New Roman" w:cs="Times New Roman"/>
          <w:sz w:val="20"/>
          <w:szCs w:val="20"/>
          <w:vertAlign w:val="superscript"/>
        </w:rPr>
        <w:t>(9,11,12</w:t>
      </w:r>
      <w:r>
        <w:rPr>
          <w:rFonts w:ascii="Times New Roman" w:hAnsi="Times New Roman" w:cs="Times New Roman"/>
          <w:color w:val="FF0000"/>
          <w:sz w:val="20"/>
          <w:szCs w:val="20"/>
        </w:rPr>
        <w:t xml:space="preserve">. </w:t>
      </w:r>
      <w:r>
        <w:rPr>
          <w:rFonts w:ascii="Times New Roman" w:hAnsi="Times New Roman" w:cs="Times New Roman"/>
          <w:sz w:val="20"/>
          <w:szCs w:val="20"/>
        </w:rPr>
        <w:t>In our patient the hollowing was not of concern  as it was in the hair bearing area which camouflaged it well. As reported by other authors the harvest  site is associated with minimal morbidity and healed unremarkably</w:t>
      </w:r>
      <w:r>
        <w:rPr>
          <w:rFonts w:ascii="Times New Roman" w:hAnsi="Times New Roman" w:cs="Times New Roman"/>
          <w:sz w:val="20"/>
          <w:szCs w:val="20"/>
          <w:vertAlign w:val="superscript"/>
        </w:rPr>
        <w:t xml:space="preserve"> (8,13,14)</w:t>
      </w:r>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 One of the disadvantages of  this flap is the it does not allow the use of  osseointegrated dental  implants which would have been an asset especially in the anterior maxilla unlike the free flap </w:t>
      </w:r>
      <w:r>
        <w:rPr>
          <w:rFonts w:ascii="Times New Roman" w:hAnsi="Times New Roman" w:cs="Times New Roman"/>
          <w:sz w:val="20"/>
          <w:szCs w:val="20"/>
          <w:vertAlign w:val="superscript"/>
        </w:rPr>
        <w:t>15</w:t>
      </w:r>
      <w:r>
        <w:rPr>
          <w:rFonts w:ascii="Times New Roman" w:hAnsi="Times New Roman" w:cs="Times New Roman"/>
          <w:color w:val="FF0000"/>
          <w:sz w:val="20"/>
          <w:szCs w:val="20"/>
        </w:rPr>
        <w:t>.</w:t>
      </w:r>
    </w:p>
    <w:p>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The  choice of the flap is dependent on the extent of the tumour and the responsibility of the surgeon to restore the both the function and esthetics of the patient to the premorbid state</w:t>
      </w:r>
      <w:r>
        <w:rPr>
          <w:rFonts w:ascii="Times New Roman" w:hAnsi="Times New Roman" w:cs="Times New Roman"/>
          <w:color w:val="FF0000"/>
          <w:sz w:val="20"/>
          <w:szCs w:val="20"/>
        </w:rPr>
        <w:t>.</w:t>
      </w:r>
    </w:p>
    <w:p>
      <w:pPr>
        <w:spacing w:line="360" w:lineRule="auto"/>
        <w:jc w:val="both"/>
        <w:rPr>
          <w:rFonts w:ascii="Times New Roman" w:hAnsi="Times New Roman" w:cs="Times New Roman"/>
          <w:sz w:val="20"/>
          <w:szCs w:val="20"/>
        </w:rPr>
      </w:pPr>
    </w:p>
    <w:p>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Conclusion</w:t>
      </w:r>
    </w:p>
    <w:p>
      <w:pPr>
        <w:autoSpaceDE w:val="0"/>
        <w:autoSpaceDN w:val="0"/>
        <w:adjustRightInd w:val="0"/>
        <w:rPr>
          <w:rFonts w:ascii="Times New Roman" w:hAnsi="Times New Roman" w:cs="Times New Roman"/>
          <w:sz w:val="20"/>
          <w:szCs w:val="20"/>
        </w:rPr>
      </w:pPr>
    </w:p>
    <w:p>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TMPF continues to be a  versatile flap useful for reconstruction  after the ablative  head and neck procedures . This regional flap can be used to cover extraoral  and intraoral defects and a single surgeon can perform this procedure with ease.</w:t>
      </w:r>
    </w:p>
    <w:p>
      <w:pPr>
        <w:spacing w:line="360" w:lineRule="auto"/>
        <w:jc w:val="both"/>
        <w:rPr>
          <w:rFonts w:ascii="AdvTT31ea7dbe" w:hAnsi="AdvTT31ea7dbe" w:cs="AdvTT31ea7dbe"/>
          <w:sz w:val="17"/>
          <w:szCs w:val="17"/>
        </w:rPr>
      </w:pPr>
    </w:p>
    <w:p>
      <w:pPr>
        <w:spacing w:line="360" w:lineRule="auto"/>
        <w:jc w:val="both"/>
        <w:rPr>
          <w:rFonts w:ascii="Times New Roman" w:hAnsi="Times New Roman" w:cs="Times New Roman"/>
        </w:rPr>
      </w:pPr>
      <w:r>
        <w:rPr>
          <w:rFonts w:ascii="Times New Roman" w:hAnsi="Times New Roman" w:cs="Times New Roman"/>
        </w:rPr>
        <w:t>Declaration</w:t>
      </w:r>
    </w:p>
    <w:p>
      <w:pPr>
        <w:spacing w:line="360" w:lineRule="auto"/>
        <w:jc w:val="both"/>
        <w:rPr>
          <w:rFonts w:ascii="Times New Roman" w:hAnsi="Times New Roman" w:cs="Times New Roman"/>
        </w:rPr>
      </w:pPr>
      <w:r>
        <w:rPr>
          <w:rFonts w:ascii="Times New Roman" w:hAnsi="Times New Roman" w:cs="Times New Roman"/>
        </w:rPr>
        <w:t>Acknowledgment to all our patients</w:t>
      </w:r>
    </w:p>
    <w:p>
      <w:pPr>
        <w:spacing w:line="360" w:lineRule="auto"/>
        <w:jc w:val="both"/>
        <w:rPr>
          <w:rFonts w:ascii="Times New Roman" w:hAnsi="Times New Roman" w:cs="Times New Roman"/>
        </w:rPr>
      </w:pPr>
      <w:r>
        <w:rPr>
          <w:rFonts w:ascii="Times New Roman" w:hAnsi="Times New Roman" w:cs="Times New Roman"/>
        </w:rPr>
        <w:t>Financial Support : Not Applicable</w:t>
      </w:r>
    </w:p>
    <w:p>
      <w:pPr>
        <w:spacing w:line="360" w:lineRule="auto"/>
        <w:jc w:val="both"/>
        <w:rPr>
          <w:rFonts w:ascii="Times New Roman" w:hAnsi="Times New Roman" w:cs="Times New Roman"/>
        </w:rPr>
      </w:pPr>
      <w:r>
        <w:rPr>
          <w:rFonts w:ascii="Times New Roman" w:hAnsi="Times New Roman" w:cs="Times New Roman"/>
        </w:rPr>
        <w:t>Conflict of Interest :Not Applicable</w:t>
      </w:r>
    </w:p>
    <w:p>
      <w:pPr>
        <w:spacing w:line="360" w:lineRule="auto"/>
        <w:jc w:val="both"/>
        <w:rPr>
          <w:rFonts w:ascii="Times New Roman" w:hAnsi="Times New Roman" w:cs="Times New Roman"/>
        </w:rPr>
      </w:pPr>
      <w:r>
        <w:rPr>
          <w:rFonts w:ascii="Times New Roman" w:hAnsi="Times New Roman" w:cs="Times New Roman"/>
        </w:rPr>
        <w:t>Ethics and consent We had consent from the patients and Dean and our Chair of Department to proceed with the data collection</w:t>
      </w:r>
    </w:p>
    <w:p>
      <w:pPr>
        <w:spacing w:line="360" w:lineRule="auto"/>
        <w:jc w:val="both"/>
        <w:rPr>
          <w:rFonts w:ascii="Times New Roman" w:hAnsi="Times New Roman" w:cs="Times New Roman"/>
        </w:rPr>
      </w:pPr>
      <w:r>
        <w:rPr>
          <w:rFonts w:ascii="Times New Roman" w:hAnsi="Times New Roman" w:cs="Times New Roman"/>
        </w:rPr>
        <w:t>Authors Contribution: Prof Guthua and I have operated on these patients and have equal contribution in the manuscript preparation</w:t>
      </w:r>
    </w:p>
    <w:p>
      <w:pPr>
        <w:spacing w:line="360" w:lineRule="auto"/>
        <w:jc w:val="both"/>
        <w:rPr>
          <w:rFonts w:ascii="Times New Roman" w:hAnsi="Times New Roman" w:cs="Times New Roman"/>
        </w:rPr>
      </w:pPr>
    </w:p>
    <w:p>
      <w:pPr>
        <w:spacing w:line="360" w:lineRule="auto"/>
        <w:jc w:val="both"/>
        <w:rPr>
          <w:rFonts w:ascii="AdvTT31ea7dbe" w:hAnsi="AdvTT31ea7dbe" w:cs="AdvTT31ea7dbe"/>
          <w:sz w:val="17"/>
          <w:szCs w:val="17"/>
        </w:rPr>
      </w:pPr>
    </w:p>
    <w:p>
      <w:pPr>
        <w:spacing w:line="360" w:lineRule="auto"/>
        <w:jc w:val="both"/>
        <w:rPr>
          <w:rFonts w:ascii="AdvTT31ea7dbe" w:hAnsi="AdvTT31ea7dbe" w:cs="AdvTT31ea7dbe"/>
          <w:sz w:val="17"/>
          <w:szCs w:val="17"/>
        </w:rPr>
      </w:pPr>
    </w:p>
    <w:p>
      <w:pPr>
        <w:spacing w:line="360" w:lineRule="auto"/>
        <w:jc w:val="both"/>
        <w:rPr>
          <w:rFonts w:ascii="AdvTT31ea7dbe" w:hAnsi="AdvTT31ea7dbe" w:cs="AdvTT31ea7dbe"/>
          <w:sz w:val="17"/>
          <w:szCs w:val="17"/>
        </w:rPr>
      </w:pPr>
    </w:p>
    <w:p>
      <w:pPr>
        <w:spacing w:line="360" w:lineRule="auto"/>
        <w:jc w:val="both"/>
        <w:rPr>
          <w:rFonts w:ascii="Times New Roman" w:hAnsi="Times New Roman" w:cs="Times New Roman"/>
          <w:b/>
          <w:bCs/>
          <w:color w:val="0D0D0D" w:themeColor="text1" w:themeTint="F2"/>
          <w:sz w:val="20"/>
          <w:szCs w:val="20"/>
          <w14:textFill>
            <w14:solidFill>
              <w14:schemeClr w14:val="tx1">
                <w14:lumMod w14:val="95000"/>
                <w14:lumOff w14:val="5000"/>
              </w14:schemeClr>
            </w14:solidFill>
          </w14:textFill>
        </w:rPr>
      </w:pPr>
    </w:p>
    <w:p>
      <w:pPr>
        <w:spacing w:line="360" w:lineRule="auto"/>
        <w:jc w:val="both"/>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pPr>
    </w:p>
    <w:p>
      <w:pPr>
        <w:spacing w:line="360" w:lineRule="auto"/>
        <w:jc w:val="both"/>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pPr>
      <w:r>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t>REFERENCES</w:t>
      </w:r>
    </w:p>
    <w:p>
      <w:pPr>
        <w:spacing w:line="360" w:lineRule="auto"/>
        <w:jc w:val="both"/>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pPr>
    </w:p>
    <w:p>
      <w:pPr>
        <w:pStyle w:val="75"/>
        <w:numPr>
          <w:ilvl w:val="0"/>
          <w:numId w:val="1"/>
        </w:numPr>
        <w:autoSpaceDE w:val="0"/>
        <w:autoSpaceDN w:val="0"/>
        <w:adjustRightInd w:val="0"/>
        <w:spacing w:line="360" w:lineRule="auto"/>
        <w:jc w:val="both"/>
        <w:rPr>
          <w:rFonts w:ascii="Times New Roman" w:hAnsi="Times New Roman" w:cs="Times New Roman"/>
          <w:color w:val="0D0D0D" w:themeColor="text1" w:themeTint="F2"/>
          <w:sz w:val="20"/>
          <w:szCs w:val="20"/>
          <w:lang w:val="es-ES"/>
          <w14:textFill>
            <w14:solidFill>
              <w14:schemeClr w14:val="tx1">
                <w14:lumMod w14:val="95000"/>
                <w14:lumOff w14:val="5000"/>
              </w14:schemeClr>
            </w14:solidFill>
          </w14:textFill>
        </w:rPr>
      </w:pPr>
      <w:r>
        <w:rPr>
          <w:rFonts w:ascii="Times New Roman" w:hAnsi="Times New Roman" w:cs="Times New Roman"/>
          <w:sz w:val="20"/>
          <w:szCs w:val="20"/>
          <w:lang w:val="es-ES"/>
        </w:rPr>
        <w:t xml:space="preserve">Golovine. S. S. ProcL:di: de cloture plastique de I’orbite apres I’cxcnti.ration. </w:t>
      </w:r>
      <w:r>
        <w:rPr>
          <w:rFonts w:ascii="Times New Roman" w:hAnsi="Times New Roman" w:cs="Times New Roman"/>
          <w:i/>
          <w:iCs/>
          <w:sz w:val="20"/>
          <w:szCs w:val="20"/>
          <w:lang w:val="es-ES"/>
        </w:rPr>
        <w:t xml:space="preserve">Archiws d’Ophrhabno/o~ie 1898. </w:t>
      </w:r>
      <w:r>
        <w:rPr>
          <w:rFonts w:ascii="Times New Roman" w:hAnsi="Times New Roman" w:cs="Times New Roman"/>
          <w:sz w:val="20"/>
          <w:szCs w:val="20"/>
          <w:lang w:val="es-ES"/>
        </w:rPr>
        <w:t>18: 679.</w:t>
      </w:r>
    </w:p>
    <w:p>
      <w:pPr>
        <w:pStyle w:val="75"/>
        <w:numPr>
          <w:ilvl w:val="0"/>
          <w:numId w:val="1"/>
        </w:numPr>
        <w:autoSpaceDE w:val="0"/>
        <w:autoSpaceDN w:val="0"/>
        <w:adjustRightInd w:val="0"/>
        <w:spacing w:line="360" w:lineRule="auto"/>
        <w:rPr>
          <w:rFonts w:ascii="Arial" w:hAnsi="Arial" w:cs="Arial"/>
          <w:i/>
          <w:iCs/>
          <w:sz w:val="20"/>
          <w:szCs w:val="20"/>
        </w:rPr>
      </w:pPr>
      <w:r>
        <w:rPr>
          <w:rFonts w:ascii="Times New Roman" w:hAnsi="Times New Roman" w:cs="Times New Roman"/>
          <w:sz w:val="20"/>
          <w:szCs w:val="20"/>
        </w:rPr>
        <w:t xml:space="preserve">Campbell. II. II. Reconstructron of the maxilla. </w:t>
      </w:r>
      <w:r>
        <w:rPr>
          <w:rFonts w:ascii="Arial" w:hAnsi="Arial" w:cs="Arial"/>
          <w:i/>
          <w:iCs/>
          <w:sz w:val="20"/>
          <w:szCs w:val="20"/>
        </w:rPr>
        <w:t xml:space="preserve">Plosric und Reconctrucriw Surger}~ 194X. 3: 66. </w:t>
      </w:r>
    </w:p>
    <w:p>
      <w:pPr>
        <w:pStyle w:val="75"/>
        <w:numPr>
          <w:ilvl w:val="0"/>
          <w:numId w:val="1"/>
        </w:numPr>
        <w:autoSpaceDE w:val="0"/>
        <w:autoSpaceDN w:val="0"/>
        <w:adjustRightInd w:val="0"/>
        <w:spacing w:line="360" w:lineRule="auto"/>
        <w:jc w:val="both"/>
        <w:rPr>
          <w:rFonts w:ascii="Book Antiqua" w:hAnsi="Book Antiqua" w:cs="Book Antiqua"/>
          <w:i/>
          <w:iCs/>
          <w:sz w:val="20"/>
          <w:szCs w:val="20"/>
        </w:rPr>
      </w:pPr>
      <w:r>
        <w:rPr>
          <w:rFonts w:ascii="Times New Roman" w:hAnsi="Times New Roman" w:cs="Times New Roman"/>
          <w:sz w:val="20"/>
          <w:szCs w:val="20"/>
        </w:rPr>
        <w:t xml:space="preserve">Fox, J. W. and Edeerton, M. T.  The fan flau </w:t>
      </w:r>
      <w:r>
        <w:rPr>
          <w:rFonts w:ascii="Arial" w:hAnsi="Arial" w:cs="Arial"/>
          <w:sz w:val="20"/>
          <w:szCs w:val="20"/>
        </w:rPr>
        <w:t xml:space="preserve">: </w:t>
      </w:r>
      <w:r>
        <w:rPr>
          <w:rFonts w:ascii="Times New Roman" w:hAnsi="Times New Roman" w:cs="Times New Roman"/>
          <w:sz w:val="20"/>
          <w:szCs w:val="20"/>
        </w:rPr>
        <w:t xml:space="preserve">An adiunct to ear reconstruction. </w:t>
      </w:r>
      <w:r>
        <w:rPr>
          <w:rFonts w:ascii="Book Antiqua" w:hAnsi="Book Antiqua" w:cs="Book Antiqua"/>
          <w:i/>
          <w:iCs/>
          <w:sz w:val="20"/>
          <w:szCs w:val="20"/>
        </w:rPr>
        <w:t>Plastic’and Reconstruct&amp; Surgeri 1976; 5: 663.</w:t>
      </w:r>
    </w:p>
    <w:p>
      <w:pPr>
        <w:pStyle w:val="75"/>
        <w:numPr>
          <w:ilvl w:val="0"/>
          <w:numId w:val="1"/>
        </w:numPr>
        <w:autoSpaceDE w:val="0"/>
        <w:autoSpaceDN w:val="0"/>
        <w:adjustRightInd w:val="0"/>
        <w:spacing w:line="360" w:lineRule="auto"/>
        <w:rPr>
          <w:color w:val="0D0D0D" w:themeColor="text1" w:themeTint="F2"/>
          <w:sz w:val="20"/>
          <w:szCs w:val="20"/>
          <w14:textFill>
            <w14:solidFill>
              <w14:schemeClr w14:val="tx1">
                <w14:lumMod w14:val="95000"/>
                <w14:lumOff w14:val="5000"/>
              </w14:schemeClr>
            </w14:solidFill>
          </w14:textFill>
        </w:rPr>
      </w:pPr>
      <w:r>
        <w:rPr>
          <w:rFonts w:ascii="Times New Roman" w:hAnsi="Times New Roman" w:cs="Times New Roman"/>
          <w:sz w:val="20"/>
          <w:szCs w:val="20"/>
        </w:rPr>
        <w:t xml:space="preserve">Antonyshyn, O., Colcleugh, R. G., Hurst, L. N. and Anderson, C. (1986). The temporalis myo-osseous flap: an experimental study. </w:t>
      </w:r>
      <w:r>
        <w:rPr>
          <w:rFonts w:ascii="Book Antiqua" w:hAnsi="Book Antiqua" w:cs="Book Antiqua"/>
          <w:i/>
          <w:iCs/>
          <w:sz w:val="20"/>
          <w:szCs w:val="20"/>
        </w:rPr>
        <w:t>Plastic and Reconstructille Surgery, 77,406.</w:t>
      </w:r>
    </w:p>
    <w:p>
      <w:pPr>
        <w:pStyle w:val="75"/>
        <w:numPr>
          <w:ilvl w:val="0"/>
          <w:numId w:val="1"/>
        </w:num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sz w:val="20"/>
          <w:szCs w:val="20"/>
        </w:rPr>
        <w:t>J.E. Estellés Ferriol, M. Carrasco Llatas, M. J. Ferrer Ramírez, et.al (2005) Temporalis myofascial flap: Technique description and results in our patients. Acta Otorrinolaringol Esp 56: 257-260</w:t>
      </w:r>
    </w:p>
    <w:p>
      <w:pPr>
        <w:pStyle w:val="75"/>
        <w:numPr>
          <w:ilvl w:val="0"/>
          <w:numId w:val="1"/>
        </w:numPr>
        <w:autoSpaceDE w:val="0"/>
        <w:autoSpaceDN w:val="0"/>
        <w:adjustRightInd w:val="0"/>
        <w:spacing w:line="360" w:lineRule="auto"/>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pPr>
      <w:r>
        <w:rPr>
          <w:rFonts w:ascii="Times New Roman" w:hAnsi="Times New Roman" w:cs="Times New Roman"/>
          <w:sz w:val="20"/>
          <w:szCs w:val="20"/>
        </w:rPr>
        <w:t xml:space="preserve">Brown JS, Rogers SN, McNally DN, Boyle M. A modified classification for the maxillectomy defects. </w:t>
      </w:r>
      <w:r>
        <w:rPr>
          <w:rFonts w:ascii="Times New Roman" w:hAnsi="Times New Roman" w:cs="Times New Roman"/>
          <w:i/>
          <w:iCs/>
          <w:sz w:val="20"/>
          <w:szCs w:val="20"/>
        </w:rPr>
        <w:t>Head Neck 2000</w:t>
      </w:r>
      <w:r>
        <w:rPr>
          <w:rFonts w:ascii="Times New Roman" w:hAnsi="Times New Roman" w:cs="Times New Roman"/>
          <w:sz w:val="20"/>
          <w:szCs w:val="20"/>
        </w:rPr>
        <w:t>; 22:17-26</w:t>
      </w:r>
    </w:p>
    <w:p>
      <w:pPr>
        <w:pStyle w:val="75"/>
        <w:numPr>
          <w:ilvl w:val="0"/>
          <w:numId w:val="1"/>
        </w:numPr>
        <w:autoSpaceDE w:val="0"/>
        <w:autoSpaceDN w:val="0"/>
        <w:adjustRightInd w:val="0"/>
        <w:spacing w:line="360" w:lineRule="auto"/>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pPr>
      <w:r>
        <w:rPr>
          <w:rFonts w:ascii="Times New Roman" w:hAnsi="Times New Roman" w:cs="Times New Roman"/>
          <w:sz w:val="20"/>
          <w:szCs w:val="20"/>
        </w:rPr>
        <w:t>Brennan T,  Tham TM , Costantino P. The Temporalis Muscle Flap for Palate Reconstruction: Case Series and Review of the Literature</w:t>
      </w:r>
      <w:r>
        <w:rPr>
          <w:rFonts w:ascii="Times New Roman" w:hAnsi="Times New Roman" w:cs="Times New Roman"/>
          <w:i/>
          <w:iCs/>
          <w:sz w:val="20"/>
          <w:szCs w:val="20"/>
        </w:rPr>
        <w:t>. Int Arch Otorhinolaryngol 2017;</w:t>
      </w:r>
      <w:r>
        <w:rPr>
          <w:rFonts w:ascii="Times New Roman" w:hAnsi="Times New Roman" w:cs="Times New Roman"/>
          <w:sz w:val="20"/>
          <w:szCs w:val="20"/>
        </w:rPr>
        <w:t xml:space="preserve"> 21:259–264.</w:t>
      </w:r>
      <w:r>
        <w:t xml:space="preserve"> </w:t>
      </w:r>
      <w:r>
        <w:rPr>
          <w:rFonts w:ascii="Times New Roman" w:hAnsi="Times New Roman" w:cs="Times New Roman"/>
          <w:sz w:val="20"/>
          <w:szCs w:val="20"/>
        </w:rPr>
        <w:t>doi.org/10.1055/s-0037-1598653</w:t>
      </w:r>
    </w:p>
    <w:p>
      <w:pPr>
        <w:pStyle w:val="75"/>
        <w:numPr>
          <w:ilvl w:val="0"/>
          <w:numId w:val="1"/>
        </w:numPr>
        <w:autoSpaceDE w:val="0"/>
        <w:autoSpaceDN w:val="0"/>
        <w:adjustRightInd w:val="0"/>
        <w:spacing w:line="360" w:lineRule="auto"/>
        <w:jc w:val="both"/>
        <w:rPr>
          <w:rFonts w:ascii="Times New Roman" w:hAnsi="Times New Roman" w:cs="Times New Roman"/>
          <w:color w:val="5B616B"/>
          <w:sz w:val="20"/>
          <w:szCs w:val="20"/>
          <w:shd w:val="clear" w:color="auto" w:fill="FFFFFF"/>
        </w:rPr>
      </w:pPr>
      <w:r>
        <w:rPr>
          <w:rFonts w:ascii="Times New Roman" w:hAnsi="Times New Roman" w:eastAsia="MinionPro-Regular" w:cs="Times New Roman"/>
          <w:sz w:val="20"/>
          <w:szCs w:val="20"/>
        </w:rPr>
        <w:t xml:space="preserve">Wang Y, Cheng J, Yuan C, Li Z, Wang D, Ding X, </w:t>
      </w:r>
      <w:r>
        <w:rPr>
          <w:rFonts w:ascii="Times New Roman" w:hAnsi="Times New Roman" w:eastAsia="MinionPro-Regular" w:cs="Times New Roman"/>
          <w:i/>
          <w:iCs/>
          <w:sz w:val="20"/>
          <w:szCs w:val="20"/>
        </w:rPr>
        <w:t>et al</w:t>
      </w:r>
      <w:r>
        <w:rPr>
          <w:rFonts w:ascii="Times New Roman" w:hAnsi="Times New Roman" w:eastAsia="MinionPro-Regular" w:cs="Times New Roman"/>
          <w:sz w:val="20"/>
          <w:szCs w:val="20"/>
        </w:rPr>
        <w:t>. Reconstruction of palatomaxillary defects following cancer ablation with temporalis muscle flap in medically compromised patients: A 15‑year single institutional experience</w:t>
      </w:r>
      <w:r>
        <w:rPr>
          <w:rFonts w:ascii="Times New Roman" w:hAnsi="Times New Roman" w:eastAsia="MinionPro-Regular" w:cs="Times New Roman"/>
          <w:i/>
          <w:iCs/>
          <w:sz w:val="20"/>
          <w:szCs w:val="20"/>
        </w:rPr>
        <w:t>. Clin Oral Investig  2014</w:t>
      </w:r>
      <w:r>
        <w:rPr>
          <w:rFonts w:ascii="Times New Roman" w:hAnsi="Times New Roman" w:eastAsia="MinionPro-Regular" w:cs="Times New Roman"/>
          <w:sz w:val="20"/>
          <w:szCs w:val="20"/>
        </w:rPr>
        <w:t>;18:1663‑70.</w:t>
      </w:r>
      <w:r>
        <w:rPr>
          <w:rFonts w:ascii="Segoe UI" w:hAnsi="Segoe UI" w:cs="Segoe UI"/>
          <w:color w:val="5B616B"/>
          <w:shd w:val="clear" w:color="auto" w:fill="FFFFFF"/>
        </w:rPr>
        <w:t xml:space="preserve"> </w:t>
      </w:r>
      <w:r>
        <w:rPr>
          <w:rFonts w:ascii="Times New Roman" w:hAnsi="Times New Roman" w:cs="Times New Roman"/>
          <w:color w:val="5B616B"/>
          <w:sz w:val="20"/>
          <w:szCs w:val="20"/>
          <w:shd w:val="clear" w:color="auto" w:fill="FFFFFF"/>
        </w:rPr>
        <w:t>doi: 10.1007/s00784-013-1135-8.</w:t>
      </w:r>
    </w:p>
    <w:p>
      <w:pPr>
        <w:pStyle w:val="75"/>
        <w:numPr>
          <w:ilvl w:val="0"/>
          <w:numId w:val="1"/>
        </w:numPr>
        <w:autoSpaceDE w:val="0"/>
        <w:autoSpaceDN w:val="0"/>
        <w:adjustRightInd w:val="0"/>
        <w:spacing w:line="360" w:lineRule="auto"/>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pPr>
      <w:r>
        <w:rPr>
          <w:rFonts w:ascii="Times New Roman" w:hAnsi="Times New Roman" w:cs="Times New Roman"/>
          <w:sz w:val="20"/>
          <w:szCs w:val="20"/>
        </w:rPr>
        <w:t xml:space="preserve">Browne JD, Butler S, Rees C. Functional outcomes and suitability of the temporalis myofascial flap for palatal and maxillary reconstruction after oncologic resection. </w:t>
      </w:r>
      <w:r>
        <w:rPr>
          <w:rFonts w:ascii="Times New Roman" w:hAnsi="Times New Roman" w:cs="Times New Roman"/>
          <w:i/>
          <w:iCs/>
          <w:sz w:val="20"/>
          <w:szCs w:val="20"/>
        </w:rPr>
        <w:t>Laryngoscope 2011</w:t>
      </w:r>
      <w:r>
        <w:rPr>
          <w:rFonts w:ascii="Times New Roman" w:hAnsi="Times New Roman" w:cs="Times New Roman"/>
          <w:sz w:val="20"/>
          <w:szCs w:val="20"/>
        </w:rPr>
        <w:t>;121(06):1149–1159. doi.org/10.1002/lary.21747</w:t>
      </w:r>
    </w:p>
    <w:p>
      <w:pPr>
        <w:pStyle w:val="75"/>
        <w:numPr>
          <w:ilvl w:val="0"/>
          <w:numId w:val="1"/>
        </w:num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color w:val="303030"/>
          <w:sz w:val="20"/>
          <w:szCs w:val="20"/>
          <w:shd w:val="clear" w:color="auto" w:fill="FFFFFF"/>
        </w:rPr>
        <w:t>Yadav S, Dhupar A, Dhupar V, Akkara F, Mittal HC. Immediate reconstruction of palato-maxillary defect following tumor ablation using temporalis myofascial flap. </w:t>
      </w:r>
      <w:r>
        <w:rPr>
          <w:rFonts w:ascii="Times New Roman" w:hAnsi="Times New Roman" w:cs="Times New Roman"/>
          <w:i/>
          <w:iCs/>
          <w:color w:val="303030"/>
          <w:sz w:val="20"/>
          <w:szCs w:val="20"/>
          <w:shd w:val="clear" w:color="auto" w:fill="FFFFFF"/>
        </w:rPr>
        <w:t>Natl J Maxillofac Surg</w:t>
      </w:r>
      <w:r>
        <w:rPr>
          <w:rFonts w:ascii="Times New Roman" w:hAnsi="Times New Roman" w:cs="Times New Roman"/>
          <w:color w:val="303030"/>
          <w:sz w:val="20"/>
          <w:szCs w:val="20"/>
          <w:shd w:val="clear" w:color="auto" w:fill="FFFFFF"/>
        </w:rPr>
        <w:t>. 2014;5(2):232-235. doi:10.4103/0975-5950.154845.</w:t>
      </w:r>
    </w:p>
    <w:p>
      <w:pPr>
        <w:pStyle w:val="75"/>
        <w:numPr>
          <w:ilvl w:val="0"/>
          <w:numId w:val="1"/>
        </w:numPr>
        <w:autoSpaceDE w:val="0"/>
        <w:autoSpaceDN w:val="0"/>
        <w:adjustRightInd w:val="0"/>
        <w:spacing w:line="360" w:lineRule="auto"/>
        <w:rPr>
          <w:rFonts w:ascii="Times New Roman" w:hAnsi="Times New Roman" w:cs="Times New Roman"/>
        </w:rPr>
      </w:pPr>
      <w:r>
        <w:rPr>
          <w:rFonts w:ascii="Times New Roman" w:hAnsi="Times New Roman" w:eastAsia="MinionPro-Regular" w:cs="Times New Roman"/>
        </w:rPr>
        <w:t xml:space="preserve">Krzymański G, Dąbrowski J, Przybysz J, Domański W, Biernacka B, Piętka T. Temporal muscle flap in reconstruction of maxillo‑facial tissues. </w:t>
      </w:r>
      <w:r>
        <w:rPr>
          <w:rFonts w:ascii="Times New Roman" w:hAnsi="Times New Roman" w:eastAsia="MinionPro-Regular" w:cs="Times New Roman"/>
          <w:i/>
          <w:iCs/>
        </w:rPr>
        <w:t>Contemp Oncol (Pozn) 2012</w:t>
      </w:r>
      <w:r>
        <w:rPr>
          <w:rFonts w:ascii="Times New Roman" w:hAnsi="Times New Roman" w:eastAsia="MinionPro-Regular" w:cs="Times New Roman"/>
        </w:rPr>
        <w:t>;16:244‑9.</w:t>
      </w:r>
    </w:p>
    <w:p>
      <w:pPr>
        <w:pStyle w:val="75"/>
        <w:numPr>
          <w:ilvl w:val="0"/>
          <w:numId w:val="1"/>
        </w:numPr>
        <w:autoSpaceDE w:val="0"/>
        <w:autoSpaceDN w:val="0"/>
        <w:adjustRightInd w:val="0"/>
        <w:spacing w:line="360" w:lineRule="auto"/>
        <w:jc w:val="both"/>
        <w:rPr>
          <w:rFonts w:ascii="Times New Roman" w:hAnsi="Times New Roman" w:cs="Times New Roman"/>
          <w:color w:val="494949"/>
          <w:sz w:val="20"/>
          <w:szCs w:val="20"/>
          <w:shd w:val="clear" w:color="auto" w:fill="FFFFFF"/>
        </w:rPr>
      </w:pPr>
      <w:r>
        <w:rPr>
          <w:rFonts w:ascii="Times New Roman" w:hAnsi="Times New Roman" w:cs="Times New Roman"/>
          <w:sz w:val="20"/>
          <w:szCs w:val="20"/>
        </w:rPr>
        <w:t xml:space="preserve">Wong TY, Chung CH, Huang JS, Chen HA. The inverted temporalis muscle flap for intraoral reconstruction: its rationale and the resultsof its application. </w:t>
      </w:r>
      <w:r>
        <w:rPr>
          <w:rFonts w:ascii="Times New Roman" w:hAnsi="Times New Roman" w:cs="Times New Roman"/>
          <w:i/>
          <w:iCs/>
          <w:sz w:val="20"/>
          <w:szCs w:val="20"/>
        </w:rPr>
        <w:t>J Oral Maxillofac Surg 2004</w:t>
      </w:r>
      <w:r>
        <w:rPr>
          <w:rFonts w:ascii="Times New Roman" w:hAnsi="Times New Roman" w:cs="Times New Roman"/>
          <w:sz w:val="20"/>
          <w:szCs w:val="20"/>
        </w:rPr>
        <w:t>;62(06):667–675.</w:t>
      </w:r>
      <w:r>
        <w:rPr>
          <w:rFonts w:ascii="Times New Roman" w:hAnsi="Times New Roman" w:cs="Times New Roman"/>
          <w:color w:val="494949"/>
          <w:sz w:val="20"/>
          <w:szCs w:val="20"/>
          <w:shd w:val="clear" w:color="auto" w:fill="FFFFFF"/>
        </w:rPr>
        <w:t xml:space="preserve"> </w:t>
      </w:r>
    </w:p>
    <w:p>
      <w:pPr>
        <w:pStyle w:val="75"/>
        <w:numPr>
          <w:ilvl w:val="0"/>
          <w:numId w:val="1"/>
        </w:num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lang w:val="es-ES"/>
        </w:rPr>
        <w:t xml:space="preserve">Ferriol JE, Llatas MC, Ramı´rez MF, et al. </w:t>
      </w:r>
      <w:r>
        <w:rPr>
          <w:rFonts w:ascii="Times New Roman" w:hAnsi="Times New Roman" w:cs="Times New Roman"/>
          <w:sz w:val="20"/>
          <w:szCs w:val="20"/>
        </w:rPr>
        <w:t xml:space="preserve">Temporalis myofascial flap: technique description and results in our patients. </w:t>
      </w:r>
      <w:r>
        <w:rPr>
          <w:rFonts w:ascii="Times New Roman" w:hAnsi="Times New Roman" w:cs="Times New Roman"/>
          <w:i/>
          <w:iCs/>
          <w:sz w:val="20"/>
          <w:szCs w:val="20"/>
        </w:rPr>
        <w:t>Acta Otorrinolaringol Esp 2005</w:t>
      </w:r>
      <w:r>
        <w:rPr>
          <w:rFonts w:ascii="Times New Roman" w:hAnsi="Times New Roman" w:cs="Times New Roman"/>
          <w:sz w:val="20"/>
          <w:szCs w:val="20"/>
        </w:rPr>
        <w:t>;56:257–260.</w:t>
      </w:r>
    </w:p>
    <w:p>
      <w:pPr>
        <w:pStyle w:val="75"/>
        <w:numPr>
          <w:ilvl w:val="0"/>
          <w:numId w:val="1"/>
        </w:num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color w:val="212121"/>
          <w:shd w:val="clear" w:color="auto" w:fill="FFFFFF"/>
        </w:rPr>
        <w:t xml:space="preserve">Hassanein AG. </w:t>
      </w:r>
      <w:r>
        <w:rPr>
          <w:rFonts w:ascii="Times New Roman" w:hAnsi="Times New Roman" w:cs="Times New Roman"/>
          <w:color w:val="212121"/>
          <w:sz w:val="20"/>
          <w:szCs w:val="20"/>
          <w:shd w:val="clear" w:color="auto" w:fill="FFFFFF"/>
        </w:rPr>
        <w:t>Continuous Validity of Temporalis Muscle Flap in Reconstruction of Postablative PalatomaxillaryDefects. </w:t>
      </w:r>
      <w:r>
        <w:rPr>
          <w:rFonts w:ascii="Times New Roman" w:hAnsi="Times New Roman" w:cs="Times New Roman"/>
          <w:i/>
          <w:iCs/>
          <w:color w:val="212121"/>
          <w:sz w:val="20"/>
          <w:szCs w:val="20"/>
          <w:shd w:val="clear" w:color="auto" w:fill="FFFFFF"/>
          <w:lang w:val="es-ES"/>
        </w:rPr>
        <w:t>JCraniofacSurg</w:t>
      </w:r>
      <w:r>
        <w:rPr>
          <w:rFonts w:ascii="Times New Roman" w:hAnsi="Times New Roman" w:cs="Times New Roman"/>
          <w:color w:val="212121"/>
          <w:sz w:val="20"/>
          <w:szCs w:val="20"/>
          <w:shd w:val="clear" w:color="auto" w:fill="FFFFFF"/>
          <w:lang w:val="es-ES"/>
        </w:rPr>
        <w:t>.2017;28(2):e130-e137</w:t>
      </w:r>
    </w:p>
    <w:p>
      <w:pPr>
        <w:pStyle w:val="75"/>
        <w:numPr>
          <w:ilvl w:val="0"/>
          <w:numId w:val="1"/>
        </w:numPr>
        <w:autoSpaceDE w:val="0"/>
        <w:autoSpaceDN w:val="0"/>
        <w:adjustRightInd w:val="0"/>
        <w:spacing w:line="360" w:lineRule="auto"/>
        <w:jc w:val="both"/>
        <w:rPr>
          <w:rFonts w:ascii="Times New Roman" w:hAnsi="Times New Roman" w:cs="Times New Roman"/>
        </w:rPr>
      </w:pPr>
      <w:r>
        <w:rPr>
          <w:rFonts w:ascii="AdvTT31ea7dbe" w:hAnsi="AdvTT31ea7dbe" w:cs="AdvTT31ea7dbe"/>
          <w:sz w:val="20"/>
          <w:szCs w:val="20"/>
        </w:rPr>
        <w:t>Futran ND, Haller JR. Considerations for free-</w:t>
      </w:r>
      <w:r>
        <w:rPr>
          <w:rFonts w:ascii="AdvTT31ea7dbe+fb" w:hAnsi="AdvTT31ea7dbe+fb" w:cs="AdvTT31ea7dbe+fb"/>
          <w:sz w:val="20"/>
          <w:szCs w:val="20"/>
        </w:rPr>
        <w:t>fl</w:t>
      </w:r>
      <w:r>
        <w:rPr>
          <w:rFonts w:ascii="AdvTT31ea7dbe" w:hAnsi="AdvTT31ea7dbe" w:cs="AdvTT31ea7dbe"/>
          <w:sz w:val="20"/>
          <w:szCs w:val="20"/>
        </w:rPr>
        <w:t xml:space="preserve">ap reconstruction ofthe hard palate. </w:t>
      </w:r>
      <w:r>
        <w:rPr>
          <w:rFonts w:ascii="AdvTT31ea7dbe" w:hAnsi="AdvTT31ea7dbe" w:cs="AdvTT31ea7dbe"/>
          <w:i/>
          <w:iCs/>
          <w:sz w:val="20"/>
          <w:szCs w:val="20"/>
        </w:rPr>
        <w:t>Arch Otolaryngol Head Neck Surg 1999</w:t>
      </w:r>
      <w:r>
        <w:rPr>
          <w:rFonts w:ascii="AdvTT31ea7dbe" w:hAnsi="AdvTT31ea7dbe" w:cs="AdvTT31ea7dbe"/>
          <w:sz w:val="20"/>
          <w:szCs w:val="20"/>
        </w:rPr>
        <w:t>;125(06): 665</w:t>
      </w:r>
      <w:r>
        <w:rPr>
          <w:rFonts w:ascii="AdvTT31ea7dbe+20" w:hAnsi="AdvTT31ea7dbe+20" w:cs="AdvTT31ea7dbe+20"/>
          <w:sz w:val="20"/>
          <w:szCs w:val="20"/>
        </w:rPr>
        <w:t>–</w:t>
      </w:r>
      <w:r>
        <w:rPr>
          <w:rFonts w:ascii="AdvTT31ea7dbe" w:hAnsi="AdvTT31ea7dbe" w:cs="AdvTT31ea7dbe"/>
          <w:sz w:val="20"/>
          <w:szCs w:val="20"/>
        </w:rPr>
        <w:t>669</w:t>
      </w:r>
      <w:r>
        <w:rPr>
          <w:rFonts w:ascii="AdvTT31ea7dbe" w:hAnsi="AdvTT31ea7dbe" w:cs="AdvTT31ea7dbe"/>
        </w:rPr>
        <w:t>.</w:t>
      </w:r>
    </w:p>
    <w:p>
      <w:pPr>
        <w:pStyle w:val="75"/>
        <w:numPr>
          <w:ilvl w:val="0"/>
          <w:numId w:val="1"/>
        </w:numPr>
        <w:autoSpaceDE w:val="0"/>
        <w:autoSpaceDN w:val="0"/>
        <w:adjustRightInd w:val="0"/>
        <w:spacing w:line="360" w:lineRule="auto"/>
        <w:rPr>
          <w:rFonts w:ascii="Times New Roman" w:hAnsi="Times New Roman" w:cs="Times New Roman"/>
          <w:color w:val="0D0D0D" w:themeColor="text1" w:themeTint="F2"/>
          <w:sz w:val="20"/>
          <w:szCs w:val="20"/>
          <w14:textFill>
            <w14:solidFill>
              <w14:schemeClr w14:val="tx1">
                <w14:lumMod w14:val="95000"/>
                <w14:lumOff w14:val="5000"/>
              </w14:schemeClr>
            </w14:solidFill>
          </w14:textFill>
        </w:rPr>
      </w:pPr>
      <w:r>
        <w:rPr>
          <w:rFonts w:ascii="Times New Roman" w:hAnsi="Times New Roman" w:cs="Times New Roman"/>
          <w:color w:val="222222"/>
          <w:sz w:val="20"/>
          <w:szCs w:val="20"/>
          <w:shd w:val="clear" w:color="auto" w:fill="FFFFFF"/>
        </w:rPr>
        <w:t>Falconer DT, Phillips JG. Reconstruction of the defect at the donor site of the temporalis muscle flap. British Journal of Oral and Maxillofacial Surgery. 1991;1;29(1):16-8.</w:t>
      </w:r>
    </w:p>
    <w:p>
      <w:pPr>
        <w:pStyle w:val="75"/>
        <w:autoSpaceDE w:val="0"/>
        <w:autoSpaceDN w:val="0"/>
        <w:adjustRightInd w:val="0"/>
        <w:spacing w:line="360" w:lineRule="auto"/>
        <w:jc w:val="both"/>
        <w:rPr>
          <w:rFonts w:ascii="Times New Roman" w:hAnsi="Times New Roman" w:cs="Times New Roman"/>
          <w:sz w:val="20"/>
          <w:szCs w:val="20"/>
        </w:rPr>
      </w:pPr>
    </w:p>
    <w:p>
      <w:pPr>
        <w:pStyle w:val="75"/>
        <w:autoSpaceDE w:val="0"/>
        <w:autoSpaceDN w:val="0"/>
        <w:adjustRightInd w:val="0"/>
        <w:spacing w:line="360" w:lineRule="auto"/>
        <w:jc w:val="both"/>
        <w:rPr>
          <w:rFonts w:ascii="Times New Roman" w:hAnsi="Times New Roman" w:cs="Times New Roman"/>
          <w:sz w:val="20"/>
          <w:szCs w:val="20"/>
        </w:rPr>
      </w:pP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FIGURES TO LEGENDS</w:t>
      </w:r>
    </w:p>
    <w:p>
      <w:pPr>
        <w:jc w:val="center"/>
      </w:pPr>
      <w:r>
        <mc:AlternateContent>
          <mc:Choice Requires="wps">
            <w:drawing>
              <wp:anchor distT="0" distB="0" distL="114300" distR="114300" simplePos="0" relativeHeight="251661312" behindDoc="0" locked="0" layoutInCell="1" allowOverlap="1">
                <wp:simplePos x="0" y="0"/>
                <wp:positionH relativeFrom="column">
                  <wp:posOffset>1838960</wp:posOffset>
                </wp:positionH>
                <wp:positionV relativeFrom="paragraph">
                  <wp:posOffset>924560</wp:posOffset>
                </wp:positionV>
                <wp:extent cx="142240" cy="81280"/>
                <wp:effectExtent l="6350" t="6350" r="22860" b="7620"/>
                <wp:wrapNone/>
                <wp:docPr id="4" name="Oval 4"/>
                <wp:cNvGraphicFramePr/>
                <a:graphic xmlns:a="http://schemas.openxmlformats.org/drawingml/2006/main">
                  <a:graphicData uri="http://schemas.microsoft.com/office/word/2010/wordprocessingShape">
                    <wps:wsp>
                      <wps:cNvSpPr/>
                      <wps:spPr>
                        <a:xfrm>
                          <a:off x="0" y="0"/>
                          <a:ext cx="142240" cy="812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4" o:spid="_x0000_s1026" o:spt="3" type="#_x0000_t3" style="position:absolute;left:0pt;margin-left:144.8pt;margin-top:72.8pt;height:6.4pt;width:11.2pt;z-index:251661312;v-text-anchor:middle;mso-width-relative:page;mso-height-relative:page;" fillcolor="#000000 [3200]" filled="t" stroked="t" coordsize="21600,21600" o:gfxdata="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67CNFtoA&#10;AAALAQAADwAAAAAAAAABACAAAAAiAAAAZHJzL2Rvd25yZXYueG1sUEsBAhQAFAAAAAgAh07iQOnP&#10;lVlWAgAA0QQAAA4AAAAAAAAAAQAgAAAAKQEAAGRycy9lMm9Eb2MueG1sUEsFBgAAAAAGAAYAWQEA&#10;APEFAAAAAA==&#10;">
                <v:fill on="t" focussize="0,0"/>
                <v:stroke weight="1pt" color="#000000 [32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3302000</wp:posOffset>
                </wp:positionH>
                <wp:positionV relativeFrom="paragraph">
                  <wp:posOffset>913765</wp:posOffset>
                </wp:positionV>
                <wp:extent cx="133985" cy="103505"/>
                <wp:effectExtent l="6350" t="6350" r="12065" b="23495"/>
                <wp:wrapNone/>
                <wp:docPr id="2" name="Oval 2"/>
                <wp:cNvGraphicFramePr/>
                <a:graphic xmlns:a="http://schemas.openxmlformats.org/drawingml/2006/main">
                  <a:graphicData uri="http://schemas.microsoft.com/office/word/2010/wordprocessingShape">
                    <wps:wsp>
                      <wps:cNvSpPr/>
                      <wps:spPr>
                        <a:xfrm>
                          <a:off x="0" y="0"/>
                          <a:ext cx="133985" cy="10350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r>
                              <w:t>Fi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 o:spid="_x0000_s1026" o:spt="3" type="#_x0000_t3" style="position:absolute;left:0pt;margin-left:260pt;margin-top:71.95pt;height:8.15pt;width:10.55pt;z-index:251660288;v-text-anchor:middle;mso-width-relative:page;mso-height-relative:page;" fillcolor="#000000 [3200]" filled="t" stroked="t" coordsize="21600,21600" o:gfxdata="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275J&#10;2QAAAAsBAAAPAAAAAAAAAAEAIAAAACIAAABkcnMvZG93bnJldi54bWxQSwECFAAUAAAACACHTuJA&#10;fJwD+VkCAADSBAAADgAAAAAAAAABACAAAAAoAQAAZHJzL2Uyb0RvYy54bWxQSwUGAAAAAAYABgBZ&#10;AQAA8wUAAAAA&#10;">
                <v:fill on="t" focussize="0,0"/>
                <v:stroke weight="1pt" color="#000000 [3200]" miterlimit="8" joinstyle="miter"/>
                <v:imagedata o:title=""/>
                <o:lock v:ext="edit" aspectratio="f"/>
                <v:textbox>
                  <w:txbxContent>
                    <w:p>
                      <w:pPr>
                        <w:jc w:val="center"/>
                      </w:pPr>
                      <w:r>
                        <w:t>Fi</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2138045</wp:posOffset>
                </wp:positionH>
                <wp:positionV relativeFrom="paragraph">
                  <wp:posOffset>934085</wp:posOffset>
                </wp:positionV>
                <wp:extent cx="45720" cy="55245"/>
                <wp:effectExtent l="6350" t="6350" r="24130" b="14605"/>
                <wp:wrapNone/>
                <wp:docPr id="1" name="Oval 1"/>
                <wp:cNvGraphicFramePr/>
                <a:graphic xmlns:a="http://schemas.openxmlformats.org/drawingml/2006/main">
                  <a:graphicData uri="http://schemas.microsoft.com/office/word/2010/wordprocessingShape">
                    <wps:wsp>
                      <wps:cNvSpPr/>
                      <wps:spPr>
                        <a:xfrm>
                          <a:off x="0" y="0"/>
                          <a:ext cx="45719" cy="54964"/>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68.35pt;margin-top:73.55pt;height:4.35pt;width:3.6pt;z-index:251659264;v-text-anchor:middle;mso-width-relative:page;mso-height-relative:page;" fillcolor="#000000 [3200]" filled="t" stroked="t" coordsize="21600,21600" o:gfxdata="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XETCu2gAA&#10;AAsBAAAPAAAAAAAAAAEAIAAAACIAAABkcnMvZG93bnJldi54bWxQSwECFAAUAAAACACHTuJA3+qb&#10;qVUCAADQBAAADgAAAAAAAAABACAAAAApAQAAZHJzL2Uyb0RvYy54bWxQSwUGAAAAAAYABgBZAQAA&#10;8AUAAAAA&#10;">
                <v:fill on="t" focussize="0,0"/>
                <v:stroke weight="1pt" color="#000000 [3200]" miterlimit="8" joinstyle="miter"/>
                <v:imagedata o:title=""/>
                <o:lock v:ext="edit" aspectratio="f"/>
                <v:textbox>
                  <w:txbxContent>
                    <w:p>
                      <w:pPr>
                        <w:jc w:val="center"/>
                      </w:pPr>
                    </w:p>
                  </w:txbxContent>
                </v:textbox>
              </v:shape>
            </w:pict>
          </mc:Fallback>
        </mc:AlternateContent>
      </w:r>
      <w:r>
        <w:drawing>
          <wp:inline distT="0" distB="0" distL="0" distR="0">
            <wp:extent cx="2216785" cy="2464435"/>
            <wp:effectExtent l="0" t="0" r="12065" b="12065"/>
            <wp:docPr id="7168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3" name="Content Placeholder 6"/>
                    <pic:cNvPicPr>
                      <a:picLocks noGrp="1" noChangeAspect="1" noChangeArrowheads="1"/>
                    </pic:cNvPicPr>
                  </pic:nvPicPr>
                  <pic:blipFill>
                    <a:blip r:embed="rId4" cstate="print"/>
                    <a:srcRect l="24998" t="4102" r="22495"/>
                    <a:stretch>
                      <a:fillRect/>
                    </a:stretch>
                  </pic:blipFill>
                  <pic:spPr>
                    <a:xfrm>
                      <a:off x="0" y="0"/>
                      <a:ext cx="2405044" cy="2673497"/>
                    </a:xfrm>
                    <a:prstGeom prst="rect">
                      <a:avLst/>
                    </a:prstGeom>
                  </pic:spPr>
                </pic:pic>
              </a:graphicData>
            </a:graphic>
          </wp:inline>
        </w:drawing>
      </w:r>
      <w:r>
        <w:drawing>
          <wp:inline distT="0" distB="0" distL="0" distR="0">
            <wp:extent cx="2838450" cy="2468880"/>
            <wp:effectExtent l="0" t="0" r="0" b="7620"/>
            <wp:docPr id="71688" name="Content Placehold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8" name="Content Placeholder 12"/>
                    <pic:cNvPicPr>
                      <a:picLocks noGrp="1" noChangeAspect="1" noChangeArrowheads="1"/>
                    </pic:cNvPicPr>
                  </pic:nvPicPr>
                  <pic:blipFill>
                    <a:blip r:embed="rId5" cstate="print"/>
                    <a:srcRect/>
                    <a:stretch>
                      <a:fillRect/>
                    </a:stretch>
                  </pic:blipFill>
                  <pic:spPr>
                    <a:xfrm>
                      <a:off x="0" y="0"/>
                      <a:ext cx="2838864" cy="2468880"/>
                    </a:xfrm>
                    <a:prstGeom prst="rect">
                      <a:avLst/>
                    </a:prstGeom>
                  </pic:spPr>
                </pic:pic>
              </a:graphicData>
            </a:graphic>
          </wp:inline>
        </w:drawing>
      </w:r>
    </w:p>
    <w:p>
      <w:r>
        <w:t xml:space="preserve">              A                                                                         B</w:t>
      </w:r>
    </w:p>
    <w:p>
      <w:pPr>
        <w:jc w:val="center"/>
        <w:rPr>
          <w:rFonts w:ascii="Times New Roman" w:hAnsi="Times New Roman" w:cs="Times New Roman" w:eastAsiaTheme="minorEastAsia"/>
          <w:b/>
          <w:bCs/>
          <w:color w:val="000000" w:themeColor="dark1"/>
          <w:kern w:val="24"/>
          <w:sz w:val="20"/>
          <w:szCs w:val="20"/>
          <w14:textFill>
            <w14:solidFill>
              <w14:schemeClr w14:val="dk1"/>
            </w14:solidFill>
          </w14:textFill>
        </w:rPr>
      </w:pPr>
      <w:r>
        <w:drawing>
          <wp:inline distT="0" distB="0" distL="0" distR="0">
            <wp:extent cx="1863725" cy="2270125"/>
            <wp:effectExtent l="0" t="0" r="3175" b="15875"/>
            <wp:docPr id="8295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2952" name="Content Placeholder 3"/>
                    <pic:cNvPicPr>
                      <a:picLocks noGrp="1" noChangeAspect="1" noChangeArrowheads="1"/>
                    </pic:cNvPicPr>
                  </pic:nvPicPr>
                  <pic:blipFill>
                    <a:blip r:embed="rId6" cstate="print"/>
                    <a:srcRect l="24239" t="3777" r="13235"/>
                    <a:stretch>
                      <a:fillRect/>
                    </a:stretch>
                  </pic:blipFill>
                  <pic:spPr>
                    <a:xfrm>
                      <a:off x="0" y="0"/>
                      <a:ext cx="1873862" cy="2282874"/>
                    </a:xfrm>
                    <a:prstGeom prst="rect">
                      <a:avLst/>
                    </a:prstGeom>
                  </pic:spPr>
                </pic:pic>
              </a:graphicData>
            </a:graphic>
          </wp:inline>
        </w:drawing>
      </w:r>
      <w:r>
        <w:drawing>
          <wp:inline distT="0" distB="0" distL="0" distR="0">
            <wp:extent cx="2397125" cy="2260600"/>
            <wp:effectExtent l="0" t="0" r="3175" b="6350"/>
            <wp:docPr id="15"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3"/>
                    <pic:cNvPicPr>
                      <a:picLocks noChangeAspect="1" noChangeArrowheads="1"/>
                    </pic:cNvPicPr>
                  </pic:nvPicPr>
                  <pic:blipFill>
                    <a:blip r:embed="rId7" cstate="print"/>
                    <a:srcRect l="6793" t="18791" b="19209"/>
                    <a:stretch>
                      <a:fillRect/>
                    </a:stretch>
                  </pic:blipFill>
                  <pic:spPr>
                    <a:xfrm>
                      <a:off x="0" y="0"/>
                      <a:ext cx="2474389" cy="2333396"/>
                    </a:xfrm>
                    <a:prstGeom prst="rect">
                      <a:avLst/>
                    </a:prstGeom>
                  </pic:spPr>
                </pic:pic>
              </a:graphicData>
            </a:graphic>
          </wp:inline>
        </w:drawing>
      </w:r>
    </w:p>
    <w:p>
      <w:pPr>
        <w:rPr>
          <w:rFonts w:ascii="Times New Roman" w:hAnsi="Times New Roman" w:cs="Times New Roman" w:eastAsiaTheme="minorEastAsia"/>
          <w:b/>
          <w:bCs/>
          <w:color w:val="000000" w:themeColor="dark1"/>
          <w:kern w:val="24"/>
          <w:sz w:val="20"/>
          <w:szCs w:val="20"/>
          <w14:textFill>
            <w14:solidFill>
              <w14:schemeClr w14:val="dk1"/>
            </w14:solidFill>
          </w14:textFill>
        </w:rPr>
      </w:pPr>
      <w:r>
        <w:rPr>
          <w:rFonts w:ascii="Times New Roman" w:hAnsi="Times New Roman" w:cs="Times New Roman" w:eastAsiaTheme="minorEastAsia"/>
          <w:b/>
          <w:bCs/>
          <w:color w:val="000000" w:themeColor="dark1"/>
          <w:kern w:val="24"/>
          <w:sz w:val="20"/>
          <w:szCs w:val="20"/>
          <w14:textFill>
            <w14:solidFill>
              <w14:schemeClr w14:val="dk1"/>
            </w14:solidFill>
          </w14:textFill>
        </w:rPr>
        <w:t xml:space="preserve">            C                                                                             D</w:t>
      </w:r>
    </w:p>
    <w:p>
      <w:pPr>
        <w:jc w:val="center"/>
        <w:rPr>
          <w:rFonts w:ascii="Times New Roman" w:hAnsi="Times New Roman" w:cs="Times New Roman" w:eastAsiaTheme="minorEastAsia"/>
          <w:b/>
          <w:bCs/>
          <w:color w:val="000000" w:themeColor="dark1"/>
          <w:kern w:val="24"/>
          <w:sz w:val="20"/>
          <w:szCs w:val="20"/>
          <w14:textFill>
            <w14:solidFill>
              <w14:schemeClr w14:val="dk1"/>
            </w14:solidFill>
          </w14:textFill>
        </w:rPr>
      </w:pPr>
      <w:r>
        <w:drawing>
          <wp:inline distT="0" distB="0" distL="0" distR="0">
            <wp:extent cx="2189480" cy="2432050"/>
            <wp:effectExtent l="0" t="0" r="1270" b="6350"/>
            <wp:docPr id="86027"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7" name="Content Placeholder 3"/>
                    <pic:cNvPicPr>
                      <a:picLocks noChangeAspect="1"/>
                    </pic:cNvPicPr>
                  </pic:nvPicPr>
                  <pic:blipFill>
                    <a:blip r:embed="rId8" cstate="print"/>
                    <a:srcRect r="16176"/>
                    <a:stretch>
                      <a:fillRect/>
                    </a:stretch>
                  </pic:blipFill>
                  <pic:spPr>
                    <a:xfrm>
                      <a:off x="0" y="0"/>
                      <a:ext cx="2231533" cy="2478544"/>
                    </a:xfrm>
                    <a:prstGeom prst="rect">
                      <a:avLst/>
                    </a:prstGeom>
                    <a:noFill/>
                    <a:ln w="9525">
                      <a:noFill/>
                      <a:miter lim="800000"/>
                      <a:headEnd/>
                      <a:tailEnd/>
                    </a:ln>
                  </pic:spPr>
                </pic:pic>
              </a:graphicData>
            </a:graphic>
          </wp:inline>
        </w:drawing>
      </w:r>
      <w:r>
        <w:drawing>
          <wp:inline distT="0" distB="0" distL="0" distR="0">
            <wp:extent cx="2320290" cy="2377440"/>
            <wp:effectExtent l="0" t="0" r="3810" b="3810"/>
            <wp:docPr id="86026"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6026" name="Content Placeholder 7"/>
                    <pic:cNvPicPr>
                      <a:picLocks noGrp="1" noChangeAspect="1" noChangeArrowheads="1"/>
                    </pic:cNvPicPr>
                  </pic:nvPicPr>
                  <pic:blipFill>
                    <a:blip r:embed="rId9" cstate="print"/>
                    <a:srcRect l="22060" r="13017"/>
                    <a:stretch>
                      <a:fillRect/>
                    </a:stretch>
                  </pic:blipFill>
                  <pic:spPr>
                    <a:xfrm>
                      <a:off x="0" y="0"/>
                      <a:ext cx="2441511" cy="2501528"/>
                    </a:xfrm>
                    <a:prstGeom prst="rect">
                      <a:avLst/>
                    </a:prstGeom>
                  </pic:spPr>
                </pic:pic>
              </a:graphicData>
            </a:graphic>
          </wp:inline>
        </w:drawing>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eastAsiaTheme="minorEastAsia"/>
          <w:b/>
          <w:bCs/>
          <w:color w:val="000000" w:themeColor="dark1"/>
          <w:kern w:val="24"/>
          <w:sz w:val="20"/>
          <w:szCs w:val="20"/>
          <w14:textFill>
            <w14:solidFill>
              <w14:schemeClr w14:val="dk1"/>
            </w14:solidFill>
          </w14:textFill>
        </w:rPr>
        <w:t xml:space="preserve">D                                                                                             E                  </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FIGURE I</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A Extraoral photo showing Right orbital tumour causing proptosis and eye closure</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B CT Scan highlighting invasion of the   the eye and  surrounding musculature by the lesion causing reduction of the orbital volume leading to eyeball protusion</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C  Orbital Exenteration done  of the right eye showing the bony socket</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D  A preauricular Incision with a temporal extension shows exposure of the Temporalis muscle</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E Obliteration of the space with flap secured on to frontal bone with sutures</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F  Flap insitu after skin closure </w:t>
      </w:r>
    </w:p>
    <w:p>
      <w:pPr>
        <w:pStyle w:val="75"/>
        <w:autoSpaceDE w:val="0"/>
        <w:autoSpaceDN w:val="0"/>
        <w:adjustRightInd w:val="0"/>
        <w:spacing w:line="360" w:lineRule="auto"/>
        <w:jc w:val="both"/>
        <w:rPr>
          <w:rFonts w:ascii="Times New Roman" w:hAnsi="Times New Roman" w:cs="Times New Roman"/>
          <w:sz w:val="20"/>
          <w:szCs w:val="20"/>
        </w:rPr>
      </w:pPr>
    </w:p>
    <w:p>
      <w:pPr>
        <w:rPr>
          <w:rFonts w:ascii="Times New Roman" w:hAnsi="Times New Roman" w:cs="Times New Roman" w:eastAsiaTheme="minorEastAsia"/>
          <w:b/>
          <w:bCs/>
          <w:color w:val="000000" w:themeColor="dark1"/>
          <w:kern w:val="24"/>
          <w:sz w:val="20"/>
          <w:szCs w:val="20"/>
          <w14:textFill>
            <w14:solidFill>
              <w14:schemeClr w14:val="dk1"/>
            </w14:solidFill>
          </w14:textFill>
        </w:rPr>
      </w:pPr>
      <w:r>
        <w:drawing>
          <wp:inline distT="0" distB="0" distL="0" distR="0">
            <wp:extent cx="2967355" cy="1931035"/>
            <wp:effectExtent l="0" t="0" r="4445" b="12065"/>
            <wp:docPr id="1026" name="Picture 2" descr="E:\SURGERY 2014\TEMPORALIS FLAP 2014\20140724_11555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E:\SURGERY 2014\TEMPORALIS FLAP 2014\20140724_115551.jpg"/>
                    <pic:cNvPicPr>
                      <a:picLocks noGrp="1" noChangeAspect="1" noChangeArrowheads="1"/>
                    </pic:cNvPicPr>
                  </pic:nvPicPr>
                  <pic:blipFill>
                    <a:blip r:embed="rId10" cstate="print"/>
                    <a:srcRect l="10954" r="8811"/>
                    <a:stretch>
                      <a:fillRect/>
                    </a:stretch>
                  </pic:blipFill>
                  <pic:spPr>
                    <a:xfrm>
                      <a:off x="0" y="0"/>
                      <a:ext cx="3041623" cy="1979278"/>
                    </a:xfrm>
                    <a:prstGeom prst="rect">
                      <a:avLst/>
                    </a:prstGeom>
                    <a:noFill/>
                  </pic:spPr>
                </pic:pic>
              </a:graphicData>
            </a:graphic>
          </wp:inline>
        </w:drawing>
      </w:r>
      <w:r>
        <w:drawing>
          <wp:inline distT="0" distB="0" distL="0" distR="0">
            <wp:extent cx="2595880" cy="1965960"/>
            <wp:effectExtent l="0" t="0" r="13970" b="15240"/>
            <wp:docPr id="1027" name="Picture 3" descr="E:\SURGERY 2014\TEMPORALIS FLAP 2014\20140724_12401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descr="E:\SURGERY 2014\TEMPORALIS FLAP 2014\20140724_124017.jpg"/>
                    <pic:cNvPicPr>
                      <a:picLocks noGrp="1" noChangeAspect="1" noChangeArrowheads="1"/>
                    </pic:cNvPicPr>
                  </pic:nvPicPr>
                  <pic:blipFill>
                    <a:blip r:embed="rId11" cstate="print"/>
                    <a:srcRect l="17726"/>
                    <a:stretch>
                      <a:fillRect/>
                    </a:stretch>
                  </pic:blipFill>
                  <pic:spPr>
                    <a:xfrm>
                      <a:off x="0" y="0"/>
                      <a:ext cx="2635664" cy="1995976"/>
                    </a:xfrm>
                    <a:prstGeom prst="rect">
                      <a:avLst/>
                    </a:prstGeom>
                    <a:noFill/>
                  </pic:spPr>
                </pic:pic>
              </a:graphicData>
            </a:graphic>
          </wp:inline>
        </w:drawing>
      </w:r>
    </w:p>
    <w:p>
      <w:pPr>
        <w:rPr>
          <w:rFonts w:ascii="Times New Roman" w:hAnsi="Times New Roman" w:cs="Times New Roman" w:eastAsiaTheme="minorEastAsia"/>
          <w:b/>
          <w:bCs/>
          <w:color w:val="000000" w:themeColor="dark1"/>
          <w:kern w:val="24"/>
          <w:sz w:val="20"/>
          <w:szCs w:val="20"/>
          <w14:textFill>
            <w14:solidFill>
              <w14:schemeClr w14:val="dk1"/>
            </w14:solidFill>
          </w14:textFill>
        </w:rPr>
      </w:pPr>
      <w:r>
        <w:rPr>
          <w:rFonts w:ascii="Times New Roman" w:hAnsi="Times New Roman" w:cs="Times New Roman" w:eastAsiaTheme="minorEastAsia"/>
          <w:b/>
          <w:bCs/>
          <w:color w:val="000000" w:themeColor="dark1"/>
          <w:kern w:val="24"/>
          <w:sz w:val="20"/>
          <w:szCs w:val="20"/>
          <w14:textFill>
            <w14:solidFill>
              <w14:schemeClr w14:val="dk1"/>
            </w14:solidFill>
          </w14:textFill>
        </w:rPr>
        <w:t>A                                                                                                B</w:t>
      </w:r>
    </w:p>
    <w:p>
      <w:pPr>
        <w:rPr>
          <w:rFonts w:ascii="Times New Roman" w:hAnsi="Times New Roman" w:cs="Times New Roman"/>
          <w:sz w:val="20"/>
          <w:szCs w:val="20"/>
        </w:rPr>
      </w:pPr>
      <w:r>
        <w:drawing>
          <wp:inline distT="0" distB="0" distL="0" distR="0">
            <wp:extent cx="3121660" cy="2449830"/>
            <wp:effectExtent l="0" t="0" r="2540" b="7620"/>
            <wp:docPr id="1028" name="Picture 4" descr="E:\SURGERY 2014\TEMPORALIS FLAP 2014\20140724_14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SURGERY 2014\TEMPORALIS FLAP 2014\20140724_140732.jpg"/>
                    <pic:cNvPicPr>
                      <a:picLocks noChangeAspect="1" noChangeArrowheads="1"/>
                    </pic:cNvPicPr>
                  </pic:nvPicPr>
                  <pic:blipFill>
                    <a:blip r:embed="rId12" cstate="print"/>
                    <a:srcRect l="27941"/>
                    <a:stretch>
                      <a:fillRect/>
                    </a:stretch>
                  </pic:blipFill>
                  <pic:spPr>
                    <a:xfrm>
                      <a:off x="0" y="0"/>
                      <a:ext cx="3146216" cy="2468833"/>
                    </a:xfrm>
                    <a:prstGeom prst="rect">
                      <a:avLst/>
                    </a:prstGeom>
                    <a:noFill/>
                  </pic:spPr>
                </pic:pic>
              </a:graphicData>
            </a:graphic>
          </wp:inline>
        </w:drawing>
      </w:r>
      <w:r>
        <w:drawing>
          <wp:inline distT="0" distB="0" distL="0" distR="0">
            <wp:extent cx="2398395" cy="2630170"/>
            <wp:effectExtent l="0" t="0" r="17780" b="1905"/>
            <wp:docPr id="2051" name="Picture 3" descr="E:\SURGERY 2014\TEMPORALIS FLAP 2014\20140724_14204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descr="E:\SURGERY 2014\TEMPORALIS FLAP 2014\20140724_142044.jpg"/>
                    <pic:cNvPicPr>
                      <a:picLocks noGrp="1" noChangeAspect="1" noChangeArrowheads="1"/>
                    </pic:cNvPicPr>
                  </pic:nvPicPr>
                  <pic:blipFill>
                    <a:blip r:embed="rId13" cstate="print"/>
                    <a:srcRect/>
                    <a:stretch>
                      <a:fillRect/>
                    </a:stretch>
                  </pic:blipFill>
                  <pic:spPr>
                    <a:xfrm rot="5400000">
                      <a:off x="0" y="0"/>
                      <a:ext cx="2492460" cy="2733439"/>
                    </a:xfrm>
                    <a:prstGeom prst="rect">
                      <a:avLst/>
                    </a:prstGeom>
                    <a:noFill/>
                  </pic:spPr>
                </pic:pic>
              </a:graphicData>
            </a:graphic>
          </wp:inline>
        </w:drawing>
      </w:r>
    </w:p>
    <w:p>
      <w:pPr>
        <w:rPr>
          <w:rFonts w:ascii="Times New Roman" w:hAnsi="Times New Roman" w:cs="Times New Roman"/>
          <w:sz w:val="20"/>
          <w:szCs w:val="20"/>
        </w:rPr>
      </w:pPr>
      <w:r>
        <w:rPr>
          <w:rFonts w:ascii="Times New Roman" w:hAnsi="Times New Roman" w:cs="Times New Roman"/>
          <w:sz w:val="20"/>
          <w:szCs w:val="20"/>
        </w:rPr>
        <w:t>C                                                                                               D</w:t>
      </w:r>
    </w:p>
    <w:p>
      <w:pPr>
        <w:rPr>
          <w:rFonts w:ascii="Times New Roman" w:hAnsi="Times New Roman" w:cs="Times New Roman"/>
          <w:sz w:val="20"/>
          <w:szCs w:val="20"/>
        </w:rPr>
      </w:pPr>
      <w:r>
        <w:drawing>
          <wp:inline distT="0" distB="0" distL="0" distR="0">
            <wp:extent cx="2834640" cy="2239645"/>
            <wp:effectExtent l="0" t="0" r="3810" b="8255"/>
            <wp:docPr id="5" name="Picture 6" descr="E:\SURGERY 2014\TEMPORALIS FLAP 2014\20140818_14551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6" descr="E:\SURGERY 2014\TEMPORALIS FLAP 2014\20140818_145514.jpg"/>
                    <pic:cNvPicPr>
                      <a:picLocks noGrp="1" noChangeAspect="1" noChangeArrowheads="1"/>
                    </pic:cNvPicPr>
                  </pic:nvPicPr>
                  <pic:blipFill>
                    <a:blip r:embed="rId14" cstate="print"/>
                    <a:srcRect/>
                    <a:stretch>
                      <a:fillRect/>
                    </a:stretch>
                  </pic:blipFill>
                  <pic:spPr>
                    <a:xfrm>
                      <a:off x="0" y="0"/>
                      <a:ext cx="2834640" cy="2239859"/>
                    </a:xfrm>
                    <a:prstGeom prst="rect">
                      <a:avLst/>
                    </a:prstGeom>
                    <a:noFill/>
                  </pic:spPr>
                </pic:pic>
              </a:graphicData>
            </a:graphic>
          </wp:inline>
        </w:drawing>
      </w:r>
      <w:r>
        <w:drawing>
          <wp:inline distT="0" distB="0" distL="0" distR="0">
            <wp:extent cx="2860675" cy="2272665"/>
            <wp:effectExtent l="0" t="0" r="15875" b="13335"/>
            <wp:docPr id="6" name="Content Placeholder 5" descr="E:\SURGERY 2014\TEMPORALIS FLAP 2014\20140818_14554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E:\SURGERY 2014\TEMPORALIS FLAP 2014\20140818_145547.jpg"/>
                    <pic:cNvPicPr>
                      <a:picLocks noGrp="1" noChangeAspect="1" noChangeArrowheads="1"/>
                    </pic:cNvPicPr>
                  </pic:nvPicPr>
                  <pic:blipFill>
                    <a:blip r:embed="rId15" cstate="print"/>
                    <a:srcRect/>
                    <a:stretch>
                      <a:fillRect/>
                    </a:stretch>
                  </pic:blipFill>
                  <pic:spPr>
                    <a:xfrm>
                      <a:off x="0" y="0"/>
                      <a:ext cx="2874573" cy="2283531"/>
                    </a:xfrm>
                    <a:prstGeom prst="rect">
                      <a:avLst/>
                    </a:prstGeom>
                    <a:noFill/>
                  </pic:spPr>
                </pic:pic>
              </a:graphicData>
            </a:graphic>
          </wp:inline>
        </w:drawing>
      </w:r>
    </w:p>
    <w:p>
      <w:pPr>
        <w:rPr>
          <w:rFonts w:ascii="Times New Roman" w:hAnsi="Times New Roman" w:cs="Times New Roman"/>
          <w:sz w:val="20"/>
          <w:szCs w:val="20"/>
        </w:rPr>
      </w:pPr>
      <w:r>
        <w:rPr>
          <w:rFonts w:ascii="Times New Roman" w:hAnsi="Times New Roman" w:cs="Times New Roman"/>
          <w:sz w:val="20"/>
          <w:szCs w:val="20"/>
        </w:rPr>
        <w:t>E                                                                                         F</w:t>
      </w:r>
    </w:p>
    <w:p>
      <w:pPr>
        <w:pStyle w:val="75"/>
        <w:autoSpaceDE w:val="0"/>
        <w:autoSpaceDN w:val="0"/>
        <w:adjustRightInd w:val="0"/>
        <w:spacing w:line="360" w:lineRule="auto"/>
        <w:jc w:val="both"/>
        <w:rPr>
          <w:rFonts w:ascii="Times New Roman" w:hAnsi="Times New Roman" w:cs="Times New Roman"/>
          <w:sz w:val="20"/>
          <w:szCs w:val="20"/>
        </w:rPr>
      </w:pP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FIGURE 2</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A Oral antral defect after maxillectomy via a Weber Ferguson approach for the midface</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B Preauricular Incision marking  of the TMFP and the Zygomatic bone prior to elevation</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C  Flap elevation and Temporalis muscle being  held by sutures ready to be tunneled</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D Intra-Oral Flap tunneled beneath the arch in to the defect</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E Post operative patient has adequate mouth opening</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F Mucolization seen weeks postoperatively</w:t>
      </w:r>
    </w:p>
    <w:p>
      <w:pPr>
        <w:pStyle w:val="75"/>
        <w:autoSpaceDE w:val="0"/>
        <w:autoSpaceDN w:val="0"/>
        <w:adjustRightInd w:val="0"/>
        <w:spacing w:line="360" w:lineRule="auto"/>
        <w:jc w:val="both"/>
        <w:rPr>
          <w:rFonts w:ascii="Times New Roman" w:hAnsi="Times New Roman" w:cs="Times New Roman"/>
          <w:sz w:val="20"/>
          <w:szCs w:val="20"/>
        </w:rPr>
      </w:pPr>
    </w:p>
    <w:p>
      <w:pPr>
        <w:pStyle w:val="75"/>
        <w:autoSpaceDE w:val="0"/>
        <w:autoSpaceDN w:val="0"/>
        <w:adjustRightInd w:val="0"/>
        <w:spacing w:line="360" w:lineRule="auto"/>
        <w:jc w:val="both"/>
        <w:rPr>
          <w:rFonts w:ascii="Times New Roman" w:hAnsi="Times New Roman" w:cs="Times New Roman"/>
          <w:sz w:val="20"/>
          <w:szCs w:val="20"/>
        </w:rPr>
      </w:pPr>
    </w:p>
    <w:p>
      <w:pPr>
        <w:pStyle w:val="75"/>
        <w:autoSpaceDE w:val="0"/>
        <w:autoSpaceDN w:val="0"/>
        <w:adjustRightInd w:val="0"/>
        <w:spacing w:line="360" w:lineRule="auto"/>
        <w:jc w:val="both"/>
        <w:rPr>
          <w:rFonts w:ascii="Times New Roman" w:hAnsi="Times New Roman" w:cs="Times New Roman"/>
          <w:sz w:val="20"/>
          <w:szCs w:val="20"/>
        </w:rPr>
      </w:pPr>
    </w:p>
    <w:p>
      <w:pPr>
        <w:jc w:val="center"/>
        <w:rPr>
          <w:rFonts w:ascii="Times New Roman" w:hAnsi="Times New Roman" w:cs="Times New Roman"/>
          <w:sz w:val="20"/>
          <w:szCs w:val="20"/>
        </w:rPr>
      </w:pPr>
      <w:r>
        <w:drawing>
          <wp:inline distT="0" distB="0" distL="0" distR="0">
            <wp:extent cx="2403475" cy="3382645"/>
            <wp:effectExtent l="0" t="0" r="15875" b="8255"/>
            <wp:docPr id="4403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9" name="Content Placeholder 3"/>
                    <pic:cNvPicPr>
                      <a:picLocks noGrp="1" noChangeAspect="1" noChangeArrowheads="1"/>
                    </pic:cNvPicPr>
                  </pic:nvPicPr>
                  <pic:blipFill>
                    <a:blip r:embed="rId16" cstate="print"/>
                    <a:srcRect l="23164" r="20972" b="4236"/>
                    <a:stretch>
                      <a:fillRect/>
                    </a:stretch>
                  </pic:blipFill>
                  <pic:spPr>
                    <a:xfrm>
                      <a:off x="0" y="0"/>
                      <a:ext cx="2414860" cy="3398980"/>
                    </a:xfrm>
                    <a:prstGeom prst="rect">
                      <a:avLst/>
                    </a:prstGeom>
                    <a:noFill/>
                  </pic:spPr>
                </pic:pic>
              </a:graphicData>
            </a:graphic>
          </wp:inline>
        </w:drawing>
      </w:r>
      <w:r>
        <w:drawing>
          <wp:inline distT="0" distB="0" distL="0" distR="0">
            <wp:extent cx="2744470" cy="3383280"/>
            <wp:effectExtent l="0" t="0" r="17780" b="7620"/>
            <wp:docPr id="3" name="Content Placehold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8"/>
                    <pic:cNvPicPr>
                      <a:picLocks noChangeAspect="1" noChangeArrowheads="1"/>
                    </pic:cNvPicPr>
                  </pic:nvPicPr>
                  <pic:blipFill>
                    <a:blip r:embed="rId17" cstate="print"/>
                    <a:srcRect t="18674" r="9586" b="13791"/>
                    <a:stretch>
                      <a:fillRect/>
                    </a:stretch>
                  </pic:blipFill>
                  <pic:spPr>
                    <a:xfrm>
                      <a:off x="0" y="0"/>
                      <a:ext cx="2744624" cy="3383280"/>
                    </a:xfrm>
                    <a:prstGeom prst="rect">
                      <a:avLst/>
                    </a:prstGeom>
                  </pic:spPr>
                </pic:pic>
              </a:graphicData>
            </a:graphic>
          </wp:inline>
        </w:drawing>
      </w:r>
    </w:p>
    <w:p>
      <w:pPr>
        <w:rPr>
          <w:rFonts w:ascii="Times New Roman" w:hAnsi="Times New Roman" w:cs="Times New Roman"/>
          <w:sz w:val="20"/>
          <w:szCs w:val="20"/>
        </w:rPr>
      </w:pPr>
      <w:r>
        <w:rPr>
          <w:rFonts w:ascii="Times New Roman" w:hAnsi="Times New Roman" w:cs="Times New Roman"/>
          <w:sz w:val="20"/>
          <w:szCs w:val="20"/>
        </w:rPr>
        <w:t xml:space="preserve">           A                                                                           B</w:t>
      </w:r>
    </w:p>
    <w:p>
      <w:pPr>
        <w:jc w:val="center"/>
        <w:rPr>
          <w:rFonts w:ascii="Times New Roman" w:hAnsi="Times New Roman" w:cs="Times New Roman"/>
          <w:sz w:val="20"/>
          <w:szCs w:val="20"/>
        </w:rPr>
      </w:pPr>
      <w:r>
        <w:rPr>
          <w:rFonts w:ascii="Times New Roman" w:hAnsi="Times New Roman" w:cs="Times New Roman"/>
          <w:sz w:val="20"/>
          <w:szCs w:val="20"/>
        </w:rPr>
        <w:drawing>
          <wp:inline distT="0" distB="0" distL="0" distR="0">
            <wp:extent cx="2484755" cy="3108960"/>
            <wp:effectExtent l="0" t="0" r="10795" b="15240"/>
            <wp:docPr id="1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4"/>
                    <pic:cNvPicPr>
                      <a:picLocks noGrp="1" noChangeAspect="1"/>
                    </pic:cNvPicPr>
                  </pic:nvPicPr>
                  <pic:blipFill>
                    <a:blip r:embed="rId18" cstate="print"/>
                    <a:srcRect t="16412" r="19252" b="7553"/>
                    <a:stretch>
                      <a:fillRect/>
                    </a:stretch>
                  </pic:blipFill>
                  <pic:spPr>
                    <a:xfrm>
                      <a:off x="0" y="0"/>
                      <a:ext cx="2485333" cy="3108960"/>
                    </a:xfrm>
                    <a:prstGeom prst="rect">
                      <a:avLst/>
                    </a:prstGeom>
                    <a:noFill/>
                    <a:ln w="9525">
                      <a:noFill/>
                      <a:miter lim="800000"/>
                      <a:headEnd/>
                      <a:tailEnd/>
                    </a:ln>
                  </pic:spPr>
                </pic:pic>
              </a:graphicData>
            </a:graphic>
          </wp:inline>
        </w:drawing>
      </w:r>
      <w:r>
        <w:drawing>
          <wp:inline distT="0" distB="0" distL="0" distR="0">
            <wp:extent cx="2468880" cy="3108960"/>
            <wp:effectExtent l="0" t="0" r="7620" b="15240"/>
            <wp:docPr id="13" name="Content Placehol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ent Placeholder 7"/>
                    <pic:cNvPicPr>
                      <a:picLocks noChangeAspect="1" noChangeArrowheads="1"/>
                    </pic:cNvPicPr>
                  </pic:nvPicPr>
                  <pic:blipFill>
                    <a:blip r:embed="rId19" cstate="print"/>
                    <a:srcRect t="10684"/>
                    <a:stretch>
                      <a:fillRect/>
                    </a:stretch>
                  </pic:blipFill>
                  <pic:spPr>
                    <a:xfrm>
                      <a:off x="0" y="0"/>
                      <a:ext cx="2469005" cy="3108960"/>
                    </a:xfrm>
                    <a:prstGeom prst="rect">
                      <a:avLst/>
                    </a:prstGeom>
                  </pic:spPr>
                </pic:pic>
              </a:graphicData>
            </a:graphic>
          </wp:inline>
        </w:drawing>
      </w:r>
    </w:p>
    <w:p>
      <w:pPr>
        <w:rPr>
          <w:rFonts w:ascii="Times New Roman" w:hAnsi="Times New Roman" w:cs="Times New Roman"/>
          <w:sz w:val="20"/>
          <w:szCs w:val="20"/>
        </w:rPr>
      </w:pPr>
      <w:r>
        <w:rPr>
          <w:rFonts w:ascii="Times New Roman" w:hAnsi="Times New Roman" w:cs="Times New Roman"/>
          <w:sz w:val="20"/>
          <w:szCs w:val="20"/>
        </w:rPr>
        <w:t xml:space="preserve">              C                                                                             D</w:t>
      </w:r>
    </w:p>
    <w:p>
      <w:pPr>
        <w:pStyle w:val="75"/>
        <w:autoSpaceDE w:val="0"/>
        <w:autoSpaceDN w:val="0"/>
        <w:adjustRightInd w:val="0"/>
        <w:spacing w:line="360" w:lineRule="auto"/>
        <w:jc w:val="both"/>
        <w:rPr>
          <w:rFonts w:ascii="Times New Roman" w:hAnsi="Times New Roman" w:cs="Times New Roman"/>
          <w:sz w:val="20"/>
          <w:szCs w:val="20"/>
        </w:rPr>
      </w:pP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FIGURE 3</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A Right buccal mucosa with infiltrated with Squamous Cell Carcinoma</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B Post operative picture showing the defect after wide resection of the lesion</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C Temporalis muscle visible intraorally </w:t>
      </w:r>
    </w:p>
    <w:p>
      <w:pPr>
        <w:pStyle w:val="75"/>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D Reconstructed buccal mucosa with the Temporalis Flap </w:t>
      </w:r>
    </w:p>
    <w:p>
      <w:pPr>
        <w:pStyle w:val="75"/>
        <w:autoSpaceDE w:val="0"/>
        <w:autoSpaceDN w:val="0"/>
        <w:adjustRightInd w:val="0"/>
        <w:spacing w:line="360" w:lineRule="auto"/>
        <w:jc w:val="both"/>
        <w:rPr>
          <w:rFonts w:hint="default" w:ascii="Times New Roman" w:hAnsi="Times New Roman" w:eastAsia="宋体" w:cs="Times New Roman"/>
          <w:sz w:val="36"/>
          <w:szCs w:val="36"/>
          <w:lang w:val="en-US" w:eastAsia="zh-CN"/>
        </w:rPr>
      </w:pPr>
      <w:r>
        <w:rPr>
          <w:rFonts w:hint="eastAsia" w:ascii="Times New Roman" w:hAnsi="Times New Roman" w:eastAsia="宋体" w:cs="Times New Roman"/>
          <w:sz w:val="36"/>
          <w:szCs w:val="36"/>
          <w:lang w:val="en-US" w:eastAsia="zh-CN"/>
        </w:rPr>
        <w:t>Table1</w:t>
      </w:r>
    </w:p>
    <w:tbl>
      <w:tblPr>
        <w:tblStyle w:val="31"/>
        <w:tblpPr w:leftFromText="180" w:rightFromText="180" w:horzAnchor="margin" w:tblpY="1065"/>
        <w:tblW w:w="0" w:type="auto"/>
        <w:tblInd w:w="0" w:type="dxa"/>
        <w:tblLayout w:type="autofit"/>
        <w:tblCellMar>
          <w:top w:w="0" w:type="dxa"/>
          <w:left w:w="0" w:type="dxa"/>
          <w:bottom w:w="0" w:type="dxa"/>
          <w:right w:w="0" w:type="dxa"/>
        </w:tblCellMar>
      </w:tblPr>
      <w:tblGrid>
        <w:gridCol w:w="1426"/>
        <w:gridCol w:w="1979"/>
        <w:gridCol w:w="1092"/>
        <w:gridCol w:w="1618"/>
        <w:gridCol w:w="1076"/>
        <w:gridCol w:w="1173"/>
        <w:gridCol w:w="1284"/>
      </w:tblGrid>
      <w:tr>
        <w:tblPrEx>
          <w:tblCellMar>
            <w:top w:w="0" w:type="dxa"/>
            <w:left w:w="0" w:type="dxa"/>
            <w:bottom w:w="0" w:type="dxa"/>
            <w:right w:w="0" w:type="dxa"/>
          </w:tblCellMar>
        </w:tblPrEx>
        <w:trPr>
          <w:trHeight w:val="584" w:hRule="atLeast"/>
        </w:trPr>
        <w:tc>
          <w:tcPr>
            <w:tcW w:w="0" w:type="auto"/>
            <w:tcBorders>
              <w:top w:val="single" w:color="000000" w:sz="6" w:space="0"/>
              <w:left w:val="single" w:color="000000" w:sz="6" w:space="0"/>
              <w:bottom w:val="single" w:color="000000" w:sz="6" w:space="0"/>
              <w:right w:val="nil"/>
            </w:tcBorders>
            <w:shd w:val="clear" w:color="auto" w:fill="000000"/>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FFFFFF" w:themeColor="background1"/>
                <w:kern w:val="24"/>
                <w:sz w:val="32"/>
                <w:szCs w:val="32"/>
                <w:lang w:val="en-GB"/>
                <w14:textFill>
                  <w14:solidFill>
                    <w14:schemeClr w14:val="bg1"/>
                  </w14:solidFill>
                </w14:textFill>
              </w:rPr>
              <w:t>NUMBER</w:t>
            </w:r>
          </w:p>
        </w:tc>
        <w:tc>
          <w:tcPr>
            <w:tcW w:w="0" w:type="auto"/>
            <w:tcBorders>
              <w:top w:val="single" w:color="000000" w:sz="6" w:space="0"/>
              <w:left w:val="nil"/>
              <w:bottom w:val="single" w:color="000000" w:sz="6" w:space="0"/>
              <w:right w:val="nil"/>
            </w:tcBorders>
            <w:shd w:val="clear" w:color="auto" w:fill="000000"/>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b/>
                <w:bCs/>
                <w:color w:val="FFFFFF" w:themeColor="background1"/>
                <w:kern w:val="24"/>
                <w:sz w:val="32"/>
                <w:szCs w:val="32"/>
                <w:lang w:val="en-GB"/>
                <w14:textFill>
                  <w14:solidFill>
                    <w14:schemeClr w14:val="bg1"/>
                  </w14:solidFill>
                </w14:textFill>
              </w:rPr>
              <w:t>AGE/GENDER</w:t>
            </w:r>
          </w:p>
        </w:tc>
        <w:tc>
          <w:tcPr>
            <w:tcW w:w="0" w:type="auto"/>
            <w:tcBorders>
              <w:top w:val="single" w:color="000000" w:sz="6" w:space="0"/>
              <w:left w:val="nil"/>
              <w:bottom w:val="single" w:color="000000" w:sz="6" w:space="0"/>
              <w:right w:val="nil"/>
            </w:tcBorders>
            <w:shd w:val="clear" w:color="auto" w:fill="000000"/>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FFFFFF" w:themeColor="background1"/>
                <w:kern w:val="24"/>
                <w:sz w:val="28"/>
                <w:szCs w:val="28"/>
                <w:lang w:val="en-GB"/>
                <w14:textFill>
                  <w14:solidFill>
                    <w14:schemeClr w14:val="bg1"/>
                  </w14:solidFill>
                </w14:textFill>
              </w:rPr>
              <w:t>SITE</w:t>
            </w:r>
          </w:p>
        </w:tc>
        <w:tc>
          <w:tcPr>
            <w:tcW w:w="0" w:type="auto"/>
            <w:tcBorders>
              <w:top w:val="single" w:color="000000" w:sz="6" w:space="0"/>
              <w:left w:val="nil"/>
              <w:bottom w:val="single" w:color="000000" w:sz="6" w:space="0"/>
              <w:right w:val="nil"/>
            </w:tcBorders>
            <w:shd w:val="clear" w:color="auto" w:fill="000000"/>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b/>
                <w:bCs/>
                <w:color w:val="FFFFFF" w:themeColor="background1"/>
                <w:kern w:val="24"/>
                <w:sz w:val="24"/>
                <w:szCs w:val="24"/>
                <w:lang w:val="en-GB"/>
                <w14:textFill>
                  <w14:solidFill>
                    <w14:schemeClr w14:val="bg1"/>
                  </w14:solidFill>
                </w14:textFill>
              </w:rPr>
              <w:t>BRODERS</w:t>
            </w:r>
          </w:p>
          <w:p>
            <w:pPr>
              <w:spacing w:after="0" w:line="240" w:lineRule="auto"/>
              <w:rPr>
                <w:rFonts w:ascii="Arial" w:hAnsi="Arial" w:eastAsia="Times New Roman" w:cs="Arial"/>
                <w:sz w:val="36"/>
                <w:szCs w:val="36"/>
              </w:rPr>
            </w:pPr>
            <w:r>
              <w:rPr>
                <w:rFonts w:ascii="Constantia" w:hAnsi="Constantia" w:eastAsia="Times New Roman" w:cs="Arial"/>
                <w:b/>
                <w:bCs/>
                <w:color w:val="FFFFFF" w:themeColor="background1"/>
                <w:kern w:val="24"/>
                <w:sz w:val="20"/>
                <w:szCs w:val="20"/>
                <w:lang w:val="en-GB"/>
                <w14:textFill>
                  <w14:solidFill>
                    <w14:schemeClr w14:val="bg1"/>
                  </w14:solidFill>
                </w14:textFill>
              </w:rPr>
              <w:t>CLASIFICATION</w:t>
            </w:r>
          </w:p>
        </w:tc>
        <w:tc>
          <w:tcPr>
            <w:tcW w:w="0" w:type="auto"/>
            <w:tcBorders>
              <w:top w:val="single" w:color="000000" w:sz="6" w:space="0"/>
              <w:left w:val="nil"/>
              <w:bottom w:val="single" w:color="000000" w:sz="6" w:space="0"/>
              <w:right w:val="nil"/>
            </w:tcBorders>
            <w:shd w:val="clear" w:color="auto" w:fill="000000"/>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FFFFFF" w:themeColor="background1"/>
                <w:kern w:val="24"/>
                <w:sz w:val="32"/>
                <w:szCs w:val="32"/>
                <w:lang w:val="en-GB"/>
                <w14:textFill>
                  <w14:solidFill>
                    <w14:schemeClr w14:val="bg1"/>
                  </w14:solidFill>
                </w14:textFill>
              </w:rPr>
              <w:t>STAGE</w:t>
            </w:r>
          </w:p>
        </w:tc>
        <w:tc>
          <w:tcPr>
            <w:tcW w:w="0" w:type="auto"/>
            <w:tcBorders>
              <w:top w:val="single" w:color="000000" w:sz="6" w:space="0"/>
              <w:left w:val="nil"/>
              <w:bottom w:val="single" w:color="000000" w:sz="6" w:space="0"/>
              <w:right w:val="nil"/>
            </w:tcBorders>
            <w:shd w:val="clear" w:color="auto" w:fill="000000"/>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b/>
                <w:bCs/>
                <w:color w:val="FFFFFF" w:themeColor="background1"/>
                <w:kern w:val="24"/>
                <w:sz w:val="24"/>
                <w:szCs w:val="24"/>
                <w:lang w:val="en-GB"/>
                <w14:textFill>
                  <w14:solidFill>
                    <w14:schemeClr w14:val="bg1"/>
                  </w14:solidFill>
                </w14:textFill>
              </w:rPr>
              <w:t>SURGERY</w:t>
            </w:r>
          </w:p>
        </w:tc>
        <w:tc>
          <w:tcPr>
            <w:tcW w:w="0" w:type="auto"/>
            <w:tcBorders>
              <w:top w:val="single" w:color="000000" w:sz="6" w:space="0"/>
              <w:left w:val="nil"/>
              <w:bottom w:val="single" w:color="000000" w:sz="6" w:space="0"/>
              <w:right w:val="single" w:color="000000" w:sz="6" w:space="0"/>
            </w:tcBorders>
            <w:shd w:val="clear" w:color="auto" w:fill="000000"/>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b/>
                <w:bCs/>
                <w:color w:val="FFFFFF" w:themeColor="background1"/>
                <w:kern w:val="24"/>
                <w:sz w:val="24"/>
                <w:szCs w:val="24"/>
                <w:lang w:val="en-GB"/>
                <w14:textFill>
                  <w14:solidFill>
                    <w14:schemeClr w14:val="bg1"/>
                  </w14:solidFill>
                </w14:textFill>
              </w:rPr>
              <w:t>FLAP</w:t>
            </w:r>
          </w:p>
        </w:tc>
      </w:tr>
      <w:tr>
        <w:tblPrEx>
          <w:tblCellMar>
            <w:top w:w="0" w:type="dxa"/>
            <w:left w:w="0" w:type="dxa"/>
            <w:bottom w:w="0" w:type="dxa"/>
            <w:right w:w="0" w:type="dxa"/>
          </w:tblCellMar>
        </w:tblPrEx>
        <w:trPr>
          <w:trHeight w:val="584" w:hRule="atLeast"/>
        </w:trPr>
        <w:tc>
          <w:tcPr>
            <w:tcW w:w="0" w:type="auto"/>
            <w:tcBorders>
              <w:top w:val="single" w:color="000000" w:sz="6" w:space="0"/>
              <w:left w:val="single" w:color="000000" w:sz="6" w:space="0"/>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color w:val="000000" w:themeColor="text1"/>
                <w:kern w:val="24"/>
                <w:sz w:val="32"/>
                <w:szCs w:val="32"/>
                <w:lang w:val="en-GB"/>
                <w14:textFill>
                  <w14:solidFill>
                    <w14:schemeClr w14:val="tx1"/>
                  </w14:solidFill>
                </w14:textFill>
              </w:rPr>
              <w:t>1</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000000" w:themeColor="text1"/>
                <w:kern w:val="24"/>
                <w:sz w:val="32"/>
                <w:szCs w:val="32"/>
                <w:lang w:val="en-GB"/>
                <w14:textFill>
                  <w14:solidFill>
                    <w14:schemeClr w14:val="tx1"/>
                  </w14:solidFill>
                </w14:textFill>
              </w:rPr>
              <w:t>78(F)</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000000" w:themeColor="text1"/>
                <w:kern w:val="24"/>
                <w:sz w:val="28"/>
                <w:szCs w:val="28"/>
                <w:lang w:val="en-GB"/>
                <w14:textFill>
                  <w14:solidFill>
                    <w14:schemeClr w14:val="tx1"/>
                  </w14:solidFill>
                </w14:textFill>
              </w:rPr>
              <w:t>LT MAX</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color w:val="000000" w:themeColor="text1"/>
                <w:kern w:val="24"/>
                <w:sz w:val="20"/>
                <w:szCs w:val="20"/>
                <w:lang w:val="en-GB"/>
                <w14:textFill>
                  <w14:solidFill>
                    <w14:schemeClr w14:val="tx1"/>
                  </w14:solidFill>
                </w14:textFill>
              </w:rPr>
              <w:t>WELL DIFFERENTIATED</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color w:val="000000" w:themeColor="text1"/>
                <w:kern w:val="24"/>
                <w:sz w:val="32"/>
                <w:szCs w:val="32"/>
                <w:lang w:val="en-GB"/>
                <w14:textFill>
                  <w14:solidFill>
                    <w14:schemeClr w14:val="tx1"/>
                  </w14:solidFill>
                </w14:textFill>
              </w:rPr>
              <w:t>IV</w:t>
            </w:r>
          </w:p>
        </w:tc>
        <w:tc>
          <w:tcPr>
            <w:tcW w:w="0" w:type="auto"/>
            <w:tcBorders>
              <w:top w:val="single" w:color="000000" w:sz="6" w:space="0"/>
              <w:left w:val="nil"/>
              <w:bottom w:val="single" w:color="000000" w:sz="6" w:space="0"/>
              <w:right w:val="nil"/>
            </w:tcBorders>
            <w:shd w:val="clear" w:color="auto" w:fill="auto"/>
            <w:tcMar>
              <w:top w:w="15" w:type="dxa"/>
              <w:left w:w="15" w:type="dxa"/>
              <w:bottom w:w="0" w:type="dxa"/>
              <w:right w:w="15" w:type="dxa"/>
            </w:tcMar>
            <w:vAlign w:val="bottom"/>
          </w:tcPr>
          <w:p>
            <w:pPr>
              <w:spacing w:after="0" w:line="240" w:lineRule="auto"/>
              <w:jc w:val="center"/>
              <w:textAlignment w:val="bottom"/>
              <w:rPr>
                <w:rFonts w:ascii="Arial" w:hAnsi="Arial" w:eastAsia="Times New Roman" w:cs="Arial"/>
                <w:sz w:val="36"/>
                <w:szCs w:val="36"/>
              </w:rPr>
            </w:pPr>
            <w:r>
              <w:rPr>
                <w:rFonts w:ascii="Constantia" w:hAnsi="Constantia" w:eastAsia="Times New Roman" w:cs="Arial"/>
                <w:color w:val="000000" w:themeColor="text1"/>
                <w:kern w:val="24"/>
                <w:lang w:val="en-GB"/>
                <w14:textFill>
                  <w14:solidFill>
                    <w14:schemeClr w14:val="tx1"/>
                  </w14:solidFill>
                </w14:textFill>
              </w:rPr>
              <w:t>PALATAL RESECTION</w:t>
            </w:r>
          </w:p>
          <w:p>
            <w:pPr>
              <w:spacing w:after="0" w:line="240" w:lineRule="auto"/>
              <w:jc w:val="center"/>
              <w:textAlignment w:val="bottom"/>
              <w:rPr>
                <w:rFonts w:ascii="Arial" w:hAnsi="Arial" w:eastAsia="Times New Roman" w:cs="Arial"/>
                <w:sz w:val="36"/>
                <w:szCs w:val="36"/>
              </w:rPr>
            </w:pPr>
            <w:r>
              <w:rPr>
                <w:rFonts w:ascii="Calibri" w:hAnsi="Calibri" w:eastAsia="Times New Roman" w:cs="Calibri"/>
                <w:color w:val="000000"/>
                <w:kern w:val="24"/>
                <w:lang w:val="en-GB"/>
              </w:rPr>
              <w:t>Negative Margins</w:t>
            </w:r>
          </w:p>
        </w:tc>
        <w:tc>
          <w:tcPr>
            <w:tcW w:w="0" w:type="auto"/>
            <w:tcBorders>
              <w:top w:val="single" w:color="000000" w:sz="6" w:space="0"/>
              <w:left w:val="nil"/>
              <w:bottom w:val="single" w:color="000000" w:sz="6" w:space="0"/>
              <w:right w:val="single" w:color="000000" w:sz="6" w:space="0"/>
            </w:tcBorders>
            <w:shd w:val="clear" w:color="auto" w:fill="auto"/>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color w:val="000000" w:themeColor="text1"/>
                <w:kern w:val="24"/>
                <w:sz w:val="20"/>
                <w:szCs w:val="20"/>
                <w:lang w:val="en-GB"/>
                <w14:textFill>
                  <w14:solidFill>
                    <w14:schemeClr w14:val="tx1"/>
                  </w14:solidFill>
                </w14:textFill>
              </w:rPr>
              <w:t>TEMPORALIS</w:t>
            </w:r>
          </w:p>
        </w:tc>
      </w:tr>
      <w:tr>
        <w:tblPrEx>
          <w:tblCellMar>
            <w:top w:w="0" w:type="dxa"/>
            <w:left w:w="0" w:type="dxa"/>
            <w:bottom w:w="0" w:type="dxa"/>
            <w:right w:w="0" w:type="dxa"/>
          </w:tblCellMar>
        </w:tblPrEx>
        <w:trPr>
          <w:trHeight w:val="584" w:hRule="atLeast"/>
        </w:trPr>
        <w:tc>
          <w:tcPr>
            <w:tcW w:w="0" w:type="auto"/>
            <w:tcBorders>
              <w:top w:val="single" w:color="000000" w:sz="6" w:space="0"/>
              <w:left w:val="single" w:color="000000" w:sz="6" w:space="0"/>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color w:val="000000" w:themeColor="text1"/>
                <w:kern w:val="24"/>
                <w:sz w:val="32"/>
                <w:szCs w:val="32"/>
                <w:lang w:val="en-GB"/>
                <w14:textFill>
                  <w14:solidFill>
                    <w14:schemeClr w14:val="tx1"/>
                  </w14:solidFill>
                </w14:textFill>
              </w:rPr>
              <w:t>2</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000000" w:themeColor="text1"/>
                <w:kern w:val="24"/>
                <w:sz w:val="32"/>
                <w:szCs w:val="32"/>
                <w:lang w:val="en-GB"/>
                <w14:textFill>
                  <w14:solidFill>
                    <w14:schemeClr w14:val="tx1"/>
                  </w14:solidFill>
                </w14:textFill>
              </w:rPr>
              <w:t>53(F)</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000000" w:themeColor="text1"/>
                <w:kern w:val="24"/>
                <w:sz w:val="28"/>
                <w:szCs w:val="28"/>
                <w:lang w:val="en-GB"/>
                <w14:textFill>
                  <w14:solidFill>
                    <w14:schemeClr w14:val="tx1"/>
                  </w14:solidFill>
                </w14:textFill>
              </w:rPr>
              <w:t>LT CHEEK</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color w:val="000000" w:themeColor="text1"/>
                <w:kern w:val="24"/>
                <w:sz w:val="20"/>
                <w:szCs w:val="20"/>
                <w:lang w:val="en-GB"/>
                <w14:textFill>
                  <w14:solidFill>
                    <w14:schemeClr w14:val="tx1"/>
                  </w14:solidFill>
                </w14:textFill>
              </w:rPr>
              <w:t>WELL DIFFERENTIATED</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color w:val="000000" w:themeColor="text1"/>
                <w:kern w:val="24"/>
                <w:sz w:val="32"/>
                <w:szCs w:val="32"/>
                <w:lang w:val="en-GB"/>
                <w14:textFill>
                  <w14:solidFill>
                    <w14:schemeClr w14:val="tx1"/>
                  </w14:solidFill>
                </w14:textFill>
              </w:rPr>
              <w:t>III</w:t>
            </w:r>
          </w:p>
        </w:tc>
        <w:tc>
          <w:tcPr>
            <w:tcW w:w="0" w:type="auto"/>
            <w:tcBorders>
              <w:top w:val="single" w:color="000000" w:sz="6" w:space="0"/>
              <w:left w:val="nil"/>
              <w:bottom w:val="single" w:color="000000" w:sz="6" w:space="0"/>
              <w:right w:val="nil"/>
            </w:tcBorders>
            <w:shd w:val="clear" w:color="auto" w:fill="auto"/>
            <w:tcMar>
              <w:top w:w="15" w:type="dxa"/>
              <w:left w:w="15" w:type="dxa"/>
              <w:bottom w:w="0" w:type="dxa"/>
              <w:right w:w="15" w:type="dxa"/>
            </w:tcMar>
            <w:vAlign w:val="bottom"/>
          </w:tcPr>
          <w:p>
            <w:pPr>
              <w:spacing w:after="0" w:line="240" w:lineRule="auto"/>
              <w:jc w:val="center"/>
              <w:textAlignment w:val="bottom"/>
              <w:rPr>
                <w:rFonts w:ascii="Arial" w:hAnsi="Arial" w:eastAsia="Times New Roman" w:cs="Arial"/>
                <w:sz w:val="36"/>
                <w:szCs w:val="36"/>
              </w:rPr>
            </w:pPr>
            <w:r>
              <w:rPr>
                <w:rFonts w:ascii="Constantia" w:hAnsi="Constantia" w:eastAsia="Times New Roman" w:cs="Arial"/>
                <w:color w:val="000000" w:themeColor="text1"/>
                <w:kern w:val="24"/>
                <w:lang w:val="en-GB"/>
                <w14:textFill>
                  <w14:solidFill>
                    <w14:schemeClr w14:val="tx1"/>
                  </w14:solidFill>
                </w14:textFill>
              </w:rPr>
              <w:t>MUCOSAL RESECTION</w:t>
            </w:r>
          </w:p>
          <w:p>
            <w:pPr>
              <w:spacing w:after="0" w:line="240" w:lineRule="auto"/>
              <w:jc w:val="center"/>
              <w:textAlignment w:val="bottom"/>
              <w:rPr>
                <w:rFonts w:ascii="Arial" w:hAnsi="Arial" w:eastAsia="Times New Roman" w:cs="Arial"/>
                <w:sz w:val="36"/>
                <w:szCs w:val="36"/>
              </w:rPr>
            </w:pPr>
            <w:r>
              <w:rPr>
                <w:rFonts w:ascii="Calibri" w:hAnsi="Calibri" w:eastAsia="Times New Roman" w:cs="Calibri"/>
                <w:color w:val="000000"/>
                <w:kern w:val="24"/>
                <w:lang w:val="en-GB"/>
              </w:rPr>
              <w:t>Negative Margins</w:t>
            </w:r>
          </w:p>
        </w:tc>
        <w:tc>
          <w:tcPr>
            <w:tcW w:w="0" w:type="auto"/>
            <w:tcBorders>
              <w:top w:val="single" w:color="000000" w:sz="6" w:space="0"/>
              <w:left w:val="nil"/>
              <w:bottom w:val="single" w:color="000000" w:sz="6" w:space="0"/>
              <w:right w:val="single" w:color="000000" w:sz="6" w:space="0"/>
            </w:tcBorders>
            <w:shd w:val="clear" w:color="auto" w:fill="auto"/>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color w:val="000000" w:themeColor="text1"/>
                <w:kern w:val="24"/>
                <w:sz w:val="20"/>
                <w:szCs w:val="20"/>
                <w:lang w:val="en-GB"/>
                <w14:textFill>
                  <w14:solidFill>
                    <w14:schemeClr w14:val="tx1"/>
                  </w14:solidFill>
                </w14:textFill>
              </w:rPr>
              <w:t>TEMPORALIS</w:t>
            </w:r>
          </w:p>
        </w:tc>
      </w:tr>
      <w:tr>
        <w:tblPrEx>
          <w:tblCellMar>
            <w:top w:w="0" w:type="dxa"/>
            <w:left w:w="0" w:type="dxa"/>
            <w:bottom w:w="0" w:type="dxa"/>
            <w:right w:w="0" w:type="dxa"/>
          </w:tblCellMar>
        </w:tblPrEx>
        <w:trPr>
          <w:trHeight w:val="584" w:hRule="atLeast"/>
        </w:trPr>
        <w:tc>
          <w:tcPr>
            <w:tcW w:w="0" w:type="auto"/>
            <w:tcBorders>
              <w:top w:val="single" w:color="000000" w:sz="6" w:space="0"/>
              <w:left w:val="single" w:color="000000" w:sz="6" w:space="0"/>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color w:val="000000" w:themeColor="text1"/>
                <w:kern w:val="24"/>
                <w:sz w:val="32"/>
                <w:szCs w:val="32"/>
                <w:lang w:val="en-GB"/>
                <w14:textFill>
                  <w14:solidFill>
                    <w14:schemeClr w14:val="tx1"/>
                  </w14:solidFill>
                </w14:textFill>
              </w:rPr>
              <w:t>3</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000000" w:themeColor="text1"/>
                <w:kern w:val="24"/>
                <w:sz w:val="32"/>
                <w:szCs w:val="32"/>
                <w:lang w:val="en-GB"/>
                <w14:textFill>
                  <w14:solidFill>
                    <w14:schemeClr w14:val="tx1"/>
                  </w14:solidFill>
                </w14:textFill>
              </w:rPr>
              <w:t>83(M)</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000000" w:themeColor="text1"/>
                <w:kern w:val="24"/>
                <w:sz w:val="28"/>
                <w:szCs w:val="28"/>
                <w:lang w:val="en-GB"/>
                <w14:textFill>
                  <w14:solidFill>
                    <w14:schemeClr w14:val="tx1"/>
                  </w14:solidFill>
                </w14:textFill>
              </w:rPr>
              <w:t>LT CHEEK</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color w:val="000000" w:themeColor="text1"/>
                <w:kern w:val="24"/>
                <w:sz w:val="20"/>
                <w:szCs w:val="20"/>
                <w:lang w:val="en-GB"/>
                <w14:textFill>
                  <w14:solidFill>
                    <w14:schemeClr w14:val="tx1"/>
                  </w14:solidFill>
                </w14:textFill>
              </w:rPr>
              <w:t>WELL DIFFERENTIATED</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color w:val="000000" w:themeColor="text1"/>
                <w:kern w:val="24"/>
                <w:sz w:val="32"/>
                <w:szCs w:val="32"/>
                <w:lang w:val="en-GB"/>
                <w14:textFill>
                  <w14:solidFill>
                    <w14:schemeClr w14:val="tx1"/>
                  </w14:solidFill>
                </w14:textFill>
              </w:rPr>
              <w:t>III</w:t>
            </w:r>
          </w:p>
        </w:tc>
        <w:tc>
          <w:tcPr>
            <w:tcW w:w="0" w:type="auto"/>
            <w:tcBorders>
              <w:top w:val="single" w:color="000000" w:sz="6" w:space="0"/>
              <w:left w:val="nil"/>
              <w:bottom w:val="single" w:color="000000" w:sz="6" w:space="0"/>
              <w:right w:val="nil"/>
            </w:tcBorders>
            <w:shd w:val="clear" w:color="auto" w:fill="auto"/>
            <w:tcMar>
              <w:top w:w="15" w:type="dxa"/>
              <w:left w:w="15" w:type="dxa"/>
              <w:bottom w:w="0" w:type="dxa"/>
              <w:right w:w="15" w:type="dxa"/>
            </w:tcMar>
            <w:vAlign w:val="bottom"/>
          </w:tcPr>
          <w:p>
            <w:pPr>
              <w:spacing w:after="0" w:line="240" w:lineRule="auto"/>
              <w:jc w:val="center"/>
              <w:textAlignment w:val="bottom"/>
              <w:rPr>
                <w:rFonts w:ascii="Arial" w:hAnsi="Arial" w:eastAsia="Times New Roman" w:cs="Arial"/>
                <w:sz w:val="36"/>
                <w:szCs w:val="36"/>
              </w:rPr>
            </w:pPr>
            <w:r>
              <w:rPr>
                <w:rFonts w:ascii="Constantia" w:hAnsi="Constantia" w:eastAsia="Times New Roman" w:cs="Arial"/>
                <w:color w:val="000000" w:themeColor="text1"/>
                <w:kern w:val="24"/>
                <w:lang w:val="en-GB"/>
                <w14:textFill>
                  <w14:solidFill>
                    <w14:schemeClr w14:val="tx1"/>
                  </w14:solidFill>
                </w14:textFill>
              </w:rPr>
              <w:t>MUCOSAL RESECTION</w:t>
            </w:r>
          </w:p>
          <w:p>
            <w:pPr>
              <w:spacing w:after="0" w:line="240" w:lineRule="auto"/>
              <w:jc w:val="center"/>
              <w:textAlignment w:val="bottom"/>
              <w:rPr>
                <w:rFonts w:ascii="Arial" w:hAnsi="Arial" w:eastAsia="Times New Roman" w:cs="Arial"/>
                <w:sz w:val="36"/>
                <w:szCs w:val="36"/>
              </w:rPr>
            </w:pPr>
            <w:r>
              <w:rPr>
                <w:rFonts w:ascii="Calibri" w:hAnsi="Calibri" w:eastAsia="Times New Roman" w:cs="Calibri"/>
                <w:color w:val="000000"/>
                <w:kern w:val="24"/>
                <w:lang w:val="en-GB"/>
              </w:rPr>
              <w:t>Negative Margins</w:t>
            </w:r>
          </w:p>
        </w:tc>
        <w:tc>
          <w:tcPr>
            <w:tcW w:w="0" w:type="auto"/>
            <w:tcBorders>
              <w:top w:val="single" w:color="000000" w:sz="6" w:space="0"/>
              <w:left w:val="nil"/>
              <w:bottom w:val="single" w:color="000000" w:sz="6" w:space="0"/>
              <w:right w:val="single" w:color="000000" w:sz="6" w:space="0"/>
            </w:tcBorders>
            <w:shd w:val="clear" w:color="auto" w:fill="auto"/>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color w:val="000000" w:themeColor="text1"/>
                <w:kern w:val="24"/>
                <w:sz w:val="20"/>
                <w:szCs w:val="20"/>
                <w:lang w:val="en-GB"/>
                <w14:textFill>
                  <w14:solidFill>
                    <w14:schemeClr w14:val="tx1"/>
                  </w14:solidFill>
                </w14:textFill>
              </w:rPr>
              <w:t>TEMPORALIS</w:t>
            </w:r>
          </w:p>
        </w:tc>
      </w:tr>
      <w:tr>
        <w:tblPrEx>
          <w:tblCellMar>
            <w:top w:w="0" w:type="dxa"/>
            <w:left w:w="0" w:type="dxa"/>
            <w:bottom w:w="0" w:type="dxa"/>
            <w:right w:w="0" w:type="dxa"/>
          </w:tblCellMar>
        </w:tblPrEx>
        <w:trPr>
          <w:trHeight w:val="584" w:hRule="atLeast"/>
        </w:trPr>
        <w:tc>
          <w:tcPr>
            <w:tcW w:w="0" w:type="auto"/>
            <w:tcBorders>
              <w:top w:val="single" w:color="000000" w:sz="6" w:space="0"/>
              <w:left w:val="single" w:color="000000" w:sz="6" w:space="0"/>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color w:val="000000" w:themeColor="text1"/>
                <w:kern w:val="24"/>
                <w:sz w:val="32"/>
                <w:szCs w:val="32"/>
                <w:lang w:val="en-GB"/>
                <w14:textFill>
                  <w14:solidFill>
                    <w14:schemeClr w14:val="tx1"/>
                  </w14:solidFill>
                </w14:textFill>
              </w:rPr>
              <w:t>4</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000000" w:themeColor="text1"/>
                <w:kern w:val="24"/>
                <w:sz w:val="32"/>
                <w:szCs w:val="32"/>
                <w:lang w:val="en-GB"/>
                <w14:textFill>
                  <w14:solidFill>
                    <w14:schemeClr w14:val="tx1"/>
                  </w14:solidFill>
                </w14:textFill>
              </w:rPr>
              <w:t>49(F)</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000000" w:themeColor="text1"/>
                <w:kern w:val="24"/>
                <w:sz w:val="28"/>
                <w:szCs w:val="28"/>
                <w:lang w:val="en-GB"/>
                <w14:textFill>
                  <w14:solidFill>
                    <w14:schemeClr w14:val="tx1"/>
                  </w14:solidFill>
                </w14:textFill>
              </w:rPr>
              <w:t>ORBIT</w:t>
            </w:r>
          </w:p>
          <w:p>
            <w:pPr>
              <w:spacing w:after="0" w:line="240" w:lineRule="auto"/>
              <w:jc w:val="center"/>
              <w:rPr>
                <w:rFonts w:ascii="Arial" w:hAnsi="Arial" w:eastAsia="Times New Roman" w:cs="Arial"/>
                <w:sz w:val="36"/>
                <w:szCs w:val="36"/>
              </w:rPr>
            </w:pPr>
            <w:r>
              <w:rPr>
                <w:rFonts w:ascii="Constantia" w:hAnsi="Constantia" w:eastAsia="Times New Roman" w:cs="Arial"/>
                <w:b/>
                <w:bCs/>
                <w:color w:val="000000" w:themeColor="text1"/>
                <w:kern w:val="24"/>
                <w:sz w:val="28"/>
                <w:szCs w:val="28"/>
                <w:lang w:val="en-GB"/>
                <w14:textFill>
                  <w14:solidFill>
                    <w14:schemeClr w14:val="tx1"/>
                  </w14:solidFill>
                </w14:textFill>
              </w:rPr>
              <w:t>EYELID</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color w:val="000000" w:themeColor="text1"/>
                <w:kern w:val="24"/>
                <w:sz w:val="20"/>
                <w:szCs w:val="20"/>
                <w:lang w:val="en-GB"/>
                <w14:textFill>
                  <w14:solidFill>
                    <w14:schemeClr w14:val="tx1"/>
                  </w14:solidFill>
                </w14:textFill>
              </w:rPr>
              <w:t>MODERATELY DIFFERENTIATED</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color w:val="000000" w:themeColor="text1"/>
                <w:kern w:val="24"/>
                <w:sz w:val="32"/>
                <w:szCs w:val="32"/>
                <w:lang w:val="en-GB"/>
                <w14:textFill>
                  <w14:solidFill>
                    <w14:schemeClr w14:val="tx1"/>
                  </w14:solidFill>
                </w14:textFill>
              </w:rPr>
              <w:t>IV</w:t>
            </w:r>
          </w:p>
        </w:tc>
        <w:tc>
          <w:tcPr>
            <w:tcW w:w="0" w:type="auto"/>
            <w:tcBorders>
              <w:top w:val="single" w:color="000000" w:sz="6" w:space="0"/>
              <w:left w:val="nil"/>
              <w:bottom w:val="single" w:color="000000" w:sz="6" w:space="0"/>
              <w:right w:val="nil"/>
            </w:tcBorders>
            <w:shd w:val="clear" w:color="auto" w:fill="auto"/>
            <w:tcMar>
              <w:top w:w="15" w:type="dxa"/>
              <w:left w:w="15" w:type="dxa"/>
              <w:bottom w:w="0" w:type="dxa"/>
              <w:right w:w="15" w:type="dxa"/>
            </w:tcMar>
            <w:vAlign w:val="bottom"/>
          </w:tcPr>
          <w:p>
            <w:pPr>
              <w:spacing w:after="0" w:line="240" w:lineRule="auto"/>
              <w:jc w:val="center"/>
              <w:textAlignment w:val="bottom"/>
              <w:rPr>
                <w:rFonts w:ascii="Arial" w:hAnsi="Arial" w:eastAsia="Times New Roman" w:cs="Arial"/>
                <w:sz w:val="36"/>
                <w:szCs w:val="36"/>
              </w:rPr>
            </w:pPr>
            <w:r>
              <w:rPr>
                <w:rFonts w:ascii="Constantia" w:hAnsi="Constantia" w:eastAsia="Times New Roman" w:cs="Arial"/>
                <w:color w:val="000000" w:themeColor="text1"/>
                <w:kern w:val="24"/>
                <w:lang w:val="en-GB"/>
                <w14:textFill>
                  <w14:solidFill>
                    <w14:schemeClr w14:val="tx1"/>
                  </w14:solidFill>
                </w14:textFill>
              </w:rPr>
              <w:t>RESECTION</w:t>
            </w:r>
          </w:p>
          <w:p>
            <w:pPr>
              <w:spacing w:after="0" w:line="240" w:lineRule="auto"/>
              <w:jc w:val="center"/>
              <w:textAlignment w:val="bottom"/>
              <w:rPr>
                <w:rFonts w:ascii="Arial" w:hAnsi="Arial" w:eastAsia="Times New Roman" w:cs="Arial"/>
                <w:sz w:val="36"/>
                <w:szCs w:val="36"/>
              </w:rPr>
            </w:pPr>
            <w:r>
              <w:rPr>
                <w:rFonts w:ascii="Calibri" w:hAnsi="Calibri" w:eastAsia="Times New Roman" w:cs="Calibri"/>
                <w:color w:val="000000"/>
                <w:kern w:val="24"/>
                <w:lang w:val="en-GB"/>
              </w:rPr>
              <w:t>Negative Margins</w:t>
            </w:r>
          </w:p>
        </w:tc>
        <w:tc>
          <w:tcPr>
            <w:tcW w:w="0" w:type="auto"/>
            <w:tcBorders>
              <w:top w:val="single" w:color="000000" w:sz="6" w:space="0"/>
              <w:left w:val="nil"/>
              <w:bottom w:val="single" w:color="000000" w:sz="6" w:space="0"/>
              <w:right w:val="single" w:color="000000" w:sz="6" w:space="0"/>
            </w:tcBorders>
            <w:shd w:val="clear" w:color="auto" w:fill="auto"/>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color w:val="000000" w:themeColor="text1"/>
                <w:kern w:val="24"/>
                <w:sz w:val="20"/>
                <w:szCs w:val="20"/>
                <w:lang w:val="en-GB"/>
                <w14:textFill>
                  <w14:solidFill>
                    <w14:schemeClr w14:val="tx1"/>
                  </w14:solidFill>
                </w14:textFill>
              </w:rPr>
              <w:t>TEMPORALIS</w:t>
            </w:r>
          </w:p>
        </w:tc>
      </w:tr>
      <w:tr>
        <w:tblPrEx>
          <w:tblCellMar>
            <w:top w:w="0" w:type="dxa"/>
            <w:left w:w="0" w:type="dxa"/>
            <w:bottom w:w="0" w:type="dxa"/>
            <w:right w:w="0" w:type="dxa"/>
          </w:tblCellMar>
        </w:tblPrEx>
        <w:trPr>
          <w:trHeight w:val="584" w:hRule="atLeast"/>
        </w:trPr>
        <w:tc>
          <w:tcPr>
            <w:tcW w:w="0" w:type="auto"/>
            <w:tcBorders>
              <w:top w:val="single" w:color="000000" w:sz="6" w:space="0"/>
              <w:left w:val="single" w:color="000000" w:sz="6" w:space="0"/>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color w:val="000000" w:themeColor="text1"/>
                <w:kern w:val="24"/>
                <w:sz w:val="32"/>
                <w:szCs w:val="32"/>
                <w:lang w:val="en-GB"/>
                <w14:textFill>
                  <w14:solidFill>
                    <w14:schemeClr w14:val="tx1"/>
                  </w14:solidFill>
                </w14:textFill>
              </w:rPr>
              <w:t>5</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000000" w:themeColor="text1"/>
                <w:kern w:val="24"/>
                <w:sz w:val="32"/>
                <w:szCs w:val="32"/>
                <w:lang w:val="en-GB"/>
                <w14:textFill>
                  <w14:solidFill>
                    <w14:schemeClr w14:val="tx1"/>
                  </w14:solidFill>
                </w14:textFill>
              </w:rPr>
              <w:t>65(M)</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000000" w:themeColor="text1"/>
                <w:kern w:val="24"/>
                <w:sz w:val="28"/>
                <w:szCs w:val="28"/>
                <w:lang w:val="en-GB"/>
                <w14:textFill>
                  <w14:solidFill>
                    <w14:schemeClr w14:val="tx1"/>
                  </w14:solidFill>
                </w14:textFill>
              </w:rPr>
              <w:t>RT MAX</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color w:val="000000" w:themeColor="text1"/>
                <w:kern w:val="24"/>
                <w:sz w:val="20"/>
                <w:szCs w:val="20"/>
                <w:lang w:val="en-GB"/>
                <w14:textFill>
                  <w14:solidFill>
                    <w14:schemeClr w14:val="tx1"/>
                  </w14:solidFill>
                </w14:textFill>
              </w:rPr>
              <w:t>WELL DIFFERENTIATED</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color w:val="000000" w:themeColor="text1"/>
                <w:kern w:val="24"/>
                <w:sz w:val="32"/>
                <w:szCs w:val="32"/>
                <w:lang w:val="en-GB"/>
                <w14:textFill>
                  <w14:solidFill>
                    <w14:schemeClr w14:val="tx1"/>
                  </w14:solidFill>
                </w14:textFill>
              </w:rPr>
              <w:t>III</w:t>
            </w:r>
          </w:p>
        </w:tc>
        <w:tc>
          <w:tcPr>
            <w:tcW w:w="0" w:type="auto"/>
            <w:tcBorders>
              <w:top w:val="single" w:color="000000" w:sz="6" w:space="0"/>
              <w:left w:val="nil"/>
              <w:bottom w:val="single" w:color="000000" w:sz="6" w:space="0"/>
              <w:right w:val="nil"/>
            </w:tcBorders>
            <w:shd w:val="clear" w:color="auto" w:fill="auto"/>
            <w:tcMar>
              <w:top w:w="15" w:type="dxa"/>
              <w:left w:w="15" w:type="dxa"/>
              <w:bottom w:w="0" w:type="dxa"/>
              <w:right w:w="15" w:type="dxa"/>
            </w:tcMar>
            <w:vAlign w:val="bottom"/>
          </w:tcPr>
          <w:p>
            <w:pPr>
              <w:spacing w:after="0" w:line="240" w:lineRule="auto"/>
              <w:jc w:val="center"/>
              <w:textAlignment w:val="bottom"/>
              <w:rPr>
                <w:rFonts w:ascii="Arial" w:hAnsi="Arial" w:eastAsia="Times New Roman" w:cs="Arial"/>
                <w:sz w:val="36"/>
                <w:szCs w:val="36"/>
              </w:rPr>
            </w:pPr>
            <w:r>
              <w:rPr>
                <w:rFonts w:ascii="Constantia" w:hAnsi="Constantia" w:eastAsia="Times New Roman" w:cs="Arial"/>
                <w:color w:val="000000" w:themeColor="text1"/>
                <w:kern w:val="24"/>
                <w:lang w:val="en-GB"/>
                <w14:textFill>
                  <w14:solidFill>
                    <w14:schemeClr w14:val="tx1"/>
                  </w14:solidFill>
                </w14:textFill>
              </w:rPr>
              <w:t>PALATAL RESECTION</w:t>
            </w:r>
          </w:p>
          <w:p>
            <w:pPr>
              <w:spacing w:after="0" w:line="240" w:lineRule="auto"/>
              <w:jc w:val="center"/>
              <w:textAlignment w:val="bottom"/>
              <w:rPr>
                <w:rFonts w:ascii="Arial" w:hAnsi="Arial" w:eastAsia="Times New Roman" w:cs="Arial"/>
                <w:sz w:val="36"/>
                <w:szCs w:val="36"/>
              </w:rPr>
            </w:pPr>
            <w:r>
              <w:rPr>
                <w:rFonts w:ascii="Calibri" w:hAnsi="Calibri" w:eastAsia="Times New Roman" w:cs="Calibri"/>
                <w:color w:val="000000"/>
                <w:kern w:val="24"/>
                <w:lang w:val="en-GB"/>
              </w:rPr>
              <w:t>Negative Margins</w:t>
            </w:r>
          </w:p>
        </w:tc>
        <w:tc>
          <w:tcPr>
            <w:tcW w:w="0" w:type="auto"/>
            <w:tcBorders>
              <w:top w:val="single" w:color="000000" w:sz="6" w:space="0"/>
              <w:left w:val="nil"/>
              <w:bottom w:val="single" w:color="000000" w:sz="6" w:space="0"/>
              <w:right w:val="single" w:color="000000" w:sz="6" w:space="0"/>
            </w:tcBorders>
            <w:shd w:val="clear" w:color="auto" w:fill="auto"/>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color w:val="000000" w:themeColor="text1"/>
                <w:kern w:val="24"/>
                <w:sz w:val="20"/>
                <w:szCs w:val="20"/>
                <w:lang w:val="en-GB"/>
                <w14:textFill>
                  <w14:solidFill>
                    <w14:schemeClr w14:val="tx1"/>
                  </w14:solidFill>
                </w14:textFill>
              </w:rPr>
              <w:t>TEMPORALIS</w:t>
            </w:r>
          </w:p>
        </w:tc>
      </w:tr>
      <w:tr>
        <w:tblPrEx>
          <w:tblCellMar>
            <w:top w:w="0" w:type="dxa"/>
            <w:left w:w="0" w:type="dxa"/>
            <w:bottom w:w="0" w:type="dxa"/>
            <w:right w:w="0" w:type="dxa"/>
          </w:tblCellMar>
        </w:tblPrEx>
        <w:trPr>
          <w:trHeight w:val="584" w:hRule="atLeast"/>
        </w:trPr>
        <w:tc>
          <w:tcPr>
            <w:tcW w:w="0" w:type="auto"/>
            <w:tcBorders>
              <w:top w:val="single" w:color="000000" w:sz="6" w:space="0"/>
              <w:left w:val="single" w:color="000000" w:sz="6" w:space="0"/>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color w:val="000000" w:themeColor="text1"/>
                <w:kern w:val="24"/>
                <w:sz w:val="32"/>
                <w:szCs w:val="32"/>
                <w:lang w:val="en-GB"/>
                <w14:textFill>
                  <w14:solidFill>
                    <w14:schemeClr w14:val="tx1"/>
                  </w14:solidFill>
                </w14:textFill>
              </w:rPr>
              <w:t>6</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000000" w:themeColor="text1"/>
                <w:kern w:val="24"/>
                <w:sz w:val="32"/>
                <w:szCs w:val="32"/>
                <w:lang w:val="en-GB"/>
                <w14:textFill>
                  <w14:solidFill>
                    <w14:schemeClr w14:val="tx1"/>
                  </w14:solidFill>
                </w14:textFill>
              </w:rPr>
              <w:t>45(F)</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000000" w:themeColor="text1"/>
                <w:kern w:val="24"/>
                <w:sz w:val="28"/>
                <w:szCs w:val="28"/>
                <w:lang w:val="en-GB"/>
                <w14:textFill>
                  <w14:solidFill>
                    <w14:schemeClr w14:val="tx1"/>
                  </w14:solidFill>
                </w14:textFill>
              </w:rPr>
              <w:t>LT MAX</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color w:val="000000" w:themeColor="text1"/>
                <w:kern w:val="24"/>
                <w:sz w:val="20"/>
                <w:szCs w:val="20"/>
                <w:lang w:val="en-GB"/>
                <w14:textFill>
                  <w14:solidFill>
                    <w14:schemeClr w14:val="tx1"/>
                  </w14:solidFill>
                </w14:textFill>
              </w:rPr>
              <w:t>WELL DIFFERENTIATED</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color w:val="000000" w:themeColor="text1"/>
                <w:kern w:val="24"/>
                <w:sz w:val="32"/>
                <w:szCs w:val="32"/>
                <w:lang w:val="en-GB"/>
                <w14:textFill>
                  <w14:solidFill>
                    <w14:schemeClr w14:val="tx1"/>
                  </w14:solidFill>
                </w14:textFill>
              </w:rPr>
              <w:t>IV</w:t>
            </w:r>
          </w:p>
        </w:tc>
        <w:tc>
          <w:tcPr>
            <w:tcW w:w="0" w:type="auto"/>
            <w:tcBorders>
              <w:top w:val="single" w:color="000000" w:sz="6" w:space="0"/>
              <w:left w:val="nil"/>
              <w:bottom w:val="single" w:color="000000" w:sz="6" w:space="0"/>
              <w:right w:val="nil"/>
            </w:tcBorders>
            <w:shd w:val="clear" w:color="auto" w:fill="auto"/>
            <w:tcMar>
              <w:top w:w="15" w:type="dxa"/>
              <w:left w:w="15" w:type="dxa"/>
              <w:bottom w:w="0" w:type="dxa"/>
              <w:right w:w="15" w:type="dxa"/>
            </w:tcMar>
            <w:vAlign w:val="bottom"/>
          </w:tcPr>
          <w:p>
            <w:pPr>
              <w:spacing w:after="0" w:line="240" w:lineRule="auto"/>
              <w:jc w:val="center"/>
              <w:textAlignment w:val="bottom"/>
              <w:rPr>
                <w:rFonts w:ascii="Arial" w:hAnsi="Arial" w:eastAsia="Times New Roman" w:cs="Arial"/>
                <w:sz w:val="36"/>
                <w:szCs w:val="36"/>
              </w:rPr>
            </w:pPr>
            <w:r>
              <w:rPr>
                <w:rFonts w:ascii="Constantia" w:hAnsi="Constantia" w:eastAsia="Times New Roman" w:cs="Arial"/>
                <w:color w:val="000000" w:themeColor="text1"/>
                <w:kern w:val="24"/>
                <w:lang w:val="en-GB"/>
                <w14:textFill>
                  <w14:solidFill>
                    <w14:schemeClr w14:val="tx1"/>
                  </w14:solidFill>
                </w14:textFill>
              </w:rPr>
              <w:t>PALATAL RESECTION</w:t>
            </w:r>
          </w:p>
          <w:p>
            <w:pPr>
              <w:spacing w:after="0" w:line="240" w:lineRule="auto"/>
              <w:jc w:val="center"/>
              <w:textAlignment w:val="bottom"/>
              <w:rPr>
                <w:rFonts w:ascii="Arial" w:hAnsi="Arial" w:eastAsia="Times New Roman" w:cs="Arial"/>
                <w:sz w:val="36"/>
                <w:szCs w:val="36"/>
              </w:rPr>
            </w:pPr>
            <w:r>
              <w:rPr>
                <w:rFonts w:ascii="Calibri" w:hAnsi="Calibri" w:eastAsia="Times New Roman" w:cs="Calibri"/>
                <w:color w:val="000000"/>
                <w:kern w:val="24"/>
                <w:lang w:val="en-GB"/>
              </w:rPr>
              <w:t>Negative Margins</w:t>
            </w:r>
          </w:p>
        </w:tc>
        <w:tc>
          <w:tcPr>
            <w:tcW w:w="0" w:type="auto"/>
            <w:tcBorders>
              <w:top w:val="single" w:color="000000" w:sz="6" w:space="0"/>
              <w:left w:val="nil"/>
              <w:bottom w:val="single" w:color="000000" w:sz="6" w:space="0"/>
              <w:right w:val="single" w:color="000000" w:sz="6" w:space="0"/>
            </w:tcBorders>
            <w:shd w:val="clear" w:color="auto" w:fill="auto"/>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color w:val="000000" w:themeColor="text1"/>
                <w:kern w:val="24"/>
                <w:sz w:val="20"/>
                <w:szCs w:val="20"/>
                <w:lang w:val="en-GB"/>
                <w14:textFill>
                  <w14:solidFill>
                    <w14:schemeClr w14:val="tx1"/>
                  </w14:solidFill>
                </w14:textFill>
              </w:rPr>
              <w:t>TEMPORALIS</w:t>
            </w:r>
          </w:p>
        </w:tc>
      </w:tr>
      <w:tr>
        <w:tblPrEx>
          <w:tblCellMar>
            <w:top w:w="0" w:type="dxa"/>
            <w:left w:w="0" w:type="dxa"/>
            <w:bottom w:w="0" w:type="dxa"/>
            <w:right w:w="0" w:type="dxa"/>
          </w:tblCellMar>
        </w:tblPrEx>
        <w:trPr>
          <w:trHeight w:val="584" w:hRule="atLeast"/>
        </w:trPr>
        <w:tc>
          <w:tcPr>
            <w:tcW w:w="0" w:type="auto"/>
            <w:tcBorders>
              <w:top w:val="single" w:color="000000" w:sz="6" w:space="0"/>
              <w:left w:val="single" w:color="000000" w:sz="6" w:space="0"/>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color w:val="000000" w:themeColor="text1"/>
                <w:kern w:val="24"/>
                <w:sz w:val="32"/>
                <w:szCs w:val="32"/>
                <w:lang w:val="en-GB"/>
                <w14:textFill>
                  <w14:solidFill>
                    <w14:schemeClr w14:val="tx1"/>
                  </w14:solidFill>
                </w14:textFill>
              </w:rPr>
              <w:t>7</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000000" w:themeColor="text1"/>
                <w:kern w:val="24"/>
                <w:sz w:val="32"/>
                <w:szCs w:val="32"/>
                <w:lang w:val="en-GB"/>
                <w14:textFill>
                  <w14:solidFill>
                    <w14:schemeClr w14:val="tx1"/>
                  </w14:solidFill>
                </w14:textFill>
              </w:rPr>
              <w:t>52(M)</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b/>
                <w:bCs/>
                <w:color w:val="000000" w:themeColor="text1"/>
                <w:kern w:val="24"/>
                <w:sz w:val="28"/>
                <w:szCs w:val="28"/>
                <w:lang w:val="en-GB"/>
                <w14:textFill>
                  <w14:solidFill>
                    <w14:schemeClr w14:val="tx1"/>
                  </w14:solidFill>
                </w14:textFill>
              </w:rPr>
              <w:t>LT MAX</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color w:val="000000" w:themeColor="text1"/>
                <w:kern w:val="24"/>
                <w:sz w:val="20"/>
                <w:szCs w:val="20"/>
                <w:lang w:val="en-GB"/>
                <w14:textFill>
                  <w14:solidFill>
                    <w14:schemeClr w14:val="tx1"/>
                  </w14:solidFill>
                </w14:textFill>
              </w:rPr>
              <w:t>MODERATELY DIFFERENTIATED</w:t>
            </w:r>
          </w:p>
        </w:tc>
        <w:tc>
          <w:tcPr>
            <w:tcW w:w="0" w:type="auto"/>
            <w:tcBorders>
              <w:top w:val="single" w:color="000000" w:sz="6" w:space="0"/>
              <w:left w:val="nil"/>
              <w:bottom w:val="single" w:color="000000" w:sz="6" w:space="0"/>
              <w:right w:val="nil"/>
            </w:tcBorders>
            <w:shd w:val="clear" w:color="auto" w:fill="auto"/>
            <w:tcMar>
              <w:top w:w="72" w:type="dxa"/>
              <w:left w:w="144" w:type="dxa"/>
              <w:bottom w:w="72" w:type="dxa"/>
              <w:right w:w="144" w:type="dxa"/>
            </w:tcMar>
          </w:tcPr>
          <w:p>
            <w:pPr>
              <w:spacing w:after="0" w:line="240" w:lineRule="auto"/>
              <w:jc w:val="center"/>
              <w:rPr>
                <w:rFonts w:ascii="Arial" w:hAnsi="Arial" w:eastAsia="Times New Roman" w:cs="Arial"/>
                <w:sz w:val="36"/>
                <w:szCs w:val="36"/>
              </w:rPr>
            </w:pPr>
            <w:r>
              <w:rPr>
                <w:rFonts w:ascii="Constantia" w:hAnsi="Constantia" w:eastAsia="Times New Roman" w:cs="Arial"/>
                <w:color w:val="000000" w:themeColor="text1"/>
                <w:kern w:val="24"/>
                <w:sz w:val="32"/>
                <w:szCs w:val="32"/>
                <w:lang w:val="en-GB"/>
                <w14:textFill>
                  <w14:solidFill>
                    <w14:schemeClr w14:val="tx1"/>
                  </w14:solidFill>
                </w14:textFill>
              </w:rPr>
              <w:t>IV</w:t>
            </w:r>
          </w:p>
        </w:tc>
        <w:tc>
          <w:tcPr>
            <w:tcW w:w="0" w:type="auto"/>
            <w:tcBorders>
              <w:top w:val="single" w:color="000000" w:sz="6" w:space="0"/>
              <w:left w:val="nil"/>
              <w:bottom w:val="single" w:color="000000" w:sz="6" w:space="0"/>
              <w:right w:val="nil"/>
            </w:tcBorders>
            <w:shd w:val="clear" w:color="auto" w:fill="auto"/>
            <w:tcMar>
              <w:top w:w="15" w:type="dxa"/>
              <w:left w:w="15" w:type="dxa"/>
              <w:bottom w:w="0" w:type="dxa"/>
              <w:right w:w="15" w:type="dxa"/>
            </w:tcMar>
            <w:vAlign w:val="bottom"/>
          </w:tcPr>
          <w:p>
            <w:pPr>
              <w:spacing w:after="0" w:line="240" w:lineRule="auto"/>
              <w:jc w:val="center"/>
              <w:textAlignment w:val="bottom"/>
              <w:rPr>
                <w:rFonts w:ascii="Arial" w:hAnsi="Arial" w:eastAsia="Times New Roman" w:cs="Arial"/>
                <w:sz w:val="36"/>
                <w:szCs w:val="36"/>
              </w:rPr>
            </w:pPr>
            <w:r>
              <w:rPr>
                <w:rFonts w:ascii="Constantia" w:hAnsi="Constantia" w:eastAsia="Times New Roman" w:cs="Arial"/>
                <w:color w:val="000000" w:themeColor="text1"/>
                <w:kern w:val="24"/>
                <w:lang w:val="en-GB"/>
                <w14:textFill>
                  <w14:solidFill>
                    <w14:schemeClr w14:val="tx1"/>
                  </w14:solidFill>
                </w14:textFill>
              </w:rPr>
              <w:t>PALATAL RESECTION</w:t>
            </w:r>
          </w:p>
          <w:p>
            <w:pPr>
              <w:spacing w:after="0" w:line="240" w:lineRule="auto"/>
              <w:jc w:val="center"/>
              <w:textAlignment w:val="bottom"/>
              <w:rPr>
                <w:rFonts w:ascii="Arial" w:hAnsi="Arial" w:eastAsia="Times New Roman" w:cs="Arial"/>
                <w:sz w:val="36"/>
                <w:szCs w:val="36"/>
              </w:rPr>
            </w:pPr>
            <w:r>
              <w:rPr>
                <w:rFonts w:ascii="Calibri" w:hAnsi="Calibri" w:eastAsia="Times New Roman" w:cs="Calibri"/>
                <w:color w:val="000000"/>
                <w:kern w:val="24"/>
                <w:lang w:val="en-GB"/>
              </w:rPr>
              <w:t>Negative Margins</w:t>
            </w:r>
          </w:p>
        </w:tc>
        <w:tc>
          <w:tcPr>
            <w:tcW w:w="0" w:type="auto"/>
            <w:tcBorders>
              <w:top w:val="single" w:color="000000" w:sz="6" w:space="0"/>
              <w:left w:val="nil"/>
              <w:bottom w:val="single" w:color="000000" w:sz="6" w:space="0"/>
              <w:right w:val="single" w:color="000000" w:sz="6" w:space="0"/>
            </w:tcBorders>
            <w:shd w:val="clear" w:color="auto" w:fill="auto"/>
            <w:tcMar>
              <w:top w:w="72" w:type="dxa"/>
              <w:left w:w="144" w:type="dxa"/>
              <w:bottom w:w="72" w:type="dxa"/>
              <w:right w:w="144" w:type="dxa"/>
            </w:tcMar>
          </w:tcPr>
          <w:p>
            <w:pPr>
              <w:spacing w:after="0" w:line="240" w:lineRule="auto"/>
              <w:rPr>
                <w:rFonts w:ascii="Arial" w:hAnsi="Arial" w:eastAsia="Times New Roman" w:cs="Arial"/>
                <w:sz w:val="36"/>
                <w:szCs w:val="36"/>
              </w:rPr>
            </w:pPr>
            <w:r>
              <w:rPr>
                <w:rFonts w:ascii="Constantia" w:hAnsi="Constantia" w:eastAsia="Times New Roman" w:cs="Arial"/>
                <w:color w:val="000000" w:themeColor="text1"/>
                <w:kern w:val="24"/>
                <w:sz w:val="20"/>
                <w:szCs w:val="20"/>
                <w:lang w:val="en-GB"/>
                <w14:textFill>
                  <w14:solidFill>
                    <w14:schemeClr w14:val="tx1"/>
                  </w14:solidFill>
                </w14:textFill>
              </w:rPr>
              <w:t>TEMPORALIS</w:t>
            </w:r>
          </w:p>
        </w:tc>
      </w:tr>
    </w:tbl>
    <w:p>
      <w:pPr>
        <w:pStyle w:val="75"/>
        <w:autoSpaceDE w:val="0"/>
        <w:autoSpaceDN w:val="0"/>
        <w:adjustRightInd w:val="0"/>
        <w:spacing w:line="360" w:lineRule="auto"/>
        <w:jc w:val="both"/>
        <w:rPr>
          <w:rFonts w:ascii="Times New Roman" w:hAnsi="Times New Roman" w:cs="Times New Roman"/>
          <w:sz w:val="20"/>
          <w:szCs w:val="20"/>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Segoe UI">
    <w:panose1 w:val="020B0502040204020203"/>
    <w:charset w:val="00"/>
    <w:family w:val="swiss"/>
    <w:pitch w:val="default"/>
    <w:sig w:usb0="E10022FF" w:usb1="C000E47F" w:usb2="00000029" w:usb3="00000000" w:csb0="200001DF" w:csb1="20000000"/>
  </w:font>
  <w:font w:name="Consolas">
    <w:panose1 w:val="020B0609020204030204"/>
    <w:charset w:val="00"/>
    <w:family w:val="modern"/>
    <w:pitch w:val="default"/>
    <w:sig w:usb0="E10002FF" w:usb1="4000FCFF" w:usb2="00000009" w:usb3="00000000" w:csb0="6000019F" w:csb1="DFD70000"/>
  </w:font>
  <w:font w:name="Arial">
    <w:panose1 w:val="020B0604020202020204"/>
    <w:charset w:val="00"/>
    <w:family w:val="swiss"/>
    <w:pitch w:val="default"/>
    <w:sig w:usb0="E0002AFF" w:usb1="C0007843" w:usb2="00000009" w:usb3="00000000" w:csb0="400001FF" w:csb1="FFFF0000"/>
  </w:font>
  <w:font w:name="AdvTT31ea7dbe">
    <w:altName w:val="Cambria"/>
    <w:panose1 w:val="00000000000000000000"/>
    <w:charset w:val="00"/>
    <w:family w:val="roman"/>
    <w:pitch w:val="default"/>
    <w:sig w:usb0="00000000" w:usb1="00000000" w:usb2="00000000" w:usb3="00000000" w:csb0="00000001" w:csb1="00000000"/>
  </w:font>
  <w:font w:name="Book Antiqua">
    <w:altName w:val="Segoe Print"/>
    <w:panose1 w:val="02040602050305030304"/>
    <w:charset w:val="00"/>
    <w:family w:val="roman"/>
    <w:pitch w:val="default"/>
    <w:sig w:usb0="00000000" w:usb1="00000000" w:usb2="00000000" w:usb3="00000000" w:csb0="0000009F" w:csb1="00000000"/>
  </w:font>
  <w:font w:name="MinionPro-Regular">
    <w:altName w:val="MS Mincho"/>
    <w:panose1 w:val="00000000000000000000"/>
    <w:charset w:val="80"/>
    <w:family w:val="roman"/>
    <w:pitch w:val="default"/>
    <w:sig w:usb0="00000000" w:usb1="00000000" w:usb2="00000010" w:usb3="00000000" w:csb0="00020000" w:csb1="00000000"/>
  </w:font>
  <w:font w:name="AdvTT31ea7dbe+fb">
    <w:altName w:val="Calibri"/>
    <w:panose1 w:val="00000000000000000000"/>
    <w:charset w:val="00"/>
    <w:family w:val="auto"/>
    <w:pitch w:val="default"/>
    <w:sig w:usb0="00000000" w:usb1="00000000" w:usb2="00000000" w:usb3="00000000" w:csb0="00000001" w:csb1="00000000"/>
  </w:font>
  <w:font w:name="AdvTT31ea7dbe+20">
    <w:altName w:val="Calibri"/>
    <w:panose1 w:val="00000000000000000000"/>
    <w:charset w:val="00"/>
    <w:family w:val="swiss"/>
    <w:pitch w:val="default"/>
    <w:sig w:usb0="00000000" w:usb1="00000000" w:usb2="00000000" w:usb3="00000000" w:csb0="00000001" w:csb1="00000000"/>
  </w:font>
  <w:font w:name="Cambria">
    <w:panose1 w:val="02040503050406030204"/>
    <w:charset w:val="00"/>
    <w:family w:val="auto"/>
    <w:pitch w:val="default"/>
    <w:sig w:usb0="E00002FF" w:usb1="400004FF" w:usb2="00000000" w:usb3="00000000" w:csb0="2000019F"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Constantia">
    <w:panose1 w:val="02030602050306030303"/>
    <w:charset w:val="00"/>
    <w:family w:val="roman"/>
    <w:pitch w:val="default"/>
    <w:sig w:usb0="A00002EF" w:usb1="4000204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3507AE"/>
    <w:multiLevelType w:val="multilevel"/>
    <w:tmpl w:val="773507A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6F9"/>
    <w:rsid w:val="000008F1"/>
    <w:rsid w:val="000441BD"/>
    <w:rsid w:val="00061CD2"/>
    <w:rsid w:val="0008110F"/>
    <w:rsid w:val="00095B34"/>
    <w:rsid w:val="000D0D06"/>
    <w:rsid w:val="000E0D00"/>
    <w:rsid w:val="0010335F"/>
    <w:rsid w:val="00104164"/>
    <w:rsid w:val="00111E22"/>
    <w:rsid w:val="00136DB9"/>
    <w:rsid w:val="00145040"/>
    <w:rsid w:val="00146A7A"/>
    <w:rsid w:val="001507A3"/>
    <w:rsid w:val="001619C2"/>
    <w:rsid w:val="00176E73"/>
    <w:rsid w:val="00187133"/>
    <w:rsid w:val="001B179F"/>
    <w:rsid w:val="001B53C9"/>
    <w:rsid w:val="001C6423"/>
    <w:rsid w:val="001D3296"/>
    <w:rsid w:val="001E07FF"/>
    <w:rsid w:val="001E3FF4"/>
    <w:rsid w:val="001E7FA5"/>
    <w:rsid w:val="001F5DD7"/>
    <w:rsid w:val="002053ED"/>
    <w:rsid w:val="00205499"/>
    <w:rsid w:val="00213C37"/>
    <w:rsid w:val="00217DBB"/>
    <w:rsid w:val="002364C7"/>
    <w:rsid w:val="00236B8C"/>
    <w:rsid w:val="00245502"/>
    <w:rsid w:val="00250237"/>
    <w:rsid w:val="002705AB"/>
    <w:rsid w:val="00273F5D"/>
    <w:rsid w:val="00284BBA"/>
    <w:rsid w:val="00287DD9"/>
    <w:rsid w:val="00292D18"/>
    <w:rsid w:val="002A1791"/>
    <w:rsid w:val="002A22FA"/>
    <w:rsid w:val="002C0AD7"/>
    <w:rsid w:val="002C4EE7"/>
    <w:rsid w:val="002D3E63"/>
    <w:rsid w:val="002E79A7"/>
    <w:rsid w:val="00311089"/>
    <w:rsid w:val="00324DD6"/>
    <w:rsid w:val="00342CF0"/>
    <w:rsid w:val="00345001"/>
    <w:rsid w:val="00345E65"/>
    <w:rsid w:val="0035521D"/>
    <w:rsid w:val="003A0467"/>
    <w:rsid w:val="003A1086"/>
    <w:rsid w:val="003A4691"/>
    <w:rsid w:val="003C15F1"/>
    <w:rsid w:val="003C1661"/>
    <w:rsid w:val="003E42E1"/>
    <w:rsid w:val="003E50F8"/>
    <w:rsid w:val="003E68D8"/>
    <w:rsid w:val="003F3FA2"/>
    <w:rsid w:val="003F62D4"/>
    <w:rsid w:val="00420EA6"/>
    <w:rsid w:val="00431A3F"/>
    <w:rsid w:val="00433195"/>
    <w:rsid w:val="004341F8"/>
    <w:rsid w:val="00456A7B"/>
    <w:rsid w:val="00462C2D"/>
    <w:rsid w:val="004A0BB4"/>
    <w:rsid w:val="004B1BC4"/>
    <w:rsid w:val="004B47C6"/>
    <w:rsid w:val="004C3AA7"/>
    <w:rsid w:val="004D140C"/>
    <w:rsid w:val="004D164E"/>
    <w:rsid w:val="004E6599"/>
    <w:rsid w:val="004F19C0"/>
    <w:rsid w:val="0050288C"/>
    <w:rsid w:val="005236F9"/>
    <w:rsid w:val="00527AEB"/>
    <w:rsid w:val="00541C8F"/>
    <w:rsid w:val="00544AD1"/>
    <w:rsid w:val="00577116"/>
    <w:rsid w:val="00590AD9"/>
    <w:rsid w:val="005A7D59"/>
    <w:rsid w:val="005A7E89"/>
    <w:rsid w:val="005B20E7"/>
    <w:rsid w:val="005B593F"/>
    <w:rsid w:val="005B773B"/>
    <w:rsid w:val="005D6EE5"/>
    <w:rsid w:val="005E41C5"/>
    <w:rsid w:val="005F15CF"/>
    <w:rsid w:val="006057AA"/>
    <w:rsid w:val="00606150"/>
    <w:rsid w:val="00626051"/>
    <w:rsid w:val="006404FC"/>
    <w:rsid w:val="00645252"/>
    <w:rsid w:val="00652C0F"/>
    <w:rsid w:val="00663B97"/>
    <w:rsid w:val="00687972"/>
    <w:rsid w:val="006904B6"/>
    <w:rsid w:val="006B61A1"/>
    <w:rsid w:val="006C1C7B"/>
    <w:rsid w:val="006D3D74"/>
    <w:rsid w:val="00710708"/>
    <w:rsid w:val="0073749D"/>
    <w:rsid w:val="007565DD"/>
    <w:rsid w:val="00772420"/>
    <w:rsid w:val="00777ECF"/>
    <w:rsid w:val="00780A0F"/>
    <w:rsid w:val="00783EE4"/>
    <w:rsid w:val="007B0ABB"/>
    <w:rsid w:val="007C05B3"/>
    <w:rsid w:val="007C7B84"/>
    <w:rsid w:val="0081356A"/>
    <w:rsid w:val="00814832"/>
    <w:rsid w:val="00825C11"/>
    <w:rsid w:val="0083569A"/>
    <w:rsid w:val="0086158C"/>
    <w:rsid w:val="008661ED"/>
    <w:rsid w:val="008B1341"/>
    <w:rsid w:val="008C1DBC"/>
    <w:rsid w:val="008C317B"/>
    <w:rsid w:val="008C5270"/>
    <w:rsid w:val="008D59AE"/>
    <w:rsid w:val="008E0313"/>
    <w:rsid w:val="008F0746"/>
    <w:rsid w:val="00901F2B"/>
    <w:rsid w:val="00904FAA"/>
    <w:rsid w:val="00910369"/>
    <w:rsid w:val="0091366A"/>
    <w:rsid w:val="00947436"/>
    <w:rsid w:val="0095753B"/>
    <w:rsid w:val="00973261"/>
    <w:rsid w:val="009821D1"/>
    <w:rsid w:val="00985E4C"/>
    <w:rsid w:val="009E07E2"/>
    <w:rsid w:val="00A0397F"/>
    <w:rsid w:val="00A11707"/>
    <w:rsid w:val="00A274C3"/>
    <w:rsid w:val="00A34B10"/>
    <w:rsid w:val="00A542AB"/>
    <w:rsid w:val="00A8765E"/>
    <w:rsid w:val="00A9204E"/>
    <w:rsid w:val="00A96124"/>
    <w:rsid w:val="00AE1731"/>
    <w:rsid w:val="00AF56E4"/>
    <w:rsid w:val="00AF79A7"/>
    <w:rsid w:val="00B1459E"/>
    <w:rsid w:val="00B25974"/>
    <w:rsid w:val="00B37E72"/>
    <w:rsid w:val="00B52BDE"/>
    <w:rsid w:val="00B762EB"/>
    <w:rsid w:val="00B82E7F"/>
    <w:rsid w:val="00B839EE"/>
    <w:rsid w:val="00B85F95"/>
    <w:rsid w:val="00B87481"/>
    <w:rsid w:val="00B87745"/>
    <w:rsid w:val="00BA1176"/>
    <w:rsid w:val="00BA616B"/>
    <w:rsid w:val="00BC170D"/>
    <w:rsid w:val="00BE4931"/>
    <w:rsid w:val="00BF1C23"/>
    <w:rsid w:val="00BF22BC"/>
    <w:rsid w:val="00BF355B"/>
    <w:rsid w:val="00C02DCD"/>
    <w:rsid w:val="00C03101"/>
    <w:rsid w:val="00C05C09"/>
    <w:rsid w:val="00C05DCE"/>
    <w:rsid w:val="00C1381D"/>
    <w:rsid w:val="00C359C1"/>
    <w:rsid w:val="00C6067B"/>
    <w:rsid w:val="00C61F70"/>
    <w:rsid w:val="00C626C9"/>
    <w:rsid w:val="00C65472"/>
    <w:rsid w:val="00C847E4"/>
    <w:rsid w:val="00C938A6"/>
    <w:rsid w:val="00CB0C1C"/>
    <w:rsid w:val="00CC288D"/>
    <w:rsid w:val="00CD3199"/>
    <w:rsid w:val="00D313FF"/>
    <w:rsid w:val="00D324E4"/>
    <w:rsid w:val="00D37B04"/>
    <w:rsid w:val="00D44E32"/>
    <w:rsid w:val="00D458AC"/>
    <w:rsid w:val="00D464A0"/>
    <w:rsid w:val="00D52D52"/>
    <w:rsid w:val="00D6300B"/>
    <w:rsid w:val="00D774DB"/>
    <w:rsid w:val="00DC2E91"/>
    <w:rsid w:val="00DD34D7"/>
    <w:rsid w:val="00DD54AE"/>
    <w:rsid w:val="00DD780D"/>
    <w:rsid w:val="00DD7C02"/>
    <w:rsid w:val="00DE119F"/>
    <w:rsid w:val="00DE2B11"/>
    <w:rsid w:val="00DE54CD"/>
    <w:rsid w:val="00E177B6"/>
    <w:rsid w:val="00E26615"/>
    <w:rsid w:val="00E34F39"/>
    <w:rsid w:val="00E35310"/>
    <w:rsid w:val="00E41436"/>
    <w:rsid w:val="00E43E11"/>
    <w:rsid w:val="00E50DB0"/>
    <w:rsid w:val="00E51408"/>
    <w:rsid w:val="00E66632"/>
    <w:rsid w:val="00E72461"/>
    <w:rsid w:val="00E7254F"/>
    <w:rsid w:val="00E80308"/>
    <w:rsid w:val="00E84B79"/>
    <w:rsid w:val="00E852D7"/>
    <w:rsid w:val="00E93195"/>
    <w:rsid w:val="00E97714"/>
    <w:rsid w:val="00EA492E"/>
    <w:rsid w:val="00EA57C6"/>
    <w:rsid w:val="00EA5D95"/>
    <w:rsid w:val="00EB37FD"/>
    <w:rsid w:val="00ED4EFE"/>
    <w:rsid w:val="00F00692"/>
    <w:rsid w:val="00F01696"/>
    <w:rsid w:val="00F05B72"/>
    <w:rsid w:val="00F12C65"/>
    <w:rsid w:val="00F41001"/>
    <w:rsid w:val="00F44521"/>
    <w:rsid w:val="00F531E2"/>
    <w:rsid w:val="00F5686B"/>
    <w:rsid w:val="00F64ED9"/>
    <w:rsid w:val="00F90CB6"/>
    <w:rsid w:val="00F920B2"/>
    <w:rsid w:val="00FA24D4"/>
    <w:rsid w:val="00FA3292"/>
    <w:rsid w:val="00FB4FB8"/>
    <w:rsid w:val="00FE0796"/>
    <w:rsid w:val="00FE23A4"/>
    <w:rsid w:val="00FF2EC8"/>
    <w:rsid w:val="58D77D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2"/>
      <w:szCs w:val="22"/>
      <w:lang w:val="en-US" w:eastAsia="en-US" w:bidi="ar-SA"/>
    </w:rPr>
  </w:style>
  <w:style w:type="paragraph" w:styleId="3">
    <w:name w:val="heading 1"/>
    <w:basedOn w:val="1"/>
    <w:next w:val="1"/>
    <w:link w:val="41"/>
    <w:qFormat/>
    <w:uiPriority w:val="9"/>
    <w:pPr>
      <w:keepNext/>
      <w:keepLines/>
      <w:spacing w:before="240"/>
      <w:outlineLvl w:val="0"/>
    </w:pPr>
    <w:rPr>
      <w:rFonts w:asciiTheme="majorHAnsi" w:hAnsiTheme="majorHAnsi" w:eastAsiaTheme="majorEastAsia" w:cstheme="majorBidi"/>
      <w:color w:val="1F4E79" w:themeColor="accent1" w:themeShade="80"/>
      <w:sz w:val="32"/>
      <w:szCs w:val="32"/>
    </w:rPr>
  </w:style>
  <w:style w:type="paragraph" w:styleId="4">
    <w:name w:val="heading 2"/>
    <w:basedOn w:val="1"/>
    <w:next w:val="1"/>
    <w:link w:val="42"/>
    <w:unhideWhenUsed/>
    <w:qFormat/>
    <w:uiPriority w:val="9"/>
    <w:pPr>
      <w:keepNext/>
      <w:keepLines/>
      <w:spacing w:before="40"/>
      <w:outlineLvl w:val="1"/>
    </w:pPr>
    <w:rPr>
      <w:rFonts w:asciiTheme="majorHAnsi" w:hAnsiTheme="majorHAnsi" w:eastAsiaTheme="majorEastAsia" w:cstheme="majorBidi"/>
      <w:color w:val="1F4E79" w:themeColor="accent1" w:themeShade="80"/>
      <w:sz w:val="26"/>
      <w:szCs w:val="26"/>
    </w:rPr>
  </w:style>
  <w:style w:type="paragraph" w:styleId="5">
    <w:name w:val="heading 3"/>
    <w:basedOn w:val="1"/>
    <w:next w:val="1"/>
    <w:link w:val="43"/>
    <w:unhideWhenUsed/>
    <w:qFormat/>
    <w:uiPriority w:val="9"/>
    <w:pPr>
      <w:keepNext/>
      <w:keepLines/>
      <w:spacing w:before="40"/>
      <w:outlineLvl w:val="2"/>
    </w:pPr>
    <w:rPr>
      <w:rFonts w:asciiTheme="majorHAnsi" w:hAnsiTheme="majorHAnsi" w:eastAsiaTheme="majorEastAsia" w:cstheme="majorBidi"/>
      <w:color w:val="1F4E79" w:themeColor="accent1" w:themeShade="80"/>
      <w:sz w:val="24"/>
      <w:szCs w:val="24"/>
    </w:rPr>
  </w:style>
  <w:style w:type="paragraph" w:styleId="6">
    <w:name w:val="heading 4"/>
    <w:basedOn w:val="1"/>
    <w:next w:val="1"/>
    <w:link w:val="44"/>
    <w:unhideWhenUsed/>
    <w:qFormat/>
    <w:uiPriority w:val="9"/>
    <w:pPr>
      <w:keepNext/>
      <w:keepLines/>
      <w:spacing w:before="40"/>
      <w:outlineLvl w:val="3"/>
    </w:pPr>
    <w:rPr>
      <w:rFonts w:asciiTheme="majorHAnsi" w:hAnsiTheme="majorHAnsi" w:eastAsiaTheme="majorEastAsia" w:cstheme="majorBidi"/>
      <w:i/>
      <w:iCs/>
      <w:color w:val="1F4E79" w:themeColor="accent1" w:themeShade="80"/>
    </w:rPr>
  </w:style>
  <w:style w:type="paragraph" w:styleId="7">
    <w:name w:val="heading 5"/>
    <w:basedOn w:val="1"/>
    <w:next w:val="1"/>
    <w:link w:val="45"/>
    <w:unhideWhenUsed/>
    <w:qFormat/>
    <w:uiPriority w:val="9"/>
    <w:pPr>
      <w:keepNext/>
      <w:keepLines/>
      <w:spacing w:before="40"/>
      <w:outlineLvl w:val="4"/>
    </w:pPr>
    <w:rPr>
      <w:rFonts w:asciiTheme="majorHAnsi" w:hAnsiTheme="majorHAnsi" w:eastAsiaTheme="majorEastAsia" w:cstheme="majorBidi"/>
      <w:color w:val="1F4E79" w:themeColor="accent1" w:themeShade="80"/>
    </w:rPr>
  </w:style>
  <w:style w:type="paragraph" w:styleId="8">
    <w:name w:val="heading 6"/>
    <w:basedOn w:val="1"/>
    <w:next w:val="1"/>
    <w:link w:val="46"/>
    <w:unhideWhenUsed/>
    <w:qFormat/>
    <w:uiPriority w:val="9"/>
    <w:pPr>
      <w:keepNext/>
      <w:keepLines/>
      <w:spacing w:before="40"/>
      <w:outlineLvl w:val="5"/>
    </w:pPr>
    <w:rPr>
      <w:rFonts w:asciiTheme="majorHAnsi" w:hAnsiTheme="majorHAnsi" w:eastAsiaTheme="majorEastAsia" w:cstheme="majorBidi"/>
      <w:color w:val="1F4E79" w:themeColor="accent1" w:themeShade="80"/>
    </w:rPr>
  </w:style>
  <w:style w:type="paragraph" w:styleId="9">
    <w:name w:val="heading 7"/>
    <w:basedOn w:val="1"/>
    <w:next w:val="1"/>
    <w:link w:val="47"/>
    <w:unhideWhenUsed/>
    <w:qFormat/>
    <w:uiPriority w:val="9"/>
    <w:pPr>
      <w:keepNext/>
      <w:keepLines/>
      <w:spacing w:before="40"/>
      <w:outlineLvl w:val="6"/>
    </w:pPr>
    <w:rPr>
      <w:rFonts w:asciiTheme="majorHAnsi" w:hAnsiTheme="majorHAnsi" w:eastAsiaTheme="majorEastAsia" w:cstheme="majorBidi"/>
      <w:i/>
      <w:iCs/>
      <w:color w:val="1F4E79" w:themeColor="accent1" w:themeShade="80"/>
    </w:rPr>
  </w:style>
  <w:style w:type="paragraph" w:styleId="10">
    <w:name w:val="heading 8"/>
    <w:basedOn w:val="1"/>
    <w:next w:val="1"/>
    <w:link w:val="48"/>
    <w:unhideWhenUsed/>
    <w:qFormat/>
    <w:uiPriority w:val="9"/>
    <w:pPr>
      <w:keepNext/>
      <w:keepLines/>
      <w:spacing w:before="40"/>
      <w:outlineLvl w:val="7"/>
    </w:pPr>
    <w:rPr>
      <w:rFonts w:asciiTheme="majorHAnsi" w:hAnsiTheme="majorHAnsi" w:eastAsiaTheme="majorEastAsia" w:cstheme="majorBidi"/>
      <w:color w:val="262626" w:themeColor="text1" w:themeTint="D9"/>
      <w:szCs w:val="21"/>
      <w14:textFill>
        <w14:solidFill>
          <w14:schemeClr w14:val="tx1">
            <w14:lumMod w14:val="85000"/>
            <w14:lumOff w14:val="15000"/>
          </w14:schemeClr>
        </w14:solidFill>
      </w14:textFill>
    </w:rPr>
  </w:style>
  <w:style w:type="paragraph" w:styleId="11">
    <w:name w:val="heading 9"/>
    <w:basedOn w:val="1"/>
    <w:next w:val="1"/>
    <w:link w:val="49"/>
    <w:unhideWhenUsed/>
    <w:qFormat/>
    <w:uiPriority w:val="9"/>
    <w:pPr>
      <w:keepNext/>
      <w:keepLines/>
      <w:spacing w:before="40"/>
      <w:outlineLvl w:val="8"/>
    </w:pPr>
    <w:rPr>
      <w:rFonts w:asciiTheme="majorHAnsi" w:hAnsiTheme="majorHAnsi" w:eastAsiaTheme="majorEastAsia" w:cstheme="majorBidi"/>
      <w:i/>
      <w:iCs/>
      <w:color w:val="262626" w:themeColor="text1" w:themeTint="D9"/>
      <w:szCs w:val="21"/>
      <w14:textFill>
        <w14:solidFill>
          <w14:schemeClr w14:val="tx1">
            <w14:lumMod w14:val="85000"/>
            <w14:lumOff w14:val="15000"/>
          </w14:schemeClr>
        </w14:solidFill>
      </w14:textFill>
    </w:rPr>
  </w:style>
  <w:style w:type="character" w:default="1" w:styleId="32">
    <w:name w:val="Default Paragraph Font"/>
    <w:semiHidden/>
    <w:unhideWhenUsed/>
    <w:qFormat/>
    <w:uiPriority w:val="1"/>
  </w:style>
  <w:style w:type="table" w:default="1" w:styleId="31">
    <w:name w:val="Normal Table"/>
    <w:semiHidden/>
    <w:unhideWhenUsed/>
    <w:uiPriority w:val="99"/>
    <w:tblPr>
      <w:tblCellMar>
        <w:top w:w="0" w:type="dxa"/>
        <w:left w:w="108" w:type="dxa"/>
        <w:bottom w:w="0" w:type="dxa"/>
        <w:right w:w="108" w:type="dxa"/>
      </w:tblCellMar>
    </w:tblPr>
  </w:style>
  <w:style w:type="paragraph" w:styleId="2">
    <w:name w:val="macro"/>
    <w:link w:val="70"/>
    <w:semiHidden/>
    <w:unhideWhenUsed/>
    <w:uiPriority w:val="99"/>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Theme="minorHAnsi" w:cstheme="minorBidi"/>
      <w:sz w:val="22"/>
      <w:szCs w:val="20"/>
      <w:lang w:val="en-US" w:eastAsia="en-US" w:bidi="ar-SA"/>
    </w:rPr>
  </w:style>
  <w:style w:type="paragraph" w:styleId="12">
    <w:name w:val="caption"/>
    <w:basedOn w:val="1"/>
    <w:next w:val="1"/>
    <w:unhideWhenUsed/>
    <w:qFormat/>
    <w:uiPriority w:val="35"/>
    <w:pPr>
      <w:spacing w:after="200"/>
    </w:pPr>
    <w:rPr>
      <w:i/>
      <w:iCs/>
      <w:color w:val="44546A" w:themeColor="text2"/>
      <w:szCs w:val="18"/>
      <w14:textFill>
        <w14:solidFill>
          <w14:schemeClr w14:val="tx2"/>
        </w14:solidFill>
      </w14:textFill>
    </w:rPr>
  </w:style>
  <w:style w:type="paragraph" w:styleId="13">
    <w:name w:val="Document Map"/>
    <w:basedOn w:val="1"/>
    <w:link w:val="66"/>
    <w:semiHidden/>
    <w:unhideWhenUsed/>
    <w:uiPriority w:val="99"/>
    <w:rPr>
      <w:rFonts w:ascii="Segoe UI" w:hAnsi="Segoe UI" w:cs="Segoe UI"/>
      <w:szCs w:val="16"/>
    </w:rPr>
  </w:style>
  <w:style w:type="paragraph" w:styleId="14">
    <w:name w:val="annotation text"/>
    <w:basedOn w:val="1"/>
    <w:link w:val="64"/>
    <w:semiHidden/>
    <w:unhideWhenUsed/>
    <w:uiPriority w:val="99"/>
    <w:rPr>
      <w:szCs w:val="20"/>
    </w:rPr>
  </w:style>
  <w:style w:type="paragraph" w:styleId="15">
    <w:name w:val="Body Text 3"/>
    <w:basedOn w:val="1"/>
    <w:link w:val="62"/>
    <w:semiHidden/>
    <w:unhideWhenUsed/>
    <w:uiPriority w:val="99"/>
    <w:pPr>
      <w:spacing w:after="120"/>
    </w:pPr>
    <w:rPr>
      <w:szCs w:val="16"/>
    </w:rPr>
  </w:style>
  <w:style w:type="paragraph" w:styleId="16">
    <w:name w:val="Body Text"/>
    <w:basedOn w:val="1"/>
    <w:link w:val="76"/>
    <w:uiPriority w:val="0"/>
    <w:pPr>
      <w:jc w:val="center"/>
    </w:pPr>
    <w:rPr>
      <w:rFonts w:ascii="Arial" w:hAnsi="Arial" w:eastAsia="Times New Roman" w:cs="Arial"/>
      <w:b/>
      <w:bCs/>
      <w:szCs w:val="24"/>
    </w:rPr>
  </w:style>
  <w:style w:type="paragraph" w:styleId="17">
    <w:name w:val="Block Text"/>
    <w:basedOn w:val="1"/>
    <w:semiHidden/>
    <w:unhideWhenUsed/>
    <w:uiPriority w:val="99"/>
    <w:pPr>
      <w:pBdr>
        <w:top w:val="single" w:color="5B9BD5" w:themeColor="accent1" w:sz="2" w:space="10"/>
        <w:left w:val="single" w:color="5B9BD5" w:themeColor="accent1" w:sz="2" w:space="10"/>
        <w:bottom w:val="single" w:color="5B9BD5" w:themeColor="accent1" w:sz="2" w:space="10"/>
        <w:right w:val="single" w:color="5B9BD5" w:themeColor="accent1" w:sz="2" w:space="10"/>
      </w:pBdr>
      <w:ind w:left="1152" w:right="1152"/>
    </w:pPr>
    <w:rPr>
      <w:rFonts w:eastAsiaTheme="minorEastAsia"/>
      <w:i/>
      <w:iCs/>
      <w:color w:val="1F4E79" w:themeColor="accent1" w:themeShade="80"/>
    </w:rPr>
  </w:style>
  <w:style w:type="paragraph" w:styleId="18">
    <w:name w:val="Plain Text"/>
    <w:basedOn w:val="1"/>
    <w:link w:val="71"/>
    <w:semiHidden/>
    <w:unhideWhenUsed/>
    <w:uiPriority w:val="99"/>
    <w:rPr>
      <w:rFonts w:ascii="Consolas" w:hAnsi="Consolas"/>
      <w:szCs w:val="21"/>
    </w:rPr>
  </w:style>
  <w:style w:type="paragraph" w:styleId="19">
    <w:name w:val="endnote text"/>
    <w:basedOn w:val="1"/>
    <w:link w:val="67"/>
    <w:semiHidden/>
    <w:unhideWhenUsed/>
    <w:uiPriority w:val="99"/>
    <w:rPr>
      <w:szCs w:val="20"/>
    </w:rPr>
  </w:style>
  <w:style w:type="paragraph" w:styleId="20">
    <w:name w:val="Balloon Text"/>
    <w:basedOn w:val="1"/>
    <w:link w:val="61"/>
    <w:semiHidden/>
    <w:unhideWhenUsed/>
    <w:uiPriority w:val="99"/>
    <w:rPr>
      <w:rFonts w:ascii="Segoe UI" w:hAnsi="Segoe UI" w:cs="Segoe UI"/>
      <w:szCs w:val="18"/>
    </w:rPr>
  </w:style>
  <w:style w:type="paragraph" w:styleId="21">
    <w:name w:val="footer"/>
    <w:basedOn w:val="1"/>
    <w:link w:val="74"/>
    <w:semiHidden/>
    <w:unhideWhenUsed/>
    <w:uiPriority w:val="99"/>
  </w:style>
  <w:style w:type="paragraph" w:styleId="22">
    <w:name w:val="envelope return"/>
    <w:basedOn w:val="1"/>
    <w:semiHidden/>
    <w:unhideWhenUsed/>
    <w:uiPriority w:val="99"/>
    <w:rPr>
      <w:rFonts w:asciiTheme="majorHAnsi" w:hAnsiTheme="majorHAnsi" w:eastAsiaTheme="majorEastAsia" w:cstheme="majorBidi"/>
      <w:szCs w:val="20"/>
    </w:rPr>
  </w:style>
  <w:style w:type="paragraph" w:styleId="23">
    <w:name w:val="header"/>
    <w:basedOn w:val="1"/>
    <w:link w:val="73"/>
    <w:semiHidden/>
    <w:unhideWhenUsed/>
    <w:uiPriority w:val="99"/>
  </w:style>
  <w:style w:type="paragraph" w:styleId="24">
    <w:name w:val="Subtitle"/>
    <w:basedOn w:val="1"/>
    <w:next w:val="1"/>
    <w:link w:val="51"/>
    <w:qFormat/>
    <w:uiPriority w:val="11"/>
    <w:rPr>
      <w:rFonts w:eastAsiaTheme="minorEastAsia"/>
      <w:color w:val="595959" w:themeColor="text1" w:themeTint="A6"/>
      <w:spacing w:val="15"/>
      <w14:textFill>
        <w14:solidFill>
          <w14:schemeClr w14:val="tx1">
            <w14:lumMod w14:val="65000"/>
            <w14:lumOff w14:val="35000"/>
          </w14:schemeClr>
        </w14:solidFill>
      </w14:textFill>
    </w:rPr>
  </w:style>
  <w:style w:type="paragraph" w:styleId="25">
    <w:name w:val="footnote text"/>
    <w:basedOn w:val="1"/>
    <w:link w:val="68"/>
    <w:semiHidden/>
    <w:unhideWhenUsed/>
    <w:uiPriority w:val="99"/>
    <w:rPr>
      <w:szCs w:val="20"/>
    </w:rPr>
  </w:style>
  <w:style w:type="paragraph" w:styleId="26">
    <w:name w:val="Body Text Indent 3"/>
    <w:basedOn w:val="1"/>
    <w:link w:val="63"/>
    <w:semiHidden/>
    <w:unhideWhenUsed/>
    <w:uiPriority w:val="99"/>
    <w:pPr>
      <w:spacing w:after="120"/>
      <w:ind w:left="360"/>
    </w:pPr>
    <w:rPr>
      <w:szCs w:val="16"/>
    </w:rPr>
  </w:style>
  <w:style w:type="paragraph" w:styleId="27">
    <w:name w:val="toc 9"/>
    <w:basedOn w:val="1"/>
    <w:next w:val="1"/>
    <w:semiHidden/>
    <w:unhideWhenUsed/>
    <w:uiPriority w:val="39"/>
    <w:pPr>
      <w:spacing w:after="120"/>
      <w:ind w:left="1757"/>
    </w:pPr>
  </w:style>
  <w:style w:type="paragraph" w:styleId="28">
    <w:name w:val="HTML Preformatted"/>
    <w:basedOn w:val="1"/>
    <w:link w:val="69"/>
    <w:semiHidden/>
    <w:unhideWhenUsed/>
    <w:uiPriority w:val="99"/>
    <w:rPr>
      <w:rFonts w:ascii="Consolas" w:hAnsi="Consolas"/>
      <w:szCs w:val="20"/>
    </w:rPr>
  </w:style>
  <w:style w:type="paragraph" w:styleId="29">
    <w:name w:val="Title"/>
    <w:basedOn w:val="1"/>
    <w:next w:val="1"/>
    <w:link w:val="50"/>
    <w:qFormat/>
    <w:uiPriority w:val="10"/>
    <w:pPr>
      <w:contextualSpacing/>
    </w:pPr>
    <w:rPr>
      <w:rFonts w:asciiTheme="majorHAnsi" w:hAnsiTheme="majorHAnsi" w:eastAsiaTheme="majorEastAsia" w:cstheme="majorBidi"/>
      <w:spacing w:val="-10"/>
      <w:kern w:val="28"/>
      <w:sz w:val="56"/>
      <w:szCs w:val="56"/>
    </w:rPr>
  </w:style>
  <w:style w:type="paragraph" w:styleId="30">
    <w:name w:val="annotation subject"/>
    <w:basedOn w:val="14"/>
    <w:next w:val="14"/>
    <w:link w:val="65"/>
    <w:semiHidden/>
    <w:unhideWhenUsed/>
    <w:uiPriority w:val="99"/>
    <w:rPr>
      <w:b/>
      <w:bCs/>
    </w:rPr>
  </w:style>
  <w:style w:type="character" w:styleId="33">
    <w:name w:val="Strong"/>
    <w:basedOn w:val="32"/>
    <w:qFormat/>
    <w:uiPriority w:val="22"/>
    <w:rPr>
      <w:b/>
      <w:bCs/>
    </w:rPr>
  </w:style>
  <w:style w:type="character" w:styleId="34">
    <w:name w:val="FollowedHyperlink"/>
    <w:basedOn w:val="32"/>
    <w:unhideWhenUsed/>
    <w:uiPriority w:val="99"/>
    <w:rPr>
      <w:color w:val="954F72" w:themeColor="followedHyperlink"/>
      <w:u w:val="single"/>
      <w14:textFill>
        <w14:solidFill>
          <w14:schemeClr w14:val="folHlink"/>
        </w14:solidFill>
      </w14:textFill>
    </w:rPr>
  </w:style>
  <w:style w:type="character" w:styleId="35">
    <w:name w:val="Emphasis"/>
    <w:basedOn w:val="32"/>
    <w:qFormat/>
    <w:uiPriority w:val="20"/>
    <w:rPr>
      <w:i/>
      <w:iCs/>
    </w:rPr>
  </w:style>
  <w:style w:type="character" w:styleId="36">
    <w:name w:val="HTML Typewriter"/>
    <w:basedOn w:val="32"/>
    <w:semiHidden/>
    <w:unhideWhenUsed/>
    <w:uiPriority w:val="99"/>
    <w:rPr>
      <w:rFonts w:ascii="Consolas" w:hAnsi="Consolas"/>
      <w:sz w:val="22"/>
      <w:szCs w:val="20"/>
    </w:rPr>
  </w:style>
  <w:style w:type="character" w:styleId="37">
    <w:name w:val="Hyperlink"/>
    <w:basedOn w:val="32"/>
    <w:unhideWhenUsed/>
    <w:uiPriority w:val="99"/>
    <w:rPr>
      <w:color w:val="1F4E79" w:themeColor="accent1" w:themeShade="80"/>
      <w:u w:val="single"/>
    </w:rPr>
  </w:style>
  <w:style w:type="character" w:styleId="38">
    <w:name w:val="HTML Code"/>
    <w:basedOn w:val="32"/>
    <w:semiHidden/>
    <w:unhideWhenUsed/>
    <w:uiPriority w:val="99"/>
    <w:rPr>
      <w:rFonts w:ascii="Consolas" w:hAnsi="Consolas"/>
      <w:sz w:val="22"/>
      <w:szCs w:val="20"/>
    </w:rPr>
  </w:style>
  <w:style w:type="character" w:styleId="39">
    <w:name w:val="annotation reference"/>
    <w:basedOn w:val="32"/>
    <w:semiHidden/>
    <w:unhideWhenUsed/>
    <w:uiPriority w:val="99"/>
    <w:rPr>
      <w:sz w:val="22"/>
      <w:szCs w:val="16"/>
    </w:rPr>
  </w:style>
  <w:style w:type="character" w:styleId="40">
    <w:name w:val="HTML Keyboard"/>
    <w:basedOn w:val="32"/>
    <w:semiHidden/>
    <w:unhideWhenUsed/>
    <w:uiPriority w:val="99"/>
    <w:rPr>
      <w:rFonts w:ascii="Consolas" w:hAnsi="Consolas"/>
      <w:sz w:val="22"/>
      <w:szCs w:val="20"/>
    </w:rPr>
  </w:style>
  <w:style w:type="character" w:customStyle="1" w:styleId="41">
    <w:name w:val="Heading 1 Char"/>
    <w:basedOn w:val="32"/>
    <w:link w:val="3"/>
    <w:qFormat/>
    <w:uiPriority w:val="9"/>
    <w:rPr>
      <w:rFonts w:asciiTheme="majorHAnsi" w:hAnsiTheme="majorHAnsi" w:eastAsiaTheme="majorEastAsia" w:cstheme="majorBidi"/>
      <w:color w:val="1F4E79" w:themeColor="accent1" w:themeShade="80"/>
      <w:sz w:val="32"/>
      <w:szCs w:val="32"/>
    </w:rPr>
  </w:style>
  <w:style w:type="character" w:customStyle="1" w:styleId="42">
    <w:name w:val="Heading 2 Char"/>
    <w:basedOn w:val="32"/>
    <w:link w:val="4"/>
    <w:qFormat/>
    <w:uiPriority w:val="9"/>
    <w:rPr>
      <w:rFonts w:asciiTheme="majorHAnsi" w:hAnsiTheme="majorHAnsi" w:eastAsiaTheme="majorEastAsia" w:cstheme="majorBidi"/>
      <w:color w:val="1F4E79" w:themeColor="accent1" w:themeShade="80"/>
      <w:sz w:val="26"/>
      <w:szCs w:val="26"/>
    </w:rPr>
  </w:style>
  <w:style w:type="character" w:customStyle="1" w:styleId="43">
    <w:name w:val="Heading 3 Char"/>
    <w:basedOn w:val="32"/>
    <w:link w:val="5"/>
    <w:uiPriority w:val="9"/>
    <w:rPr>
      <w:rFonts w:asciiTheme="majorHAnsi" w:hAnsiTheme="majorHAnsi" w:eastAsiaTheme="majorEastAsia" w:cstheme="majorBidi"/>
      <w:color w:val="1F4E79" w:themeColor="accent1" w:themeShade="80"/>
      <w:sz w:val="24"/>
      <w:szCs w:val="24"/>
    </w:rPr>
  </w:style>
  <w:style w:type="character" w:customStyle="1" w:styleId="44">
    <w:name w:val="Heading 4 Char"/>
    <w:basedOn w:val="32"/>
    <w:link w:val="6"/>
    <w:qFormat/>
    <w:uiPriority w:val="9"/>
    <w:rPr>
      <w:rFonts w:asciiTheme="majorHAnsi" w:hAnsiTheme="majorHAnsi" w:eastAsiaTheme="majorEastAsia" w:cstheme="majorBidi"/>
      <w:i/>
      <w:iCs/>
      <w:color w:val="1F4E79" w:themeColor="accent1" w:themeShade="80"/>
    </w:rPr>
  </w:style>
  <w:style w:type="character" w:customStyle="1" w:styleId="45">
    <w:name w:val="Heading 5 Char"/>
    <w:basedOn w:val="32"/>
    <w:link w:val="7"/>
    <w:uiPriority w:val="9"/>
    <w:rPr>
      <w:rFonts w:asciiTheme="majorHAnsi" w:hAnsiTheme="majorHAnsi" w:eastAsiaTheme="majorEastAsia" w:cstheme="majorBidi"/>
      <w:color w:val="1F4E79" w:themeColor="accent1" w:themeShade="80"/>
    </w:rPr>
  </w:style>
  <w:style w:type="character" w:customStyle="1" w:styleId="46">
    <w:name w:val="Heading 6 Char"/>
    <w:basedOn w:val="32"/>
    <w:link w:val="8"/>
    <w:uiPriority w:val="9"/>
    <w:rPr>
      <w:rFonts w:asciiTheme="majorHAnsi" w:hAnsiTheme="majorHAnsi" w:eastAsiaTheme="majorEastAsia" w:cstheme="majorBidi"/>
      <w:color w:val="1F4E79" w:themeColor="accent1" w:themeShade="80"/>
    </w:rPr>
  </w:style>
  <w:style w:type="character" w:customStyle="1" w:styleId="47">
    <w:name w:val="Heading 7 Char"/>
    <w:basedOn w:val="32"/>
    <w:link w:val="9"/>
    <w:uiPriority w:val="9"/>
    <w:rPr>
      <w:rFonts w:asciiTheme="majorHAnsi" w:hAnsiTheme="majorHAnsi" w:eastAsiaTheme="majorEastAsia" w:cstheme="majorBidi"/>
      <w:i/>
      <w:iCs/>
      <w:color w:val="1F4E79" w:themeColor="accent1" w:themeShade="80"/>
    </w:rPr>
  </w:style>
  <w:style w:type="character" w:customStyle="1" w:styleId="48">
    <w:name w:val="Heading 8 Char"/>
    <w:basedOn w:val="32"/>
    <w:link w:val="10"/>
    <w:uiPriority w:val="9"/>
    <w:rPr>
      <w:rFonts w:asciiTheme="majorHAnsi" w:hAnsiTheme="majorHAnsi" w:eastAsiaTheme="majorEastAsia" w:cstheme="majorBidi"/>
      <w:color w:val="262626" w:themeColor="text1" w:themeTint="D9"/>
      <w:szCs w:val="21"/>
      <w14:textFill>
        <w14:solidFill>
          <w14:schemeClr w14:val="tx1">
            <w14:lumMod w14:val="85000"/>
            <w14:lumOff w14:val="15000"/>
          </w14:schemeClr>
        </w14:solidFill>
      </w14:textFill>
    </w:rPr>
  </w:style>
  <w:style w:type="character" w:customStyle="1" w:styleId="49">
    <w:name w:val="Heading 9 Char"/>
    <w:basedOn w:val="32"/>
    <w:link w:val="11"/>
    <w:uiPriority w:val="9"/>
    <w:rPr>
      <w:rFonts w:asciiTheme="majorHAnsi" w:hAnsiTheme="majorHAnsi" w:eastAsiaTheme="majorEastAsia" w:cstheme="majorBidi"/>
      <w:i/>
      <w:iCs/>
      <w:color w:val="262626" w:themeColor="text1" w:themeTint="D9"/>
      <w:szCs w:val="21"/>
      <w14:textFill>
        <w14:solidFill>
          <w14:schemeClr w14:val="tx1">
            <w14:lumMod w14:val="85000"/>
            <w14:lumOff w14:val="15000"/>
          </w14:schemeClr>
        </w14:solidFill>
      </w14:textFill>
    </w:rPr>
  </w:style>
  <w:style w:type="character" w:customStyle="1" w:styleId="50">
    <w:name w:val="Title Char"/>
    <w:basedOn w:val="32"/>
    <w:link w:val="29"/>
    <w:uiPriority w:val="10"/>
    <w:rPr>
      <w:rFonts w:asciiTheme="majorHAnsi" w:hAnsiTheme="majorHAnsi" w:eastAsiaTheme="majorEastAsia" w:cstheme="majorBidi"/>
      <w:spacing w:val="-10"/>
      <w:kern w:val="28"/>
      <w:sz w:val="56"/>
      <w:szCs w:val="56"/>
    </w:rPr>
  </w:style>
  <w:style w:type="character" w:customStyle="1" w:styleId="51">
    <w:name w:val="Subtitle Char"/>
    <w:basedOn w:val="32"/>
    <w:link w:val="24"/>
    <w:uiPriority w:val="11"/>
    <w:rPr>
      <w:rFonts w:eastAsiaTheme="minorEastAsia"/>
      <w:color w:val="595959" w:themeColor="text1" w:themeTint="A6"/>
      <w:spacing w:val="15"/>
      <w14:textFill>
        <w14:solidFill>
          <w14:schemeClr w14:val="tx1">
            <w14:lumMod w14:val="65000"/>
            <w14:lumOff w14:val="35000"/>
          </w14:schemeClr>
        </w14:solidFill>
      </w14:textFill>
    </w:rPr>
  </w:style>
  <w:style w:type="character" w:customStyle="1" w:styleId="52">
    <w:name w:val="Subtle Emphasis"/>
    <w:basedOn w:val="32"/>
    <w:qFormat/>
    <w:uiPriority w:val="19"/>
    <w:rPr>
      <w:i/>
      <w:iCs/>
      <w:color w:val="404040" w:themeColor="text1" w:themeTint="BF"/>
      <w14:textFill>
        <w14:solidFill>
          <w14:schemeClr w14:val="tx1">
            <w14:lumMod w14:val="75000"/>
            <w14:lumOff w14:val="25000"/>
          </w14:schemeClr>
        </w14:solidFill>
      </w14:textFill>
    </w:rPr>
  </w:style>
  <w:style w:type="character" w:customStyle="1" w:styleId="53">
    <w:name w:val="Intense Emphasis"/>
    <w:basedOn w:val="32"/>
    <w:qFormat/>
    <w:uiPriority w:val="21"/>
    <w:rPr>
      <w:i/>
      <w:iCs/>
      <w:color w:val="1F4E79" w:themeColor="accent1" w:themeShade="80"/>
    </w:rPr>
  </w:style>
  <w:style w:type="paragraph" w:styleId="54">
    <w:name w:val="Quote"/>
    <w:basedOn w:val="1"/>
    <w:next w:val="1"/>
    <w:link w:val="55"/>
    <w:qFormat/>
    <w:uiPriority w:val="29"/>
    <w:pPr>
      <w:spacing w:before="20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5">
    <w:name w:val="Quote Char"/>
    <w:basedOn w:val="32"/>
    <w:link w:val="54"/>
    <w:uiPriority w:val="29"/>
    <w:rPr>
      <w:i/>
      <w:iCs/>
      <w:color w:val="404040" w:themeColor="text1" w:themeTint="BF"/>
      <w14:textFill>
        <w14:solidFill>
          <w14:schemeClr w14:val="tx1">
            <w14:lumMod w14:val="75000"/>
            <w14:lumOff w14:val="25000"/>
          </w14:schemeClr>
        </w14:solidFill>
      </w14:textFill>
    </w:rPr>
  </w:style>
  <w:style w:type="paragraph" w:styleId="56">
    <w:name w:val="Intense Quote"/>
    <w:basedOn w:val="1"/>
    <w:next w:val="1"/>
    <w:link w:val="57"/>
    <w:qFormat/>
    <w:uiPriority w:val="30"/>
    <w:pPr>
      <w:pBdr>
        <w:top w:val="single" w:color="1F4E79" w:themeColor="accent1" w:themeShade="80" w:sz="4" w:space="10"/>
        <w:bottom w:val="single" w:color="1F4E79" w:themeColor="accent1" w:themeShade="80" w:sz="4" w:space="10"/>
      </w:pBdr>
      <w:spacing w:before="360" w:after="360"/>
      <w:ind w:left="864" w:right="864"/>
      <w:jc w:val="center"/>
    </w:pPr>
    <w:rPr>
      <w:i/>
      <w:iCs/>
      <w:color w:val="1F4E79" w:themeColor="accent1" w:themeShade="80"/>
    </w:rPr>
  </w:style>
  <w:style w:type="character" w:customStyle="1" w:styleId="57">
    <w:name w:val="Intense Quote Char"/>
    <w:basedOn w:val="32"/>
    <w:link w:val="56"/>
    <w:uiPriority w:val="30"/>
    <w:rPr>
      <w:i/>
      <w:iCs/>
      <w:color w:val="1F4E79" w:themeColor="accent1" w:themeShade="80"/>
    </w:rPr>
  </w:style>
  <w:style w:type="character" w:customStyle="1" w:styleId="58">
    <w:name w:val="Subtle Reference"/>
    <w:basedOn w:val="32"/>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Intense Reference"/>
    <w:basedOn w:val="32"/>
    <w:qFormat/>
    <w:uiPriority w:val="32"/>
    <w:rPr>
      <w:b/>
      <w:bCs/>
      <w:smallCaps/>
      <w:color w:val="1F4E79" w:themeColor="accent1" w:themeShade="80"/>
      <w:spacing w:val="5"/>
    </w:rPr>
  </w:style>
  <w:style w:type="character" w:customStyle="1" w:styleId="60">
    <w:name w:val="Book Title"/>
    <w:basedOn w:val="32"/>
    <w:qFormat/>
    <w:uiPriority w:val="33"/>
    <w:rPr>
      <w:b/>
      <w:bCs/>
      <w:i/>
      <w:iCs/>
      <w:spacing w:val="5"/>
    </w:rPr>
  </w:style>
  <w:style w:type="character" w:customStyle="1" w:styleId="61">
    <w:name w:val="Balloon Text Char"/>
    <w:basedOn w:val="32"/>
    <w:link w:val="20"/>
    <w:semiHidden/>
    <w:uiPriority w:val="99"/>
    <w:rPr>
      <w:rFonts w:ascii="Segoe UI" w:hAnsi="Segoe UI" w:cs="Segoe UI"/>
      <w:szCs w:val="18"/>
    </w:rPr>
  </w:style>
  <w:style w:type="character" w:customStyle="1" w:styleId="62">
    <w:name w:val="Body Text 3 Char"/>
    <w:basedOn w:val="32"/>
    <w:link w:val="15"/>
    <w:semiHidden/>
    <w:uiPriority w:val="99"/>
    <w:rPr>
      <w:szCs w:val="16"/>
    </w:rPr>
  </w:style>
  <w:style w:type="character" w:customStyle="1" w:styleId="63">
    <w:name w:val="Body Text Indent 3 Char"/>
    <w:basedOn w:val="32"/>
    <w:link w:val="26"/>
    <w:semiHidden/>
    <w:uiPriority w:val="99"/>
    <w:rPr>
      <w:szCs w:val="16"/>
    </w:rPr>
  </w:style>
  <w:style w:type="character" w:customStyle="1" w:styleId="64">
    <w:name w:val="Comment Text Char"/>
    <w:basedOn w:val="32"/>
    <w:link w:val="14"/>
    <w:semiHidden/>
    <w:uiPriority w:val="99"/>
    <w:rPr>
      <w:szCs w:val="20"/>
    </w:rPr>
  </w:style>
  <w:style w:type="character" w:customStyle="1" w:styleId="65">
    <w:name w:val="Comment Subject Char"/>
    <w:basedOn w:val="64"/>
    <w:link w:val="30"/>
    <w:semiHidden/>
    <w:uiPriority w:val="99"/>
    <w:rPr>
      <w:b/>
      <w:bCs/>
      <w:szCs w:val="20"/>
    </w:rPr>
  </w:style>
  <w:style w:type="character" w:customStyle="1" w:styleId="66">
    <w:name w:val="Document Map Char"/>
    <w:basedOn w:val="32"/>
    <w:link w:val="13"/>
    <w:semiHidden/>
    <w:uiPriority w:val="99"/>
    <w:rPr>
      <w:rFonts w:ascii="Segoe UI" w:hAnsi="Segoe UI" w:cs="Segoe UI"/>
      <w:szCs w:val="16"/>
    </w:rPr>
  </w:style>
  <w:style w:type="character" w:customStyle="1" w:styleId="67">
    <w:name w:val="Endnote Text Char"/>
    <w:basedOn w:val="32"/>
    <w:link w:val="19"/>
    <w:semiHidden/>
    <w:uiPriority w:val="99"/>
    <w:rPr>
      <w:szCs w:val="20"/>
    </w:rPr>
  </w:style>
  <w:style w:type="character" w:customStyle="1" w:styleId="68">
    <w:name w:val="Footnote Text Char"/>
    <w:basedOn w:val="32"/>
    <w:link w:val="25"/>
    <w:semiHidden/>
    <w:uiPriority w:val="99"/>
    <w:rPr>
      <w:szCs w:val="20"/>
    </w:rPr>
  </w:style>
  <w:style w:type="character" w:customStyle="1" w:styleId="69">
    <w:name w:val="HTML Preformatted Char"/>
    <w:basedOn w:val="32"/>
    <w:link w:val="28"/>
    <w:semiHidden/>
    <w:uiPriority w:val="99"/>
    <w:rPr>
      <w:rFonts w:ascii="Consolas" w:hAnsi="Consolas"/>
      <w:szCs w:val="20"/>
    </w:rPr>
  </w:style>
  <w:style w:type="character" w:customStyle="1" w:styleId="70">
    <w:name w:val="Macro Text Char"/>
    <w:basedOn w:val="32"/>
    <w:link w:val="2"/>
    <w:semiHidden/>
    <w:uiPriority w:val="99"/>
    <w:rPr>
      <w:rFonts w:ascii="Consolas" w:hAnsi="Consolas"/>
      <w:szCs w:val="20"/>
    </w:rPr>
  </w:style>
  <w:style w:type="character" w:customStyle="1" w:styleId="71">
    <w:name w:val="Plain Text Char"/>
    <w:basedOn w:val="32"/>
    <w:link w:val="18"/>
    <w:semiHidden/>
    <w:uiPriority w:val="99"/>
    <w:rPr>
      <w:rFonts w:ascii="Consolas" w:hAnsi="Consolas"/>
      <w:szCs w:val="21"/>
    </w:rPr>
  </w:style>
  <w:style w:type="character" w:styleId="72">
    <w:name w:val="Placeholder Text"/>
    <w:basedOn w:val="32"/>
    <w:semiHidden/>
    <w:uiPriority w:val="99"/>
    <w:rPr>
      <w:color w:val="3B3838" w:themeColor="background2" w:themeShade="40"/>
    </w:rPr>
  </w:style>
  <w:style w:type="character" w:customStyle="1" w:styleId="73">
    <w:name w:val="Header Char"/>
    <w:basedOn w:val="32"/>
    <w:link w:val="23"/>
    <w:semiHidden/>
    <w:uiPriority w:val="99"/>
  </w:style>
  <w:style w:type="character" w:customStyle="1" w:styleId="74">
    <w:name w:val="Footer Char"/>
    <w:basedOn w:val="32"/>
    <w:link w:val="21"/>
    <w:semiHidden/>
    <w:uiPriority w:val="99"/>
  </w:style>
  <w:style w:type="paragraph" w:styleId="75">
    <w:name w:val="List Paragraph"/>
    <w:basedOn w:val="1"/>
    <w:unhideWhenUsed/>
    <w:qFormat/>
    <w:uiPriority w:val="34"/>
    <w:pPr>
      <w:ind w:left="720"/>
      <w:contextualSpacing/>
    </w:pPr>
  </w:style>
  <w:style w:type="character" w:customStyle="1" w:styleId="76">
    <w:name w:val="Body Text Char"/>
    <w:basedOn w:val="32"/>
    <w:link w:val="16"/>
    <w:uiPriority w:val="0"/>
    <w:rPr>
      <w:rFonts w:ascii="Arial" w:hAnsi="Arial" w:eastAsia="Times New Roman" w:cs="Arial"/>
      <w:b/>
      <w:bCs/>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4.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wzia\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3A7E92-E05A-4924-9E8A-9F6659E5855B}">
  <ds:schemaRefs/>
</ds:datastoreItem>
</file>

<file path=customXml/itemProps3.xml><?xml version="1.0" encoding="utf-8"?>
<ds:datastoreItem xmlns:ds="http://schemas.openxmlformats.org/officeDocument/2006/customXml" ds:itemID="{C01C3C56-10DB-49F7-B061-44D8728D078A}">
  <ds:schemaRefs/>
</ds:datastoreItem>
</file>

<file path=customXml/itemProps4.xml><?xml version="1.0" encoding="utf-8"?>
<ds:datastoreItem xmlns:ds="http://schemas.openxmlformats.org/officeDocument/2006/customXml" ds:itemID="{7FBDB1CC-CEFB-4E46-8174-1F0AA0D30B24}">
  <ds:schemaRefs/>
</ds:datastoreItem>
</file>

<file path=docProps/app.xml><?xml version="1.0" encoding="utf-8"?>
<Properties xmlns="http://schemas.openxmlformats.org/officeDocument/2006/extended-properties" xmlns:vt="http://schemas.openxmlformats.org/officeDocument/2006/docPropsVTypes">
  <Template>Single spaced (blank)</Template>
  <Pages>7</Pages>
  <Words>2235</Words>
  <Characters>12740</Characters>
  <Lines>106</Lines>
  <Paragraphs>29</Paragraphs>
  <TotalTime>2</TotalTime>
  <ScaleCrop>false</ScaleCrop>
  <LinksUpToDate>false</LinksUpToDate>
  <CharactersWithSpaces>14946</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2020-08-28T08:33:00Z</dcterms:created>
  <dc:creator>Fawzia Butt</dc:creator>
  <cp:lastModifiedBy>lala</cp:lastModifiedBy>
  <dcterms:modified xsi:type="dcterms:W3CDTF">2020-09-11T00:59:34Z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KSOProductBuildVer">
    <vt:lpwstr>2052-11.1.0.9912</vt:lpwstr>
  </property>
</Properties>
</file>