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72" w:rsidRPr="00113BF2" w:rsidRDefault="00680672" w:rsidP="0068067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ASSOCIATION BETWEEN SERUM POTASSIUM ION ABNORMALITIES AND CLINICO-RADIOLOGIC PARAMETERS IN </w:t>
      </w:r>
      <w:r w:rsidRPr="00113BF2">
        <w:rPr>
          <w:rFonts w:ascii="Times New Roman" w:hAnsi="Times New Roman" w:cs="Times New Roman"/>
          <w:b/>
          <w:sz w:val="24"/>
          <w:szCs w:val="24"/>
        </w:rPr>
        <w:t xml:space="preserve">SEVERE TRAUMATIC BRAIN INJURY </w:t>
      </w:r>
    </w:p>
    <w:p w:rsidR="00680672" w:rsidRDefault="00680672" w:rsidP="00680672">
      <w:pPr>
        <w:spacing w:after="0" w:line="480" w:lineRule="auto"/>
        <w:rPr>
          <w:rFonts w:ascii="Times New Roman" w:hAnsi="Times New Roman" w:cs="Times New Roman"/>
          <w:b/>
          <w:sz w:val="24"/>
          <w:szCs w:val="24"/>
        </w:rPr>
      </w:pPr>
      <w:r w:rsidRPr="00C96F4A">
        <w:rPr>
          <w:rFonts w:ascii="Times New Roman" w:hAnsi="Times New Roman" w:cs="Times New Roman"/>
          <w:b/>
          <w:sz w:val="24"/>
          <w:szCs w:val="24"/>
        </w:rPr>
        <w:t xml:space="preserve">Authors: </w:t>
      </w:r>
    </w:p>
    <w:p w:rsidR="00680672" w:rsidRPr="001535D6" w:rsidRDefault="00680672" w:rsidP="00680672">
      <w:pPr>
        <w:pStyle w:val="ListParagraph"/>
        <w:numPr>
          <w:ilvl w:val="0"/>
          <w:numId w:val="2"/>
        </w:numPr>
        <w:spacing w:after="0" w:line="276" w:lineRule="auto"/>
        <w:rPr>
          <w:rFonts w:ascii="Times New Roman" w:hAnsi="Times New Roman" w:cs="Times New Roman"/>
          <w:sz w:val="24"/>
          <w:szCs w:val="24"/>
        </w:rPr>
      </w:pPr>
      <w:r w:rsidRPr="001535D6">
        <w:rPr>
          <w:rFonts w:ascii="Times New Roman" w:hAnsi="Times New Roman" w:cs="Times New Roman"/>
          <w:sz w:val="24"/>
          <w:szCs w:val="24"/>
        </w:rPr>
        <w:t xml:space="preserve">Mwachaka Philip (BSc, </w:t>
      </w:r>
      <w:proofErr w:type="spellStart"/>
      <w:r w:rsidRPr="001535D6">
        <w:rPr>
          <w:rFonts w:ascii="Times New Roman" w:hAnsi="Times New Roman" w:cs="Times New Roman"/>
          <w:sz w:val="24"/>
          <w:szCs w:val="24"/>
        </w:rPr>
        <w:t>MBChB</w:t>
      </w:r>
      <w:proofErr w:type="spellEnd"/>
      <w:r w:rsidRPr="001535D6">
        <w:rPr>
          <w:rFonts w:ascii="Times New Roman" w:hAnsi="Times New Roman" w:cs="Times New Roman"/>
          <w:sz w:val="24"/>
          <w:szCs w:val="24"/>
        </w:rPr>
        <w:t>, MSc)</w:t>
      </w:r>
      <w:r w:rsidRPr="001535D6">
        <w:rPr>
          <w:rFonts w:ascii="Times New Roman" w:hAnsi="Times New Roman" w:cs="Times New Roman"/>
          <w:sz w:val="24"/>
          <w:szCs w:val="24"/>
          <w:vertAlign w:val="superscript"/>
        </w:rPr>
        <w:t>1</w:t>
      </w:r>
    </w:p>
    <w:p w:rsidR="00680672" w:rsidRDefault="00680672" w:rsidP="00680672">
      <w:pPr>
        <w:pStyle w:val="ListParagraph"/>
        <w:numPr>
          <w:ilvl w:val="0"/>
          <w:numId w:val="2"/>
        </w:numPr>
        <w:spacing w:after="0" w:line="276" w:lineRule="auto"/>
        <w:rPr>
          <w:rFonts w:ascii="Times New Roman" w:hAnsi="Times New Roman" w:cs="Times New Roman"/>
          <w:sz w:val="24"/>
          <w:szCs w:val="24"/>
        </w:rPr>
      </w:pPr>
      <w:proofErr w:type="spellStart"/>
      <w:r w:rsidRPr="001535D6">
        <w:rPr>
          <w:rFonts w:ascii="Times New Roman" w:hAnsi="Times New Roman" w:cs="Times New Roman"/>
          <w:sz w:val="24"/>
          <w:szCs w:val="24"/>
        </w:rPr>
        <w:t>Amayo</w:t>
      </w:r>
      <w:proofErr w:type="spellEnd"/>
      <w:r w:rsidRPr="001535D6">
        <w:rPr>
          <w:rFonts w:ascii="Times New Roman" w:hAnsi="Times New Roman" w:cs="Times New Roman"/>
          <w:sz w:val="24"/>
          <w:szCs w:val="24"/>
        </w:rPr>
        <w:t xml:space="preserve"> Angela (</w:t>
      </w:r>
      <w:proofErr w:type="spellStart"/>
      <w:r w:rsidRPr="001535D6">
        <w:rPr>
          <w:rFonts w:ascii="Times New Roman" w:hAnsi="Times New Roman" w:cs="Times New Roman"/>
          <w:sz w:val="24"/>
          <w:szCs w:val="24"/>
        </w:rPr>
        <w:t>MBChB</w:t>
      </w:r>
      <w:proofErr w:type="spellEnd"/>
      <w:r w:rsidRPr="001535D6">
        <w:rPr>
          <w:rFonts w:ascii="Times New Roman" w:hAnsi="Times New Roman" w:cs="Times New Roman"/>
          <w:sz w:val="24"/>
          <w:szCs w:val="24"/>
        </w:rPr>
        <w:t>, MMED Pathology)</w:t>
      </w:r>
      <w:r w:rsidRPr="001535D6">
        <w:rPr>
          <w:rFonts w:ascii="Times New Roman" w:hAnsi="Times New Roman" w:cs="Times New Roman"/>
          <w:sz w:val="24"/>
          <w:szCs w:val="24"/>
          <w:vertAlign w:val="superscript"/>
        </w:rPr>
        <w:t>2</w:t>
      </w:r>
    </w:p>
    <w:p w:rsidR="00680672" w:rsidRDefault="00680672" w:rsidP="00680672">
      <w:pPr>
        <w:pStyle w:val="ListParagraph"/>
        <w:numPr>
          <w:ilvl w:val="0"/>
          <w:numId w:val="2"/>
        </w:numPr>
        <w:spacing w:after="0" w:line="276" w:lineRule="auto"/>
        <w:rPr>
          <w:rFonts w:ascii="Times New Roman" w:hAnsi="Times New Roman" w:cs="Times New Roman"/>
          <w:sz w:val="24"/>
          <w:szCs w:val="24"/>
        </w:rPr>
      </w:pPr>
      <w:proofErr w:type="spellStart"/>
      <w:r w:rsidRPr="001535D6">
        <w:rPr>
          <w:rFonts w:ascii="Times New Roman" w:hAnsi="Times New Roman" w:cs="Times New Roman"/>
          <w:sz w:val="24"/>
          <w:szCs w:val="24"/>
        </w:rPr>
        <w:t>Mwang’ombe</w:t>
      </w:r>
      <w:proofErr w:type="spellEnd"/>
      <w:r w:rsidRPr="001535D6">
        <w:rPr>
          <w:rFonts w:ascii="Times New Roman" w:hAnsi="Times New Roman" w:cs="Times New Roman"/>
          <w:sz w:val="24"/>
          <w:szCs w:val="24"/>
        </w:rPr>
        <w:t xml:space="preserve"> Nimrod (</w:t>
      </w:r>
      <w:proofErr w:type="spellStart"/>
      <w:r w:rsidRPr="001535D6">
        <w:rPr>
          <w:rFonts w:ascii="Times New Roman" w:hAnsi="Times New Roman" w:cs="Times New Roman"/>
          <w:sz w:val="24"/>
          <w:szCs w:val="24"/>
        </w:rPr>
        <w:t>MBChB</w:t>
      </w:r>
      <w:proofErr w:type="spellEnd"/>
      <w:r w:rsidRPr="001535D6">
        <w:rPr>
          <w:rFonts w:ascii="Times New Roman" w:hAnsi="Times New Roman" w:cs="Times New Roman"/>
          <w:sz w:val="24"/>
          <w:szCs w:val="24"/>
        </w:rPr>
        <w:t xml:space="preserve">, </w:t>
      </w:r>
      <w:proofErr w:type="spellStart"/>
      <w:r w:rsidRPr="001535D6">
        <w:rPr>
          <w:rFonts w:ascii="Times New Roman" w:hAnsi="Times New Roman" w:cs="Times New Roman"/>
          <w:sz w:val="24"/>
          <w:szCs w:val="24"/>
        </w:rPr>
        <w:t>MMed</w:t>
      </w:r>
      <w:proofErr w:type="spellEnd"/>
      <w:r w:rsidRPr="001535D6">
        <w:rPr>
          <w:rFonts w:ascii="Times New Roman" w:hAnsi="Times New Roman" w:cs="Times New Roman"/>
          <w:sz w:val="24"/>
          <w:szCs w:val="24"/>
        </w:rPr>
        <w:t xml:space="preserve"> Surgery, PhD)</w:t>
      </w:r>
      <w:r w:rsidRPr="001535D6">
        <w:rPr>
          <w:rFonts w:ascii="Times New Roman" w:hAnsi="Times New Roman" w:cs="Times New Roman"/>
          <w:sz w:val="24"/>
          <w:szCs w:val="24"/>
          <w:vertAlign w:val="superscript"/>
        </w:rPr>
        <w:t>1</w:t>
      </w:r>
    </w:p>
    <w:p w:rsidR="00680672" w:rsidRPr="001535D6" w:rsidRDefault="00680672" w:rsidP="00680672">
      <w:pPr>
        <w:pStyle w:val="ListParagraph"/>
        <w:numPr>
          <w:ilvl w:val="0"/>
          <w:numId w:val="2"/>
        </w:numPr>
        <w:spacing w:after="0" w:line="276" w:lineRule="auto"/>
        <w:rPr>
          <w:rFonts w:ascii="Times New Roman" w:hAnsi="Times New Roman" w:cs="Times New Roman"/>
          <w:sz w:val="24"/>
          <w:szCs w:val="24"/>
        </w:rPr>
      </w:pPr>
      <w:proofErr w:type="spellStart"/>
      <w:r w:rsidRPr="001535D6">
        <w:rPr>
          <w:rFonts w:ascii="Times New Roman" w:hAnsi="Times New Roman" w:cs="Times New Roman"/>
          <w:sz w:val="24"/>
          <w:szCs w:val="24"/>
        </w:rPr>
        <w:t>Kitunguu</w:t>
      </w:r>
      <w:proofErr w:type="spellEnd"/>
      <w:r w:rsidRPr="001535D6">
        <w:rPr>
          <w:rFonts w:ascii="Times New Roman" w:hAnsi="Times New Roman" w:cs="Times New Roman"/>
          <w:sz w:val="24"/>
          <w:szCs w:val="24"/>
        </w:rPr>
        <w:t xml:space="preserve"> Peter (BSc, </w:t>
      </w:r>
      <w:proofErr w:type="spellStart"/>
      <w:r w:rsidRPr="001535D6">
        <w:rPr>
          <w:rFonts w:ascii="Times New Roman" w:hAnsi="Times New Roman" w:cs="Times New Roman"/>
          <w:sz w:val="24"/>
          <w:szCs w:val="24"/>
        </w:rPr>
        <w:t>MBChB</w:t>
      </w:r>
      <w:proofErr w:type="spellEnd"/>
      <w:r w:rsidRPr="001535D6">
        <w:rPr>
          <w:rFonts w:ascii="Times New Roman" w:hAnsi="Times New Roman" w:cs="Times New Roman"/>
          <w:sz w:val="24"/>
          <w:szCs w:val="24"/>
        </w:rPr>
        <w:t xml:space="preserve">, </w:t>
      </w:r>
      <w:proofErr w:type="spellStart"/>
      <w:r w:rsidRPr="001535D6">
        <w:rPr>
          <w:rFonts w:ascii="Times New Roman" w:hAnsi="Times New Roman" w:cs="Times New Roman"/>
          <w:sz w:val="24"/>
          <w:szCs w:val="24"/>
        </w:rPr>
        <w:t>M.Med</w:t>
      </w:r>
      <w:proofErr w:type="spellEnd"/>
      <w:r w:rsidRPr="001535D6">
        <w:rPr>
          <w:rFonts w:ascii="Times New Roman" w:hAnsi="Times New Roman" w:cs="Times New Roman"/>
          <w:sz w:val="24"/>
          <w:szCs w:val="24"/>
        </w:rPr>
        <w:t xml:space="preserve"> Neurosurgery)</w:t>
      </w:r>
      <w:r w:rsidRPr="001535D6">
        <w:rPr>
          <w:rFonts w:ascii="Times New Roman" w:hAnsi="Times New Roman" w:cs="Times New Roman"/>
          <w:sz w:val="24"/>
          <w:szCs w:val="24"/>
          <w:vertAlign w:val="superscript"/>
        </w:rPr>
        <w:t>1</w:t>
      </w:r>
      <w:r w:rsidRPr="001535D6">
        <w:rPr>
          <w:rFonts w:ascii="Times New Roman" w:hAnsi="Times New Roman" w:cs="Times New Roman"/>
          <w:b/>
          <w:sz w:val="24"/>
          <w:szCs w:val="24"/>
        </w:rPr>
        <w:t xml:space="preserve"> </w:t>
      </w:r>
    </w:p>
    <w:p w:rsidR="00680672" w:rsidRPr="00C96F4A" w:rsidRDefault="00680672" w:rsidP="00680672">
      <w:pPr>
        <w:spacing w:before="240" w:after="0" w:line="480" w:lineRule="auto"/>
        <w:rPr>
          <w:rFonts w:ascii="Times New Roman" w:hAnsi="Times New Roman" w:cs="Times New Roman"/>
          <w:b/>
          <w:sz w:val="24"/>
          <w:szCs w:val="24"/>
        </w:rPr>
      </w:pPr>
      <w:r w:rsidRPr="00C96F4A">
        <w:rPr>
          <w:rFonts w:ascii="Times New Roman" w:hAnsi="Times New Roman" w:cs="Times New Roman"/>
          <w:b/>
          <w:sz w:val="24"/>
          <w:szCs w:val="24"/>
        </w:rPr>
        <w:t>Affiliations</w:t>
      </w:r>
    </w:p>
    <w:p w:rsidR="00680672" w:rsidRPr="00C96F4A" w:rsidRDefault="00680672" w:rsidP="00680672">
      <w:pPr>
        <w:pStyle w:val="ListParagraph"/>
        <w:numPr>
          <w:ilvl w:val="0"/>
          <w:numId w:val="1"/>
        </w:numPr>
        <w:spacing w:after="0" w:line="360" w:lineRule="auto"/>
        <w:rPr>
          <w:rFonts w:ascii="Times New Roman" w:hAnsi="Times New Roman" w:cs="Times New Roman"/>
          <w:sz w:val="24"/>
          <w:szCs w:val="24"/>
        </w:rPr>
      </w:pPr>
      <w:r w:rsidRPr="00C96F4A">
        <w:rPr>
          <w:rFonts w:ascii="Times New Roman" w:hAnsi="Times New Roman" w:cs="Times New Roman"/>
          <w:sz w:val="24"/>
          <w:szCs w:val="24"/>
        </w:rPr>
        <w:t xml:space="preserve">Department </w:t>
      </w:r>
      <w:r w:rsidRPr="009A47D8">
        <w:rPr>
          <w:rFonts w:ascii="Times New Roman" w:hAnsi="Times New Roman" w:cs="Times New Roman"/>
          <w:sz w:val="24"/>
          <w:szCs w:val="24"/>
        </w:rPr>
        <w:t>of</w:t>
      </w:r>
      <w:r w:rsidRPr="00C96F4A">
        <w:rPr>
          <w:rFonts w:ascii="Times New Roman" w:hAnsi="Times New Roman" w:cs="Times New Roman"/>
          <w:sz w:val="24"/>
          <w:szCs w:val="24"/>
        </w:rPr>
        <w:t xml:space="preserve"> Surgery, Neurosurgery unit, University of Nairobi-Kenya</w:t>
      </w:r>
    </w:p>
    <w:p w:rsidR="00680672" w:rsidRPr="00C96F4A" w:rsidRDefault="00680672" w:rsidP="00680672">
      <w:pPr>
        <w:pStyle w:val="ListParagraph"/>
        <w:numPr>
          <w:ilvl w:val="0"/>
          <w:numId w:val="1"/>
        </w:numPr>
        <w:spacing w:after="0" w:line="360" w:lineRule="auto"/>
        <w:rPr>
          <w:rFonts w:ascii="Times New Roman" w:hAnsi="Times New Roman" w:cs="Times New Roman"/>
          <w:sz w:val="24"/>
          <w:szCs w:val="24"/>
        </w:rPr>
      </w:pPr>
      <w:r w:rsidRPr="00C96F4A">
        <w:rPr>
          <w:rFonts w:ascii="Times New Roman" w:hAnsi="Times New Roman" w:cs="Times New Roman"/>
          <w:sz w:val="24"/>
          <w:szCs w:val="24"/>
        </w:rPr>
        <w:t>Department of Pathology, University of Nairobi-Kenya</w:t>
      </w:r>
    </w:p>
    <w:p w:rsidR="00680672" w:rsidRPr="00C96F4A" w:rsidRDefault="00680672" w:rsidP="00680672">
      <w:pPr>
        <w:spacing w:before="240" w:after="0" w:line="360" w:lineRule="auto"/>
        <w:rPr>
          <w:rFonts w:ascii="Times New Roman" w:hAnsi="Times New Roman" w:cs="Times New Roman"/>
          <w:sz w:val="24"/>
          <w:szCs w:val="24"/>
        </w:rPr>
      </w:pPr>
      <w:r w:rsidRPr="00C96F4A">
        <w:rPr>
          <w:rFonts w:ascii="Times New Roman" w:hAnsi="Times New Roman" w:cs="Times New Roman"/>
          <w:b/>
          <w:sz w:val="24"/>
          <w:szCs w:val="24"/>
        </w:rPr>
        <w:t>Corresponding author</w:t>
      </w:r>
      <w:r>
        <w:rPr>
          <w:rFonts w:ascii="Times New Roman" w:hAnsi="Times New Roman" w:cs="Times New Roman"/>
          <w:b/>
          <w:sz w:val="24"/>
          <w:szCs w:val="24"/>
        </w:rPr>
        <w:t xml:space="preserve">: </w:t>
      </w:r>
      <w:r w:rsidRPr="00C96F4A">
        <w:rPr>
          <w:rFonts w:ascii="Times New Roman" w:hAnsi="Times New Roman" w:cs="Times New Roman"/>
          <w:sz w:val="24"/>
          <w:szCs w:val="24"/>
        </w:rPr>
        <w:t>Dr Philip Mwachaka</w:t>
      </w:r>
      <w:r>
        <w:rPr>
          <w:rFonts w:ascii="Times New Roman" w:hAnsi="Times New Roman" w:cs="Times New Roman"/>
          <w:sz w:val="24"/>
          <w:szCs w:val="24"/>
        </w:rPr>
        <w:t xml:space="preserve">, </w:t>
      </w:r>
      <w:r w:rsidRPr="00C96F4A">
        <w:rPr>
          <w:rFonts w:ascii="Times New Roman" w:hAnsi="Times New Roman" w:cs="Times New Roman"/>
          <w:sz w:val="24"/>
          <w:szCs w:val="24"/>
        </w:rPr>
        <w:t>Department of Surgery, University of Nairobi-Kenya,</w:t>
      </w:r>
      <w:r>
        <w:rPr>
          <w:rFonts w:ascii="Times New Roman" w:hAnsi="Times New Roman" w:cs="Times New Roman"/>
          <w:sz w:val="24"/>
          <w:szCs w:val="24"/>
        </w:rPr>
        <w:t xml:space="preserve"> </w:t>
      </w:r>
      <w:r w:rsidRPr="00C96F4A">
        <w:rPr>
          <w:rFonts w:ascii="Times New Roman" w:hAnsi="Times New Roman" w:cs="Times New Roman"/>
          <w:sz w:val="24"/>
          <w:szCs w:val="24"/>
        </w:rPr>
        <w:t>P. O. Box 9721, 00100 GPO Nairobi.</w:t>
      </w:r>
      <w:r>
        <w:rPr>
          <w:rFonts w:ascii="Times New Roman" w:hAnsi="Times New Roman" w:cs="Times New Roman"/>
          <w:sz w:val="24"/>
          <w:szCs w:val="24"/>
        </w:rPr>
        <w:t xml:space="preserve"> </w:t>
      </w:r>
      <w:r w:rsidRPr="00C96F4A">
        <w:rPr>
          <w:rFonts w:ascii="Times New Roman" w:hAnsi="Times New Roman" w:cs="Times New Roman"/>
          <w:sz w:val="24"/>
          <w:szCs w:val="24"/>
        </w:rPr>
        <w:t xml:space="preserve">Email: </w:t>
      </w:r>
      <w:hyperlink r:id="rId5" w:history="1">
        <w:r w:rsidRPr="00C96F4A">
          <w:rPr>
            <w:rStyle w:val="Hyperlink"/>
            <w:rFonts w:ascii="Times New Roman" w:hAnsi="Times New Roman" w:cs="Times New Roman"/>
            <w:sz w:val="24"/>
            <w:szCs w:val="24"/>
          </w:rPr>
          <w:t>pmaseghe@gmail.com</w:t>
        </w:r>
      </w:hyperlink>
      <w:r>
        <w:rPr>
          <w:rStyle w:val="Hyperlink"/>
          <w:rFonts w:ascii="Times New Roman" w:hAnsi="Times New Roman" w:cs="Times New Roman"/>
          <w:sz w:val="24"/>
          <w:szCs w:val="24"/>
        </w:rPr>
        <w:t xml:space="preserve">. </w:t>
      </w:r>
      <w:r w:rsidRPr="00C96F4A">
        <w:rPr>
          <w:rFonts w:ascii="Times New Roman" w:hAnsi="Times New Roman" w:cs="Times New Roman"/>
          <w:sz w:val="24"/>
          <w:szCs w:val="24"/>
        </w:rPr>
        <w:t>Phone: +254723353913</w:t>
      </w:r>
    </w:p>
    <w:p w:rsidR="00680672" w:rsidRPr="00963816" w:rsidRDefault="00680672" w:rsidP="00680672">
      <w:pPr>
        <w:spacing w:after="0" w:line="276" w:lineRule="auto"/>
        <w:rPr>
          <w:rFonts w:ascii="Times New Roman" w:hAnsi="Times New Roman" w:cs="Times New Roman"/>
          <w:b/>
          <w:sz w:val="24"/>
          <w:szCs w:val="24"/>
        </w:rPr>
      </w:pPr>
    </w:p>
    <w:p w:rsidR="00680672" w:rsidRDefault="00680672" w:rsidP="00680672">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Author contribution</w:t>
      </w:r>
    </w:p>
    <w:p w:rsidR="00680672" w:rsidRPr="00406FAF" w:rsidRDefault="00680672" w:rsidP="00680672">
      <w:pPr>
        <w:spacing w:after="0" w:line="480" w:lineRule="auto"/>
        <w:rPr>
          <w:rFonts w:ascii="Times New Roman" w:hAnsi="Times New Roman" w:cs="Times New Roman"/>
          <w:sz w:val="24"/>
          <w:szCs w:val="24"/>
        </w:rPr>
      </w:pPr>
      <w:r w:rsidRPr="00406FAF">
        <w:rPr>
          <w:rFonts w:ascii="Times New Roman" w:hAnsi="Times New Roman" w:cs="Times New Roman"/>
          <w:i/>
          <w:sz w:val="24"/>
          <w:szCs w:val="24"/>
        </w:rPr>
        <w:t xml:space="preserve">Mwachaka </w:t>
      </w:r>
      <w:r>
        <w:rPr>
          <w:rFonts w:ascii="Times New Roman" w:hAnsi="Times New Roman" w:cs="Times New Roman"/>
          <w:i/>
          <w:sz w:val="24"/>
          <w:szCs w:val="24"/>
        </w:rPr>
        <w:t>P</w:t>
      </w:r>
      <w:r w:rsidRPr="00406FAF">
        <w:rPr>
          <w:rFonts w:ascii="Times New Roman" w:hAnsi="Times New Roman" w:cs="Times New Roman"/>
          <w:i/>
          <w:sz w:val="24"/>
          <w:szCs w:val="24"/>
        </w:rPr>
        <w:t>:</w:t>
      </w:r>
      <w:r w:rsidRPr="00406FAF">
        <w:rPr>
          <w:rFonts w:ascii="Times New Roman" w:hAnsi="Times New Roman" w:cs="Times New Roman"/>
          <w:sz w:val="24"/>
          <w:szCs w:val="24"/>
        </w:rPr>
        <w:t xml:space="preserve"> conceptualization, data curation, methodology, formal analysis, investigation, writing – original draft. </w:t>
      </w:r>
      <w:proofErr w:type="spellStart"/>
      <w:r w:rsidRPr="00406FAF">
        <w:rPr>
          <w:rFonts w:ascii="Times New Roman" w:hAnsi="Times New Roman" w:cs="Times New Roman"/>
          <w:i/>
          <w:sz w:val="24"/>
          <w:szCs w:val="24"/>
        </w:rPr>
        <w:t>Amayo</w:t>
      </w:r>
      <w:proofErr w:type="spellEnd"/>
      <w:r w:rsidRPr="00406FAF">
        <w:rPr>
          <w:rFonts w:ascii="Times New Roman" w:hAnsi="Times New Roman" w:cs="Times New Roman"/>
          <w:i/>
          <w:sz w:val="24"/>
          <w:szCs w:val="24"/>
        </w:rPr>
        <w:t xml:space="preserve"> </w:t>
      </w:r>
      <w:r>
        <w:rPr>
          <w:rFonts w:ascii="Times New Roman" w:hAnsi="Times New Roman" w:cs="Times New Roman"/>
          <w:i/>
          <w:sz w:val="24"/>
          <w:szCs w:val="24"/>
        </w:rPr>
        <w:t>A</w:t>
      </w:r>
      <w:r w:rsidRPr="00406FAF">
        <w:rPr>
          <w:rFonts w:ascii="Times New Roman" w:hAnsi="Times New Roman" w:cs="Times New Roman"/>
          <w:i/>
          <w:sz w:val="24"/>
          <w:szCs w:val="24"/>
        </w:rPr>
        <w:t>:</w:t>
      </w:r>
      <w:r w:rsidRPr="00406FAF">
        <w:rPr>
          <w:rFonts w:ascii="Times New Roman" w:hAnsi="Times New Roman" w:cs="Times New Roman"/>
          <w:sz w:val="24"/>
          <w:szCs w:val="24"/>
        </w:rPr>
        <w:t xml:space="preserve"> conceptualization, methodology, resources, supervision, validation, writing – review &amp; editing. </w:t>
      </w:r>
      <w:proofErr w:type="spellStart"/>
      <w:r w:rsidRPr="00406FAF">
        <w:rPr>
          <w:rFonts w:ascii="Times New Roman" w:hAnsi="Times New Roman" w:cs="Times New Roman"/>
          <w:i/>
          <w:sz w:val="24"/>
          <w:szCs w:val="24"/>
        </w:rPr>
        <w:t>Mwang’ombe</w:t>
      </w:r>
      <w:proofErr w:type="spellEnd"/>
      <w:r w:rsidRPr="00406FAF">
        <w:rPr>
          <w:rFonts w:ascii="Times New Roman" w:hAnsi="Times New Roman" w:cs="Times New Roman"/>
          <w:i/>
          <w:sz w:val="24"/>
          <w:szCs w:val="24"/>
        </w:rPr>
        <w:t xml:space="preserve"> </w:t>
      </w:r>
      <w:r>
        <w:rPr>
          <w:rFonts w:ascii="Times New Roman" w:hAnsi="Times New Roman" w:cs="Times New Roman"/>
          <w:i/>
          <w:sz w:val="24"/>
          <w:szCs w:val="24"/>
        </w:rPr>
        <w:t>N</w:t>
      </w:r>
      <w:r w:rsidRPr="00406FAF">
        <w:rPr>
          <w:rFonts w:ascii="Times New Roman" w:hAnsi="Times New Roman" w:cs="Times New Roman"/>
          <w:i/>
          <w:sz w:val="24"/>
          <w:szCs w:val="24"/>
        </w:rPr>
        <w:t>:</w:t>
      </w:r>
      <w:r w:rsidRPr="00406FAF">
        <w:rPr>
          <w:rFonts w:ascii="Times New Roman" w:hAnsi="Times New Roman" w:cs="Times New Roman"/>
          <w:sz w:val="24"/>
          <w:szCs w:val="24"/>
        </w:rPr>
        <w:t xml:space="preserve"> conceptualization, methodology, resources, supervision, validation, writing – review &amp; editing. </w:t>
      </w:r>
      <w:proofErr w:type="spellStart"/>
      <w:r w:rsidRPr="00406FAF">
        <w:rPr>
          <w:rFonts w:ascii="Times New Roman" w:hAnsi="Times New Roman" w:cs="Times New Roman"/>
          <w:i/>
          <w:sz w:val="24"/>
          <w:szCs w:val="24"/>
        </w:rPr>
        <w:t>Kitunguu</w:t>
      </w:r>
      <w:proofErr w:type="spellEnd"/>
      <w:r w:rsidRPr="00406FAF">
        <w:rPr>
          <w:rFonts w:ascii="Times New Roman" w:hAnsi="Times New Roman" w:cs="Times New Roman"/>
          <w:i/>
          <w:sz w:val="24"/>
          <w:szCs w:val="24"/>
        </w:rPr>
        <w:t xml:space="preserve"> </w:t>
      </w:r>
      <w:r>
        <w:rPr>
          <w:rFonts w:ascii="Times New Roman" w:hAnsi="Times New Roman" w:cs="Times New Roman"/>
          <w:i/>
          <w:sz w:val="24"/>
          <w:szCs w:val="24"/>
        </w:rPr>
        <w:t>P</w:t>
      </w:r>
      <w:r w:rsidRPr="00406FAF">
        <w:rPr>
          <w:rFonts w:ascii="Times New Roman" w:hAnsi="Times New Roman" w:cs="Times New Roman"/>
          <w:sz w:val="24"/>
          <w:szCs w:val="24"/>
        </w:rPr>
        <w:t>: conceptualization, methodology, resources, supervision, validation, writing – review &amp; editing</w:t>
      </w:r>
      <w:r>
        <w:rPr>
          <w:rFonts w:ascii="Times New Roman" w:hAnsi="Times New Roman" w:cs="Times New Roman"/>
          <w:sz w:val="24"/>
          <w:szCs w:val="24"/>
        </w:rPr>
        <w:t>.</w:t>
      </w:r>
    </w:p>
    <w:p w:rsidR="00680672" w:rsidRDefault="00680672" w:rsidP="00680672">
      <w:pPr>
        <w:spacing w:after="120" w:line="360" w:lineRule="auto"/>
        <w:rPr>
          <w:rFonts w:ascii="Times New Roman" w:hAnsi="Times New Roman" w:cs="Times New Roman"/>
          <w:b/>
          <w:sz w:val="24"/>
          <w:szCs w:val="24"/>
        </w:rPr>
      </w:pPr>
    </w:p>
    <w:p w:rsidR="00680672" w:rsidRDefault="00680672" w:rsidP="00680672">
      <w:pPr>
        <w:spacing w:after="120" w:line="360" w:lineRule="auto"/>
        <w:rPr>
          <w:rFonts w:ascii="Times New Roman" w:hAnsi="Times New Roman" w:cs="Times New Roman"/>
          <w:sz w:val="24"/>
          <w:szCs w:val="24"/>
        </w:rPr>
      </w:pPr>
      <w:r w:rsidRPr="005D736E">
        <w:rPr>
          <w:rFonts w:ascii="Times New Roman" w:hAnsi="Times New Roman" w:cs="Times New Roman"/>
          <w:b/>
          <w:sz w:val="24"/>
          <w:szCs w:val="24"/>
        </w:rPr>
        <w:t>Word count</w:t>
      </w:r>
      <w:r>
        <w:rPr>
          <w:rFonts w:ascii="Times New Roman" w:hAnsi="Times New Roman" w:cs="Times New Roman"/>
          <w:b/>
          <w:sz w:val="24"/>
          <w:szCs w:val="24"/>
        </w:rPr>
        <w:t xml:space="preserve">: </w:t>
      </w:r>
      <w:r>
        <w:rPr>
          <w:rFonts w:ascii="Times New Roman" w:hAnsi="Times New Roman" w:cs="Times New Roman"/>
          <w:sz w:val="24"/>
          <w:szCs w:val="24"/>
        </w:rPr>
        <w:t>1889</w:t>
      </w:r>
    </w:p>
    <w:p w:rsidR="00680672" w:rsidRDefault="00680672" w:rsidP="00680672">
      <w:pPr>
        <w:spacing w:after="120" w:line="360" w:lineRule="auto"/>
        <w:rPr>
          <w:rFonts w:ascii="Times New Roman" w:hAnsi="Times New Roman" w:cs="Times New Roman"/>
          <w:b/>
          <w:sz w:val="24"/>
          <w:szCs w:val="24"/>
        </w:rPr>
      </w:pPr>
      <w:r w:rsidRPr="005D736E">
        <w:rPr>
          <w:rFonts w:ascii="Times New Roman" w:hAnsi="Times New Roman" w:cs="Times New Roman"/>
          <w:b/>
          <w:sz w:val="24"/>
          <w:szCs w:val="24"/>
        </w:rPr>
        <w:t>Number of Figures</w:t>
      </w:r>
      <w:r>
        <w:rPr>
          <w:rFonts w:ascii="Times New Roman" w:hAnsi="Times New Roman" w:cs="Times New Roman"/>
          <w:b/>
          <w:sz w:val="24"/>
          <w:szCs w:val="24"/>
        </w:rPr>
        <w:t xml:space="preserve"> (1)</w:t>
      </w:r>
      <w:r w:rsidRPr="005D736E">
        <w:rPr>
          <w:rFonts w:ascii="Times New Roman" w:hAnsi="Times New Roman" w:cs="Times New Roman"/>
          <w:b/>
          <w:sz w:val="24"/>
          <w:szCs w:val="24"/>
        </w:rPr>
        <w:t xml:space="preserve"> and Tables</w:t>
      </w:r>
      <w:r>
        <w:rPr>
          <w:rFonts w:ascii="Times New Roman" w:hAnsi="Times New Roman" w:cs="Times New Roman"/>
          <w:b/>
          <w:sz w:val="24"/>
          <w:szCs w:val="24"/>
        </w:rPr>
        <w:t xml:space="preserve"> (4)</w:t>
      </w:r>
    </w:p>
    <w:p w:rsidR="00680672" w:rsidRPr="00C96F4A" w:rsidRDefault="00680672" w:rsidP="00680672">
      <w:pPr>
        <w:spacing w:after="120" w:line="360" w:lineRule="auto"/>
        <w:rPr>
          <w:rFonts w:ascii="Times New Roman" w:hAnsi="Times New Roman" w:cs="Times New Roman"/>
          <w:sz w:val="24"/>
          <w:szCs w:val="24"/>
        </w:rPr>
      </w:pPr>
      <w:r w:rsidRPr="00C96F4A">
        <w:rPr>
          <w:rFonts w:ascii="Times New Roman" w:hAnsi="Times New Roman" w:cs="Times New Roman"/>
          <w:b/>
          <w:sz w:val="24"/>
          <w:szCs w:val="24"/>
        </w:rPr>
        <w:t>Key words:</w:t>
      </w:r>
      <w:r w:rsidRPr="00C96F4A">
        <w:rPr>
          <w:rFonts w:ascii="Times New Roman" w:hAnsi="Times New Roman" w:cs="Times New Roman"/>
          <w:sz w:val="24"/>
          <w:szCs w:val="24"/>
        </w:rPr>
        <w:t xml:space="preserve"> Traumatic brain injury, </w:t>
      </w:r>
      <w:proofErr w:type="spellStart"/>
      <w:r w:rsidRPr="00C96F4A">
        <w:rPr>
          <w:rFonts w:ascii="Times New Roman" w:hAnsi="Times New Roman" w:cs="Times New Roman"/>
          <w:sz w:val="24"/>
          <w:szCs w:val="24"/>
        </w:rPr>
        <w:t>hypo</w:t>
      </w:r>
      <w:r>
        <w:rPr>
          <w:rFonts w:ascii="Times New Roman" w:hAnsi="Times New Roman" w:cs="Times New Roman"/>
          <w:sz w:val="24"/>
          <w:szCs w:val="24"/>
        </w:rPr>
        <w:t>kalemia</w:t>
      </w:r>
      <w:proofErr w:type="spellEnd"/>
      <w:r w:rsidRPr="00C96F4A">
        <w:rPr>
          <w:rFonts w:ascii="Times New Roman" w:hAnsi="Times New Roman" w:cs="Times New Roman"/>
          <w:sz w:val="24"/>
          <w:szCs w:val="24"/>
        </w:rPr>
        <w:t xml:space="preserve">, </w:t>
      </w:r>
      <w:proofErr w:type="spellStart"/>
      <w:r w:rsidRPr="00C96F4A">
        <w:rPr>
          <w:rFonts w:ascii="Times New Roman" w:hAnsi="Times New Roman" w:cs="Times New Roman"/>
          <w:sz w:val="24"/>
          <w:szCs w:val="24"/>
        </w:rPr>
        <w:t>hyper</w:t>
      </w:r>
      <w:r>
        <w:rPr>
          <w:rFonts w:ascii="Times New Roman" w:hAnsi="Times New Roman" w:cs="Times New Roman"/>
          <w:sz w:val="24"/>
          <w:szCs w:val="24"/>
        </w:rPr>
        <w:t>kalemia</w:t>
      </w:r>
      <w:proofErr w:type="spellEnd"/>
    </w:p>
    <w:p w:rsidR="00680672" w:rsidRDefault="00680672" w:rsidP="00680672">
      <w:pPr>
        <w:spacing w:after="120" w:line="360" w:lineRule="auto"/>
        <w:rPr>
          <w:rFonts w:ascii="Times New Roman" w:hAnsi="Times New Roman" w:cs="Times New Roman"/>
          <w:sz w:val="24"/>
          <w:szCs w:val="24"/>
        </w:rPr>
      </w:pPr>
      <w:r w:rsidRPr="00E62D83">
        <w:rPr>
          <w:rFonts w:ascii="Times New Roman" w:hAnsi="Times New Roman" w:cs="Times New Roman"/>
          <w:b/>
          <w:sz w:val="24"/>
          <w:szCs w:val="24"/>
        </w:rPr>
        <w:t>Conflicts of interest:</w:t>
      </w:r>
      <w:r>
        <w:rPr>
          <w:rFonts w:ascii="Times New Roman" w:hAnsi="Times New Roman" w:cs="Times New Roman"/>
          <w:sz w:val="24"/>
          <w:szCs w:val="24"/>
        </w:rPr>
        <w:t xml:space="preserve"> None</w:t>
      </w:r>
    </w:p>
    <w:p w:rsidR="00680672" w:rsidRDefault="00680672" w:rsidP="00680672">
      <w:pPr>
        <w:spacing w:after="120" w:line="360" w:lineRule="auto"/>
        <w:rPr>
          <w:rFonts w:ascii="Times New Roman" w:hAnsi="Times New Roman" w:cs="Times New Roman"/>
          <w:b/>
          <w:sz w:val="24"/>
          <w:szCs w:val="24"/>
        </w:rPr>
      </w:pPr>
      <w:r>
        <w:rPr>
          <w:rFonts w:ascii="Times New Roman" w:hAnsi="Times New Roman" w:cs="Times New Roman"/>
          <w:b/>
          <w:sz w:val="24"/>
          <w:szCs w:val="24"/>
        </w:rPr>
        <w:t>External s</w:t>
      </w:r>
      <w:r w:rsidRPr="00302334">
        <w:rPr>
          <w:rFonts w:ascii="Times New Roman" w:hAnsi="Times New Roman" w:cs="Times New Roman"/>
          <w:b/>
          <w:sz w:val="24"/>
          <w:szCs w:val="24"/>
        </w:rPr>
        <w:t>ource</w:t>
      </w:r>
      <w:r>
        <w:rPr>
          <w:rFonts w:ascii="Times New Roman" w:hAnsi="Times New Roman" w:cs="Times New Roman"/>
          <w:b/>
          <w:sz w:val="24"/>
          <w:szCs w:val="24"/>
        </w:rPr>
        <w:t>s</w:t>
      </w:r>
      <w:r w:rsidRPr="00302334">
        <w:rPr>
          <w:rFonts w:ascii="Times New Roman" w:hAnsi="Times New Roman" w:cs="Times New Roman"/>
          <w:b/>
          <w:sz w:val="24"/>
          <w:szCs w:val="24"/>
        </w:rPr>
        <w:t xml:space="preserve"> of funding:</w:t>
      </w:r>
      <w:r>
        <w:rPr>
          <w:rFonts w:ascii="Times New Roman" w:hAnsi="Times New Roman" w:cs="Times New Roman"/>
          <w:sz w:val="24"/>
          <w:szCs w:val="24"/>
        </w:rPr>
        <w:t xml:space="preserve"> None</w:t>
      </w:r>
      <w:r>
        <w:rPr>
          <w:rFonts w:ascii="Times New Roman" w:hAnsi="Times New Roman" w:cs="Times New Roman"/>
          <w:b/>
          <w:sz w:val="24"/>
          <w:szCs w:val="24"/>
        </w:rPr>
        <w:br w:type="page"/>
      </w:r>
    </w:p>
    <w:p w:rsidR="00F11B65" w:rsidRDefault="00F11B65" w:rsidP="005E535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F11B65" w:rsidRPr="00CB0BE9" w:rsidRDefault="00CB0BE9" w:rsidP="005E535D">
      <w:pPr>
        <w:spacing w:before="240" w:after="0" w:line="480" w:lineRule="auto"/>
        <w:jc w:val="both"/>
        <w:rPr>
          <w:rFonts w:ascii="Times New Roman" w:hAnsi="Times New Roman" w:cs="Times New Roman"/>
          <w:sz w:val="24"/>
          <w:szCs w:val="24"/>
        </w:rPr>
      </w:pPr>
      <w:r w:rsidRPr="00CB0BE9">
        <w:rPr>
          <w:rFonts w:ascii="Times New Roman" w:hAnsi="Times New Roman" w:cs="Times New Roman"/>
          <w:b/>
          <w:sz w:val="24"/>
          <w:szCs w:val="24"/>
        </w:rPr>
        <w:t>Background</w:t>
      </w:r>
      <w:bookmarkStart w:id="0" w:name="_GoBack"/>
      <w:bookmarkEnd w:id="0"/>
      <w:r w:rsidRPr="00CB0BE9">
        <w:rPr>
          <w:rFonts w:ascii="Times New Roman" w:hAnsi="Times New Roman" w:cs="Times New Roman"/>
          <w:b/>
          <w:sz w:val="24"/>
          <w:szCs w:val="24"/>
        </w:rPr>
        <w:t>:</w:t>
      </w:r>
      <w:r w:rsidRPr="00CB0BE9">
        <w:rPr>
          <w:rFonts w:ascii="Times New Roman" w:hAnsi="Times New Roman" w:cs="Times New Roman"/>
          <w:sz w:val="24"/>
          <w:szCs w:val="24"/>
        </w:rPr>
        <w:t xml:space="preserve"> </w:t>
      </w:r>
      <w:r w:rsidR="00DA16F0" w:rsidRPr="00DA16F0">
        <w:rPr>
          <w:rFonts w:ascii="Times New Roman" w:hAnsi="Times New Roman" w:cs="Times New Roman"/>
          <w:sz w:val="24"/>
          <w:szCs w:val="24"/>
        </w:rPr>
        <w:t>Severe traumatic brain injury is a major cause of death and disability worldwide. Inflammatory and biochemical cascades triggered by primary brain injury may lead to electrolyte dysfunction that contributes to secondary brain injury. The objective of this study was to determine the incidence of serum potassium ion abnormalities and their association with specific clinical and radiological parameters.</w:t>
      </w:r>
      <w:r w:rsidR="00DA16F0">
        <w:rPr>
          <w:rFonts w:ascii="Times New Roman" w:hAnsi="Times New Roman" w:cs="Times New Roman"/>
          <w:sz w:val="24"/>
          <w:szCs w:val="24"/>
        </w:rPr>
        <w:t xml:space="preserve"> </w:t>
      </w:r>
      <w:r w:rsidRPr="00CB0BE9">
        <w:rPr>
          <w:rFonts w:ascii="Times New Roman" w:hAnsi="Times New Roman" w:cs="Times New Roman"/>
          <w:b/>
          <w:sz w:val="24"/>
          <w:szCs w:val="24"/>
        </w:rPr>
        <w:t>Methodology:</w:t>
      </w:r>
      <w:r w:rsidRPr="00CB0BE9">
        <w:rPr>
          <w:rFonts w:ascii="Times New Roman" w:hAnsi="Times New Roman" w:cs="Times New Roman"/>
          <w:sz w:val="24"/>
          <w:szCs w:val="24"/>
        </w:rPr>
        <w:t xml:space="preserve"> </w:t>
      </w:r>
      <w:r w:rsidR="00B347EA" w:rsidRPr="00B347EA">
        <w:rPr>
          <w:rFonts w:ascii="Times New Roman" w:hAnsi="Times New Roman" w:cs="Times New Roman"/>
          <w:sz w:val="24"/>
          <w:szCs w:val="24"/>
        </w:rPr>
        <w:t xml:space="preserve">This was a prospective cross-sectional study of 117 patients with severe head injury admitted between November 2019 and February 2020. Data collected included the demographics of patients, injury mechanisms, pre-hospital interventions, clinical examination findings, CT </w:t>
      </w:r>
      <w:proofErr w:type="gramStart"/>
      <w:r w:rsidR="00B347EA" w:rsidRPr="00B347EA">
        <w:rPr>
          <w:rFonts w:ascii="Times New Roman" w:hAnsi="Times New Roman" w:cs="Times New Roman"/>
          <w:sz w:val="24"/>
          <w:szCs w:val="24"/>
        </w:rPr>
        <w:t>Scan</w:t>
      </w:r>
      <w:proofErr w:type="gramEnd"/>
      <w:r w:rsidR="00B347EA" w:rsidRPr="00B347EA">
        <w:rPr>
          <w:rFonts w:ascii="Times New Roman" w:hAnsi="Times New Roman" w:cs="Times New Roman"/>
          <w:sz w:val="24"/>
          <w:szCs w:val="24"/>
        </w:rPr>
        <w:t xml:space="preserve"> head findings, serum potassium ion levels (at admission and 48 hours later) and the outcome (30 days). The data collected was entered in the Social Sciences Statistical Package for analysis.</w:t>
      </w:r>
      <w:r w:rsidR="00B347EA">
        <w:rPr>
          <w:rFonts w:ascii="Times New Roman" w:hAnsi="Times New Roman" w:cs="Times New Roman"/>
          <w:sz w:val="24"/>
          <w:szCs w:val="24"/>
        </w:rPr>
        <w:t xml:space="preserve"> </w:t>
      </w:r>
      <w:r w:rsidRPr="00CB0BE9">
        <w:rPr>
          <w:rFonts w:ascii="Times New Roman" w:hAnsi="Times New Roman" w:cs="Times New Roman"/>
          <w:b/>
          <w:sz w:val="24"/>
          <w:szCs w:val="24"/>
        </w:rPr>
        <w:t>Results:</w:t>
      </w:r>
      <w:r w:rsidR="00D1351B">
        <w:rPr>
          <w:rFonts w:ascii="Times New Roman" w:hAnsi="Times New Roman" w:cs="Times New Roman"/>
          <w:sz w:val="24"/>
          <w:szCs w:val="24"/>
        </w:rPr>
        <w:t xml:space="preserve"> </w:t>
      </w:r>
      <w:proofErr w:type="spellStart"/>
      <w:r w:rsidR="00D1351B">
        <w:rPr>
          <w:rFonts w:ascii="Times New Roman" w:hAnsi="Times New Roman" w:cs="Times New Roman"/>
          <w:sz w:val="24"/>
          <w:szCs w:val="24"/>
        </w:rPr>
        <w:t>Hypokalemia</w:t>
      </w:r>
      <w:proofErr w:type="spellEnd"/>
      <w:r w:rsidR="00D1351B">
        <w:rPr>
          <w:rFonts w:ascii="Times New Roman" w:hAnsi="Times New Roman" w:cs="Times New Roman"/>
          <w:sz w:val="24"/>
          <w:szCs w:val="24"/>
        </w:rPr>
        <w:t xml:space="preserve"> was noted</w:t>
      </w:r>
      <w:r w:rsidRPr="00CB0BE9">
        <w:rPr>
          <w:rFonts w:ascii="Times New Roman" w:hAnsi="Times New Roman" w:cs="Times New Roman"/>
          <w:sz w:val="24"/>
          <w:szCs w:val="24"/>
        </w:rPr>
        <w:t xml:space="preserve"> in 25(21.4%) and 21(23.9%) of cases at admission and 48hrs post-admission respectively. </w:t>
      </w:r>
      <w:proofErr w:type="spellStart"/>
      <w:r w:rsidR="00D1351B" w:rsidRPr="00D1351B">
        <w:rPr>
          <w:rFonts w:ascii="Times New Roman" w:hAnsi="Times New Roman" w:cs="Times New Roman"/>
          <w:sz w:val="24"/>
          <w:szCs w:val="24"/>
        </w:rPr>
        <w:t>Hyperkalemia</w:t>
      </w:r>
      <w:proofErr w:type="spellEnd"/>
      <w:r w:rsidR="00D1351B" w:rsidRPr="00D1351B">
        <w:rPr>
          <w:rFonts w:ascii="Times New Roman" w:hAnsi="Times New Roman" w:cs="Times New Roman"/>
          <w:sz w:val="24"/>
          <w:szCs w:val="24"/>
        </w:rPr>
        <w:t xml:space="preserve"> was noted in 8(6.8%) cases at admission and in 6(6.8%) patients 48hrs post-admission. </w:t>
      </w:r>
      <w:proofErr w:type="spellStart"/>
      <w:r w:rsidRPr="00CB0BE9">
        <w:rPr>
          <w:rFonts w:ascii="Times New Roman" w:hAnsi="Times New Roman" w:cs="Times New Roman"/>
          <w:sz w:val="24"/>
          <w:szCs w:val="24"/>
        </w:rPr>
        <w:t>Hypokalemia</w:t>
      </w:r>
      <w:proofErr w:type="spellEnd"/>
      <w:r w:rsidRPr="00CB0BE9">
        <w:rPr>
          <w:rFonts w:ascii="Times New Roman" w:hAnsi="Times New Roman" w:cs="Times New Roman"/>
          <w:sz w:val="24"/>
          <w:szCs w:val="24"/>
        </w:rPr>
        <w:t xml:space="preserve"> was associated with the presence of epidural hematoma (p=0.005) while increased pulse rate (p=0.007) and traumatic SAH (p=0.045) were mainly seen in patients with </w:t>
      </w:r>
      <w:proofErr w:type="spellStart"/>
      <w:r w:rsidRPr="00CB0BE9">
        <w:rPr>
          <w:rFonts w:ascii="Times New Roman" w:hAnsi="Times New Roman" w:cs="Times New Roman"/>
          <w:sz w:val="24"/>
          <w:szCs w:val="24"/>
        </w:rPr>
        <w:t>hyperkalemia</w:t>
      </w:r>
      <w:proofErr w:type="spellEnd"/>
      <w:r w:rsidRPr="00CB0BE9">
        <w:rPr>
          <w:rFonts w:ascii="Times New Roman" w:hAnsi="Times New Roman" w:cs="Times New Roman"/>
          <w:sz w:val="24"/>
          <w:szCs w:val="24"/>
        </w:rPr>
        <w:t xml:space="preserve">. </w:t>
      </w:r>
      <w:proofErr w:type="spellStart"/>
      <w:r w:rsidRPr="00CB0BE9">
        <w:rPr>
          <w:rFonts w:ascii="Times New Roman" w:hAnsi="Times New Roman" w:cs="Times New Roman"/>
          <w:sz w:val="24"/>
          <w:szCs w:val="24"/>
        </w:rPr>
        <w:t>Hypokalemia</w:t>
      </w:r>
      <w:proofErr w:type="spellEnd"/>
      <w:r w:rsidRPr="00CB0BE9">
        <w:rPr>
          <w:rFonts w:ascii="Times New Roman" w:hAnsi="Times New Roman" w:cs="Times New Roman"/>
          <w:sz w:val="24"/>
          <w:szCs w:val="24"/>
        </w:rPr>
        <w:t xml:space="preserve"> was associated with significantly increased risk of mortality OR 4.12(p=0.031) and OR 5.12 (p=0.039) at admission and 48hrs post-admission respectively. </w:t>
      </w:r>
      <w:r w:rsidRPr="00CB0BE9">
        <w:rPr>
          <w:rFonts w:ascii="Times New Roman" w:hAnsi="Times New Roman" w:cs="Times New Roman"/>
          <w:b/>
          <w:sz w:val="24"/>
          <w:szCs w:val="24"/>
        </w:rPr>
        <w:t>Conclusion:</w:t>
      </w:r>
      <w:r w:rsidRPr="00CB0BE9">
        <w:rPr>
          <w:rFonts w:ascii="Times New Roman" w:hAnsi="Times New Roman" w:cs="Times New Roman"/>
          <w:sz w:val="24"/>
          <w:szCs w:val="24"/>
        </w:rPr>
        <w:t xml:space="preserve"> </w:t>
      </w:r>
      <w:proofErr w:type="spellStart"/>
      <w:r w:rsidRPr="00CB0BE9">
        <w:rPr>
          <w:rFonts w:ascii="Times New Roman" w:hAnsi="Times New Roman" w:cs="Times New Roman"/>
          <w:sz w:val="24"/>
          <w:szCs w:val="24"/>
        </w:rPr>
        <w:t>Hypokalemia</w:t>
      </w:r>
      <w:proofErr w:type="spellEnd"/>
      <w:r w:rsidRPr="00CB0BE9">
        <w:rPr>
          <w:rFonts w:ascii="Times New Roman" w:hAnsi="Times New Roman" w:cs="Times New Roman"/>
          <w:sz w:val="24"/>
          <w:szCs w:val="24"/>
        </w:rPr>
        <w:t xml:space="preserve"> is the commonest potassium ion abnormality seen in severe head injury, and is associated with significant increased risk of mortality. </w:t>
      </w:r>
      <w:r w:rsidR="00A20E46" w:rsidRPr="00CB0BE9">
        <w:rPr>
          <w:rFonts w:ascii="Times New Roman" w:hAnsi="Times New Roman" w:cs="Times New Roman"/>
          <w:sz w:val="24"/>
          <w:szCs w:val="24"/>
        </w:rPr>
        <w:t xml:space="preserve"> </w:t>
      </w:r>
      <w:r w:rsidR="00F11B65" w:rsidRPr="00CB0BE9">
        <w:rPr>
          <w:rFonts w:ascii="Times New Roman" w:hAnsi="Times New Roman" w:cs="Times New Roman"/>
          <w:sz w:val="24"/>
          <w:szCs w:val="24"/>
        </w:rPr>
        <w:t xml:space="preserve"> </w:t>
      </w:r>
    </w:p>
    <w:p w:rsidR="00F11B65" w:rsidRDefault="00F11B65" w:rsidP="005E535D">
      <w:pPr>
        <w:spacing w:before="240" w:after="0" w:line="480" w:lineRule="auto"/>
        <w:jc w:val="both"/>
        <w:rPr>
          <w:rFonts w:ascii="Times New Roman" w:hAnsi="Times New Roman" w:cs="Times New Roman"/>
          <w:sz w:val="24"/>
          <w:szCs w:val="24"/>
        </w:rPr>
      </w:pPr>
      <w:r w:rsidRPr="007A62E8">
        <w:rPr>
          <w:rFonts w:ascii="Times New Roman" w:hAnsi="Times New Roman" w:cs="Times New Roman"/>
          <w:b/>
          <w:sz w:val="24"/>
          <w:szCs w:val="24"/>
        </w:rPr>
        <w:t>Key words:</w:t>
      </w:r>
      <w:r>
        <w:rPr>
          <w:rFonts w:ascii="Times New Roman" w:hAnsi="Times New Roman" w:cs="Times New Roman"/>
          <w:sz w:val="24"/>
          <w:szCs w:val="24"/>
        </w:rPr>
        <w:t xml:space="preserve"> Trau</w:t>
      </w:r>
      <w:r w:rsidR="00651879">
        <w:rPr>
          <w:rFonts w:ascii="Times New Roman" w:hAnsi="Times New Roman" w:cs="Times New Roman"/>
          <w:sz w:val="24"/>
          <w:szCs w:val="24"/>
        </w:rPr>
        <w:t>matic brain injury, hyponatremia, hypernatremia</w:t>
      </w:r>
    </w:p>
    <w:p w:rsidR="00725821" w:rsidRPr="008D00D0" w:rsidRDefault="00725821" w:rsidP="005E535D">
      <w:pPr>
        <w:spacing w:before="240" w:after="0" w:line="480" w:lineRule="auto"/>
        <w:jc w:val="both"/>
        <w:rPr>
          <w:rFonts w:ascii="Times New Roman" w:hAnsi="Times New Roman" w:cs="Times New Roman"/>
          <w:b/>
          <w:sz w:val="24"/>
          <w:szCs w:val="24"/>
        </w:rPr>
      </w:pPr>
      <w:r w:rsidRPr="008D00D0">
        <w:rPr>
          <w:rFonts w:ascii="Times New Roman" w:hAnsi="Times New Roman" w:cs="Times New Roman"/>
          <w:b/>
          <w:sz w:val="24"/>
          <w:szCs w:val="24"/>
        </w:rPr>
        <w:t>INTRODUCTION</w:t>
      </w:r>
    </w:p>
    <w:p w:rsidR="00871C30" w:rsidRPr="00E14CC0" w:rsidRDefault="00A14332" w:rsidP="005E535D">
      <w:pPr>
        <w:spacing w:before="240" w:after="0" w:line="480" w:lineRule="auto"/>
        <w:jc w:val="both"/>
        <w:rPr>
          <w:rFonts w:ascii="Times New Roman" w:hAnsi="Times New Roman" w:cs="Times New Roman"/>
          <w:sz w:val="24"/>
          <w:szCs w:val="24"/>
        </w:rPr>
      </w:pPr>
      <w:r w:rsidRPr="00E14CC0">
        <w:rPr>
          <w:rFonts w:ascii="Times New Roman" w:hAnsi="Times New Roman" w:cs="Times New Roman"/>
          <w:sz w:val="24"/>
          <w:szCs w:val="24"/>
        </w:rPr>
        <w:lastRenderedPageBreak/>
        <w:t xml:space="preserve">Serum </w:t>
      </w:r>
      <w:r w:rsidR="008335CC" w:rsidRPr="00E14CC0">
        <w:rPr>
          <w:rFonts w:ascii="Times New Roman" w:hAnsi="Times New Roman" w:cs="Times New Roman"/>
          <w:sz w:val="24"/>
          <w:szCs w:val="24"/>
        </w:rPr>
        <w:t>potassium</w:t>
      </w:r>
      <w:r w:rsidRPr="00E14CC0">
        <w:rPr>
          <w:rFonts w:ascii="Times New Roman" w:hAnsi="Times New Roman" w:cs="Times New Roman"/>
          <w:sz w:val="24"/>
          <w:szCs w:val="24"/>
        </w:rPr>
        <w:t xml:space="preserve"> abnormalities</w:t>
      </w:r>
      <w:r w:rsidR="00725821" w:rsidRPr="00E14CC0">
        <w:rPr>
          <w:rFonts w:ascii="Times New Roman" w:hAnsi="Times New Roman" w:cs="Times New Roman"/>
          <w:sz w:val="24"/>
          <w:szCs w:val="24"/>
        </w:rPr>
        <w:t xml:space="preserve"> are common</w:t>
      </w:r>
      <w:r w:rsidR="008335CC" w:rsidRPr="00E14CC0">
        <w:rPr>
          <w:rFonts w:ascii="Times New Roman" w:hAnsi="Times New Roman" w:cs="Times New Roman"/>
          <w:sz w:val="24"/>
          <w:szCs w:val="24"/>
        </w:rPr>
        <w:t xml:space="preserve"> </w:t>
      </w:r>
      <w:r w:rsidR="00871C30" w:rsidRPr="00E14CC0">
        <w:rPr>
          <w:rFonts w:ascii="Times New Roman" w:hAnsi="Times New Roman" w:cs="Times New Roman"/>
          <w:sz w:val="24"/>
          <w:szCs w:val="24"/>
        </w:rPr>
        <w:t>following</w:t>
      </w:r>
      <w:r w:rsidR="008335CC" w:rsidRPr="00E14CC0">
        <w:rPr>
          <w:rFonts w:ascii="Times New Roman" w:hAnsi="Times New Roman" w:cs="Times New Roman"/>
          <w:sz w:val="24"/>
          <w:szCs w:val="24"/>
        </w:rPr>
        <w:t xml:space="preserve"> trauma</w:t>
      </w:r>
      <w:r w:rsidR="00871C30" w:rsidRPr="00E14CC0">
        <w:rPr>
          <w:rFonts w:ascii="Times New Roman" w:hAnsi="Times New Roman" w:cs="Times New Roman"/>
          <w:sz w:val="24"/>
          <w:szCs w:val="24"/>
        </w:rPr>
        <w:t xml:space="preserve"> </w:t>
      </w:r>
      <w:r w:rsidR="00871C30" w:rsidRPr="00E14CC0">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{"citationID":"ltDshzBm","properties":{"formattedCitation":"\\super 1\\nosupersub{}","plainCitation":"1","noteIndex":0},"citationItems":[{"id":2050,"uris":["http://zotero.org/users/1277496/items/NWFLKCYM"],"uri":["http://zotero.org/users/1277496/items/NWFLKCYM"],"itemData":{"id":2050,"type":"article-journal","abstract":"Background\nAbnormalities in potassium levels can lead to several clinical difficulties in trauma patients admitted to the ICU. However, the significance of potassium abnormalities soon after admission in trauma patients has not yet been clearly delineated. The objective of this study was to describe the plasma potassium abnormalities in trauma patients on admission and to examine the clinical outcomes associated with these abnormalities.\n\nMethods\nWe performed a retrospective observational study of plasma potassium levels in trauma patients admitted to the Fukuyama City Hospital between January 1, 2010 and December 31, 2013. Five hundred twenty consecutive trauma patients were included and categorized into six groups according to their plasma potassium level on admission (&lt;3.0, 3.0–&lt;3.5, 3.5–&lt;4.0, 4.0–&lt;4.5, 4.5–&lt;5.0, and ≥5.0 mEq/L). After adjusting for covariates, including age, gender, the Revised Trauma Score, and the Injury Severity Score, logistic regression analysis was used to examine the association between plasma potassium levels and outcomes, including life-saving interventions and in-hospital mortality.\n\nResults\nTwo hundred twenty-seven patients (43.7 %) presented with hypokalemia (&lt;3.5 mEq/L), while seven patients (1.3 %) presented with hyperkalemia (≥5.0 mEq/L). Patients in the lowest potassium group (&lt;3.0 mEq/L, n = 36 [6.9 %]) were significantly associated with craniotomy (adjusted odds ratio 5.25 [95 % confidence interval 2.06–13.40]; p &lt; 0.001) and showed an increased trend toward in-hospital mortality. In the second lowest potassium group (3.0–&lt; 3.5 mEq/L, n = 191 [36.7 %]), the adjusted odds ratio for craniotomy was significantly higher (2.03 [95 % confidence interval 1.01–4.07]; p = 0.048) compared to the reference group.\n\nConclusions\nTrauma patients presenting with hypokalemia (&lt;3.5 mEq/L) on admission may be associated with severe head trauma requiring life-saving craniotomy.","container-title":"Journal of Intensive Care","DOI":"10.1186/s40560-015-0103-6","ISSN":"2052-0492","issue":"1","journalAbbreviation":"J Intensive Care","note":"PMID: 26269745\nPMCID: PMC4534081","page":"37","source":"PubMed Central","title":"The clinical relevance of plasma potassium abnormalities on admission in trauma patients: a retrospective observational study","title-short":"The clinical relevance of plasma potassium abnormalities on admission in trauma patients","volume":"3","author":[{"family":"Ookuma","given":"Takaaki"},{"family":"Miyasho","given":"Koji"},{"family":"Kashitani","given":"Nobuhiro"},{"family":"Beika","given":"Nobuhiko"},{"family":"Ishibashi","given":"Naoki"},{"family":"Yamashita","given":"Takahiro"},{"family":"Ujike","given":"Yoshihito"}],"issued":{"date-parts":[["2015"]]}}}],"schema":"https://github.com/citation-style-language/schema/raw/master/csl-citation.json"} </w:instrText>
      </w:r>
      <w:r w:rsidR="00871C30" w:rsidRPr="00E14CC0">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1</w:t>
      </w:r>
      <w:r w:rsidR="00871C30" w:rsidRPr="00E14CC0">
        <w:rPr>
          <w:rFonts w:ascii="Times New Roman" w:hAnsi="Times New Roman" w:cs="Times New Roman"/>
          <w:sz w:val="24"/>
          <w:szCs w:val="24"/>
        </w:rPr>
        <w:fldChar w:fldCharType="end"/>
      </w:r>
      <w:r w:rsidR="00871C30" w:rsidRPr="00E14CC0">
        <w:rPr>
          <w:rFonts w:ascii="Times New Roman" w:hAnsi="Times New Roman" w:cs="Times New Roman"/>
          <w:sz w:val="24"/>
          <w:szCs w:val="24"/>
        </w:rPr>
        <w:t xml:space="preserve">. </w:t>
      </w:r>
      <w:proofErr w:type="spellStart"/>
      <w:r w:rsidR="00D52A73" w:rsidRPr="00D52A73">
        <w:rPr>
          <w:rFonts w:ascii="Times New Roman" w:hAnsi="Times New Roman" w:cs="Times New Roman"/>
          <w:sz w:val="24"/>
          <w:szCs w:val="24"/>
        </w:rPr>
        <w:t>Hypokalemia</w:t>
      </w:r>
      <w:proofErr w:type="spellEnd"/>
      <w:r w:rsidR="00D52A73" w:rsidRPr="00D52A73">
        <w:rPr>
          <w:rFonts w:ascii="Times New Roman" w:hAnsi="Times New Roman" w:cs="Times New Roman"/>
          <w:sz w:val="24"/>
          <w:szCs w:val="24"/>
        </w:rPr>
        <w:t xml:space="preserve"> and </w:t>
      </w:r>
      <w:proofErr w:type="spellStart"/>
      <w:r w:rsidR="00D52A73" w:rsidRPr="00D52A73">
        <w:rPr>
          <w:rFonts w:ascii="Times New Roman" w:hAnsi="Times New Roman" w:cs="Times New Roman"/>
          <w:sz w:val="24"/>
          <w:szCs w:val="24"/>
        </w:rPr>
        <w:t>hyperkalemia</w:t>
      </w:r>
      <w:proofErr w:type="spellEnd"/>
      <w:r w:rsidR="00D52A73" w:rsidRPr="00D52A73">
        <w:rPr>
          <w:rFonts w:ascii="Times New Roman" w:hAnsi="Times New Roman" w:cs="Times New Roman"/>
          <w:sz w:val="24"/>
          <w:szCs w:val="24"/>
        </w:rPr>
        <w:t xml:space="preserve"> can occur and are associated with poor outcomes. </w:t>
      </w:r>
      <w:r w:rsidR="00871C30" w:rsidRPr="00E14CC0">
        <w:rPr>
          <w:rFonts w:ascii="Times New Roman" w:hAnsi="Times New Roman" w:cs="Times New Roman"/>
          <w:sz w:val="24"/>
          <w:szCs w:val="24"/>
        </w:rPr>
        <w:t xml:space="preserve">Post-traumatic </w:t>
      </w:r>
      <w:proofErr w:type="spellStart"/>
      <w:r w:rsidR="00871C30" w:rsidRPr="00E14CC0">
        <w:rPr>
          <w:rFonts w:ascii="Times New Roman" w:hAnsi="Times New Roman" w:cs="Times New Roman"/>
          <w:sz w:val="24"/>
          <w:szCs w:val="24"/>
        </w:rPr>
        <w:t>hyperkalemia</w:t>
      </w:r>
      <w:proofErr w:type="spellEnd"/>
      <w:r w:rsidR="00E14CC0" w:rsidRPr="00E14CC0">
        <w:rPr>
          <w:rFonts w:ascii="Times New Roman" w:hAnsi="Times New Roman" w:cs="Times New Roman"/>
          <w:sz w:val="24"/>
          <w:szCs w:val="24"/>
        </w:rPr>
        <w:t xml:space="preserve">, defined as potassium level &gt;5 </w:t>
      </w:r>
      <w:proofErr w:type="spellStart"/>
      <w:r w:rsidR="00E14CC0" w:rsidRPr="00E14CC0">
        <w:rPr>
          <w:rFonts w:ascii="Times New Roman" w:hAnsi="Times New Roman" w:cs="Times New Roman"/>
          <w:sz w:val="24"/>
          <w:szCs w:val="24"/>
        </w:rPr>
        <w:t>mmol</w:t>
      </w:r>
      <w:proofErr w:type="spellEnd"/>
      <w:r w:rsidR="00E14CC0" w:rsidRPr="00E14CC0">
        <w:rPr>
          <w:rFonts w:ascii="Times New Roman" w:hAnsi="Times New Roman" w:cs="Times New Roman"/>
          <w:sz w:val="24"/>
          <w:szCs w:val="24"/>
        </w:rPr>
        <w:t xml:space="preserve">/l, </w:t>
      </w:r>
      <w:r w:rsidR="00871C30" w:rsidRPr="00E14CC0">
        <w:rPr>
          <w:rFonts w:ascii="Times New Roman" w:hAnsi="Times New Roman" w:cs="Times New Roman"/>
          <w:sz w:val="24"/>
          <w:szCs w:val="24"/>
        </w:rPr>
        <w:t xml:space="preserve">is caused by extensive tissue damage, aggressive transfusion and </w:t>
      </w:r>
      <w:proofErr w:type="spellStart"/>
      <w:r w:rsidR="00871C30" w:rsidRPr="00E14CC0">
        <w:rPr>
          <w:rFonts w:ascii="Times New Roman" w:hAnsi="Times New Roman" w:cs="Times New Roman"/>
          <w:sz w:val="24"/>
          <w:szCs w:val="24"/>
        </w:rPr>
        <w:t>hemorrhagic</w:t>
      </w:r>
      <w:proofErr w:type="spellEnd"/>
      <w:r w:rsidR="00871C30" w:rsidRPr="00E14CC0">
        <w:rPr>
          <w:rFonts w:ascii="Times New Roman" w:hAnsi="Times New Roman" w:cs="Times New Roman"/>
          <w:sz w:val="24"/>
          <w:szCs w:val="24"/>
        </w:rPr>
        <w:t xml:space="preserve"> shock </w:t>
      </w:r>
      <w:r w:rsidR="00D1351B" w:rsidRPr="00E14CC0">
        <w:rPr>
          <w:rFonts w:ascii="Times New Roman" w:hAnsi="Times New Roman" w:cs="Times New Roman"/>
          <w:sz w:val="24"/>
          <w:szCs w:val="24"/>
        </w:rPr>
        <w:fldChar w:fldCharType="begin"/>
      </w:r>
      <w:r w:rsidR="00D1351B">
        <w:rPr>
          <w:rFonts w:ascii="Times New Roman" w:hAnsi="Times New Roman" w:cs="Times New Roman"/>
          <w:sz w:val="24"/>
          <w:szCs w:val="24"/>
        </w:rPr>
        <w:instrText xml:space="preserve"> ADDIN ZOTERO_ITEM CSL_CITATION {"citationID":"ltDshzBm","properties":{"formattedCitation":"\\super 1\\nosupersub{}","plainCitation":"1","noteIndex":0},"citationItems":[{"id":2050,"uris":["http://zotero.org/users/1277496/items/NWFLKCYM"],"uri":["http://zotero.org/users/1277496/items/NWFLKCYM"],"itemData":{"id":2050,"type":"article-journal","abstract":"Background\nAbnormalities in potassium levels can lead to several clinical difficulties in trauma patients admitted to the ICU. However, the significance of potassium abnormalities soon after admission in trauma patients has not yet been clearly delineated. The objective of this study was to describe the plasma potassium abnormalities in trauma patients on admission and to examine the clinical outcomes associated with these abnormalities.\n\nMethods\nWe performed a retrospective observational study of plasma potassium levels in trauma patients admitted to the Fukuyama City Hospital between January 1, 2010 and December 31, 2013. Five hundred twenty consecutive trauma patients were included and categorized into six groups according to their plasma potassium level on admission (&lt;3.0, 3.0–&lt;3.5, 3.5–&lt;4.0, 4.0–&lt;4.5, 4.5–&lt;5.0, and ≥5.0 mEq/L). After adjusting for covariates, including age, gender, the Revised Trauma Score, and the Injury Severity Score, logistic regression analysis was used to examine the association between plasma potassium levels and outcomes, including life-saving interventions and in-hospital mortality.\n\nResults\nTwo hundred twenty-seven patients (43.7 %) presented with hypokalemia (&lt;3.5 mEq/L), while seven patients (1.3 %) presented with hyperkalemia (≥5.0 mEq/L). Patients in the lowest potassium group (&lt;3.0 mEq/L, n = 36 [6.9 %]) were significantly associated with craniotomy (adjusted odds ratio 5.25 [95 % confidence interval 2.06–13.40]; p &lt; 0.001) and showed an increased trend toward in-hospital mortality. In the second lowest potassium group (3.0–&lt; 3.5 mEq/L, n = 191 [36.7 %]), the adjusted odds ratio for craniotomy was significantly higher (2.03 [95 % confidence interval 1.01–4.07]; p = 0.048) compared to the reference group.\n\nConclusions\nTrauma patients presenting with hypokalemia (&lt;3.5 mEq/L) on admission may be associated with severe head trauma requiring life-saving craniotomy.","container-title":"Journal of Intensive Care","DOI":"10.1186/s40560-015-0103-6","ISSN":"2052-0492","issue":"1","journalAbbreviation":"J Intensive Care","note":"PMID: 26269745\nPMCID: PMC4534081","page":"37","source":"PubMed Central","title":"The clinical relevance of plasma potassium abnormalities on admission in trauma patients: a retrospective observational study","title-short":"The clinical relevance of plasma potassium abnormalities on admission in trauma patients","volume":"3","author":[{"family":"Ookuma","given":"Takaaki"},{"family":"Miyasho","given":"Koji"},{"family":"Kashitani","given":"Nobuhiro"},{"family":"Beika","given":"Nobuhiko"},{"family":"Ishibashi","given":"Naoki"},{"family":"Yamashita","given":"Takahiro"},{"family":"Ujike","given":"Yoshihito"}],"issued":{"date-parts":[["2015"]]}}}],"schema":"https://github.com/citation-style-language/schema/raw/master/csl-citation.json"} </w:instrText>
      </w:r>
      <w:r w:rsidR="00D1351B" w:rsidRPr="00E14CC0">
        <w:rPr>
          <w:rFonts w:ascii="Times New Roman" w:hAnsi="Times New Roman" w:cs="Times New Roman"/>
          <w:sz w:val="24"/>
          <w:szCs w:val="24"/>
        </w:rPr>
        <w:fldChar w:fldCharType="separate"/>
      </w:r>
      <w:r w:rsidR="00D1351B" w:rsidRPr="00127BBB">
        <w:rPr>
          <w:rFonts w:ascii="Times New Roman" w:hAnsi="Times New Roman" w:cs="Times New Roman"/>
          <w:sz w:val="24"/>
          <w:szCs w:val="24"/>
          <w:vertAlign w:val="superscript"/>
        </w:rPr>
        <w:t>1</w:t>
      </w:r>
      <w:r w:rsidR="00D1351B" w:rsidRPr="00E14CC0">
        <w:rPr>
          <w:rFonts w:ascii="Times New Roman" w:hAnsi="Times New Roman" w:cs="Times New Roman"/>
          <w:sz w:val="24"/>
          <w:szCs w:val="24"/>
        </w:rPr>
        <w:fldChar w:fldCharType="end"/>
      </w:r>
      <w:r w:rsidR="00D1351B">
        <w:rPr>
          <w:rFonts w:ascii="Times New Roman" w:hAnsi="Times New Roman" w:cs="Times New Roman"/>
          <w:sz w:val="24"/>
          <w:szCs w:val="24"/>
        </w:rPr>
        <w:t>.</w:t>
      </w:r>
      <w:r w:rsidR="00D52A73">
        <w:rPr>
          <w:rFonts w:ascii="Times New Roman" w:hAnsi="Times New Roman" w:cs="Times New Roman"/>
          <w:sz w:val="24"/>
          <w:szCs w:val="24"/>
        </w:rPr>
        <w:t xml:space="preserve"> </w:t>
      </w:r>
      <w:proofErr w:type="spellStart"/>
      <w:r w:rsidR="00871C30" w:rsidRPr="00E14CC0">
        <w:rPr>
          <w:rFonts w:ascii="Times New Roman" w:hAnsi="Times New Roman" w:cs="Times New Roman"/>
          <w:sz w:val="24"/>
          <w:szCs w:val="24"/>
        </w:rPr>
        <w:t>Hypokalemia</w:t>
      </w:r>
      <w:proofErr w:type="spellEnd"/>
      <w:r w:rsidR="00E14CC0" w:rsidRPr="00E14CC0">
        <w:rPr>
          <w:rFonts w:ascii="Times New Roman" w:hAnsi="Times New Roman" w:cs="Times New Roman"/>
          <w:sz w:val="24"/>
          <w:szCs w:val="24"/>
        </w:rPr>
        <w:t xml:space="preserve"> which is defined as potassium level &lt;3.5mmol/l </w:t>
      </w:r>
      <w:r w:rsidR="00871C30" w:rsidRPr="00E14CC0">
        <w:rPr>
          <w:rFonts w:ascii="Times New Roman" w:hAnsi="Times New Roman" w:cs="Times New Roman"/>
          <w:sz w:val="24"/>
          <w:szCs w:val="24"/>
        </w:rPr>
        <w:t xml:space="preserve">is postulated to arise from intracellular shift of potassium ions caused by epinephrine released during stress response to trauma </w:t>
      </w:r>
      <w:r w:rsidR="00871C30" w:rsidRPr="00E14CC0">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{"citationID":"uwuV6j5v","properties":{"formattedCitation":"\\super 2\\uc0\\u8211{}4\\nosupersub{}","plainCitation":"2–4","noteIndex":0},"citationItems":[{"id":2058,"uris":["http://zotero.org/users/1277496/items/H3C3H6YW"],"uri":["http://zotero.org/users/1277496/items/H3C3H6YW"],"itemData":{"id":2058,"type":"article-journal","abstract":"We have previously described a high incidence of admission hypokalemia in trauma patients at our institution. We subsequently performed a prospective study of 112 trauma patients to examine the possible etiologies of post-traumatic hypokalemia. Trauma patients &gt;or=5 years old were evaluated within 6 h of injury with a variety of studies including catecholamines, cortisol, and insulin levels, with studies repeated 24 to 36 h after admission. No potassium replacement was given during this time. Demographic factors such as age, types of injury, and severity of injuries were collected. We found that the mean age of those with post-traumatic hypokalemia (&lt;or=3.5 mEq/L) was significantly younger (29 vs. 37 years old; P = 0.004) and epinephrine levels were significantly higher (863 vs. 406 pg/mL; P = 0.01) when compared with normokalemic patients on admission. At 24 to 36 h, the hypokalemia group compared with the normokalemic patients showed a significant rise in the mean potassium levels (17.2% vs. 4.1%; P &lt; 0.001), a significant fall in mean epinephrine levels (-86.6% vs. -81.4%; P &lt; 0.001), and a significant rise in insulin levels (161% vs. 24%; P &lt; 0.005). Finally, because our previous study had shown that post-traumatic hypokalemia was predictive of injury severity score, 4 trauma admission groups were compared with regard to potassium levels and injury severity score. Those trauma patients with both high injury severity and hypokalemia had significantly higher admission epinephrine levels (1222 vs. 290 pg/mL; P = 0.005), glucose levels (174 vs. 126 mg/dL; P = 0.001), and lower carbon dioxide levels (21.3 vs. 24.6 mEq/L; P &lt; 0.03) than those trauma patients with less severe injury and normokalemia. We conclude that post-traumatic hypokalemia seems to be related to a rise in epinephrine levels, that this rise in epinephrine levels seems to be blunted in older patients, and that post-traumatic hypokalemia is rapidly reversible without specific therapy.","container-title":"Shock (Augusta, Ga.)","DOI":"10.1097/01.shk.0000245029.47106.db","ISSN":"1073-2322","issue":"4","journalAbbreviation":"Shock","language":"eng","note":"PMID: 17414416","page":"358-363","source":"PubMed","title":"A role for epinephrine in post-traumatic hypokalemia","volume":"27","author":[{"family":"Beal","given":"Alan L."},{"family":"Deuser","given":"William E."},{"family":"Beilman","given":"Greg J."}],"issued":{"date-parts":[["2007",4]]}}},{"id":2055,"uris":["http://zotero.org/users/1277496/items/KRAHA4IX"],"uri":["http://zotero.org/users/1277496/items/KRAHA4IX"],"itemData":{"id":2055,"type":"article-journal","abstract":"Epinephrine was infused intravenously in 9 normal volunteers to plasma concentrations similar to those found after acute myocardial infarction. This study was undertaken on 3 occasions after 5 days of treatment with placebo or the beta-adrenoceptor antagonist, atenolol, which is relatively beta 1 selective, or timolol, which blocks both beta 1 and beta 2 receptors. Epinephrine increased the systolic blood pressure (BP), decreased the diastolic BP and increased the heart rate modestly. These changes were prevented by atenolol. However, after timolol the diastolic BP rose by +19 mm Hg and heart rate fell by -8 beats/min. Epinephrine caused the corrected QT interval to lengthen (0.36 +/- 0.02 to 0.41 +/- 0.06 second). No significant changes were found in the corrected QT interval when subjects were pretreated with atenolol or timolol. The serum potassium decreased from 4.06 to 3.22 mmol/liter after epinephrine. Serum potassium decreased to a lesser extent to 3.67 mmol/liter after atenolol and actually increased to 4.25 mmol/liter after timolol. In a further study with a similar design another nonselective beta blocker propranolol also increased potassium after epinephrine. While atenolol also prevented hypokalemia in this study, it did not block the beta 2-receptor mediated decrease in diastolic BP. Epinephrine-induced hypokalemia results from stimulation of a beta-adrenoceptor linked to membrane sodium/potassium adenosine triphosphatase causing potassium influx. This appears to be predominantly mediated by beta 2 receptors although beta 1 receptors may also play a part.","container-title":"The American Journal of Cardiology","ISSN":"0002-9149","issue":"12","journalAbbreviation":"Am. J. Cardiol.","language":"eng","note":"PMID: 3010693","page":"23F-27F","source":"PubMed","title":"Epinephrine-induced hypokalemia: the role of beta adrenoceptors","title-short":"Epinephrine-induced hypokalemia","volume":"57","author":[{"family":"Reid","given":"J. L."},{"family":"Whyte","given":"K. F."},{"family":"Struthers","given":"A. D."}],"issued":{"date-parts":[["1986",4,25]]}}},{"id":2057,"uris":["http://zotero.org/users/1277496/items/D56WNP59"],"uri":["http://zotero.org/users/1277496/items/D56WNP59"],"itemData":{"id":2057,"type":"article-journal","abstract":"A sudden decrease of serum potassium below 2.5 mmol/l carries the risk of dangerous arrhythmias and requires immediate replacement therapy [6]. We refer to a patient with a brain stem compression after head injury, who developed a profound hypokalemia (K+=1.2 mmol/l) with life-threatening arrhythmias, probably due to a catecholamine induced intracellular potassium shift (beta-2-stimulation). Only by aggressive potassium replacement up to 80 mmol/h (610 mmol/16h) could potassium levels be increased and cardiac arrhythmias terminated. Although replacement therapy was stopped when the serum K+-level increased to 2.4 mmol/l, 3.5 h later the patient became hyperkalemic (8.1 mmol/l). This was probably due to a secondary shift of potassium from intra-to extracellular space. In patients with severe head trauma and the potential risk of excessive catecholamine release special attention must be paid to changes in potassium balance.","container-title":"Intensive Care Medicine","DOI":"10.1007/BF01701479","ISSN":"1432-1238","issue":"3","journalAbbreviation":"Intensive Care Med","language":"en","page":"235-237","source":"Springer Link","title":"Excessive hypokalemia and hyperkalemia following head injury","volume":"21","author":[{"family":"Schaefer","given":"M."},{"family":"Link","given":"J."},{"family":"Hannemann","given":"L."},{"family":"Rudolph","given":"K. -H."}],"issued":{"date-parts":[["1995",3,1]]}}}],"schema":"https://github.com/citation-style-language/schema/raw/master/csl-citation.json"} </w:instrText>
      </w:r>
      <w:r w:rsidR="00871C30" w:rsidRPr="00E14CC0">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2–4</w:t>
      </w:r>
      <w:r w:rsidR="00871C30" w:rsidRPr="00E14CC0">
        <w:rPr>
          <w:rFonts w:ascii="Times New Roman" w:hAnsi="Times New Roman" w:cs="Times New Roman"/>
          <w:sz w:val="24"/>
          <w:szCs w:val="24"/>
        </w:rPr>
        <w:fldChar w:fldCharType="end"/>
      </w:r>
      <w:r w:rsidR="00871C30" w:rsidRPr="00E14CC0">
        <w:rPr>
          <w:rFonts w:ascii="Times New Roman" w:hAnsi="Times New Roman" w:cs="Times New Roman"/>
          <w:sz w:val="24"/>
          <w:szCs w:val="24"/>
        </w:rPr>
        <w:t>.</w:t>
      </w:r>
      <w:r w:rsidR="00E14CC0" w:rsidRPr="00E14CC0">
        <w:rPr>
          <w:rFonts w:ascii="Times New Roman" w:hAnsi="Times New Roman" w:cs="Times New Roman"/>
          <w:sz w:val="24"/>
          <w:szCs w:val="24"/>
        </w:rPr>
        <w:t xml:space="preserve"> Both </w:t>
      </w:r>
      <w:proofErr w:type="spellStart"/>
      <w:r w:rsidR="00E14CC0" w:rsidRPr="00E14CC0">
        <w:rPr>
          <w:rFonts w:ascii="Times New Roman" w:hAnsi="Times New Roman" w:cs="Times New Roman"/>
          <w:sz w:val="24"/>
          <w:szCs w:val="24"/>
        </w:rPr>
        <w:t>hypokalemia</w:t>
      </w:r>
      <w:proofErr w:type="spellEnd"/>
      <w:r w:rsidR="00E14CC0" w:rsidRPr="00E14CC0">
        <w:rPr>
          <w:rFonts w:ascii="Times New Roman" w:hAnsi="Times New Roman" w:cs="Times New Roman"/>
          <w:sz w:val="24"/>
          <w:szCs w:val="24"/>
        </w:rPr>
        <w:t xml:space="preserve"> and </w:t>
      </w:r>
      <w:proofErr w:type="spellStart"/>
      <w:r w:rsidR="00E14CC0" w:rsidRPr="00E14CC0">
        <w:rPr>
          <w:rFonts w:ascii="Times New Roman" w:hAnsi="Times New Roman" w:cs="Times New Roman"/>
          <w:sz w:val="24"/>
          <w:szCs w:val="24"/>
        </w:rPr>
        <w:t>hyperkalemia</w:t>
      </w:r>
      <w:proofErr w:type="spellEnd"/>
      <w:r w:rsidR="00E14CC0" w:rsidRPr="00E14CC0">
        <w:rPr>
          <w:rFonts w:ascii="Times New Roman" w:hAnsi="Times New Roman" w:cs="Times New Roman"/>
          <w:sz w:val="24"/>
          <w:szCs w:val="24"/>
        </w:rPr>
        <w:t xml:space="preserve"> are associated with life-threatening cardiac arrhythmias which may lead to death </w:t>
      </w:r>
      <w:r w:rsidR="00E14CC0" w:rsidRPr="00E14CC0">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{"citationID":"19sevLHp","properties":{"formattedCitation":"\\super 1,5\\nosupersub{}","plainCitation":"1,5","noteIndex":0},"citationItems":[{"id":2050,"uris":["http://zotero.org/users/1277496/items/NWFLKCYM"],"uri":["http://zotero.org/users/1277496/items/NWFLKCYM"],"itemData":{"id":2050,"type":"article-journal","abstract":"Background\nAbnormalities in potassium levels can lead to several clinical difficulties in trauma patients admitted to the ICU. However, the significance of potassium abnormalities soon after admission in trauma patients has not yet been clearly delineated. The objective of this study was to describe the plasma potassium abnormalities in trauma patients on admission and to examine the clinical outcomes associated with these abnormalities.\n\nMethods\nWe performed a retrospective observational study of plasma potassium levels in trauma patients admitted to the Fukuyama City Hospital between January 1, 2010 and December 31, 2013. Five hundred twenty consecutive trauma patients were included and categorized into six groups according to their plasma potassium level on admission (&lt;3.0, 3.0–&lt;3.5, 3.5–&lt;4.0, 4.0–&lt;4.5, 4.5–&lt;5.0, and ≥5.0 mEq/L). After adjusting for covariates, including age, gender, the Revised Trauma Score, and the Injury Severity Score, logistic regression analysis was used to examine the association between plasma potassium levels and outcomes, including life-saving interventions and in-hospital mortality.\n\nResults\nTwo hundred twenty-seven patients (43.7 %) presented with hypokalemia (&lt;3.5 mEq/L), while seven patients (1.3 %) presented with hyperkalemia (≥5.0 mEq/L). Patients in the lowest potassium group (&lt;3.0 mEq/L, n = 36 [6.9 %]) were significantly associated with craniotomy (adjusted odds ratio 5.25 [95 % confidence interval 2.06–13.40]; p &lt; 0.001) and showed an increased trend toward in-hospital mortality. In the second lowest potassium group (3.0–&lt; 3.5 mEq/L, n = 191 [36.7 %]), the adjusted odds ratio for craniotomy was significantly higher (2.03 [95 % confidence interval 1.01–4.07]; p = 0.048) compared to the reference group.\n\nConclusions\nTrauma patients presenting with hypokalemia (&lt;3.5 mEq/L) on admission may be associated with severe head trauma requiring life-saving craniotomy.","container-title":"Journal of Intensive Care","DOI":"10.1186/s40560-015-0103-6","ISSN":"2052-0492","issue":"1","journalAbbreviation":"J Intensive Care","note":"PMID: 26269745\nPMCID: PMC4534081","page":"37","source":"PubMed Central","title":"The clinical relevance of plasma potassium abnormalities on admission in trauma patients: a retrospective observational study","title-short":"The clinical relevance of plasma potassium abnormalities on admission in trauma patients","volume":"3","author":[{"family":"Ookuma","given":"Takaaki"},{"family":"Miyasho","given":"Koji"},{"family":"Kashitani","given":"Nobuhiro"},{"family":"Beika","given":"Nobuhiko"},{"family":"Ishibashi","given":"Naoki"},{"family":"Yamashita","given":"Takahiro"},{"family":"Ujike","given":"Yoshihito"}],"issued":{"date-parts":[["2015"]]}}},{"id":2053,"uris":["http://zotero.org/users/1277496/items/3Z78J7E9"],"uri":["http://zotero.org/users/1277496/items/3Z78J7E9"],"itemData":{"id":2053,"type":"article-journal","abstract":"INTRODUCTION: Patients with traumatic brain injury (TBI) are more vulnerable to develop hypokalaemia, we sought to investigate the prevalence, and the relationship between severe hypokalaemia and the mortality of traumatic brain injury patients.\nMETHODS: Isolated traumatic brain patients who had hypokalaemia (serum potassium &lt;3.5mmol/L) and age≥14yrs were recruited into the study between January 2008 and March 2013. Hypokalaemia was defined as potassium level in the blood &lt;3.5mmol/L during the hospitalisation, which was classified by severity: mild (3.0mmol/L≤K&lt;3.5mmol/L), moderate (2.5mmol/L≤K&lt;3.0mmol/L) and severe (K&lt;2.5mmol/L). Multivariable logistic regression was performed to find the impact of hypokalaemia on mortality.\nRESULTS: A total 375 cases were included in analysis. The peak incidence of severe hypokalaemia occurred in the first 24-96h. TBI patients with severe hypokalaemia had significantly higher serum sodium and lower serum phosphorus than those patients with mild or moderate hypokalaemia (p&lt;0.001). Compare to other groups, the severe hypokalaemia group had the worst outcome. Moreover, the patients (n=15) who had severe hypokalaemia, hypernatraemia (Na&gt;160mmol/L), and hypophosphataemia (P&lt;0.3mmol/L) all died in hospital. Multiple logistic regression analysis resulted in decrease of GCS (OR=1.27; 95% CI=1.15-1.41; p&lt;0.001) and potassium (OR=4.35; 95% CI=2.04-9.26; p&lt;0.001) being associated with significant increased risk of mortality.\nCONCLUSIONS: The peak incidence of severe hypokalaemia occurred in the first 24-96h. TBI patients with severe hypokalaemia are more vulnerable to develop hypophosphataemia and hypernatraemia than patients with mild and moderate hypokalaemia. Severe hypokalaemia are the independent risk factors for mortality in TBI patients.","container-title":"Injury","DOI":"10.1016/j.injury.2014.08.002","ISSN":"1879-0267","issue":"1","journalAbbreviation":"Injury","language":"eng","note":"PMID: 25195182","page":"35-41","source":"PubMed","title":"Prevalence of severe hypokalaemia in patients with traumatic brain injury","volume":"46","author":[{"family":"Wu","given":"Xing"},{"family":"Lu","given":"Xin"},{"family":"Lu","given":"Xiangqiong"},{"family":"Yu","given":"Jian"},{"family":"Sun","given":"Yirui"},{"family":"Du","given":"Zhuoying"},{"family":"Wu","given":"Xuehai"},{"family":"Mao","given":"Ying"},{"family":"Zhou","given":"Liangfu"},{"family":"Wu","given":"Sirong"},{"family":"Hu","given":"Jin"}],"issued":{"date-parts":[["2015",1]]}}}],"schema":"https://github.com/citation-style-language/schema/raw/master/csl-citation.json"} </w:instrText>
      </w:r>
      <w:r w:rsidR="00E14CC0" w:rsidRPr="00E14CC0">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1,5</w:t>
      </w:r>
      <w:r w:rsidR="00E14CC0" w:rsidRPr="00E14CC0">
        <w:rPr>
          <w:rFonts w:ascii="Times New Roman" w:hAnsi="Times New Roman" w:cs="Times New Roman"/>
          <w:sz w:val="24"/>
          <w:szCs w:val="24"/>
        </w:rPr>
        <w:fldChar w:fldCharType="end"/>
      </w:r>
      <w:r w:rsidR="00E14CC0" w:rsidRPr="00E14CC0">
        <w:rPr>
          <w:rFonts w:ascii="Times New Roman" w:hAnsi="Times New Roman" w:cs="Times New Roman"/>
          <w:sz w:val="24"/>
          <w:szCs w:val="24"/>
        </w:rPr>
        <w:t xml:space="preserve">. </w:t>
      </w:r>
      <w:r w:rsidR="00C04293">
        <w:rPr>
          <w:rFonts w:ascii="Times New Roman" w:hAnsi="Times New Roman" w:cs="Times New Roman"/>
          <w:sz w:val="24"/>
          <w:szCs w:val="24"/>
        </w:rPr>
        <w:t xml:space="preserve">There is paucity of </w:t>
      </w:r>
      <w:r w:rsidR="00F31A52">
        <w:rPr>
          <w:rFonts w:ascii="Times New Roman" w:hAnsi="Times New Roman" w:cs="Times New Roman"/>
          <w:sz w:val="24"/>
          <w:szCs w:val="24"/>
        </w:rPr>
        <w:t xml:space="preserve">local </w:t>
      </w:r>
      <w:r w:rsidR="00C04293">
        <w:rPr>
          <w:rFonts w:ascii="Times New Roman" w:hAnsi="Times New Roman" w:cs="Times New Roman"/>
          <w:sz w:val="24"/>
          <w:szCs w:val="24"/>
        </w:rPr>
        <w:t xml:space="preserve">data on the incidence of potassium ion abnormalities following traumatic brain injury. </w:t>
      </w:r>
    </w:p>
    <w:p w:rsidR="00725821" w:rsidRPr="00E92388" w:rsidRDefault="00725821" w:rsidP="005E535D">
      <w:pPr>
        <w:spacing w:before="240" w:after="0" w:line="480" w:lineRule="auto"/>
        <w:jc w:val="both"/>
        <w:rPr>
          <w:rFonts w:ascii="Times New Roman" w:hAnsi="Times New Roman" w:cs="Times New Roman"/>
          <w:sz w:val="24"/>
          <w:szCs w:val="24"/>
        </w:rPr>
      </w:pPr>
      <w:r w:rsidRPr="008D00D0">
        <w:rPr>
          <w:rFonts w:ascii="Times New Roman" w:hAnsi="Times New Roman" w:cs="Times New Roman"/>
          <w:sz w:val="24"/>
          <w:szCs w:val="24"/>
        </w:rPr>
        <w:t>Severe Traumatic brain injury</w:t>
      </w:r>
      <w:r w:rsidR="00C04293">
        <w:rPr>
          <w:rFonts w:ascii="Times New Roman" w:hAnsi="Times New Roman" w:cs="Times New Roman"/>
          <w:sz w:val="24"/>
          <w:szCs w:val="24"/>
        </w:rPr>
        <w:t xml:space="preserve"> (TBI)</w:t>
      </w:r>
      <w:r w:rsidRPr="008D00D0">
        <w:rPr>
          <w:rFonts w:ascii="Times New Roman" w:hAnsi="Times New Roman" w:cs="Times New Roman"/>
          <w:sz w:val="24"/>
          <w:szCs w:val="24"/>
        </w:rPr>
        <w:t xml:space="preserve">, defined as Glasgow Coma Scale ≤ 8,  is a major cause of death and </w:t>
      </w:r>
      <w:r w:rsidR="00C04293">
        <w:rPr>
          <w:rFonts w:ascii="Times New Roman" w:hAnsi="Times New Roman" w:cs="Times New Roman"/>
          <w:sz w:val="24"/>
          <w:szCs w:val="24"/>
        </w:rPr>
        <w:t>disability</w:t>
      </w:r>
      <w:r w:rsidRPr="008D00D0">
        <w:rPr>
          <w:rFonts w:ascii="Times New Roman" w:hAnsi="Times New Roman" w:cs="Times New Roman"/>
          <w:sz w:val="24"/>
          <w:szCs w:val="24"/>
        </w:rPr>
        <w:t xml:space="preserve"> worldwide and is associated with huge direct and indirect costs to the public </w:t>
      </w:r>
      <w:r w:rsidRPr="008D00D0">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{"citationID":"fblc1q6T","properties":{"formattedCitation":"\\super 6\\uc0\\u8211{}8\\nosupersub{}","plainCitation":"6–8","noteIndex":0},"citationItems":[{"id":2150,"uris":["http://zotero.org/users/1277496/items/UXTCD7AB"],"uri":["http://zotero.org/users/1277496/items/UXTCD7AB"],"itemData":{"id":2150,"type":"article-journal","abstract":"Traumatic brain injury (TBI) is a major cause of chronic disability. Worldwide, it is the leading cause of disability in the under 40s. Behavioral problems, mood, cognition, particularly memory, attention, and executive function are commonly impaired by TBI. Spending to assist, TBI survivors with disabilities are estimated to be costly per year. Such impaired functional outcomes following TBI can be improved via various rehabilitative approaches. The objective of the present paper is to review the current rehabilitation treatment of traumatic brain injury in adults.","container-title":"Neural Plasticity","DOI":"10.1155/2017/1582182","ISSN":"2090-5904","issue":"2017","journalAbbreviation":"Neural Plast","note":"PMID: 28491478\nPMCID: PMC5405588","page":"1582182","source":"PubMed Central","title":"Rehabilitation Treatment and Progress of Traumatic Brain Injury Dysfunction","volume":"2017","author":[{"family":"Dang","given":"Baoqi"},{"family":"Chen","given":"Wenli"},{"family":"He","given":"Weichun"},{"family":"Chen","given":"Gang"}],"issued":{"date-parts":[["2017"]]}}},{"id":2147,"uris":["http://zotero.org/users/1277496/items/7F3VIY4P"],"uri":["http://zotero.org/users/1277496/items/7F3VIY4P"],"itemData":{"id":2147,"type":"article-journal","abstract":"Purpose of the Review\nSevere traumatic brain injury (TBI) continues to represent a global public health issue, and mortality and morbidity in TBI patients remain substantial. There are ongoing international collaborations to provide guidelines for perioperative care and management of severe TBI patients. In addition, new pharmacologic agents are being tested along with cognitive rehabilitation to improve functional independence and outcome in TBI patients. This review will discuss the current updates in the guidelines for the perioperative management of TBI patients and describe potential new therapies to improve functional outcomes.\n\nRecent Findings\nIn the most recent guidelines published by The Brain Trauma Foundation, therapeutic options were reviewed based on new and revised evidence or lack of evidence. For example, changes and/or updates were made to the recommendations for the use of sedation and hypothermia in TBI patients, and new evidence was provided for the use of cerebrospinal fluid drainage as a first-line treatment for increased intracranial pressure (ICP). In addition to the guidelines, new ‘multi-potential’ agents that can target several mechanisms are being tested along with cognitive rehabilitation.\n\nSummary\nThe major goal of perioperative management of TBI patients is to prevent secondary damage. Therapeutic measures based on established guidelines and recommendations must be instituted promptly throughout the perioperative course to reduce morbidity and mortality.","container-title":"Current Anesthesiology Reports","DOI":"10.1007/s40140-018-0286-1","ISSN":"1523-3855","issue":"3","journalAbbreviation":"Curr Anesthesiol Rep","note":"PMID: 30147453\nPMCID: PMC6096919","page":"279-289","source":"PubMed Central","title":"Perioperative Management of Severe Traumatic Brain Injury: What Is New?","title-short":"Perioperative Management of Severe Traumatic Brain Injury","volume":"8","author":[{"family":"Farrell","given":"Deacon"},{"family":"Bendo","given":"Audrée A."}],"issued":{"date-parts":[["2018"]]}}},{"id":2144,"uris":["http://zotero.org/users/1277496/items/DYVCNL2V"],"uri":["http://zotero.org/users/1277496/items/DYVCNL2V"],"itemData":{"id":2144,"type":"article-journal","abstract":"Traumatic brain injury (TBI) is a leading cause of death and disability in trauma patients. As the primary injury cannot be undone, management strategies must therefore focus on preventing secondary injury by avoiding hypotension and hypoxia and maintaining appropriate cerebral perfusion pressure (CPP), which is a surrogate for cerebral blood flow (CBF). Cerebral perfusion pressure can be maintained by increasing mean arterial pressure (MAP), decreasing intracranial pressure (ICP), or both. MAP can be increased through a combination of pressors in the euvolemic state, although the ideal fluid in TBI patients is unknown. The goal should be euvolemia and avoidance of hypotension. Elevated intracranial pressure can be treated through an algorithmic approach utilization simple bedside maneuvers, hyperosmolar therapy, cerebral spinal fluid (CSF) drainage as well as pentobarbital coma and decompressive craniectomy in refractory cases. Mass lesions may require operative evacuation depending on size, exam findings, and ICP measurements. Although CPP may not be an ideal surrogate for cerebral blood flow and metabolic delivery, other modalities have not gained widespread use due to paucity of strong data. Other factors that deserve important consideration in the acute management of TBI patients are venous thromboembolism, stress ulcer, and seizure prophylaxis as well as nutritional and metabolic optimization.","container-title":"The Surgical clinics of North America","DOI":"10.1016/j.suc.2017.06.003","ISSN":"0039-6109","issue":"5","journalAbbreviation":"Surg Clin North Am","note":"PMID: 28958355\nPMCID: PMC5747306","page":"1015-1030","source":"PubMed Central","title":"Acute Management of Traumatic Brain Injury","volume":"97","author":[{"family":"Vella","given":"Michael A."},{"family":"Crandall","given":"Marie"},{"family":"Patel","given":"Mayur B."}],"issued":{"date-parts":[["2017",10]]}}}],"schema":"https://github.com/citation-style-language/schema/raw/master/csl-citation.json"} </w:instrText>
      </w:r>
      <w:r w:rsidRPr="008D00D0">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6–8</w:t>
      </w:r>
      <w:r w:rsidRPr="008D00D0">
        <w:rPr>
          <w:rFonts w:ascii="Times New Roman" w:hAnsi="Times New Roman" w:cs="Times New Roman"/>
          <w:sz w:val="24"/>
          <w:szCs w:val="24"/>
        </w:rPr>
        <w:fldChar w:fldCharType="end"/>
      </w:r>
      <w:r w:rsidRPr="008D00D0">
        <w:rPr>
          <w:rFonts w:ascii="Times New Roman" w:hAnsi="Times New Roman" w:cs="Times New Roman"/>
          <w:sz w:val="24"/>
          <w:szCs w:val="24"/>
        </w:rPr>
        <w:t xml:space="preserve">. Traumatic Brain Injury </w:t>
      </w:r>
      <w:r>
        <w:rPr>
          <w:rFonts w:ascii="Times New Roman" w:hAnsi="Times New Roman" w:cs="Times New Roman"/>
          <w:sz w:val="24"/>
          <w:szCs w:val="24"/>
        </w:rPr>
        <w:t>(</w:t>
      </w:r>
      <w:r w:rsidRPr="008D00D0">
        <w:rPr>
          <w:rFonts w:ascii="Times New Roman" w:hAnsi="Times New Roman" w:cs="Times New Roman"/>
          <w:sz w:val="24"/>
          <w:szCs w:val="24"/>
        </w:rPr>
        <w:t>TBI</w:t>
      </w:r>
      <w:r>
        <w:rPr>
          <w:rFonts w:ascii="Times New Roman" w:hAnsi="Times New Roman" w:cs="Times New Roman"/>
          <w:sz w:val="24"/>
          <w:szCs w:val="24"/>
        </w:rPr>
        <w:t>)</w:t>
      </w:r>
      <w:r w:rsidR="00E92388">
        <w:rPr>
          <w:rFonts w:ascii="Times New Roman" w:hAnsi="Times New Roman" w:cs="Times New Roman"/>
          <w:sz w:val="24"/>
          <w:szCs w:val="24"/>
        </w:rPr>
        <w:t xml:space="preserve"> is more in developing nations </w:t>
      </w:r>
      <w:r w:rsidRPr="008D00D0">
        <w:rPr>
          <w:rFonts w:ascii="Times New Roman" w:hAnsi="Times New Roman" w:cs="Times New Roman"/>
          <w:sz w:val="24"/>
          <w:szCs w:val="24"/>
        </w:rPr>
        <w:t xml:space="preserve">because of the increasing number of road traffic accidents </w:t>
      </w:r>
      <w:r w:rsidRPr="008D00D0">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{"citationID":"IycAyA7R","properties":{"formattedCitation":"\\super 9\\uc0\\u8211{}11\\nosupersub{}","plainCitation":"9–11","noteIndex":0},"citationItems":[{"id":2171,"uris":["http://zotero.org/users/1277496/items/A426C36G"],"uri":["http://zotero.org/users/1277496/items/A426C36G"],"itemData":{"id":2171,"type":"article-journal","abstract":"Kenya has a disproportionately high rate of road traffic accidents each year, many of them resulting in traumatic brain injuries (TBIs). A review of articles written on issues pertaining to the medical treatment of people with TBI in the past 15 years in Kenya indicates a significantly high incidence of TBIs and a high mortality rate. This article reviews the available literature as a first step in exploring the status of rehabilitation of Kenyans with cognitive impairments and other disabilities resulting from TBIs. From this preliminary review, it is apparent that despite TBI being a pervasive public health problem in Kenya, it has not received due attention in the public and private sectors as evidenced by a serious lack of post-acute rehabilitation services for people with TBIs. Implications for this lack of services are discussed and recommendations are made for potential approaches to this problem.","container-title":"SAGE Open","DOI":"10.1177/2158244016638392","ISSN":"2158-2440","issue":"1","journalAbbreviation":"SAGE Open","language":"en","page":"2158244016638392","source":"SAGE Journals","title":"Traumatic Brain Injury in Kenya: A Preliminary Review of the Literature","title-short":"Traumatic Brain Injury in Kenya","volume":"6","author":[{"family":"Kinyanjui","given":"Benson"}],"issued":{"date-parts":[["2016",1,1]]}}},{"id":2163,"uris":["http://zotero.org/users/1277496/items/VKZMLQES"],"uri":["http://zotero.org/users/1277496/items/VKZMLQES"],"itemData":{"id":2163,"type":"article-journal","abstract":"Traumatic brain injury (TBI) not only has considerable morbidity and mortality\r\nbut is a major cause of disability, epilepsy and dementia worldwide. In this review,\r\nresults of studies conducted at the Kenyatta National Hospital, Nairobi, Kenya\r\nby the senior author between 1979 and 2009 are presented. These findings are\r\ndiscussed in two parts, those done between 1979 and 1985 (pre-CT scan period)\r\nand those done between 1999 and 2009 (CT scan period).\r\nThe overall mortality in patients with TBI seen in the pre-CT scan period was\r\n16% in adults and 1.4% in children. The male to female ratio was 7:1. in adults\r\nand 1.1:1 in children. Most of the TBI in adults in the pre-CT scan period were due\r\nto either road traffic accidents (46%) or assaults (40%), while a different pattern\r\nwas observed in children, with falls from a height being most frequent (50%)\r\nfollowed closely by road traffic accidents (42%). In this group, the frequency of\r\nearly seizures was 4% in adults and 8% in children. In the second study group\r\nof CT scan era TBI patients, the male to female ratio in patients with severe TBI\r\n(GCS 8 and below) was 8:1 while the overall mortality was 57% (60% of the\r\npatients dying within 48 hours of admission).\r\nIn the earlier years in this second study group (1992-1996), skull radiograph\r\nwas the investigation of choice in patients with severe TBI (74%), CT scan of\r\nthe head being done in only 24% of the patients, while in the later years (2009)\r\nCT scan of the head was done in all the patients with severe TBI. Brain oedema\r\nwas the commonest CT scan finding in this second study group and 40% of the\r\npatients diagnosed with brain oedema had a poor outcome.\r\nOther factors associated with a poor outcome in this group were abnormal pupillary\r\nreaction to light, hypotension (MAP&lt; 70mmHg) and hypoglycaemia (blood\r\nglucose &lt;10mmol/l). In this paper, the Global perspective of neuroepidemiology\r\nof TBI in low and middle income countries of sub-Saharan Africa, its role as\r\na major cause of death and disability and possible preventive measures, are\r\ndiscussed.","language":"en","source":"erepository.uonbi.ac.ke","title":"Neuroepidemiology Of Head Injuries In Kenya","URL":"http://erepository.uonbi.ac.ke/handle/11295/61243","author":[{"family":"Mwang’ombe","given":"N. J. M."},{"family":"Shitsama","given":"S. V."}],"accessed":{"date-parts":[["2019",7,9]]},"issued":{"date-parts":[["2013",6]]}}},{"id":2197,"uris":["http://zotero.org/users/1277496/items/6UYRY77A"],"uri":["http://zotero.org/users/1277496/items/6UYRY77A"],"itemData":{"id":2197,"type":"article-journal","abstract":"Background and purpose Our aim was to provide estimates of traumatic brain injury (TBI) in 2050 for the African population by region, sex and age strata. Methods A literature search was performed in October 2014 in PubMed for population-based studies of TBI in different geographical locations. Articles were selected from Kenya (model 1), New Zealand (model 2) and the USA (model 3). In model 1, rates of road traffic injury in Kenya were used to estimate TBI rates in the African continent. Models 2 and 3 used existing TBI incidence estimates from other locations to estimate the burden of TBI for Africa in 2050. The 2050 African population, as projected by the United Nations, was used as a base population. Results Based on rates from model 1, the estimated total TBI count in Africa in 2050 is 5.98 ± 0.03 million, with the highest count in eastern (2.04 ± 0.01 million) and lowest count in southern (0.15 ± 0.00 million) Africa. A higher TBI count is predicted by models 2 (14.25 ± 0.75 million) and 3 (10.40 ± 0.02 million). Estimated TBI count is highest for males aged 15–34 (5.47 ± 0.55 million in model 2 and 3.21 ± 0.13 million in model 3). Conclusions Projected estimates of TBI in Africa are high, with a burden of anywhere between approximately 6 and 14 million new cases in 2050. This emphasizes the importance of developing accurate surveillance systems of TBI at a population level and public health measures to mitigate the risk and burden of TBI.","container-title":"European Journal of Neurology","DOI":"10.1111/ene.12877","ISSN":"1468-1331","issue":"2","language":"en","page":"382-386","source":"Wiley Online Library","title":"Traumatic brain injury in Africa in 2050: a modeling study","title-short":"Traumatic brain injury in Africa in 2050","volume":"23","author":[{"family":"Wong","given":"J. C."},{"family":"Linn","given":"K. A."},{"family":"Shinohara","given":"R. T."},{"family":"Mateen","given":"F. J."}],"issued":{"date-parts":[["2016"]]}}}],"schema":"https://github.com/citation-style-language/schema/raw/master/csl-citation.json"} </w:instrText>
      </w:r>
      <w:r w:rsidRPr="008D00D0">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9–11</w:t>
      </w:r>
      <w:r w:rsidRPr="008D00D0">
        <w:rPr>
          <w:rFonts w:ascii="Times New Roman" w:hAnsi="Times New Roman" w:cs="Times New Roman"/>
          <w:sz w:val="24"/>
          <w:szCs w:val="24"/>
        </w:rPr>
        <w:fldChar w:fldCharType="end"/>
      </w:r>
      <w:r w:rsidRPr="008D00D0">
        <w:rPr>
          <w:rFonts w:ascii="Times New Roman" w:hAnsi="Times New Roman" w:cs="Times New Roman"/>
          <w:sz w:val="24"/>
          <w:szCs w:val="24"/>
        </w:rPr>
        <w:t xml:space="preserve">. </w:t>
      </w:r>
      <w:r>
        <w:rPr>
          <w:rFonts w:ascii="Times New Roman" w:hAnsi="Times New Roman" w:cs="Times New Roman"/>
          <w:sz w:val="24"/>
          <w:szCs w:val="24"/>
        </w:rPr>
        <w:t xml:space="preserve">In our setup, </w:t>
      </w:r>
      <w:r w:rsidRPr="008D00D0">
        <w:rPr>
          <w:rFonts w:ascii="Times New Roman" w:hAnsi="Times New Roman" w:cs="Times New Roman"/>
          <w:sz w:val="24"/>
          <w:szCs w:val="24"/>
        </w:rPr>
        <w:t xml:space="preserve">most hospital-based studies have revealed that severe head injury is associated with mortality of &gt;50% and poor functional outcomes </w:t>
      </w:r>
      <w:r w:rsidRPr="008D00D0">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{"citationID":"N51BUsa4","properties":{"formattedCitation":"\\super 12\\uc0\\u8211{}14\\nosupersub{}","plainCitation":"12–14","noteIndex":0},"citationItems":[{"id":1098,"uris":["http://zotero.org/users/1277496/items/NXVPMUNM"],"uri":["http://zotero.org/users/1277496/items/NXVPMUNM"],"itemData":{"id":1098,"type":"article-journal","container-title":"World neurosurgery","issue":"5","note":"00003","page":"586–591","source":"Google Scholar","title":"Predictors of functional recovery in African patients with traumatic intracranial hematomas","volume":"75","author":[{"family":"Kiboi","given":"Julius G."},{"family":"Kitunguu","given":"Peter K."},{"family":"Angwenyi","given":"Phillip"},{"family":"Mbuthia","given":"Fred"},{"family":"Sagina","given":"Laura S."}],"issued":{"date-parts":[["2011"]]}}},{"id":1105,"uris":["http://zotero.org/users/1277496/items/EQNXR47Z"],"uri":["http://zotero.org/users/1277496/items/EQNXR47Z"],"itemData":{"id":1105,"type":"article-journal","container-title":"East African medical journal","issue":"5","note":"00005","page":"238–241","source":"Google Scholar","title":"Factors influencing the outcome of severe head injury at Kenyatta National Hospital","volume":"78","author":[{"family":"Mwang'ombe","given":"N. J. M."},{"family":"Kiboi","given":"J."}],"issued":{"date-parts":[["2001"]]}}},{"id":2186,"uris":["http://zotero.org/users/1277496/items/YNDL4FZ8"],"uri":["http://zotero.org/users/1277496/items/YNDL4FZ8"],"itemData":{"id":2186,"type":"article-journal","abstract":"OBJECTIVE: To determine the outcome of severe traumatic brain injury and to document the factors influencing mortality.\nDESIGN: A six months prospective study. SETTINGS: The intensive care unit (ICU) of Kenyatta National Hospital (KNH), a tertiary referral centre in Kenya.\nSUBJECTS: Eighty Seven adult patients with severe traumatic brain injury admitted between April and September 2005.\nMETHODS: Basic demographic, clinical, radiological and mechanism of injury data were recorded at admission and during ICU stay. The main outcome measure was survival or death.\nThe outcome groups were compared for the injury severity, mean arterial pressure, serum glucose level, grade of diffuse axonal injury and the presence of mydriasis and anisocoria\nusing the X2 test and the Fischers Exact test as appropriate.\nRESULTS: Severe traumatic brain injury accounted for 14.3% of all ICU admissions. This study included 73 men (83.9%) and 14\nwomen (16.1%) with a mean patient age of 34 ± 17 years. Motor vehicle accidents were the main cause (58.6%). Forty six patients (54.0%) died. Twenty nine percent of patients had\npersistent vegetative state or severe disability. Factors that were associated with poor outcome on univariate analysis were Glasgow coma scale of less than 5, diffuse axonal injury and\nintracerebral mass lesions and blood sugar greater than 10mmol / L.\nCONCLUSION: Severe TBI is a frequent cause of hospital admission to critical care units among young men with a high mortality (54%) rate.","container-title":"Annals of African Surgery","DOI":"10.4314/aas.v1i1.45788","ISSN":"2523-0816","issue":"1","language":"en","page":"3-9","source":"www.ajol.info","title":"Outcome of severe traumatic brain injury at a critical care unit: a review of 87 patients","title-short":"Outcome of severe traumatic brain injury at a critical care unit","volume":"1","author":[{"family":"Opondo","given":"E. A."},{"family":"Mwangombe","given":"N. J. M."}],"issued":{"date-parts":[["2007"]]}}}],"schema":"https://github.com/citation-style-language/schema/raw/master/csl-citation.json"} </w:instrText>
      </w:r>
      <w:r w:rsidRPr="008D00D0">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12–14</w:t>
      </w:r>
      <w:r w:rsidRPr="008D00D0">
        <w:rPr>
          <w:rFonts w:ascii="Times New Roman" w:hAnsi="Times New Roman" w:cs="Times New Roman"/>
          <w:sz w:val="24"/>
          <w:szCs w:val="24"/>
        </w:rPr>
        <w:fldChar w:fldCharType="end"/>
      </w:r>
      <w:r w:rsidRPr="008D00D0">
        <w:rPr>
          <w:rFonts w:ascii="Times New Roman" w:hAnsi="Times New Roman" w:cs="Times New Roman"/>
          <w:sz w:val="24"/>
          <w:szCs w:val="24"/>
        </w:rPr>
        <w:t xml:space="preserve">. </w:t>
      </w:r>
      <w:r>
        <w:rPr>
          <w:rFonts w:ascii="Times New Roman" w:hAnsi="Times New Roman" w:cs="Times New Roman"/>
          <w:sz w:val="24"/>
          <w:szCs w:val="24"/>
        </w:rPr>
        <w:t>These bad outcomes may be associated with secondary brain insults</w:t>
      </w:r>
      <w:r w:rsidR="00E92388">
        <w:rPr>
          <w:rFonts w:ascii="Times New Roman" w:hAnsi="Times New Roman" w:cs="Times New Roman"/>
          <w:sz w:val="24"/>
          <w:szCs w:val="24"/>
        </w:rPr>
        <w:t xml:space="preserve"> such as electrolyte abnormalities</w:t>
      </w:r>
      <w:r>
        <w:rPr>
          <w:rFonts w:ascii="Times New Roman" w:hAnsi="Times New Roman" w:cs="Times New Roman"/>
          <w:sz w:val="24"/>
          <w:szCs w:val="24"/>
        </w:rPr>
        <w:t xml:space="preserve"> that arise from </w:t>
      </w:r>
      <w:r w:rsidRPr="008D00D0">
        <w:rPr>
          <w:rFonts w:ascii="Times New Roman" w:hAnsi="Times New Roman" w:cs="Times New Roman"/>
          <w:sz w:val="24"/>
          <w:szCs w:val="24"/>
        </w:rPr>
        <w:t xml:space="preserve">inflammatory and biochemical cascades </w:t>
      </w:r>
      <w:r>
        <w:rPr>
          <w:rFonts w:ascii="Times New Roman" w:hAnsi="Times New Roman" w:cs="Times New Roman"/>
          <w:sz w:val="24"/>
          <w:szCs w:val="24"/>
        </w:rPr>
        <w:t xml:space="preserve">initiated by </w:t>
      </w:r>
      <w:r w:rsidRPr="008D00D0">
        <w:rPr>
          <w:rFonts w:ascii="Times New Roman" w:hAnsi="Times New Roman" w:cs="Times New Roman"/>
          <w:sz w:val="24"/>
          <w:szCs w:val="24"/>
        </w:rPr>
        <w:t xml:space="preserve">the primary injury insult to the brain </w:t>
      </w:r>
      <w:r w:rsidRPr="008D00D0">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{"citationID":"RRRpgnEn","properties":{"formattedCitation":"\\super 7,15\\nosupersub{}","plainCitation":"7,15","noteIndex":0},"citationItems":[{"id":2147,"uris":["http://zotero.org/users/1277496/items/7F3VIY4P"],"uri":["http://zotero.org/users/1277496/items/7F3VIY4P"],"itemData":{"id":2147,"type":"article-journal","abstract":"Purpose of the Review\nSevere traumatic brain injury (TBI) continues to represent a global public health issue, and mortality and morbidity in TBI patients remain substantial. There are ongoing international collaborations to provide guidelines for perioperative care and management of severe TBI patients. In addition, new pharmacologic agents are being tested along with cognitive rehabilitation to improve functional independence and outcome in TBI patients. This review will discuss the current updates in the guidelines for the perioperative management of TBI patients and describe potential new therapies to improve functional outcomes.\n\nRecent Findings\nIn the most recent guidelines published by The Brain Trauma Foundation, therapeutic options were reviewed based on new and revised evidence or lack of evidence. For example, changes and/or updates were made to the recommendations for the use of sedation and hypothermia in TBI patients, and new evidence was provided for the use of cerebrospinal fluid drainage as a first-line treatment for increased intracranial pressure (ICP). In addition to the guidelines, new ‘multi-potential’ agents that can target several mechanisms are being tested along with cognitive rehabilitation.\n\nSummary\nThe major goal of perioperative management of TBI patients is to prevent secondary damage. Therapeutic measures based on established guidelines and recommendations must be instituted promptly throughout the perioperative course to reduce morbidity and mortality.","container-title":"Current Anesthesiology Reports","DOI":"10.1007/s40140-018-0286-1","ISSN":"1523-3855","issue":"3","journalAbbreviation":"Curr Anesthesiol Rep","note":"PMID: 30147453\nPMCID: PMC6096919","page":"279-289","source":"PubMed Central","title":"Perioperative Management of Severe Traumatic Brain Injury: What Is New?","title-short":"Perioperative Management of Severe Traumatic Brain Injury","volume":"8","author":[{"family":"Farrell","given":"Deacon"},{"family":"Bendo","given":"Audrée A."}],"issued":{"date-parts":[["2018"]]}},"label":"page"},{"id":2160,"uris":["http://zotero.org/users/1277496/items/3YWWBVF5"],"uri":["http://zotero.org/users/1277496/items/3YWWBVF5"],"itemData":{"id":2160,"type":"article-journal","abstract":"Traumatic brain injury (TBI) presents in various forms ranging from mild alterations of consciousness to an unrelenting comatose state and death. In the most severe form of TBI, the entirety of the brain is affected by a diffuse type of injury and swelling. Treatment modalities vary extensively based on the severity of the injury and range from daily cognitive therapy sessions to radical surgery such as bilateral decompressive craniectomies. Guidelines have been set forth regarding the optimal management of TBI, but they must be taken in context of the situation and cannot be used in every individual circumstance. In this review article, we have summarized the current status of treatment for TBI in both clinical practice and basic research. We have put forth a brief overview of the various subtypes of traumatic injuries, optimal medical management, and both the noninvasive and invasive monitoring modalities, in addition to the surgical interventions necessary in particular instances. We have overviewed the main achievements in searching for therapeutic strategies of TBI in basic science. We have also discussed the future direction for developing TBI treatment from an experimental perspective.","container-title":"Cell Transplantation","DOI":"10.1177/0963689717714102","ISSN":"0963-6897","issue":"7","journalAbbreviation":"Cell Transplant","language":"en","page":"1118-1130","source":"SAGE Journals","title":"Traumatic Brain Injury: Current Treatment Strategies and Future Endeavors","title-short":"Traumatic Brain Injury","volume":"26","author":[{"family":"Galgano","given":"Michael"},{"family":"Toshkezi","given":"Gentian"},{"family":"Qiu","given":"Xuecheng"},{"family":"Russell","given":"Thomas"},{"family":"Chin","given":"Lawrence"},{"family":"Zhao","given":"Li-Ru"}],"issued":{"date-parts":[["2017",7,1]]}},"label":"page"}],"schema":"https://github.com/citation-style-language/schema/raw/master/csl-citation.json"} </w:instrText>
      </w:r>
      <w:r w:rsidRPr="008D00D0">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7,15</w:t>
      </w:r>
      <w:r w:rsidRPr="008D00D0">
        <w:rPr>
          <w:rFonts w:ascii="Times New Roman" w:hAnsi="Times New Roman" w:cs="Times New Roman"/>
          <w:sz w:val="24"/>
          <w:szCs w:val="24"/>
        </w:rPr>
        <w:fldChar w:fldCharType="end"/>
      </w:r>
      <w:r w:rsidRPr="008D00D0">
        <w:rPr>
          <w:rFonts w:ascii="Times New Roman" w:hAnsi="Times New Roman" w:cs="Times New Roman"/>
          <w:sz w:val="24"/>
          <w:szCs w:val="24"/>
        </w:rPr>
        <w:t xml:space="preserve">. </w:t>
      </w:r>
      <w:r>
        <w:rPr>
          <w:rFonts w:ascii="Times New Roman" w:hAnsi="Times New Roman" w:cs="Times New Roman"/>
          <w:sz w:val="24"/>
          <w:szCs w:val="24"/>
        </w:rPr>
        <w:t xml:space="preserve">This study aimed at determining the incidence of serum </w:t>
      </w:r>
      <w:proofErr w:type="spellStart"/>
      <w:r w:rsidR="00C04293">
        <w:rPr>
          <w:rFonts w:ascii="Times New Roman" w:hAnsi="Times New Roman" w:cs="Times New Roman"/>
          <w:sz w:val="24"/>
          <w:szCs w:val="24"/>
        </w:rPr>
        <w:t>potasium</w:t>
      </w:r>
      <w:proofErr w:type="spellEnd"/>
      <w:r>
        <w:rPr>
          <w:rFonts w:ascii="Times New Roman" w:hAnsi="Times New Roman" w:cs="Times New Roman"/>
          <w:sz w:val="24"/>
          <w:szCs w:val="24"/>
        </w:rPr>
        <w:t xml:space="preserve"> ion abnormalities in severe TBI patients, and their association with </w:t>
      </w:r>
      <w:proofErr w:type="spellStart"/>
      <w:r w:rsidR="00C04293">
        <w:rPr>
          <w:rFonts w:ascii="Times New Roman" w:hAnsi="Times New Roman" w:cs="Times New Roman"/>
          <w:sz w:val="24"/>
          <w:szCs w:val="24"/>
          <w:lang w:val="en-US"/>
        </w:rPr>
        <w:t>clinico</w:t>
      </w:r>
      <w:proofErr w:type="spellEnd"/>
      <w:r w:rsidR="00C04293">
        <w:rPr>
          <w:rFonts w:ascii="Times New Roman" w:hAnsi="Times New Roman" w:cs="Times New Roman"/>
          <w:sz w:val="24"/>
          <w:szCs w:val="24"/>
          <w:lang w:val="en-US"/>
        </w:rPr>
        <w:t>-</w:t>
      </w:r>
      <w:r w:rsidRPr="009F35A7">
        <w:rPr>
          <w:rFonts w:ascii="Times New Roman" w:hAnsi="Times New Roman" w:cs="Times New Roman"/>
          <w:sz w:val="24"/>
          <w:szCs w:val="24"/>
          <w:lang w:val="en-US"/>
        </w:rPr>
        <w:t xml:space="preserve">radiologic </w:t>
      </w:r>
      <w:r w:rsidR="009F6A38">
        <w:rPr>
          <w:rFonts w:ascii="Times New Roman" w:hAnsi="Times New Roman" w:cs="Times New Roman"/>
          <w:sz w:val="24"/>
          <w:szCs w:val="24"/>
          <w:lang w:val="en-US"/>
        </w:rPr>
        <w:t xml:space="preserve">parameters </w:t>
      </w:r>
      <w:r w:rsidR="00FF3AE9">
        <w:rPr>
          <w:rFonts w:ascii="Times New Roman" w:hAnsi="Times New Roman" w:cs="Times New Roman"/>
          <w:sz w:val="24"/>
          <w:szCs w:val="24"/>
          <w:lang w:val="en-US"/>
        </w:rPr>
        <w:t>and 30-day outcome</w:t>
      </w:r>
      <w:r w:rsidRPr="009F35A7">
        <w:rPr>
          <w:rFonts w:ascii="Times New Roman" w:hAnsi="Times New Roman" w:cs="Times New Roman"/>
          <w:sz w:val="24"/>
          <w:szCs w:val="24"/>
          <w:lang w:val="en-US"/>
        </w:rPr>
        <w:t>.</w:t>
      </w:r>
    </w:p>
    <w:p w:rsidR="00725821" w:rsidRDefault="00725821" w:rsidP="005E535D">
      <w:pPr>
        <w:spacing w:before="240" w:after="0" w:line="480" w:lineRule="auto"/>
        <w:jc w:val="both"/>
        <w:rPr>
          <w:rFonts w:ascii="Times New Roman" w:hAnsi="Times New Roman" w:cs="Times New Roman"/>
          <w:b/>
          <w:sz w:val="24"/>
          <w:szCs w:val="24"/>
          <w:lang w:val="en-US"/>
        </w:rPr>
      </w:pPr>
      <w:r w:rsidRPr="003222C1">
        <w:rPr>
          <w:rFonts w:ascii="Times New Roman" w:hAnsi="Times New Roman" w:cs="Times New Roman"/>
          <w:b/>
          <w:sz w:val="24"/>
          <w:szCs w:val="24"/>
          <w:lang w:val="en-US"/>
        </w:rPr>
        <w:t>MATERIALS AND METHODS</w:t>
      </w:r>
    </w:p>
    <w:p w:rsidR="00725821" w:rsidRPr="003358C9" w:rsidRDefault="00725821" w:rsidP="005E535D">
      <w:pPr>
        <w:spacing w:line="480" w:lineRule="auto"/>
        <w:jc w:val="both"/>
        <w:rPr>
          <w:rFonts w:ascii="Times New Roman" w:hAnsi="Times New Roman" w:cs="Times New Roman"/>
          <w:sz w:val="24"/>
          <w:szCs w:val="24"/>
        </w:rPr>
      </w:pPr>
      <w:r w:rsidRPr="003358C9">
        <w:rPr>
          <w:rFonts w:ascii="Times New Roman" w:hAnsi="Times New Roman" w:cs="Times New Roman"/>
          <w:b/>
          <w:i/>
          <w:sz w:val="24"/>
          <w:szCs w:val="24"/>
        </w:rPr>
        <w:t>Study design and site:</w:t>
      </w:r>
      <w:r>
        <w:rPr>
          <w:rFonts w:ascii="Times New Roman" w:hAnsi="Times New Roman" w:cs="Times New Roman"/>
          <w:sz w:val="24"/>
          <w:szCs w:val="24"/>
        </w:rPr>
        <w:t xml:space="preserve"> </w:t>
      </w:r>
      <w:r w:rsidR="00D52A73" w:rsidRPr="00D52A73">
        <w:rPr>
          <w:rFonts w:ascii="Times New Roman" w:hAnsi="Times New Roman" w:cs="Times New Roman"/>
          <w:sz w:val="24"/>
          <w:szCs w:val="24"/>
        </w:rPr>
        <w:t xml:space="preserve">An analytical cross-sectional study conducted over 4 months </w:t>
      </w:r>
      <w:r>
        <w:rPr>
          <w:rFonts w:ascii="Times New Roman" w:hAnsi="Times New Roman" w:cs="Times New Roman"/>
          <w:sz w:val="24"/>
          <w:szCs w:val="24"/>
        </w:rPr>
        <w:t>(1</w:t>
      </w:r>
      <w:r w:rsidRPr="00142C6A">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2019 to 28</w:t>
      </w:r>
      <w:r w:rsidRPr="00876A45">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2020). The study site was</w:t>
      </w:r>
      <w:r w:rsidRPr="002973FA">
        <w:rPr>
          <w:rFonts w:ascii="Times New Roman" w:hAnsi="Times New Roman" w:cs="Times New Roman"/>
          <w:sz w:val="24"/>
          <w:szCs w:val="24"/>
        </w:rPr>
        <w:t xml:space="preserve"> the Kenyatta National Hospit</w:t>
      </w:r>
      <w:r>
        <w:rPr>
          <w:rFonts w:ascii="Times New Roman" w:hAnsi="Times New Roman" w:cs="Times New Roman"/>
          <w:sz w:val="24"/>
          <w:szCs w:val="24"/>
        </w:rPr>
        <w:t xml:space="preserve">al Accident and Emergency Unit and </w:t>
      </w:r>
      <w:r w:rsidRPr="002973FA">
        <w:rPr>
          <w:rFonts w:ascii="Times New Roman" w:hAnsi="Times New Roman" w:cs="Times New Roman"/>
          <w:sz w:val="24"/>
          <w:szCs w:val="24"/>
        </w:rPr>
        <w:t>Intensive</w:t>
      </w:r>
      <w:r>
        <w:rPr>
          <w:rFonts w:ascii="Times New Roman" w:hAnsi="Times New Roman" w:cs="Times New Roman"/>
          <w:sz w:val="24"/>
          <w:szCs w:val="24"/>
        </w:rPr>
        <w:t xml:space="preserve"> Care Unit</w:t>
      </w:r>
      <w:r w:rsidRPr="002973FA">
        <w:rPr>
          <w:rFonts w:ascii="Times New Roman" w:hAnsi="Times New Roman" w:cs="Times New Roman"/>
          <w:sz w:val="24"/>
          <w:szCs w:val="24"/>
        </w:rPr>
        <w:t xml:space="preserve">. </w:t>
      </w:r>
      <w:bookmarkStart w:id="1" w:name="_Toc531593680"/>
      <w:bookmarkStart w:id="2" w:name="_Toc38027901"/>
      <w:r w:rsidR="00D52A73" w:rsidRPr="00D52A73">
        <w:rPr>
          <w:rFonts w:ascii="Times New Roman" w:hAnsi="Times New Roman" w:cs="Times New Roman"/>
          <w:sz w:val="24"/>
          <w:szCs w:val="24"/>
        </w:rPr>
        <w:t>Kenyatta National Hospital is located in Nairobi</w:t>
      </w:r>
      <w:r w:rsidR="006944DA">
        <w:rPr>
          <w:rFonts w:ascii="Times New Roman" w:hAnsi="Times New Roman" w:cs="Times New Roman"/>
          <w:sz w:val="24"/>
          <w:szCs w:val="24"/>
        </w:rPr>
        <w:t>7</w:t>
      </w:r>
      <w:r w:rsidR="00D52A73" w:rsidRPr="00D52A73">
        <w:rPr>
          <w:rFonts w:ascii="Times New Roman" w:hAnsi="Times New Roman" w:cs="Times New Roman"/>
          <w:sz w:val="24"/>
          <w:szCs w:val="24"/>
        </w:rPr>
        <w:t xml:space="preserve">, Kenya, and is the largest hospital and the country's leading neurotrauma referral </w:t>
      </w:r>
      <w:proofErr w:type="spellStart"/>
      <w:r w:rsidR="00D52A73" w:rsidRPr="00D52A73">
        <w:rPr>
          <w:rFonts w:ascii="Times New Roman" w:hAnsi="Times New Roman" w:cs="Times New Roman"/>
          <w:sz w:val="24"/>
          <w:szCs w:val="24"/>
        </w:rPr>
        <w:t>center</w:t>
      </w:r>
      <w:proofErr w:type="spellEnd"/>
      <w:r w:rsidR="00D52A73" w:rsidRPr="00D52A73">
        <w:rPr>
          <w:rFonts w:ascii="Times New Roman" w:hAnsi="Times New Roman" w:cs="Times New Roman"/>
          <w:sz w:val="24"/>
          <w:szCs w:val="24"/>
        </w:rPr>
        <w:t>. Hospital serves patients from various regions and socioeconomic backgrounds.</w:t>
      </w:r>
    </w:p>
    <w:p w:rsidR="006944DA" w:rsidRDefault="00725821" w:rsidP="005E535D">
      <w:pPr>
        <w:spacing w:line="480" w:lineRule="auto"/>
        <w:jc w:val="both"/>
        <w:rPr>
          <w:rFonts w:ascii="Times New Roman" w:hAnsi="Times New Roman" w:cs="Times New Roman"/>
          <w:sz w:val="24"/>
          <w:szCs w:val="24"/>
        </w:rPr>
      </w:pPr>
      <w:r w:rsidRPr="003358C9">
        <w:rPr>
          <w:rFonts w:ascii="Times New Roman" w:hAnsi="Times New Roman" w:cs="Times New Roman"/>
          <w:b/>
          <w:i/>
          <w:sz w:val="24"/>
          <w:szCs w:val="24"/>
        </w:rPr>
        <w:lastRenderedPageBreak/>
        <w:t>Study population</w:t>
      </w:r>
      <w:bookmarkEnd w:id="1"/>
      <w:bookmarkEnd w:id="2"/>
      <w:r w:rsidRPr="003358C9">
        <w:rPr>
          <w:rFonts w:ascii="Times New Roman" w:hAnsi="Times New Roman" w:cs="Times New Roman"/>
          <w:b/>
          <w:i/>
          <w:sz w:val="24"/>
          <w:szCs w:val="24"/>
        </w:rPr>
        <w:t>:</w:t>
      </w:r>
      <w:r w:rsidRPr="003358C9">
        <w:rPr>
          <w:rFonts w:ascii="Times New Roman" w:hAnsi="Times New Roman" w:cs="Times New Roman"/>
          <w:sz w:val="24"/>
          <w:szCs w:val="24"/>
        </w:rPr>
        <w:t xml:space="preserve"> </w:t>
      </w:r>
      <w:r w:rsidR="006944DA" w:rsidRPr="006944DA">
        <w:rPr>
          <w:rFonts w:ascii="Times New Roman" w:hAnsi="Times New Roman" w:cs="Times New Roman"/>
          <w:sz w:val="24"/>
          <w:szCs w:val="24"/>
        </w:rPr>
        <w:t>One hundred and seventeen patients with severe head injury defined by Glasgow Coma Scale ≤ 8 and whose next of kin had given informed consent were recruited into the study. Study excluded patients with known pre-existing chronic disease.</w:t>
      </w:r>
    </w:p>
    <w:p w:rsidR="00725821" w:rsidRPr="0036649D" w:rsidRDefault="00725821" w:rsidP="005E535D">
      <w:pPr>
        <w:spacing w:line="480" w:lineRule="auto"/>
        <w:jc w:val="both"/>
        <w:rPr>
          <w:rFonts w:ascii="Times New Roman" w:hAnsi="Times New Roman" w:cs="Times New Roman"/>
          <w:sz w:val="24"/>
          <w:szCs w:val="24"/>
        </w:rPr>
      </w:pPr>
      <w:r w:rsidRPr="0036649D">
        <w:rPr>
          <w:rFonts w:ascii="Times New Roman" w:hAnsi="Times New Roman" w:cs="Times New Roman"/>
          <w:b/>
          <w:i/>
          <w:sz w:val="24"/>
          <w:szCs w:val="24"/>
        </w:rPr>
        <w:t>Study variables:</w:t>
      </w:r>
      <w:r w:rsidRPr="0036649D">
        <w:rPr>
          <w:rFonts w:ascii="Times New Roman" w:hAnsi="Times New Roman" w:cs="Times New Roman"/>
          <w:sz w:val="24"/>
          <w:szCs w:val="24"/>
        </w:rPr>
        <w:t xml:space="preserve"> </w:t>
      </w:r>
      <w:r w:rsidR="006944DA" w:rsidRPr="006944DA">
        <w:rPr>
          <w:rFonts w:ascii="Times New Roman" w:hAnsi="Times New Roman" w:cs="Times New Roman"/>
          <w:sz w:val="24"/>
          <w:szCs w:val="24"/>
        </w:rPr>
        <w:t xml:space="preserve">Data collected included demographics of patients, injury mechanisms, pre-hospital interventions, clinical examination findings, CT </w:t>
      </w:r>
      <w:proofErr w:type="gramStart"/>
      <w:r w:rsidR="006944DA" w:rsidRPr="006944DA">
        <w:rPr>
          <w:rFonts w:ascii="Times New Roman" w:hAnsi="Times New Roman" w:cs="Times New Roman"/>
          <w:sz w:val="24"/>
          <w:szCs w:val="24"/>
        </w:rPr>
        <w:t>Scan</w:t>
      </w:r>
      <w:proofErr w:type="gramEnd"/>
      <w:r w:rsidR="006944DA" w:rsidRPr="006944DA">
        <w:rPr>
          <w:rFonts w:ascii="Times New Roman" w:hAnsi="Times New Roman" w:cs="Times New Roman"/>
          <w:sz w:val="24"/>
          <w:szCs w:val="24"/>
        </w:rPr>
        <w:t xml:space="preserve"> head findings, serum potassium levels (at admission and 48 hours later) and outcome (30 days). The Injury Severity Score (ISS) was used to measure the severity of the injury to the patient </w:t>
      </w:r>
      <w:r w:rsidR="00364882">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{"citationID":"BcabD2Ac","properties":{"formattedCitation":"\\super 16\\nosupersub{}","plainCitation":"16","noteIndex":0},"citationItems":[{"id":2257,"uris":["http://zotero.org/users/1277496/items/97LA9CC8"],"uri":["http://zotero.org/users/1277496/items/97LA9CC8"],"itemData":{"id":2257,"type":"article-journal","container-title":"The Journal of Trauma: Injury, Infection, and Critical Care","ISSN":"0022-5282","issue":"1","language":"ENGLISH","note":"PMID: 3123707","page":"69-77","source":"insights.ovid.com","title":"The Injury Severity Score Revisited","volume":"28","author":[{"family":"Copes","given":"Wayne"},{"family":"Champion","given":"Howard"},{"family":"Sacco","given":"William"},{"family":"Lawnick","given":"Mary"},{"family":"Keast","given":"Susan"},{"family":"Bain","given":"Lawrence"}],"issued":{"date-parts":[["1988",1]]}}}],"schema":"https://github.com/citation-style-language/schema/raw/master/csl-citation.json"} </w:instrText>
      </w:r>
      <w:r w:rsidR="00364882">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16</w:t>
      </w:r>
      <w:r w:rsidR="00364882">
        <w:rPr>
          <w:rFonts w:ascii="Times New Roman" w:hAnsi="Times New Roman" w:cs="Times New Roman"/>
          <w:sz w:val="24"/>
          <w:szCs w:val="24"/>
        </w:rPr>
        <w:fldChar w:fldCharType="end"/>
      </w:r>
      <w:r w:rsidRPr="0036649D">
        <w:rPr>
          <w:rFonts w:ascii="Times New Roman" w:hAnsi="Times New Roman" w:cs="Times New Roman"/>
          <w:sz w:val="24"/>
          <w:szCs w:val="24"/>
        </w:rPr>
        <w:t xml:space="preserve">. </w:t>
      </w:r>
      <w:r w:rsidR="006944DA" w:rsidRPr="006944DA">
        <w:rPr>
          <w:rFonts w:ascii="Times New Roman" w:hAnsi="Times New Roman" w:cs="Times New Roman"/>
          <w:sz w:val="24"/>
          <w:szCs w:val="24"/>
        </w:rPr>
        <w:t xml:space="preserve">Serum potassium tests were performed using </w:t>
      </w:r>
      <w:proofErr w:type="spellStart"/>
      <w:r w:rsidR="006944DA" w:rsidRPr="006944DA">
        <w:rPr>
          <w:rFonts w:ascii="Times New Roman" w:hAnsi="Times New Roman" w:cs="Times New Roman"/>
          <w:sz w:val="24"/>
          <w:szCs w:val="24"/>
        </w:rPr>
        <w:t>Biolis</w:t>
      </w:r>
      <w:proofErr w:type="spellEnd"/>
      <w:r w:rsidR="006944DA" w:rsidRPr="006944DA">
        <w:rPr>
          <w:rFonts w:ascii="Times New Roman" w:hAnsi="Times New Roman" w:cs="Times New Roman"/>
          <w:sz w:val="24"/>
          <w:szCs w:val="24"/>
        </w:rPr>
        <w:t xml:space="preserve"> 50i Superior Chemistry </w:t>
      </w:r>
      <w:proofErr w:type="spellStart"/>
      <w:r w:rsidR="006944DA" w:rsidRPr="006944DA">
        <w:rPr>
          <w:rFonts w:ascii="Times New Roman" w:hAnsi="Times New Roman" w:cs="Times New Roman"/>
          <w:sz w:val="24"/>
          <w:szCs w:val="24"/>
        </w:rPr>
        <w:t>Analyzer</w:t>
      </w:r>
      <w:proofErr w:type="spellEnd"/>
      <w:r w:rsidR="006944DA" w:rsidRPr="006944DA">
        <w:rPr>
          <w:rFonts w:ascii="Times New Roman" w:hAnsi="Times New Roman" w:cs="Times New Roman"/>
          <w:sz w:val="24"/>
          <w:szCs w:val="24"/>
        </w:rPr>
        <w:t xml:space="preserve"> (Tokyo </w:t>
      </w:r>
      <w:proofErr w:type="spellStart"/>
      <w:r w:rsidR="006944DA" w:rsidRPr="006944DA">
        <w:rPr>
          <w:rFonts w:ascii="Times New Roman" w:hAnsi="Times New Roman" w:cs="Times New Roman"/>
          <w:sz w:val="24"/>
          <w:szCs w:val="24"/>
        </w:rPr>
        <w:t>Boeki</w:t>
      </w:r>
      <w:proofErr w:type="spellEnd"/>
      <w:r w:rsidR="006944DA" w:rsidRPr="006944DA">
        <w:rPr>
          <w:rFonts w:ascii="Times New Roman" w:hAnsi="Times New Roman" w:cs="Times New Roman"/>
          <w:sz w:val="24"/>
          <w:szCs w:val="24"/>
        </w:rPr>
        <w:t xml:space="preserve"> </w:t>
      </w:r>
      <w:proofErr w:type="spellStart"/>
      <w:r w:rsidR="006944DA" w:rsidRPr="006944DA">
        <w:rPr>
          <w:rFonts w:ascii="Times New Roman" w:hAnsi="Times New Roman" w:cs="Times New Roman"/>
          <w:sz w:val="24"/>
          <w:szCs w:val="24"/>
        </w:rPr>
        <w:t>Medisys</w:t>
      </w:r>
      <w:proofErr w:type="spellEnd"/>
      <w:r w:rsidR="006944DA" w:rsidRPr="006944DA">
        <w:rPr>
          <w:rFonts w:ascii="Times New Roman" w:hAnsi="Times New Roman" w:cs="Times New Roman"/>
          <w:sz w:val="24"/>
          <w:szCs w:val="24"/>
        </w:rPr>
        <w:t xml:space="preserve"> – Japan). Daily internal quality control checks were carried out to ensure that the results were valid. In addition, external quality control checks were conducted through the </w:t>
      </w:r>
      <w:proofErr w:type="spellStart"/>
      <w:r w:rsidR="006944DA" w:rsidRPr="006944DA">
        <w:rPr>
          <w:rFonts w:ascii="Times New Roman" w:hAnsi="Times New Roman" w:cs="Times New Roman"/>
          <w:sz w:val="24"/>
          <w:szCs w:val="24"/>
        </w:rPr>
        <w:t>Randox</w:t>
      </w:r>
      <w:proofErr w:type="spellEnd"/>
      <w:r w:rsidR="006944DA" w:rsidRPr="006944DA">
        <w:rPr>
          <w:rFonts w:ascii="Times New Roman" w:hAnsi="Times New Roman" w:cs="Times New Roman"/>
          <w:sz w:val="24"/>
          <w:szCs w:val="24"/>
        </w:rPr>
        <w:t xml:space="preserve"> International Quality Assessment Scheme (RIQAS). The reference range for serum potassium in o</w:t>
      </w:r>
      <w:r w:rsidR="006944DA">
        <w:rPr>
          <w:rFonts w:ascii="Times New Roman" w:hAnsi="Times New Roman" w:cs="Times New Roman"/>
          <w:sz w:val="24"/>
          <w:szCs w:val="24"/>
        </w:rPr>
        <w:t xml:space="preserve">ur laboratory is 3.5-5.0 </w:t>
      </w:r>
      <w:proofErr w:type="spellStart"/>
      <w:r w:rsidR="006944DA">
        <w:rPr>
          <w:rFonts w:ascii="Times New Roman" w:hAnsi="Times New Roman" w:cs="Times New Roman"/>
          <w:sz w:val="24"/>
          <w:szCs w:val="24"/>
        </w:rPr>
        <w:t>mmol</w:t>
      </w:r>
      <w:proofErr w:type="spellEnd"/>
      <w:r w:rsidR="006944DA">
        <w:rPr>
          <w:rFonts w:ascii="Times New Roman" w:hAnsi="Times New Roman" w:cs="Times New Roman"/>
          <w:sz w:val="24"/>
          <w:szCs w:val="24"/>
        </w:rPr>
        <w:t>/</w:t>
      </w:r>
      <w:r w:rsidR="006944DA" w:rsidRPr="006944DA">
        <w:rPr>
          <w:rFonts w:ascii="Times New Roman" w:hAnsi="Times New Roman" w:cs="Times New Roman"/>
          <w:sz w:val="24"/>
          <w:szCs w:val="24"/>
        </w:rPr>
        <w:t>L.</w:t>
      </w:r>
    </w:p>
    <w:p w:rsidR="00725821" w:rsidRDefault="00725821" w:rsidP="005E535D">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Statistical analysis: </w:t>
      </w:r>
      <w:r w:rsidR="00075F41" w:rsidRPr="00075F41">
        <w:rPr>
          <w:rFonts w:ascii="Times New Roman" w:hAnsi="Times New Roman" w:cs="Times New Roman"/>
          <w:sz w:val="24"/>
          <w:szCs w:val="24"/>
        </w:rPr>
        <w:t xml:space="preserve">The data collected was entered in the Statistical Package for Social Sciences (SPSS) version 20.0 for analysis.   Variables were tested for normal distribution using the Kolmogorov-Smirnov test in addition to histograms. If normality assumptions were violated, the Mann-Whitney U and </w:t>
      </w:r>
      <w:proofErr w:type="spellStart"/>
      <w:r w:rsidR="00075F41" w:rsidRPr="00075F41">
        <w:rPr>
          <w:rFonts w:ascii="Times New Roman" w:hAnsi="Times New Roman" w:cs="Times New Roman"/>
          <w:sz w:val="24"/>
          <w:szCs w:val="24"/>
        </w:rPr>
        <w:t>Kruskal</w:t>
      </w:r>
      <w:proofErr w:type="spellEnd"/>
      <w:r w:rsidR="00075F41" w:rsidRPr="00075F41">
        <w:rPr>
          <w:rFonts w:ascii="Times New Roman" w:hAnsi="Times New Roman" w:cs="Times New Roman"/>
          <w:sz w:val="24"/>
          <w:szCs w:val="24"/>
        </w:rPr>
        <w:t xml:space="preserve">-Wallis tests were performed to test for differences between groups, instead of the student's t-test and the ANOVA (Analysis of Variance) tests. Admission and 48hrs post-admission variables were compared using a paired t-test. Categorical data were </w:t>
      </w:r>
      <w:proofErr w:type="spellStart"/>
      <w:r w:rsidR="00075F41" w:rsidRPr="00075F41">
        <w:rPr>
          <w:rFonts w:ascii="Times New Roman" w:hAnsi="Times New Roman" w:cs="Times New Roman"/>
          <w:sz w:val="24"/>
          <w:szCs w:val="24"/>
        </w:rPr>
        <w:t>analyzed</w:t>
      </w:r>
      <w:proofErr w:type="spellEnd"/>
      <w:r w:rsidR="00075F41" w:rsidRPr="00075F41">
        <w:rPr>
          <w:rFonts w:ascii="Times New Roman" w:hAnsi="Times New Roman" w:cs="Times New Roman"/>
          <w:sz w:val="24"/>
          <w:szCs w:val="24"/>
        </w:rPr>
        <w:t xml:space="preserve"> by Pearson's Chi-square test. The correlation between serum potassium and study variables (clinical, radiological) was determined using Pear</w:t>
      </w:r>
      <w:r w:rsidR="006F2B88">
        <w:rPr>
          <w:rFonts w:ascii="Times New Roman" w:hAnsi="Times New Roman" w:cs="Times New Roman"/>
          <w:sz w:val="24"/>
          <w:szCs w:val="24"/>
        </w:rPr>
        <w:t>son's correlation coefficient</w:t>
      </w:r>
      <w:r w:rsidR="00075F41" w:rsidRPr="00075F41">
        <w:rPr>
          <w:rFonts w:ascii="Times New Roman" w:hAnsi="Times New Roman" w:cs="Times New Roman"/>
          <w:sz w:val="24"/>
          <w:szCs w:val="24"/>
        </w:rPr>
        <w:t>. The odds ratio was calculated for each electrolyte abnormality to determine its associated mortality risk (30-day mortality). A p-value of &lt; 0.05 was considered to be significant.</w:t>
      </w:r>
    </w:p>
    <w:p w:rsidR="00725821" w:rsidRDefault="00725821" w:rsidP="00075F41">
      <w:pPr>
        <w:spacing w:line="480" w:lineRule="auto"/>
        <w:jc w:val="both"/>
        <w:rPr>
          <w:rFonts w:ascii="Times New Roman" w:hAnsi="Times New Roman" w:cs="Times New Roman"/>
          <w:b/>
          <w:sz w:val="24"/>
          <w:szCs w:val="24"/>
        </w:rPr>
      </w:pPr>
      <w:r w:rsidRPr="004C0345">
        <w:rPr>
          <w:rFonts w:ascii="Times New Roman" w:hAnsi="Times New Roman" w:cs="Times New Roman"/>
          <w:b/>
          <w:i/>
          <w:sz w:val="24"/>
          <w:szCs w:val="24"/>
        </w:rPr>
        <w:lastRenderedPageBreak/>
        <w:t>Ethical considerations:</w:t>
      </w:r>
      <w:r>
        <w:rPr>
          <w:rFonts w:ascii="Times New Roman" w:hAnsi="Times New Roman" w:cs="Times New Roman"/>
          <w:sz w:val="24"/>
          <w:szCs w:val="24"/>
        </w:rPr>
        <w:t xml:space="preserve"> </w:t>
      </w:r>
      <w:r w:rsidR="00075F41" w:rsidRPr="00075F41">
        <w:rPr>
          <w:rFonts w:ascii="Times New Roman" w:hAnsi="Times New Roman" w:cs="Times New Roman"/>
          <w:sz w:val="24"/>
          <w:szCs w:val="24"/>
        </w:rPr>
        <w:t>The study was carried out in accordance with the principles of the Helsinki Declaration. The protocol of the study was reviewed and approved by the Kenyatta National Hospital-University of Nairobi Ethics and Research Committee (P723/08/2019). Written informed consent was obtained from the next of kin of the patients as the patients could not consent in view of their low Glasgow Coma Score</w:t>
      </w:r>
    </w:p>
    <w:p w:rsidR="00725821" w:rsidRDefault="00725821" w:rsidP="005E535D">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635E84" w:rsidRPr="00635E84" w:rsidRDefault="00635E84" w:rsidP="005E535D">
      <w:pPr>
        <w:spacing w:before="240" w:after="0" w:line="480" w:lineRule="auto"/>
        <w:jc w:val="both"/>
        <w:rPr>
          <w:rFonts w:ascii="Times New Roman" w:hAnsi="Times New Roman" w:cs="Times New Roman"/>
          <w:b/>
          <w:sz w:val="24"/>
          <w:szCs w:val="24"/>
        </w:rPr>
      </w:pPr>
      <w:r w:rsidRPr="00635E84">
        <w:rPr>
          <w:rFonts w:ascii="Times New Roman" w:hAnsi="Times New Roman" w:cs="Times New Roman"/>
          <w:b/>
          <w:sz w:val="24"/>
          <w:szCs w:val="24"/>
        </w:rPr>
        <w:t>General information</w:t>
      </w:r>
    </w:p>
    <w:p w:rsidR="0092457C" w:rsidRDefault="0092457C" w:rsidP="005E535D">
      <w:pPr>
        <w:spacing w:before="240" w:after="0" w:line="480" w:lineRule="auto"/>
        <w:jc w:val="both"/>
        <w:rPr>
          <w:rFonts w:ascii="Times New Roman" w:hAnsi="Times New Roman" w:cs="Times New Roman"/>
          <w:sz w:val="24"/>
          <w:szCs w:val="24"/>
        </w:rPr>
      </w:pPr>
      <w:r w:rsidRPr="0092457C">
        <w:rPr>
          <w:rFonts w:ascii="Times New Roman" w:hAnsi="Times New Roman" w:cs="Times New Roman"/>
          <w:sz w:val="24"/>
          <w:szCs w:val="24"/>
        </w:rPr>
        <w:t>The study recruited 117 patients out of whom 111 (94.9 %) were male. The average age was 32.41 ± 14.59 years. Pre-hospital administration of intravenous normal saline and mannitol solutions was reported in 65 (55.</w:t>
      </w:r>
      <w:r>
        <w:rPr>
          <w:rFonts w:ascii="Times New Roman" w:hAnsi="Times New Roman" w:cs="Times New Roman"/>
          <w:sz w:val="24"/>
          <w:szCs w:val="24"/>
        </w:rPr>
        <w:t>6 %) and 16 (13.7%) of patients</w:t>
      </w:r>
      <w:r w:rsidRPr="0092457C">
        <w:rPr>
          <w:rFonts w:ascii="Times New Roman" w:hAnsi="Times New Roman" w:cs="Times New Roman"/>
          <w:sz w:val="24"/>
          <w:szCs w:val="24"/>
        </w:rPr>
        <w:t>, respectively. The mean Glasgow Coma Score and Injury Severity Scores at admission were 6.41±1.69 and 21.06±7.74.</w:t>
      </w:r>
    </w:p>
    <w:p w:rsidR="007B001E" w:rsidRPr="007B001E" w:rsidRDefault="007B71C1" w:rsidP="005E535D">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Incidence</w:t>
      </w:r>
      <w:r w:rsidR="007B001E" w:rsidRPr="007B001E">
        <w:rPr>
          <w:rFonts w:ascii="Times New Roman" w:hAnsi="Times New Roman" w:cs="Times New Roman"/>
          <w:b/>
          <w:sz w:val="24"/>
          <w:szCs w:val="24"/>
        </w:rPr>
        <w:t xml:space="preserve"> of serum </w:t>
      </w:r>
      <w:r w:rsidR="0021105F">
        <w:rPr>
          <w:rFonts w:ascii="Times New Roman" w:hAnsi="Times New Roman" w:cs="Times New Roman"/>
          <w:b/>
          <w:sz w:val="24"/>
          <w:szCs w:val="24"/>
        </w:rPr>
        <w:t>potassium</w:t>
      </w:r>
      <w:r w:rsidR="007B001E" w:rsidRPr="007B001E">
        <w:rPr>
          <w:rFonts w:ascii="Times New Roman" w:hAnsi="Times New Roman" w:cs="Times New Roman"/>
          <w:b/>
          <w:sz w:val="24"/>
          <w:szCs w:val="24"/>
        </w:rPr>
        <w:t xml:space="preserve"> ion abnormalities</w:t>
      </w:r>
    </w:p>
    <w:p w:rsidR="00AE332B" w:rsidRDefault="00AE332B" w:rsidP="005E535D">
      <w:pPr>
        <w:spacing w:before="240" w:after="0" w:line="480" w:lineRule="auto"/>
        <w:jc w:val="both"/>
        <w:rPr>
          <w:rFonts w:ascii="Times New Roman" w:hAnsi="Times New Roman" w:cs="Times New Roman"/>
          <w:sz w:val="24"/>
          <w:szCs w:val="24"/>
        </w:rPr>
      </w:pPr>
      <w:r w:rsidRPr="00AE332B">
        <w:rPr>
          <w:rFonts w:ascii="Times New Roman" w:hAnsi="Times New Roman" w:cs="Times New Roman"/>
          <w:sz w:val="24"/>
          <w:szCs w:val="24"/>
        </w:rPr>
        <w:t xml:space="preserve">The mean serum potassium ion level was 3.936±0.63mmol / l (n=117) and 3.99±0.81mmol / l (n=88) at admission and 48 hours after admission. Paired T-test did not reveal any statistically significant differences between the potassium levels at admission and those at 48 hours post-admission (p=0.461). The predominant abnormality was </w:t>
      </w:r>
      <w:proofErr w:type="spellStart"/>
      <w:r w:rsidRPr="00AE332B">
        <w:rPr>
          <w:rFonts w:ascii="Times New Roman" w:hAnsi="Times New Roman" w:cs="Times New Roman"/>
          <w:sz w:val="24"/>
          <w:szCs w:val="24"/>
        </w:rPr>
        <w:t>hypokalemia</w:t>
      </w:r>
      <w:proofErr w:type="spellEnd"/>
      <w:r w:rsidRPr="00AE332B">
        <w:rPr>
          <w:rFonts w:ascii="Times New Roman" w:hAnsi="Times New Roman" w:cs="Times New Roman"/>
          <w:sz w:val="24"/>
          <w:szCs w:val="24"/>
        </w:rPr>
        <w:t>, which was reported in 25 (21.4%) and 21 (23.9%) of admission and 48 hours post-admission</w:t>
      </w:r>
      <w:r w:rsidR="00F34331">
        <w:rPr>
          <w:rFonts w:ascii="Times New Roman" w:hAnsi="Times New Roman" w:cs="Times New Roman"/>
          <w:sz w:val="24"/>
          <w:szCs w:val="24"/>
        </w:rPr>
        <w:t xml:space="preserve"> tests, respectively (</w:t>
      </w:r>
      <w:r w:rsidRPr="00AE332B">
        <w:rPr>
          <w:rFonts w:ascii="Times New Roman" w:hAnsi="Times New Roman" w:cs="Times New Roman"/>
          <w:sz w:val="24"/>
          <w:szCs w:val="24"/>
        </w:rPr>
        <w:t xml:space="preserve">Figure 1). </w:t>
      </w:r>
      <w:proofErr w:type="spellStart"/>
      <w:r w:rsidRPr="00AE332B">
        <w:rPr>
          <w:rFonts w:ascii="Times New Roman" w:hAnsi="Times New Roman" w:cs="Times New Roman"/>
          <w:sz w:val="24"/>
          <w:szCs w:val="24"/>
        </w:rPr>
        <w:t>Hyperkalemia</w:t>
      </w:r>
      <w:proofErr w:type="spellEnd"/>
      <w:r w:rsidRPr="00AE332B">
        <w:rPr>
          <w:rFonts w:ascii="Times New Roman" w:hAnsi="Times New Roman" w:cs="Times New Roman"/>
          <w:sz w:val="24"/>
          <w:szCs w:val="24"/>
        </w:rPr>
        <w:t xml:space="preserve"> was reported in 8 (6.8%) cases at admission and in 6 (6.8%) patients 48 hours after admission.</w:t>
      </w:r>
    </w:p>
    <w:p w:rsidR="000F3C0D" w:rsidRPr="00E132A7" w:rsidRDefault="00E132A7" w:rsidP="005E535D">
      <w:pPr>
        <w:spacing w:before="240" w:after="0" w:line="480" w:lineRule="auto"/>
        <w:jc w:val="both"/>
        <w:rPr>
          <w:rFonts w:ascii="Times New Roman" w:hAnsi="Times New Roman" w:cs="Times New Roman"/>
          <w:b/>
          <w:sz w:val="24"/>
          <w:szCs w:val="24"/>
        </w:rPr>
      </w:pPr>
      <w:r w:rsidRPr="00E132A7">
        <w:rPr>
          <w:rFonts w:ascii="Times New Roman" w:hAnsi="Times New Roman" w:cs="Times New Roman"/>
          <w:b/>
          <w:sz w:val="24"/>
          <w:szCs w:val="24"/>
        </w:rPr>
        <w:t xml:space="preserve">Association between serum </w:t>
      </w:r>
      <w:r w:rsidR="004D7D18">
        <w:rPr>
          <w:rFonts w:ascii="Times New Roman" w:hAnsi="Times New Roman" w:cs="Times New Roman"/>
          <w:b/>
          <w:sz w:val="24"/>
          <w:szCs w:val="24"/>
        </w:rPr>
        <w:t>potassium</w:t>
      </w:r>
      <w:r w:rsidRPr="00E132A7">
        <w:rPr>
          <w:rFonts w:ascii="Times New Roman" w:hAnsi="Times New Roman" w:cs="Times New Roman"/>
          <w:b/>
          <w:sz w:val="24"/>
          <w:szCs w:val="24"/>
        </w:rPr>
        <w:t xml:space="preserve"> and clinical parameters</w:t>
      </w:r>
    </w:p>
    <w:p w:rsidR="00885A49" w:rsidRDefault="004D7D18" w:rsidP="005E535D">
      <w:pPr>
        <w:spacing w:line="480" w:lineRule="auto"/>
        <w:rPr>
          <w:rFonts w:ascii="Times New Roman" w:hAnsi="Times New Roman" w:cs="Times New Roman"/>
          <w:sz w:val="24"/>
          <w:szCs w:val="24"/>
        </w:rPr>
      </w:pPr>
      <w:r w:rsidRPr="004D7D18">
        <w:rPr>
          <w:rFonts w:ascii="Times New Roman" w:hAnsi="Times New Roman" w:cs="Times New Roman"/>
          <w:sz w:val="24"/>
          <w:szCs w:val="24"/>
        </w:rPr>
        <w:lastRenderedPageBreak/>
        <w:t xml:space="preserve">The only parameter that displayed a statistically significant difference among the three groups, as well as significant correlation with admission serum potassium levels, was the heart rate (Table </w:t>
      </w:r>
      <w:r>
        <w:rPr>
          <w:rFonts w:ascii="Times New Roman" w:hAnsi="Times New Roman" w:cs="Times New Roman"/>
          <w:sz w:val="24"/>
          <w:szCs w:val="24"/>
        </w:rPr>
        <w:t>1</w:t>
      </w:r>
      <w:r w:rsidRPr="004D7D18">
        <w:rPr>
          <w:rFonts w:ascii="Times New Roman" w:hAnsi="Times New Roman" w:cs="Times New Roman"/>
          <w:sz w:val="24"/>
          <w:szCs w:val="24"/>
        </w:rPr>
        <w:t xml:space="preserve"> and Table</w:t>
      </w:r>
      <w:r>
        <w:rPr>
          <w:rFonts w:ascii="Times New Roman" w:hAnsi="Times New Roman" w:cs="Times New Roman"/>
          <w:sz w:val="24"/>
          <w:szCs w:val="24"/>
        </w:rPr>
        <w:t xml:space="preserve"> 2</w:t>
      </w:r>
      <w:r w:rsidRPr="004D7D18">
        <w:rPr>
          <w:rFonts w:ascii="Times New Roman" w:hAnsi="Times New Roman" w:cs="Times New Roman"/>
          <w:sz w:val="24"/>
          <w:szCs w:val="24"/>
        </w:rPr>
        <w:t xml:space="preserve">).  </w:t>
      </w:r>
    </w:p>
    <w:p w:rsidR="00FF3AE9" w:rsidRPr="00FF3AE9" w:rsidRDefault="00FF3AE9" w:rsidP="005E535D">
      <w:pPr>
        <w:spacing w:line="480" w:lineRule="auto"/>
        <w:rPr>
          <w:rFonts w:ascii="Times New Roman" w:hAnsi="Times New Roman" w:cs="Times New Roman"/>
          <w:b/>
          <w:sz w:val="24"/>
          <w:szCs w:val="24"/>
        </w:rPr>
      </w:pPr>
      <w:r w:rsidRPr="00FF3AE9">
        <w:rPr>
          <w:rFonts w:ascii="Times New Roman" w:hAnsi="Times New Roman" w:cs="Times New Roman"/>
          <w:b/>
          <w:sz w:val="24"/>
          <w:szCs w:val="24"/>
        </w:rPr>
        <w:t xml:space="preserve">Association between serum </w:t>
      </w:r>
      <w:r w:rsidR="004D7D18">
        <w:rPr>
          <w:rFonts w:ascii="Times New Roman" w:hAnsi="Times New Roman" w:cs="Times New Roman"/>
          <w:b/>
          <w:sz w:val="24"/>
          <w:szCs w:val="24"/>
        </w:rPr>
        <w:t>potassium</w:t>
      </w:r>
      <w:r w:rsidRPr="00FF3AE9">
        <w:rPr>
          <w:rFonts w:ascii="Times New Roman" w:hAnsi="Times New Roman" w:cs="Times New Roman"/>
          <w:b/>
          <w:sz w:val="24"/>
          <w:szCs w:val="24"/>
        </w:rPr>
        <w:t xml:space="preserve"> &amp; radiologic parameters</w:t>
      </w:r>
    </w:p>
    <w:p w:rsidR="00F34331" w:rsidRDefault="00F34331" w:rsidP="005E535D">
      <w:pPr>
        <w:spacing w:line="480" w:lineRule="auto"/>
        <w:rPr>
          <w:rFonts w:ascii="Times New Roman" w:hAnsi="Times New Roman" w:cs="Times New Roman"/>
          <w:sz w:val="24"/>
          <w:szCs w:val="24"/>
        </w:rPr>
      </w:pPr>
      <w:r w:rsidRPr="00F34331">
        <w:rPr>
          <w:rFonts w:ascii="Times New Roman" w:hAnsi="Times New Roman" w:cs="Times New Roman"/>
          <w:sz w:val="24"/>
          <w:szCs w:val="24"/>
        </w:rPr>
        <w:t xml:space="preserve">Epidural hematoma was mostly associated with </w:t>
      </w:r>
      <w:proofErr w:type="spellStart"/>
      <w:r w:rsidRPr="00F34331">
        <w:rPr>
          <w:rFonts w:ascii="Times New Roman" w:hAnsi="Times New Roman" w:cs="Times New Roman"/>
          <w:sz w:val="24"/>
          <w:szCs w:val="24"/>
        </w:rPr>
        <w:t>hypokalemia</w:t>
      </w:r>
      <w:proofErr w:type="spellEnd"/>
      <w:r w:rsidRPr="00F34331">
        <w:rPr>
          <w:rFonts w:ascii="Times New Roman" w:hAnsi="Times New Roman" w:cs="Times New Roman"/>
          <w:sz w:val="24"/>
          <w:szCs w:val="24"/>
        </w:rPr>
        <w:t xml:space="preserve"> at admission (p=0.005), while traumatic SAH was primarily seen in patients with </w:t>
      </w:r>
      <w:proofErr w:type="spellStart"/>
      <w:r w:rsidRPr="00F34331">
        <w:rPr>
          <w:rFonts w:ascii="Times New Roman" w:hAnsi="Times New Roman" w:cs="Times New Roman"/>
          <w:sz w:val="24"/>
          <w:szCs w:val="24"/>
        </w:rPr>
        <w:t>hyperkalemia</w:t>
      </w:r>
      <w:proofErr w:type="spellEnd"/>
      <w:r w:rsidRPr="00F34331">
        <w:rPr>
          <w:rFonts w:ascii="Times New Roman" w:hAnsi="Times New Roman" w:cs="Times New Roman"/>
          <w:sz w:val="24"/>
          <w:szCs w:val="24"/>
        </w:rPr>
        <w:t xml:space="preserve"> (p=0.045) 48 hours after admission (Table 3). These variables showed statistically significant correlations with 48hr po</w:t>
      </w:r>
      <w:r>
        <w:rPr>
          <w:rFonts w:ascii="Times New Roman" w:hAnsi="Times New Roman" w:cs="Times New Roman"/>
          <w:sz w:val="24"/>
          <w:szCs w:val="24"/>
        </w:rPr>
        <w:t>st-admission potassium levels (</w:t>
      </w:r>
      <w:r w:rsidRPr="00F34331">
        <w:rPr>
          <w:rFonts w:ascii="Times New Roman" w:hAnsi="Times New Roman" w:cs="Times New Roman"/>
          <w:sz w:val="24"/>
          <w:szCs w:val="24"/>
        </w:rPr>
        <w:t>Table 4). Other radiological parameters did not exhibit association with serum potassium ion levels.</w:t>
      </w:r>
    </w:p>
    <w:p w:rsidR="00885A49" w:rsidRPr="00FF3AE9" w:rsidRDefault="00885A49" w:rsidP="005E535D">
      <w:pPr>
        <w:spacing w:line="480" w:lineRule="auto"/>
        <w:rPr>
          <w:rFonts w:ascii="Times New Roman" w:hAnsi="Times New Roman" w:cs="Times New Roman"/>
          <w:b/>
          <w:sz w:val="24"/>
          <w:szCs w:val="24"/>
        </w:rPr>
      </w:pPr>
      <w:r w:rsidRPr="00FF3AE9">
        <w:rPr>
          <w:rFonts w:ascii="Times New Roman" w:hAnsi="Times New Roman" w:cs="Times New Roman"/>
          <w:b/>
          <w:sz w:val="24"/>
          <w:szCs w:val="24"/>
        </w:rPr>
        <w:t xml:space="preserve">Association between serum </w:t>
      </w:r>
      <w:r>
        <w:rPr>
          <w:rFonts w:ascii="Times New Roman" w:hAnsi="Times New Roman" w:cs="Times New Roman"/>
          <w:b/>
          <w:sz w:val="24"/>
          <w:szCs w:val="24"/>
        </w:rPr>
        <w:t>potassium</w:t>
      </w:r>
      <w:r w:rsidRPr="00FF3AE9">
        <w:rPr>
          <w:rFonts w:ascii="Times New Roman" w:hAnsi="Times New Roman" w:cs="Times New Roman"/>
          <w:b/>
          <w:sz w:val="24"/>
          <w:szCs w:val="24"/>
        </w:rPr>
        <w:t xml:space="preserve"> &amp; </w:t>
      </w:r>
      <w:r>
        <w:rPr>
          <w:rFonts w:ascii="Times New Roman" w:hAnsi="Times New Roman" w:cs="Times New Roman"/>
          <w:b/>
          <w:sz w:val="24"/>
          <w:szCs w:val="24"/>
        </w:rPr>
        <w:t>30-day mortality</w:t>
      </w:r>
    </w:p>
    <w:p w:rsidR="00711462" w:rsidRDefault="00F34331" w:rsidP="005E535D">
      <w:pPr>
        <w:spacing w:line="480" w:lineRule="auto"/>
        <w:jc w:val="both"/>
        <w:rPr>
          <w:rFonts w:ascii="Times New Roman" w:hAnsi="Times New Roman" w:cs="Times New Roman"/>
          <w:sz w:val="24"/>
          <w:szCs w:val="24"/>
        </w:rPr>
      </w:pPr>
      <w:proofErr w:type="spellStart"/>
      <w:r w:rsidRPr="00F34331">
        <w:rPr>
          <w:rFonts w:ascii="Times New Roman" w:hAnsi="Times New Roman" w:cs="Times New Roman"/>
          <w:sz w:val="24"/>
          <w:szCs w:val="24"/>
        </w:rPr>
        <w:t>Hypokalemia</w:t>
      </w:r>
      <w:proofErr w:type="spellEnd"/>
      <w:r w:rsidRPr="00F34331">
        <w:rPr>
          <w:rFonts w:ascii="Times New Roman" w:hAnsi="Times New Roman" w:cs="Times New Roman"/>
          <w:sz w:val="24"/>
          <w:szCs w:val="24"/>
        </w:rPr>
        <w:t xml:space="preserve"> was associated with significantly increased risk of mortality OR 4.12(95% CI: 1.14-14.83, p=0.031) and OR 5.12 (95 % CI: 1.08-24.25, p=0.039) at admission and 48hrs post admission respectively. Although </w:t>
      </w:r>
      <w:proofErr w:type="spellStart"/>
      <w:r w:rsidRPr="00F34331">
        <w:rPr>
          <w:rFonts w:ascii="Times New Roman" w:hAnsi="Times New Roman" w:cs="Times New Roman"/>
          <w:sz w:val="24"/>
          <w:szCs w:val="24"/>
        </w:rPr>
        <w:t>hyperkalemia</w:t>
      </w:r>
      <w:proofErr w:type="spellEnd"/>
      <w:r w:rsidRPr="00F34331">
        <w:rPr>
          <w:rFonts w:ascii="Times New Roman" w:hAnsi="Times New Roman" w:cs="Times New Roman"/>
          <w:sz w:val="24"/>
          <w:szCs w:val="24"/>
        </w:rPr>
        <w:t xml:space="preserve"> was also associated with an increased risk of mortality, the risks were not statistically significant OR 0.34 (95 % CI: 0.06-1.50, p=0.154) and OR 2.20 (95 % CI: 0.41-11.64, p=0.36) at admission and 48 hours post-admission, respectively.</w:t>
      </w:r>
    </w:p>
    <w:p w:rsidR="00F34331" w:rsidRDefault="00F34331" w:rsidP="005E535D">
      <w:pPr>
        <w:spacing w:line="480" w:lineRule="auto"/>
        <w:jc w:val="both"/>
        <w:rPr>
          <w:rFonts w:ascii="Times New Roman" w:hAnsi="Times New Roman" w:cs="Times New Roman"/>
          <w:sz w:val="24"/>
          <w:szCs w:val="24"/>
        </w:rPr>
      </w:pPr>
    </w:p>
    <w:p w:rsidR="00711462" w:rsidRPr="00711462" w:rsidRDefault="00711462" w:rsidP="005E535D">
      <w:pPr>
        <w:spacing w:line="480" w:lineRule="auto"/>
        <w:jc w:val="both"/>
        <w:rPr>
          <w:rFonts w:ascii="Times New Roman" w:hAnsi="Times New Roman" w:cs="Times New Roman"/>
          <w:b/>
          <w:sz w:val="24"/>
          <w:szCs w:val="24"/>
          <w:lang w:val="en-US"/>
        </w:rPr>
      </w:pPr>
      <w:r w:rsidRPr="00711462">
        <w:rPr>
          <w:rFonts w:ascii="Times New Roman" w:hAnsi="Times New Roman" w:cs="Times New Roman"/>
          <w:b/>
          <w:sz w:val="24"/>
          <w:szCs w:val="24"/>
          <w:lang w:val="en-US"/>
        </w:rPr>
        <w:t>DISCUSSION</w:t>
      </w:r>
    </w:p>
    <w:p w:rsidR="009F6A38" w:rsidRPr="009F6A38" w:rsidRDefault="000138CC" w:rsidP="005E535D">
      <w:pPr>
        <w:spacing w:line="480" w:lineRule="auto"/>
        <w:jc w:val="both"/>
        <w:rPr>
          <w:rFonts w:ascii="Times New Roman" w:hAnsi="Times New Roman" w:cs="Times New Roman"/>
          <w:sz w:val="24"/>
          <w:szCs w:val="24"/>
        </w:rPr>
      </w:pPr>
      <w:r w:rsidRPr="000138CC">
        <w:rPr>
          <w:rFonts w:ascii="Times New Roman" w:hAnsi="Times New Roman" w:cs="Times New Roman"/>
          <w:sz w:val="24"/>
          <w:szCs w:val="24"/>
        </w:rPr>
        <w:t xml:space="preserve">The most common serum potassium abnormality reported in the current study was </w:t>
      </w:r>
      <w:proofErr w:type="spellStart"/>
      <w:r w:rsidRPr="000138CC">
        <w:rPr>
          <w:rFonts w:ascii="Times New Roman" w:hAnsi="Times New Roman" w:cs="Times New Roman"/>
          <w:sz w:val="24"/>
          <w:szCs w:val="24"/>
        </w:rPr>
        <w:t>hypokalemia</w:t>
      </w:r>
      <w:proofErr w:type="spellEnd"/>
      <w:r w:rsidRPr="000138CC">
        <w:rPr>
          <w:rFonts w:ascii="Times New Roman" w:hAnsi="Times New Roman" w:cs="Times New Roman"/>
          <w:sz w:val="24"/>
          <w:szCs w:val="24"/>
        </w:rPr>
        <w:t xml:space="preserve">, seen in 21.4% and 23.9% of admission and 48hrs post-admission respectively. Previous studies have also reported that </w:t>
      </w:r>
      <w:proofErr w:type="spellStart"/>
      <w:r w:rsidRPr="000138CC">
        <w:rPr>
          <w:rFonts w:ascii="Times New Roman" w:hAnsi="Times New Roman" w:cs="Times New Roman"/>
          <w:sz w:val="24"/>
          <w:szCs w:val="24"/>
        </w:rPr>
        <w:t>hypokalemia</w:t>
      </w:r>
      <w:proofErr w:type="spellEnd"/>
      <w:r w:rsidRPr="000138CC">
        <w:rPr>
          <w:rFonts w:ascii="Times New Roman" w:hAnsi="Times New Roman" w:cs="Times New Roman"/>
          <w:sz w:val="24"/>
          <w:szCs w:val="24"/>
        </w:rPr>
        <w:t xml:space="preserve"> is the most common potassium abnormality in patients with head injury, with an incidence of 21.5-68.3%.</w:t>
      </w:r>
      <w:r w:rsidR="009F6A38" w:rsidRPr="009F6A38">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{"citationID":"EAws2W32","properties":{"formattedCitation":"\\super 17\\uc0\\u8211{}19\\nosupersub{}","plainCitation":"17–19","noteIndex":0},"citationItems":[{"id":2009,"uris":["http://zotero.org/users/1277496/items/N458JD2A"],"uri":["http://zotero.org/users/1277496/items/N458JD2A"],"itemData":{"id":2009,"type":"article-journal","abstract":"Electrolyte imbalances are common in traumatic brain injury. It shares the cause of perioperative morbidity and mortality. Types of intravenous fluid resuscitation, osmotic diuretics, massive blood loss, and intracranial pathology were considered as the potential factors to worsen electrolyte abnormalities in these patients. The aims of this study were to report the incidence of electrolyte imbalance in traumatic brain injured patients and to assess the association between electrolyte imbalance and other prognostic factors to death within 24 hours of the injury.The study was carried out in the northern university, tertiary-care hospital of Thailand. The patients aged from 18 to 65 years old, presented with traumatic brain injury, and needed for emergency craniotomy were included. We excluded the patients who had minor neurosurgical procedures, pregnancy, and undergone cardiopulmonary resuscitation from the Emergency Department.Among 145 patients recruited, 101 (70%) had Glasgow Coma Scale (GCS) score ≤ 8, 25 (17%) had GCS score 9 to 12, and 19 (13%) had GCS score 13 to 15. The most common diagnosis were subdural hematoma and epidural hematoma, 51% and 36%, respectively. Hypokalemia was the most common electrolyte imbalance at 65.5%. The results of the use of a multivariable logistic regression model show that the odds of postoperative death in TBI patients were increased with high levels of blood glucose, hypernatremia, and acidosis.Hypokalemia was the most common electrolyte imbalance in TBI patients. Hypernatremia, acidosis, and hyperglycemia significantly increased the odds ratio of death in the first 24 hours post TBI.","container-title":"Medicine","DOI":"10.1097/MD.0000000000013081","ISSN":"1536-5964","issue":"45","journalAbbreviation":"Medicine (Baltimore)","language":"eng","note":"PMID: 30407307","page":"e13081","source":"PubMed","title":"Serum electrolyte imbalance and prognostic factors of postoperative death in adult traumatic brain injury patients: A prospective cohort study","title-short":"Serum electrolyte imbalance and prognostic factors of postoperative death in adult traumatic brain injury patients","volume":"97","author":[{"family":"Pin-On","given":"Pathomporn"},{"family":"Saringkarinkul","given":"Ananchanok"},{"family":"Punjasawadwong","given":"Yodying"},{"family":"Kacha","given":"Srisuluck"},{"family":"Wilairat","given":"Drusakorn"}],"issued":{"date-parts":[["2018",11]]}}},{"id":1992,"uris":["http://zotero.org/users/1277496/items/2D4DD7DZ"],"uri":["http://zotero.org/users/1277496/items/2D4DD7DZ"],"itemData":{"id":1992,"type":"article-journal","abstract":"BACKGROUND: Electrolyte derangements are common sequel of traumatic brain injury. Use of intravenous fluids, diuretics, syndrome of inappropriate ADH secretion and cerebral salt washing are some of the factors responsible for this. Proper in time detection followed by appropriate treatment not only improves neurological status but also decrease morbidity and mortality. This study was conducted to know serum derangements of different electrolytes in patients with traumatic brain injury.\nMETHODOLOGY: This cross-sectional study was conducted in Pakistan Institute of Medical Sciences. Islamabad, Pakistan from Feb 2009 to Feb 2010. All adult patients with traumatic brain injury who presented to Neurosurgical department with severe head injury (GCS &lt; 8) and who need monitoring in high dependency unit, were included in this study. Initially twice daily serum electrolyte monitoring for one week then once daily for remaining period of hospital stay was carried out. All samples were sent to Pathology department of Pakistan Institute of Medical Sciences, Islamabad. Patients who need corrective measures for imbalance had repetition of sampling after giving appropriate therapy. Statistical analysis was performed on SPSS-16.\nRESULTS: Total 215 patients presented with severe head injury that were managed in high dependency unit. Out of which 127 (59.1%) were male and 88 (40.9%) were females. Most of them were adults between 21-40) years of age (21.4%; 24.7%). Sodium was the main electrolyte that underwent change &amp; out of which hyper-natremia was major abnormality that occurred in 140 (65.1%) of patients. This is followed by hypo-kalemia that occurred in 79 (36.7%) of patients. Serum calcium &amp; magnesium levels show little derangements.\nCONCLUSION: Electrolyte imbalance following traumatic head injury is an important cause to look for in patient monitoring. Sodium is the chief electrolytes of concern. Serum potassium and calcium levels also under goes notable changes.","container-title":"Journal of Ayub Medical College, Abbottabad: JAMC","ISSN":"1025-9589","issue":"1-2","journalAbbreviation":"J Ayub Med Coll Abbottabad","language":"eng","note":"PMID: 25098085","page":"162-164","source":"PubMed","title":"Serum electrolyte derangements in patients with traumatic brain injury","volume":"25","author":[{"family":"Rafiq","given":"Mirza Faisal Ahmed"},{"family":"Ahmed","given":"Noor"},{"family":"Khan","given":"Adil Aziz"}],"issued":{"date-parts":[["2013",6]]}}},{"id":2075,"uris":["http://zotero.org/users/1277496/items/C8BZVD3E"],"uri":["http://zotero.org/users/1277496/items/C8BZVD3E"],"itemData":{"id":2075,"type":"article-journal","container-title":"Journal of Anesthesia &amp; Critical Care: Open Access","DOI":"10.15406/jaccoa.2016.5.00184","ISSN":"2373-6437","issue":"3","page":"1-0","source":"medcraveonline.com","title":"Evaluation of Serum Electrolytes in Traumatic Brain Injury Patients: Prospective Randomized Observational Study","title-short":"Evaluation of Serum Electrolytes in Traumatic Brain Injury Patients","volume":"5","author":[{"family":"Suman","given":"S"},{"family":"Kumar","given":"N"},{"family":"Singh","given":"Y"},{"family":"Kumar","given":"Kumar"},{"family":"Yadav","given":"G"},{"family":"Gupta","given":"B."}],"issued":{"date-parts":[["2016",7,28]]}}}],"schema":"https://github.com/citation-style-language/schema/raw/master/csl-citation.json"} </w:instrText>
      </w:r>
      <w:r w:rsidR="009F6A38" w:rsidRPr="009F6A38">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17–19</w:t>
      </w:r>
      <w:r w:rsidR="009F6A38" w:rsidRPr="009F6A38">
        <w:rPr>
          <w:rFonts w:ascii="Times New Roman" w:hAnsi="Times New Roman" w:cs="Times New Roman"/>
          <w:sz w:val="24"/>
          <w:szCs w:val="24"/>
        </w:rPr>
        <w:fldChar w:fldCharType="end"/>
      </w:r>
      <w:r w:rsidR="009F6A38" w:rsidRPr="009F6A38">
        <w:rPr>
          <w:rFonts w:ascii="Times New Roman" w:hAnsi="Times New Roman" w:cs="Times New Roman"/>
          <w:sz w:val="24"/>
          <w:szCs w:val="24"/>
        </w:rPr>
        <w:t xml:space="preserve">. The main mechanism of post-traumatic </w:t>
      </w:r>
      <w:proofErr w:type="spellStart"/>
      <w:r w:rsidR="009F6A38" w:rsidRPr="009F6A38">
        <w:rPr>
          <w:rFonts w:ascii="Times New Roman" w:hAnsi="Times New Roman" w:cs="Times New Roman"/>
          <w:sz w:val="24"/>
          <w:szCs w:val="24"/>
        </w:rPr>
        <w:lastRenderedPageBreak/>
        <w:t>hypokalemia</w:t>
      </w:r>
      <w:proofErr w:type="spellEnd"/>
      <w:r w:rsidR="009F6A38" w:rsidRPr="009F6A38">
        <w:rPr>
          <w:rFonts w:ascii="Times New Roman" w:hAnsi="Times New Roman" w:cs="Times New Roman"/>
          <w:sz w:val="24"/>
          <w:szCs w:val="24"/>
        </w:rPr>
        <w:t xml:space="preserve"> is postulated to result from potassium shifts into the intracellular compartment due to epinephrine surge caused by injury </w:t>
      </w:r>
      <w:r w:rsidR="009F6A38" w:rsidRPr="009F6A38">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{"citationID":"OrE0VCSg","properties":{"formattedCitation":"\\super 1\\nosupersub{}","plainCitation":"1","noteIndex":0},"citationItems":[{"id":2050,"uris":["http://zotero.org/users/1277496/items/NWFLKCYM"],"uri":["http://zotero.org/users/1277496/items/NWFLKCYM"],"itemData":{"id":2050,"type":"article-journal","abstract":"Background\nAbnormalities in potassium levels can lead to several clinical difficulties in trauma patients admitted to the ICU. However, the significance of potassium abnormalities soon after admission in trauma patients has not yet been clearly delineated. The objective of this study was to describe the plasma potassium abnormalities in trauma patients on admission and to examine the clinical outcomes associated with these abnormalities.\n\nMethods\nWe performed a retrospective observational study of plasma potassium levels in trauma patients admitted to the Fukuyama City Hospital between January 1, 2010 and December 31, 2013. Five hundred twenty consecutive trauma patients were included and categorized into six groups according to their plasma potassium level on admission (&lt;3.0, 3.0–&lt;3.5, 3.5–&lt;4.0, 4.0–&lt;4.5, 4.5–&lt;5.0, and ≥5.0 mEq/L). After adjusting for covariates, including age, gender, the Revised Trauma Score, and the Injury Severity Score, logistic regression analysis was used to examine the association between plasma potassium levels and outcomes, including life-saving interventions and in-hospital mortality.\n\nResults\nTwo hundred twenty-seven patients (43.7 %) presented with hypokalemia (&lt;3.5 mEq/L), while seven patients (1.3 %) presented with hyperkalemia (≥5.0 mEq/L). Patients in the lowest potassium group (&lt;3.0 mEq/L, n = 36 [6.9 %]) were significantly associated with craniotomy (adjusted odds ratio 5.25 [95 % confidence interval 2.06–13.40]; p &lt; 0.001) and showed an increased trend toward in-hospital mortality. In the second lowest potassium group (3.0–&lt; 3.5 mEq/L, n = 191 [36.7 %]), the adjusted odds ratio for craniotomy was significantly higher (2.03 [95 % confidence interval 1.01–4.07]; p = 0.048) compared to the reference group.\n\nConclusions\nTrauma patients presenting with hypokalemia (&lt;3.5 mEq/L) on admission may be associated with severe head trauma requiring life-saving craniotomy.","container-title":"Journal of Intensive Care","DOI":"10.1186/s40560-015-0103-6","ISSN":"2052-0492","issue":"1","journalAbbreviation":"J Intensive Care","note":"PMID: 26269745\nPMCID: PMC4534081","page":"37","source":"PubMed Central","title":"The clinical relevance of plasma potassium abnormalities on admission in trauma patients: a retrospective observational study","title-short":"The clinical relevance of plasma potassium abnormalities on admission in trauma patients","volume":"3","author":[{"family":"Ookuma","given":"Takaaki"},{"family":"Miyasho","given":"Koji"},{"family":"Kashitani","given":"Nobuhiro"},{"family":"Beika","given":"Nobuhiko"},{"family":"Ishibashi","given":"Naoki"},{"family":"Yamashita","given":"Takahiro"},{"family":"Ujike","given":"Yoshihito"}],"issued":{"date-parts":[["2015"]]}}}],"schema":"https://github.com/citation-style-language/schema/raw/master/csl-citation.json"} </w:instrText>
      </w:r>
      <w:r w:rsidR="009F6A38" w:rsidRPr="009F6A38">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1</w:t>
      </w:r>
      <w:r w:rsidR="009F6A38" w:rsidRPr="009F6A38">
        <w:rPr>
          <w:rFonts w:ascii="Times New Roman" w:hAnsi="Times New Roman" w:cs="Times New Roman"/>
          <w:sz w:val="24"/>
          <w:szCs w:val="24"/>
        </w:rPr>
        <w:fldChar w:fldCharType="end"/>
      </w:r>
      <w:r w:rsidR="009F6A38" w:rsidRPr="009F6A38">
        <w:rPr>
          <w:rFonts w:ascii="Times New Roman" w:hAnsi="Times New Roman" w:cs="Times New Roman"/>
          <w:sz w:val="24"/>
          <w:szCs w:val="24"/>
        </w:rPr>
        <w:t xml:space="preserve">. The post-traumatic surge in </w:t>
      </w:r>
      <w:proofErr w:type="spellStart"/>
      <w:r w:rsidR="009F6A38" w:rsidRPr="009F6A38">
        <w:rPr>
          <w:rFonts w:ascii="Times New Roman" w:hAnsi="Times New Roman" w:cs="Times New Roman"/>
          <w:sz w:val="24"/>
          <w:szCs w:val="24"/>
        </w:rPr>
        <w:t>catecholamines</w:t>
      </w:r>
      <w:proofErr w:type="spellEnd"/>
      <w:r w:rsidR="009F6A38" w:rsidRPr="009F6A38">
        <w:rPr>
          <w:rFonts w:ascii="Times New Roman" w:hAnsi="Times New Roman" w:cs="Times New Roman"/>
          <w:sz w:val="24"/>
          <w:szCs w:val="24"/>
        </w:rPr>
        <w:t xml:space="preserve"> leads to β-2-adrenergic receptor stimulation and activation of the sodium-potassium pump, causing an intracellular K+ shift </w:t>
      </w:r>
      <w:r w:rsidR="009F6A38" w:rsidRPr="009F6A38">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{"citationID":"bhfVDyt7","properties":{"formattedCitation":"\\super 20\\nosupersub{}","plainCitation":"20","noteIndex":0},"citationItems":[{"id":2315,"uris":["http://zotero.org/users/1277496/items/UVFKHF8N"],"uri":["http://zotero.org/users/1277496/items/UVFKHF8N"],"itemData":{"id":2315,"type":"article-journal","abstract":"Traumatic brain injury, and its management, commonly causes derangements in potassium balance. There are a number of recognised causative factors including head trauma, hypothermia and iatrogenic factors such as pharmacological agents and permissive cooling. We describe a case of a 19-year-old man with a severe traumatic brain injury. In a 36-h period, his intracranial pressure increased despite maximal medical therapy and he developed refractory hypokalaemia. Immediately following a decompressive craniectomy, the patient was noted to be profoundly hyperkalaemic; this led to the development of ventricular tachycardia and cardiac arrest, from which the patient did not recover. The effects of brain injury on potassium balance are not well appreciated; the effect of decompressive craniectomy on potassium (K+) balance has not been described previously. We would like to emphasise the potential effect of diffuse axonal injury, a severe form of brain injury and decompressive craniectomy on potassium balance.","container-title":"BMJ Case Reports","DOI":"10.1136/bcr-01-2012-5654","ISSN":"1757-790X","journalAbbreviation":"BMJ Case Rep","note":"PMID: 23060370\nPMCID: PMC4542994","source":"PubMed Central","title":"Dyskalaemia following diffuse axonal injury: case report and review of the literature","title-short":"Dyskalaemia following diffuse axonal injury","volume":"2012","author":[{"family":"Cronin","given":"David"},{"family":"Kaliaperumal","given":"Chandrasekaran"},{"family":"Kumar","given":"Ramanathan"},{"family":"Kaar","given":"George"}],"issued":{"date-parts":[["2012"]]}}}],"schema":"https://github.com/citation-style-language/schema/raw/master/csl-citation.json"} </w:instrText>
      </w:r>
      <w:r w:rsidR="009F6A38" w:rsidRPr="009F6A38">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20</w:t>
      </w:r>
      <w:r w:rsidR="009F6A38" w:rsidRPr="009F6A38">
        <w:rPr>
          <w:rFonts w:ascii="Times New Roman" w:hAnsi="Times New Roman" w:cs="Times New Roman"/>
          <w:sz w:val="24"/>
          <w:szCs w:val="24"/>
        </w:rPr>
        <w:fldChar w:fldCharType="end"/>
      </w:r>
      <w:r w:rsidR="009F6A38" w:rsidRPr="009F6A38">
        <w:rPr>
          <w:rFonts w:ascii="Times New Roman" w:hAnsi="Times New Roman" w:cs="Times New Roman"/>
          <w:sz w:val="24"/>
          <w:szCs w:val="24"/>
        </w:rPr>
        <w:t xml:space="preserve">. </w:t>
      </w:r>
      <w:r w:rsidRPr="000138CC">
        <w:rPr>
          <w:rFonts w:ascii="Times New Roman" w:hAnsi="Times New Roman" w:cs="Times New Roman"/>
          <w:sz w:val="24"/>
          <w:szCs w:val="24"/>
        </w:rPr>
        <w:t xml:space="preserve">Studies have also shown that, following head injury, there is an increase in cardiac output, blood pressure, pulse rate and pulmonary shunt, along with decreased or normal systemic and pulmonary vascular resistance, consistent with increased circulating </w:t>
      </w:r>
      <w:proofErr w:type="spellStart"/>
      <w:r w:rsidRPr="000138CC">
        <w:rPr>
          <w:rFonts w:ascii="Times New Roman" w:hAnsi="Times New Roman" w:cs="Times New Roman"/>
          <w:sz w:val="24"/>
          <w:szCs w:val="24"/>
        </w:rPr>
        <w:t>catecholamines</w:t>
      </w:r>
      <w:proofErr w:type="spellEnd"/>
      <w:r w:rsidRPr="000138CC">
        <w:rPr>
          <w:rFonts w:ascii="Times New Roman" w:hAnsi="Times New Roman" w:cs="Times New Roman"/>
          <w:sz w:val="24"/>
          <w:szCs w:val="24"/>
        </w:rPr>
        <w:t xml:space="preserve">. </w:t>
      </w:r>
      <w:r w:rsidR="009F6A38" w:rsidRPr="009F6A38">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{"citationID":"Yai7AWrR","properties":{"formattedCitation":"\\super 21\\nosupersub{}","plainCitation":"21","noteIndex":0},"citationItems":[{"id":2318,"uris":["http://zotero.org/users/1277496/items/7EGTV94K"],"uri":["http://zotero.org/users/1277496/items/7EGTV94K"],"itemData":{"id":2318,"type":"article-journal","abstract":"The cardiovascular and metabolic responses to severe head injury were studied in the acute phase after severe head injury with the object of determining if a common response was present and, if so, its significance in the management of the patients' intracranial and systemic physiological states. The cardiovascular response to head injury was studied by measurement of cardiac output, pulmonary capillary wedge pressure, arterial blood pressure, arterial and mixed venous blood gases and arterial and mixed venous epinephrine and norepinephrine serially in 15 patients during the first three days after injury. A hyperdynamic state was found characterized by increased cardiac output and cardiac work, moderate hypertension, tachycardia, decreased or normal systemic and pulmonary vascular resistance, increased pulmonary shunting and increased oxygen delivery and utilisation. Arterial E and NE levels correlated well with the cardiac output, cardiac work, blood pressure, heart rate, oxygen delivery, and oxygen utilization but not with vascular resistance or pulmonary shunt. The magnitude of the hyperdynamic state did not correlate with intracranial pressure, Glasgow Coma Score, or findings on CT scan. The metabolic response to head injury was studied by measurement of resting metabolic expenditure (RME) in 14 comatose head-injured patients in the first nine days after injury. During this period patients were fed with a continuous parenteral infusion of a formula containing 2 Kcal/cc and 10 mg nitrogen/liter. Indirect calorimetry was carried out for 102 patient-days. The mean resting metabolic expenditure (RME) for nonsedated, nonparalyzed patients was 138 +/- 37% of that expected for a non-injured resting person of equivalent age, sex, and body surface area. Nitrogen excretion was measured for 109 patient-days. The mean excretion was 20.2 +/- 6.4 mg/day. The mean protein caloric contribution was 23.9 +/- 6.7% and was greater than 25% for six patients, compared to normal values of 10-15%. Despite hyperalimentation, positive nitrogen balance for any 3-day period was achieved in only seven patients, and required replacement of 161% to 240% of RME with the parenterally administered formula. Head-injured patients had a metabolic response similar to that reported for patients with burns of 20-40% of the body surface.","container-title":"Neurosurgical Review","DOI":"10.1007/bf01790692","ISSN":"0344-5607","journalAbbreviation":"Neurosurg Rev","language":"eng","note":"PMID: 2812417","page":"465-473","source":"PubMed","title":"Cardiovascular and metabolic responses to severe head injury","volume":"12 Suppl 1","author":[{"family":"Clifton","given":"G. L."},{"family":"Robertson","given":"C. S."},{"family":"Grossman","given":"R. G."}],"issued":{"date-parts":[["1989"]]}}}],"schema":"https://github.com/citation-style-language/schema/raw/master/csl-citation.json"} </w:instrText>
      </w:r>
      <w:r w:rsidR="009F6A38" w:rsidRPr="009F6A38">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21</w:t>
      </w:r>
      <w:r w:rsidR="009F6A38" w:rsidRPr="009F6A38">
        <w:rPr>
          <w:rFonts w:ascii="Times New Roman" w:hAnsi="Times New Roman" w:cs="Times New Roman"/>
          <w:sz w:val="24"/>
          <w:szCs w:val="24"/>
        </w:rPr>
        <w:fldChar w:fldCharType="end"/>
      </w:r>
      <w:r w:rsidR="009F6A38" w:rsidRPr="009F6A38">
        <w:rPr>
          <w:rFonts w:ascii="Times New Roman" w:hAnsi="Times New Roman" w:cs="Times New Roman"/>
          <w:sz w:val="24"/>
          <w:szCs w:val="24"/>
        </w:rPr>
        <w:t xml:space="preserve">. This may explain the observation in the current study that admission heart rate had a statistically significant correlation with serum potassium levels. </w:t>
      </w:r>
    </w:p>
    <w:p w:rsidR="009F6A38" w:rsidRPr="009F6A38" w:rsidRDefault="009F6A38" w:rsidP="005E535D">
      <w:pPr>
        <w:spacing w:line="480" w:lineRule="auto"/>
        <w:jc w:val="both"/>
        <w:rPr>
          <w:rFonts w:ascii="Times New Roman" w:hAnsi="Times New Roman" w:cs="Times New Roman"/>
          <w:sz w:val="24"/>
          <w:szCs w:val="24"/>
        </w:rPr>
      </w:pPr>
      <w:r w:rsidRPr="009F6A38">
        <w:rPr>
          <w:rFonts w:ascii="Times New Roman" w:hAnsi="Times New Roman" w:cs="Times New Roman"/>
          <w:sz w:val="24"/>
          <w:szCs w:val="24"/>
        </w:rPr>
        <w:t xml:space="preserve">Although not observed in the present study, a previous study demonstrated a strong correlation between [K+] and GCS. In that study of 46 patients, the degree of hypokalaemia was found to be proportional to the fall in GCS </w:t>
      </w:r>
      <w:r w:rsidRPr="009F6A38">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{"citationID":"VjJnN3nB","properties":{"formattedCitation":"\\super 22\\nosupersub{}","plainCitation":"22","noteIndex":0},"citationItems":[{"id":2320,"uris":["http://zotero.org/users/1277496/items/LX2R53IH"],"uri":["http://zotero.org/users/1277496/items/LX2R53IH"],"itemData":{"id":2320,"type":"article-journal","container-title":"Transplantation Proceedings","ISSN":"0041-1345","issue":"5 Suppl 7","journalAbbreviation":"Transplant. Proc.","language":"eng","note":"PMID: 3188202","page":"25-28","source":"PubMed","title":"Hemodynamic and electrocardiographic responses","volume":"20","author":[{"family":"Cooper","given":"D. K."},{"family":"Novitzky","given":"D."},{"family":"Wicomb","given":"W. N."}],"issued":{"date-parts":[["1988",10]]}}}],"schema":"https://github.com/citation-style-language/schema/raw/master/csl-citation.json"} </w:instrText>
      </w:r>
      <w:r w:rsidRPr="009F6A38">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22</w:t>
      </w:r>
      <w:r w:rsidRPr="009F6A38">
        <w:rPr>
          <w:rFonts w:ascii="Times New Roman" w:hAnsi="Times New Roman" w:cs="Times New Roman"/>
          <w:sz w:val="24"/>
          <w:szCs w:val="24"/>
        </w:rPr>
        <w:fldChar w:fldCharType="end"/>
      </w:r>
      <w:r w:rsidRPr="009F6A38">
        <w:rPr>
          <w:rFonts w:ascii="Times New Roman" w:hAnsi="Times New Roman" w:cs="Times New Roman"/>
          <w:sz w:val="24"/>
          <w:szCs w:val="24"/>
        </w:rPr>
        <w:t xml:space="preserve">. Serum catecholamine concentration is related to ICP in the setting of brain injury and the relationship between the two is dynamically dependent on ICP </w:t>
      </w:r>
      <w:r w:rsidRPr="009F6A38">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{"citationID":"Y1sYCxeo","properties":{"formattedCitation":"\\super 23\\nosupersub{}","plainCitation":"23","noteIndex":0},"citationItems":[{"id":2073,"uris":["http://zotero.org/users/1277496/items/X6QAH34Q"],"uri":["http://zotero.org/users/1277496/items/X6QAH34Q"],"itemData":{"id":2073,"type":"article-journal","abstract":"OBJECT: Disturbed ionic and neurotransmitter homeostasis are now recognized as probably the most important mechanisms contributing to the development of secondary brain swelling after traumatic brain injury (TBI). Evidence obtained in animal models indicates that posttraumatic neuronal excitation by excitatory amino acids leads to an increase in extracellular potassium, probably due to ion channel activation. The purpose of this study was therefore to measure dialysate potassium in severely head injured patients and to correlate these results with measurements of intracranial pressure (ICP), patient outcome, and levels of dialysate glutamate and lactate, and cerebral blood flow (CBF) to determine the role of ischemia in this posttraumatic ion dysfunction.\nMETHODS: Eighty-five patients with severe TBI (Glasgow Coma Scale Score &lt; 8) were treated according to an intensive ICP management-focused protocol. All patients underwent intracerebral microdialyis. Dialysate potassium levels were analyzed using flame photometry, and dialysate glutamate and dialysate lactate levels were measured using high-performance liquid chromatography and an enzyme-linked amperometric method in 72 and 84 patients, respectively. Cerebral blood flow studies (stable xenon computerized tomography scanning) were performed in 59 patients. In approximately 20% of the patients, dialysate potassium values were increased (dialysate potassium &gt; 1.8 mM) for 3 hours or more. A mean amount of dialysate potassium greater than 2 mM throughout the entire monitoring period was associated with ICP above 30 mm Hg and fatal outcome, as were progressively rising levels of dialysate potassium. The presence of dialysate potassium correlated positively with dialysate glutamate (p &lt; 0.0001) and lactate (p &lt; 0.0001) levels. Dialysate potassium was significantly inversely correlated with reduced CBF (p = 0.019).\nCONCLUSIONS: Dialysate potassium was increased after TBI in 20% of measurements. High levels of dialysate potassium were associated with increased ICP and poor outcome. The simultaneous increase in dialysate potassium, together with dialysate glutamate and lactate, supports the concept that glutamate induces ionic flux and consequently increases ICP, which the authors speculate may be due to astrocytic swelling. Reduced CBF was also significantly correlated with increased levels of dialysate potassium. This may be due to either cell swelling or altered vasoreactivity in cerebral blood vessels caused by higher levels of potassium after trauma. Additional studies in which potassium-sensitive microelectrodes are used are needed to validate these ionic events more clearly.","container-title":"Journal of Neurosurgery","DOI":"10.3171/jns.2000.93.5.0800","ISSN":"0022-3085","issue":"5","journalAbbreviation":"J. Neurosurg.","language":"eng","note":"PMID: 11059661","page":"800-807","source":"PubMed","title":"High level of extracellular potassium and its correlates after severe head injury: relationship to high intracranial pressure","title-short":"High level of extracellular potassium and its correlates after severe head injury","volume":"93","author":[{"family":"Reinert","given":"M."},{"family":"Khaldi","given":"A."},{"family":"Zauner","given":"A."},{"family":"Doppenberg","given":"E."},{"family":"Choi","given":"S."},{"family":"Bullock","given":"R."}],"issued":{"date-parts":[["2000",11]]}}}],"schema":"https://github.com/citation-style-language/schema/raw/master/csl-citation.json"} </w:instrText>
      </w:r>
      <w:r w:rsidRPr="009F6A38">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23</w:t>
      </w:r>
      <w:r w:rsidRPr="009F6A38">
        <w:rPr>
          <w:rFonts w:ascii="Times New Roman" w:hAnsi="Times New Roman" w:cs="Times New Roman"/>
          <w:sz w:val="24"/>
          <w:szCs w:val="24"/>
        </w:rPr>
        <w:fldChar w:fldCharType="end"/>
      </w:r>
      <w:r w:rsidRPr="009F6A38">
        <w:rPr>
          <w:rFonts w:ascii="Times New Roman" w:hAnsi="Times New Roman" w:cs="Times New Roman"/>
          <w:sz w:val="24"/>
          <w:szCs w:val="24"/>
        </w:rPr>
        <w:t xml:space="preserve">.  Insulin, known to cause hypokalaemia, is not elevated in patients with a traumatic brain injury </w:t>
      </w:r>
      <w:r w:rsidRPr="009F6A38">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{"citationID":"9pFPjmSt","properties":{"formattedCitation":"\\super 2\\nosupersub{}","plainCitation":"2","noteIndex":0},"citationItems":[{"id":2058,"uris":["http://zotero.org/users/1277496/items/H3C3H6YW"],"uri":["http://zotero.org/users/1277496/items/H3C3H6YW"],"itemData":{"id":2058,"type":"article-journal","abstract":"We have previously described a high incidence of admission hypokalemia in trauma patients at our institution. We subsequently performed a prospective study of 112 trauma patients to examine the possible etiologies of post-traumatic hypokalemia. Trauma patients &gt;or=5 years old were evaluated within 6 h of injury with a variety of studies including catecholamines, cortisol, and insulin levels, with studies repeated 24 to 36 h after admission. No potassium replacement was given during this time. Demographic factors such as age, types of injury, and severity of injuries were collected. We found that the mean age of those with post-traumatic hypokalemia (&lt;or=3.5 mEq/L) was significantly younger (29 vs. 37 years old; P = 0.004) and epinephrine levels were significantly higher (863 vs. 406 pg/mL; P = 0.01) when compared with normokalemic patients on admission. At 24 to 36 h, the hypokalemia group compared with the normokalemic patients showed a significant rise in the mean potassium levels (17.2% vs. 4.1%; P &lt; 0.001), a significant fall in mean epinephrine levels (-86.6% vs. -81.4%; P &lt; 0.001), and a significant rise in insulin levels (161% vs. 24%; P &lt; 0.005). Finally, because our previous study had shown that post-traumatic hypokalemia was predictive of injury severity score, 4 trauma admission groups were compared with regard to potassium levels and injury severity score. Those trauma patients with both high injury severity and hypokalemia had significantly higher admission epinephrine levels (1222 vs. 290 pg/mL; P = 0.005), glucose levels (174 vs. 126 mg/dL; P = 0.001), and lower carbon dioxide levels (21.3 vs. 24.6 mEq/L; P &lt; 0.03) than those trauma patients with less severe injury and normokalemia. We conclude that post-traumatic hypokalemia seems to be related to a rise in epinephrine levels, that this rise in epinephrine levels seems to be blunted in older patients, and that post-traumatic hypokalemia is rapidly reversible without specific therapy.","container-title":"Shock (Augusta, Ga.)","DOI":"10.1097/01.shk.0000245029.47106.db","ISSN":"1073-2322","issue":"4","journalAbbreviation":"Shock","language":"eng","note":"PMID: 17414416","page":"358-363","source":"PubMed","title":"A role for epinephrine in post-traumatic hypokalemia","volume":"27","author":[{"family":"Beal","given":"Alan L."},{"family":"Deuser","given":"William E."},{"family":"Beilman","given":"Greg J."}],"issued":{"date-parts":[["2007",4]]}}}],"schema":"https://github.com/citation-style-language/schema/raw/master/csl-citation.json"} </w:instrText>
      </w:r>
      <w:r w:rsidRPr="009F6A38">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2</w:t>
      </w:r>
      <w:r w:rsidRPr="009F6A38">
        <w:rPr>
          <w:rFonts w:ascii="Times New Roman" w:hAnsi="Times New Roman" w:cs="Times New Roman"/>
          <w:sz w:val="24"/>
          <w:szCs w:val="24"/>
        </w:rPr>
        <w:fldChar w:fldCharType="end"/>
      </w:r>
      <w:r w:rsidRPr="009F6A38">
        <w:rPr>
          <w:rFonts w:ascii="Times New Roman" w:hAnsi="Times New Roman" w:cs="Times New Roman"/>
          <w:sz w:val="24"/>
          <w:szCs w:val="24"/>
        </w:rPr>
        <w:t xml:space="preserve">. </w:t>
      </w:r>
      <w:proofErr w:type="spellStart"/>
      <w:r w:rsidRPr="009F6A38">
        <w:rPr>
          <w:rFonts w:ascii="Times New Roman" w:hAnsi="Times New Roman" w:cs="Times New Roman"/>
          <w:sz w:val="24"/>
          <w:szCs w:val="24"/>
        </w:rPr>
        <w:t>Hypokalemia</w:t>
      </w:r>
      <w:proofErr w:type="spellEnd"/>
      <w:r w:rsidRPr="009F6A38">
        <w:rPr>
          <w:rFonts w:ascii="Times New Roman" w:hAnsi="Times New Roman" w:cs="Times New Roman"/>
          <w:sz w:val="24"/>
          <w:szCs w:val="24"/>
        </w:rPr>
        <w:t xml:space="preserve"> is associated with life-threatening cardiac arrhythmias and is a major risk factor for death in TBI patients </w:t>
      </w:r>
      <w:r w:rsidRPr="009F6A38">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{"citationID":"I74hKizc","properties":{"formattedCitation":"\\super 1,5\\nosupersub{}","plainCitation":"1,5","noteIndex":0},"citationItems":[{"id":2050,"uris":["http://zotero.org/users/1277496/items/NWFLKCYM"],"uri":["http://zotero.org/users/1277496/items/NWFLKCYM"],"itemData":{"id":2050,"type":"article-journal","abstract":"Background\nAbnormalities in potassium levels can lead to several clinical difficulties in trauma patients admitted to the ICU. However, the significance of potassium abnormalities soon after admission in trauma patients has not yet been clearly delineated. The objective of this study was to describe the plasma potassium abnormalities in trauma patients on admission and to examine the clinical outcomes associated with these abnormalities.\n\nMethods\nWe performed a retrospective observational study of plasma potassium levels in trauma patients admitted to the Fukuyama City Hospital between January 1, 2010 and December 31, 2013. Five hundred twenty consecutive trauma patients were included and categorized into six groups according to their plasma potassium level on admission (&lt;3.0, 3.0–&lt;3.5, 3.5–&lt;4.0, 4.0–&lt;4.5, 4.5–&lt;5.0, and ≥5.0 mEq/L). After adjusting for covariates, including age, gender, the Revised Trauma Score, and the Injury Severity Score, logistic regression analysis was used to examine the association between plasma potassium levels and outcomes, including life-saving interventions and in-hospital mortality.\n\nResults\nTwo hundred twenty-seven patients (43.7 %) presented with hypokalemia (&lt;3.5 mEq/L), while seven patients (1.3 %) presented with hyperkalemia (≥5.0 mEq/L). Patients in the lowest potassium group (&lt;3.0 mEq/L, n = 36 [6.9 %]) were significantly associated with craniotomy (adjusted odds ratio 5.25 [95 % confidence interval 2.06–13.40]; p &lt; 0.001) and showed an increased trend toward in-hospital mortality. In the second lowest potassium group (3.0–&lt; 3.5 mEq/L, n = 191 [36.7 %]), the adjusted odds ratio for craniotomy was significantly higher (2.03 [95 % confidence interval 1.01–4.07]; p = 0.048) compared to the reference group.\n\nConclusions\nTrauma patients presenting with hypokalemia (&lt;3.5 mEq/L) on admission may be associated with severe head trauma requiring life-saving craniotomy.","container-title":"Journal of Intensive Care","DOI":"10.1186/s40560-015-0103-6","ISSN":"2052-0492","issue":"1","journalAbbreviation":"J Intensive Care","note":"PMID: 26269745\nPMCID: PMC4534081","page":"37","source":"PubMed Central","title":"The clinical relevance of plasma potassium abnormalities on admission in trauma patients: a retrospective observational study","title-short":"The clinical relevance of plasma potassium abnormalities on admission in trauma patients","volume":"3","author":[{"family":"Ookuma","given":"Takaaki"},{"family":"Miyasho","given":"Koji"},{"family":"Kashitani","given":"Nobuhiro"},{"family":"Beika","given":"Nobuhiko"},{"family":"Ishibashi","given":"Naoki"},{"family":"Yamashita","given":"Takahiro"},{"family":"Ujike","given":"Yoshihito"}],"issued":{"date-parts":[["2015"]]}}},{"id":2053,"uris":["http://zotero.org/users/1277496/items/3Z78J7E9"],"uri":["http://zotero.org/users/1277496/items/3Z78J7E9"],"itemData":{"id":2053,"type":"article-journal","abstract":"INTRODUCTION: Patients with traumatic brain injury (TBI) are more vulnerable to develop hypokalaemia, we sought to investigate the prevalence, and the relationship between severe hypokalaemia and the mortality of traumatic brain injury patients.\nMETHODS: Isolated traumatic brain patients who had hypokalaemia (serum potassium &lt;3.5mmol/L) and age≥14yrs were recruited into the study between January 2008 and March 2013. Hypokalaemia was defined as potassium level in the blood &lt;3.5mmol/L during the hospitalisation, which was classified by severity: mild (3.0mmol/L≤K&lt;3.5mmol/L), moderate (2.5mmol/L≤K&lt;3.0mmol/L) and severe (K&lt;2.5mmol/L). Multivariable logistic regression was performed to find the impact of hypokalaemia on mortality.\nRESULTS: A total 375 cases were included in analysis. The peak incidence of severe hypokalaemia occurred in the first 24-96h. TBI patients with severe hypokalaemia had significantly higher serum sodium and lower serum phosphorus than those patients with mild or moderate hypokalaemia (p&lt;0.001). Compare to other groups, the severe hypokalaemia group had the worst outcome. Moreover, the patients (n=15) who had severe hypokalaemia, hypernatraemia (Na&gt;160mmol/L), and hypophosphataemia (P&lt;0.3mmol/L) all died in hospital. Multiple logistic regression analysis resulted in decrease of GCS (OR=1.27; 95% CI=1.15-1.41; p&lt;0.001) and potassium (OR=4.35; 95% CI=2.04-9.26; p&lt;0.001) being associated with significant increased risk of mortality.\nCONCLUSIONS: The peak incidence of severe hypokalaemia occurred in the first 24-96h. TBI patients with severe hypokalaemia are more vulnerable to develop hypophosphataemia and hypernatraemia than patients with mild and moderate hypokalaemia. Severe hypokalaemia are the independent risk factors for mortality in TBI patients.","container-title":"Injury","DOI":"10.1016/j.injury.2014.08.002","ISSN":"1879-0267","issue":"1","journalAbbreviation":"Injury","language":"eng","note":"PMID: 25195182","page":"35-41","source":"PubMed","title":"Prevalence of severe hypokalaemia in patients with traumatic brain injury","volume":"46","author":[{"family":"Wu","given":"Xing"},{"family":"Lu","given":"Xin"},{"family":"Lu","given":"Xiangqiong"},{"family":"Yu","given":"Jian"},{"family":"Sun","given":"Yirui"},{"family":"Du","given":"Zhuoying"},{"family":"Wu","given":"Xuehai"},{"family":"Mao","given":"Ying"},{"family":"Zhou","given":"Liangfu"},{"family":"Wu","given":"Sirong"},{"family":"Hu","given":"Jin"}],"issued":{"date-parts":[["2015",1]]}}}],"schema":"https://github.com/citation-style-language/schema/raw/master/csl-citation.json"} </w:instrText>
      </w:r>
      <w:r w:rsidRPr="009F6A38">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1,5</w:t>
      </w:r>
      <w:r w:rsidRPr="009F6A38">
        <w:rPr>
          <w:rFonts w:ascii="Times New Roman" w:hAnsi="Times New Roman" w:cs="Times New Roman"/>
          <w:sz w:val="24"/>
          <w:szCs w:val="24"/>
        </w:rPr>
        <w:fldChar w:fldCharType="end"/>
      </w:r>
      <w:r w:rsidRPr="009F6A38">
        <w:rPr>
          <w:rFonts w:ascii="Times New Roman" w:hAnsi="Times New Roman" w:cs="Times New Roman"/>
          <w:sz w:val="24"/>
          <w:szCs w:val="24"/>
        </w:rPr>
        <w:t xml:space="preserve">. In the present study, </w:t>
      </w:r>
      <w:r w:rsidRPr="009F6A38">
        <w:rPr>
          <w:rFonts w:ascii="Times New Roman" w:hAnsi="Times New Roman" w:cs="Times New Roman"/>
          <w:sz w:val="24"/>
          <w:szCs w:val="24"/>
          <w:lang w:val="en-US"/>
        </w:rPr>
        <w:t xml:space="preserve">hypokalemia was associated with </w:t>
      </w:r>
      <w:r w:rsidRPr="009F6A38">
        <w:rPr>
          <w:rFonts w:ascii="Times New Roman" w:hAnsi="Times New Roman" w:cs="Times New Roman"/>
          <w:sz w:val="24"/>
          <w:szCs w:val="24"/>
        </w:rPr>
        <w:t>4 fold and 5 fold increased risk of mortality at admission and 48hrs post admission respectively.</w:t>
      </w:r>
    </w:p>
    <w:p w:rsidR="009F6A38" w:rsidRPr="009F6A38" w:rsidRDefault="009F6A38" w:rsidP="005E535D">
      <w:pPr>
        <w:spacing w:line="480" w:lineRule="auto"/>
        <w:jc w:val="both"/>
        <w:rPr>
          <w:rFonts w:ascii="Times New Roman" w:hAnsi="Times New Roman" w:cs="Times New Roman"/>
          <w:sz w:val="24"/>
          <w:szCs w:val="24"/>
        </w:rPr>
      </w:pPr>
      <w:proofErr w:type="spellStart"/>
      <w:r w:rsidRPr="009F6A38">
        <w:rPr>
          <w:rFonts w:ascii="Times New Roman" w:hAnsi="Times New Roman" w:cs="Times New Roman"/>
          <w:sz w:val="24"/>
          <w:szCs w:val="24"/>
        </w:rPr>
        <w:t>Hyperkalemia</w:t>
      </w:r>
      <w:proofErr w:type="spellEnd"/>
      <w:r w:rsidRPr="009F6A38">
        <w:rPr>
          <w:rFonts w:ascii="Times New Roman" w:hAnsi="Times New Roman" w:cs="Times New Roman"/>
          <w:sz w:val="24"/>
          <w:szCs w:val="24"/>
        </w:rPr>
        <w:t xml:space="preserve"> in the present study was reported in 6.8% of the cases at admission and 48hrs post-admission. Previous studies have reported a prevalence rate of 0.9-17.7% </w:t>
      </w:r>
      <w:r w:rsidRPr="009F6A38">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{"citationID":"w61FTmtM","properties":{"formattedCitation":"\\super 17\\uc0\\u8211{}19\\nosupersub{}","plainCitation":"17–19","noteIndex":0},"citationItems":[{"id":2009,"uris":["http://zotero.org/users/1277496/items/N458JD2A"],"uri":["http://zotero.org/users/1277496/items/N458JD2A"],"itemData":{"id":2009,"type":"article-journal","abstract":"Electrolyte imbalances are common in traumatic brain injury. It shares the cause of perioperative morbidity and mortality. Types of intravenous fluid resuscitation, osmotic diuretics, massive blood loss, and intracranial pathology were considered as the potential factors to worsen electrolyte abnormalities in these patients. The aims of this study were to report the incidence of electrolyte imbalance in traumatic brain injured patients and to assess the association between electrolyte imbalance and other prognostic factors to death within 24 hours of the injury.The study was carried out in the northern university, tertiary-care hospital of Thailand. The patients aged from 18 to 65 years old, presented with traumatic brain injury, and needed for emergency craniotomy were included. We excluded the patients who had minor neurosurgical procedures, pregnancy, and undergone cardiopulmonary resuscitation from the Emergency Department.Among 145 patients recruited, 101 (70%) had Glasgow Coma Scale (GCS) score ≤ 8, 25 (17%) had GCS score 9 to 12, and 19 (13%) had GCS score 13 to 15. The most common diagnosis were subdural hematoma and epidural hematoma, 51% and 36%, respectively. Hypokalemia was the most common electrolyte imbalance at 65.5%. The results of the use of a multivariable logistic regression model show that the odds of postoperative death in TBI patients were increased with high levels of blood glucose, hypernatremia, and acidosis.Hypokalemia was the most common electrolyte imbalance in TBI patients. Hypernatremia, acidosis, and hyperglycemia significantly increased the odds ratio of death in the first 24 hours post TBI.","container-title":"Medicine","DOI":"10.1097/MD.0000000000013081","ISSN":"1536-5964","issue":"45","journalAbbreviation":"Medicine (Baltimore)","language":"eng","note":"PMID: 30407307","page":"e13081","source":"PubMed","title":"Serum electrolyte imbalance and prognostic factors of postoperative death in adult traumatic brain injury patients: A prospective cohort study","title-short":"Serum electrolyte imbalance and prognostic factors of postoperative death in adult traumatic brain injury patients","volume":"97","author":[{"family":"Pin-On","given":"Pathomporn"},{"family":"Saringkarinkul","given":"Ananchanok"},{"family":"Punjasawadwong","given":"Yodying"},{"family":"Kacha","given":"Srisuluck"},{"family":"Wilairat","given":"Drusakorn"}],"issued":{"date-parts":[["2018",11]]}}},{"id":1992,"uris":["http://zotero.org/users/1277496/items/2D4DD7DZ"],"uri":["http://zotero.org/users/1277496/items/2D4DD7DZ"],"itemData":{"id":1992,"type":"article-journal","abstract":"BACKGROUND: Electrolyte derangements are common sequel of traumatic brain injury. Use of intravenous fluids, diuretics, syndrome of inappropriate ADH secretion and cerebral salt washing are some of the factors responsible for this. Proper in time detection followed by appropriate treatment not only improves neurological status but also decrease morbidity and mortality. This study was conducted to know serum derangements of different electrolytes in patients with traumatic brain injury.\nMETHODOLOGY: This cross-sectional study was conducted in Pakistan Institute of Medical Sciences. Islamabad, Pakistan from Feb 2009 to Feb 2010. All adult patients with traumatic brain injury who presented to Neurosurgical department with severe head injury (GCS &lt; 8) and who need monitoring in high dependency unit, were included in this study. Initially twice daily serum electrolyte monitoring for one week then once daily for remaining period of hospital stay was carried out. All samples were sent to Pathology department of Pakistan Institute of Medical Sciences, Islamabad. Patients who need corrective measures for imbalance had repetition of sampling after giving appropriate therapy. Statistical analysis was performed on SPSS-16.\nRESULTS: Total 215 patients presented with severe head injury that were managed in high dependency unit. Out of which 127 (59.1%) were male and 88 (40.9%) were females. Most of them were adults between 21-40) years of age (21.4%; 24.7%). Sodium was the main electrolyte that underwent change &amp; out of which hyper-natremia was major abnormality that occurred in 140 (65.1%) of patients. This is followed by hypo-kalemia that occurred in 79 (36.7%) of patients. Serum calcium &amp; magnesium levels show little derangements.\nCONCLUSION: Electrolyte imbalance following traumatic head injury is an important cause to look for in patient monitoring. Sodium is the chief electrolytes of concern. Serum potassium and calcium levels also under goes notable changes.","container-title":"Journal of Ayub Medical College, Abbottabad: JAMC","ISSN":"1025-9589","issue":"1-2","journalAbbreviation":"J Ayub Med Coll Abbottabad","language":"eng","note":"PMID: 25098085","page":"162-164","source":"PubMed","title":"Serum electrolyte derangements in patients with traumatic brain injury","volume":"25","author":[{"family":"Rafiq","given":"Mirza Faisal Ahmed"},{"family":"Ahmed","given":"Noor"},{"family":"Khan","given":"Adil Aziz"}],"issued":{"date-parts":[["2013",6]]}}},{"id":2075,"uris":["http://zotero.org/users/1277496/items/C8BZVD3E"],"uri":["http://zotero.org/users/1277496/items/C8BZVD3E"],"itemData":{"id":2075,"type":"article-journal","container-title":"Journal of Anesthesia &amp; Critical Care: Open Access","DOI":"10.15406/jaccoa.2016.5.00184","ISSN":"2373-6437","issue":"3","page":"1-0","source":"medcraveonline.com","title":"Evaluation of Serum Electrolytes in Traumatic Brain Injury Patients: Prospective Randomized Observational Study","title-short":"Evaluation of Serum Electrolytes in Traumatic Brain Injury Patients","volume":"5","author":[{"family":"Suman","given":"S"},{"family":"Kumar","given":"N"},{"family":"Singh","given":"Y"},{"family":"Kumar","given":"Kumar"},{"family":"Yadav","given":"G"},{"family":"Gupta","given":"B."}],"issued":{"date-parts":[["2016",7,28]]}}}],"schema":"https://github.com/citation-style-language/schema/raw/master/csl-citation.json"} </w:instrText>
      </w:r>
      <w:r w:rsidRPr="009F6A38">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17–19</w:t>
      </w:r>
      <w:r w:rsidRPr="009F6A38">
        <w:rPr>
          <w:rFonts w:ascii="Times New Roman" w:hAnsi="Times New Roman" w:cs="Times New Roman"/>
          <w:sz w:val="24"/>
          <w:szCs w:val="24"/>
        </w:rPr>
        <w:fldChar w:fldCharType="end"/>
      </w:r>
      <w:r w:rsidRPr="009F6A38">
        <w:rPr>
          <w:rFonts w:ascii="Times New Roman" w:hAnsi="Times New Roman" w:cs="Times New Roman"/>
          <w:sz w:val="24"/>
          <w:szCs w:val="24"/>
        </w:rPr>
        <w:t xml:space="preserve">. Post-traumatic </w:t>
      </w:r>
      <w:proofErr w:type="spellStart"/>
      <w:r w:rsidRPr="009F6A38">
        <w:rPr>
          <w:rFonts w:ascii="Times New Roman" w:hAnsi="Times New Roman" w:cs="Times New Roman"/>
          <w:sz w:val="24"/>
          <w:szCs w:val="24"/>
        </w:rPr>
        <w:t>hyperkalemia</w:t>
      </w:r>
      <w:proofErr w:type="spellEnd"/>
      <w:r w:rsidRPr="009F6A38">
        <w:rPr>
          <w:rFonts w:ascii="Times New Roman" w:hAnsi="Times New Roman" w:cs="Times New Roman"/>
          <w:sz w:val="24"/>
          <w:szCs w:val="24"/>
        </w:rPr>
        <w:t xml:space="preserve"> is induced by extensive tissue damage and aggressive transfusion </w:t>
      </w:r>
      <w:r w:rsidRPr="009F6A38">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{"citationID":"MsraF5mZ","properties":{"formattedCitation":"\\super 1\\nosupersub{}","plainCitation":"1","noteIndex":0},"citationItems":[{"id":2050,"uris":["http://zotero.org/users/1277496/items/NWFLKCYM"],"uri":["http://zotero.org/users/1277496/items/NWFLKCYM"],"itemData":{"id":2050,"type":"article-journal","abstract":"Background\nAbnormalities in potassium levels can lead to several clinical difficulties in trauma patients admitted to the ICU. However, the significance of potassium abnormalities soon after admission in trauma patients has not yet been clearly delineated. The objective of this study was to describe the plasma potassium abnormalities in trauma patients on admission and to examine the clinical outcomes associated with these abnormalities.\n\nMethods\nWe performed a retrospective observational study of plasma potassium levels in trauma patients admitted to the Fukuyama City Hospital between January 1, 2010 and December 31, 2013. Five hundred twenty consecutive trauma patients were included and categorized into six groups according to their plasma potassium level on admission (&lt;3.0, 3.0–&lt;3.5, 3.5–&lt;4.0, 4.0–&lt;4.5, 4.5–&lt;5.0, and ≥5.0 mEq/L). After adjusting for covariates, including age, gender, the Revised Trauma Score, and the Injury Severity Score, logistic regression analysis was used to examine the association between plasma potassium levels and outcomes, including life-saving interventions and in-hospital mortality.\n\nResults\nTwo hundred twenty-seven patients (43.7 %) presented with hypokalemia (&lt;3.5 mEq/L), while seven patients (1.3 %) presented with hyperkalemia (≥5.0 mEq/L). Patients in the lowest potassium group (&lt;3.0 mEq/L, n = 36 [6.9 %]) were significantly associated with craniotomy (adjusted odds ratio 5.25 [95 % confidence interval 2.06–13.40]; p &lt; 0.001) and showed an increased trend toward in-hospital mortality. In the second lowest potassium group (3.0–&lt; 3.5 mEq/L, n = 191 [36.7 %]), the adjusted odds ratio for craniotomy was significantly higher (2.03 [95 % confidence interval 1.01–4.07]; p = 0.048) compared to the reference group.\n\nConclusions\nTrauma patients presenting with hypokalemia (&lt;3.5 mEq/L) on admission may be associated with severe head trauma requiring life-saving craniotomy.","container-title":"Journal of Intensive Care","DOI":"10.1186/s40560-015-0103-6","ISSN":"2052-0492","issue":"1","journalAbbreviation":"J Intensive Care","note":"PMID: 26269745\nPMCID: PMC4534081","page":"37","source":"PubMed Central","title":"The clinical relevance of plasma potassium abnormalities on admission in trauma patients: a retrospective observational study","title-short":"The clinical relevance of plasma potassium abnormalities on admission in trauma patients","volume":"3","author":[{"family":"Ookuma","given":"Takaaki"},{"family":"Miyasho","given":"Koji"},{"family":"Kashitani","given":"Nobuhiro"},{"family":"Beika","given":"Nobuhiko"},{"family":"Ishibashi","given":"Naoki"},{"family":"Yamashita","given":"Takahiro"},{"family":"Ujike","given":"Yoshihito"}],"issued":{"date-parts":[["2015"]]}}}],"schema":"https://github.com/citation-style-language/schema/raw/master/csl-citation.json"} </w:instrText>
      </w:r>
      <w:r w:rsidRPr="009F6A38">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1</w:t>
      </w:r>
      <w:r w:rsidRPr="009F6A38">
        <w:rPr>
          <w:rFonts w:ascii="Times New Roman" w:hAnsi="Times New Roman" w:cs="Times New Roman"/>
          <w:sz w:val="24"/>
          <w:szCs w:val="24"/>
        </w:rPr>
        <w:fldChar w:fldCharType="end"/>
      </w:r>
      <w:r w:rsidRPr="009F6A38">
        <w:rPr>
          <w:rFonts w:ascii="Times New Roman" w:hAnsi="Times New Roman" w:cs="Times New Roman"/>
          <w:sz w:val="24"/>
          <w:szCs w:val="24"/>
        </w:rPr>
        <w:t xml:space="preserve">. Additionally, prolonged </w:t>
      </w:r>
      <w:proofErr w:type="spellStart"/>
      <w:r w:rsidRPr="009F6A38">
        <w:rPr>
          <w:rFonts w:ascii="Times New Roman" w:hAnsi="Times New Roman" w:cs="Times New Roman"/>
          <w:sz w:val="24"/>
          <w:szCs w:val="24"/>
        </w:rPr>
        <w:t>hemorrhagic</w:t>
      </w:r>
      <w:proofErr w:type="spellEnd"/>
      <w:r w:rsidRPr="009F6A38">
        <w:rPr>
          <w:rFonts w:ascii="Times New Roman" w:hAnsi="Times New Roman" w:cs="Times New Roman"/>
          <w:sz w:val="24"/>
          <w:szCs w:val="24"/>
        </w:rPr>
        <w:t xml:space="preserve"> shock theoretically leads to </w:t>
      </w:r>
      <w:proofErr w:type="spellStart"/>
      <w:r w:rsidRPr="009F6A38">
        <w:rPr>
          <w:rFonts w:ascii="Times New Roman" w:hAnsi="Times New Roman" w:cs="Times New Roman"/>
          <w:sz w:val="24"/>
          <w:szCs w:val="24"/>
        </w:rPr>
        <w:t>hyperkalemia</w:t>
      </w:r>
      <w:proofErr w:type="spellEnd"/>
      <w:r w:rsidRPr="009F6A38">
        <w:rPr>
          <w:rFonts w:ascii="Times New Roman" w:hAnsi="Times New Roman" w:cs="Times New Roman"/>
          <w:sz w:val="24"/>
          <w:szCs w:val="24"/>
        </w:rPr>
        <w:t xml:space="preserve"> due to alterations in the cellular membrane function. Other causes of </w:t>
      </w:r>
      <w:proofErr w:type="spellStart"/>
      <w:r w:rsidRPr="009F6A38">
        <w:rPr>
          <w:rFonts w:ascii="Times New Roman" w:hAnsi="Times New Roman" w:cs="Times New Roman"/>
          <w:sz w:val="24"/>
          <w:szCs w:val="24"/>
        </w:rPr>
        <w:t>hyperkalemia</w:t>
      </w:r>
      <w:proofErr w:type="spellEnd"/>
      <w:r w:rsidRPr="009F6A38">
        <w:rPr>
          <w:rFonts w:ascii="Times New Roman" w:hAnsi="Times New Roman" w:cs="Times New Roman"/>
          <w:sz w:val="24"/>
          <w:szCs w:val="24"/>
        </w:rPr>
        <w:t xml:space="preserve"> in TBI include mannitol and anaesthetic agents such as succinylcholine and barbiturates </w:t>
      </w:r>
      <w:r w:rsidRPr="009F6A38">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{"citationID":"cCvCFMsm","properties":{"formattedCitation":"\\super 20,24\\uc0\\u8211{}27\\nosupersub{}","plainCitation":"20,24–27","noteIndex":0},"citationItems":[{"id":2315,"uris":["http://zotero.org/users/1277496/items/UVFKHF8N"],"uri":["http://zotero.org/users/1277496/items/UVFKHF8N"],"itemData":{"id":2315,"type":"article-journal","abstract":"Traumatic brain injury, and its management, commonly causes derangements in potassium balance. There are a number of recognised causative factors including head trauma, hypothermia and iatrogenic factors such as pharmacological agents and permissive cooling. We describe a case of a 19-year-old man with a severe traumatic brain injury. In a 36-h period, his intracranial pressure increased despite maximal medical therapy and he developed refractory hypokalaemia. Immediately following a decompressive craniectomy, the patient was noted to be profoundly hyperkalaemic; this led to the development of ventricular tachycardia and cardiac arrest, from which the patient did not recover. The effects of brain injury on potassium balance are not well appreciated; the effect of decompressive craniectomy on potassium (K+) balance has not been described previously. We would like to emphasise the potential effect of diffuse axonal injury, a severe form of brain injury and decompressive craniectomy on potassium balance.","container-title":"BMJ Case Reports","DOI":"10.1136/bcr-01-2012-5654","ISSN":"1757-790X","journalAbbreviation":"BMJ Case Rep","note":"PMID: 23060370\nPMCID: PMC4542994","source":"PubMed Central","title":"Dyskalaemia following diffuse axonal injury: case report and review of the literature","title-short":"Dyskalaemia following diffuse axonal injury","volume":"2012","author":[{"family":"Cronin","given":"David"},{"family":"Kaliaperumal","given":"Chandrasekaran"},{"family":"Kumar","given":"Ramanathan"},{"family":"Kaar","given":"George"}],"issued":{"date-parts":[["2012"]]}}},{"id":2326,"uris":["http://zotero.org/users/1277496/items/54Y8VQNL"],"uri":["http://zotero.org/users/1277496/items/54Y8VQNL"],"itemData":{"id":2326,"type":"article-journal","abstract":"The effect of mannitol on serum and urine electrolytes and osmolality was investigated intraoperatively in neurosurgical patients. Patients in Group A (n = 7) received 1 gm . kg-1 of 20 per cent mannitol (\"low\"-dose) and in Group B, (n = 7) 2 gm . kg-1 (\"high\"-dose). There was a significant decrease in serum sodium and bicarbonate, and a significant increase in serum osmolality in both groups after mannitol administration. The decrease in serum sodium and the increase in serum osmolality were significantly greater in patients receiving the larger dose of mannitol. The infusion of low-dose mannitol resulted in a slight decrease in serum potassium. In contrast, after high-dose mannitol there was a significant rise in serum potassium reaching a maximum mean increase of 1.5 mmol . l-1. Urine electrolyte concentration and osmolality showed a similar decrease in both groups. The significant changes that occurred with the administration of mannitol were of short duration in these patients with normal cardiac and renal function. The clinically most important change is the increase in serum potassium with high-dose mannitol. The exact mechanism of this increase remains unclear.","container-title":"Canadian Journal of Anaesthesia = Journal Canadien D'anesthesie","DOI":"10.1007/BF03014345","ISSN":"0832-610X","issue":"5","journalAbbreviation":"Can J Anaesth","language":"eng","note":"PMID: 3117392","page":"442-446","source":"PubMed","title":"The effect of high-dose mannitol on serum and urine electrolytes and osmolality in neurosurgical patients","volume":"34","author":[{"family":"Manninen","given":"P. H."},{"family":"Lam","given":"A. M."},{"family":"Gelb","given":"A. W."},{"family":"Brown","given":"S. C."}],"issued":{"date-parts":[["1987",9]]}}},{"id":2329,"uris":["http://zotero.org/users/1277496/items/PTX645FR"],"uri":["http://zotero.org/users/1277496/items/PTX645FR"],"itemData":{"id":2329,"type":"article-journal","abstract":"OBJECTIVE: To report a sequential occurrence of life-threatening hypokalemia and rebound hyperkalemia following barbiturate coma therapy.\nCASE HISTORY: A 53-year-old man was admitted to the division of nephrology due to sudden development of severe hypokalemia. The patient had been treated following a clinical diagnosis of traumatic subarachnoid hemorrhage and subdural hematoma. Barbiturate coma therapy had been performed on this patient. He developed fatal hypokalemia 10 hours after the start of thiopental administration which did not respond to potassium supplementation. The lowest potassium level following barbiturate coma therapy was 1.0 mmol/l. Severe bradycardia and cardiac arrest developed, which necessitated cardiac massage and treatment with epinephrine and atropine. He recovered from cardiac arrest. When thiopental infusion was suddenly stopped, the potassium level increased to 8.9 mmol/l, which required quick administration of calcium gluconate and infusion of glucose solution mixed with regular insulin. Despite such management, he developed asystole. After direct current cardioversion and emergency hemodialysis, he recovered from cardiac arrest and his serum potassium level was stabilized.\nCONCLUSION: We recommend that clinicians must be aware of the potential occurrence of severe hypokalemia, which is rare but fatal, following barbiturate coma therapy. Rebound hyperkalemia, which is fatal, may also occur following cessation of thiopental infusion. Clinicians should also be aware of this potential complication. Further studies are needed to elucidate the precise mechanism of this clinical event.","container-title":"Clinical Nephrology","DOI":"10.5414/cnp71333","ISSN":"0301-0430","issue":"3","journalAbbreviation":"Clin. Nephrol.","language":"eng","note":"PMID: 19281748","page":"333-337","source":"PubMed","title":"Sequential occurrence of life-threatening hypokalemia and rebound hyperkalemia associated with barbiturate coma therapy","volume":"71","author":[{"family":"Jung","given":"J. Y."},{"family":"Lee","given":"C."},{"family":"Ro","given":"H."},{"family":"Kim","given":"H. S."},{"family":"Joo","given":"K. W."},{"family":"Kim","given":"Y."},{"family":"Ahn","given":"C."},{"family":"Han","given":"J. S."},{"family":"Kim","given":"S."},{"family":"Oh","given":"K.-H."}],"issued":{"date-parts":[["2009",3]]}}},{"id":2333,"uris":["http://zotero.org/users/1277496/items/IBRH9EEA"],"uri":["http://zotero.org/users/1277496/items/IBRH9EEA"],"itemData":{"id":2333,"type":"article-journal","abstract":"OBJECTIVE: To report the occurrence of life-threatening hyperkalaemia following treatment with therapeutic thiopentone coma.\nSETTING: The neurosurgical intensive care units of Royal North Shore Hospital and Liverpool Hospital, Sydney, Australia.\nPATIENTS: Three patients treated with theraputic thiopentone coma. One patient with raised intracranial pressure secondary to a severe traumatic brain injury and two patients with refractory vasospasm secondary to subarachnoid haemorrhage. Two of the three patients developed hypokalaemia on starting thiopentone, which was resistant to potassium supplementation. All three patients developed severe hyperkalaemia during the recovery phase of coma. This was life-threatening in all three patients and fatal in one.\nCONCLUSIONS: Severe hypokalaemia refractory to potassium therapy may occur during therapeutic thiopentone coma. Severe rebound hyperkalaemia may occur after cessation of thiopentone infusion. Protocols for the management of patients with therapeutic barbiturate coma should recognise this potentially serious complication.","container-title":"Intensive Care Medicine","DOI":"10.1007/s00134-002-1399-y","ISSN":"0342-4642","issue":"9","journalAbbreviation":"Intensive Care Med","language":"eng","note":"PMID: 12209290","page":"1357-1360","source":"PubMed","title":"Life-threatening hyperkalaemia following therapeutic barbiturate coma","volume":"28","author":[{"family":"Cairns","given":"Christopher J. S."},{"family":"Thomas","given":"Benjamin"},{"family":"Fletcher","given":"Stephen"},{"family":"Parr","given":"Michael J. A."},{"family":"Finfer","given":"Simon R."}],"issued":{"date-parts":[["2002",9]]}}},{"id":2331,"uris":["http://zotero.org/users/1277496/items/KP4F9R5S"],"uri":["http://zotero.org/users/1277496/items/KP4F9R5S"],"itemData":{"id":2331,"type":"article-journal","abstract":"Lethal hyperkalemic response to succinylcholine continues to be reported, but the molecular mechanisms for the hyperkalemia have not been completely elucidated. In the normal innervated mature muscle, the acetylcholine receptors (AChRs) are located only in the junctional area. In certain pathologic states, including upper or lower motor denervation, chemical denervation by muscle relaxants, drugs, or toxins, immobilization, infection, direct muscle trauma, muscle tumor, or muscle inflammation, and/or burn injury, there is up-regulation (increase) of AChRs spreading throughout the muscle membrane, with the additional expression of two new isoforms of AChRs. The depolarization of these AChRs that are spread throughout the muscle membrane by succinylcholine and its metabolites leads to potassium efflux from the muscle, leading to hyperkalemia. The nicotinic (neuronal) alpha7 acetylcholine receptors, recently described to be expressed in muscle also, can be depolarized not only by acetylcholine and succinylcholine but also by choline, persistently, and possibly play a critical role in the hyperkalemic response to succinylcholine in patients with up-regulated AChRs.","container-title":"Anesthesiology","DOI":"10.1097/00000542-200601000-00022","ISSN":"0003-3022","issue":"1","journalAbbreviation":"Anesthesiology","language":"eng","note":"PMID: 16394702","page":"158-169","source":"PubMed","title":"Succinylcholine-induced hyperkalemia in acquired pathologic states: etiologic factors and molecular mechanisms","title-short":"Succinylcholine-induced hyperkalemia in acquired pathologic states","volume":"104","author":[{"family":"Martyn","given":"J. A. Jeevendra"},{"family":"Richtsfeld","given":"Martina"}],"issued":{"date-parts":[["2006",1]]}}}],"schema":"https://github.com/citation-style-language/schema/raw/master/csl-citation.json"} </w:instrText>
      </w:r>
      <w:r w:rsidRPr="009F6A38">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20,24–27</w:t>
      </w:r>
      <w:r w:rsidRPr="009F6A38">
        <w:rPr>
          <w:rFonts w:ascii="Times New Roman" w:hAnsi="Times New Roman" w:cs="Times New Roman"/>
          <w:sz w:val="24"/>
          <w:szCs w:val="24"/>
        </w:rPr>
        <w:fldChar w:fldCharType="end"/>
      </w:r>
      <w:r w:rsidRPr="009F6A38">
        <w:rPr>
          <w:rFonts w:ascii="Times New Roman" w:hAnsi="Times New Roman" w:cs="Times New Roman"/>
          <w:sz w:val="24"/>
          <w:szCs w:val="24"/>
        </w:rPr>
        <w:t xml:space="preserve">. Although </w:t>
      </w:r>
      <w:proofErr w:type="spellStart"/>
      <w:r w:rsidRPr="009F6A38">
        <w:rPr>
          <w:rFonts w:ascii="Times New Roman" w:hAnsi="Times New Roman" w:cs="Times New Roman"/>
          <w:sz w:val="24"/>
          <w:szCs w:val="24"/>
        </w:rPr>
        <w:t>hyperkalemia</w:t>
      </w:r>
      <w:proofErr w:type="spellEnd"/>
      <w:r w:rsidRPr="009F6A38">
        <w:rPr>
          <w:rFonts w:ascii="Times New Roman" w:hAnsi="Times New Roman" w:cs="Times New Roman"/>
          <w:sz w:val="24"/>
          <w:szCs w:val="24"/>
        </w:rPr>
        <w:t xml:space="preserve"> is rare in TBI, it should </w:t>
      </w:r>
      <w:r w:rsidRPr="009F6A38">
        <w:rPr>
          <w:rFonts w:ascii="Times New Roman" w:hAnsi="Times New Roman" w:cs="Times New Roman"/>
          <w:sz w:val="24"/>
          <w:szCs w:val="24"/>
        </w:rPr>
        <w:lastRenderedPageBreak/>
        <w:t xml:space="preserve">be timely managed as it is also associated with life-threatening cardiac arrhythmias which may lead to death </w:t>
      </w:r>
      <w:r w:rsidRPr="009F6A38">
        <w:rPr>
          <w:rFonts w:ascii="Times New Roman" w:hAnsi="Times New Roman" w:cs="Times New Roman"/>
          <w:sz w:val="24"/>
          <w:szCs w:val="24"/>
        </w:rPr>
        <w:fldChar w:fldCharType="begin"/>
      </w:r>
      <w:r w:rsidR="00127BBB">
        <w:rPr>
          <w:rFonts w:ascii="Times New Roman" w:hAnsi="Times New Roman" w:cs="Times New Roman"/>
          <w:sz w:val="24"/>
          <w:szCs w:val="24"/>
        </w:rPr>
        <w:instrText xml:space="preserve"> ADDIN ZOTERO_ITEM CSL_CITATION {"citationID":"6lEjWWzg","properties":{"formattedCitation":"\\super 1,5\\nosupersub{}","plainCitation":"1,5","noteIndex":0},"citationItems":[{"id":2050,"uris":["http://zotero.org/users/1277496/items/NWFLKCYM"],"uri":["http://zotero.org/users/1277496/items/NWFLKCYM"],"itemData":{"id":2050,"type":"article-journal","abstract":"Background\nAbnormalities in potassium levels can lead to several clinical difficulties in trauma patients admitted to the ICU. However, the significance of potassium abnormalities soon after admission in trauma patients has not yet been clearly delineated. The objective of this study was to describe the plasma potassium abnormalities in trauma patients on admission and to examine the clinical outcomes associated with these abnormalities.\n\nMethods\nWe performed a retrospective observational study of plasma potassium levels in trauma patients admitted to the Fukuyama City Hospital between January 1, 2010 and December 31, 2013. Five hundred twenty consecutive trauma patients were included and categorized into six groups according to their plasma potassium level on admission (&lt;3.0, 3.0–&lt;3.5, 3.5–&lt;4.0, 4.0–&lt;4.5, 4.5–&lt;5.0, and ≥5.0 mEq/L). After adjusting for covariates, including age, gender, the Revised Trauma Score, and the Injury Severity Score, logistic regression analysis was used to examine the association between plasma potassium levels and outcomes, including life-saving interventions and in-hospital mortality.\n\nResults\nTwo hundred twenty-seven patients (43.7 %) presented with hypokalemia (&lt;3.5 mEq/L), while seven patients (1.3 %) presented with hyperkalemia (≥5.0 mEq/L). Patients in the lowest potassium group (&lt;3.0 mEq/L, n = 36 [6.9 %]) were significantly associated with craniotomy (adjusted odds ratio 5.25 [95 % confidence interval 2.06–13.40]; p &lt; 0.001) and showed an increased trend toward in-hospital mortality. In the second lowest potassium group (3.0–&lt; 3.5 mEq/L, n = 191 [36.7 %]), the adjusted odds ratio for craniotomy was significantly higher (2.03 [95 % confidence interval 1.01–4.07]; p = 0.048) compared to the reference group.\n\nConclusions\nTrauma patients presenting with hypokalemia (&lt;3.5 mEq/L) on admission may be associated with severe head trauma requiring life-saving craniotomy.","container-title":"Journal of Intensive Care","DOI":"10.1186/s40560-015-0103-6","ISSN":"2052-0492","issue":"1","journalAbbreviation":"J Intensive Care","note":"PMID: 26269745\nPMCID: PMC4534081","page":"37","source":"PubMed Central","title":"The clinical relevance of plasma potassium abnormalities on admission in trauma patients: a retrospective observational study","title-short":"The clinical relevance of plasma potassium abnormalities on admission in trauma patients","volume":"3","author":[{"family":"Ookuma","given":"Takaaki"},{"family":"Miyasho","given":"Koji"},{"family":"Kashitani","given":"Nobuhiro"},{"family":"Beika","given":"Nobuhiko"},{"family":"Ishibashi","given":"Naoki"},{"family":"Yamashita","given":"Takahiro"},{"family":"Ujike","given":"Yoshihito"}],"issued":{"date-parts":[["2015"]]}}},{"id":2053,"uris":["http://zotero.org/users/1277496/items/3Z78J7E9"],"uri":["http://zotero.org/users/1277496/items/3Z78J7E9"],"itemData":{"id":2053,"type":"article-journal","abstract":"INTRODUCTION: Patients with traumatic brain injury (TBI) are more vulnerable to develop hypokalaemia, we sought to investigate the prevalence, and the relationship between severe hypokalaemia and the mortality of traumatic brain injury patients.\nMETHODS: Isolated traumatic brain patients who had hypokalaemia (serum potassium &lt;3.5mmol/L) and age≥14yrs were recruited into the study between January 2008 and March 2013. Hypokalaemia was defined as potassium level in the blood &lt;3.5mmol/L during the hospitalisation, which was classified by severity: mild (3.0mmol/L≤K&lt;3.5mmol/L), moderate (2.5mmol/L≤K&lt;3.0mmol/L) and severe (K&lt;2.5mmol/L). Multivariable logistic regression was performed to find the impact of hypokalaemia on mortality.\nRESULTS: A total 375 cases were included in analysis. The peak incidence of severe hypokalaemia occurred in the first 24-96h. TBI patients with severe hypokalaemia had significantly higher serum sodium and lower serum phosphorus than those patients with mild or moderate hypokalaemia (p&lt;0.001). Compare to other groups, the severe hypokalaemia group had the worst outcome. Moreover, the patients (n=15) who had severe hypokalaemia, hypernatraemia (Na&gt;160mmol/L), and hypophosphataemia (P&lt;0.3mmol/L) all died in hospital. Multiple logistic regression analysis resulted in decrease of GCS (OR=1.27; 95% CI=1.15-1.41; p&lt;0.001) and potassium (OR=4.35; 95% CI=2.04-9.26; p&lt;0.001) being associated with significant increased risk of mortality.\nCONCLUSIONS: The peak incidence of severe hypokalaemia occurred in the first 24-96h. TBI patients with severe hypokalaemia are more vulnerable to develop hypophosphataemia and hypernatraemia than patients with mild and moderate hypokalaemia. Severe hypokalaemia are the independent risk factors for mortality in TBI patients.","container-title":"Injury","DOI":"10.1016/j.injury.2014.08.002","ISSN":"1879-0267","issue":"1","journalAbbreviation":"Injury","language":"eng","note":"PMID: 25195182","page":"35-41","source":"PubMed","title":"Prevalence of severe hypokalaemia in patients with traumatic brain injury","volume":"46","author":[{"family":"Wu","given":"Xing"},{"family":"Lu","given":"Xin"},{"family":"Lu","given":"Xiangqiong"},{"family":"Yu","given":"Jian"},{"family":"Sun","given":"Yirui"},{"family":"Du","given":"Zhuoying"},{"family":"Wu","given":"Xuehai"},{"family":"Mao","given":"Ying"},{"family":"Zhou","given":"Liangfu"},{"family":"Wu","given":"Sirong"},{"family":"Hu","given":"Jin"}],"issued":{"date-parts":[["2015",1]]}}}],"schema":"https://github.com/citation-style-language/schema/raw/master/csl-citation.json"} </w:instrText>
      </w:r>
      <w:r w:rsidRPr="009F6A38">
        <w:rPr>
          <w:rFonts w:ascii="Times New Roman" w:hAnsi="Times New Roman" w:cs="Times New Roman"/>
          <w:sz w:val="24"/>
          <w:szCs w:val="24"/>
        </w:rPr>
        <w:fldChar w:fldCharType="separate"/>
      </w:r>
      <w:r w:rsidR="00127BBB" w:rsidRPr="00127BBB">
        <w:rPr>
          <w:rFonts w:ascii="Times New Roman" w:hAnsi="Times New Roman" w:cs="Times New Roman"/>
          <w:sz w:val="24"/>
          <w:szCs w:val="24"/>
          <w:vertAlign w:val="superscript"/>
        </w:rPr>
        <w:t>1,5</w:t>
      </w:r>
      <w:r w:rsidRPr="009F6A38">
        <w:rPr>
          <w:rFonts w:ascii="Times New Roman" w:hAnsi="Times New Roman" w:cs="Times New Roman"/>
          <w:sz w:val="24"/>
          <w:szCs w:val="24"/>
        </w:rPr>
        <w:fldChar w:fldCharType="end"/>
      </w:r>
      <w:r w:rsidRPr="009F6A38">
        <w:rPr>
          <w:rFonts w:ascii="Times New Roman" w:hAnsi="Times New Roman" w:cs="Times New Roman"/>
          <w:sz w:val="24"/>
          <w:szCs w:val="24"/>
        </w:rPr>
        <w:t xml:space="preserve">. </w:t>
      </w:r>
      <w:r w:rsidR="00457E02">
        <w:rPr>
          <w:rFonts w:ascii="Times New Roman" w:hAnsi="Times New Roman" w:cs="Times New Roman"/>
          <w:sz w:val="24"/>
          <w:szCs w:val="24"/>
          <w:lang w:val="en-US"/>
        </w:rPr>
        <w:t xml:space="preserve">   </w:t>
      </w:r>
    </w:p>
    <w:p w:rsidR="00D521F8" w:rsidRDefault="00D521F8" w:rsidP="005E535D">
      <w:pPr>
        <w:spacing w:line="480" w:lineRule="auto"/>
        <w:jc w:val="both"/>
        <w:rPr>
          <w:rFonts w:ascii="Times New Roman" w:hAnsi="Times New Roman" w:cs="Times New Roman"/>
          <w:sz w:val="24"/>
          <w:szCs w:val="24"/>
        </w:rPr>
      </w:pPr>
    </w:p>
    <w:p w:rsidR="00D521F8" w:rsidRPr="00D521F8" w:rsidRDefault="00D521F8" w:rsidP="00FF3AE9">
      <w:pPr>
        <w:jc w:val="both"/>
        <w:rPr>
          <w:rFonts w:ascii="Times New Roman" w:hAnsi="Times New Roman" w:cs="Times New Roman"/>
          <w:b/>
          <w:sz w:val="24"/>
          <w:szCs w:val="24"/>
        </w:rPr>
      </w:pPr>
      <w:r w:rsidRPr="00D521F8">
        <w:rPr>
          <w:rFonts w:ascii="Times New Roman" w:hAnsi="Times New Roman" w:cs="Times New Roman"/>
          <w:b/>
          <w:sz w:val="24"/>
          <w:szCs w:val="24"/>
        </w:rPr>
        <w:t>REFERENCES</w:t>
      </w:r>
    </w:p>
    <w:p w:rsidR="00127BBB" w:rsidRPr="00127BBB" w:rsidRDefault="009F6A38" w:rsidP="00127BBB">
      <w:pPr>
        <w:pStyle w:val="Bibliography"/>
        <w:rPr>
          <w:rFonts w:ascii="Times New Roman" w:hAnsi="Times New Roman" w:cs="Times New Roman"/>
          <w:sz w:val="24"/>
        </w:rPr>
      </w:pPr>
      <w:r>
        <w:fldChar w:fldCharType="begin"/>
      </w:r>
      <w:r w:rsidR="00127BBB">
        <w:instrText xml:space="preserve"> ADDIN ZOTERO_BIBL {"uncited":[],"omitted":[],"custom":[]} CSL_BIBLIOGRAPHY </w:instrText>
      </w:r>
      <w:r>
        <w:fldChar w:fldCharType="separate"/>
      </w:r>
      <w:r w:rsidR="00127BBB" w:rsidRPr="00127BBB">
        <w:rPr>
          <w:rFonts w:ascii="Times New Roman" w:hAnsi="Times New Roman" w:cs="Times New Roman"/>
          <w:sz w:val="24"/>
        </w:rPr>
        <w:t xml:space="preserve">1. </w:t>
      </w:r>
      <w:r w:rsidR="00127BBB" w:rsidRPr="00127BBB">
        <w:rPr>
          <w:rFonts w:ascii="Times New Roman" w:hAnsi="Times New Roman" w:cs="Times New Roman"/>
          <w:sz w:val="24"/>
        </w:rPr>
        <w:tab/>
        <w:t xml:space="preserve">Ookuma T, Miyasho K, Kashitani N, et al. The clinical relevance of plasma potassium abnormalities on admission in trauma patients: a retrospective observational study. </w:t>
      </w:r>
      <w:r w:rsidR="00127BBB" w:rsidRPr="00127BBB">
        <w:rPr>
          <w:rFonts w:ascii="Times New Roman" w:hAnsi="Times New Roman" w:cs="Times New Roman"/>
          <w:i/>
          <w:iCs/>
          <w:sz w:val="24"/>
        </w:rPr>
        <w:t>J Intensive Care</w:t>
      </w:r>
      <w:r w:rsidR="00127BBB" w:rsidRPr="00127BBB">
        <w:rPr>
          <w:rFonts w:ascii="Times New Roman" w:hAnsi="Times New Roman" w:cs="Times New Roman"/>
          <w:sz w:val="24"/>
        </w:rPr>
        <w:t>. 2015;3(1):37. doi:10.1186/s40560-015-0103-6</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2. </w:t>
      </w:r>
      <w:r w:rsidRPr="00127BBB">
        <w:rPr>
          <w:rFonts w:ascii="Times New Roman" w:hAnsi="Times New Roman" w:cs="Times New Roman"/>
          <w:sz w:val="24"/>
        </w:rPr>
        <w:tab/>
        <w:t xml:space="preserve">Beal AL, Deuser WE, Beilman GJ. A role for epinephrine in post-traumatic hypokalemia. </w:t>
      </w:r>
      <w:r w:rsidRPr="00127BBB">
        <w:rPr>
          <w:rFonts w:ascii="Times New Roman" w:hAnsi="Times New Roman" w:cs="Times New Roman"/>
          <w:i/>
          <w:iCs/>
          <w:sz w:val="24"/>
        </w:rPr>
        <w:t>Shock Augusta Ga</w:t>
      </w:r>
      <w:r w:rsidRPr="00127BBB">
        <w:rPr>
          <w:rFonts w:ascii="Times New Roman" w:hAnsi="Times New Roman" w:cs="Times New Roman"/>
          <w:sz w:val="24"/>
        </w:rPr>
        <w:t>. 2007;27(4):358-363. doi:10.1097/01.shk.0000245029.47106.db</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3. </w:t>
      </w:r>
      <w:r w:rsidRPr="00127BBB">
        <w:rPr>
          <w:rFonts w:ascii="Times New Roman" w:hAnsi="Times New Roman" w:cs="Times New Roman"/>
          <w:sz w:val="24"/>
        </w:rPr>
        <w:tab/>
        <w:t xml:space="preserve">Reid JL, Whyte KF, Struthers AD. Epinephrine-induced hypokalemia: the role of beta adrenoceptors. </w:t>
      </w:r>
      <w:r w:rsidRPr="00127BBB">
        <w:rPr>
          <w:rFonts w:ascii="Times New Roman" w:hAnsi="Times New Roman" w:cs="Times New Roman"/>
          <w:i/>
          <w:iCs/>
          <w:sz w:val="24"/>
        </w:rPr>
        <w:t>Am J Cardiol</w:t>
      </w:r>
      <w:r w:rsidRPr="00127BBB">
        <w:rPr>
          <w:rFonts w:ascii="Times New Roman" w:hAnsi="Times New Roman" w:cs="Times New Roman"/>
          <w:sz w:val="24"/>
        </w:rPr>
        <w:t>. 1986;57(12):23F-27F.</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4. </w:t>
      </w:r>
      <w:r w:rsidRPr="00127BBB">
        <w:rPr>
          <w:rFonts w:ascii="Times New Roman" w:hAnsi="Times New Roman" w:cs="Times New Roman"/>
          <w:sz w:val="24"/>
        </w:rPr>
        <w:tab/>
        <w:t xml:space="preserve">Schaefer M, Link J, Hannemann L, Rudolph K-H. Excessive hypokalemia and hyperkalemia following head injury. </w:t>
      </w:r>
      <w:r w:rsidRPr="00127BBB">
        <w:rPr>
          <w:rFonts w:ascii="Times New Roman" w:hAnsi="Times New Roman" w:cs="Times New Roman"/>
          <w:i/>
          <w:iCs/>
          <w:sz w:val="24"/>
        </w:rPr>
        <w:t>Intensive Care Med</w:t>
      </w:r>
      <w:r w:rsidRPr="00127BBB">
        <w:rPr>
          <w:rFonts w:ascii="Times New Roman" w:hAnsi="Times New Roman" w:cs="Times New Roman"/>
          <w:sz w:val="24"/>
        </w:rPr>
        <w:t>. 1995;21(3):235-237. doi:10.1007/BF01701479</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5. </w:t>
      </w:r>
      <w:r w:rsidRPr="00127BBB">
        <w:rPr>
          <w:rFonts w:ascii="Times New Roman" w:hAnsi="Times New Roman" w:cs="Times New Roman"/>
          <w:sz w:val="24"/>
        </w:rPr>
        <w:tab/>
        <w:t xml:space="preserve">Wu X, Lu X, Lu X, et al. Prevalence of severe hypokalaemia in patients with traumatic brain injury. </w:t>
      </w:r>
      <w:r w:rsidRPr="00127BBB">
        <w:rPr>
          <w:rFonts w:ascii="Times New Roman" w:hAnsi="Times New Roman" w:cs="Times New Roman"/>
          <w:i/>
          <w:iCs/>
          <w:sz w:val="24"/>
        </w:rPr>
        <w:t>Injury</w:t>
      </w:r>
      <w:r w:rsidRPr="00127BBB">
        <w:rPr>
          <w:rFonts w:ascii="Times New Roman" w:hAnsi="Times New Roman" w:cs="Times New Roman"/>
          <w:sz w:val="24"/>
        </w:rPr>
        <w:t>. 2015;46(1):35-41. doi:10.1016/j.injury.2014.08.002</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6. </w:t>
      </w:r>
      <w:r w:rsidRPr="00127BBB">
        <w:rPr>
          <w:rFonts w:ascii="Times New Roman" w:hAnsi="Times New Roman" w:cs="Times New Roman"/>
          <w:sz w:val="24"/>
        </w:rPr>
        <w:tab/>
        <w:t xml:space="preserve">Dang B, Chen W, He W, Chen G. Rehabilitation Treatment and Progress of Traumatic Brain Injury Dysfunction. </w:t>
      </w:r>
      <w:r w:rsidRPr="00127BBB">
        <w:rPr>
          <w:rFonts w:ascii="Times New Roman" w:hAnsi="Times New Roman" w:cs="Times New Roman"/>
          <w:i/>
          <w:iCs/>
          <w:sz w:val="24"/>
        </w:rPr>
        <w:t>Neural Plast</w:t>
      </w:r>
      <w:r w:rsidRPr="00127BBB">
        <w:rPr>
          <w:rFonts w:ascii="Times New Roman" w:hAnsi="Times New Roman" w:cs="Times New Roman"/>
          <w:sz w:val="24"/>
        </w:rPr>
        <w:t>. 2017;2017(2017):1582182. doi:10.1155/2017/1582182</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7. </w:t>
      </w:r>
      <w:r w:rsidRPr="00127BBB">
        <w:rPr>
          <w:rFonts w:ascii="Times New Roman" w:hAnsi="Times New Roman" w:cs="Times New Roman"/>
          <w:sz w:val="24"/>
        </w:rPr>
        <w:tab/>
        <w:t xml:space="preserve">Farrell D, Bendo AA. Perioperative Management of Severe Traumatic Brain Injury: What Is New? </w:t>
      </w:r>
      <w:r w:rsidRPr="00127BBB">
        <w:rPr>
          <w:rFonts w:ascii="Times New Roman" w:hAnsi="Times New Roman" w:cs="Times New Roman"/>
          <w:i/>
          <w:iCs/>
          <w:sz w:val="24"/>
        </w:rPr>
        <w:t>Curr Anesthesiol Rep</w:t>
      </w:r>
      <w:r w:rsidRPr="00127BBB">
        <w:rPr>
          <w:rFonts w:ascii="Times New Roman" w:hAnsi="Times New Roman" w:cs="Times New Roman"/>
          <w:sz w:val="24"/>
        </w:rPr>
        <w:t>. 2018;8(3):279-289. doi:10.1007/s40140-018-0286-1</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8. </w:t>
      </w:r>
      <w:r w:rsidRPr="00127BBB">
        <w:rPr>
          <w:rFonts w:ascii="Times New Roman" w:hAnsi="Times New Roman" w:cs="Times New Roman"/>
          <w:sz w:val="24"/>
        </w:rPr>
        <w:tab/>
        <w:t xml:space="preserve">Vella MA, Crandall M, Patel MB. Acute Management of Traumatic Brain Injury. </w:t>
      </w:r>
      <w:r w:rsidRPr="00127BBB">
        <w:rPr>
          <w:rFonts w:ascii="Times New Roman" w:hAnsi="Times New Roman" w:cs="Times New Roman"/>
          <w:i/>
          <w:iCs/>
          <w:sz w:val="24"/>
        </w:rPr>
        <w:t>Surg Clin North Am</w:t>
      </w:r>
      <w:r w:rsidRPr="00127BBB">
        <w:rPr>
          <w:rFonts w:ascii="Times New Roman" w:hAnsi="Times New Roman" w:cs="Times New Roman"/>
          <w:sz w:val="24"/>
        </w:rPr>
        <w:t>. 2017;97(5):1015-1030. doi:10.1016/j.suc.2017.06.003</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9. </w:t>
      </w:r>
      <w:r w:rsidRPr="00127BBB">
        <w:rPr>
          <w:rFonts w:ascii="Times New Roman" w:hAnsi="Times New Roman" w:cs="Times New Roman"/>
          <w:sz w:val="24"/>
        </w:rPr>
        <w:tab/>
        <w:t xml:space="preserve">Kinyanjui B. Traumatic Brain Injury in Kenya: A Preliminary Review of the Literature. </w:t>
      </w:r>
      <w:r w:rsidRPr="00127BBB">
        <w:rPr>
          <w:rFonts w:ascii="Times New Roman" w:hAnsi="Times New Roman" w:cs="Times New Roman"/>
          <w:i/>
          <w:iCs/>
          <w:sz w:val="24"/>
        </w:rPr>
        <w:t>SAGE Open</w:t>
      </w:r>
      <w:r w:rsidRPr="00127BBB">
        <w:rPr>
          <w:rFonts w:ascii="Times New Roman" w:hAnsi="Times New Roman" w:cs="Times New Roman"/>
          <w:sz w:val="24"/>
        </w:rPr>
        <w:t>. 2016;6(1):2158244016638392. doi:10.1177/2158244016638392</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10. </w:t>
      </w:r>
      <w:r w:rsidRPr="00127BBB">
        <w:rPr>
          <w:rFonts w:ascii="Times New Roman" w:hAnsi="Times New Roman" w:cs="Times New Roman"/>
          <w:sz w:val="24"/>
        </w:rPr>
        <w:tab/>
        <w:t>Mwang’ombe NJM, Shitsama SV. Neuroepidemiology Of Head Injuries In Kenya. Published online June 2013. Accessed July 9, 2019. http://erepository.uonbi.ac.ke/handle/11295/61243</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11. </w:t>
      </w:r>
      <w:r w:rsidRPr="00127BBB">
        <w:rPr>
          <w:rFonts w:ascii="Times New Roman" w:hAnsi="Times New Roman" w:cs="Times New Roman"/>
          <w:sz w:val="24"/>
        </w:rPr>
        <w:tab/>
        <w:t xml:space="preserve">Wong JC, Linn KA, Shinohara RT, Mateen FJ. Traumatic brain injury in Africa in 2050: a modeling study. </w:t>
      </w:r>
      <w:r w:rsidRPr="00127BBB">
        <w:rPr>
          <w:rFonts w:ascii="Times New Roman" w:hAnsi="Times New Roman" w:cs="Times New Roman"/>
          <w:i/>
          <w:iCs/>
          <w:sz w:val="24"/>
        </w:rPr>
        <w:t>Eur J Neurol</w:t>
      </w:r>
      <w:r w:rsidRPr="00127BBB">
        <w:rPr>
          <w:rFonts w:ascii="Times New Roman" w:hAnsi="Times New Roman" w:cs="Times New Roman"/>
          <w:sz w:val="24"/>
        </w:rPr>
        <w:t>. 2016;23(2):382-386. doi:10.1111/ene.12877</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lastRenderedPageBreak/>
        <w:t xml:space="preserve">12. </w:t>
      </w:r>
      <w:r w:rsidRPr="00127BBB">
        <w:rPr>
          <w:rFonts w:ascii="Times New Roman" w:hAnsi="Times New Roman" w:cs="Times New Roman"/>
          <w:sz w:val="24"/>
        </w:rPr>
        <w:tab/>
        <w:t xml:space="preserve">Kiboi JG, Kitunguu PK, Angwenyi P, Mbuthia F, Sagina LS. Predictors of functional recovery in African patients with traumatic intracranial hematomas. </w:t>
      </w:r>
      <w:r w:rsidRPr="00127BBB">
        <w:rPr>
          <w:rFonts w:ascii="Times New Roman" w:hAnsi="Times New Roman" w:cs="Times New Roman"/>
          <w:i/>
          <w:iCs/>
          <w:sz w:val="24"/>
        </w:rPr>
        <w:t>World Neurosurg</w:t>
      </w:r>
      <w:r w:rsidRPr="00127BBB">
        <w:rPr>
          <w:rFonts w:ascii="Times New Roman" w:hAnsi="Times New Roman" w:cs="Times New Roman"/>
          <w:sz w:val="24"/>
        </w:rPr>
        <w:t>. 2011;75(5):586–591.</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13. </w:t>
      </w:r>
      <w:r w:rsidRPr="00127BBB">
        <w:rPr>
          <w:rFonts w:ascii="Times New Roman" w:hAnsi="Times New Roman" w:cs="Times New Roman"/>
          <w:sz w:val="24"/>
        </w:rPr>
        <w:tab/>
        <w:t xml:space="preserve">Mwang’ombe NJM, Kiboi J. Factors influencing the outcome of severe head injury at Kenyatta National Hospital. </w:t>
      </w:r>
      <w:r w:rsidRPr="00127BBB">
        <w:rPr>
          <w:rFonts w:ascii="Times New Roman" w:hAnsi="Times New Roman" w:cs="Times New Roman"/>
          <w:i/>
          <w:iCs/>
          <w:sz w:val="24"/>
        </w:rPr>
        <w:t>East Afr Med J</w:t>
      </w:r>
      <w:r w:rsidRPr="00127BBB">
        <w:rPr>
          <w:rFonts w:ascii="Times New Roman" w:hAnsi="Times New Roman" w:cs="Times New Roman"/>
          <w:sz w:val="24"/>
        </w:rPr>
        <w:t>. 2001;78(5):238–241.</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14. </w:t>
      </w:r>
      <w:r w:rsidRPr="00127BBB">
        <w:rPr>
          <w:rFonts w:ascii="Times New Roman" w:hAnsi="Times New Roman" w:cs="Times New Roman"/>
          <w:sz w:val="24"/>
        </w:rPr>
        <w:tab/>
        <w:t xml:space="preserve">Opondo EA, Mwangombe NJM. Outcome of severe traumatic brain injury at a critical care unit: a review of 87 patients. </w:t>
      </w:r>
      <w:r w:rsidRPr="00127BBB">
        <w:rPr>
          <w:rFonts w:ascii="Times New Roman" w:hAnsi="Times New Roman" w:cs="Times New Roman"/>
          <w:i/>
          <w:iCs/>
          <w:sz w:val="24"/>
        </w:rPr>
        <w:t>Ann Afr Surg</w:t>
      </w:r>
      <w:r w:rsidRPr="00127BBB">
        <w:rPr>
          <w:rFonts w:ascii="Times New Roman" w:hAnsi="Times New Roman" w:cs="Times New Roman"/>
          <w:sz w:val="24"/>
        </w:rPr>
        <w:t>. 2007;1(1):3-9. doi:10.4314/aas.v1i1.45788</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15. </w:t>
      </w:r>
      <w:r w:rsidRPr="00127BBB">
        <w:rPr>
          <w:rFonts w:ascii="Times New Roman" w:hAnsi="Times New Roman" w:cs="Times New Roman"/>
          <w:sz w:val="24"/>
        </w:rPr>
        <w:tab/>
        <w:t xml:space="preserve">Galgano M, Toshkezi G, Qiu X, Russell T, Chin L, Zhao L-R. Traumatic Brain Injury: Current Treatment Strategies and Future Endeavors. </w:t>
      </w:r>
      <w:r w:rsidRPr="00127BBB">
        <w:rPr>
          <w:rFonts w:ascii="Times New Roman" w:hAnsi="Times New Roman" w:cs="Times New Roman"/>
          <w:i/>
          <w:iCs/>
          <w:sz w:val="24"/>
        </w:rPr>
        <w:t>Cell Transplant</w:t>
      </w:r>
      <w:r w:rsidRPr="00127BBB">
        <w:rPr>
          <w:rFonts w:ascii="Times New Roman" w:hAnsi="Times New Roman" w:cs="Times New Roman"/>
          <w:sz w:val="24"/>
        </w:rPr>
        <w:t>. 2017;26(7):1118-1130. doi:10.1177/0963689717714102</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16. </w:t>
      </w:r>
      <w:r w:rsidRPr="00127BBB">
        <w:rPr>
          <w:rFonts w:ascii="Times New Roman" w:hAnsi="Times New Roman" w:cs="Times New Roman"/>
          <w:sz w:val="24"/>
        </w:rPr>
        <w:tab/>
        <w:t xml:space="preserve">Copes W, Champion H, Sacco W, Lawnick M, Keast S, Bain L. The Injury Severity Score Revisited. </w:t>
      </w:r>
      <w:r w:rsidRPr="00127BBB">
        <w:rPr>
          <w:rFonts w:ascii="Times New Roman" w:hAnsi="Times New Roman" w:cs="Times New Roman"/>
          <w:i/>
          <w:iCs/>
          <w:sz w:val="24"/>
        </w:rPr>
        <w:t>J Trauma Inj Infect Crit Care</w:t>
      </w:r>
      <w:r w:rsidRPr="00127BBB">
        <w:rPr>
          <w:rFonts w:ascii="Times New Roman" w:hAnsi="Times New Roman" w:cs="Times New Roman"/>
          <w:sz w:val="24"/>
        </w:rPr>
        <w:t>. 1988;28(1):69-77.</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17. </w:t>
      </w:r>
      <w:r w:rsidRPr="00127BBB">
        <w:rPr>
          <w:rFonts w:ascii="Times New Roman" w:hAnsi="Times New Roman" w:cs="Times New Roman"/>
          <w:sz w:val="24"/>
        </w:rPr>
        <w:tab/>
        <w:t xml:space="preserve">Pin-On P, Saringkarinkul A, Punjasawadwong Y, Kacha S, Wilairat D. Serum electrolyte imbalance and prognostic factors of postoperative death in adult traumatic brain injury patients: A prospective cohort study. </w:t>
      </w:r>
      <w:r w:rsidRPr="00127BBB">
        <w:rPr>
          <w:rFonts w:ascii="Times New Roman" w:hAnsi="Times New Roman" w:cs="Times New Roman"/>
          <w:i/>
          <w:iCs/>
          <w:sz w:val="24"/>
        </w:rPr>
        <w:t>Medicine (Baltimore)</w:t>
      </w:r>
      <w:r w:rsidRPr="00127BBB">
        <w:rPr>
          <w:rFonts w:ascii="Times New Roman" w:hAnsi="Times New Roman" w:cs="Times New Roman"/>
          <w:sz w:val="24"/>
        </w:rPr>
        <w:t>. 2018;97(45):e13081. doi:10.1097/MD.0000000000013081</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18. </w:t>
      </w:r>
      <w:r w:rsidRPr="00127BBB">
        <w:rPr>
          <w:rFonts w:ascii="Times New Roman" w:hAnsi="Times New Roman" w:cs="Times New Roman"/>
          <w:sz w:val="24"/>
        </w:rPr>
        <w:tab/>
        <w:t xml:space="preserve">Rafiq MFA, Ahmed N, Khan AA. Serum electrolyte derangements in patients with traumatic brain injury. </w:t>
      </w:r>
      <w:r w:rsidRPr="00127BBB">
        <w:rPr>
          <w:rFonts w:ascii="Times New Roman" w:hAnsi="Times New Roman" w:cs="Times New Roman"/>
          <w:i/>
          <w:iCs/>
          <w:sz w:val="24"/>
        </w:rPr>
        <w:t>J Ayub Med Coll Abbottabad JAMC</w:t>
      </w:r>
      <w:r w:rsidRPr="00127BBB">
        <w:rPr>
          <w:rFonts w:ascii="Times New Roman" w:hAnsi="Times New Roman" w:cs="Times New Roman"/>
          <w:sz w:val="24"/>
        </w:rPr>
        <w:t>. 2013;25(1-2):162-164.</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19. </w:t>
      </w:r>
      <w:r w:rsidRPr="00127BBB">
        <w:rPr>
          <w:rFonts w:ascii="Times New Roman" w:hAnsi="Times New Roman" w:cs="Times New Roman"/>
          <w:sz w:val="24"/>
        </w:rPr>
        <w:tab/>
        <w:t xml:space="preserve">Suman S, Kumar N, Singh Y, Kumar K, Yadav G, Gupta B. Evaluation of Serum Electrolytes in Traumatic Brain Injury Patients: Prospective Randomized Observational Study. </w:t>
      </w:r>
      <w:r w:rsidRPr="00127BBB">
        <w:rPr>
          <w:rFonts w:ascii="Times New Roman" w:hAnsi="Times New Roman" w:cs="Times New Roman"/>
          <w:i/>
          <w:iCs/>
          <w:sz w:val="24"/>
        </w:rPr>
        <w:t>J Anesth Crit Care Open Access</w:t>
      </w:r>
      <w:r w:rsidRPr="00127BBB">
        <w:rPr>
          <w:rFonts w:ascii="Times New Roman" w:hAnsi="Times New Roman" w:cs="Times New Roman"/>
          <w:sz w:val="24"/>
        </w:rPr>
        <w:t>. 2016;5(3):1-0. doi:10.15406/jaccoa.2016.5.00184</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20. </w:t>
      </w:r>
      <w:r w:rsidRPr="00127BBB">
        <w:rPr>
          <w:rFonts w:ascii="Times New Roman" w:hAnsi="Times New Roman" w:cs="Times New Roman"/>
          <w:sz w:val="24"/>
        </w:rPr>
        <w:tab/>
        <w:t xml:space="preserve">Cronin D, Kaliaperumal C, Kumar R, Kaar G. Dyskalaemia following diffuse axonal injury: case report and review of the literature. </w:t>
      </w:r>
      <w:r w:rsidRPr="00127BBB">
        <w:rPr>
          <w:rFonts w:ascii="Times New Roman" w:hAnsi="Times New Roman" w:cs="Times New Roman"/>
          <w:i/>
          <w:iCs/>
          <w:sz w:val="24"/>
        </w:rPr>
        <w:t>BMJ Case Rep</w:t>
      </w:r>
      <w:r w:rsidRPr="00127BBB">
        <w:rPr>
          <w:rFonts w:ascii="Times New Roman" w:hAnsi="Times New Roman" w:cs="Times New Roman"/>
          <w:sz w:val="24"/>
        </w:rPr>
        <w:t>. 2012;2012. doi:10.1136/bcr-01-2012-5654</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21. </w:t>
      </w:r>
      <w:r w:rsidRPr="00127BBB">
        <w:rPr>
          <w:rFonts w:ascii="Times New Roman" w:hAnsi="Times New Roman" w:cs="Times New Roman"/>
          <w:sz w:val="24"/>
        </w:rPr>
        <w:tab/>
        <w:t xml:space="preserve">Clifton GL, Robertson CS, Grossman RG. Cardiovascular and metabolic responses to severe head injury. </w:t>
      </w:r>
      <w:r w:rsidRPr="00127BBB">
        <w:rPr>
          <w:rFonts w:ascii="Times New Roman" w:hAnsi="Times New Roman" w:cs="Times New Roman"/>
          <w:i/>
          <w:iCs/>
          <w:sz w:val="24"/>
        </w:rPr>
        <w:t>Neurosurg Rev</w:t>
      </w:r>
      <w:r w:rsidRPr="00127BBB">
        <w:rPr>
          <w:rFonts w:ascii="Times New Roman" w:hAnsi="Times New Roman" w:cs="Times New Roman"/>
          <w:sz w:val="24"/>
        </w:rPr>
        <w:t>. 1989;12 Suppl 1:465-473. doi:10.1007/bf01790692</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22. </w:t>
      </w:r>
      <w:r w:rsidRPr="00127BBB">
        <w:rPr>
          <w:rFonts w:ascii="Times New Roman" w:hAnsi="Times New Roman" w:cs="Times New Roman"/>
          <w:sz w:val="24"/>
        </w:rPr>
        <w:tab/>
        <w:t xml:space="preserve">Cooper DK, Novitzky D, Wicomb WN. Hemodynamic and electrocardiographic responses. </w:t>
      </w:r>
      <w:r w:rsidRPr="00127BBB">
        <w:rPr>
          <w:rFonts w:ascii="Times New Roman" w:hAnsi="Times New Roman" w:cs="Times New Roman"/>
          <w:i/>
          <w:iCs/>
          <w:sz w:val="24"/>
        </w:rPr>
        <w:t>Transplant Proc</w:t>
      </w:r>
      <w:r w:rsidRPr="00127BBB">
        <w:rPr>
          <w:rFonts w:ascii="Times New Roman" w:hAnsi="Times New Roman" w:cs="Times New Roman"/>
          <w:sz w:val="24"/>
        </w:rPr>
        <w:t>. 1988;20(5 Suppl 7):25-28.</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23. </w:t>
      </w:r>
      <w:r w:rsidRPr="00127BBB">
        <w:rPr>
          <w:rFonts w:ascii="Times New Roman" w:hAnsi="Times New Roman" w:cs="Times New Roman"/>
          <w:sz w:val="24"/>
        </w:rPr>
        <w:tab/>
        <w:t xml:space="preserve">Reinert M, Khaldi A, Zauner A, Doppenberg E, Choi S, Bullock R. High level of extracellular potassium and its correlates after severe head injury: relationship to high intracranial pressure. </w:t>
      </w:r>
      <w:r w:rsidRPr="00127BBB">
        <w:rPr>
          <w:rFonts w:ascii="Times New Roman" w:hAnsi="Times New Roman" w:cs="Times New Roman"/>
          <w:i/>
          <w:iCs/>
          <w:sz w:val="24"/>
        </w:rPr>
        <w:t>J Neurosurg</w:t>
      </w:r>
      <w:r w:rsidRPr="00127BBB">
        <w:rPr>
          <w:rFonts w:ascii="Times New Roman" w:hAnsi="Times New Roman" w:cs="Times New Roman"/>
          <w:sz w:val="24"/>
        </w:rPr>
        <w:t>. 2000;93(5):800-807. doi:10.3171/jns.2000.93.5.0800</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24. </w:t>
      </w:r>
      <w:r w:rsidRPr="00127BBB">
        <w:rPr>
          <w:rFonts w:ascii="Times New Roman" w:hAnsi="Times New Roman" w:cs="Times New Roman"/>
          <w:sz w:val="24"/>
        </w:rPr>
        <w:tab/>
        <w:t xml:space="preserve">Manninen PH, Lam AM, Gelb AW, Brown SC. The effect of high-dose mannitol on serum and urine electrolytes and osmolality in neurosurgical patients. </w:t>
      </w:r>
      <w:r w:rsidRPr="00127BBB">
        <w:rPr>
          <w:rFonts w:ascii="Times New Roman" w:hAnsi="Times New Roman" w:cs="Times New Roman"/>
          <w:i/>
          <w:iCs/>
          <w:sz w:val="24"/>
        </w:rPr>
        <w:t>Can J Anaesth J Can Anesth</w:t>
      </w:r>
      <w:r w:rsidRPr="00127BBB">
        <w:rPr>
          <w:rFonts w:ascii="Times New Roman" w:hAnsi="Times New Roman" w:cs="Times New Roman"/>
          <w:sz w:val="24"/>
        </w:rPr>
        <w:t>. 1987;34(5):442-446. doi:10.1007/BF03014345</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lastRenderedPageBreak/>
        <w:t xml:space="preserve">25. </w:t>
      </w:r>
      <w:r w:rsidRPr="00127BBB">
        <w:rPr>
          <w:rFonts w:ascii="Times New Roman" w:hAnsi="Times New Roman" w:cs="Times New Roman"/>
          <w:sz w:val="24"/>
        </w:rPr>
        <w:tab/>
        <w:t xml:space="preserve">Jung JY, Lee C, Ro H, et al. Sequential occurrence of life-threatening hypokalemia and rebound hyperkalemia associated with barbiturate coma therapy. </w:t>
      </w:r>
      <w:r w:rsidRPr="00127BBB">
        <w:rPr>
          <w:rFonts w:ascii="Times New Roman" w:hAnsi="Times New Roman" w:cs="Times New Roman"/>
          <w:i/>
          <w:iCs/>
          <w:sz w:val="24"/>
        </w:rPr>
        <w:t>Clin Nephrol</w:t>
      </w:r>
      <w:r w:rsidRPr="00127BBB">
        <w:rPr>
          <w:rFonts w:ascii="Times New Roman" w:hAnsi="Times New Roman" w:cs="Times New Roman"/>
          <w:sz w:val="24"/>
        </w:rPr>
        <w:t>. 2009;71(3):333-337. doi:10.5414/cnp71333</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26. </w:t>
      </w:r>
      <w:r w:rsidRPr="00127BBB">
        <w:rPr>
          <w:rFonts w:ascii="Times New Roman" w:hAnsi="Times New Roman" w:cs="Times New Roman"/>
          <w:sz w:val="24"/>
        </w:rPr>
        <w:tab/>
        <w:t xml:space="preserve">Cairns CJS, Thomas B, Fletcher S, Parr MJA, Finfer SR. Life-threatening hyperkalaemia following therapeutic barbiturate coma. </w:t>
      </w:r>
      <w:r w:rsidRPr="00127BBB">
        <w:rPr>
          <w:rFonts w:ascii="Times New Roman" w:hAnsi="Times New Roman" w:cs="Times New Roman"/>
          <w:i/>
          <w:iCs/>
          <w:sz w:val="24"/>
        </w:rPr>
        <w:t>Intensive Care Med</w:t>
      </w:r>
      <w:r w:rsidRPr="00127BBB">
        <w:rPr>
          <w:rFonts w:ascii="Times New Roman" w:hAnsi="Times New Roman" w:cs="Times New Roman"/>
          <w:sz w:val="24"/>
        </w:rPr>
        <w:t>. 2002;28(9):1357-1360. doi:10.1007/s00134-002-1399-y</w:t>
      </w:r>
    </w:p>
    <w:p w:rsidR="00127BBB" w:rsidRPr="00127BBB" w:rsidRDefault="00127BBB" w:rsidP="00127BBB">
      <w:pPr>
        <w:pStyle w:val="Bibliography"/>
        <w:rPr>
          <w:rFonts w:ascii="Times New Roman" w:hAnsi="Times New Roman" w:cs="Times New Roman"/>
          <w:sz w:val="24"/>
        </w:rPr>
      </w:pPr>
      <w:r w:rsidRPr="00127BBB">
        <w:rPr>
          <w:rFonts w:ascii="Times New Roman" w:hAnsi="Times New Roman" w:cs="Times New Roman"/>
          <w:sz w:val="24"/>
        </w:rPr>
        <w:t xml:space="preserve">27. </w:t>
      </w:r>
      <w:r w:rsidRPr="00127BBB">
        <w:rPr>
          <w:rFonts w:ascii="Times New Roman" w:hAnsi="Times New Roman" w:cs="Times New Roman"/>
          <w:sz w:val="24"/>
        </w:rPr>
        <w:tab/>
        <w:t xml:space="preserve">Martyn JAJ, Richtsfeld M. Succinylcholine-induced hyperkalemia in acquired pathologic states: etiologic factors and molecular mechanisms. </w:t>
      </w:r>
      <w:r w:rsidRPr="00127BBB">
        <w:rPr>
          <w:rFonts w:ascii="Times New Roman" w:hAnsi="Times New Roman" w:cs="Times New Roman"/>
          <w:i/>
          <w:iCs/>
          <w:sz w:val="24"/>
        </w:rPr>
        <w:t>Anesthesiology</w:t>
      </w:r>
      <w:r w:rsidRPr="00127BBB">
        <w:rPr>
          <w:rFonts w:ascii="Times New Roman" w:hAnsi="Times New Roman" w:cs="Times New Roman"/>
          <w:sz w:val="24"/>
        </w:rPr>
        <w:t>. 2006;104(1):158-169. doi:10.1097/00000542-200601000-00022</w:t>
      </w:r>
    </w:p>
    <w:p w:rsidR="000F3C0D" w:rsidRDefault="009F6A38" w:rsidP="00FF3AE9">
      <w:pPr>
        <w:jc w:val="both"/>
        <w:rPr>
          <w:rFonts w:ascii="Times New Roman" w:hAnsi="Times New Roman" w:cs="Times New Roman"/>
          <w:sz w:val="24"/>
          <w:szCs w:val="24"/>
        </w:rPr>
      </w:pPr>
      <w:r>
        <w:rPr>
          <w:rFonts w:ascii="Times New Roman" w:hAnsi="Times New Roman" w:cs="Times New Roman"/>
          <w:sz w:val="24"/>
          <w:szCs w:val="24"/>
        </w:rPr>
        <w:fldChar w:fldCharType="end"/>
      </w:r>
      <w:r w:rsidR="000F3C0D">
        <w:rPr>
          <w:rFonts w:ascii="Times New Roman" w:hAnsi="Times New Roman" w:cs="Times New Roman"/>
          <w:sz w:val="24"/>
          <w:szCs w:val="24"/>
        </w:rPr>
        <w:br w:type="page"/>
      </w:r>
    </w:p>
    <w:p w:rsidR="007B001E" w:rsidRDefault="000F3C0D" w:rsidP="007B001E">
      <w:pPr>
        <w:spacing w:before="240" w:after="0" w:line="276" w:lineRule="auto"/>
        <w:jc w:val="both"/>
        <w:rPr>
          <w:rFonts w:ascii="Times New Roman" w:hAnsi="Times New Roman" w:cs="Times New Roman"/>
          <w:sz w:val="24"/>
          <w:szCs w:val="24"/>
        </w:rPr>
      </w:pPr>
      <w:r w:rsidRPr="000F3C0D">
        <w:rPr>
          <w:rFonts w:ascii="Times New Roman" w:hAnsi="Times New Roman" w:cs="Times New Roman"/>
          <w:b/>
          <w:sz w:val="24"/>
          <w:szCs w:val="24"/>
        </w:rPr>
        <w:lastRenderedPageBreak/>
        <w:t>Figure 1</w:t>
      </w:r>
      <w:r w:rsidR="007B001E" w:rsidRPr="000F3C0D">
        <w:rPr>
          <w:rFonts w:ascii="Times New Roman" w:hAnsi="Times New Roman" w:cs="Times New Roman"/>
          <w:b/>
          <w:sz w:val="24"/>
          <w:szCs w:val="24"/>
        </w:rPr>
        <w:t>:</w:t>
      </w:r>
      <w:r w:rsidR="007B001E" w:rsidRPr="007B001E">
        <w:rPr>
          <w:rFonts w:ascii="Times New Roman" w:hAnsi="Times New Roman" w:cs="Times New Roman"/>
          <w:sz w:val="24"/>
          <w:szCs w:val="24"/>
        </w:rPr>
        <w:t xml:space="preserve"> Serum </w:t>
      </w:r>
      <w:r w:rsidR="004D7D18">
        <w:rPr>
          <w:rFonts w:ascii="Times New Roman" w:hAnsi="Times New Roman" w:cs="Times New Roman"/>
          <w:sz w:val="24"/>
          <w:szCs w:val="24"/>
        </w:rPr>
        <w:t>potassium</w:t>
      </w:r>
      <w:r w:rsidR="007B001E" w:rsidRPr="007B001E">
        <w:rPr>
          <w:rFonts w:ascii="Times New Roman" w:hAnsi="Times New Roman" w:cs="Times New Roman"/>
          <w:sz w:val="24"/>
          <w:szCs w:val="24"/>
        </w:rPr>
        <w:t xml:space="preserve"> levels at admission and 48hrs </w:t>
      </w:r>
      <w:r>
        <w:rPr>
          <w:rFonts w:ascii="Times New Roman" w:hAnsi="Times New Roman" w:cs="Times New Roman"/>
          <w:sz w:val="24"/>
          <w:szCs w:val="24"/>
        </w:rPr>
        <w:t>post admission</w:t>
      </w:r>
    </w:p>
    <w:p w:rsidR="004D7D18" w:rsidRPr="007B001E" w:rsidRDefault="004D7D18" w:rsidP="007B001E">
      <w:pPr>
        <w:spacing w:before="240" w:after="0" w:line="276" w:lineRule="auto"/>
        <w:jc w:val="both"/>
        <w:rPr>
          <w:rFonts w:ascii="Times New Roman" w:hAnsi="Times New Roman" w:cs="Times New Roman"/>
          <w:sz w:val="24"/>
          <w:szCs w:val="24"/>
        </w:rPr>
      </w:pPr>
      <w:r>
        <w:rPr>
          <w:noProof/>
          <w:lang w:val="en-US"/>
        </w:rPr>
        <w:drawing>
          <wp:inline distT="0" distB="0" distL="0" distR="0" wp14:anchorId="44D65304" wp14:editId="6D3BA634">
            <wp:extent cx="5526157" cy="3429000"/>
            <wp:effectExtent l="0" t="0" r="1778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B001E" w:rsidRPr="007B001E" w:rsidRDefault="007B001E" w:rsidP="007B001E">
      <w:pPr>
        <w:spacing w:before="240" w:after="0" w:line="276" w:lineRule="auto"/>
        <w:jc w:val="both"/>
        <w:rPr>
          <w:rFonts w:ascii="Times New Roman" w:hAnsi="Times New Roman" w:cs="Times New Roman"/>
          <w:sz w:val="24"/>
          <w:szCs w:val="24"/>
        </w:rPr>
      </w:pPr>
      <w:r w:rsidRPr="007B001E">
        <w:rPr>
          <w:rFonts w:ascii="Times New Roman" w:hAnsi="Times New Roman" w:cs="Times New Roman"/>
          <w:sz w:val="24"/>
          <w:szCs w:val="24"/>
        </w:rPr>
        <w:t xml:space="preserve"> </w:t>
      </w:r>
    </w:p>
    <w:p w:rsidR="00773529" w:rsidRDefault="00773529">
      <w:pPr>
        <w:rPr>
          <w:rFonts w:ascii="Times New Roman" w:hAnsi="Times New Roman" w:cs="Times New Roman"/>
          <w:sz w:val="24"/>
          <w:szCs w:val="24"/>
        </w:rPr>
      </w:pPr>
      <w:r>
        <w:rPr>
          <w:rFonts w:ascii="Times New Roman" w:hAnsi="Times New Roman" w:cs="Times New Roman"/>
          <w:sz w:val="24"/>
          <w:szCs w:val="24"/>
        </w:rPr>
        <w:br w:type="page"/>
      </w:r>
    </w:p>
    <w:p w:rsidR="00527F03" w:rsidRPr="008B74C7" w:rsidRDefault="00527F03" w:rsidP="00527F03">
      <w:pPr>
        <w:pStyle w:val="Caption"/>
        <w:rPr>
          <w:rFonts w:ascii="Arial Narrow" w:hAnsi="Arial Narrow" w:cs="Times New Roman"/>
          <w:b/>
          <w:i w:val="0"/>
          <w:color w:val="auto"/>
          <w:sz w:val="24"/>
          <w:szCs w:val="24"/>
        </w:rPr>
      </w:pPr>
      <w:bookmarkStart w:id="3" w:name="_Toc37950073"/>
      <w:r w:rsidRPr="008B74C7">
        <w:rPr>
          <w:b/>
          <w:i w:val="0"/>
          <w:color w:val="auto"/>
          <w:sz w:val="24"/>
          <w:szCs w:val="24"/>
        </w:rPr>
        <w:lastRenderedPageBreak/>
        <w:t xml:space="preserve">Table </w:t>
      </w:r>
      <w:r>
        <w:rPr>
          <w:b/>
          <w:i w:val="0"/>
          <w:color w:val="auto"/>
          <w:sz w:val="24"/>
          <w:szCs w:val="24"/>
        </w:rPr>
        <w:t>1</w:t>
      </w:r>
      <w:r w:rsidRPr="008B74C7">
        <w:rPr>
          <w:b/>
          <w:i w:val="0"/>
          <w:color w:val="auto"/>
          <w:sz w:val="24"/>
          <w:szCs w:val="24"/>
        </w:rPr>
        <w:t>: Association between serum potassium and clinical parameters</w:t>
      </w:r>
      <w:bookmarkEnd w:id="3"/>
    </w:p>
    <w:tbl>
      <w:tblPr>
        <w:tblW w:w="95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60"/>
        <w:gridCol w:w="1530"/>
        <w:gridCol w:w="1260"/>
        <w:gridCol w:w="1620"/>
        <w:gridCol w:w="990"/>
      </w:tblGrid>
      <w:tr w:rsidR="00527F03" w:rsidTr="00C53E10">
        <w:trPr>
          <w:trHeight w:val="80"/>
        </w:trPr>
        <w:tc>
          <w:tcPr>
            <w:tcW w:w="1985" w:type="dxa"/>
            <w:shd w:val="clear" w:color="auto" w:fill="auto"/>
            <w:noWrap/>
            <w:vAlign w:val="center"/>
          </w:tcPr>
          <w:p w:rsidR="00527F03" w:rsidRPr="009212B7" w:rsidRDefault="00527F03" w:rsidP="00C53E10">
            <w:pPr>
              <w:spacing w:after="0" w:line="276" w:lineRule="auto"/>
              <w:rPr>
                <w:rFonts w:eastAsia="Times New Roman" w:cs="Times New Roman"/>
                <w:b/>
                <w:bCs/>
                <w:color w:val="000000"/>
                <w:lang w:val="en-US"/>
              </w:rPr>
            </w:pPr>
            <w:r w:rsidRPr="009212B7">
              <w:rPr>
                <w:rFonts w:eastAsia="Times New Roman" w:cs="Times New Roman"/>
                <w:b/>
                <w:bCs/>
                <w:color w:val="000000"/>
                <w:lang w:val="en-US"/>
              </w:rPr>
              <w:t>Variable</w:t>
            </w:r>
          </w:p>
        </w:tc>
        <w:tc>
          <w:tcPr>
            <w:tcW w:w="2160" w:type="dxa"/>
          </w:tcPr>
          <w:p w:rsidR="00527F03" w:rsidRPr="009212B7" w:rsidRDefault="00527F03" w:rsidP="00C53E10">
            <w:pPr>
              <w:spacing w:after="0" w:line="276" w:lineRule="auto"/>
              <w:rPr>
                <w:rFonts w:eastAsia="Times New Roman" w:cs="Arial"/>
                <w:b/>
                <w:i/>
                <w:color w:val="000000"/>
                <w:lang w:val="en-US"/>
              </w:rPr>
            </w:pPr>
          </w:p>
        </w:tc>
        <w:tc>
          <w:tcPr>
            <w:tcW w:w="1530" w:type="dxa"/>
            <w:vAlign w:val="center"/>
          </w:tcPr>
          <w:p w:rsidR="00527F03" w:rsidRPr="009212B7" w:rsidRDefault="00527F03" w:rsidP="00C53E10">
            <w:pPr>
              <w:spacing w:after="0" w:line="276" w:lineRule="auto"/>
              <w:jc w:val="center"/>
              <w:rPr>
                <w:rFonts w:eastAsia="Times New Roman" w:cs="Arial"/>
                <w:b/>
                <w:color w:val="000000"/>
                <w:lang w:val="en-US"/>
              </w:rPr>
            </w:pPr>
            <w:r w:rsidRPr="009212B7">
              <w:rPr>
                <w:rFonts w:eastAsia="Times New Roman" w:cs="Arial"/>
                <w:b/>
                <w:color w:val="000000"/>
                <w:lang w:val="en-US"/>
              </w:rPr>
              <w:t>Hypokalemia</w:t>
            </w:r>
          </w:p>
        </w:tc>
        <w:tc>
          <w:tcPr>
            <w:tcW w:w="1260" w:type="dxa"/>
            <w:vAlign w:val="center"/>
          </w:tcPr>
          <w:p w:rsidR="00527F03" w:rsidRPr="009212B7" w:rsidRDefault="00527F03" w:rsidP="00C53E10">
            <w:pPr>
              <w:spacing w:after="0" w:line="276" w:lineRule="auto"/>
              <w:jc w:val="center"/>
              <w:rPr>
                <w:rFonts w:eastAsia="Times New Roman" w:cs="Arial"/>
                <w:b/>
                <w:color w:val="000000"/>
                <w:lang w:val="en-US"/>
              </w:rPr>
            </w:pPr>
            <w:r w:rsidRPr="009212B7">
              <w:rPr>
                <w:rFonts w:eastAsia="Times New Roman" w:cs="Arial"/>
                <w:b/>
                <w:color w:val="000000"/>
                <w:lang w:val="en-US"/>
              </w:rPr>
              <w:t>Normal</w:t>
            </w:r>
          </w:p>
        </w:tc>
        <w:tc>
          <w:tcPr>
            <w:tcW w:w="1620" w:type="dxa"/>
          </w:tcPr>
          <w:p w:rsidR="00527F03" w:rsidRPr="009212B7" w:rsidRDefault="00527F03" w:rsidP="00C53E10">
            <w:pPr>
              <w:spacing w:after="0" w:line="276" w:lineRule="auto"/>
              <w:jc w:val="center"/>
              <w:rPr>
                <w:rFonts w:eastAsia="Times New Roman" w:cs="Arial"/>
                <w:b/>
                <w:color w:val="000000"/>
                <w:lang w:val="en-US"/>
              </w:rPr>
            </w:pPr>
            <w:r w:rsidRPr="009212B7">
              <w:rPr>
                <w:rFonts w:eastAsia="Times New Roman" w:cs="Arial"/>
                <w:b/>
                <w:color w:val="000000"/>
                <w:lang w:val="en-US"/>
              </w:rPr>
              <w:t>Hyperkalemia</w:t>
            </w:r>
          </w:p>
        </w:tc>
        <w:tc>
          <w:tcPr>
            <w:tcW w:w="990" w:type="dxa"/>
            <w:shd w:val="clear" w:color="auto" w:fill="auto"/>
            <w:vAlign w:val="bottom"/>
          </w:tcPr>
          <w:p w:rsidR="00527F03" w:rsidRPr="009212B7" w:rsidRDefault="00527F03" w:rsidP="00C53E10">
            <w:pPr>
              <w:spacing w:after="0" w:line="276" w:lineRule="auto"/>
              <w:jc w:val="center"/>
              <w:rPr>
                <w:rFonts w:eastAsia="Times New Roman" w:cs="Arial"/>
                <w:b/>
                <w:color w:val="000000"/>
                <w:lang w:val="en-US"/>
              </w:rPr>
            </w:pPr>
            <w:r w:rsidRPr="009212B7">
              <w:rPr>
                <w:rFonts w:eastAsia="Times New Roman" w:cs="Arial"/>
                <w:b/>
                <w:color w:val="000000"/>
                <w:lang w:val="en-US"/>
              </w:rPr>
              <w:t>P value</w:t>
            </w:r>
          </w:p>
        </w:tc>
      </w:tr>
      <w:tr w:rsidR="00527F03" w:rsidTr="00C53E10">
        <w:trPr>
          <w:trHeight w:val="197"/>
        </w:trPr>
        <w:tc>
          <w:tcPr>
            <w:tcW w:w="1985" w:type="dxa"/>
            <w:vMerge w:val="restart"/>
            <w:shd w:val="clear" w:color="auto" w:fill="auto"/>
            <w:hideMark/>
          </w:tcPr>
          <w:p w:rsidR="00527F03" w:rsidRPr="009212B7" w:rsidRDefault="00527F03" w:rsidP="00C53E10">
            <w:pPr>
              <w:spacing w:after="0" w:line="276" w:lineRule="auto"/>
              <w:rPr>
                <w:rFonts w:eastAsia="Times New Roman" w:cs="Arial"/>
                <w:color w:val="000000"/>
                <w:lang w:val="en-US"/>
              </w:rPr>
            </w:pPr>
            <w:r w:rsidRPr="009212B7">
              <w:rPr>
                <w:rFonts w:eastAsia="Times New Roman" w:cs="Arial"/>
                <w:color w:val="000000"/>
                <w:lang w:val="en-US"/>
              </w:rPr>
              <w:t>Age</w:t>
            </w:r>
            <w:r>
              <w:rPr>
                <w:rFonts w:eastAsia="Times New Roman" w:cs="Arial"/>
                <w:color w:val="000000"/>
                <w:lang w:val="en-US"/>
              </w:rPr>
              <w:t xml:space="preserve"> (</w:t>
            </w:r>
            <w:proofErr w:type="spellStart"/>
            <w:r>
              <w:rPr>
                <w:rFonts w:eastAsia="Times New Roman" w:cs="Arial"/>
                <w:color w:val="000000"/>
                <w:lang w:val="en-US"/>
              </w:rPr>
              <w:t>yrs</w:t>
            </w:r>
            <w:proofErr w:type="spellEnd"/>
            <w:r>
              <w:rPr>
                <w:rFonts w:eastAsia="Times New Roman" w:cs="Arial"/>
                <w:color w:val="000000"/>
                <w:lang w:val="en-US"/>
              </w:rPr>
              <w:t>)</w:t>
            </w: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Admission</w:t>
            </w:r>
          </w:p>
        </w:tc>
        <w:tc>
          <w:tcPr>
            <w:tcW w:w="153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37.5±10.2</w:t>
            </w:r>
          </w:p>
        </w:tc>
        <w:tc>
          <w:tcPr>
            <w:tcW w:w="126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31.0±15.4</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31.3±15.7</w:t>
            </w:r>
          </w:p>
        </w:tc>
        <w:tc>
          <w:tcPr>
            <w:tcW w:w="99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0.168</w:t>
            </w:r>
          </w:p>
        </w:tc>
      </w:tr>
      <w:tr w:rsidR="00527F03" w:rsidTr="00C53E10">
        <w:trPr>
          <w:trHeight w:val="70"/>
        </w:trPr>
        <w:tc>
          <w:tcPr>
            <w:tcW w:w="1985" w:type="dxa"/>
            <w:vMerge/>
            <w:shd w:val="clear" w:color="auto" w:fill="auto"/>
            <w:vAlign w:val="center"/>
            <w:hideMark/>
          </w:tcPr>
          <w:p w:rsidR="00527F03" w:rsidRPr="009212B7" w:rsidRDefault="00527F03" w:rsidP="00C53E10">
            <w:pPr>
              <w:spacing w:after="0" w:line="276" w:lineRule="auto"/>
              <w:rPr>
                <w:rFonts w:eastAsia="Times New Roman" w:cs="Arial"/>
                <w:color w:val="000000"/>
                <w:lang w:val="en-US"/>
              </w:rPr>
            </w:pP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 xml:space="preserve">48hrs </w:t>
            </w:r>
            <w:r>
              <w:rPr>
                <w:rFonts w:eastAsia="Times New Roman" w:cs="Arial"/>
                <w:i/>
                <w:color w:val="000000"/>
                <w:lang w:val="en-US"/>
              </w:rPr>
              <w:t>post admission</w:t>
            </w:r>
          </w:p>
        </w:tc>
        <w:tc>
          <w:tcPr>
            <w:tcW w:w="153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35.0±16.4</w:t>
            </w:r>
          </w:p>
        </w:tc>
        <w:tc>
          <w:tcPr>
            <w:tcW w:w="126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33.9±13.5</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24.8±14.7</w:t>
            </w:r>
          </w:p>
        </w:tc>
        <w:tc>
          <w:tcPr>
            <w:tcW w:w="99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0.353</w:t>
            </w:r>
          </w:p>
        </w:tc>
      </w:tr>
      <w:tr w:rsidR="00527F03" w:rsidTr="00C53E10">
        <w:trPr>
          <w:trHeight w:val="242"/>
        </w:trPr>
        <w:tc>
          <w:tcPr>
            <w:tcW w:w="1985" w:type="dxa"/>
            <w:vMerge w:val="restart"/>
            <w:shd w:val="clear" w:color="auto" w:fill="auto"/>
            <w:hideMark/>
          </w:tcPr>
          <w:p w:rsidR="00527F03" w:rsidRPr="009212B7" w:rsidRDefault="00527F03" w:rsidP="00C53E10">
            <w:pPr>
              <w:spacing w:after="0" w:line="276" w:lineRule="auto"/>
              <w:rPr>
                <w:rFonts w:eastAsia="Times New Roman" w:cs="Arial"/>
                <w:color w:val="000000"/>
                <w:lang w:val="en-US"/>
              </w:rPr>
            </w:pPr>
            <w:r w:rsidRPr="009212B7">
              <w:rPr>
                <w:rFonts w:eastAsia="Times New Roman" w:cs="Arial"/>
                <w:color w:val="000000"/>
                <w:lang w:val="en-US"/>
              </w:rPr>
              <w:t>Time from injury to presentation (</w:t>
            </w:r>
            <w:proofErr w:type="spellStart"/>
            <w:r w:rsidRPr="009212B7">
              <w:rPr>
                <w:rFonts w:eastAsia="Times New Roman" w:cs="Arial"/>
                <w:color w:val="000000"/>
                <w:lang w:val="en-US"/>
              </w:rPr>
              <w:t>hrs</w:t>
            </w:r>
            <w:proofErr w:type="spellEnd"/>
            <w:r w:rsidRPr="009212B7">
              <w:rPr>
                <w:rFonts w:eastAsia="Times New Roman" w:cs="Arial"/>
                <w:color w:val="000000"/>
                <w:lang w:val="en-US"/>
              </w:rPr>
              <w:t>)</w:t>
            </w: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Admission</w:t>
            </w:r>
          </w:p>
        </w:tc>
        <w:tc>
          <w:tcPr>
            <w:tcW w:w="153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18.1±41.1</w:t>
            </w:r>
          </w:p>
        </w:tc>
        <w:tc>
          <w:tcPr>
            <w:tcW w:w="126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23.9±46.6</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34.1±34.8</w:t>
            </w:r>
          </w:p>
        </w:tc>
        <w:tc>
          <w:tcPr>
            <w:tcW w:w="99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0.664</w:t>
            </w:r>
          </w:p>
        </w:tc>
      </w:tr>
      <w:tr w:rsidR="00527F03" w:rsidTr="00C53E10">
        <w:trPr>
          <w:trHeight w:val="233"/>
        </w:trPr>
        <w:tc>
          <w:tcPr>
            <w:tcW w:w="1985" w:type="dxa"/>
            <w:vMerge/>
            <w:shd w:val="clear" w:color="auto" w:fill="auto"/>
            <w:vAlign w:val="center"/>
            <w:hideMark/>
          </w:tcPr>
          <w:p w:rsidR="00527F03" w:rsidRPr="009212B7" w:rsidRDefault="00527F03" w:rsidP="00C53E10">
            <w:pPr>
              <w:spacing w:after="0" w:line="276" w:lineRule="auto"/>
              <w:rPr>
                <w:rFonts w:eastAsia="Times New Roman" w:cs="Arial"/>
                <w:color w:val="000000"/>
                <w:lang w:val="en-US"/>
              </w:rPr>
            </w:pP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 xml:space="preserve">48hrs </w:t>
            </w:r>
            <w:r>
              <w:rPr>
                <w:rFonts w:eastAsia="Times New Roman" w:cs="Arial"/>
                <w:i/>
                <w:color w:val="000000"/>
                <w:lang w:val="en-US"/>
              </w:rPr>
              <w:t>post admission</w:t>
            </w:r>
          </w:p>
        </w:tc>
        <w:tc>
          <w:tcPr>
            <w:tcW w:w="153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31.2±47.1</w:t>
            </w:r>
          </w:p>
        </w:tc>
        <w:tc>
          <w:tcPr>
            <w:tcW w:w="126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23.4±38.3</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9.3±7.1</w:t>
            </w:r>
          </w:p>
        </w:tc>
        <w:tc>
          <w:tcPr>
            <w:tcW w:w="99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0.469</w:t>
            </w:r>
          </w:p>
        </w:tc>
      </w:tr>
      <w:tr w:rsidR="00527F03" w:rsidTr="00C53E10">
        <w:trPr>
          <w:trHeight w:val="188"/>
        </w:trPr>
        <w:tc>
          <w:tcPr>
            <w:tcW w:w="1985" w:type="dxa"/>
            <w:vMerge w:val="restart"/>
            <w:shd w:val="clear" w:color="auto" w:fill="auto"/>
            <w:hideMark/>
          </w:tcPr>
          <w:p w:rsidR="00527F03" w:rsidRPr="009212B7" w:rsidRDefault="00527F03" w:rsidP="00C53E10">
            <w:pPr>
              <w:spacing w:after="0" w:line="276" w:lineRule="auto"/>
              <w:rPr>
                <w:rFonts w:eastAsia="Times New Roman" w:cs="Arial"/>
                <w:color w:val="000000"/>
                <w:lang w:val="en-US"/>
              </w:rPr>
            </w:pPr>
            <w:r w:rsidRPr="009212B7">
              <w:rPr>
                <w:rFonts w:eastAsia="Times New Roman" w:cs="Arial"/>
                <w:color w:val="000000"/>
                <w:lang w:val="en-US"/>
              </w:rPr>
              <w:t>Pre-hospital use of IV fluids</w:t>
            </w: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Admission</w:t>
            </w:r>
          </w:p>
        </w:tc>
        <w:tc>
          <w:tcPr>
            <w:tcW w:w="1530" w:type="dxa"/>
            <w:shd w:val="clear" w:color="auto" w:fill="auto"/>
            <w:noWrap/>
            <w:hideMark/>
          </w:tcPr>
          <w:p w:rsidR="00527F03" w:rsidRPr="009212B7" w:rsidRDefault="00527F03" w:rsidP="00C53E10">
            <w:pPr>
              <w:autoSpaceDE w:val="0"/>
              <w:autoSpaceDN w:val="0"/>
              <w:adjustRightInd w:val="0"/>
              <w:spacing w:after="0" w:line="276" w:lineRule="auto"/>
              <w:jc w:val="center"/>
              <w:rPr>
                <w:rFonts w:cs="Arial"/>
                <w:color w:val="000000"/>
                <w:lang w:val="en-US"/>
              </w:rPr>
            </w:pPr>
            <w:r w:rsidRPr="009212B7">
              <w:rPr>
                <w:rFonts w:cs="Arial"/>
                <w:color w:val="000000"/>
                <w:lang w:val="en-US"/>
              </w:rPr>
              <w:t>42.3%</w:t>
            </w:r>
          </w:p>
        </w:tc>
        <w:tc>
          <w:tcPr>
            <w:tcW w:w="1260" w:type="dxa"/>
            <w:shd w:val="clear" w:color="auto" w:fill="auto"/>
            <w:noWrap/>
            <w:hideMark/>
          </w:tcPr>
          <w:p w:rsidR="00527F03" w:rsidRPr="009212B7" w:rsidRDefault="00527F03" w:rsidP="00C53E10">
            <w:pPr>
              <w:autoSpaceDE w:val="0"/>
              <w:autoSpaceDN w:val="0"/>
              <w:adjustRightInd w:val="0"/>
              <w:spacing w:after="0" w:line="276" w:lineRule="auto"/>
              <w:jc w:val="center"/>
              <w:rPr>
                <w:rFonts w:cs="Arial"/>
                <w:color w:val="000000"/>
                <w:lang w:val="en-US"/>
              </w:rPr>
            </w:pPr>
            <w:r w:rsidRPr="009212B7">
              <w:rPr>
                <w:rFonts w:cs="Arial"/>
                <w:color w:val="000000"/>
                <w:lang w:val="en-US"/>
              </w:rPr>
              <w:t>60.0%</w:t>
            </w:r>
          </w:p>
        </w:tc>
        <w:tc>
          <w:tcPr>
            <w:tcW w:w="1620" w:type="dxa"/>
          </w:tcPr>
          <w:p w:rsidR="00527F03" w:rsidRPr="009212B7" w:rsidRDefault="00527F03" w:rsidP="00C53E10">
            <w:pPr>
              <w:autoSpaceDE w:val="0"/>
              <w:autoSpaceDN w:val="0"/>
              <w:adjustRightInd w:val="0"/>
              <w:spacing w:after="0" w:line="276" w:lineRule="auto"/>
              <w:jc w:val="center"/>
              <w:rPr>
                <w:rFonts w:cs="Arial"/>
                <w:color w:val="000000"/>
                <w:lang w:val="en-US"/>
              </w:rPr>
            </w:pPr>
            <w:r w:rsidRPr="009212B7">
              <w:rPr>
                <w:rFonts w:cs="Arial"/>
                <w:color w:val="000000"/>
                <w:lang w:val="en-US"/>
              </w:rPr>
              <w:t>25.0%</w:t>
            </w:r>
          </w:p>
        </w:tc>
        <w:tc>
          <w:tcPr>
            <w:tcW w:w="99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0.066</w:t>
            </w:r>
          </w:p>
        </w:tc>
      </w:tr>
      <w:tr w:rsidR="00527F03" w:rsidTr="00C53E10">
        <w:trPr>
          <w:trHeight w:val="170"/>
        </w:trPr>
        <w:tc>
          <w:tcPr>
            <w:tcW w:w="1985" w:type="dxa"/>
            <w:vMerge/>
            <w:shd w:val="clear" w:color="auto" w:fill="auto"/>
            <w:vAlign w:val="center"/>
            <w:hideMark/>
          </w:tcPr>
          <w:p w:rsidR="00527F03" w:rsidRPr="009212B7" w:rsidRDefault="00527F03" w:rsidP="00C53E10">
            <w:pPr>
              <w:spacing w:after="0" w:line="276" w:lineRule="auto"/>
              <w:rPr>
                <w:rFonts w:eastAsia="Times New Roman" w:cs="Arial"/>
                <w:color w:val="000000"/>
                <w:lang w:val="en-US"/>
              </w:rPr>
            </w:pP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 xml:space="preserve">48hrs </w:t>
            </w:r>
            <w:r>
              <w:rPr>
                <w:rFonts w:eastAsia="Times New Roman" w:cs="Arial"/>
                <w:i/>
                <w:color w:val="000000"/>
                <w:lang w:val="en-US"/>
              </w:rPr>
              <w:t>post admission</w:t>
            </w:r>
          </w:p>
        </w:tc>
        <w:tc>
          <w:tcPr>
            <w:tcW w:w="1530" w:type="dxa"/>
            <w:shd w:val="clear" w:color="auto" w:fill="auto"/>
            <w:noWrap/>
            <w:hideMark/>
          </w:tcPr>
          <w:p w:rsidR="00527F03" w:rsidRPr="009212B7" w:rsidRDefault="00527F03" w:rsidP="00C53E10">
            <w:pPr>
              <w:autoSpaceDE w:val="0"/>
              <w:autoSpaceDN w:val="0"/>
              <w:adjustRightInd w:val="0"/>
              <w:spacing w:after="0" w:line="276" w:lineRule="auto"/>
              <w:jc w:val="center"/>
              <w:rPr>
                <w:rFonts w:cs="Arial"/>
                <w:color w:val="000000"/>
                <w:lang w:val="en-US"/>
              </w:rPr>
            </w:pPr>
            <w:r w:rsidRPr="009212B7">
              <w:rPr>
                <w:rFonts w:cs="Arial"/>
                <w:color w:val="000000"/>
                <w:lang w:val="en-US"/>
              </w:rPr>
              <w:t>61.9%</w:t>
            </w:r>
          </w:p>
        </w:tc>
        <w:tc>
          <w:tcPr>
            <w:tcW w:w="1260" w:type="dxa"/>
            <w:shd w:val="clear" w:color="auto" w:fill="auto"/>
            <w:noWrap/>
            <w:hideMark/>
          </w:tcPr>
          <w:p w:rsidR="00527F03" w:rsidRPr="009212B7" w:rsidRDefault="00527F03" w:rsidP="00C53E10">
            <w:pPr>
              <w:autoSpaceDE w:val="0"/>
              <w:autoSpaceDN w:val="0"/>
              <w:adjustRightInd w:val="0"/>
              <w:spacing w:after="0" w:line="276" w:lineRule="auto"/>
              <w:jc w:val="center"/>
              <w:rPr>
                <w:rFonts w:cs="Arial"/>
                <w:color w:val="000000"/>
                <w:lang w:val="en-US"/>
              </w:rPr>
            </w:pPr>
            <w:r w:rsidRPr="009212B7">
              <w:rPr>
                <w:rFonts w:cs="Arial"/>
                <w:color w:val="000000"/>
                <w:lang w:val="en-US"/>
              </w:rPr>
              <w:t>57.4%</w:t>
            </w:r>
          </w:p>
        </w:tc>
        <w:tc>
          <w:tcPr>
            <w:tcW w:w="1620" w:type="dxa"/>
          </w:tcPr>
          <w:p w:rsidR="00527F03" w:rsidRPr="009212B7" w:rsidRDefault="00527F03" w:rsidP="00C53E10">
            <w:pPr>
              <w:autoSpaceDE w:val="0"/>
              <w:autoSpaceDN w:val="0"/>
              <w:adjustRightInd w:val="0"/>
              <w:spacing w:after="0" w:line="276" w:lineRule="auto"/>
              <w:jc w:val="center"/>
              <w:rPr>
                <w:rFonts w:cs="Arial"/>
                <w:color w:val="000000"/>
                <w:lang w:val="en-US"/>
              </w:rPr>
            </w:pPr>
            <w:r w:rsidRPr="009212B7">
              <w:rPr>
                <w:rFonts w:cs="Arial"/>
                <w:color w:val="000000"/>
                <w:lang w:val="en-US"/>
              </w:rPr>
              <w:t>66.7%</w:t>
            </w:r>
          </w:p>
        </w:tc>
        <w:tc>
          <w:tcPr>
            <w:tcW w:w="99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0.871</w:t>
            </w:r>
          </w:p>
        </w:tc>
      </w:tr>
      <w:tr w:rsidR="00527F03" w:rsidTr="00C53E10">
        <w:trPr>
          <w:trHeight w:val="215"/>
        </w:trPr>
        <w:tc>
          <w:tcPr>
            <w:tcW w:w="1985" w:type="dxa"/>
            <w:vMerge w:val="restart"/>
            <w:shd w:val="clear" w:color="auto" w:fill="auto"/>
            <w:hideMark/>
          </w:tcPr>
          <w:p w:rsidR="00527F03" w:rsidRPr="009212B7" w:rsidRDefault="00527F03" w:rsidP="00C53E10">
            <w:pPr>
              <w:spacing w:after="0" w:line="276" w:lineRule="auto"/>
              <w:rPr>
                <w:rFonts w:eastAsia="Times New Roman" w:cs="Arial"/>
                <w:color w:val="000000"/>
                <w:lang w:val="en-US"/>
              </w:rPr>
            </w:pPr>
            <w:r w:rsidRPr="009212B7">
              <w:rPr>
                <w:rFonts w:eastAsia="Times New Roman" w:cs="Arial"/>
                <w:color w:val="000000"/>
                <w:lang w:val="en-US"/>
              </w:rPr>
              <w:t>Pre-hospital use of Mannitol</w:t>
            </w: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Admission</w:t>
            </w:r>
          </w:p>
        </w:tc>
        <w:tc>
          <w:tcPr>
            <w:tcW w:w="1530" w:type="dxa"/>
            <w:shd w:val="clear" w:color="auto" w:fill="auto"/>
            <w:noWrap/>
            <w:hideMark/>
          </w:tcPr>
          <w:p w:rsidR="00527F03" w:rsidRPr="009212B7" w:rsidRDefault="00527F03" w:rsidP="00C53E10">
            <w:pPr>
              <w:autoSpaceDE w:val="0"/>
              <w:autoSpaceDN w:val="0"/>
              <w:adjustRightInd w:val="0"/>
              <w:spacing w:after="0" w:line="276" w:lineRule="auto"/>
              <w:jc w:val="center"/>
              <w:rPr>
                <w:rFonts w:cs="Arial"/>
                <w:color w:val="000000"/>
                <w:lang w:val="en-US"/>
              </w:rPr>
            </w:pPr>
            <w:r w:rsidRPr="009212B7">
              <w:rPr>
                <w:rFonts w:cs="Arial"/>
                <w:color w:val="000000"/>
                <w:lang w:val="en-US"/>
              </w:rPr>
              <w:t>7.7%</w:t>
            </w:r>
          </w:p>
        </w:tc>
        <w:tc>
          <w:tcPr>
            <w:tcW w:w="1260" w:type="dxa"/>
            <w:shd w:val="clear" w:color="auto" w:fill="auto"/>
            <w:noWrap/>
            <w:hideMark/>
          </w:tcPr>
          <w:p w:rsidR="00527F03" w:rsidRPr="009212B7" w:rsidRDefault="00527F03" w:rsidP="00C53E10">
            <w:pPr>
              <w:autoSpaceDE w:val="0"/>
              <w:autoSpaceDN w:val="0"/>
              <w:adjustRightInd w:val="0"/>
              <w:spacing w:after="0" w:line="276" w:lineRule="auto"/>
              <w:jc w:val="center"/>
              <w:rPr>
                <w:rFonts w:cs="Arial"/>
                <w:color w:val="000000"/>
                <w:lang w:val="en-US"/>
              </w:rPr>
            </w:pPr>
            <w:r w:rsidRPr="009212B7">
              <w:rPr>
                <w:rFonts w:cs="Arial"/>
                <w:color w:val="000000"/>
                <w:lang w:val="en-US"/>
              </w:rPr>
              <w:t>15.6%</w:t>
            </w:r>
          </w:p>
        </w:tc>
        <w:tc>
          <w:tcPr>
            <w:tcW w:w="1620" w:type="dxa"/>
          </w:tcPr>
          <w:p w:rsidR="00527F03" w:rsidRPr="009212B7" w:rsidRDefault="00527F03" w:rsidP="00C53E10">
            <w:pPr>
              <w:autoSpaceDE w:val="0"/>
              <w:autoSpaceDN w:val="0"/>
              <w:adjustRightInd w:val="0"/>
              <w:spacing w:after="0" w:line="276" w:lineRule="auto"/>
              <w:jc w:val="center"/>
              <w:rPr>
                <w:rFonts w:cs="Arial"/>
                <w:color w:val="000000"/>
                <w:lang w:val="en-US"/>
              </w:rPr>
            </w:pPr>
          </w:p>
        </w:tc>
        <w:tc>
          <w:tcPr>
            <w:tcW w:w="99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0.305</w:t>
            </w:r>
          </w:p>
        </w:tc>
      </w:tr>
      <w:tr w:rsidR="00527F03" w:rsidTr="00C53E10">
        <w:trPr>
          <w:trHeight w:val="70"/>
        </w:trPr>
        <w:tc>
          <w:tcPr>
            <w:tcW w:w="1985" w:type="dxa"/>
            <w:vMerge/>
            <w:shd w:val="clear" w:color="auto" w:fill="auto"/>
            <w:vAlign w:val="center"/>
          </w:tcPr>
          <w:p w:rsidR="00527F03" w:rsidRPr="009212B7" w:rsidRDefault="00527F03" w:rsidP="00C53E10">
            <w:pPr>
              <w:spacing w:after="0" w:line="276" w:lineRule="auto"/>
              <w:rPr>
                <w:rFonts w:eastAsia="Times New Roman" w:cs="Arial"/>
                <w:color w:val="000000"/>
                <w:lang w:val="en-US"/>
              </w:rPr>
            </w:pP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 xml:space="preserve">48hrs </w:t>
            </w:r>
            <w:r>
              <w:rPr>
                <w:rFonts w:eastAsia="Times New Roman" w:cs="Arial"/>
                <w:i/>
                <w:color w:val="000000"/>
                <w:lang w:val="en-US"/>
              </w:rPr>
              <w:t>post admission</w:t>
            </w:r>
          </w:p>
        </w:tc>
        <w:tc>
          <w:tcPr>
            <w:tcW w:w="1530" w:type="dxa"/>
            <w:shd w:val="clear" w:color="auto" w:fill="auto"/>
            <w:noWrap/>
          </w:tcPr>
          <w:p w:rsidR="00527F03" w:rsidRPr="009212B7" w:rsidRDefault="00527F03" w:rsidP="00C53E10">
            <w:pPr>
              <w:autoSpaceDE w:val="0"/>
              <w:autoSpaceDN w:val="0"/>
              <w:adjustRightInd w:val="0"/>
              <w:spacing w:after="0" w:line="276" w:lineRule="auto"/>
              <w:jc w:val="center"/>
              <w:rPr>
                <w:rFonts w:cs="Arial"/>
                <w:color w:val="000000"/>
                <w:lang w:val="en-US"/>
              </w:rPr>
            </w:pPr>
            <w:r w:rsidRPr="009212B7">
              <w:rPr>
                <w:rFonts w:cs="Arial"/>
                <w:color w:val="000000"/>
                <w:lang w:val="en-US"/>
              </w:rPr>
              <w:t>19.0%</w:t>
            </w:r>
          </w:p>
        </w:tc>
        <w:tc>
          <w:tcPr>
            <w:tcW w:w="1260" w:type="dxa"/>
            <w:shd w:val="clear" w:color="auto" w:fill="auto"/>
            <w:noWrap/>
          </w:tcPr>
          <w:p w:rsidR="00527F03" w:rsidRPr="009212B7" w:rsidRDefault="00527F03" w:rsidP="00C53E10">
            <w:pPr>
              <w:autoSpaceDE w:val="0"/>
              <w:autoSpaceDN w:val="0"/>
              <w:adjustRightInd w:val="0"/>
              <w:spacing w:after="0" w:line="276" w:lineRule="auto"/>
              <w:jc w:val="center"/>
              <w:rPr>
                <w:rFonts w:cs="Arial"/>
                <w:color w:val="000000"/>
                <w:lang w:val="en-US"/>
              </w:rPr>
            </w:pPr>
            <w:r w:rsidRPr="009212B7">
              <w:rPr>
                <w:rFonts w:cs="Arial"/>
                <w:color w:val="000000"/>
                <w:lang w:val="en-US"/>
              </w:rPr>
              <w:t>13.1%</w:t>
            </w:r>
          </w:p>
        </w:tc>
        <w:tc>
          <w:tcPr>
            <w:tcW w:w="1620" w:type="dxa"/>
          </w:tcPr>
          <w:p w:rsidR="00527F03" w:rsidRPr="009212B7" w:rsidRDefault="00527F03" w:rsidP="00C53E10">
            <w:pPr>
              <w:autoSpaceDE w:val="0"/>
              <w:autoSpaceDN w:val="0"/>
              <w:adjustRightInd w:val="0"/>
              <w:spacing w:after="0" w:line="276" w:lineRule="auto"/>
              <w:jc w:val="center"/>
              <w:rPr>
                <w:rFonts w:cs="Arial"/>
                <w:color w:val="000000"/>
                <w:lang w:val="en-US"/>
              </w:rPr>
            </w:pPr>
          </w:p>
        </w:tc>
        <w:tc>
          <w:tcPr>
            <w:tcW w:w="99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0.485</w:t>
            </w:r>
          </w:p>
        </w:tc>
      </w:tr>
      <w:tr w:rsidR="00527F03" w:rsidTr="00C53E10">
        <w:trPr>
          <w:trHeight w:val="98"/>
        </w:trPr>
        <w:tc>
          <w:tcPr>
            <w:tcW w:w="1985" w:type="dxa"/>
            <w:vMerge w:val="restart"/>
            <w:shd w:val="clear" w:color="auto" w:fill="auto"/>
          </w:tcPr>
          <w:p w:rsidR="00527F03" w:rsidRPr="009212B7" w:rsidRDefault="00527F03" w:rsidP="00C53E10">
            <w:pPr>
              <w:spacing w:after="0" w:line="276" w:lineRule="auto"/>
              <w:rPr>
                <w:rFonts w:eastAsia="Times New Roman" w:cs="Arial"/>
                <w:color w:val="000000"/>
                <w:lang w:val="en-US"/>
              </w:rPr>
            </w:pPr>
            <w:r w:rsidRPr="009212B7">
              <w:rPr>
                <w:rFonts w:eastAsia="Times New Roman" w:cs="Arial"/>
                <w:color w:val="000000"/>
                <w:lang w:val="en-US"/>
              </w:rPr>
              <w:t xml:space="preserve">Systolic BP </w:t>
            </w:r>
          </w:p>
          <w:p w:rsidR="00527F03" w:rsidRPr="009212B7" w:rsidRDefault="00527F03" w:rsidP="00C53E10">
            <w:pPr>
              <w:spacing w:after="0" w:line="276" w:lineRule="auto"/>
              <w:rPr>
                <w:rFonts w:eastAsia="Times New Roman" w:cs="Arial"/>
                <w:color w:val="000000"/>
                <w:lang w:val="en-US"/>
              </w:rPr>
            </w:pPr>
            <w:r w:rsidRPr="009212B7">
              <w:rPr>
                <w:rFonts w:eastAsia="Times New Roman" w:cs="Arial"/>
                <w:color w:val="000000"/>
                <w:lang w:val="en-US"/>
              </w:rPr>
              <w:t>(mmHg)</w:t>
            </w: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Admission</w:t>
            </w:r>
          </w:p>
        </w:tc>
        <w:tc>
          <w:tcPr>
            <w:tcW w:w="153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131.4±27.2</w:t>
            </w:r>
          </w:p>
        </w:tc>
        <w:tc>
          <w:tcPr>
            <w:tcW w:w="126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126.3±25.5</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126.8±13.1</w:t>
            </w:r>
          </w:p>
        </w:tc>
        <w:tc>
          <w:tcPr>
            <w:tcW w:w="99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0.657</w:t>
            </w:r>
          </w:p>
        </w:tc>
      </w:tr>
      <w:tr w:rsidR="00527F03" w:rsidTr="00C53E10">
        <w:trPr>
          <w:trHeight w:val="125"/>
        </w:trPr>
        <w:tc>
          <w:tcPr>
            <w:tcW w:w="1985" w:type="dxa"/>
            <w:vMerge/>
            <w:shd w:val="clear" w:color="auto" w:fill="auto"/>
          </w:tcPr>
          <w:p w:rsidR="00527F03" w:rsidRPr="009212B7" w:rsidRDefault="00527F03" w:rsidP="00C53E10">
            <w:pPr>
              <w:spacing w:after="0" w:line="276" w:lineRule="auto"/>
              <w:rPr>
                <w:rFonts w:eastAsia="Times New Roman" w:cs="Arial"/>
                <w:color w:val="000000"/>
                <w:lang w:val="en-US"/>
              </w:rPr>
            </w:pP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 xml:space="preserve">48hrs </w:t>
            </w:r>
            <w:r>
              <w:rPr>
                <w:rFonts w:eastAsia="Times New Roman" w:cs="Arial"/>
                <w:i/>
                <w:color w:val="000000"/>
                <w:lang w:val="en-US"/>
              </w:rPr>
              <w:t>post admission</w:t>
            </w:r>
          </w:p>
        </w:tc>
        <w:tc>
          <w:tcPr>
            <w:tcW w:w="153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135.5±26.8</w:t>
            </w:r>
          </w:p>
        </w:tc>
        <w:tc>
          <w:tcPr>
            <w:tcW w:w="126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129.2±22.7</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116.3±7.3</w:t>
            </w:r>
          </w:p>
        </w:tc>
        <w:tc>
          <w:tcPr>
            <w:tcW w:w="99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0.194</w:t>
            </w:r>
          </w:p>
        </w:tc>
      </w:tr>
      <w:tr w:rsidR="00527F03" w:rsidTr="00C53E10">
        <w:trPr>
          <w:trHeight w:val="70"/>
        </w:trPr>
        <w:tc>
          <w:tcPr>
            <w:tcW w:w="1985" w:type="dxa"/>
            <w:vMerge w:val="restart"/>
            <w:shd w:val="clear" w:color="auto" w:fill="auto"/>
          </w:tcPr>
          <w:p w:rsidR="00527F03" w:rsidRPr="009212B7" w:rsidRDefault="00527F03" w:rsidP="00C53E10">
            <w:pPr>
              <w:spacing w:after="0" w:line="276" w:lineRule="auto"/>
              <w:rPr>
                <w:rFonts w:eastAsia="Times New Roman" w:cs="Arial"/>
                <w:color w:val="000000"/>
                <w:lang w:val="en-US"/>
              </w:rPr>
            </w:pPr>
            <w:r w:rsidRPr="009212B7">
              <w:rPr>
                <w:rFonts w:eastAsia="Times New Roman" w:cs="Arial"/>
                <w:color w:val="000000"/>
                <w:lang w:val="en-US"/>
              </w:rPr>
              <w:t>Diastolic BP (mmHg)</w:t>
            </w: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Admission</w:t>
            </w:r>
          </w:p>
        </w:tc>
        <w:tc>
          <w:tcPr>
            <w:tcW w:w="153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78.3±19.1</w:t>
            </w:r>
          </w:p>
        </w:tc>
        <w:tc>
          <w:tcPr>
            <w:tcW w:w="126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75.5±18.0</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72.4±14.2</w:t>
            </w:r>
          </w:p>
        </w:tc>
        <w:tc>
          <w:tcPr>
            <w:tcW w:w="99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0.662</w:t>
            </w:r>
          </w:p>
        </w:tc>
      </w:tr>
      <w:tr w:rsidR="00527F03" w:rsidTr="00C53E10">
        <w:trPr>
          <w:trHeight w:val="143"/>
        </w:trPr>
        <w:tc>
          <w:tcPr>
            <w:tcW w:w="1985" w:type="dxa"/>
            <w:vMerge/>
            <w:shd w:val="clear" w:color="auto" w:fill="auto"/>
            <w:hideMark/>
          </w:tcPr>
          <w:p w:rsidR="00527F03" w:rsidRPr="009212B7" w:rsidRDefault="00527F03" w:rsidP="00C53E10">
            <w:pPr>
              <w:spacing w:after="0" w:line="276" w:lineRule="auto"/>
              <w:rPr>
                <w:rFonts w:eastAsia="Times New Roman" w:cs="Arial"/>
                <w:color w:val="000000"/>
                <w:lang w:val="en-US"/>
              </w:rPr>
            </w:pP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 xml:space="preserve">48hrs </w:t>
            </w:r>
            <w:r>
              <w:rPr>
                <w:rFonts w:eastAsia="Times New Roman" w:cs="Arial"/>
                <w:i/>
                <w:color w:val="000000"/>
                <w:lang w:val="en-US"/>
              </w:rPr>
              <w:t>post admission</w:t>
            </w:r>
          </w:p>
        </w:tc>
        <w:tc>
          <w:tcPr>
            <w:tcW w:w="153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76.3±14.3</w:t>
            </w:r>
          </w:p>
        </w:tc>
        <w:tc>
          <w:tcPr>
            <w:tcW w:w="126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76.4±17.2</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66.0±11.1</w:t>
            </w:r>
          </w:p>
        </w:tc>
        <w:tc>
          <w:tcPr>
            <w:tcW w:w="99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0.323</w:t>
            </w:r>
          </w:p>
        </w:tc>
      </w:tr>
      <w:tr w:rsidR="00527F03" w:rsidTr="00C53E10">
        <w:trPr>
          <w:trHeight w:val="170"/>
        </w:trPr>
        <w:tc>
          <w:tcPr>
            <w:tcW w:w="1985" w:type="dxa"/>
            <w:vMerge w:val="restart"/>
            <w:shd w:val="clear" w:color="auto" w:fill="auto"/>
          </w:tcPr>
          <w:p w:rsidR="00527F03" w:rsidRPr="009212B7" w:rsidRDefault="00527F03" w:rsidP="00C53E10">
            <w:pPr>
              <w:spacing w:after="0" w:line="276" w:lineRule="auto"/>
              <w:rPr>
                <w:rFonts w:eastAsia="Times New Roman" w:cs="Arial"/>
                <w:color w:val="000000"/>
                <w:lang w:val="en-US"/>
              </w:rPr>
            </w:pPr>
            <w:r w:rsidRPr="009212B7">
              <w:rPr>
                <w:rFonts w:eastAsia="Times New Roman" w:cs="Arial"/>
                <w:color w:val="000000"/>
                <w:lang w:val="en-US"/>
              </w:rPr>
              <w:t xml:space="preserve">Heart rate </w:t>
            </w:r>
          </w:p>
          <w:p w:rsidR="00527F03" w:rsidRPr="009212B7" w:rsidRDefault="00527F03" w:rsidP="00C53E10">
            <w:pPr>
              <w:spacing w:after="0" w:line="276" w:lineRule="auto"/>
              <w:rPr>
                <w:rFonts w:eastAsia="Times New Roman" w:cs="Arial"/>
                <w:color w:val="000000"/>
                <w:lang w:val="en-US"/>
              </w:rPr>
            </w:pPr>
            <w:r w:rsidRPr="009212B7">
              <w:rPr>
                <w:rFonts w:eastAsia="Times New Roman" w:cs="Arial"/>
                <w:color w:val="000000"/>
                <w:lang w:val="en-US"/>
              </w:rPr>
              <w:t>(/min)</w:t>
            </w: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Admission</w:t>
            </w:r>
          </w:p>
        </w:tc>
        <w:tc>
          <w:tcPr>
            <w:tcW w:w="153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80.8±19.9</w:t>
            </w:r>
          </w:p>
        </w:tc>
        <w:tc>
          <w:tcPr>
            <w:tcW w:w="126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98.4±25.4</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100.1±30.1</w:t>
            </w:r>
          </w:p>
        </w:tc>
        <w:tc>
          <w:tcPr>
            <w:tcW w:w="990" w:type="dxa"/>
            <w:shd w:val="clear" w:color="auto" w:fill="auto"/>
            <w:noWrap/>
          </w:tcPr>
          <w:p w:rsidR="00527F03" w:rsidRPr="009212B7" w:rsidRDefault="00527F03" w:rsidP="00C53E10">
            <w:pPr>
              <w:spacing w:after="0" w:line="276" w:lineRule="auto"/>
              <w:jc w:val="center"/>
              <w:rPr>
                <w:rFonts w:eastAsia="Times New Roman" w:cs="Arial"/>
                <w:b/>
                <w:i/>
                <w:color w:val="000000"/>
                <w:lang w:val="en-US"/>
              </w:rPr>
            </w:pPr>
            <w:r w:rsidRPr="009212B7">
              <w:rPr>
                <w:rFonts w:eastAsia="Times New Roman" w:cs="Arial"/>
                <w:b/>
                <w:i/>
                <w:color w:val="000000"/>
                <w:lang w:val="en-US"/>
              </w:rPr>
              <w:t>0.007*</w:t>
            </w:r>
          </w:p>
        </w:tc>
      </w:tr>
      <w:tr w:rsidR="00527F03" w:rsidTr="00C53E10">
        <w:trPr>
          <w:trHeight w:val="215"/>
        </w:trPr>
        <w:tc>
          <w:tcPr>
            <w:tcW w:w="1985" w:type="dxa"/>
            <w:vMerge/>
            <w:shd w:val="clear" w:color="auto" w:fill="auto"/>
          </w:tcPr>
          <w:p w:rsidR="00527F03" w:rsidRPr="009212B7" w:rsidRDefault="00527F03" w:rsidP="00C53E10">
            <w:pPr>
              <w:spacing w:after="0" w:line="276" w:lineRule="auto"/>
              <w:rPr>
                <w:rFonts w:eastAsia="Times New Roman" w:cs="Arial"/>
                <w:color w:val="000000"/>
                <w:lang w:val="en-US"/>
              </w:rPr>
            </w:pP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 xml:space="preserve">48hrs </w:t>
            </w:r>
            <w:r>
              <w:rPr>
                <w:rFonts w:eastAsia="Times New Roman" w:cs="Arial"/>
                <w:i/>
                <w:color w:val="000000"/>
                <w:lang w:val="en-US"/>
              </w:rPr>
              <w:t>post admission</w:t>
            </w:r>
          </w:p>
        </w:tc>
        <w:tc>
          <w:tcPr>
            <w:tcW w:w="153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91.9±30.5</w:t>
            </w:r>
          </w:p>
        </w:tc>
        <w:tc>
          <w:tcPr>
            <w:tcW w:w="126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93.4±24.0</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83.2±23.6</w:t>
            </w:r>
          </w:p>
        </w:tc>
        <w:tc>
          <w:tcPr>
            <w:tcW w:w="99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0.644</w:t>
            </w:r>
          </w:p>
        </w:tc>
      </w:tr>
      <w:tr w:rsidR="00527F03" w:rsidTr="00C53E10">
        <w:trPr>
          <w:trHeight w:val="188"/>
        </w:trPr>
        <w:tc>
          <w:tcPr>
            <w:tcW w:w="1985" w:type="dxa"/>
            <w:vMerge w:val="restart"/>
            <w:shd w:val="clear" w:color="auto" w:fill="auto"/>
            <w:hideMark/>
          </w:tcPr>
          <w:p w:rsidR="00527F03" w:rsidRPr="009212B7" w:rsidRDefault="00527F03" w:rsidP="00C53E10">
            <w:pPr>
              <w:spacing w:after="0" w:line="276" w:lineRule="auto"/>
              <w:rPr>
                <w:rFonts w:eastAsia="Times New Roman" w:cs="Arial"/>
                <w:color w:val="000000"/>
                <w:lang w:val="en-US"/>
              </w:rPr>
            </w:pPr>
            <w:r w:rsidRPr="009212B7">
              <w:rPr>
                <w:rFonts w:eastAsia="Times New Roman" w:cs="Arial"/>
                <w:color w:val="000000"/>
                <w:lang w:val="en-US"/>
              </w:rPr>
              <w:t>Respiratory rate (/min)</w:t>
            </w: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Admission</w:t>
            </w:r>
          </w:p>
        </w:tc>
        <w:tc>
          <w:tcPr>
            <w:tcW w:w="153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19.5±3.9</w:t>
            </w:r>
          </w:p>
        </w:tc>
        <w:tc>
          <w:tcPr>
            <w:tcW w:w="126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21.3±4.9</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20.5±3.7</w:t>
            </w:r>
          </w:p>
        </w:tc>
        <w:tc>
          <w:tcPr>
            <w:tcW w:w="99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0.257</w:t>
            </w:r>
          </w:p>
        </w:tc>
      </w:tr>
      <w:tr w:rsidR="00527F03" w:rsidTr="00C53E10">
        <w:trPr>
          <w:trHeight w:val="215"/>
        </w:trPr>
        <w:tc>
          <w:tcPr>
            <w:tcW w:w="1985" w:type="dxa"/>
            <w:vMerge/>
            <w:shd w:val="clear" w:color="auto" w:fill="auto"/>
            <w:vAlign w:val="center"/>
          </w:tcPr>
          <w:p w:rsidR="00527F03" w:rsidRPr="009212B7" w:rsidRDefault="00527F03" w:rsidP="00C53E10">
            <w:pPr>
              <w:spacing w:after="0" w:line="276" w:lineRule="auto"/>
              <w:rPr>
                <w:rFonts w:eastAsia="Times New Roman" w:cs="Arial"/>
                <w:color w:val="000000"/>
                <w:lang w:val="en-US"/>
              </w:rPr>
            </w:pP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 xml:space="preserve">48hrs </w:t>
            </w:r>
            <w:r>
              <w:rPr>
                <w:rFonts w:eastAsia="Times New Roman" w:cs="Arial"/>
                <w:i/>
                <w:color w:val="000000"/>
                <w:lang w:val="en-US"/>
              </w:rPr>
              <w:t>post admission</w:t>
            </w:r>
          </w:p>
        </w:tc>
        <w:tc>
          <w:tcPr>
            <w:tcW w:w="153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19.5±2.6</w:t>
            </w:r>
          </w:p>
        </w:tc>
        <w:tc>
          <w:tcPr>
            <w:tcW w:w="126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20.4±4.1</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21.5±4.0</w:t>
            </w:r>
          </w:p>
        </w:tc>
        <w:tc>
          <w:tcPr>
            <w:tcW w:w="99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0.513</w:t>
            </w:r>
          </w:p>
        </w:tc>
      </w:tr>
      <w:tr w:rsidR="00527F03" w:rsidTr="00C53E10">
        <w:trPr>
          <w:trHeight w:val="188"/>
        </w:trPr>
        <w:tc>
          <w:tcPr>
            <w:tcW w:w="1985" w:type="dxa"/>
            <w:vMerge w:val="restart"/>
            <w:shd w:val="clear" w:color="auto" w:fill="auto"/>
          </w:tcPr>
          <w:p w:rsidR="00527F03" w:rsidRPr="009212B7" w:rsidRDefault="00527F03" w:rsidP="00C53E10">
            <w:pPr>
              <w:spacing w:after="0" w:line="276" w:lineRule="auto"/>
              <w:rPr>
                <w:rFonts w:eastAsia="Times New Roman" w:cs="Arial"/>
                <w:color w:val="000000"/>
                <w:lang w:val="en-US"/>
              </w:rPr>
            </w:pPr>
            <w:r w:rsidRPr="009212B7">
              <w:rPr>
                <w:rFonts w:eastAsia="Times New Roman" w:cs="Arial"/>
                <w:color w:val="000000"/>
                <w:lang w:val="en-US"/>
              </w:rPr>
              <w:t>Saturation O2</w:t>
            </w: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Admission</w:t>
            </w:r>
          </w:p>
        </w:tc>
        <w:tc>
          <w:tcPr>
            <w:tcW w:w="153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92.3±7.8</w:t>
            </w:r>
          </w:p>
        </w:tc>
        <w:tc>
          <w:tcPr>
            <w:tcW w:w="126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90.6±10.3</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93.0±6.1</w:t>
            </w:r>
          </w:p>
        </w:tc>
        <w:tc>
          <w:tcPr>
            <w:tcW w:w="99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0.698</w:t>
            </w:r>
          </w:p>
        </w:tc>
      </w:tr>
      <w:tr w:rsidR="00527F03" w:rsidTr="00C53E10">
        <w:trPr>
          <w:trHeight w:val="70"/>
        </w:trPr>
        <w:tc>
          <w:tcPr>
            <w:tcW w:w="1985" w:type="dxa"/>
            <w:vMerge/>
            <w:shd w:val="clear" w:color="auto" w:fill="auto"/>
            <w:vAlign w:val="center"/>
          </w:tcPr>
          <w:p w:rsidR="00527F03" w:rsidRPr="009212B7" w:rsidRDefault="00527F03" w:rsidP="00C53E10">
            <w:pPr>
              <w:spacing w:after="0" w:line="276" w:lineRule="auto"/>
              <w:rPr>
                <w:rFonts w:eastAsia="Times New Roman" w:cs="Arial"/>
                <w:color w:val="000000"/>
                <w:lang w:val="en-US"/>
              </w:rPr>
            </w:pP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 xml:space="preserve">48hrs </w:t>
            </w:r>
            <w:r>
              <w:rPr>
                <w:rFonts w:eastAsia="Times New Roman" w:cs="Arial"/>
                <w:i/>
                <w:color w:val="000000"/>
                <w:lang w:val="en-US"/>
              </w:rPr>
              <w:t>post admission</w:t>
            </w:r>
          </w:p>
        </w:tc>
        <w:tc>
          <w:tcPr>
            <w:tcW w:w="153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90.7±8.8</w:t>
            </w:r>
          </w:p>
        </w:tc>
        <w:tc>
          <w:tcPr>
            <w:tcW w:w="126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92.8±7.1</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93.3±6.5</w:t>
            </w:r>
          </w:p>
        </w:tc>
        <w:tc>
          <w:tcPr>
            <w:tcW w:w="99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0.577</w:t>
            </w:r>
          </w:p>
        </w:tc>
      </w:tr>
      <w:tr w:rsidR="00527F03" w:rsidTr="00C53E10">
        <w:trPr>
          <w:trHeight w:val="70"/>
        </w:trPr>
        <w:tc>
          <w:tcPr>
            <w:tcW w:w="1985" w:type="dxa"/>
            <w:vMerge w:val="restart"/>
            <w:shd w:val="clear" w:color="auto" w:fill="auto"/>
          </w:tcPr>
          <w:p w:rsidR="00527F03" w:rsidRPr="009212B7" w:rsidRDefault="00527F03" w:rsidP="00C53E10">
            <w:pPr>
              <w:spacing w:after="0" w:line="276" w:lineRule="auto"/>
              <w:rPr>
                <w:rFonts w:eastAsia="Times New Roman" w:cs="Arial"/>
                <w:color w:val="000000"/>
                <w:lang w:val="en-US"/>
              </w:rPr>
            </w:pPr>
            <w:r w:rsidRPr="009212B7">
              <w:rPr>
                <w:rFonts w:eastAsia="Times New Roman" w:cs="Arial"/>
                <w:color w:val="000000"/>
                <w:lang w:val="en-US"/>
              </w:rPr>
              <w:t>Total GCS Score</w:t>
            </w: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Admission</w:t>
            </w:r>
          </w:p>
        </w:tc>
        <w:tc>
          <w:tcPr>
            <w:tcW w:w="153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6.0±1.7</w:t>
            </w:r>
          </w:p>
        </w:tc>
        <w:tc>
          <w:tcPr>
            <w:tcW w:w="126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6.4±1.7</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7.3±1.0</w:t>
            </w:r>
          </w:p>
        </w:tc>
        <w:tc>
          <w:tcPr>
            <w:tcW w:w="99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0.197</w:t>
            </w:r>
          </w:p>
        </w:tc>
      </w:tr>
      <w:tr w:rsidR="00527F03" w:rsidTr="00C53E10">
        <w:trPr>
          <w:trHeight w:val="143"/>
        </w:trPr>
        <w:tc>
          <w:tcPr>
            <w:tcW w:w="1985" w:type="dxa"/>
            <w:vMerge/>
            <w:shd w:val="clear" w:color="auto" w:fill="auto"/>
            <w:vAlign w:val="center"/>
          </w:tcPr>
          <w:p w:rsidR="00527F03" w:rsidRPr="009212B7" w:rsidRDefault="00527F03" w:rsidP="00C53E10">
            <w:pPr>
              <w:spacing w:after="0" w:line="276" w:lineRule="auto"/>
              <w:rPr>
                <w:rFonts w:eastAsia="Times New Roman" w:cs="Arial"/>
                <w:color w:val="000000"/>
                <w:lang w:val="en-US"/>
              </w:rPr>
            </w:pP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 xml:space="preserve">48hrs </w:t>
            </w:r>
            <w:r>
              <w:rPr>
                <w:rFonts w:eastAsia="Times New Roman" w:cs="Arial"/>
                <w:i/>
                <w:color w:val="000000"/>
                <w:lang w:val="en-US"/>
              </w:rPr>
              <w:t>post admission</w:t>
            </w:r>
          </w:p>
        </w:tc>
        <w:tc>
          <w:tcPr>
            <w:tcW w:w="153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5.9±1.8</w:t>
            </w:r>
          </w:p>
        </w:tc>
        <w:tc>
          <w:tcPr>
            <w:tcW w:w="126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6.6±1.5</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6.7±2.0</w:t>
            </w:r>
          </w:p>
        </w:tc>
        <w:tc>
          <w:tcPr>
            <w:tcW w:w="99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0.180</w:t>
            </w:r>
          </w:p>
        </w:tc>
      </w:tr>
      <w:tr w:rsidR="00527F03" w:rsidTr="00C53E10">
        <w:trPr>
          <w:trHeight w:val="98"/>
        </w:trPr>
        <w:tc>
          <w:tcPr>
            <w:tcW w:w="1985" w:type="dxa"/>
            <w:vMerge w:val="restart"/>
            <w:shd w:val="clear" w:color="auto" w:fill="auto"/>
            <w:hideMark/>
          </w:tcPr>
          <w:p w:rsidR="00527F03" w:rsidRPr="009212B7" w:rsidRDefault="00527F03" w:rsidP="00C53E10">
            <w:pPr>
              <w:spacing w:after="0" w:line="276" w:lineRule="auto"/>
              <w:rPr>
                <w:rFonts w:eastAsia="Times New Roman" w:cs="Arial"/>
                <w:color w:val="000000"/>
                <w:lang w:val="en-US"/>
              </w:rPr>
            </w:pPr>
            <w:r w:rsidRPr="009212B7">
              <w:rPr>
                <w:rFonts w:eastAsia="Times New Roman" w:cs="Arial"/>
                <w:color w:val="000000"/>
                <w:lang w:val="en-US"/>
              </w:rPr>
              <w:t>ISS Score</w:t>
            </w: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Admission</w:t>
            </w:r>
          </w:p>
        </w:tc>
        <w:tc>
          <w:tcPr>
            <w:tcW w:w="153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21.4±7.9</w:t>
            </w:r>
          </w:p>
        </w:tc>
        <w:tc>
          <w:tcPr>
            <w:tcW w:w="126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21.2±7.9</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18.1±5.5</w:t>
            </w:r>
          </w:p>
        </w:tc>
        <w:tc>
          <w:tcPr>
            <w:tcW w:w="990" w:type="dxa"/>
            <w:shd w:val="clear" w:color="auto" w:fill="auto"/>
            <w:noWrap/>
            <w:hideMark/>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0.540</w:t>
            </w:r>
          </w:p>
        </w:tc>
      </w:tr>
      <w:tr w:rsidR="00527F03" w:rsidTr="00C53E10">
        <w:trPr>
          <w:trHeight w:val="188"/>
        </w:trPr>
        <w:tc>
          <w:tcPr>
            <w:tcW w:w="1985" w:type="dxa"/>
            <w:vMerge/>
            <w:shd w:val="clear" w:color="auto" w:fill="auto"/>
            <w:vAlign w:val="center"/>
          </w:tcPr>
          <w:p w:rsidR="00527F03" w:rsidRPr="009212B7" w:rsidRDefault="00527F03" w:rsidP="00C53E10">
            <w:pPr>
              <w:spacing w:after="0" w:line="276" w:lineRule="auto"/>
              <w:rPr>
                <w:rFonts w:eastAsia="Times New Roman" w:cs="Arial"/>
                <w:color w:val="000000"/>
                <w:lang w:val="en-US"/>
              </w:rPr>
            </w:pPr>
          </w:p>
        </w:tc>
        <w:tc>
          <w:tcPr>
            <w:tcW w:w="2160" w:type="dxa"/>
          </w:tcPr>
          <w:p w:rsidR="00527F03" w:rsidRPr="009212B7" w:rsidRDefault="00527F03" w:rsidP="00C53E10">
            <w:pPr>
              <w:spacing w:after="0" w:line="276" w:lineRule="auto"/>
              <w:rPr>
                <w:rFonts w:eastAsia="Times New Roman" w:cs="Arial"/>
                <w:i/>
                <w:color w:val="000000"/>
                <w:lang w:val="en-US"/>
              </w:rPr>
            </w:pPr>
            <w:r w:rsidRPr="009212B7">
              <w:rPr>
                <w:rFonts w:eastAsia="Times New Roman" w:cs="Arial"/>
                <w:i/>
                <w:color w:val="000000"/>
                <w:lang w:val="en-US"/>
              </w:rPr>
              <w:t xml:space="preserve">48hrs </w:t>
            </w:r>
            <w:r>
              <w:rPr>
                <w:rFonts w:eastAsia="Times New Roman" w:cs="Arial"/>
                <w:i/>
                <w:color w:val="000000"/>
                <w:lang w:val="en-US"/>
              </w:rPr>
              <w:t>post admission</w:t>
            </w:r>
          </w:p>
        </w:tc>
        <w:tc>
          <w:tcPr>
            <w:tcW w:w="153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23.2±9.2</w:t>
            </w:r>
          </w:p>
        </w:tc>
        <w:tc>
          <w:tcPr>
            <w:tcW w:w="126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20.0±7.1</w:t>
            </w:r>
          </w:p>
        </w:tc>
        <w:tc>
          <w:tcPr>
            <w:tcW w:w="1620" w:type="dxa"/>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21.5±8.1</w:t>
            </w:r>
          </w:p>
        </w:tc>
        <w:tc>
          <w:tcPr>
            <w:tcW w:w="990" w:type="dxa"/>
            <w:shd w:val="clear" w:color="auto" w:fill="auto"/>
            <w:noWrap/>
          </w:tcPr>
          <w:p w:rsidR="00527F03" w:rsidRPr="009212B7" w:rsidRDefault="00527F03" w:rsidP="00C53E10">
            <w:pPr>
              <w:spacing w:after="0" w:line="276" w:lineRule="auto"/>
              <w:jc w:val="center"/>
              <w:rPr>
                <w:rFonts w:eastAsia="Times New Roman" w:cs="Arial"/>
                <w:color w:val="000000"/>
                <w:lang w:val="en-US"/>
              </w:rPr>
            </w:pPr>
            <w:r w:rsidRPr="009212B7">
              <w:rPr>
                <w:rFonts w:eastAsia="Times New Roman" w:cs="Arial"/>
                <w:color w:val="000000"/>
                <w:lang w:val="en-US"/>
              </w:rPr>
              <w:t>0.248</w:t>
            </w:r>
          </w:p>
        </w:tc>
      </w:tr>
    </w:tbl>
    <w:p w:rsidR="00527F03" w:rsidRDefault="00527F03" w:rsidP="00527F03">
      <w:pPr>
        <w:pStyle w:val="Caption"/>
        <w:rPr>
          <w:b/>
          <w:i w:val="0"/>
          <w:color w:val="auto"/>
          <w:sz w:val="24"/>
          <w:szCs w:val="24"/>
        </w:rPr>
      </w:pPr>
      <w:bookmarkStart w:id="4" w:name="_Toc37950074"/>
    </w:p>
    <w:p w:rsidR="00527F03" w:rsidRDefault="00527F03" w:rsidP="00527F03">
      <w:pPr>
        <w:rPr>
          <w:b/>
          <w:iCs/>
          <w:sz w:val="24"/>
          <w:szCs w:val="24"/>
        </w:rPr>
      </w:pPr>
      <w:r>
        <w:rPr>
          <w:b/>
          <w:i/>
          <w:sz w:val="24"/>
          <w:szCs w:val="24"/>
        </w:rPr>
        <w:br w:type="page"/>
      </w:r>
    </w:p>
    <w:p w:rsidR="00527F03" w:rsidRPr="008B74C7" w:rsidRDefault="00527F03" w:rsidP="00527F03">
      <w:pPr>
        <w:pStyle w:val="Caption"/>
        <w:rPr>
          <w:rFonts w:ascii="Arial Narrow" w:hAnsi="Arial Narrow" w:cs="Times New Roman"/>
          <w:b/>
          <w:i w:val="0"/>
          <w:color w:val="auto"/>
          <w:sz w:val="24"/>
          <w:szCs w:val="24"/>
        </w:rPr>
      </w:pPr>
      <w:r w:rsidRPr="008B74C7">
        <w:rPr>
          <w:b/>
          <w:i w:val="0"/>
          <w:color w:val="auto"/>
          <w:sz w:val="24"/>
          <w:szCs w:val="24"/>
        </w:rPr>
        <w:lastRenderedPageBreak/>
        <w:t xml:space="preserve">Table </w:t>
      </w:r>
      <w:r>
        <w:rPr>
          <w:b/>
          <w:i w:val="0"/>
          <w:color w:val="auto"/>
          <w:sz w:val="24"/>
          <w:szCs w:val="24"/>
        </w:rPr>
        <w:t>2</w:t>
      </w:r>
      <w:r w:rsidRPr="008B74C7">
        <w:rPr>
          <w:b/>
          <w:i w:val="0"/>
          <w:color w:val="auto"/>
          <w:sz w:val="24"/>
          <w:szCs w:val="24"/>
        </w:rPr>
        <w:t>: Correlations between serum potassium and clinical parameters</w:t>
      </w:r>
      <w:bookmarkEnd w:id="4"/>
    </w:p>
    <w:tbl>
      <w:tblPr>
        <w:tblW w:w="9270" w:type="dxa"/>
        <w:tblInd w:w="-10" w:type="dxa"/>
        <w:tblLook w:val="04A0" w:firstRow="1" w:lastRow="0" w:firstColumn="1" w:lastColumn="0" w:noHBand="0" w:noVBand="1"/>
      </w:tblPr>
      <w:tblGrid>
        <w:gridCol w:w="2320"/>
        <w:gridCol w:w="2450"/>
        <w:gridCol w:w="2070"/>
        <w:gridCol w:w="2430"/>
      </w:tblGrid>
      <w:tr w:rsidR="00527F03" w:rsidTr="00C53E10">
        <w:trPr>
          <w:trHeight w:val="735"/>
        </w:trPr>
        <w:tc>
          <w:tcPr>
            <w:tcW w:w="2320" w:type="dxa"/>
            <w:tcBorders>
              <w:top w:val="single" w:sz="8" w:space="0" w:color="auto"/>
              <w:left w:val="single" w:sz="8" w:space="0" w:color="auto"/>
              <w:bottom w:val="single" w:sz="8" w:space="0" w:color="000000"/>
              <w:right w:val="nil"/>
            </w:tcBorders>
            <w:shd w:val="clear" w:color="auto" w:fill="auto"/>
            <w:noWrap/>
            <w:vAlign w:val="center"/>
            <w:hideMark/>
          </w:tcPr>
          <w:p w:rsidR="00527F03" w:rsidRPr="008B74C7" w:rsidRDefault="00527F03" w:rsidP="00C53E10">
            <w:pPr>
              <w:spacing w:after="0" w:line="240" w:lineRule="auto"/>
              <w:jc w:val="center"/>
              <w:rPr>
                <w:rFonts w:eastAsia="Times New Roman" w:cs="Arial"/>
                <w:b/>
                <w:bCs/>
                <w:color w:val="000000"/>
                <w:sz w:val="24"/>
                <w:szCs w:val="24"/>
                <w:lang w:val="en-US"/>
              </w:rPr>
            </w:pPr>
            <w:r w:rsidRPr="008B74C7">
              <w:rPr>
                <w:rFonts w:eastAsia="Times New Roman" w:cs="Arial"/>
                <w:b/>
                <w:bCs/>
                <w:color w:val="000000"/>
                <w:sz w:val="24"/>
                <w:szCs w:val="24"/>
                <w:lang w:val="en-US"/>
              </w:rPr>
              <w:t> </w:t>
            </w:r>
          </w:p>
        </w:tc>
        <w:tc>
          <w:tcPr>
            <w:tcW w:w="2450" w:type="dxa"/>
            <w:tcBorders>
              <w:top w:val="single" w:sz="8" w:space="0" w:color="auto"/>
              <w:left w:val="nil"/>
              <w:bottom w:val="single" w:sz="8" w:space="0" w:color="000000"/>
              <w:right w:val="single" w:sz="8" w:space="0" w:color="000000"/>
            </w:tcBorders>
            <w:shd w:val="clear" w:color="auto" w:fill="auto"/>
            <w:noWrap/>
            <w:vAlign w:val="center"/>
            <w:hideMark/>
          </w:tcPr>
          <w:p w:rsidR="00527F03" w:rsidRPr="008B74C7" w:rsidRDefault="00527F03" w:rsidP="00C53E10">
            <w:pPr>
              <w:spacing w:after="0" w:line="240" w:lineRule="auto"/>
              <w:jc w:val="center"/>
              <w:rPr>
                <w:rFonts w:eastAsia="Times New Roman" w:cs="Arial"/>
                <w:b/>
                <w:bCs/>
                <w:color w:val="000000"/>
                <w:sz w:val="24"/>
                <w:szCs w:val="24"/>
                <w:lang w:val="en-US"/>
              </w:rPr>
            </w:pPr>
            <w:r w:rsidRPr="008B74C7">
              <w:rPr>
                <w:rFonts w:eastAsia="Times New Roman" w:cs="Arial"/>
                <w:b/>
                <w:bCs/>
                <w:color w:val="000000"/>
                <w:sz w:val="24"/>
                <w:szCs w:val="24"/>
                <w:lang w:val="en-US"/>
              </w:rPr>
              <w:t> </w:t>
            </w:r>
          </w:p>
        </w:tc>
        <w:tc>
          <w:tcPr>
            <w:tcW w:w="2070" w:type="dxa"/>
            <w:tcBorders>
              <w:top w:val="single" w:sz="8" w:space="0" w:color="auto"/>
              <w:left w:val="nil"/>
              <w:bottom w:val="single" w:sz="8" w:space="0" w:color="000000"/>
              <w:right w:val="single" w:sz="4" w:space="0" w:color="000000"/>
            </w:tcBorders>
            <w:shd w:val="clear" w:color="auto" w:fill="auto"/>
            <w:vAlign w:val="bottom"/>
            <w:hideMark/>
          </w:tcPr>
          <w:p w:rsidR="00527F03" w:rsidRPr="009212B7" w:rsidRDefault="00527F03" w:rsidP="00C53E10">
            <w:pPr>
              <w:spacing w:after="0" w:line="276" w:lineRule="auto"/>
              <w:jc w:val="center"/>
              <w:rPr>
                <w:rFonts w:eastAsia="Times New Roman" w:cs="Arial"/>
                <w:b/>
                <w:color w:val="000000"/>
                <w:sz w:val="24"/>
                <w:szCs w:val="24"/>
                <w:lang w:val="en-US"/>
              </w:rPr>
            </w:pPr>
            <w:r>
              <w:rPr>
                <w:rFonts w:eastAsia="Times New Roman" w:cs="Arial"/>
                <w:b/>
                <w:color w:val="000000"/>
                <w:sz w:val="24"/>
                <w:szCs w:val="24"/>
                <w:lang w:val="en-US"/>
              </w:rPr>
              <w:t>K</w:t>
            </w:r>
            <w:r w:rsidRPr="001B1E9D">
              <w:rPr>
                <w:rFonts w:eastAsia="Times New Roman" w:cs="Arial"/>
                <w:b/>
                <w:color w:val="000000"/>
                <w:sz w:val="24"/>
                <w:szCs w:val="24"/>
                <w:vertAlign w:val="superscript"/>
                <w:lang w:val="en-US"/>
              </w:rPr>
              <w:t>+</w:t>
            </w:r>
            <w:r w:rsidRPr="009212B7">
              <w:rPr>
                <w:rFonts w:eastAsia="Times New Roman" w:cs="Arial"/>
                <w:b/>
                <w:color w:val="000000"/>
                <w:sz w:val="24"/>
                <w:szCs w:val="24"/>
                <w:lang w:val="en-US"/>
              </w:rPr>
              <w:t xml:space="preserve"> levels at admission</w:t>
            </w:r>
            <w:r>
              <w:rPr>
                <w:rFonts w:eastAsia="Times New Roman" w:cs="Arial"/>
                <w:b/>
                <w:color w:val="000000"/>
                <w:sz w:val="24"/>
                <w:szCs w:val="24"/>
                <w:lang w:val="en-US"/>
              </w:rPr>
              <w:t xml:space="preserve"> (n=124)</w:t>
            </w:r>
          </w:p>
        </w:tc>
        <w:tc>
          <w:tcPr>
            <w:tcW w:w="2430" w:type="dxa"/>
            <w:tcBorders>
              <w:top w:val="single" w:sz="8" w:space="0" w:color="auto"/>
              <w:left w:val="nil"/>
              <w:bottom w:val="single" w:sz="8" w:space="0" w:color="000000"/>
              <w:right w:val="single" w:sz="8" w:space="0" w:color="auto"/>
            </w:tcBorders>
            <w:shd w:val="clear" w:color="auto" w:fill="auto"/>
            <w:vAlign w:val="bottom"/>
            <w:hideMark/>
          </w:tcPr>
          <w:p w:rsidR="00527F03" w:rsidRPr="009212B7" w:rsidRDefault="00527F03" w:rsidP="00C53E10">
            <w:pPr>
              <w:spacing w:after="0" w:line="276" w:lineRule="auto"/>
              <w:jc w:val="center"/>
              <w:rPr>
                <w:rFonts w:eastAsia="Times New Roman" w:cs="Arial"/>
                <w:b/>
                <w:color w:val="000000"/>
                <w:sz w:val="24"/>
                <w:szCs w:val="24"/>
                <w:lang w:val="en-US"/>
              </w:rPr>
            </w:pPr>
            <w:r>
              <w:rPr>
                <w:rFonts w:eastAsia="Times New Roman" w:cs="Arial"/>
                <w:b/>
                <w:color w:val="000000"/>
                <w:sz w:val="24"/>
                <w:szCs w:val="24"/>
                <w:lang w:val="en-US"/>
              </w:rPr>
              <w:t>K</w:t>
            </w:r>
            <w:r w:rsidRPr="001B1E9D">
              <w:rPr>
                <w:rFonts w:eastAsia="Times New Roman" w:cs="Arial"/>
                <w:b/>
                <w:color w:val="000000"/>
                <w:sz w:val="24"/>
                <w:szCs w:val="24"/>
                <w:vertAlign w:val="superscript"/>
                <w:lang w:val="en-US"/>
              </w:rPr>
              <w:t>+</w:t>
            </w:r>
            <w:r w:rsidRPr="009212B7">
              <w:rPr>
                <w:rFonts w:eastAsia="Times New Roman" w:cs="Arial"/>
                <w:b/>
                <w:color w:val="000000"/>
                <w:sz w:val="24"/>
                <w:szCs w:val="24"/>
                <w:lang w:val="en-US"/>
              </w:rPr>
              <w:t xml:space="preserve">  levels 48hrs</w:t>
            </w:r>
            <w:r>
              <w:rPr>
                <w:rFonts w:eastAsia="Times New Roman" w:cs="Arial"/>
                <w:b/>
                <w:color w:val="000000"/>
                <w:sz w:val="24"/>
                <w:szCs w:val="24"/>
                <w:lang w:val="en-US"/>
              </w:rPr>
              <w:t xml:space="preserve"> post admission (n=88)</w:t>
            </w:r>
          </w:p>
        </w:tc>
      </w:tr>
      <w:tr w:rsidR="00527F03" w:rsidTr="00C53E10">
        <w:trPr>
          <w:trHeight w:val="300"/>
        </w:trPr>
        <w:tc>
          <w:tcPr>
            <w:tcW w:w="2320" w:type="dxa"/>
            <w:vMerge w:val="restart"/>
            <w:tcBorders>
              <w:top w:val="single" w:sz="4" w:space="0" w:color="000000"/>
              <w:left w:val="single" w:sz="8" w:space="0" w:color="auto"/>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Age</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-0.144</w:t>
            </w:r>
          </w:p>
        </w:tc>
        <w:tc>
          <w:tcPr>
            <w:tcW w:w="2430" w:type="dxa"/>
            <w:tcBorders>
              <w:top w:val="single" w:sz="4" w:space="0" w:color="000000"/>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-0.097</w:t>
            </w:r>
          </w:p>
        </w:tc>
      </w:tr>
      <w:tr w:rsidR="00527F03" w:rsidTr="00C53E10">
        <w:trPr>
          <w:trHeight w:val="300"/>
        </w:trPr>
        <w:tc>
          <w:tcPr>
            <w:tcW w:w="2320" w:type="dxa"/>
            <w:vMerge/>
            <w:tcBorders>
              <w:top w:val="single" w:sz="4" w:space="0" w:color="000000"/>
              <w:left w:val="single" w:sz="8" w:space="0" w:color="auto"/>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0.134</w:t>
            </w:r>
          </w:p>
        </w:tc>
        <w:tc>
          <w:tcPr>
            <w:tcW w:w="2430" w:type="dxa"/>
            <w:tcBorders>
              <w:top w:val="nil"/>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0.393</w:t>
            </w:r>
          </w:p>
        </w:tc>
      </w:tr>
      <w:tr w:rsidR="00527F03" w:rsidTr="00C53E10">
        <w:trPr>
          <w:trHeight w:val="300"/>
        </w:trPr>
        <w:tc>
          <w:tcPr>
            <w:tcW w:w="2320" w:type="dxa"/>
            <w:vMerge w:val="restart"/>
            <w:tcBorders>
              <w:top w:val="single" w:sz="4" w:space="0" w:color="000000"/>
              <w:left w:val="single" w:sz="8" w:space="0" w:color="auto"/>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Time from injury to presentation (</w:t>
            </w:r>
            <w:proofErr w:type="spellStart"/>
            <w:r w:rsidRPr="008B74C7">
              <w:rPr>
                <w:rFonts w:eastAsia="Times New Roman" w:cs="Arial"/>
                <w:color w:val="000000"/>
                <w:sz w:val="24"/>
                <w:szCs w:val="24"/>
                <w:lang w:val="en-US"/>
              </w:rPr>
              <w:t>hrs</w:t>
            </w:r>
            <w:proofErr w:type="spellEnd"/>
            <w:r w:rsidRPr="008B74C7">
              <w:rPr>
                <w:rFonts w:eastAsia="Times New Roman" w:cs="Arial"/>
                <w:color w:val="000000"/>
                <w:sz w:val="24"/>
                <w:szCs w:val="24"/>
                <w:lang w:val="en-US"/>
              </w:rPr>
              <w:t>)</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0.107</w:t>
            </w:r>
          </w:p>
        </w:tc>
        <w:tc>
          <w:tcPr>
            <w:tcW w:w="2430" w:type="dxa"/>
            <w:tcBorders>
              <w:top w:val="single" w:sz="4" w:space="0" w:color="000000"/>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-0.088</w:t>
            </w:r>
          </w:p>
        </w:tc>
      </w:tr>
      <w:tr w:rsidR="00527F03" w:rsidTr="00C53E10">
        <w:trPr>
          <w:trHeight w:val="300"/>
        </w:trPr>
        <w:tc>
          <w:tcPr>
            <w:tcW w:w="2320" w:type="dxa"/>
            <w:vMerge/>
            <w:tcBorders>
              <w:top w:val="single" w:sz="4" w:space="0" w:color="000000"/>
              <w:left w:val="single" w:sz="8" w:space="0" w:color="auto"/>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0.243</w:t>
            </w:r>
          </w:p>
        </w:tc>
        <w:tc>
          <w:tcPr>
            <w:tcW w:w="2430" w:type="dxa"/>
            <w:tcBorders>
              <w:top w:val="nil"/>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0.420</w:t>
            </w:r>
          </w:p>
        </w:tc>
      </w:tr>
      <w:tr w:rsidR="00527F03" w:rsidTr="00C53E10">
        <w:trPr>
          <w:trHeight w:val="300"/>
        </w:trPr>
        <w:tc>
          <w:tcPr>
            <w:tcW w:w="2320" w:type="dxa"/>
            <w:vMerge w:val="restart"/>
            <w:tcBorders>
              <w:top w:val="single" w:sz="4" w:space="0" w:color="000000"/>
              <w:left w:val="single" w:sz="8" w:space="0" w:color="auto"/>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Pre-hospital use of IV fluids</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0.024</w:t>
            </w:r>
          </w:p>
        </w:tc>
        <w:tc>
          <w:tcPr>
            <w:tcW w:w="2430" w:type="dxa"/>
            <w:tcBorders>
              <w:top w:val="single" w:sz="4" w:space="0" w:color="000000"/>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-0.007</w:t>
            </w:r>
          </w:p>
        </w:tc>
      </w:tr>
      <w:tr w:rsidR="00527F03" w:rsidTr="00C53E10">
        <w:trPr>
          <w:trHeight w:val="300"/>
        </w:trPr>
        <w:tc>
          <w:tcPr>
            <w:tcW w:w="2320" w:type="dxa"/>
            <w:vMerge/>
            <w:tcBorders>
              <w:top w:val="single" w:sz="4" w:space="0" w:color="000000"/>
              <w:left w:val="single" w:sz="8" w:space="0" w:color="auto"/>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0.792</w:t>
            </w:r>
          </w:p>
        </w:tc>
        <w:tc>
          <w:tcPr>
            <w:tcW w:w="2430" w:type="dxa"/>
            <w:tcBorders>
              <w:top w:val="nil"/>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0.950</w:t>
            </w:r>
          </w:p>
        </w:tc>
      </w:tr>
      <w:tr w:rsidR="00527F03" w:rsidTr="00C53E10">
        <w:trPr>
          <w:trHeight w:val="300"/>
        </w:trPr>
        <w:tc>
          <w:tcPr>
            <w:tcW w:w="2320" w:type="dxa"/>
            <w:vMerge w:val="restart"/>
            <w:tcBorders>
              <w:top w:val="single" w:sz="4" w:space="0" w:color="000000"/>
              <w:left w:val="single" w:sz="8" w:space="0" w:color="auto"/>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Pre-hospital use of Mannitol</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-0.005</w:t>
            </w:r>
          </w:p>
        </w:tc>
        <w:tc>
          <w:tcPr>
            <w:tcW w:w="2430" w:type="dxa"/>
            <w:tcBorders>
              <w:top w:val="single" w:sz="4" w:space="0" w:color="000000"/>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0.156</w:t>
            </w:r>
          </w:p>
        </w:tc>
      </w:tr>
      <w:tr w:rsidR="00527F03" w:rsidTr="00C53E10">
        <w:trPr>
          <w:trHeight w:val="300"/>
        </w:trPr>
        <w:tc>
          <w:tcPr>
            <w:tcW w:w="2320" w:type="dxa"/>
            <w:vMerge/>
            <w:tcBorders>
              <w:top w:val="single" w:sz="4" w:space="0" w:color="000000"/>
              <w:left w:val="single" w:sz="8" w:space="0" w:color="auto"/>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0.960</w:t>
            </w:r>
          </w:p>
        </w:tc>
        <w:tc>
          <w:tcPr>
            <w:tcW w:w="2430" w:type="dxa"/>
            <w:tcBorders>
              <w:top w:val="nil"/>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0.147</w:t>
            </w:r>
          </w:p>
        </w:tc>
      </w:tr>
      <w:tr w:rsidR="00527F03" w:rsidTr="00C53E10">
        <w:trPr>
          <w:trHeight w:val="300"/>
        </w:trPr>
        <w:tc>
          <w:tcPr>
            <w:tcW w:w="2320" w:type="dxa"/>
            <w:vMerge w:val="restart"/>
            <w:tcBorders>
              <w:top w:val="single" w:sz="4" w:space="0" w:color="000000"/>
              <w:left w:val="single" w:sz="8" w:space="0" w:color="auto"/>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Mechanism of injury</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0.059</w:t>
            </w:r>
          </w:p>
        </w:tc>
        <w:tc>
          <w:tcPr>
            <w:tcW w:w="2430" w:type="dxa"/>
            <w:tcBorders>
              <w:top w:val="single" w:sz="4" w:space="0" w:color="000000"/>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-0.128</w:t>
            </w:r>
          </w:p>
        </w:tc>
      </w:tr>
      <w:tr w:rsidR="00527F03" w:rsidTr="00C53E10">
        <w:trPr>
          <w:trHeight w:val="300"/>
        </w:trPr>
        <w:tc>
          <w:tcPr>
            <w:tcW w:w="2320" w:type="dxa"/>
            <w:vMerge/>
            <w:tcBorders>
              <w:top w:val="single" w:sz="4" w:space="0" w:color="000000"/>
              <w:left w:val="single" w:sz="8" w:space="0" w:color="auto"/>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0.516</w:t>
            </w:r>
          </w:p>
        </w:tc>
        <w:tc>
          <w:tcPr>
            <w:tcW w:w="2430" w:type="dxa"/>
            <w:tcBorders>
              <w:top w:val="nil"/>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0.234</w:t>
            </w:r>
          </w:p>
        </w:tc>
      </w:tr>
      <w:tr w:rsidR="00527F03" w:rsidTr="00C53E10">
        <w:trPr>
          <w:trHeight w:val="300"/>
        </w:trPr>
        <w:tc>
          <w:tcPr>
            <w:tcW w:w="2320" w:type="dxa"/>
            <w:vMerge w:val="restart"/>
            <w:tcBorders>
              <w:top w:val="single" w:sz="4" w:space="0" w:color="000000"/>
              <w:left w:val="single" w:sz="8" w:space="0" w:color="auto"/>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Systolic BP</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-0.140</w:t>
            </w:r>
          </w:p>
        </w:tc>
        <w:tc>
          <w:tcPr>
            <w:tcW w:w="2430" w:type="dxa"/>
            <w:tcBorders>
              <w:top w:val="single" w:sz="4" w:space="0" w:color="000000"/>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-0.185</w:t>
            </w:r>
          </w:p>
        </w:tc>
      </w:tr>
      <w:tr w:rsidR="00527F03" w:rsidTr="00C53E10">
        <w:trPr>
          <w:trHeight w:val="300"/>
        </w:trPr>
        <w:tc>
          <w:tcPr>
            <w:tcW w:w="2320" w:type="dxa"/>
            <w:vMerge/>
            <w:tcBorders>
              <w:top w:val="single" w:sz="4" w:space="0" w:color="000000"/>
              <w:left w:val="single" w:sz="8" w:space="0" w:color="auto"/>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0.121</w:t>
            </w:r>
          </w:p>
        </w:tc>
        <w:tc>
          <w:tcPr>
            <w:tcW w:w="2430" w:type="dxa"/>
            <w:tcBorders>
              <w:top w:val="nil"/>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0.085</w:t>
            </w:r>
          </w:p>
        </w:tc>
      </w:tr>
      <w:tr w:rsidR="00527F03" w:rsidTr="00C53E10">
        <w:trPr>
          <w:trHeight w:val="300"/>
        </w:trPr>
        <w:tc>
          <w:tcPr>
            <w:tcW w:w="2320" w:type="dxa"/>
            <w:vMerge w:val="restart"/>
            <w:tcBorders>
              <w:top w:val="single" w:sz="4" w:space="0" w:color="000000"/>
              <w:left w:val="single" w:sz="8" w:space="0" w:color="auto"/>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Diastolic BP</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-0.106</w:t>
            </w:r>
          </w:p>
        </w:tc>
        <w:tc>
          <w:tcPr>
            <w:tcW w:w="2430" w:type="dxa"/>
            <w:tcBorders>
              <w:top w:val="single" w:sz="4" w:space="0" w:color="000000"/>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-0.023</w:t>
            </w:r>
          </w:p>
        </w:tc>
      </w:tr>
      <w:tr w:rsidR="00527F03" w:rsidTr="00C53E10">
        <w:trPr>
          <w:trHeight w:val="300"/>
        </w:trPr>
        <w:tc>
          <w:tcPr>
            <w:tcW w:w="2320" w:type="dxa"/>
            <w:vMerge/>
            <w:tcBorders>
              <w:top w:val="single" w:sz="4" w:space="0" w:color="000000"/>
              <w:left w:val="single" w:sz="8" w:space="0" w:color="auto"/>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0.240</w:t>
            </w:r>
          </w:p>
        </w:tc>
        <w:tc>
          <w:tcPr>
            <w:tcW w:w="2430" w:type="dxa"/>
            <w:tcBorders>
              <w:top w:val="nil"/>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0.831</w:t>
            </w:r>
          </w:p>
        </w:tc>
      </w:tr>
      <w:tr w:rsidR="00527F03" w:rsidTr="00C53E10">
        <w:trPr>
          <w:trHeight w:val="300"/>
        </w:trPr>
        <w:tc>
          <w:tcPr>
            <w:tcW w:w="2320" w:type="dxa"/>
            <w:vMerge w:val="restart"/>
            <w:tcBorders>
              <w:top w:val="single" w:sz="4" w:space="0" w:color="000000"/>
              <w:left w:val="single" w:sz="8" w:space="0" w:color="auto"/>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Heart rate</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b/>
                <w:i/>
                <w:color w:val="000000"/>
                <w:sz w:val="24"/>
                <w:szCs w:val="24"/>
                <w:lang w:val="en-US"/>
              </w:rPr>
            </w:pPr>
            <w:r w:rsidRPr="008B74C7">
              <w:rPr>
                <w:rFonts w:eastAsia="Times New Roman" w:cs="Arial"/>
                <w:b/>
                <w:i/>
                <w:color w:val="000000"/>
                <w:sz w:val="24"/>
                <w:szCs w:val="24"/>
                <w:lang w:val="en-US"/>
              </w:rPr>
              <w:t>0.327</w:t>
            </w:r>
            <w:r w:rsidRPr="008B74C7">
              <w:rPr>
                <w:rFonts w:eastAsia="Times New Roman" w:cs="Arial"/>
                <w:b/>
                <w:i/>
                <w:color w:val="000000"/>
                <w:sz w:val="24"/>
                <w:szCs w:val="24"/>
                <w:vertAlign w:val="superscript"/>
                <w:lang w:val="en-US"/>
              </w:rPr>
              <w:t>**</w:t>
            </w:r>
          </w:p>
        </w:tc>
        <w:tc>
          <w:tcPr>
            <w:tcW w:w="2430" w:type="dxa"/>
            <w:tcBorders>
              <w:top w:val="single" w:sz="4" w:space="0" w:color="000000"/>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-0.058</w:t>
            </w:r>
          </w:p>
        </w:tc>
      </w:tr>
      <w:tr w:rsidR="00527F03" w:rsidTr="00C53E10">
        <w:trPr>
          <w:trHeight w:val="300"/>
        </w:trPr>
        <w:tc>
          <w:tcPr>
            <w:tcW w:w="2320" w:type="dxa"/>
            <w:vMerge/>
            <w:tcBorders>
              <w:top w:val="single" w:sz="4" w:space="0" w:color="000000"/>
              <w:left w:val="single" w:sz="8" w:space="0" w:color="auto"/>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b/>
                <w:i/>
                <w:color w:val="000000"/>
                <w:sz w:val="24"/>
                <w:szCs w:val="24"/>
                <w:lang w:val="en-US"/>
              </w:rPr>
            </w:pPr>
            <w:r w:rsidRPr="008B74C7">
              <w:rPr>
                <w:rFonts w:eastAsia="Times New Roman" w:cs="Arial"/>
                <w:b/>
                <w:i/>
                <w:color w:val="000000"/>
                <w:sz w:val="24"/>
                <w:szCs w:val="24"/>
                <w:lang w:val="en-US"/>
              </w:rPr>
              <w:t>&lt;0.001</w:t>
            </w:r>
          </w:p>
        </w:tc>
        <w:tc>
          <w:tcPr>
            <w:tcW w:w="2430" w:type="dxa"/>
            <w:tcBorders>
              <w:top w:val="nil"/>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0.601</w:t>
            </w:r>
          </w:p>
        </w:tc>
      </w:tr>
      <w:tr w:rsidR="00527F03" w:rsidTr="00C53E10">
        <w:trPr>
          <w:trHeight w:val="300"/>
        </w:trPr>
        <w:tc>
          <w:tcPr>
            <w:tcW w:w="2320" w:type="dxa"/>
            <w:vMerge w:val="restart"/>
            <w:tcBorders>
              <w:top w:val="single" w:sz="4" w:space="0" w:color="000000"/>
              <w:left w:val="single" w:sz="8" w:space="0" w:color="auto"/>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Respiratory rate</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0.105</w:t>
            </w:r>
          </w:p>
        </w:tc>
        <w:tc>
          <w:tcPr>
            <w:tcW w:w="2430" w:type="dxa"/>
            <w:tcBorders>
              <w:top w:val="single" w:sz="4" w:space="0" w:color="000000"/>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0.096</w:t>
            </w:r>
          </w:p>
        </w:tc>
      </w:tr>
      <w:tr w:rsidR="00527F03" w:rsidTr="00C53E10">
        <w:trPr>
          <w:trHeight w:val="300"/>
        </w:trPr>
        <w:tc>
          <w:tcPr>
            <w:tcW w:w="2320" w:type="dxa"/>
            <w:vMerge/>
            <w:tcBorders>
              <w:top w:val="single" w:sz="4" w:space="0" w:color="000000"/>
              <w:left w:val="single" w:sz="8" w:space="0" w:color="auto"/>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0.288</w:t>
            </w:r>
          </w:p>
        </w:tc>
        <w:tc>
          <w:tcPr>
            <w:tcW w:w="2430" w:type="dxa"/>
            <w:tcBorders>
              <w:top w:val="nil"/>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0.409</w:t>
            </w:r>
          </w:p>
        </w:tc>
      </w:tr>
      <w:tr w:rsidR="00527F03" w:rsidTr="00C53E10">
        <w:trPr>
          <w:trHeight w:val="300"/>
        </w:trPr>
        <w:tc>
          <w:tcPr>
            <w:tcW w:w="2320" w:type="dxa"/>
            <w:vMerge w:val="restart"/>
            <w:tcBorders>
              <w:top w:val="single" w:sz="4" w:space="0" w:color="000000"/>
              <w:left w:val="single" w:sz="8" w:space="0" w:color="auto"/>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Temperature</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0.006</w:t>
            </w:r>
          </w:p>
        </w:tc>
        <w:tc>
          <w:tcPr>
            <w:tcW w:w="2430" w:type="dxa"/>
            <w:tcBorders>
              <w:top w:val="single" w:sz="4" w:space="0" w:color="000000"/>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-0.076</w:t>
            </w:r>
          </w:p>
        </w:tc>
      </w:tr>
      <w:tr w:rsidR="00527F03" w:rsidTr="00C53E10">
        <w:trPr>
          <w:trHeight w:val="300"/>
        </w:trPr>
        <w:tc>
          <w:tcPr>
            <w:tcW w:w="2320" w:type="dxa"/>
            <w:vMerge/>
            <w:tcBorders>
              <w:top w:val="single" w:sz="4" w:space="0" w:color="000000"/>
              <w:left w:val="single" w:sz="8" w:space="0" w:color="auto"/>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0.956</w:t>
            </w:r>
          </w:p>
        </w:tc>
        <w:tc>
          <w:tcPr>
            <w:tcW w:w="2430" w:type="dxa"/>
            <w:tcBorders>
              <w:top w:val="nil"/>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0.521</w:t>
            </w:r>
          </w:p>
        </w:tc>
      </w:tr>
      <w:tr w:rsidR="00527F03" w:rsidTr="00C53E10">
        <w:trPr>
          <w:trHeight w:val="300"/>
        </w:trPr>
        <w:tc>
          <w:tcPr>
            <w:tcW w:w="2320" w:type="dxa"/>
            <w:vMerge w:val="restart"/>
            <w:tcBorders>
              <w:top w:val="single" w:sz="4" w:space="0" w:color="000000"/>
              <w:left w:val="single" w:sz="8" w:space="0" w:color="auto"/>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Mannitol use</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0.164</w:t>
            </w:r>
          </w:p>
        </w:tc>
        <w:tc>
          <w:tcPr>
            <w:tcW w:w="2430" w:type="dxa"/>
            <w:tcBorders>
              <w:top w:val="single" w:sz="4" w:space="0" w:color="000000"/>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-0.025</w:t>
            </w:r>
          </w:p>
        </w:tc>
      </w:tr>
      <w:tr w:rsidR="00527F03" w:rsidTr="00C53E10">
        <w:trPr>
          <w:trHeight w:val="300"/>
        </w:trPr>
        <w:tc>
          <w:tcPr>
            <w:tcW w:w="2320" w:type="dxa"/>
            <w:vMerge/>
            <w:tcBorders>
              <w:top w:val="single" w:sz="4" w:space="0" w:color="000000"/>
              <w:left w:val="single" w:sz="8" w:space="0" w:color="auto"/>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0.070</w:t>
            </w:r>
          </w:p>
        </w:tc>
        <w:tc>
          <w:tcPr>
            <w:tcW w:w="2430" w:type="dxa"/>
            <w:tcBorders>
              <w:top w:val="nil"/>
              <w:left w:val="nil"/>
              <w:bottom w:val="nil"/>
              <w:right w:val="single" w:sz="8" w:space="0" w:color="auto"/>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0.817</w:t>
            </w:r>
          </w:p>
        </w:tc>
      </w:tr>
      <w:tr w:rsidR="00527F03" w:rsidTr="00C53E10">
        <w:trPr>
          <w:trHeight w:val="300"/>
        </w:trPr>
        <w:tc>
          <w:tcPr>
            <w:tcW w:w="2320" w:type="dxa"/>
            <w:vMerge w:val="restart"/>
            <w:tcBorders>
              <w:top w:val="single" w:sz="4" w:space="0" w:color="000000"/>
              <w:left w:val="single" w:sz="8" w:space="0" w:color="000000"/>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Pupil examination</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-0.078</w:t>
            </w:r>
          </w:p>
        </w:tc>
        <w:tc>
          <w:tcPr>
            <w:tcW w:w="243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-0.049</w:t>
            </w:r>
          </w:p>
        </w:tc>
      </w:tr>
      <w:tr w:rsidR="00527F03" w:rsidTr="00C53E10">
        <w:trPr>
          <w:trHeight w:val="300"/>
        </w:trPr>
        <w:tc>
          <w:tcPr>
            <w:tcW w:w="2320" w:type="dxa"/>
            <w:vMerge/>
            <w:tcBorders>
              <w:top w:val="single" w:sz="4" w:space="0" w:color="000000"/>
              <w:left w:val="single" w:sz="8" w:space="0" w:color="000000"/>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0.388</w:t>
            </w:r>
          </w:p>
        </w:tc>
        <w:tc>
          <w:tcPr>
            <w:tcW w:w="243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0.648</w:t>
            </w:r>
          </w:p>
        </w:tc>
      </w:tr>
      <w:tr w:rsidR="00527F03" w:rsidTr="00C53E10">
        <w:trPr>
          <w:trHeight w:val="300"/>
        </w:trPr>
        <w:tc>
          <w:tcPr>
            <w:tcW w:w="2320" w:type="dxa"/>
            <w:vMerge w:val="restart"/>
            <w:tcBorders>
              <w:top w:val="single" w:sz="4" w:space="0" w:color="000000"/>
              <w:left w:val="single" w:sz="8" w:space="0" w:color="000000"/>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Total GCS Score</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0.068</w:t>
            </w:r>
          </w:p>
        </w:tc>
        <w:tc>
          <w:tcPr>
            <w:tcW w:w="243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0.155</w:t>
            </w:r>
          </w:p>
        </w:tc>
      </w:tr>
      <w:tr w:rsidR="00527F03" w:rsidTr="00C53E10">
        <w:trPr>
          <w:trHeight w:val="300"/>
        </w:trPr>
        <w:tc>
          <w:tcPr>
            <w:tcW w:w="2320" w:type="dxa"/>
            <w:vMerge/>
            <w:tcBorders>
              <w:top w:val="single" w:sz="4" w:space="0" w:color="000000"/>
              <w:left w:val="single" w:sz="8" w:space="0" w:color="000000"/>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0.453</w:t>
            </w:r>
          </w:p>
        </w:tc>
        <w:tc>
          <w:tcPr>
            <w:tcW w:w="243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0.149</w:t>
            </w:r>
          </w:p>
        </w:tc>
      </w:tr>
      <w:tr w:rsidR="00527F03" w:rsidTr="00C53E10">
        <w:trPr>
          <w:trHeight w:val="300"/>
        </w:trPr>
        <w:tc>
          <w:tcPr>
            <w:tcW w:w="2320" w:type="dxa"/>
            <w:vMerge w:val="restart"/>
            <w:tcBorders>
              <w:top w:val="single" w:sz="4" w:space="0" w:color="000000"/>
              <w:left w:val="single" w:sz="8" w:space="0" w:color="000000"/>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Injury Severity Score [head]</w:t>
            </w:r>
          </w:p>
        </w:tc>
        <w:tc>
          <w:tcPr>
            <w:tcW w:w="2450" w:type="dxa"/>
            <w:tcBorders>
              <w:top w:val="single" w:sz="4" w:space="0" w:color="000000"/>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-0.078</w:t>
            </w:r>
          </w:p>
        </w:tc>
        <w:tc>
          <w:tcPr>
            <w:tcW w:w="2430" w:type="dxa"/>
            <w:tcBorders>
              <w:top w:val="single" w:sz="4" w:space="0" w:color="000000"/>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-0.141</w:t>
            </w:r>
          </w:p>
        </w:tc>
      </w:tr>
      <w:tr w:rsidR="00527F03" w:rsidTr="00C53E10">
        <w:trPr>
          <w:trHeight w:val="300"/>
        </w:trPr>
        <w:tc>
          <w:tcPr>
            <w:tcW w:w="2320" w:type="dxa"/>
            <w:vMerge/>
            <w:tcBorders>
              <w:top w:val="single" w:sz="4" w:space="0" w:color="000000"/>
              <w:left w:val="single" w:sz="8" w:space="0" w:color="000000"/>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0.386</w:t>
            </w:r>
          </w:p>
        </w:tc>
        <w:tc>
          <w:tcPr>
            <w:tcW w:w="2430" w:type="dxa"/>
            <w:tcBorders>
              <w:top w:val="nil"/>
              <w:left w:val="nil"/>
              <w:bottom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0.190</w:t>
            </w:r>
          </w:p>
        </w:tc>
      </w:tr>
      <w:tr w:rsidR="00527F03" w:rsidTr="00C53E10">
        <w:trPr>
          <w:trHeight w:val="300"/>
        </w:trPr>
        <w:tc>
          <w:tcPr>
            <w:tcW w:w="2320" w:type="dxa"/>
            <w:vMerge w:val="restart"/>
            <w:tcBorders>
              <w:top w:val="single" w:sz="4" w:space="0" w:color="000000"/>
              <w:left w:val="single" w:sz="8" w:space="0" w:color="000000"/>
              <w:bottom w:val="single" w:sz="4" w:space="0" w:color="000000"/>
              <w:right w:val="nil"/>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ISS Score</w:t>
            </w:r>
          </w:p>
        </w:tc>
        <w:tc>
          <w:tcPr>
            <w:tcW w:w="2450" w:type="dxa"/>
            <w:tcBorders>
              <w:top w:val="single" w:sz="4" w:space="0" w:color="000000"/>
              <w:left w:val="nil"/>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Pearson Correlation</w:t>
            </w:r>
          </w:p>
        </w:tc>
        <w:tc>
          <w:tcPr>
            <w:tcW w:w="2070" w:type="dxa"/>
            <w:tcBorders>
              <w:top w:val="single" w:sz="4" w:space="0" w:color="000000"/>
              <w:left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-0.101</w:t>
            </w:r>
          </w:p>
        </w:tc>
        <w:tc>
          <w:tcPr>
            <w:tcW w:w="2430" w:type="dxa"/>
            <w:tcBorders>
              <w:top w:val="single" w:sz="4" w:space="0" w:color="000000"/>
              <w:left w:val="nil"/>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-0.045</w:t>
            </w:r>
          </w:p>
        </w:tc>
      </w:tr>
      <w:tr w:rsidR="00527F03" w:rsidTr="00C53E10">
        <w:trPr>
          <w:trHeight w:val="300"/>
        </w:trPr>
        <w:tc>
          <w:tcPr>
            <w:tcW w:w="2320" w:type="dxa"/>
            <w:vMerge/>
            <w:tcBorders>
              <w:top w:val="single" w:sz="4" w:space="0" w:color="000000"/>
              <w:left w:val="single" w:sz="8" w:space="0" w:color="000000"/>
              <w:bottom w:val="single" w:sz="4" w:space="0" w:color="000000"/>
              <w:right w:val="nil"/>
            </w:tcBorders>
            <w:vAlign w:val="center"/>
            <w:hideMark/>
          </w:tcPr>
          <w:p w:rsidR="00527F03" w:rsidRPr="008B74C7" w:rsidRDefault="00527F03" w:rsidP="00C53E10">
            <w:pPr>
              <w:spacing w:after="0" w:line="240" w:lineRule="auto"/>
              <w:rPr>
                <w:rFonts w:eastAsia="Times New Roman" w:cs="Arial"/>
                <w:color w:val="000000"/>
                <w:sz w:val="24"/>
                <w:szCs w:val="24"/>
                <w:lang w:val="en-US"/>
              </w:rPr>
            </w:pPr>
          </w:p>
        </w:tc>
        <w:tc>
          <w:tcPr>
            <w:tcW w:w="2450" w:type="dxa"/>
            <w:tcBorders>
              <w:top w:val="nil"/>
              <w:left w:val="nil"/>
              <w:bottom w:val="single" w:sz="4" w:space="0" w:color="auto"/>
              <w:right w:val="single" w:sz="8" w:space="0" w:color="000000"/>
            </w:tcBorders>
            <w:shd w:val="clear" w:color="auto" w:fill="auto"/>
            <w:hideMark/>
          </w:tcPr>
          <w:p w:rsidR="00527F03" w:rsidRPr="008B74C7" w:rsidRDefault="00527F03" w:rsidP="00C53E10">
            <w:pPr>
              <w:spacing w:after="0" w:line="240" w:lineRule="auto"/>
              <w:rPr>
                <w:rFonts w:eastAsia="Times New Roman" w:cs="Arial"/>
                <w:color w:val="000000"/>
                <w:sz w:val="24"/>
                <w:szCs w:val="24"/>
                <w:lang w:val="en-US"/>
              </w:rPr>
            </w:pPr>
            <w:r w:rsidRPr="008B74C7">
              <w:rPr>
                <w:rFonts w:eastAsia="Times New Roman" w:cs="Arial"/>
                <w:color w:val="000000"/>
                <w:sz w:val="24"/>
                <w:szCs w:val="24"/>
                <w:lang w:val="en-US"/>
              </w:rPr>
              <w:t>Sig. (2-tailed)</w:t>
            </w:r>
          </w:p>
        </w:tc>
        <w:tc>
          <w:tcPr>
            <w:tcW w:w="2070" w:type="dxa"/>
            <w:tcBorders>
              <w:top w:val="nil"/>
              <w:left w:val="nil"/>
              <w:bottom w:val="single" w:sz="4" w:space="0" w:color="auto"/>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0.264</w:t>
            </w:r>
          </w:p>
        </w:tc>
        <w:tc>
          <w:tcPr>
            <w:tcW w:w="2430" w:type="dxa"/>
            <w:tcBorders>
              <w:top w:val="nil"/>
              <w:left w:val="nil"/>
              <w:bottom w:val="single" w:sz="4" w:space="0" w:color="auto"/>
              <w:right w:val="single" w:sz="4" w:space="0" w:color="000000"/>
            </w:tcBorders>
            <w:shd w:val="clear" w:color="auto" w:fill="auto"/>
            <w:noWrap/>
            <w:hideMark/>
          </w:tcPr>
          <w:p w:rsidR="00527F03" w:rsidRPr="008B74C7" w:rsidRDefault="00527F03" w:rsidP="00C53E10">
            <w:pPr>
              <w:spacing w:after="0" w:line="240" w:lineRule="auto"/>
              <w:jc w:val="center"/>
              <w:rPr>
                <w:rFonts w:eastAsia="Times New Roman" w:cs="Arial"/>
                <w:color w:val="000000"/>
                <w:sz w:val="24"/>
                <w:szCs w:val="24"/>
                <w:lang w:val="en-US"/>
              </w:rPr>
            </w:pPr>
            <w:r w:rsidRPr="008B74C7">
              <w:rPr>
                <w:rFonts w:eastAsia="Times New Roman" w:cs="Arial"/>
                <w:color w:val="000000"/>
                <w:sz w:val="24"/>
                <w:szCs w:val="24"/>
                <w:lang w:val="en-US"/>
              </w:rPr>
              <w:t>0.678</w:t>
            </w:r>
          </w:p>
        </w:tc>
      </w:tr>
    </w:tbl>
    <w:p w:rsidR="00527F03" w:rsidRPr="00A84CDF" w:rsidRDefault="00527F03" w:rsidP="00527F03">
      <w:pPr>
        <w:autoSpaceDE w:val="0"/>
        <w:autoSpaceDN w:val="0"/>
        <w:adjustRightInd w:val="0"/>
        <w:spacing w:line="240" w:lineRule="auto"/>
        <w:rPr>
          <w:rFonts w:ascii="Times New Roman" w:hAnsi="Times New Roman" w:cs="Times New Roman"/>
          <w:b/>
          <w:sz w:val="24"/>
          <w:szCs w:val="24"/>
          <w:lang w:val="en-US"/>
        </w:rPr>
      </w:pPr>
    </w:p>
    <w:p w:rsidR="00527F03" w:rsidRPr="009212B7" w:rsidRDefault="00527F03" w:rsidP="00527F03">
      <w:pPr>
        <w:pStyle w:val="Caption"/>
        <w:rPr>
          <w:rFonts w:ascii="Arial Narrow" w:hAnsi="Arial Narrow" w:cs="Times New Roman"/>
          <w:b/>
          <w:i w:val="0"/>
          <w:color w:val="auto"/>
          <w:sz w:val="24"/>
          <w:szCs w:val="24"/>
        </w:rPr>
      </w:pPr>
      <w:r>
        <w:br w:type="page"/>
      </w:r>
      <w:bookmarkStart w:id="5" w:name="_Toc37950075"/>
      <w:r w:rsidRPr="009212B7">
        <w:rPr>
          <w:b/>
          <w:i w:val="0"/>
          <w:color w:val="auto"/>
          <w:sz w:val="24"/>
          <w:szCs w:val="24"/>
        </w:rPr>
        <w:lastRenderedPageBreak/>
        <w:t>Table</w:t>
      </w:r>
      <w:r>
        <w:rPr>
          <w:b/>
          <w:i w:val="0"/>
          <w:color w:val="auto"/>
          <w:sz w:val="24"/>
          <w:szCs w:val="24"/>
        </w:rPr>
        <w:t xml:space="preserve"> 3</w:t>
      </w:r>
      <w:r w:rsidRPr="009212B7">
        <w:rPr>
          <w:b/>
          <w:i w:val="0"/>
          <w:color w:val="auto"/>
          <w:sz w:val="24"/>
          <w:szCs w:val="24"/>
        </w:rPr>
        <w:t>: Association between serum potassium and radiologic parameters</w:t>
      </w:r>
      <w:bookmarkEnd w:id="5"/>
    </w:p>
    <w:tbl>
      <w:tblPr>
        <w:tblW w:w="97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160"/>
        <w:gridCol w:w="1530"/>
        <w:gridCol w:w="1170"/>
        <w:gridCol w:w="1620"/>
        <w:gridCol w:w="990"/>
      </w:tblGrid>
      <w:tr w:rsidR="00527F03" w:rsidTr="00C53E10">
        <w:trPr>
          <w:trHeight w:val="480"/>
        </w:trPr>
        <w:tc>
          <w:tcPr>
            <w:tcW w:w="2255" w:type="dxa"/>
            <w:shd w:val="clear" w:color="auto" w:fill="auto"/>
          </w:tcPr>
          <w:p w:rsidR="00527F03" w:rsidRPr="009212B7" w:rsidRDefault="00527F03" w:rsidP="00C53E10">
            <w:pPr>
              <w:spacing w:after="0" w:line="360" w:lineRule="auto"/>
              <w:contextualSpacing/>
              <w:rPr>
                <w:rFonts w:eastAsia="Times New Roman" w:cs="Arial"/>
                <w:b/>
                <w:color w:val="000000"/>
                <w:lang w:val="en-US"/>
              </w:rPr>
            </w:pPr>
          </w:p>
        </w:tc>
        <w:tc>
          <w:tcPr>
            <w:tcW w:w="2160" w:type="dxa"/>
          </w:tcPr>
          <w:p w:rsidR="00527F03" w:rsidRPr="009212B7" w:rsidRDefault="00527F03" w:rsidP="00C53E10">
            <w:pPr>
              <w:spacing w:after="0" w:line="360" w:lineRule="auto"/>
              <w:contextualSpacing/>
              <w:rPr>
                <w:rFonts w:eastAsia="Times New Roman" w:cs="Arial"/>
                <w:b/>
                <w:color w:val="000000"/>
                <w:lang w:val="en-US"/>
              </w:rPr>
            </w:pPr>
          </w:p>
        </w:tc>
        <w:tc>
          <w:tcPr>
            <w:tcW w:w="1530" w:type="dxa"/>
            <w:shd w:val="clear" w:color="auto" w:fill="auto"/>
            <w:noWrap/>
            <w:vAlign w:val="center"/>
          </w:tcPr>
          <w:p w:rsidR="00527F03" w:rsidRPr="009212B7" w:rsidRDefault="00527F03" w:rsidP="00C53E10">
            <w:pPr>
              <w:spacing w:before="120" w:after="120" w:line="240" w:lineRule="auto"/>
              <w:jc w:val="center"/>
              <w:rPr>
                <w:rFonts w:eastAsia="Times New Roman" w:cs="Arial"/>
                <w:b/>
                <w:color w:val="000000"/>
                <w:lang w:val="en-US"/>
              </w:rPr>
            </w:pPr>
            <w:r w:rsidRPr="009212B7">
              <w:rPr>
                <w:rFonts w:eastAsia="Times New Roman" w:cs="Arial"/>
                <w:b/>
                <w:color w:val="000000"/>
                <w:lang w:val="en-US"/>
              </w:rPr>
              <w:t>Hypokalemia</w:t>
            </w:r>
          </w:p>
        </w:tc>
        <w:tc>
          <w:tcPr>
            <w:tcW w:w="1170" w:type="dxa"/>
            <w:shd w:val="clear" w:color="auto" w:fill="auto"/>
            <w:noWrap/>
            <w:vAlign w:val="center"/>
          </w:tcPr>
          <w:p w:rsidR="00527F03" w:rsidRPr="009212B7" w:rsidRDefault="00527F03" w:rsidP="00C53E10">
            <w:pPr>
              <w:spacing w:before="120" w:after="120" w:line="240" w:lineRule="auto"/>
              <w:jc w:val="center"/>
              <w:rPr>
                <w:rFonts w:eastAsia="Times New Roman" w:cs="Arial"/>
                <w:b/>
                <w:color w:val="000000"/>
                <w:lang w:val="en-US"/>
              </w:rPr>
            </w:pPr>
            <w:r w:rsidRPr="009212B7">
              <w:rPr>
                <w:rFonts w:eastAsia="Times New Roman" w:cs="Arial"/>
                <w:b/>
                <w:color w:val="000000"/>
                <w:lang w:val="en-US"/>
              </w:rPr>
              <w:t>Normal</w:t>
            </w:r>
          </w:p>
        </w:tc>
        <w:tc>
          <w:tcPr>
            <w:tcW w:w="1620" w:type="dxa"/>
          </w:tcPr>
          <w:p w:rsidR="00527F03" w:rsidRPr="009212B7" w:rsidRDefault="00527F03" w:rsidP="00C53E10">
            <w:pPr>
              <w:spacing w:before="120" w:after="120" w:line="240" w:lineRule="auto"/>
              <w:jc w:val="center"/>
              <w:rPr>
                <w:rFonts w:eastAsia="Times New Roman" w:cs="Arial"/>
                <w:b/>
                <w:color w:val="000000"/>
                <w:lang w:val="en-US"/>
              </w:rPr>
            </w:pPr>
            <w:r w:rsidRPr="009212B7">
              <w:rPr>
                <w:rFonts w:eastAsia="Times New Roman" w:cs="Arial"/>
                <w:b/>
                <w:color w:val="000000"/>
                <w:lang w:val="en-US"/>
              </w:rPr>
              <w:t>Hyperkalemia</w:t>
            </w:r>
          </w:p>
        </w:tc>
        <w:tc>
          <w:tcPr>
            <w:tcW w:w="990" w:type="dxa"/>
            <w:shd w:val="clear" w:color="auto" w:fill="auto"/>
            <w:noWrap/>
            <w:vAlign w:val="bottom"/>
          </w:tcPr>
          <w:p w:rsidR="00527F03" w:rsidRPr="009212B7" w:rsidRDefault="00527F03" w:rsidP="00C53E10">
            <w:pPr>
              <w:spacing w:after="0" w:line="360" w:lineRule="auto"/>
              <w:contextualSpacing/>
              <w:jc w:val="center"/>
              <w:rPr>
                <w:rFonts w:eastAsia="Times New Roman" w:cs="Arial"/>
                <w:b/>
                <w:color w:val="000000"/>
                <w:lang w:val="en-US"/>
              </w:rPr>
            </w:pPr>
            <w:r w:rsidRPr="009212B7">
              <w:rPr>
                <w:rFonts w:eastAsia="Times New Roman" w:cs="Arial"/>
                <w:b/>
                <w:color w:val="000000"/>
                <w:lang w:val="en-US"/>
              </w:rPr>
              <w:t>P value</w:t>
            </w:r>
          </w:p>
        </w:tc>
      </w:tr>
      <w:tr w:rsidR="00527F03" w:rsidTr="00C53E10">
        <w:trPr>
          <w:trHeight w:val="242"/>
        </w:trPr>
        <w:tc>
          <w:tcPr>
            <w:tcW w:w="2255" w:type="dxa"/>
            <w:vMerge w:val="restart"/>
            <w:shd w:val="clear" w:color="auto" w:fill="auto"/>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Midline shift (mm)</w:t>
            </w: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Admission</w:t>
            </w:r>
          </w:p>
        </w:tc>
        <w:tc>
          <w:tcPr>
            <w:tcW w:w="153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11.4±5.7</w:t>
            </w:r>
          </w:p>
        </w:tc>
        <w:tc>
          <w:tcPr>
            <w:tcW w:w="117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8.3±6.2</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7.5±7.6</w:t>
            </w:r>
          </w:p>
        </w:tc>
        <w:tc>
          <w:tcPr>
            <w:tcW w:w="99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0.223</w:t>
            </w:r>
          </w:p>
        </w:tc>
      </w:tr>
      <w:tr w:rsidR="00527F03" w:rsidTr="00C53E10">
        <w:trPr>
          <w:trHeight w:val="300"/>
        </w:trPr>
        <w:tc>
          <w:tcPr>
            <w:tcW w:w="2255" w:type="dxa"/>
            <w:vMerge/>
            <w:shd w:val="clear" w:color="auto" w:fill="auto"/>
            <w:vAlign w:val="center"/>
            <w:hideMark/>
          </w:tcPr>
          <w:p w:rsidR="00527F03" w:rsidRPr="009212B7" w:rsidRDefault="00527F03" w:rsidP="00C53E10">
            <w:pPr>
              <w:spacing w:after="0" w:line="360" w:lineRule="auto"/>
              <w:contextualSpacing/>
              <w:rPr>
                <w:rFonts w:eastAsia="Times New Roman" w:cs="Arial"/>
                <w:color w:val="000000"/>
                <w:lang w:val="en-US"/>
              </w:rPr>
            </w:pP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 xml:space="preserve">48hrs </w:t>
            </w:r>
            <w:r>
              <w:rPr>
                <w:rFonts w:eastAsia="Times New Roman" w:cs="Arial"/>
                <w:color w:val="000000"/>
                <w:lang w:val="en-US"/>
              </w:rPr>
              <w:t>post admission</w:t>
            </w:r>
          </w:p>
        </w:tc>
        <w:tc>
          <w:tcPr>
            <w:tcW w:w="153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12.5±6.3</w:t>
            </w:r>
          </w:p>
        </w:tc>
        <w:tc>
          <w:tcPr>
            <w:tcW w:w="117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9.5±5.8</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5.0±5.0</w:t>
            </w:r>
          </w:p>
        </w:tc>
        <w:tc>
          <w:tcPr>
            <w:tcW w:w="99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0.126</w:t>
            </w:r>
          </w:p>
        </w:tc>
      </w:tr>
      <w:tr w:rsidR="00527F03" w:rsidTr="00C53E10">
        <w:trPr>
          <w:trHeight w:val="242"/>
        </w:trPr>
        <w:tc>
          <w:tcPr>
            <w:tcW w:w="2255" w:type="dxa"/>
            <w:vMerge w:val="restart"/>
            <w:shd w:val="clear" w:color="auto" w:fill="auto"/>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Compressed/absent basal cisterns</w:t>
            </w: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Admission</w:t>
            </w:r>
          </w:p>
        </w:tc>
        <w:tc>
          <w:tcPr>
            <w:tcW w:w="153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92%</w:t>
            </w:r>
          </w:p>
        </w:tc>
        <w:tc>
          <w:tcPr>
            <w:tcW w:w="117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71%</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77.5%</w:t>
            </w:r>
          </w:p>
        </w:tc>
        <w:tc>
          <w:tcPr>
            <w:tcW w:w="99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0.552</w:t>
            </w:r>
          </w:p>
        </w:tc>
      </w:tr>
      <w:tr w:rsidR="00527F03" w:rsidTr="00C53E10">
        <w:trPr>
          <w:trHeight w:val="242"/>
        </w:trPr>
        <w:tc>
          <w:tcPr>
            <w:tcW w:w="2255" w:type="dxa"/>
            <w:vMerge/>
            <w:shd w:val="clear" w:color="auto" w:fill="auto"/>
          </w:tcPr>
          <w:p w:rsidR="00527F03" w:rsidRPr="009212B7" w:rsidRDefault="00527F03" w:rsidP="00C53E10">
            <w:pPr>
              <w:spacing w:after="0" w:line="360" w:lineRule="auto"/>
              <w:contextualSpacing/>
              <w:rPr>
                <w:rFonts w:eastAsia="Times New Roman" w:cs="Arial"/>
                <w:color w:val="000000"/>
                <w:lang w:val="en-US"/>
              </w:rPr>
            </w:pP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 xml:space="preserve">48hrs </w:t>
            </w:r>
            <w:r>
              <w:rPr>
                <w:rFonts w:eastAsia="Times New Roman" w:cs="Arial"/>
                <w:color w:val="000000"/>
                <w:lang w:val="en-US"/>
              </w:rPr>
              <w:t>post admission</w:t>
            </w:r>
          </w:p>
        </w:tc>
        <w:tc>
          <w:tcPr>
            <w:tcW w:w="153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90.5%</w:t>
            </w:r>
          </w:p>
        </w:tc>
        <w:tc>
          <w:tcPr>
            <w:tcW w:w="117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91.8%</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66.6%</w:t>
            </w:r>
          </w:p>
        </w:tc>
        <w:tc>
          <w:tcPr>
            <w:tcW w:w="99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0.149</w:t>
            </w:r>
          </w:p>
        </w:tc>
      </w:tr>
      <w:tr w:rsidR="00527F03" w:rsidTr="00C53E10">
        <w:trPr>
          <w:trHeight w:val="242"/>
        </w:trPr>
        <w:tc>
          <w:tcPr>
            <w:tcW w:w="2255" w:type="dxa"/>
            <w:vMerge w:val="restart"/>
            <w:shd w:val="clear" w:color="auto" w:fill="auto"/>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Presence of epidural hematoma</w:t>
            </w: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Admission</w:t>
            </w:r>
          </w:p>
        </w:tc>
        <w:tc>
          <w:tcPr>
            <w:tcW w:w="153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44%</w:t>
            </w:r>
          </w:p>
        </w:tc>
        <w:tc>
          <w:tcPr>
            <w:tcW w:w="117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14.3%</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12.5%</w:t>
            </w:r>
          </w:p>
        </w:tc>
        <w:tc>
          <w:tcPr>
            <w:tcW w:w="990" w:type="dxa"/>
            <w:shd w:val="clear" w:color="auto" w:fill="auto"/>
            <w:noWrap/>
          </w:tcPr>
          <w:p w:rsidR="00527F03" w:rsidRPr="009212B7" w:rsidRDefault="00527F03" w:rsidP="00C53E10">
            <w:pPr>
              <w:spacing w:after="0" w:line="360" w:lineRule="auto"/>
              <w:contextualSpacing/>
              <w:jc w:val="center"/>
              <w:rPr>
                <w:rFonts w:eastAsia="Times New Roman" w:cs="Arial"/>
                <w:b/>
                <w:i/>
                <w:color w:val="000000"/>
                <w:lang w:val="en-US"/>
              </w:rPr>
            </w:pPr>
            <w:r w:rsidRPr="009212B7">
              <w:rPr>
                <w:rFonts w:eastAsia="Times New Roman" w:cs="Arial"/>
                <w:b/>
                <w:i/>
                <w:color w:val="000000"/>
                <w:lang w:val="en-US"/>
              </w:rPr>
              <w:t>0.005*</w:t>
            </w:r>
          </w:p>
        </w:tc>
      </w:tr>
      <w:tr w:rsidR="00527F03" w:rsidTr="00C53E10">
        <w:trPr>
          <w:trHeight w:val="242"/>
        </w:trPr>
        <w:tc>
          <w:tcPr>
            <w:tcW w:w="2255" w:type="dxa"/>
            <w:vMerge/>
            <w:shd w:val="clear" w:color="auto" w:fill="auto"/>
          </w:tcPr>
          <w:p w:rsidR="00527F03" w:rsidRPr="009212B7" w:rsidRDefault="00527F03" w:rsidP="00C53E10">
            <w:pPr>
              <w:spacing w:after="0" w:line="360" w:lineRule="auto"/>
              <w:contextualSpacing/>
              <w:rPr>
                <w:rFonts w:eastAsia="Times New Roman" w:cs="Arial"/>
                <w:color w:val="000000"/>
                <w:lang w:val="en-US"/>
              </w:rPr>
            </w:pP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 xml:space="preserve">48hrs </w:t>
            </w:r>
            <w:r>
              <w:rPr>
                <w:rFonts w:eastAsia="Times New Roman" w:cs="Arial"/>
                <w:color w:val="000000"/>
                <w:lang w:val="en-US"/>
              </w:rPr>
              <w:t>post admission</w:t>
            </w:r>
          </w:p>
        </w:tc>
        <w:tc>
          <w:tcPr>
            <w:tcW w:w="153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23.8%</w:t>
            </w:r>
          </w:p>
        </w:tc>
        <w:tc>
          <w:tcPr>
            <w:tcW w:w="117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23.0%</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p>
        </w:tc>
        <w:tc>
          <w:tcPr>
            <w:tcW w:w="99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0.411</w:t>
            </w:r>
          </w:p>
        </w:tc>
      </w:tr>
      <w:tr w:rsidR="00527F03" w:rsidTr="00C53E10">
        <w:trPr>
          <w:trHeight w:val="242"/>
        </w:trPr>
        <w:tc>
          <w:tcPr>
            <w:tcW w:w="2255" w:type="dxa"/>
            <w:vMerge w:val="restart"/>
            <w:shd w:val="clear" w:color="auto" w:fill="auto"/>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Presence of subdural hematoma</w:t>
            </w: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Admission</w:t>
            </w:r>
          </w:p>
        </w:tc>
        <w:tc>
          <w:tcPr>
            <w:tcW w:w="153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40%</w:t>
            </w:r>
          </w:p>
        </w:tc>
        <w:tc>
          <w:tcPr>
            <w:tcW w:w="117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34.5%</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37.5%</w:t>
            </w:r>
          </w:p>
        </w:tc>
        <w:tc>
          <w:tcPr>
            <w:tcW w:w="99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0.878</w:t>
            </w:r>
          </w:p>
        </w:tc>
      </w:tr>
      <w:tr w:rsidR="00527F03" w:rsidTr="00C53E10">
        <w:trPr>
          <w:trHeight w:val="98"/>
        </w:trPr>
        <w:tc>
          <w:tcPr>
            <w:tcW w:w="2255" w:type="dxa"/>
            <w:vMerge/>
            <w:shd w:val="clear" w:color="auto" w:fill="auto"/>
          </w:tcPr>
          <w:p w:rsidR="00527F03" w:rsidRPr="009212B7" w:rsidRDefault="00527F03" w:rsidP="00C53E10">
            <w:pPr>
              <w:spacing w:after="0" w:line="360" w:lineRule="auto"/>
              <w:contextualSpacing/>
              <w:rPr>
                <w:rFonts w:eastAsia="Times New Roman" w:cs="Arial"/>
                <w:color w:val="000000"/>
                <w:lang w:val="en-US"/>
              </w:rPr>
            </w:pP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 xml:space="preserve">48hrs </w:t>
            </w:r>
            <w:r>
              <w:rPr>
                <w:rFonts w:eastAsia="Times New Roman" w:cs="Arial"/>
                <w:color w:val="000000"/>
                <w:lang w:val="en-US"/>
              </w:rPr>
              <w:t>post admission</w:t>
            </w:r>
          </w:p>
        </w:tc>
        <w:tc>
          <w:tcPr>
            <w:tcW w:w="153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38.1%</w:t>
            </w:r>
          </w:p>
        </w:tc>
        <w:tc>
          <w:tcPr>
            <w:tcW w:w="117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41.0%</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33.3%</w:t>
            </w:r>
          </w:p>
        </w:tc>
        <w:tc>
          <w:tcPr>
            <w:tcW w:w="99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0.920</w:t>
            </w:r>
          </w:p>
        </w:tc>
      </w:tr>
      <w:tr w:rsidR="00527F03" w:rsidTr="00C53E10">
        <w:trPr>
          <w:trHeight w:val="242"/>
        </w:trPr>
        <w:tc>
          <w:tcPr>
            <w:tcW w:w="2255" w:type="dxa"/>
            <w:vMerge w:val="restart"/>
            <w:shd w:val="clear" w:color="auto" w:fill="auto"/>
          </w:tcPr>
          <w:p w:rsidR="00527F03" w:rsidRPr="009212B7" w:rsidRDefault="00527F03" w:rsidP="00C53E10">
            <w:pPr>
              <w:spacing w:line="360" w:lineRule="auto"/>
              <w:contextualSpacing/>
            </w:pPr>
            <w:r w:rsidRPr="009212B7">
              <w:rPr>
                <w:rFonts w:eastAsia="Times New Roman" w:cs="Arial"/>
                <w:color w:val="000000"/>
                <w:lang w:val="en-US"/>
              </w:rPr>
              <w:t>Presence of traumatic SAH</w:t>
            </w: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Admission</w:t>
            </w:r>
          </w:p>
        </w:tc>
        <w:tc>
          <w:tcPr>
            <w:tcW w:w="153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40%</w:t>
            </w:r>
          </w:p>
        </w:tc>
        <w:tc>
          <w:tcPr>
            <w:tcW w:w="117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38.1%</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12.5%</w:t>
            </w:r>
          </w:p>
        </w:tc>
        <w:tc>
          <w:tcPr>
            <w:tcW w:w="99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0.332</w:t>
            </w:r>
          </w:p>
        </w:tc>
      </w:tr>
      <w:tr w:rsidR="00527F03" w:rsidTr="00C53E10">
        <w:trPr>
          <w:trHeight w:val="233"/>
        </w:trPr>
        <w:tc>
          <w:tcPr>
            <w:tcW w:w="2255" w:type="dxa"/>
            <w:vMerge/>
            <w:shd w:val="clear" w:color="auto" w:fill="auto"/>
          </w:tcPr>
          <w:p w:rsidR="00527F03" w:rsidRPr="009212B7" w:rsidRDefault="00527F03" w:rsidP="00C53E10">
            <w:pPr>
              <w:spacing w:after="0" w:line="360" w:lineRule="auto"/>
              <w:contextualSpacing/>
              <w:rPr>
                <w:rFonts w:eastAsia="Times New Roman" w:cs="Arial"/>
                <w:color w:val="000000"/>
                <w:lang w:val="en-US"/>
              </w:rPr>
            </w:pP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 xml:space="preserve">48hrs </w:t>
            </w:r>
            <w:r>
              <w:rPr>
                <w:rFonts w:eastAsia="Times New Roman" w:cs="Arial"/>
                <w:color w:val="000000"/>
                <w:lang w:val="en-US"/>
              </w:rPr>
              <w:t>post admission</w:t>
            </w:r>
          </w:p>
        </w:tc>
        <w:tc>
          <w:tcPr>
            <w:tcW w:w="153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19.0%</w:t>
            </w:r>
          </w:p>
        </w:tc>
        <w:tc>
          <w:tcPr>
            <w:tcW w:w="117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Pr>
                <w:rFonts w:eastAsia="Times New Roman" w:cs="Arial"/>
                <w:color w:val="000000"/>
                <w:lang w:val="en-US"/>
              </w:rPr>
              <w:t>37.5%</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50.0%</w:t>
            </w:r>
          </w:p>
        </w:tc>
        <w:tc>
          <w:tcPr>
            <w:tcW w:w="990" w:type="dxa"/>
            <w:shd w:val="clear" w:color="auto" w:fill="auto"/>
            <w:noWrap/>
          </w:tcPr>
          <w:p w:rsidR="00527F03" w:rsidRPr="00E273F7" w:rsidRDefault="00527F03" w:rsidP="00C53E10">
            <w:pPr>
              <w:spacing w:after="0" w:line="360" w:lineRule="auto"/>
              <w:contextualSpacing/>
              <w:jc w:val="center"/>
              <w:rPr>
                <w:rFonts w:eastAsia="Times New Roman" w:cs="Arial"/>
                <w:b/>
                <w:i/>
                <w:color w:val="000000"/>
                <w:lang w:val="en-US"/>
              </w:rPr>
            </w:pPr>
            <w:r w:rsidRPr="00E273F7">
              <w:rPr>
                <w:rFonts w:eastAsia="Times New Roman" w:cs="Arial"/>
                <w:b/>
                <w:i/>
                <w:color w:val="000000"/>
                <w:lang w:val="en-US"/>
              </w:rPr>
              <w:t>0.045*</w:t>
            </w:r>
          </w:p>
        </w:tc>
      </w:tr>
      <w:tr w:rsidR="00527F03" w:rsidTr="00C53E10">
        <w:trPr>
          <w:trHeight w:val="242"/>
        </w:trPr>
        <w:tc>
          <w:tcPr>
            <w:tcW w:w="2255" w:type="dxa"/>
            <w:vMerge w:val="restart"/>
            <w:shd w:val="clear" w:color="auto" w:fill="auto"/>
          </w:tcPr>
          <w:p w:rsidR="00527F03" w:rsidRPr="009212B7" w:rsidRDefault="00527F03" w:rsidP="00C53E10">
            <w:pPr>
              <w:spacing w:line="360" w:lineRule="auto"/>
              <w:contextualSpacing/>
            </w:pPr>
            <w:r w:rsidRPr="009212B7">
              <w:rPr>
                <w:rFonts w:eastAsia="Times New Roman" w:cs="Arial"/>
                <w:color w:val="000000"/>
                <w:lang w:val="en-US"/>
              </w:rPr>
              <w:t>Presence of contusion hemorrhages</w:t>
            </w: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Admission</w:t>
            </w:r>
          </w:p>
        </w:tc>
        <w:tc>
          <w:tcPr>
            <w:tcW w:w="153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56%</w:t>
            </w:r>
          </w:p>
        </w:tc>
        <w:tc>
          <w:tcPr>
            <w:tcW w:w="117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39.3%</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50%</w:t>
            </w:r>
          </w:p>
        </w:tc>
        <w:tc>
          <w:tcPr>
            <w:tcW w:w="99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0.312</w:t>
            </w:r>
          </w:p>
        </w:tc>
      </w:tr>
      <w:tr w:rsidR="00527F03" w:rsidTr="00C53E10">
        <w:trPr>
          <w:trHeight w:val="188"/>
        </w:trPr>
        <w:tc>
          <w:tcPr>
            <w:tcW w:w="2255" w:type="dxa"/>
            <w:vMerge/>
            <w:shd w:val="clear" w:color="auto" w:fill="auto"/>
          </w:tcPr>
          <w:p w:rsidR="00527F03" w:rsidRPr="009212B7" w:rsidRDefault="00527F03" w:rsidP="00C53E10">
            <w:pPr>
              <w:spacing w:after="0" w:line="360" w:lineRule="auto"/>
              <w:contextualSpacing/>
              <w:rPr>
                <w:rFonts w:eastAsia="Times New Roman" w:cs="Arial"/>
                <w:color w:val="000000"/>
                <w:lang w:val="en-US"/>
              </w:rPr>
            </w:pP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 xml:space="preserve">48hrs </w:t>
            </w:r>
            <w:r>
              <w:rPr>
                <w:rFonts w:eastAsia="Times New Roman" w:cs="Arial"/>
                <w:color w:val="000000"/>
                <w:lang w:val="en-US"/>
              </w:rPr>
              <w:t>post admission</w:t>
            </w:r>
          </w:p>
        </w:tc>
        <w:tc>
          <w:tcPr>
            <w:tcW w:w="153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38.1%</w:t>
            </w:r>
          </w:p>
        </w:tc>
        <w:tc>
          <w:tcPr>
            <w:tcW w:w="117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42.6%</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50%</w:t>
            </w:r>
          </w:p>
        </w:tc>
        <w:tc>
          <w:tcPr>
            <w:tcW w:w="990" w:type="dxa"/>
            <w:shd w:val="clear" w:color="auto" w:fill="auto"/>
            <w:noWrap/>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0.861</w:t>
            </w:r>
          </w:p>
        </w:tc>
      </w:tr>
      <w:tr w:rsidR="00527F03" w:rsidTr="00C53E10">
        <w:trPr>
          <w:trHeight w:val="98"/>
        </w:trPr>
        <w:tc>
          <w:tcPr>
            <w:tcW w:w="2255" w:type="dxa"/>
            <w:vMerge w:val="restart"/>
            <w:shd w:val="clear" w:color="auto" w:fill="auto"/>
            <w:hideMark/>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SDH Thickness (mm)</w:t>
            </w: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Admission</w:t>
            </w:r>
          </w:p>
        </w:tc>
        <w:tc>
          <w:tcPr>
            <w:tcW w:w="153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9.4±4.2</w:t>
            </w:r>
          </w:p>
        </w:tc>
        <w:tc>
          <w:tcPr>
            <w:tcW w:w="117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12.2±4.4</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6.7±2.9</w:t>
            </w:r>
          </w:p>
        </w:tc>
        <w:tc>
          <w:tcPr>
            <w:tcW w:w="99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0.059</w:t>
            </w:r>
          </w:p>
        </w:tc>
      </w:tr>
      <w:tr w:rsidR="00527F03" w:rsidTr="00C53E10">
        <w:trPr>
          <w:trHeight w:val="70"/>
        </w:trPr>
        <w:tc>
          <w:tcPr>
            <w:tcW w:w="2255" w:type="dxa"/>
            <w:vMerge/>
            <w:shd w:val="clear" w:color="auto" w:fill="auto"/>
            <w:vAlign w:val="center"/>
            <w:hideMark/>
          </w:tcPr>
          <w:p w:rsidR="00527F03" w:rsidRPr="009212B7" w:rsidRDefault="00527F03" w:rsidP="00C53E10">
            <w:pPr>
              <w:spacing w:after="0" w:line="360" w:lineRule="auto"/>
              <w:contextualSpacing/>
              <w:rPr>
                <w:rFonts w:eastAsia="Times New Roman" w:cs="Arial"/>
                <w:color w:val="000000"/>
                <w:lang w:val="en-US"/>
              </w:rPr>
            </w:pP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 xml:space="preserve">48hrs </w:t>
            </w:r>
            <w:r>
              <w:rPr>
                <w:rFonts w:eastAsia="Times New Roman" w:cs="Arial"/>
                <w:color w:val="000000"/>
                <w:lang w:val="en-US"/>
              </w:rPr>
              <w:t>post admission</w:t>
            </w:r>
          </w:p>
        </w:tc>
        <w:tc>
          <w:tcPr>
            <w:tcW w:w="153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11.1±3.5</w:t>
            </w:r>
          </w:p>
        </w:tc>
        <w:tc>
          <w:tcPr>
            <w:tcW w:w="117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11.7±5.1</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7.5±3.5</w:t>
            </w:r>
          </w:p>
        </w:tc>
        <w:tc>
          <w:tcPr>
            <w:tcW w:w="99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0.500</w:t>
            </w:r>
          </w:p>
        </w:tc>
      </w:tr>
      <w:tr w:rsidR="00527F03" w:rsidTr="00C53E10">
        <w:trPr>
          <w:trHeight w:val="233"/>
        </w:trPr>
        <w:tc>
          <w:tcPr>
            <w:tcW w:w="2255" w:type="dxa"/>
            <w:vMerge w:val="restart"/>
            <w:shd w:val="clear" w:color="auto" w:fill="auto"/>
            <w:hideMark/>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Rotterdam CT Score</w:t>
            </w: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Admission</w:t>
            </w:r>
          </w:p>
        </w:tc>
        <w:tc>
          <w:tcPr>
            <w:tcW w:w="153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3.9±1.3</w:t>
            </w:r>
          </w:p>
        </w:tc>
        <w:tc>
          <w:tcPr>
            <w:tcW w:w="117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3.8±1.1</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3.5±1.2</w:t>
            </w:r>
          </w:p>
        </w:tc>
        <w:tc>
          <w:tcPr>
            <w:tcW w:w="99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0.726</w:t>
            </w:r>
          </w:p>
        </w:tc>
      </w:tr>
      <w:tr w:rsidR="00527F03" w:rsidTr="00C53E10">
        <w:trPr>
          <w:trHeight w:val="143"/>
        </w:trPr>
        <w:tc>
          <w:tcPr>
            <w:tcW w:w="2255" w:type="dxa"/>
            <w:vMerge/>
            <w:shd w:val="clear" w:color="auto" w:fill="auto"/>
            <w:vAlign w:val="center"/>
            <w:hideMark/>
          </w:tcPr>
          <w:p w:rsidR="00527F03" w:rsidRPr="009212B7" w:rsidRDefault="00527F03" w:rsidP="00C53E10">
            <w:pPr>
              <w:spacing w:after="0" w:line="360" w:lineRule="auto"/>
              <w:contextualSpacing/>
              <w:rPr>
                <w:rFonts w:eastAsia="Times New Roman" w:cs="Arial"/>
                <w:color w:val="000000"/>
                <w:lang w:val="en-US"/>
              </w:rPr>
            </w:pPr>
          </w:p>
        </w:tc>
        <w:tc>
          <w:tcPr>
            <w:tcW w:w="2160" w:type="dxa"/>
          </w:tcPr>
          <w:p w:rsidR="00527F03" w:rsidRPr="009212B7" w:rsidRDefault="00527F03" w:rsidP="00C53E10">
            <w:pPr>
              <w:spacing w:after="0" w:line="360" w:lineRule="auto"/>
              <w:contextualSpacing/>
              <w:rPr>
                <w:rFonts w:eastAsia="Times New Roman" w:cs="Arial"/>
                <w:color w:val="000000"/>
                <w:lang w:val="en-US"/>
              </w:rPr>
            </w:pPr>
            <w:r w:rsidRPr="009212B7">
              <w:rPr>
                <w:rFonts w:eastAsia="Times New Roman" w:cs="Arial"/>
                <w:color w:val="000000"/>
                <w:lang w:val="en-US"/>
              </w:rPr>
              <w:t xml:space="preserve">48hrs </w:t>
            </w:r>
            <w:r>
              <w:rPr>
                <w:rFonts w:eastAsia="Times New Roman" w:cs="Arial"/>
                <w:color w:val="000000"/>
                <w:lang w:val="en-US"/>
              </w:rPr>
              <w:t>post admission</w:t>
            </w:r>
          </w:p>
        </w:tc>
        <w:tc>
          <w:tcPr>
            <w:tcW w:w="153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3.9±1.0</w:t>
            </w:r>
          </w:p>
        </w:tc>
        <w:tc>
          <w:tcPr>
            <w:tcW w:w="117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3.9±1.1</w:t>
            </w:r>
          </w:p>
        </w:tc>
        <w:tc>
          <w:tcPr>
            <w:tcW w:w="1620" w:type="dxa"/>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3.7±1.4</w:t>
            </w:r>
          </w:p>
        </w:tc>
        <w:tc>
          <w:tcPr>
            <w:tcW w:w="990" w:type="dxa"/>
            <w:shd w:val="clear" w:color="auto" w:fill="auto"/>
            <w:noWrap/>
            <w:hideMark/>
          </w:tcPr>
          <w:p w:rsidR="00527F03" w:rsidRPr="009212B7" w:rsidRDefault="00527F03" w:rsidP="00C53E10">
            <w:pPr>
              <w:spacing w:after="0" w:line="360" w:lineRule="auto"/>
              <w:contextualSpacing/>
              <w:jc w:val="center"/>
              <w:rPr>
                <w:rFonts w:eastAsia="Times New Roman" w:cs="Arial"/>
                <w:color w:val="000000"/>
                <w:lang w:val="en-US"/>
              </w:rPr>
            </w:pPr>
            <w:r w:rsidRPr="009212B7">
              <w:rPr>
                <w:rFonts w:eastAsia="Times New Roman" w:cs="Arial"/>
                <w:color w:val="000000"/>
                <w:lang w:val="en-US"/>
              </w:rPr>
              <w:t>0.842</w:t>
            </w:r>
          </w:p>
        </w:tc>
      </w:tr>
    </w:tbl>
    <w:p w:rsidR="00527F03" w:rsidRDefault="00527F03" w:rsidP="00527F03">
      <w:pPr>
        <w:rPr>
          <w:rFonts w:ascii="Arial Narrow" w:hAnsi="Arial Narrow" w:cs="Times New Roman"/>
          <w:b/>
          <w:sz w:val="24"/>
          <w:szCs w:val="24"/>
        </w:rPr>
      </w:pPr>
      <w:r>
        <w:rPr>
          <w:rFonts w:ascii="Arial Narrow" w:hAnsi="Arial Narrow" w:cs="Times New Roman"/>
          <w:b/>
          <w:sz w:val="24"/>
          <w:szCs w:val="24"/>
        </w:rPr>
        <w:br w:type="page"/>
      </w:r>
    </w:p>
    <w:p w:rsidR="00527F03" w:rsidRPr="009212B7" w:rsidRDefault="00527F03" w:rsidP="00527F03">
      <w:pPr>
        <w:pStyle w:val="Caption"/>
        <w:rPr>
          <w:rFonts w:ascii="Arial Narrow" w:hAnsi="Arial Narrow" w:cs="Times New Roman"/>
          <w:b/>
          <w:i w:val="0"/>
          <w:color w:val="auto"/>
          <w:sz w:val="24"/>
          <w:szCs w:val="24"/>
        </w:rPr>
      </w:pPr>
      <w:bookmarkStart w:id="6" w:name="_Toc37950076"/>
      <w:r w:rsidRPr="009212B7">
        <w:rPr>
          <w:b/>
          <w:i w:val="0"/>
          <w:color w:val="auto"/>
          <w:sz w:val="24"/>
          <w:szCs w:val="24"/>
        </w:rPr>
        <w:lastRenderedPageBreak/>
        <w:t>Table</w:t>
      </w:r>
      <w:r>
        <w:rPr>
          <w:b/>
          <w:i w:val="0"/>
          <w:color w:val="auto"/>
          <w:sz w:val="24"/>
          <w:szCs w:val="24"/>
        </w:rPr>
        <w:t xml:space="preserve"> 4</w:t>
      </w:r>
      <w:r w:rsidRPr="009212B7">
        <w:rPr>
          <w:b/>
          <w:i w:val="0"/>
          <w:color w:val="auto"/>
          <w:sz w:val="24"/>
          <w:szCs w:val="24"/>
        </w:rPr>
        <w:t>: Correlations between serum potassium and radiologic parameters</w:t>
      </w:r>
      <w:bookmarkEnd w:id="6"/>
    </w:p>
    <w:tbl>
      <w:tblPr>
        <w:tblW w:w="9540" w:type="dxa"/>
        <w:tblInd w:w="-10" w:type="dxa"/>
        <w:tblLook w:val="04A0" w:firstRow="1" w:lastRow="0" w:firstColumn="1" w:lastColumn="0" w:noHBand="0" w:noVBand="1"/>
      </w:tblPr>
      <w:tblGrid>
        <w:gridCol w:w="2880"/>
        <w:gridCol w:w="2250"/>
        <w:gridCol w:w="2160"/>
        <w:gridCol w:w="2250"/>
      </w:tblGrid>
      <w:tr w:rsidR="00527F03" w:rsidTr="00C53E10">
        <w:trPr>
          <w:trHeight w:val="750"/>
        </w:trPr>
        <w:tc>
          <w:tcPr>
            <w:tcW w:w="2880" w:type="dxa"/>
            <w:tcBorders>
              <w:top w:val="single" w:sz="8" w:space="0" w:color="auto"/>
              <w:left w:val="single" w:sz="8" w:space="0" w:color="auto"/>
              <w:bottom w:val="single" w:sz="8" w:space="0" w:color="000000"/>
              <w:right w:val="nil"/>
            </w:tcBorders>
            <w:shd w:val="clear" w:color="auto" w:fill="auto"/>
            <w:noWrap/>
            <w:vAlign w:val="center"/>
            <w:hideMark/>
          </w:tcPr>
          <w:p w:rsidR="00527F03" w:rsidRPr="009212B7" w:rsidRDefault="00527F03" w:rsidP="00C53E10">
            <w:pPr>
              <w:spacing w:after="0" w:line="240" w:lineRule="auto"/>
              <w:jc w:val="center"/>
              <w:rPr>
                <w:rFonts w:eastAsia="Times New Roman" w:cs="Arial"/>
                <w:b/>
                <w:bCs/>
                <w:color w:val="000000"/>
                <w:sz w:val="24"/>
                <w:szCs w:val="24"/>
                <w:lang w:val="en-US"/>
              </w:rPr>
            </w:pPr>
            <w:r w:rsidRPr="009212B7">
              <w:rPr>
                <w:rFonts w:eastAsia="Times New Roman" w:cs="Arial"/>
                <w:b/>
                <w:bCs/>
                <w:color w:val="000000"/>
                <w:sz w:val="24"/>
                <w:szCs w:val="24"/>
                <w:lang w:val="en-US"/>
              </w:rPr>
              <w:t> </w:t>
            </w:r>
          </w:p>
        </w:tc>
        <w:tc>
          <w:tcPr>
            <w:tcW w:w="2250" w:type="dxa"/>
            <w:tcBorders>
              <w:top w:val="single" w:sz="8" w:space="0" w:color="auto"/>
              <w:left w:val="nil"/>
              <w:bottom w:val="single" w:sz="8" w:space="0" w:color="000000"/>
              <w:right w:val="single" w:sz="8" w:space="0" w:color="000000"/>
            </w:tcBorders>
            <w:shd w:val="clear" w:color="auto" w:fill="auto"/>
            <w:noWrap/>
            <w:vAlign w:val="center"/>
            <w:hideMark/>
          </w:tcPr>
          <w:p w:rsidR="00527F03" w:rsidRPr="009212B7" w:rsidRDefault="00527F03" w:rsidP="00C53E10">
            <w:pPr>
              <w:spacing w:after="0" w:line="240" w:lineRule="auto"/>
              <w:jc w:val="center"/>
              <w:rPr>
                <w:rFonts w:eastAsia="Times New Roman" w:cs="Arial"/>
                <w:b/>
                <w:bCs/>
                <w:color w:val="000000"/>
                <w:sz w:val="24"/>
                <w:szCs w:val="24"/>
                <w:lang w:val="en-US"/>
              </w:rPr>
            </w:pPr>
            <w:r w:rsidRPr="009212B7">
              <w:rPr>
                <w:rFonts w:eastAsia="Times New Roman" w:cs="Arial"/>
                <w:b/>
                <w:bCs/>
                <w:color w:val="000000"/>
                <w:sz w:val="24"/>
                <w:szCs w:val="24"/>
                <w:lang w:val="en-US"/>
              </w:rPr>
              <w:t> </w:t>
            </w:r>
          </w:p>
        </w:tc>
        <w:tc>
          <w:tcPr>
            <w:tcW w:w="2160" w:type="dxa"/>
            <w:tcBorders>
              <w:top w:val="single" w:sz="8" w:space="0" w:color="auto"/>
              <w:left w:val="single" w:sz="4" w:space="0" w:color="000000"/>
              <w:bottom w:val="single" w:sz="8" w:space="0" w:color="000000"/>
              <w:right w:val="single" w:sz="4" w:space="0" w:color="000000"/>
            </w:tcBorders>
            <w:shd w:val="clear" w:color="auto" w:fill="auto"/>
            <w:vAlign w:val="bottom"/>
            <w:hideMark/>
          </w:tcPr>
          <w:p w:rsidR="00527F03" w:rsidRPr="009212B7" w:rsidRDefault="00527F03" w:rsidP="00C53E10">
            <w:pPr>
              <w:spacing w:after="0" w:line="276" w:lineRule="auto"/>
              <w:jc w:val="center"/>
              <w:rPr>
                <w:rFonts w:eastAsia="Times New Roman" w:cs="Arial"/>
                <w:b/>
                <w:color w:val="000000"/>
                <w:sz w:val="24"/>
                <w:szCs w:val="24"/>
                <w:lang w:val="en-US"/>
              </w:rPr>
            </w:pPr>
            <w:r>
              <w:rPr>
                <w:rFonts w:eastAsia="Times New Roman" w:cs="Arial"/>
                <w:b/>
                <w:color w:val="000000"/>
                <w:sz w:val="24"/>
                <w:szCs w:val="24"/>
                <w:lang w:val="en-US"/>
              </w:rPr>
              <w:t>K</w:t>
            </w:r>
            <w:r w:rsidRPr="001B1E9D">
              <w:rPr>
                <w:rFonts w:eastAsia="Times New Roman" w:cs="Arial"/>
                <w:b/>
                <w:color w:val="000000"/>
                <w:sz w:val="24"/>
                <w:szCs w:val="24"/>
                <w:vertAlign w:val="superscript"/>
                <w:lang w:val="en-US"/>
              </w:rPr>
              <w:t>+</w:t>
            </w:r>
            <w:r w:rsidRPr="009212B7">
              <w:rPr>
                <w:rFonts w:eastAsia="Times New Roman" w:cs="Arial"/>
                <w:b/>
                <w:color w:val="000000"/>
                <w:sz w:val="24"/>
                <w:szCs w:val="24"/>
                <w:lang w:val="en-US"/>
              </w:rPr>
              <w:t xml:space="preserve"> levels at admission</w:t>
            </w:r>
            <w:r>
              <w:rPr>
                <w:rFonts w:eastAsia="Times New Roman" w:cs="Arial"/>
                <w:b/>
                <w:color w:val="000000"/>
                <w:sz w:val="24"/>
                <w:szCs w:val="24"/>
                <w:lang w:val="en-US"/>
              </w:rPr>
              <w:t xml:space="preserve"> (n=117)</w:t>
            </w:r>
          </w:p>
        </w:tc>
        <w:tc>
          <w:tcPr>
            <w:tcW w:w="2250" w:type="dxa"/>
            <w:tcBorders>
              <w:top w:val="single" w:sz="8" w:space="0" w:color="auto"/>
              <w:left w:val="nil"/>
              <w:bottom w:val="single" w:sz="8" w:space="0" w:color="000000"/>
              <w:right w:val="single" w:sz="8" w:space="0" w:color="auto"/>
            </w:tcBorders>
            <w:shd w:val="clear" w:color="auto" w:fill="auto"/>
            <w:vAlign w:val="bottom"/>
            <w:hideMark/>
          </w:tcPr>
          <w:p w:rsidR="00527F03" w:rsidRPr="009212B7" w:rsidRDefault="00527F03" w:rsidP="00C53E10">
            <w:pPr>
              <w:spacing w:after="0" w:line="276" w:lineRule="auto"/>
              <w:jc w:val="center"/>
              <w:rPr>
                <w:rFonts w:eastAsia="Times New Roman" w:cs="Arial"/>
                <w:b/>
                <w:color w:val="000000"/>
                <w:sz w:val="24"/>
                <w:szCs w:val="24"/>
                <w:lang w:val="en-US"/>
              </w:rPr>
            </w:pPr>
            <w:r>
              <w:rPr>
                <w:rFonts w:eastAsia="Times New Roman" w:cs="Arial"/>
                <w:b/>
                <w:color w:val="000000"/>
                <w:sz w:val="24"/>
                <w:szCs w:val="24"/>
                <w:lang w:val="en-US"/>
              </w:rPr>
              <w:t>K</w:t>
            </w:r>
            <w:r w:rsidRPr="001B1E9D">
              <w:rPr>
                <w:rFonts w:eastAsia="Times New Roman" w:cs="Arial"/>
                <w:b/>
                <w:color w:val="000000"/>
                <w:sz w:val="24"/>
                <w:szCs w:val="24"/>
                <w:vertAlign w:val="superscript"/>
                <w:lang w:val="en-US"/>
              </w:rPr>
              <w:t>+</w:t>
            </w:r>
            <w:r w:rsidRPr="009212B7">
              <w:rPr>
                <w:rFonts w:eastAsia="Times New Roman" w:cs="Arial"/>
                <w:b/>
                <w:color w:val="000000"/>
                <w:sz w:val="24"/>
                <w:szCs w:val="24"/>
                <w:lang w:val="en-US"/>
              </w:rPr>
              <w:t xml:space="preserve">  levels 48hrs</w:t>
            </w:r>
            <w:r>
              <w:rPr>
                <w:rFonts w:eastAsia="Times New Roman" w:cs="Arial"/>
                <w:b/>
                <w:color w:val="000000"/>
                <w:sz w:val="24"/>
                <w:szCs w:val="24"/>
                <w:lang w:val="en-US"/>
              </w:rPr>
              <w:t xml:space="preserve"> post admission (n=88)</w:t>
            </w:r>
          </w:p>
        </w:tc>
      </w:tr>
      <w:tr w:rsidR="00527F03" w:rsidTr="00C53E10">
        <w:trPr>
          <w:trHeight w:val="300"/>
        </w:trPr>
        <w:tc>
          <w:tcPr>
            <w:tcW w:w="2880" w:type="dxa"/>
            <w:vMerge w:val="restart"/>
            <w:tcBorders>
              <w:top w:val="nil"/>
              <w:left w:val="single" w:sz="8" w:space="0" w:color="auto"/>
              <w:bottom w:val="single" w:sz="4" w:space="0" w:color="000000"/>
              <w:right w:val="nil"/>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Rotterdam CT head Score</w:t>
            </w:r>
          </w:p>
        </w:tc>
        <w:tc>
          <w:tcPr>
            <w:tcW w:w="2250" w:type="dxa"/>
            <w:tcBorders>
              <w:top w:val="nil"/>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Pearson Correlation</w:t>
            </w:r>
          </w:p>
        </w:tc>
        <w:tc>
          <w:tcPr>
            <w:tcW w:w="2160" w:type="dxa"/>
            <w:tcBorders>
              <w:top w:val="nil"/>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-0.024</w:t>
            </w:r>
          </w:p>
        </w:tc>
        <w:tc>
          <w:tcPr>
            <w:tcW w:w="2250" w:type="dxa"/>
            <w:tcBorders>
              <w:top w:val="nil"/>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-0.005</w:t>
            </w:r>
          </w:p>
        </w:tc>
      </w:tr>
      <w:tr w:rsidR="00527F03" w:rsidTr="00C53E10">
        <w:trPr>
          <w:trHeight w:val="300"/>
        </w:trPr>
        <w:tc>
          <w:tcPr>
            <w:tcW w:w="2880" w:type="dxa"/>
            <w:vMerge/>
            <w:tcBorders>
              <w:top w:val="nil"/>
              <w:left w:val="single" w:sz="8" w:space="0" w:color="auto"/>
              <w:bottom w:val="single" w:sz="4" w:space="0" w:color="000000"/>
              <w:right w:val="nil"/>
            </w:tcBorders>
            <w:vAlign w:val="center"/>
            <w:hideMark/>
          </w:tcPr>
          <w:p w:rsidR="00527F03" w:rsidRPr="009212B7" w:rsidRDefault="00527F03" w:rsidP="00C53E10">
            <w:pPr>
              <w:spacing w:after="0" w:line="240" w:lineRule="auto"/>
              <w:rPr>
                <w:rFonts w:eastAsia="Times New Roman" w:cs="Arial"/>
                <w:color w:val="000000"/>
                <w:sz w:val="24"/>
                <w:szCs w:val="24"/>
                <w:lang w:val="en-US"/>
              </w:rPr>
            </w:pPr>
          </w:p>
        </w:tc>
        <w:tc>
          <w:tcPr>
            <w:tcW w:w="2250" w:type="dxa"/>
            <w:tcBorders>
              <w:top w:val="nil"/>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Sig. (2-tailed)</w:t>
            </w:r>
          </w:p>
        </w:tc>
        <w:tc>
          <w:tcPr>
            <w:tcW w:w="2160" w:type="dxa"/>
            <w:tcBorders>
              <w:top w:val="nil"/>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0.797</w:t>
            </w:r>
          </w:p>
        </w:tc>
        <w:tc>
          <w:tcPr>
            <w:tcW w:w="2250" w:type="dxa"/>
            <w:tcBorders>
              <w:top w:val="nil"/>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0.967</w:t>
            </w:r>
          </w:p>
        </w:tc>
      </w:tr>
      <w:tr w:rsidR="00527F03" w:rsidTr="00C53E10">
        <w:trPr>
          <w:trHeight w:val="300"/>
        </w:trPr>
        <w:tc>
          <w:tcPr>
            <w:tcW w:w="2880" w:type="dxa"/>
            <w:vMerge w:val="restart"/>
            <w:tcBorders>
              <w:top w:val="single" w:sz="4" w:space="0" w:color="000000"/>
              <w:left w:val="single" w:sz="8" w:space="0" w:color="auto"/>
              <w:bottom w:val="nil"/>
              <w:right w:val="nil"/>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Midline shift (mm)</w:t>
            </w:r>
          </w:p>
        </w:tc>
        <w:tc>
          <w:tcPr>
            <w:tcW w:w="2250" w:type="dxa"/>
            <w:tcBorders>
              <w:top w:val="single" w:sz="4" w:space="0" w:color="000000"/>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Pearson Correlation</w:t>
            </w:r>
          </w:p>
        </w:tc>
        <w:tc>
          <w:tcPr>
            <w:tcW w:w="2160" w:type="dxa"/>
            <w:tcBorders>
              <w:top w:val="single" w:sz="4" w:space="0" w:color="000000"/>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-0.009</w:t>
            </w:r>
          </w:p>
        </w:tc>
        <w:tc>
          <w:tcPr>
            <w:tcW w:w="2250" w:type="dxa"/>
            <w:tcBorders>
              <w:top w:val="single" w:sz="4" w:space="0" w:color="000000"/>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-0.093</w:t>
            </w:r>
          </w:p>
        </w:tc>
      </w:tr>
      <w:tr w:rsidR="00527F03" w:rsidTr="00C53E10">
        <w:trPr>
          <w:trHeight w:val="300"/>
        </w:trPr>
        <w:tc>
          <w:tcPr>
            <w:tcW w:w="2880" w:type="dxa"/>
            <w:vMerge/>
            <w:tcBorders>
              <w:top w:val="single" w:sz="4" w:space="0" w:color="000000"/>
              <w:left w:val="single" w:sz="8" w:space="0" w:color="auto"/>
              <w:bottom w:val="nil"/>
              <w:right w:val="nil"/>
            </w:tcBorders>
            <w:vAlign w:val="center"/>
            <w:hideMark/>
          </w:tcPr>
          <w:p w:rsidR="00527F03" w:rsidRPr="009212B7" w:rsidRDefault="00527F03" w:rsidP="00C53E10">
            <w:pPr>
              <w:spacing w:after="0" w:line="240" w:lineRule="auto"/>
              <w:rPr>
                <w:rFonts w:eastAsia="Times New Roman" w:cs="Arial"/>
                <w:color w:val="000000"/>
                <w:sz w:val="24"/>
                <w:szCs w:val="24"/>
                <w:lang w:val="en-US"/>
              </w:rPr>
            </w:pPr>
          </w:p>
        </w:tc>
        <w:tc>
          <w:tcPr>
            <w:tcW w:w="2250" w:type="dxa"/>
            <w:tcBorders>
              <w:top w:val="nil"/>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Sig. (2-tailed)</w:t>
            </w:r>
          </w:p>
        </w:tc>
        <w:tc>
          <w:tcPr>
            <w:tcW w:w="2160" w:type="dxa"/>
            <w:tcBorders>
              <w:top w:val="nil"/>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0.922</w:t>
            </w:r>
          </w:p>
        </w:tc>
        <w:tc>
          <w:tcPr>
            <w:tcW w:w="2250" w:type="dxa"/>
            <w:tcBorders>
              <w:top w:val="nil"/>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0.389</w:t>
            </w:r>
          </w:p>
        </w:tc>
      </w:tr>
      <w:tr w:rsidR="00527F03" w:rsidTr="00C53E10">
        <w:trPr>
          <w:trHeight w:val="300"/>
        </w:trPr>
        <w:tc>
          <w:tcPr>
            <w:tcW w:w="2880" w:type="dxa"/>
            <w:vMerge w:val="restart"/>
            <w:tcBorders>
              <w:top w:val="single" w:sz="4" w:space="0" w:color="000000"/>
              <w:left w:val="single" w:sz="8" w:space="0" w:color="auto"/>
              <w:bottom w:val="single" w:sz="4" w:space="0" w:color="000000"/>
              <w:right w:val="nil"/>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Basal cisterns</w:t>
            </w:r>
          </w:p>
        </w:tc>
        <w:tc>
          <w:tcPr>
            <w:tcW w:w="2250" w:type="dxa"/>
            <w:tcBorders>
              <w:top w:val="single" w:sz="4" w:space="0" w:color="000000"/>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Pearson Correlation</w:t>
            </w:r>
          </w:p>
        </w:tc>
        <w:tc>
          <w:tcPr>
            <w:tcW w:w="2160" w:type="dxa"/>
            <w:tcBorders>
              <w:top w:val="single" w:sz="4" w:space="0" w:color="000000"/>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-0.065</w:t>
            </w:r>
          </w:p>
        </w:tc>
        <w:tc>
          <w:tcPr>
            <w:tcW w:w="2250" w:type="dxa"/>
            <w:tcBorders>
              <w:top w:val="single" w:sz="4" w:space="0" w:color="000000"/>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-0.115</w:t>
            </w:r>
          </w:p>
        </w:tc>
      </w:tr>
      <w:tr w:rsidR="00527F03" w:rsidTr="00C53E10">
        <w:trPr>
          <w:trHeight w:val="300"/>
        </w:trPr>
        <w:tc>
          <w:tcPr>
            <w:tcW w:w="2880" w:type="dxa"/>
            <w:vMerge/>
            <w:tcBorders>
              <w:top w:val="single" w:sz="4" w:space="0" w:color="000000"/>
              <w:left w:val="single" w:sz="8" w:space="0" w:color="auto"/>
              <w:bottom w:val="single" w:sz="4" w:space="0" w:color="000000"/>
              <w:right w:val="nil"/>
            </w:tcBorders>
            <w:vAlign w:val="center"/>
            <w:hideMark/>
          </w:tcPr>
          <w:p w:rsidR="00527F03" w:rsidRPr="009212B7" w:rsidRDefault="00527F03" w:rsidP="00C53E10">
            <w:pPr>
              <w:spacing w:after="0" w:line="240" w:lineRule="auto"/>
              <w:rPr>
                <w:rFonts w:eastAsia="Times New Roman" w:cs="Arial"/>
                <w:color w:val="000000"/>
                <w:sz w:val="24"/>
                <w:szCs w:val="24"/>
                <w:lang w:val="en-US"/>
              </w:rPr>
            </w:pPr>
          </w:p>
        </w:tc>
        <w:tc>
          <w:tcPr>
            <w:tcW w:w="2250" w:type="dxa"/>
            <w:tcBorders>
              <w:top w:val="nil"/>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Sig. (2-tailed)</w:t>
            </w:r>
          </w:p>
        </w:tc>
        <w:tc>
          <w:tcPr>
            <w:tcW w:w="2160" w:type="dxa"/>
            <w:tcBorders>
              <w:top w:val="nil"/>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0.486</w:t>
            </w:r>
          </w:p>
        </w:tc>
        <w:tc>
          <w:tcPr>
            <w:tcW w:w="2250" w:type="dxa"/>
            <w:tcBorders>
              <w:top w:val="nil"/>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0.284</w:t>
            </w:r>
          </w:p>
        </w:tc>
      </w:tr>
      <w:tr w:rsidR="00527F03" w:rsidTr="00C53E10">
        <w:trPr>
          <w:trHeight w:val="300"/>
        </w:trPr>
        <w:tc>
          <w:tcPr>
            <w:tcW w:w="2880" w:type="dxa"/>
            <w:vMerge w:val="restart"/>
            <w:tcBorders>
              <w:top w:val="single" w:sz="4" w:space="0" w:color="000000"/>
              <w:left w:val="single" w:sz="8" w:space="0" w:color="auto"/>
              <w:bottom w:val="single" w:sz="4" w:space="0" w:color="000000"/>
              <w:right w:val="nil"/>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Presence of Epidural Hematoma</w:t>
            </w:r>
          </w:p>
        </w:tc>
        <w:tc>
          <w:tcPr>
            <w:tcW w:w="2250" w:type="dxa"/>
            <w:tcBorders>
              <w:top w:val="single" w:sz="4" w:space="0" w:color="000000"/>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Pearson Correlation</w:t>
            </w:r>
          </w:p>
        </w:tc>
        <w:tc>
          <w:tcPr>
            <w:tcW w:w="2160" w:type="dxa"/>
            <w:tcBorders>
              <w:top w:val="single" w:sz="4" w:space="0" w:color="000000"/>
              <w:left w:val="single" w:sz="4" w:space="0" w:color="000000"/>
              <w:bottom w:val="nil"/>
              <w:right w:val="single" w:sz="4" w:space="0" w:color="000000"/>
            </w:tcBorders>
            <w:shd w:val="clear" w:color="auto" w:fill="auto"/>
            <w:noWrap/>
            <w:hideMark/>
          </w:tcPr>
          <w:p w:rsidR="00527F03" w:rsidRPr="00B41E66" w:rsidRDefault="00527F03" w:rsidP="00C53E10">
            <w:pPr>
              <w:spacing w:after="0" w:line="240" w:lineRule="auto"/>
              <w:jc w:val="center"/>
              <w:rPr>
                <w:rFonts w:eastAsia="Times New Roman" w:cs="Arial"/>
                <w:b/>
                <w:i/>
                <w:color w:val="000000"/>
                <w:sz w:val="24"/>
                <w:szCs w:val="24"/>
                <w:lang w:val="en-US"/>
              </w:rPr>
            </w:pPr>
            <w:r w:rsidRPr="00B41E66">
              <w:rPr>
                <w:rFonts w:eastAsia="Times New Roman" w:cs="Arial"/>
                <w:b/>
                <w:i/>
                <w:color w:val="000000"/>
                <w:sz w:val="24"/>
                <w:szCs w:val="24"/>
                <w:lang w:val="en-US"/>
              </w:rPr>
              <w:t>0.270</w:t>
            </w:r>
          </w:p>
        </w:tc>
        <w:tc>
          <w:tcPr>
            <w:tcW w:w="2250" w:type="dxa"/>
            <w:tcBorders>
              <w:top w:val="single" w:sz="4" w:space="0" w:color="000000"/>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0.024</w:t>
            </w:r>
          </w:p>
        </w:tc>
      </w:tr>
      <w:tr w:rsidR="00527F03" w:rsidTr="00C53E10">
        <w:trPr>
          <w:trHeight w:val="300"/>
        </w:trPr>
        <w:tc>
          <w:tcPr>
            <w:tcW w:w="2880" w:type="dxa"/>
            <w:vMerge/>
            <w:tcBorders>
              <w:top w:val="single" w:sz="4" w:space="0" w:color="000000"/>
              <w:left w:val="single" w:sz="8" w:space="0" w:color="auto"/>
              <w:bottom w:val="single" w:sz="4" w:space="0" w:color="000000"/>
              <w:right w:val="nil"/>
            </w:tcBorders>
            <w:vAlign w:val="center"/>
            <w:hideMark/>
          </w:tcPr>
          <w:p w:rsidR="00527F03" w:rsidRPr="009212B7" w:rsidRDefault="00527F03" w:rsidP="00C53E10">
            <w:pPr>
              <w:spacing w:after="0" w:line="240" w:lineRule="auto"/>
              <w:rPr>
                <w:rFonts w:eastAsia="Times New Roman" w:cs="Arial"/>
                <w:color w:val="000000"/>
                <w:sz w:val="24"/>
                <w:szCs w:val="24"/>
                <w:lang w:val="en-US"/>
              </w:rPr>
            </w:pPr>
          </w:p>
        </w:tc>
        <w:tc>
          <w:tcPr>
            <w:tcW w:w="2250" w:type="dxa"/>
            <w:tcBorders>
              <w:top w:val="nil"/>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Sig. (2-tailed)</w:t>
            </w:r>
          </w:p>
        </w:tc>
        <w:tc>
          <w:tcPr>
            <w:tcW w:w="2160" w:type="dxa"/>
            <w:tcBorders>
              <w:top w:val="nil"/>
              <w:left w:val="single" w:sz="4" w:space="0" w:color="000000"/>
              <w:bottom w:val="nil"/>
              <w:right w:val="single" w:sz="4" w:space="0" w:color="000000"/>
            </w:tcBorders>
            <w:shd w:val="clear" w:color="auto" w:fill="auto"/>
            <w:noWrap/>
            <w:hideMark/>
          </w:tcPr>
          <w:p w:rsidR="00527F03" w:rsidRPr="00B41E66" w:rsidRDefault="00527F03" w:rsidP="00C53E10">
            <w:pPr>
              <w:spacing w:after="0" w:line="240" w:lineRule="auto"/>
              <w:jc w:val="center"/>
              <w:rPr>
                <w:rFonts w:eastAsia="Times New Roman" w:cs="Arial"/>
                <w:b/>
                <w:i/>
                <w:color w:val="000000"/>
                <w:sz w:val="24"/>
                <w:szCs w:val="24"/>
                <w:lang w:val="en-US"/>
              </w:rPr>
            </w:pPr>
            <w:r w:rsidRPr="00B41E66">
              <w:rPr>
                <w:rFonts w:eastAsia="Times New Roman" w:cs="Arial"/>
                <w:b/>
                <w:i/>
                <w:color w:val="000000"/>
                <w:sz w:val="24"/>
                <w:szCs w:val="24"/>
                <w:lang w:val="en-US"/>
              </w:rPr>
              <w:t>0.003*</w:t>
            </w:r>
          </w:p>
        </w:tc>
        <w:tc>
          <w:tcPr>
            <w:tcW w:w="2250" w:type="dxa"/>
            <w:tcBorders>
              <w:top w:val="nil"/>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0.826</w:t>
            </w:r>
          </w:p>
        </w:tc>
      </w:tr>
      <w:tr w:rsidR="00527F03" w:rsidTr="00C53E10">
        <w:trPr>
          <w:trHeight w:val="300"/>
        </w:trPr>
        <w:tc>
          <w:tcPr>
            <w:tcW w:w="2880" w:type="dxa"/>
            <w:vMerge w:val="restart"/>
            <w:tcBorders>
              <w:top w:val="single" w:sz="4" w:space="0" w:color="000000"/>
              <w:left w:val="single" w:sz="8" w:space="0" w:color="auto"/>
              <w:bottom w:val="single" w:sz="4" w:space="0" w:color="000000"/>
              <w:right w:val="nil"/>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Presence of Subdural hematoma</w:t>
            </w:r>
          </w:p>
        </w:tc>
        <w:tc>
          <w:tcPr>
            <w:tcW w:w="2250" w:type="dxa"/>
            <w:tcBorders>
              <w:top w:val="single" w:sz="4" w:space="0" w:color="000000"/>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Pearson Correlation</w:t>
            </w:r>
          </w:p>
        </w:tc>
        <w:tc>
          <w:tcPr>
            <w:tcW w:w="2160" w:type="dxa"/>
            <w:tcBorders>
              <w:top w:val="single" w:sz="4" w:space="0" w:color="000000"/>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0.005</w:t>
            </w:r>
          </w:p>
        </w:tc>
        <w:tc>
          <w:tcPr>
            <w:tcW w:w="2250" w:type="dxa"/>
            <w:tcBorders>
              <w:top w:val="single" w:sz="4" w:space="0" w:color="000000"/>
              <w:left w:val="nil"/>
              <w:bottom w:val="nil"/>
              <w:right w:val="single" w:sz="8" w:space="0" w:color="auto"/>
            </w:tcBorders>
            <w:shd w:val="clear" w:color="auto" w:fill="auto"/>
            <w:noWrap/>
            <w:hideMark/>
          </w:tcPr>
          <w:p w:rsidR="00527F03" w:rsidRPr="00B41E66" w:rsidRDefault="00527F03" w:rsidP="00C53E10">
            <w:pPr>
              <w:spacing w:after="0" w:line="240" w:lineRule="auto"/>
              <w:jc w:val="center"/>
              <w:rPr>
                <w:rFonts w:eastAsia="Times New Roman" w:cs="Arial"/>
                <w:color w:val="000000"/>
                <w:sz w:val="24"/>
                <w:szCs w:val="24"/>
                <w:lang w:val="en-US"/>
              </w:rPr>
            </w:pPr>
            <w:r>
              <w:rPr>
                <w:rFonts w:eastAsia="Times New Roman" w:cs="Arial"/>
                <w:color w:val="000000"/>
                <w:sz w:val="24"/>
                <w:szCs w:val="24"/>
                <w:lang w:val="en-US"/>
              </w:rPr>
              <w:t>0.002</w:t>
            </w:r>
          </w:p>
        </w:tc>
      </w:tr>
      <w:tr w:rsidR="00527F03" w:rsidTr="00C53E10">
        <w:trPr>
          <w:trHeight w:val="300"/>
        </w:trPr>
        <w:tc>
          <w:tcPr>
            <w:tcW w:w="2880" w:type="dxa"/>
            <w:vMerge/>
            <w:tcBorders>
              <w:top w:val="single" w:sz="4" w:space="0" w:color="000000"/>
              <w:left w:val="single" w:sz="8" w:space="0" w:color="auto"/>
              <w:bottom w:val="single" w:sz="4" w:space="0" w:color="000000"/>
              <w:right w:val="nil"/>
            </w:tcBorders>
            <w:vAlign w:val="center"/>
            <w:hideMark/>
          </w:tcPr>
          <w:p w:rsidR="00527F03" w:rsidRPr="009212B7" w:rsidRDefault="00527F03" w:rsidP="00C53E10">
            <w:pPr>
              <w:spacing w:after="0" w:line="240" w:lineRule="auto"/>
              <w:rPr>
                <w:rFonts w:eastAsia="Times New Roman" w:cs="Arial"/>
                <w:color w:val="000000"/>
                <w:sz w:val="24"/>
                <w:szCs w:val="24"/>
                <w:lang w:val="en-US"/>
              </w:rPr>
            </w:pPr>
          </w:p>
        </w:tc>
        <w:tc>
          <w:tcPr>
            <w:tcW w:w="2250" w:type="dxa"/>
            <w:tcBorders>
              <w:top w:val="nil"/>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Sig. (2-tailed)</w:t>
            </w:r>
          </w:p>
        </w:tc>
        <w:tc>
          <w:tcPr>
            <w:tcW w:w="2160" w:type="dxa"/>
            <w:tcBorders>
              <w:top w:val="nil"/>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0.956</w:t>
            </w:r>
          </w:p>
        </w:tc>
        <w:tc>
          <w:tcPr>
            <w:tcW w:w="2250" w:type="dxa"/>
            <w:tcBorders>
              <w:top w:val="nil"/>
              <w:left w:val="nil"/>
              <w:bottom w:val="nil"/>
              <w:right w:val="single" w:sz="8" w:space="0" w:color="auto"/>
            </w:tcBorders>
            <w:shd w:val="clear" w:color="auto" w:fill="auto"/>
            <w:noWrap/>
            <w:hideMark/>
          </w:tcPr>
          <w:p w:rsidR="00527F03" w:rsidRPr="00B41E66" w:rsidRDefault="00527F03" w:rsidP="00C53E10">
            <w:pPr>
              <w:spacing w:after="0" w:line="240" w:lineRule="auto"/>
              <w:jc w:val="center"/>
              <w:rPr>
                <w:rFonts w:eastAsia="Times New Roman" w:cs="Arial"/>
                <w:color w:val="000000"/>
                <w:sz w:val="24"/>
                <w:szCs w:val="24"/>
                <w:lang w:val="en-US"/>
              </w:rPr>
            </w:pPr>
            <w:r w:rsidRPr="00B41E66">
              <w:rPr>
                <w:rFonts w:eastAsia="Times New Roman" w:cs="Arial"/>
                <w:color w:val="000000"/>
                <w:sz w:val="24"/>
                <w:szCs w:val="24"/>
                <w:lang w:val="en-US"/>
              </w:rPr>
              <w:t>0.</w:t>
            </w:r>
            <w:r>
              <w:rPr>
                <w:rFonts w:eastAsia="Times New Roman" w:cs="Arial"/>
                <w:color w:val="000000"/>
                <w:sz w:val="24"/>
                <w:szCs w:val="24"/>
                <w:lang w:val="en-US"/>
              </w:rPr>
              <w:t>989</w:t>
            </w:r>
          </w:p>
        </w:tc>
      </w:tr>
      <w:tr w:rsidR="00527F03" w:rsidTr="00C53E10">
        <w:trPr>
          <w:trHeight w:val="300"/>
        </w:trPr>
        <w:tc>
          <w:tcPr>
            <w:tcW w:w="2880" w:type="dxa"/>
            <w:vMerge w:val="restart"/>
            <w:tcBorders>
              <w:top w:val="single" w:sz="4" w:space="0" w:color="000000"/>
              <w:left w:val="single" w:sz="8" w:space="0" w:color="auto"/>
              <w:bottom w:val="single" w:sz="4" w:space="0" w:color="000000"/>
              <w:right w:val="nil"/>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Presence of Intracerebral hematoma</w:t>
            </w:r>
          </w:p>
        </w:tc>
        <w:tc>
          <w:tcPr>
            <w:tcW w:w="2250" w:type="dxa"/>
            <w:tcBorders>
              <w:top w:val="single" w:sz="4" w:space="0" w:color="000000"/>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Pearson Correlation</w:t>
            </w:r>
          </w:p>
        </w:tc>
        <w:tc>
          <w:tcPr>
            <w:tcW w:w="2160" w:type="dxa"/>
            <w:tcBorders>
              <w:top w:val="single" w:sz="4" w:space="0" w:color="000000"/>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-0.020</w:t>
            </w:r>
          </w:p>
        </w:tc>
        <w:tc>
          <w:tcPr>
            <w:tcW w:w="2250" w:type="dxa"/>
            <w:tcBorders>
              <w:top w:val="single" w:sz="4" w:space="0" w:color="000000"/>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-0.054</w:t>
            </w:r>
          </w:p>
        </w:tc>
      </w:tr>
      <w:tr w:rsidR="00527F03" w:rsidTr="00C53E10">
        <w:trPr>
          <w:trHeight w:val="300"/>
        </w:trPr>
        <w:tc>
          <w:tcPr>
            <w:tcW w:w="2880" w:type="dxa"/>
            <w:vMerge/>
            <w:tcBorders>
              <w:top w:val="single" w:sz="4" w:space="0" w:color="000000"/>
              <w:left w:val="single" w:sz="8" w:space="0" w:color="auto"/>
              <w:bottom w:val="single" w:sz="4" w:space="0" w:color="000000"/>
              <w:right w:val="nil"/>
            </w:tcBorders>
            <w:vAlign w:val="center"/>
            <w:hideMark/>
          </w:tcPr>
          <w:p w:rsidR="00527F03" w:rsidRPr="009212B7" w:rsidRDefault="00527F03" w:rsidP="00C53E10">
            <w:pPr>
              <w:spacing w:after="0" w:line="240" w:lineRule="auto"/>
              <w:rPr>
                <w:rFonts w:eastAsia="Times New Roman" w:cs="Arial"/>
                <w:color w:val="000000"/>
                <w:sz w:val="24"/>
                <w:szCs w:val="24"/>
                <w:lang w:val="en-US"/>
              </w:rPr>
            </w:pPr>
          </w:p>
        </w:tc>
        <w:tc>
          <w:tcPr>
            <w:tcW w:w="2250" w:type="dxa"/>
            <w:tcBorders>
              <w:top w:val="nil"/>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Sig. (2-tailed)</w:t>
            </w:r>
          </w:p>
        </w:tc>
        <w:tc>
          <w:tcPr>
            <w:tcW w:w="2160" w:type="dxa"/>
            <w:tcBorders>
              <w:top w:val="nil"/>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0.831</w:t>
            </w:r>
          </w:p>
        </w:tc>
        <w:tc>
          <w:tcPr>
            <w:tcW w:w="2250" w:type="dxa"/>
            <w:tcBorders>
              <w:top w:val="nil"/>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0.614</w:t>
            </w:r>
          </w:p>
        </w:tc>
      </w:tr>
      <w:tr w:rsidR="00527F03" w:rsidTr="00C53E10">
        <w:trPr>
          <w:trHeight w:val="300"/>
        </w:trPr>
        <w:tc>
          <w:tcPr>
            <w:tcW w:w="2880" w:type="dxa"/>
            <w:vMerge w:val="restart"/>
            <w:tcBorders>
              <w:top w:val="single" w:sz="4" w:space="0" w:color="000000"/>
              <w:left w:val="single" w:sz="8" w:space="0" w:color="auto"/>
              <w:bottom w:val="single" w:sz="4" w:space="0" w:color="000000"/>
              <w:right w:val="nil"/>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Presence of Traumatic Subarachnoid hemorrhage</w:t>
            </w:r>
          </w:p>
        </w:tc>
        <w:tc>
          <w:tcPr>
            <w:tcW w:w="2250" w:type="dxa"/>
            <w:tcBorders>
              <w:top w:val="single" w:sz="4" w:space="0" w:color="000000"/>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Pearson Correlation</w:t>
            </w:r>
          </w:p>
        </w:tc>
        <w:tc>
          <w:tcPr>
            <w:tcW w:w="2160" w:type="dxa"/>
            <w:tcBorders>
              <w:top w:val="single" w:sz="4" w:space="0" w:color="000000"/>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-0.117</w:t>
            </w:r>
          </w:p>
        </w:tc>
        <w:tc>
          <w:tcPr>
            <w:tcW w:w="2250" w:type="dxa"/>
            <w:tcBorders>
              <w:top w:val="single" w:sz="4" w:space="0" w:color="000000"/>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b/>
                <w:i/>
                <w:color w:val="000000"/>
                <w:sz w:val="24"/>
                <w:szCs w:val="24"/>
                <w:lang w:val="en-US"/>
              </w:rPr>
            </w:pPr>
            <w:r w:rsidRPr="009212B7">
              <w:rPr>
                <w:rFonts w:eastAsia="Times New Roman" w:cs="Arial"/>
                <w:b/>
                <w:i/>
                <w:color w:val="000000"/>
                <w:sz w:val="24"/>
                <w:szCs w:val="24"/>
                <w:lang w:val="en-US"/>
              </w:rPr>
              <w:t>0.213</w:t>
            </w:r>
            <w:r w:rsidRPr="009212B7">
              <w:rPr>
                <w:rFonts w:eastAsia="Times New Roman" w:cs="Arial"/>
                <w:b/>
                <w:i/>
                <w:color w:val="000000"/>
                <w:sz w:val="24"/>
                <w:szCs w:val="24"/>
                <w:vertAlign w:val="superscript"/>
                <w:lang w:val="en-US"/>
              </w:rPr>
              <w:t>*</w:t>
            </w:r>
          </w:p>
        </w:tc>
      </w:tr>
      <w:tr w:rsidR="00527F03" w:rsidTr="00C53E10">
        <w:trPr>
          <w:trHeight w:val="300"/>
        </w:trPr>
        <w:tc>
          <w:tcPr>
            <w:tcW w:w="2880" w:type="dxa"/>
            <w:vMerge/>
            <w:tcBorders>
              <w:top w:val="single" w:sz="4" w:space="0" w:color="000000"/>
              <w:left w:val="single" w:sz="8" w:space="0" w:color="auto"/>
              <w:bottom w:val="single" w:sz="4" w:space="0" w:color="000000"/>
              <w:right w:val="nil"/>
            </w:tcBorders>
            <w:vAlign w:val="center"/>
            <w:hideMark/>
          </w:tcPr>
          <w:p w:rsidR="00527F03" w:rsidRPr="009212B7" w:rsidRDefault="00527F03" w:rsidP="00C53E10">
            <w:pPr>
              <w:spacing w:after="0" w:line="240" w:lineRule="auto"/>
              <w:rPr>
                <w:rFonts w:eastAsia="Times New Roman" w:cs="Arial"/>
                <w:color w:val="000000"/>
                <w:sz w:val="24"/>
                <w:szCs w:val="24"/>
                <w:lang w:val="en-US"/>
              </w:rPr>
            </w:pPr>
          </w:p>
        </w:tc>
        <w:tc>
          <w:tcPr>
            <w:tcW w:w="2250" w:type="dxa"/>
            <w:tcBorders>
              <w:top w:val="nil"/>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Sig. (2-tailed)</w:t>
            </w:r>
          </w:p>
        </w:tc>
        <w:tc>
          <w:tcPr>
            <w:tcW w:w="2160" w:type="dxa"/>
            <w:tcBorders>
              <w:top w:val="nil"/>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0.208</w:t>
            </w:r>
          </w:p>
        </w:tc>
        <w:tc>
          <w:tcPr>
            <w:tcW w:w="2250" w:type="dxa"/>
            <w:tcBorders>
              <w:top w:val="nil"/>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b/>
                <w:i/>
                <w:color w:val="000000"/>
                <w:sz w:val="24"/>
                <w:szCs w:val="24"/>
                <w:lang w:val="en-US"/>
              </w:rPr>
            </w:pPr>
            <w:r w:rsidRPr="009212B7">
              <w:rPr>
                <w:rFonts w:eastAsia="Times New Roman" w:cs="Arial"/>
                <w:b/>
                <w:i/>
                <w:color w:val="000000"/>
                <w:sz w:val="24"/>
                <w:szCs w:val="24"/>
                <w:lang w:val="en-US"/>
              </w:rPr>
              <w:t>0.047</w:t>
            </w:r>
          </w:p>
        </w:tc>
      </w:tr>
      <w:tr w:rsidR="00527F03" w:rsidTr="00C53E10">
        <w:trPr>
          <w:trHeight w:val="300"/>
        </w:trPr>
        <w:tc>
          <w:tcPr>
            <w:tcW w:w="2880" w:type="dxa"/>
            <w:vMerge w:val="restart"/>
            <w:tcBorders>
              <w:top w:val="single" w:sz="4" w:space="0" w:color="000000"/>
              <w:left w:val="single" w:sz="8" w:space="0" w:color="auto"/>
              <w:bottom w:val="single" w:sz="4" w:space="0" w:color="000000"/>
              <w:right w:val="nil"/>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Pr>
                <w:rFonts w:eastAsia="Times New Roman" w:cs="Arial"/>
                <w:color w:val="000000"/>
                <w:sz w:val="24"/>
                <w:szCs w:val="24"/>
                <w:lang w:val="en-US"/>
              </w:rPr>
              <w:t>Presence of Contusion</w:t>
            </w:r>
            <w:r w:rsidRPr="009212B7">
              <w:rPr>
                <w:rFonts w:eastAsia="Times New Roman" w:cs="Arial"/>
                <w:color w:val="000000"/>
                <w:sz w:val="24"/>
                <w:szCs w:val="24"/>
                <w:lang w:val="en-US"/>
              </w:rPr>
              <w:t xml:space="preserve"> hemorrhages</w:t>
            </w:r>
          </w:p>
        </w:tc>
        <w:tc>
          <w:tcPr>
            <w:tcW w:w="2250" w:type="dxa"/>
            <w:tcBorders>
              <w:top w:val="single" w:sz="4" w:space="0" w:color="000000"/>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Pearson Correlation</w:t>
            </w:r>
          </w:p>
        </w:tc>
        <w:tc>
          <w:tcPr>
            <w:tcW w:w="2160" w:type="dxa"/>
            <w:tcBorders>
              <w:top w:val="single" w:sz="4" w:space="0" w:color="000000"/>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0.081</w:t>
            </w:r>
          </w:p>
        </w:tc>
        <w:tc>
          <w:tcPr>
            <w:tcW w:w="2250" w:type="dxa"/>
            <w:tcBorders>
              <w:top w:val="single" w:sz="4" w:space="0" w:color="000000"/>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-0.103</w:t>
            </w:r>
          </w:p>
        </w:tc>
      </w:tr>
      <w:tr w:rsidR="00527F03" w:rsidTr="00C53E10">
        <w:trPr>
          <w:trHeight w:val="300"/>
        </w:trPr>
        <w:tc>
          <w:tcPr>
            <w:tcW w:w="2880" w:type="dxa"/>
            <w:vMerge/>
            <w:tcBorders>
              <w:top w:val="single" w:sz="4" w:space="0" w:color="000000"/>
              <w:left w:val="single" w:sz="8" w:space="0" w:color="auto"/>
              <w:bottom w:val="single" w:sz="4" w:space="0" w:color="000000"/>
              <w:right w:val="nil"/>
            </w:tcBorders>
            <w:vAlign w:val="center"/>
            <w:hideMark/>
          </w:tcPr>
          <w:p w:rsidR="00527F03" w:rsidRPr="009212B7" w:rsidRDefault="00527F03" w:rsidP="00C53E10">
            <w:pPr>
              <w:spacing w:after="0" w:line="240" w:lineRule="auto"/>
              <w:rPr>
                <w:rFonts w:eastAsia="Times New Roman" w:cs="Arial"/>
                <w:color w:val="000000"/>
                <w:sz w:val="24"/>
                <w:szCs w:val="24"/>
                <w:lang w:val="en-US"/>
              </w:rPr>
            </w:pPr>
          </w:p>
        </w:tc>
        <w:tc>
          <w:tcPr>
            <w:tcW w:w="2250" w:type="dxa"/>
            <w:tcBorders>
              <w:top w:val="nil"/>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Sig. (2-tailed)</w:t>
            </w:r>
          </w:p>
        </w:tc>
        <w:tc>
          <w:tcPr>
            <w:tcW w:w="2160" w:type="dxa"/>
            <w:tcBorders>
              <w:top w:val="nil"/>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0.387</w:t>
            </w:r>
          </w:p>
        </w:tc>
        <w:tc>
          <w:tcPr>
            <w:tcW w:w="2250" w:type="dxa"/>
            <w:tcBorders>
              <w:top w:val="nil"/>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0.338</w:t>
            </w:r>
          </w:p>
        </w:tc>
      </w:tr>
      <w:tr w:rsidR="00527F03" w:rsidTr="00C53E10">
        <w:trPr>
          <w:trHeight w:val="300"/>
        </w:trPr>
        <w:tc>
          <w:tcPr>
            <w:tcW w:w="2880" w:type="dxa"/>
            <w:vMerge w:val="restart"/>
            <w:tcBorders>
              <w:top w:val="single" w:sz="4" w:space="0" w:color="000000"/>
              <w:left w:val="single" w:sz="8" w:space="0" w:color="auto"/>
              <w:bottom w:val="single" w:sz="4" w:space="0" w:color="000000"/>
              <w:right w:val="nil"/>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Epidural Hematoma volume (ml)</w:t>
            </w:r>
          </w:p>
        </w:tc>
        <w:tc>
          <w:tcPr>
            <w:tcW w:w="2250" w:type="dxa"/>
            <w:tcBorders>
              <w:top w:val="single" w:sz="4" w:space="0" w:color="000000"/>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Pearson Correlation</w:t>
            </w:r>
          </w:p>
        </w:tc>
        <w:tc>
          <w:tcPr>
            <w:tcW w:w="2160" w:type="dxa"/>
            <w:tcBorders>
              <w:top w:val="single" w:sz="4" w:space="0" w:color="000000"/>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0.104</w:t>
            </w:r>
          </w:p>
        </w:tc>
        <w:tc>
          <w:tcPr>
            <w:tcW w:w="2250" w:type="dxa"/>
            <w:tcBorders>
              <w:top w:val="single" w:sz="4" w:space="0" w:color="000000"/>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-0.265</w:t>
            </w:r>
          </w:p>
        </w:tc>
      </w:tr>
      <w:tr w:rsidR="00527F03" w:rsidTr="00C53E10">
        <w:trPr>
          <w:trHeight w:val="300"/>
        </w:trPr>
        <w:tc>
          <w:tcPr>
            <w:tcW w:w="2880" w:type="dxa"/>
            <w:vMerge/>
            <w:tcBorders>
              <w:top w:val="single" w:sz="4" w:space="0" w:color="000000"/>
              <w:left w:val="single" w:sz="8" w:space="0" w:color="auto"/>
              <w:bottom w:val="single" w:sz="4" w:space="0" w:color="000000"/>
              <w:right w:val="nil"/>
            </w:tcBorders>
            <w:vAlign w:val="center"/>
            <w:hideMark/>
          </w:tcPr>
          <w:p w:rsidR="00527F03" w:rsidRPr="009212B7" w:rsidRDefault="00527F03" w:rsidP="00C53E10">
            <w:pPr>
              <w:spacing w:after="0" w:line="240" w:lineRule="auto"/>
              <w:rPr>
                <w:rFonts w:eastAsia="Times New Roman" w:cs="Arial"/>
                <w:color w:val="000000"/>
                <w:sz w:val="24"/>
                <w:szCs w:val="24"/>
                <w:lang w:val="en-US"/>
              </w:rPr>
            </w:pPr>
          </w:p>
        </w:tc>
        <w:tc>
          <w:tcPr>
            <w:tcW w:w="2250" w:type="dxa"/>
            <w:tcBorders>
              <w:top w:val="nil"/>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Sig. (2-tailed)</w:t>
            </w:r>
          </w:p>
        </w:tc>
        <w:tc>
          <w:tcPr>
            <w:tcW w:w="2160" w:type="dxa"/>
            <w:tcBorders>
              <w:top w:val="nil"/>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0.723</w:t>
            </w:r>
          </w:p>
        </w:tc>
        <w:tc>
          <w:tcPr>
            <w:tcW w:w="2250" w:type="dxa"/>
            <w:tcBorders>
              <w:top w:val="nil"/>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0.431</w:t>
            </w:r>
          </w:p>
        </w:tc>
      </w:tr>
      <w:tr w:rsidR="00527F03" w:rsidTr="00C53E10">
        <w:trPr>
          <w:trHeight w:val="300"/>
        </w:trPr>
        <w:tc>
          <w:tcPr>
            <w:tcW w:w="2880" w:type="dxa"/>
            <w:vMerge w:val="restart"/>
            <w:tcBorders>
              <w:top w:val="single" w:sz="4" w:space="0" w:color="000000"/>
              <w:left w:val="single" w:sz="8" w:space="0" w:color="auto"/>
              <w:bottom w:val="single" w:sz="4" w:space="0" w:color="000000"/>
              <w:right w:val="nil"/>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Subdural hematoma Thickness (mm)</w:t>
            </w:r>
          </w:p>
        </w:tc>
        <w:tc>
          <w:tcPr>
            <w:tcW w:w="2250" w:type="dxa"/>
            <w:tcBorders>
              <w:top w:val="single" w:sz="4" w:space="0" w:color="000000"/>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Pearson Correlation</w:t>
            </w:r>
          </w:p>
        </w:tc>
        <w:tc>
          <w:tcPr>
            <w:tcW w:w="2160" w:type="dxa"/>
            <w:tcBorders>
              <w:top w:val="single" w:sz="4" w:space="0" w:color="000000"/>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-0.036</w:t>
            </w:r>
          </w:p>
        </w:tc>
        <w:tc>
          <w:tcPr>
            <w:tcW w:w="2250" w:type="dxa"/>
            <w:tcBorders>
              <w:top w:val="single" w:sz="4" w:space="0" w:color="000000"/>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-0.213</w:t>
            </w:r>
          </w:p>
        </w:tc>
      </w:tr>
      <w:tr w:rsidR="00527F03" w:rsidTr="00C53E10">
        <w:trPr>
          <w:trHeight w:val="300"/>
        </w:trPr>
        <w:tc>
          <w:tcPr>
            <w:tcW w:w="2880" w:type="dxa"/>
            <w:vMerge/>
            <w:tcBorders>
              <w:top w:val="single" w:sz="4" w:space="0" w:color="000000"/>
              <w:left w:val="single" w:sz="8" w:space="0" w:color="auto"/>
              <w:bottom w:val="single" w:sz="4" w:space="0" w:color="000000"/>
              <w:right w:val="nil"/>
            </w:tcBorders>
            <w:vAlign w:val="center"/>
            <w:hideMark/>
          </w:tcPr>
          <w:p w:rsidR="00527F03" w:rsidRPr="009212B7" w:rsidRDefault="00527F03" w:rsidP="00C53E10">
            <w:pPr>
              <w:spacing w:after="0" w:line="240" w:lineRule="auto"/>
              <w:rPr>
                <w:rFonts w:eastAsia="Times New Roman" w:cs="Arial"/>
                <w:color w:val="000000"/>
                <w:sz w:val="24"/>
                <w:szCs w:val="24"/>
                <w:lang w:val="en-US"/>
              </w:rPr>
            </w:pPr>
          </w:p>
        </w:tc>
        <w:tc>
          <w:tcPr>
            <w:tcW w:w="2250" w:type="dxa"/>
            <w:tcBorders>
              <w:top w:val="nil"/>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Sig. (2-tailed)</w:t>
            </w:r>
          </w:p>
        </w:tc>
        <w:tc>
          <w:tcPr>
            <w:tcW w:w="2160" w:type="dxa"/>
            <w:tcBorders>
              <w:top w:val="nil"/>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0.835</w:t>
            </w:r>
          </w:p>
        </w:tc>
        <w:tc>
          <w:tcPr>
            <w:tcW w:w="2250" w:type="dxa"/>
            <w:tcBorders>
              <w:top w:val="nil"/>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0.258</w:t>
            </w:r>
          </w:p>
        </w:tc>
      </w:tr>
      <w:tr w:rsidR="00527F03" w:rsidTr="00C53E10">
        <w:trPr>
          <w:trHeight w:val="300"/>
        </w:trPr>
        <w:tc>
          <w:tcPr>
            <w:tcW w:w="2880" w:type="dxa"/>
            <w:vMerge w:val="restart"/>
            <w:tcBorders>
              <w:top w:val="single" w:sz="4" w:space="0" w:color="000000"/>
              <w:left w:val="single" w:sz="8" w:space="0" w:color="auto"/>
              <w:bottom w:val="single" w:sz="8" w:space="0" w:color="000000"/>
              <w:right w:val="nil"/>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Intracerebral hematoma Volume (ml)</w:t>
            </w:r>
          </w:p>
        </w:tc>
        <w:tc>
          <w:tcPr>
            <w:tcW w:w="2250" w:type="dxa"/>
            <w:tcBorders>
              <w:top w:val="single" w:sz="4" w:space="0" w:color="000000"/>
              <w:left w:val="nil"/>
              <w:bottom w:val="nil"/>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Pearson Correlation</w:t>
            </w:r>
          </w:p>
        </w:tc>
        <w:tc>
          <w:tcPr>
            <w:tcW w:w="2160" w:type="dxa"/>
            <w:tcBorders>
              <w:top w:val="single" w:sz="4" w:space="0" w:color="000000"/>
              <w:left w:val="single" w:sz="4" w:space="0" w:color="000000"/>
              <w:bottom w:val="nil"/>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0.225</w:t>
            </w:r>
          </w:p>
        </w:tc>
        <w:tc>
          <w:tcPr>
            <w:tcW w:w="2250" w:type="dxa"/>
            <w:tcBorders>
              <w:top w:val="single" w:sz="4" w:space="0" w:color="000000"/>
              <w:left w:val="nil"/>
              <w:bottom w:val="nil"/>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-0.393</w:t>
            </w:r>
          </w:p>
        </w:tc>
      </w:tr>
      <w:tr w:rsidR="00527F03" w:rsidTr="00C53E10">
        <w:trPr>
          <w:trHeight w:val="315"/>
        </w:trPr>
        <w:tc>
          <w:tcPr>
            <w:tcW w:w="2880" w:type="dxa"/>
            <w:vMerge/>
            <w:tcBorders>
              <w:top w:val="single" w:sz="4" w:space="0" w:color="000000"/>
              <w:left w:val="single" w:sz="8" w:space="0" w:color="auto"/>
              <w:bottom w:val="single" w:sz="8" w:space="0" w:color="000000"/>
              <w:right w:val="nil"/>
            </w:tcBorders>
            <w:vAlign w:val="center"/>
            <w:hideMark/>
          </w:tcPr>
          <w:p w:rsidR="00527F03" w:rsidRPr="009212B7" w:rsidRDefault="00527F03" w:rsidP="00C53E10">
            <w:pPr>
              <w:spacing w:after="0" w:line="240" w:lineRule="auto"/>
              <w:rPr>
                <w:rFonts w:eastAsia="Times New Roman" w:cs="Arial"/>
                <w:color w:val="000000"/>
                <w:sz w:val="24"/>
                <w:szCs w:val="24"/>
                <w:lang w:val="en-US"/>
              </w:rPr>
            </w:pPr>
          </w:p>
        </w:tc>
        <w:tc>
          <w:tcPr>
            <w:tcW w:w="2250" w:type="dxa"/>
            <w:tcBorders>
              <w:top w:val="nil"/>
              <w:left w:val="nil"/>
              <w:bottom w:val="single" w:sz="8" w:space="0" w:color="auto"/>
              <w:right w:val="single" w:sz="8" w:space="0" w:color="000000"/>
            </w:tcBorders>
            <w:shd w:val="clear" w:color="auto" w:fill="auto"/>
            <w:hideMark/>
          </w:tcPr>
          <w:p w:rsidR="00527F03" w:rsidRPr="009212B7" w:rsidRDefault="00527F03" w:rsidP="00C53E10">
            <w:pPr>
              <w:spacing w:after="0" w:line="240" w:lineRule="auto"/>
              <w:rPr>
                <w:rFonts w:eastAsia="Times New Roman" w:cs="Arial"/>
                <w:color w:val="000000"/>
                <w:sz w:val="24"/>
                <w:szCs w:val="24"/>
                <w:lang w:val="en-US"/>
              </w:rPr>
            </w:pPr>
            <w:r w:rsidRPr="009212B7">
              <w:rPr>
                <w:rFonts w:eastAsia="Times New Roman" w:cs="Arial"/>
                <w:color w:val="000000"/>
                <w:sz w:val="24"/>
                <w:szCs w:val="24"/>
                <w:lang w:val="en-US"/>
              </w:rPr>
              <w:t>Sig. (2-tailed)</w:t>
            </w:r>
          </w:p>
        </w:tc>
        <w:tc>
          <w:tcPr>
            <w:tcW w:w="2160" w:type="dxa"/>
            <w:tcBorders>
              <w:top w:val="nil"/>
              <w:left w:val="single" w:sz="4" w:space="0" w:color="000000"/>
              <w:bottom w:val="single" w:sz="8" w:space="0" w:color="auto"/>
              <w:right w:val="single" w:sz="4" w:space="0" w:color="000000"/>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0.593</w:t>
            </w:r>
          </w:p>
        </w:tc>
        <w:tc>
          <w:tcPr>
            <w:tcW w:w="2250" w:type="dxa"/>
            <w:tcBorders>
              <w:top w:val="nil"/>
              <w:left w:val="nil"/>
              <w:bottom w:val="single" w:sz="8" w:space="0" w:color="auto"/>
              <w:right w:val="single" w:sz="8" w:space="0" w:color="auto"/>
            </w:tcBorders>
            <w:shd w:val="clear" w:color="auto" w:fill="auto"/>
            <w:noWrap/>
            <w:hideMark/>
          </w:tcPr>
          <w:p w:rsidR="00527F03" w:rsidRPr="009212B7" w:rsidRDefault="00527F03" w:rsidP="00C53E10">
            <w:pPr>
              <w:spacing w:after="0" w:line="240" w:lineRule="auto"/>
              <w:jc w:val="center"/>
              <w:rPr>
                <w:rFonts w:eastAsia="Times New Roman" w:cs="Arial"/>
                <w:color w:val="000000"/>
                <w:sz w:val="24"/>
                <w:szCs w:val="24"/>
                <w:lang w:val="en-US"/>
              </w:rPr>
            </w:pPr>
            <w:r w:rsidRPr="009212B7">
              <w:rPr>
                <w:rFonts w:eastAsia="Times New Roman" w:cs="Arial"/>
                <w:color w:val="000000"/>
                <w:sz w:val="24"/>
                <w:szCs w:val="24"/>
                <w:lang w:val="en-US"/>
              </w:rPr>
              <w:t>0.383</w:t>
            </w:r>
          </w:p>
        </w:tc>
      </w:tr>
    </w:tbl>
    <w:p w:rsidR="00527F03" w:rsidRDefault="00527F03" w:rsidP="00527F03">
      <w:pPr>
        <w:rPr>
          <w:rFonts w:ascii="Times New Roman" w:hAnsi="Times New Roman" w:cs="Times New Roman"/>
          <w:b/>
        </w:rPr>
      </w:pPr>
    </w:p>
    <w:p w:rsidR="00527F03" w:rsidRDefault="00527F03" w:rsidP="00527F03"/>
    <w:p w:rsidR="007B001E" w:rsidRPr="00635E84" w:rsidRDefault="007B001E" w:rsidP="007B001E">
      <w:pPr>
        <w:spacing w:before="240" w:after="0" w:line="276" w:lineRule="auto"/>
        <w:jc w:val="both"/>
        <w:rPr>
          <w:rFonts w:ascii="Times New Roman" w:hAnsi="Times New Roman" w:cs="Times New Roman"/>
          <w:sz w:val="24"/>
          <w:szCs w:val="24"/>
        </w:rPr>
      </w:pPr>
      <w:r w:rsidRPr="007B001E">
        <w:rPr>
          <w:rFonts w:ascii="Times New Roman" w:hAnsi="Times New Roman" w:cs="Times New Roman"/>
          <w:sz w:val="24"/>
          <w:szCs w:val="24"/>
        </w:rPr>
        <w:t> </w:t>
      </w:r>
    </w:p>
    <w:p w:rsidR="00725821" w:rsidRDefault="00725821" w:rsidP="00F11B65">
      <w:pPr>
        <w:spacing w:before="240" w:after="0" w:line="276" w:lineRule="auto"/>
        <w:jc w:val="both"/>
        <w:rPr>
          <w:rFonts w:ascii="Times New Roman" w:hAnsi="Times New Roman" w:cs="Times New Roman"/>
          <w:sz w:val="24"/>
          <w:szCs w:val="24"/>
        </w:rPr>
      </w:pPr>
    </w:p>
    <w:p w:rsidR="00E132A7" w:rsidRDefault="00E132A7"/>
    <w:sectPr w:rsidR="00E13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34720"/>
    <w:multiLevelType w:val="hybridMultilevel"/>
    <w:tmpl w:val="9A7E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85311"/>
    <w:multiLevelType w:val="hybridMultilevel"/>
    <w:tmpl w:val="16F2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61"/>
    <w:rsid w:val="000138CC"/>
    <w:rsid w:val="00047D0E"/>
    <w:rsid w:val="00075F41"/>
    <w:rsid w:val="000766ED"/>
    <w:rsid w:val="000E3819"/>
    <w:rsid w:val="000F3C0D"/>
    <w:rsid w:val="00113BF2"/>
    <w:rsid w:val="00127BBB"/>
    <w:rsid w:val="0021105F"/>
    <w:rsid w:val="002574EC"/>
    <w:rsid w:val="002A1100"/>
    <w:rsid w:val="00301539"/>
    <w:rsid w:val="00324D48"/>
    <w:rsid w:val="00364882"/>
    <w:rsid w:val="003D3052"/>
    <w:rsid w:val="003F1076"/>
    <w:rsid w:val="0043324A"/>
    <w:rsid w:val="00457E02"/>
    <w:rsid w:val="00495508"/>
    <w:rsid w:val="004B7CF1"/>
    <w:rsid w:val="004D7D18"/>
    <w:rsid w:val="00527F03"/>
    <w:rsid w:val="00535263"/>
    <w:rsid w:val="00553D8E"/>
    <w:rsid w:val="005A2512"/>
    <w:rsid w:val="005D1B71"/>
    <w:rsid w:val="005D4B0B"/>
    <w:rsid w:val="005E535D"/>
    <w:rsid w:val="00635E84"/>
    <w:rsid w:val="00636657"/>
    <w:rsid w:val="00651879"/>
    <w:rsid w:val="00680672"/>
    <w:rsid w:val="006944DA"/>
    <w:rsid w:val="006F2B88"/>
    <w:rsid w:val="00707E95"/>
    <w:rsid w:val="00711462"/>
    <w:rsid w:val="00725821"/>
    <w:rsid w:val="00745300"/>
    <w:rsid w:val="00773529"/>
    <w:rsid w:val="007A6E7F"/>
    <w:rsid w:val="007B001E"/>
    <w:rsid w:val="007B71C1"/>
    <w:rsid w:val="007F475F"/>
    <w:rsid w:val="008335CC"/>
    <w:rsid w:val="00871C30"/>
    <w:rsid w:val="00885A49"/>
    <w:rsid w:val="008C62F1"/>
    <w:rsid w:val="00924246"/>
    <w:rsid w:val="0092457C"/>
    <w:rsid w:val="0093162D"/>
    <w:rsid w:val="0096667E"/>
    <w:rsid w:val="00975546"/>
    <w:rsid w:val="009A0C61"/>
    <w:rsid w:val="009D72B8"/>
    <w:rsid w:val="009D7B2B"/>
    <w:rsid w:val="009F6A38"/>
    <w:rsid w:val="009F755C"/>
    <w:rsid w:val="00A14332"/>
    <w:rsid w:val="00A14438"/>
    <w:rsid w:val="00A20E46"/>
    <w:rsid w:val="00A6229B"/>
    <w:rsid w:val="00A97173"/>
    <w:rsid w:val="00AC78F1"/>
    <w:rsid w:val="00AE332B"/>
    <w:rsid w:val="00B347EA"/>
    <w:rsid w:val="00B635B4"/>
    <w:rsid w:val="00B70814"/>
    <w:rsid w:val="00B935B0"/>
    <w:rsid w:val="00C04293"/>
    <w:rsid w:val="00C2698A"/>
    <w:rsid w:val="00C328A8"/>
    <w:rsid w:val="00C6123E"/>
    <w:rsid w:val="00C833B5"/>
    <w:rsid w:val="00CB0BE9"/>
    <w:rsid w:val="00CB5D95"/>
    <w:rsid w:val="00CD3F4C"/>
    <w:rsid w:val="00D1351B"/>
    <w:rsid w:val="00D22390"/>
    <w:rsid w:val="00D25CF8"/>
    <w:rsid w:val="00D521F8"/>
    <w:rsid w:val="00D52A73"/>
    <w:rsid w:val="00DA16F0"/>
    <w:rsid w:val="00E132A7"/>
    <w:rsid w:val="00E1344C"/>
    <w:rsid w:val="00E14CC0"/>
    <w:rsid w:val="00E555DE"/>
    <w:rsid w:val="00E63C60"/>
    <w:rsid w:val="00E92388"/>
    <w:rsid w:val="00EA4708"/>
    <w:rsid w:val="00F11B65"/>
    <w:rsid w:val="00F275D7"/>
    <w:rsid w:val="00F31A52"/>
    <w:rsid w:val="00F34331"/>
    <w:rsid w:val="00F87F4F"/>
    <w:rsid w:val="00FB1D15"/>
    <w:rsid w:val="00FC3F77"/>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4E31E-2823-48F6-9318-40A5D2DE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1076"/>
    <w:pPr>
      <w:ind w:left="720"/>
      <w:contextualSpacing/>
    </w:pPr>
  </w:style>
  <w:style w:type="character" w:styleId="Hyperlink">
    <w:name w:val="Hyperlink"/>
    <w:basedOn w:val="DefaultParagraphFont"/>
    <w:uiPriority w:val="99"/>
    <w:unhideWhenUsed/>
    <w:rsid w:val="003F1076"/>
    <w:rPr>
      <w:color w:val="0563C1" w:themeColor="hyperlink"/>
      <w:u w:val="single"/>
    </w:rPr>
  </w:style>
  <w:style w:type="paragraph" w:styleId="Caption">
    <w:name w:val="caption"/>
    <w:basedOn w:val="Normal"/>
    <w:next w:val="Normal"/>
    <w:uiPriority w:val="35"/>
    <w:unhideWhenUsed/>
    <w:qFormat/>
    <w:rsid w:val="00E132A7"/>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D521F8"/>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7723">
      <w:bodyDiv w:val="1"/>
      <w:marLeft w:val="0"/>
      <w:marRight w:val="0"/>
      <w:marTop w:val="0"/>
      <w:marBottom w:val="0"/>
      <w:divBdr>
        <w:top w:val="none" w:sz="0" w:space="0" w:color="auto"/>
        <w:left w:val="none" w:sz="0" w:space="0" w:color="auto"/>
        <w:bottom w:val="none" w:sz="0" w:space="0" w:color="auto"/>
        <w:right w:val="none" w:sz="0" w:space="0" w:color="auto"/>
      </w:divBdr>
      <w:divsChild>
        <w:div w:id="1887719917">
          <w:marLeft w:val="0"/>
          <w:marRight w:val="0"/>
          <w:marTop w:val="0"/>
          <w:marBottom w:val="0"/>
          <w:divBdr>
            <w:top w:val="none" w:sz="0" w:space="0" w:color="auto"/>
            <w:left w:val="none" w:sz="0" w:space="0" w:color="auto"/>
            <w:bottom w:val="none" w:sz="0" w:space="0" w:color="auto"/>
            <w:right w:val="none" w:sz="0" w:space="0" w:color="auto"/>
          </w:divBdr>
        </w:div>
        <w:div w:id="371660258">
          <w:marLeft w:val="0"/>
          <w:marRight w:val="0"/>
          <w:marTop w:val="0"/>
          <w:marBottom w:val="0"/>
          <w:divBdr>
            <w:top w:val="none" w:sz="0" w:space="0" w:color="auto"/>
            <w:left w:val="none" w:sz="0" w:space="0" w:color="auto"/>
            <w:bottom w:val="none" w:sz="0" w:space="0" w:color="auto"/>
            <w:right w:val="none" w:sz="0" w:space="0" w:color="auto"/>
          </w:divBdr>
        </w:div>
        <w:div w:id="238830892">
          <w:marLeft w:val="0"/>
          <w:marRight w:val="0"/>
          <w:marTop w:val="0"/>
          <w:marBottom w:val="0"/>
          <w:divBdr>
            <w:top w:val="none" w:sz="0" w:space="0" w:color="auto"/>
            <w:left w:val="none" w:sz="0" w:space="0" w:color="auto"/>
            <w:bottom w:val="none" w:sz="0" w:space="0" w:color="auto"/>
            <w:right w:val="none" w:sz="0" w:space="0" w:color="auto"/>
          </w:divBdr>
        </w:div>
        <w:div w:id="1379626447">
          <w:marLeft w:val="0"/>
          <w:marRight w:val="0"/>
          <w:marTop w:val="0"/>
          <w:marBottom w:val="0"/>
          <w:divBdr>
            <w:top w:val="none" w:sz="0" w:space="0" w:color="auto"/>
            <w:left w:val="none" w:sz="0" w:space="0" w:color="auto"/>
            <w:bottom w:val="none" w:sz="0" w:space="0" w:color="auto"/>
            <w:right w:val="none" w:sz="0" w:space="0" w:color="auto"/>
          </w:divBdr>
        </w:div>
        <w:div w:id="1363751585">
          <w:marLeft w:val="0"/>
          <w:marRight w:val="0"/>
          <w:marTop w:val="0"/>
          <w:marBottom w:val="0"/>
          <w:divBdr>
            <w:top w:val="none" w:sz="0" w:space="0" w:color="auto"/>
            <w:left w:val="none" w:sz="0" w:space="0" w:color="auto"/>
            <w:bottom w:val="none" w:sz="0" w:space="0" w:color="auto"/>
            <w:right w:val="none" w:sz="0" w:space="0" w:color="auto"/>
          </w:divBdr>
        </w:div>
        <w:div w:id="1833374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pmaseghe@gmail.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E:\NEUROSURGERY\Dissertation\Charts.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72145601427493"/>
          <c:y val="6.0538763134576491E-2"/>
          <c:w val="0.8779811682353772"/>
          <c:h val="0.77747134855937716"/>
        </c:manualLayout>
      </c:layout>
      <c:barChart>
        <c:barDir val="col"/>
        <c:grouping val="clustered"/>
        <c:varyColors val="0"/>
        <c:ser>
          <c:idx val="0"/>
          <c:order val="0"/>
          <c:tx>
            <c:strRef>
              <c:f>Sheet3!$C$2</c:f>
              <c:strCache>
                <c:ptCount val="1"/>
                <c:pt idx="0">
                  <c:v>Admission</c:v>
                </c:pt>
              </c:strCache>
            </c:strRef>
          </c:tx>
          <c:spPr>
            <a:noFill/>
            <a:ln w="25400">
              <a:solidFill>
                <a:schemeClr val="accent1"/>
              </a:solidFill>
              <a:miter lim="800000"/>
            </a:ln>
            <a:effectLst/>
          </c:spPr>
          <c:invertIfNegative val="0"/>
          <c:dLbls>
            <c:dLbl>
              <c:idx val="0"/>
              <c:tx>
                <c:rich>
                  <a:bodyPr/>
                  <a:lstStyle/>
                  <a:p>
                    <a:fld id="{38EF090C-B228-429C-AB57-D7AF97EB20E9}" type="VALUE">
                      <a:rPr lang="en-US" sz="1000" b="1">
                        <a:latin typeface="Arial Narrow" panose="020B0606020202030204" pitchFamily="34" charset="0"/>
                      </a:rPr>
                      <a:pPr/>
                      <a:t>[VALUE]</a:t>
                    </a:fld>
                    <a:r>
                      <a:rPr lang="en-US" sz="1000" b="1">
                        <a:latin typeface="Arial Narrow" panose="020B0606020202030204" pitchFamily="34" charset="0"/>
                      </a:rPr>
                      <a:t>(n=25)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5EE8441C-D775-4C43-AEB9-1B80BE3BA6E8}" type="VALUE">
                      <a:rPr lang="en-US"/>
                      <a:pPr/>
                      <a:t>[VALUE]</a:t>
                    </a:fld>
                    <a:r>
                      <a:rPr lang="en-US"/>
                      <a:t>(n=84)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B8C13161-C123-4946-93B2-1E7D2904F07B}" type="VALUE">
                      <a:rPr lang="en-US"/>
                      <a:pPr/>
                      <a:t>[VALUE]</a:t>
                    </a:fld>
                    <a:r>
                      <a:rPr lang="en-US"/>
                      <a:t>(n=8)</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Sheet3!$B$3:$B$5</c:f>
              <c:strCache>
                <c:ptCount val="3"/>
                <c:pt idx="0">
                  <c:v>Hypokalemia</c:v>
                </c:pt>
                <c:pt idx="1">
                  <c:v>Normal</c:v>
                </c:pt>
                <c:pt idx="2">
                  <c:v>Hyperkalemia</c:v>
                </c:pt>
              </c:strCache>
            </c:strRef>
          </c:cat>
          <c:val>
            <c:numRef>
              <c:f>Sheet3!$C$3:$C$5</c:f>
              <c:numCache>
                <c:formatCode>####.0</c:formatCode>
                <c:ptCount val="3"/>
                <c:pt idx="0">
                  <c:v>21.4</c:v>
                </c:pt>
                <c:pt idx="1">
                  <c:v>71.794871794871796</c:v>
                </c:pt>
                <c:pt idx="2">
                  <c:v>6.8376068376068373</c:v>
                </c:pt>
              </c:numCache>
            </c:numRef>
          </c:val>
        </c:ser>
        <c:ser>
          <c:idx val="1"/>
          <c:order val="1"/>
          <c:tx>
            <c:strRef>
              <c:f>Sheet3!$D$2</c:f>
              <c:strCache>
                <c:ptCount val="1"/>
                <c:pt idx="0">
                  <c:v>48hrs</c:v>
                </c:pt>
              </c:strCache>
            </c:strRef>
          </c:tx>
          <c:spPr>
            <a:noFill/>
            <a:ln w="25400">
              <a:solidFill>
                <a:schemeClr val="accent2"/>
              </a:solidFill>
              <a:miter lim="800000"/>
            </a:ln>
            <a:effectLst/>
          </c:spPr>
          <c:invertIfNegative val="0"/>
          <c:dLbls>
            <c:dLbl>
              <c:idx val="0"/>
              <c:tx>
                <c:rich>
                  <a:bodyPr/>
                  <a:lstStyle/>
                  <a:p>
                    <a:fld id="{E26C9453-D1D4-4CD1-93B0-FCCFE070D1BC}" type="VALUE">
                      <a:rPr lang="en-US"/>
                      <a:pPr/>
                      <a:t>[VALUE]</a:t>
                    </a:fld>
                    <a:r>
                      <a:rPr lang="en-US"/>
                      <a:t>(n=21)</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A0D78B6A-4D8B-4F3D-8676-55824945F687}" type="VALUE">
                      <a:rPr lang="en-US"/>
                      <a:pPr/>
                      <a:t>[VALUE]</a:t>
                    </a:fld>
                    <a:r>
                      <a:rPr lang="en-US"/>
                      <a:t>(n=61)</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45C5A0D4-B2FA-4F66-AB0A-E6B90B6B5C24}" type="VALUE">
                      <a:rPr lang="en-US"/>
                      <a:pPr/>
                      <a:t>[VALUE]</a:t>
                    </a:fld>
                    <a:r>
                      <a:rPr lang="en-US"/>
                      <a:t>(n=6)</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Sheet3!$B$3:$B$5</c:f>
              <c:strCache>
                <c:ptCount val="3"/>
                <c:pt idx="0">
                  <c:v>Hypokalemia</c:v>
                </c:pt>
                <c:pt idx="1">
                  <c:v>Normal</c:v>
                </c:pt>
                <c:pt idx="2">
                  <c:v>Hyperkalemia</c:v>
                </c:pt>
              </c:strCache>
            </c:strRef>
          </c:cat>
          <c:val>
            <c:numRef>
              <c:f>Sheet3!$D$3:$D$5</c:f>
              <c:numCache>
                <c:formatCode>####.0</c:formatCode>
                <c:ptCount val="3"/>
                <c:pt idx="0">
                  <c:v>23.863636363636363</c:v>
                </c:pt>
                <c:pt idx="1">
                  <c:v>69.318181818181813</c:v>
                </c:pt>
                <c:pt idx="2">
                  <c:v>6.8181818181818183</c:v>
                </c:pt>
              </c:numCache>
            </c:numRef>
          </c:val>
        </c:ser>
        <c:dLbls>
          <c:showLegendKey val="0"/>
          <c:showVal val="1"/>
          <c:showCatName val="0"/>
          <c:showSerName val="0"/>
          <c:showPercent val="0"/>
          <c:showBubbleSize val="0"/>
        </c:dLbls>
        <c:gapWidth val="120"/>
        <c:overlap val="-15"/>
        <c:axId val="540548728"/>
        <c:axId val="540549904"/>
      </c:barChart>
      <c:catAx>
        <c:axId val="540548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540549904"/>
        <c:crosses val="autoZero"/>
        <c:auto val="1"/>
        <c:lblAlgn val="ctr"/>
        <c:lblOffset val="100"/>
        <c:noMultiLvlLbl val="0"/>
      </c:catAx>
      <c:valAx>
        <c:axId val="54054990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r>
                  <a:rPr lang="en-US" sz="1100" b="1">
                    <a:solidFill>
                      <a:sysClr val="windowText" lastClr="000000"/>
                    </a:solidFill>
                  </a:rPr>
                  <a:t>Percent</a:t>
                </a:r>
              </a:p>
            </c:rich>
          </c:tx>
          <c:layout>
            <c:manualLayout>
              <c:xMode val="edge"/>
              <c:yMode val="edge"/>
              <c:x val="7.7492808482411647E-3"/>
              <c:y val="0.37952623017976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540548728"/>
        <c:crosses val="autoZero"/>
        <c:crossBetween val="between"/>
      </c:valAx>
      <c:spPr>
        <a:noFill/>
        <a:ln>
          <a:noFill/>
        </a:ln>
        <a:effectLst/>
      </c:spPr>
    </c:plotArea>
    <c:legend>
      <c:legendPos val="t"/>
      <c:layout>
        <c:manualLayout>
          <c:xMode val="edge"/>
          <c:yMode val="edge"/>
          <c:x val="0.74076816733786144"/>
          <c:y val="0.13202210750846483"/>
          <c:w val="0.23230366675656922"/>
          <c:h val="5.1975602765697182E-2"/>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a:solidFill>
          <a:schemeClr val="phClr"/>
        </a:solidFill>
        <a:miter lim="800000"/>
      </a:ln>
    </cs:spPr>
  </cs:dataPoint>
  <cs:dataPoint3D>
    <cs:lnRef idx="0">
      <cs:styleClr val="auto"/>
    </cs:lnRef>
    <cs:fillRef idx="0">
      <cs:styleClr val="auto"/>
    </cs:fillRef>
    <cs:effectRef idx="0"/>
    <cs:fontRef idx="minor">
      <a:schemeClr val="dk1"/>
    </cs:fontRef>
    <cs:spPr>
      <a:ln w="19050">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17544</Words>
  <Characters>100006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Maseghe</dc:creator>
  <cp:keywords/>
  <dc:description/>
  <cp:lastModifiedBy>Dr Maseghe</cp:lastModifiedBy>
  <cp:revision>4</cp:revision>
  <dcterms:created xsi:type="dcterms:W3CDTF">2020-09-09T10:30:00Z</dcterms:created>
  <dcterms:modified xsi:type="dcterms:W3CDTF">2020-09-09T10:31:00Z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id="TXZ0rb70"/&gt;&lt;style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