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0E" w:rsidRPr="009212B7" w:rsidRDefault="00DE030E" w:rsidP="00DE030E">
      <w:pPr>
        <w:pStyle w:val="Caption"/>
        <w:rPr>
          <w:rFonts w:ascii="Arial Narrow" w:hAnsi="Arial Narrow" w:cs="Times New Roman"/>
          <w:b/>
          <w:i w:val="0"/>
          <w:color w:val="auto"/>
          <w:sz w:val="24"/>
          <w:szCs w:val="24"/>
        </w:rPr>
      </w:pPr>
      <w:bookmarkStart w:id="0" w:name="_Toc37950075"/>
      <w:r w:rsidRPr="009212B7">
        <w:rPr>
          <w:b/>
          <w:i w:val="0"/>
          <w:color w:val="auto"/>
          <w:sz w:val="24"/>
          <w:szCs w:val="24"/>
        </w:rPr>
        <w:t>Table</w:t>
      </w:r>
      <w:r>
        <w:rPr>
          <w:b/>
          <w:i w:val="0"/>
          <w:color w:val="auto"/>
          <w:sz w:val="24"/>
          <w:szCs w:val="24"/>
        </w:rPr>
        <w:t xml:space="preserve"> 3</w:t>
      </w:r>
      <w:r w:rsidRPr="009212B7">
        <w:rPr>
          <w:b/>
          <w:i w:val="0"/>
          <w:color w:val="auto"/>
          <w:sz w:val="24"/>
          <w:szCs w:val="24"/>
        </w:rPr>
        <w:t>: Association between serum potassium and radiologic parameters</w:t>
      </w:r>
      <w:bookmarkEnd w:id="0"/>
    </w:p>
    <w:tbl>
      <w:tblPr>
        <w:tblW w:w="972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2160"/>
        <w:gridCol w:w="1530"/>
        <w:gridCol w:w="1170"/>
        <w:gridCol w:w="1620"/>
        <w:gridCol w:w="990"/>
      </w:tblGrid>
      <w:tr w:rsidR="00DE030E" w:rsidTr="00944190">
        <w:trPr>
          <w:trHeight w:val="480"/>
        </w:trPr>
        <w:tc>
          <w:tcPr>
            <w:tcW w:w="2255" w:type="dxa"/>
            <w:shd w:val="clear" w:color="auto" w:fill="auto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b/>
                <w:color w:val="000000"/>
                <w:lang w:val="en-US"/>
              </w:rPr>
            </w:pPr>
          </w:p>
        </w:tc>
        <w:tc>
          <w:tcPr>
            <w:tcW w:w="216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b/>
                <w:color w:val="00000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DE030E" w:rsidRPr="009212B7" w:rsidRDefault="00DE030E" w:rsidP="00944190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000000"/>
                <w:lang w:val="en-US"/>
              </w:rPr>
            </w:pPr>
            <w:r w:rsidRPr="009212B7">
              <w:rPr>
                <w:rFonts w:eastAsia="Times New Roman" w:cs="Arial"/>
                <w:b/>
                <w:color w:val="000000"/>
                <w:lang w:val="en-US"/>
              </w:rPr>
              <w:t>Hypokalemia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E030E" w:rsidRPr="009212B7" w:rsidRDefault="00DE030E" w:rsidP="00944190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000000"/>
                <w:lang w:val="en-US"/>
              </w:rPr>
            </w:pPr>
            <w:r w:rsidRPr="009212B7">
              <w:rPr>
                <w:rFonts w:eastAsia="Times New Roman" w:cs="Arial"/>
                <w:b/>
                <w:color w:val="000000"/>
                <w:lang w:val="en-US"/>
              </w:rPr>
              <w:t>Normal</w:t>
            </w:r>
          </w:p>
        </w:tc>
        <w:tc>
          <w:tcPr>
            <w:tcW w:w="1620" w:type="dxa"/>
          </w:tcPr>
          <w:p w:rsidR="00DE030E" w:rsidRPr="009212B7" w:rsidRDefault="00DE030E" w:rsidP="00944190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000000"/>
                <w:lang w:val="en-US"/>
              </w:rPr>
            </w:pPr>
            <w:r w:rsidRPr="009212B7">
              <w:rPr>
                <w:rFonts w:eastAsia="Times New Roman" w:cs="Arial"/>
                <w:b/>
                <w:color w:val="000000"/>
                <w:lang w:val="en-US"/>
              </w:rPr>
              <w:t>Hyperkalemia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b/>
                <w:color w:val="000000"/>
                <w:lang w:val="en-US"/>
              </w:rPr>
            </w:pPr>
            <w:r w:rsidRPr="009212B7">
              <w:rPr>
                <w:rFonts w:eastAsia="Times New Roman" w:cs="Arial"/>
                <w:b/>
                <w:color w:val="000000"/>
                <w:lang w:val="en-US"/>
              </w:rPr>
              <w:t>P value</w:t>
            </w:r>
          </w:p>
        </w:tc>
      </w:tr>
      <w:tr w:rsidR="00DE030E" w:rsidTr="00944190">
        <w:trPr>
          <w:trHeight w:val="242"/>
        </w:trPr>
        <w:tc>
          <w:tcPr>
            <w:tcW w:w="2255" w:type="dxa"/>
            <w:vMerge w:val="restart"/>
            <w:shd w:val="clear" w:color="auto" w:fill="auto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Midline shift (mm)</w:t>
            </w:r>
          </w:p>
        </w:tc>
        <w:tc>
          <w:tcPr>
            <w:tcW w:w="216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Admission</w:t>
            </w:r>
          </w:p>
        </w:tc>
        <w:tc>
          <w:tcPr>
            <w:tcW w:w="153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11.4±5.7</w:t>
            </w:r>
          </w:p>
        </w:tc>
        <w:tc>
          <w:tcPr>
            <w:tcW w:w="117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8.3±6.2</w:t>
            </w:r>
          </w:p>
        </w:tc>
        <w:tc>
          <w:tcPr>
            <w:tcW w:w="162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7.5±7.6</w:t>
            </w:r>
          </w:p>
        </w:tc>
        <w:tc>
          <w:tcPr>
            <w:tcW w:w="99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0.223</w:t>
            </w:r>
          </w:p>
        </w:tc>
      </w:tr>
      <w:tr w:rsidR="00DE030E" w:rsidTr="00944190">
        <w:trPr>
          <w:trHeight w:val="300"/>
        </w:trPr>
        <w:tc>
          <w:tcPr>
            <w:tcW w:w="2255" w:type="dxa"/>
            <w:vMerge/>
            <w:shd w:val="clear" w:color="auto" w:fill="auto"/>
            <w:vAlign w:val="center"/>
            <w:hideMark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 xml:space="preserve">48hrs </w:t>
            </w:r>
            <w:r>
              <w:rPr>
                <w:rFonts w:eastAsia="Times New Roman" w:cs="Arial"/>
                <w:color w:val="000000"/>
                <w:lang w:val="en-US"/>
              </w:rPr>
              <w:t>post admission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12.5±6.3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9.5±5.8</w:t>
            </w:r>
          </w:p>
        </w:tc>
        <w:tc>
          <w:tcPr>
            <w:tcW w:w="162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5.0±5.0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0.126</w:t>
            </w:r>
          </w:p>
        </w:tc>
      </w:tr>
      <w:tr w:rsidR="00DE030E" w:rsidTr="00944190">
        <w:trPr>
          <w:trHeight w:val="242"/>
        </w:trPr>
        <w:tc>
          <w:tcPr>
            <w:tcW w:w="2255" w:type="dxa"/>
            <w:vMerge w:val="restart"/>
            <w:shd w:val="clear" w:color="auto" w:fill="auto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Compressed/absent basal cisterns</w:t>
            </w:r>
          </w:p>
        </w:tc>
        <w:tc>
          <w:tcPr>
            <w:tcW w:w="216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Admission</w:t>
            </w:r>
          </w:p>
        </w:tc>
        <w:tc>
          <w:tcPr>
            <w:tcW w:w="153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92%</w:t>
            </w:r>
          </w:p>
        </w:tc>
        <w:tc>
          <w:tcPr>
            <w:tcW w:w="117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71%</w:t>
            </w:r>
          </w:p>
        </w:tc>
        <w:tc>
          <w:tcPr>
            <w:tcW w:w="162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77.5%</w:t>
            </w:r>
          </w:p>
        </w:tc>
        <w:tc>
          <w:tcPr>
            <w:tcW w:w="99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0.552</w:t>
            </w:r>
          </w:p>
        </w:tc>
      </w:tr>
      <w:tr w:rsidR="00DE030E" w:rsidTr="00944190">
        <w:trPr>
          <w:trHeight w:val="242"/>
        </w:trPr>
        <w:tc>
          <w:tcPr>
            <w:tcW w:w="2255" w:type="dxa"/>
            <w:vMerge/>
            <w:shd w:val="clear" w:color="auto" w:fill="auto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 xml:space="preserve">48hrs </w:t>
            </w:r>
            <w:r>
              <w:rPr>
                <w:rFonts w:eastAsia="Times New Roman" w:cs="Arial"/>
                <w:color w:val="000000"/>
                <w:lang w:val="en-US"/>
              </w:rPr>
              <w:t>post admission</w:t>
            </w:r>
          </w:p>
        </w:tc>
        <w:tc>
          <w:tcPr>
            <w:tcW w:w="153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90.5%</w:t>
            </w:r>
          </w:p>
        </w:tc>
        <w:tc>
          <w:tcPr>
            <w:tcW w:w="117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91.8%</w:t>
            </w:r>
          </w:p>
        </w:tc>
        <w:tc>
          <w:tcPr>
            <w:tcW w:w="162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66.6%</w:t>
            </w:r>
          </w:p>
        </w:tc>
        <w:tc>
          <w:tcPr>
            <w:tcW w:w="99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0.149</w:t>
            </w:r>
          </w:p>
        </w:tc>
      </w:tr>
      <w:tr w:rsidR="00DE030E" w:rsidTr="00944190">
        <w:trPr>
          <w:trHeight w:val="242"/>
        </w:trPr>
        <w:tc>
          <w:tcPr>
            <w:tcW w:w="2255" w:type="dxa"/>
            <w:vMerge w:val="restart"/>
            <w:shd w:val="clear" w:color="auto" w:fill="auto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Presence of epidural hematoma</w:t>
            </w:r>
          </w:p>
        </w:tc>
        <w:tc>
          <w:tcPr>
            <w:tcW w:w="216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Admission</w:t>
            </w:r>
          </w:p>
        </w:tc>
        <w:tc>
          <w:tcPr>
            <w:tcW w:w="153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44%</w:t>
            </w:r>
          </w:p>
        </w:tc>
        <w:tc>
          <w:tcPr>
            <w:tcW w:w="117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14.3%</w:t>
            </w:r>
          </w:p>
        </w:tc>
        <w:tc>
          <w:tcPr>
            <w:tcW w:w="162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12.5%</w:t>
            </w:r>
          </w:p>
        </w:tc>
        <w:tc>
          <w:tcPr>
            <w:tcW w:w="99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b/>
                <w:i/>
                <w:color w:val="000000"/>
                <w:lang w:val="en-US"/>
              </w:rPr>
            </w:pPr>
            <w:r w:rsidRPr="009212B7">
              <w:rPr>
                <w:rFonts w:eastAsia="Times New Roman" w:cs="Arial"/>
                <w:b/>
                <w:i/>
                <w:color w:val="000000"/>
                <w:lang w:val="en-US"/>
              </w:rPr>
              <w:t>0.005*</w:t>
            </w:r>
          </w:p>
        </w:tc>
      </w:tr>
      <w:tr w:rsidR="00DE030E" w:rsidTr="00944190">
        <w:trPr>
          <w:trHeight w:val="242"/>
        </w:trPr>
        <w:tc>
          <w:tcPr>
            <w:tcW w:w="2255" w:type="dxa"/>
            <w:vMerge/>
            <w:shd w:val="clear" w:color="auto" w:fill="auto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 xml:space="preserve">48hrs </w:t>
            </w:r>
            <w:r>
              <w:rPr>
                <w:rFonts w:eastAsia="Times New Roman" w:cs="Arial"/>
                <w:color w:val="000000"/>
                <w:lang w:val="en-US"/>
              </w:rPr>
              <w:t>post admission</w:t>
            </w:r>
          </w:p>
        </w:tc>
        <w:tc>
          <w:tcPr>
            <w:tcW w:w="153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23.8%</w:t>
            </w:r>
          </w:p>
        </w:tc>
        <w:tc>
          <w:tcPr>
            <w:tcW w:w="117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23.0%</w:t>
            </w:r>
          </w:p>
        </w:tc>
        <w:tc>
          <w:tcPr>
            <w:tcW w:w="162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0.411</w:t>
            </w:r>
          </w:p>
        </w:tc>
      </w:tr>
      <w:tr w:rsidR="00DE030E" w:rsidTr="00944190">
        <w:trPr>
          <w:trHeight w:val="242"/>
        </w:trPr>
        <w:tc>
          <w:tcPr>
            <w:tcW w:w="2255" w:type="dxa"/>
            <w:vMerge w:val="restart"/>
            <w:shd w:val="clear" w:color="auto" w:fill="auto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Presence of subdural hematoma</w:t>
            </w:r>
          </w:p>
        </w:tc>
        <w:tc>
          <w:tcPr>
            <w:tcW w:w="216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Admission</w:t>
            </w:r>
          </w:p>
        </w:tc>
        <w:tc>
          <w:tcPr>
            <w:tcW w:w="153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40%</w:t>
            </w:r>
          </w:p>
        </w:tc>
        <w:tc>
          <w:tcPr>
            <w:tcW w:w="117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34.5%</w:t>
            </w:r>
          </w:p>
        </w:tc>
        <w:tc>
          <w:tcPr>
            <w:tcW w:w="162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37.5%</w:t>
            </w:r>
          </w:p>
        </w:tc>
        <w:tc>
          <w:tcPr>
            <w:tcW w:w="99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0.878</w:t>
            </w:r>
          </w:p>
        </w:tc>
      </w:tr>
      <w:tr w:rsidR="00DE030E" w:rsidTr="00944190">
        <w:trPr>
          <w:trHeight w:val="98"/>
        </w:trPr>
        <w:tc>
          <w:tcPr>
            <w:tcW w:w="2255" w:type="dxa"/>
            <w:vMerge/>
            <w:shd w:val="clear" w:color="auto" w:fill="auto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 xml:space="preserve">48hrs </w:t>
            </w:r>
            <w:r>
              <w:rPr>
                <w:rFonts w:eastAsia="Times New Roman" w:cs="Arial"/>
                <w:color w:val="000000"/>
                <w:lang w:val="en-US"/>
              </w:rPr>
              <w:t>post admission</w:t>
            </w:r>
          </w:p>
        </w:tc>
        <w:tc>
          <w:tcPr>
            <w:tcW w:w="153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38.1%</w:t>
            </w:r>
          </w:p>
        </w:tc>
        <w:tc>
          <w:tcPr>
            <w:tcW w:w="117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41.0%</w:t>
            </w:r>
          </w:p>
        </w:tc>
        <w:tc>
          <w:tcPr>
            <w:tcW w:w="162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33.3%</w:t>
            </w:r>
          </w:p>
        </w:tc>
        <w:tc>
          <w:tcPr>
            <w:tcW w:w="99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0.920</w:t>
            </w:r>
          </w:p>
        </w:tc>
      </w:tr>
      <w:tr w:rsidR="00DE030E" w:rsidTr="00944190">
        <w:trPr>
          <w:trHeight w:val="242"/>
        </w:trPr>
        <w:tc>
          <w:tcPr>
            <w:tcW w:w="2255" w:type="dxa"/>
            <w:vMerge w:val="restart"/>
            <w:shd w:val="clear" w:color="auto" w:fill="auto"/>
          </w:tcPr>
          <w:p w:rsidR="00DE030E" w:rsidRPr="009212B7" w:rsidRDefault="00DE030E" w:rsidP="00944190">
            <w:pPr>
              <w:spacing w:line="360" w:lineRule="auto"/>
              <w:contextualSpacing/>
            </w:pPr>
            <w:r w:rsidRPr="009212B7">
              <w:rPr>
                <w:rFonts w:eastAsia="Times New Roman" w:cs="Arial"/>
                <w:color w:val="000000"/>
                <w:lang w:val="en-US"/>
              </w:rPr>
              <w:t>Presence of traumatic SAH</w:t>
            </w:r>
          </w:p>
        </w:tc>
        <w:tc>
          <w:tcPr>
            <w:tcW w:w="216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Admission</w:t>
            </w:r>
          </w:p>
        </w:tc>
        <w:tc>
          <w:tcPr>
            <w:tcW w:w="153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40%</w:t>
            </w:r>
          </w:p>
        </w:tc>
        <w:tc>
          <w:tcPr>
            <w:tcW w:w="117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38.1%</w:t>
            </w:r>
          </w:p>
        </w:tc>
        <w:tc>
          <w:tcPr>
            <w:tcW w:w="162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12.5%</w:t>
            </w:r>
          </w:p>
        </w:tc>
        <w:tc>
          <w:tcPr>
            <w:tcW w:w="99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0.332</w:t>
            </w:r>
          </w:p>
        </w:tc>
      </w:tr>
      <w:tr w:rsidR="00DE030E" w:rsidTr="00944190">
        <w:trPr>
          <w:trHeight w:val="233"/>
        </w:trPr>
        <w:tc>
          <w:tcPr>
            <w:tcW w:w="2255" w:type="dxa"/>
            <w:vMerge/>
            <w:shd w:val="clear" w:color="auto" w:fill="auto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 xml:space="preserve">48hrs </w:t>
            </w:r>
            <w:r>
              <w:rPr>
                <w:rFonts w:eastAsia="Times New Roman" w:cs="Arial"/>
                <w:color w:val="000000"/>
                <w:lang w:val="en-US"/>
              </w:rPr>
              <w:t>post admission</w:t>
            </w:r>
          </w:p>
        </w:tc>
        <w:tc>
          <w:tcPr>
            <w:tcW w:w="153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19.0%</w:t>
            </w:r>
          </w:p>
        </w:tc>
        <w:tc>
          <w:tcPr>
            <w:tcW w:w="117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37.5%</w:t>
            </w:r>
          </w:p>
        </w:tc>
        <w:tc>
          <w:tcPr>
            <w:tcW w:w="162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50.0%</w:t>
            </w:r>
          </w:p>
        </w:tc>
        <w:tc>
          <w:tcPr>
            <w:tcW w:w="990" w:type="dxa"/>
            <w:shd w:val="clear" w:color="auto" w:fill="auto"/>
            <w:noWrap/>
          </w:tcPr>
          <w:p w:rsidR="00DE030E" w:rsidRPr="00E273F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b/>
                <w:i/>
                <w:color w:val="000000"/>
                <w:lang w:val="en-US"/>
              </w:rPr>
            </w:pPr>
            <w:r w:rsidRPr="00E273F7">
              <w:rPr>
                <w:rFonts w:eastAsia="Times New Roman" w:cs="Arial"/>
                <w:b/>
                <w:i/>
                <w:color w:val="000000"/>
                <w:lang w:val="en-US"/>
              </w:rPr>
              <w:t>0.045*</w:t>
            </w:r>
          </w:p>
        </w:tc>
      </w:tr>
      <w:tr w:rsidR="00DE030E" w:rsidTr="00944190">
        <w:trPr>
          <w:trHeight w:val="242"/>
        </w:trPr>
        <w:tc>
          <w:tcPr>
            <w:tcW w:w="2255" w:type="dxa"/>
            <w:vMerge w:val="restart"/>
            <w:shd w:val="clear" w:color="auto" w:fill="auto"/>
          </w:tcPr>
          <w:p w:rsidR="00DE030E" w:rsidRPr="009212B7" w:rsidRDefault="00DE030E" w:rsidP="00944190">
            <w:pPr>
              <w:spacing w:line="360" w:lineRule="auto"/>
              <w:contextualSpacing/>
            </w:pPr>
            <w:r w:rsidRPr="009212B7">
              <w:rPr>
                <w:rFonts w:eastAsia="Times New Roman" w:cs="Arial"/>
                <w:color w:val="000000"/>
                <w:lang w:val="en-US"/>
              </w:rPr>
              <w:t>Presence of contusion hemorrhages</w:t>
            </w:r>
          </w:p>
        </w:tc>
        <w:tc>
          <w:tcPr>
            <w:tcW w:w="216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Admission</w:t>
            </w:r>
          </w:p>
        </w:tc>
        <w:tc>
          <w:tcPr>
            <w:tcW w:w="153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56%</w:t>
            </w:r>
          </w:p>
        </w:tc>
        <w:tc>
          <w:tcPr>
            <w:tcW w:w="117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39.3%</w:t>
            </w:r>
          </w:p>
        </w:tc>
        <w:tc>
          <w:tcPr>
            <w:tcW w:w="162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50%</w:t>
            </w:r>
          </w:p>
        </w:tc>
        <w:tc>
          <w:tcPr>
            <w:tcW w:w="99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0.312</w:t>
            </w:r>
          </w:p>
        </w:tc>
      </w:tr>
      <w:tr w:rsidR="00DE030E" w:rsidTr="00944190">
        <w:trPr>
          <w:trHeight w:val="188"/>
        </w:trPr>
        <w:tc>
          <w:tcPr>
            <w:tcW w:w="2255" w:type="dxa"/>
            <w:vMerge/>
            <w:shd w:val="clear" w:color="auto" w:fill="auto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 xml:space="preserve">48hrs </w:t>
            </w:r>
            <w:r>
              <w:rPr>
                <w:rFonts w:eastAsia="Times New Roman" w:cs="Arial"/>
                <w:color w:val="000000"/>
                <w:lang w:val="en-US"/>
              </w:rPr>
              <w:t>post admission</w:t>
            </w:r>
          </w:p>
        </w:tc>
        <w:tc>
          <w:tcPr>
            <w:tcW w:w="153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38.1%</w:t>
            </w:r>
          </w:p>
        </w:tc>
        <w:tc>
          <w:tcPr>
            <w:tcW w:w="117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42.6%</w:t>
            </w:r>
          </w:p>
        </w:tc>
        <w:tc>
          <w:tcPr>
            <w:tcW w:w="162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50%</w:t>
            </w:r>
          </w:p>
        </w:tc>
        <w:tc>
          <w:tcPr>
            <w:tcW w:w="990" w:type="dxa"/>
            <w:shd w:val="clear" w:color="auto" w:fill="auto"/>
            <w:noWrap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0.861</w:t>
            </w:r>
          </w:p>
        </w:tc>
      </w:tr>
      <w:tr w:rsidR="00DE030E" w:rsidTr="00944190">
        <w:trPr>
          <w:trHeight w:val="98"/>
        </w:trPr>
        <w:tc>
          <w:tcPr>
            <w:tcW w:w="2255" w:type="dxa"/>
            <w:vMerge w:val="restart"/>
            <w:shd w:val="clear" w:color="auto" w:fill="auto"/>
            <w:hideMark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SDH Thickness (mm)</w:t>
            </w:r>
          </w:p>
        </w:tc>
        <w:tc>
          <w:tcPr>
            <w:tcW w:w="216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Admission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9.4±4.2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12.2±4.4</w:t>
            </w:r>
          </w:p>
        </w:tc>
        <w:tc>
          <w:tcPr>
            <w:tcW w:w="162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6.7±2.9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0.059</w:t>
            </w:r>
          </w:p>
        </w:tc>
      </w:tr>
      <w:tr w:rsidR="00DE030E" w:rsidTr="00944190">
        <w:trPr>
          <w:trHeight w:val="70"/>
        </w:trPr>
        <w:tc>
          <w:tcPr>
            <w:tcW w:w="2255" w:type="dxa"/>
            <w:vMerge/>
            <w:shd w:val="clear" w:color="auto" w:fill="auto"/>
            <w:vAlign w:val="center"/>
            <w:hideMark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 xml:space="preserve">48hrs </w:t>
            </w:r>
            <w:r>
              <w:rPr>
                <w:rFonts w:eastAsia="Times New Roman" w:cs="Arial"/>
                <w:color w:val="000000"/>
                <w:lang w:val="en-US"/>
              </w:rPr>
              <w:t>post admission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11.1±3.5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11.7±5.1</w:t>
            </w:r>
          </w:p>
        </w:tc>
        <w:tc>
          <w:tcPr>
            <w:tcW w:w="162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7.5±3.5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0.500</w:t>
            </w:r>
          </w:p>
        </w:tc>
      </w:tr>
      <w:tr w:rsidR="00DE030E" w:rsidTr="00944190">
        <w:trPr>
          <w:trHeight w:val="233"/>
        </w:trPr>
        <w:tc>
          <w:tcPr>
            <w:tcW w:w="2255" w:type="dxa"/>
            <w:vMerge w:val="restart"/>
            <w:shd w:val="clear" w:color="auto" w:fill="auto"/>
            <w:hideMark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Rotterdam CT Score</w:t>
            </w:r>
          </w:p>
        </w:tc>
        <w:tc>
          <w:tcPr>
            <w:tcW w:w="216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Admission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3.9±1.3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3.8±1.1</w:t>
            </w:r>
          </w:p>
        </w:tc>
        <w:tc>
          <w:tcPr>
            <w:tcW w:w="162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3.5±1.2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0.726</w:t>
            </w:r>
          </w:p>
        </w:tc>
      </w:tr>
      <w:tr w:rsidR="00DE030E" w:rsidTr="00944190">
        <w:trPr>
          <w:trHeight w:val="143"/>
        </w:trPr>
        <w:tc>
          <w:tcPr>
            <w:tcW w:w="2255" w:type="dxa"/>
            <w:vMerge/>
            <w:shd w:val="clear" w:color="auto" w:fill="auto"/>
            <w:vAlign w:val="center"/>
            <w:hideMark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 xml:space="preserve">48hrs </w:t>
            </w:r>
            <w:r>
              <w:rPr>
                <w:rFonts w:eastAsia="Times New Roman" w:cs="Arial"/>
                <w:color w:val="000000"/>
                <w:lang w:val="en-US"/>
              </w:rPr>
              <w:t>post admission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3.9±1.0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3.9±1.1</w:t>
            </w:r>
          </w:p>
        </w:tc>
        <w:tc>
          <w:tcPr>
            <w:tcW w:w="1620" w:type="dxa"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3.7±1.4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E030E" w:rsidRPr="009212B7" w:rsidRDefault="00DE030E" w:rsidP="00944190">
            <w:pPr>
              <w:spacing w:after="0" w:line="360" w:lineRule="auto"/>
              <w:contextualSpacing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lang w:val="en-US"/>
              </w:rPr>
              <w:t>0.842</w:t>
            </w:r>
          </w:p>
        </w:tc>
      </w:tr>
    </w:tbl>
    <w:p w:rsidR="00E011B9" w:rsidRPr="00DE030E" w:rsidRDefault="00EE3914">
      <w:pPr>
        <w:rPr>
          <w:rFonts w:ascii="Arial Narrow" w:hAnsi="Arial Narrow" w:cs="Times New Roman"/>
          <w:b/>
          <w:sz w:val="24"/>
          <w:szCs w:val="24"/>
        </w:rPr>
      </w:pPr>
      <w:bookmarkStart w:id="1" w:name="_GoBack"/>
      <w:bookmarkEnd w:id="1"/>
    </w:p>
    <w:sectPr w:rsidR="00E011B9" w:rsidRPr="00DE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0E"/>
    <w:rsid w:val="00324D48"/>
    <w:rsid w:val="004B7CF1"/>
    <w:rsid w:val="005A2512"/>
    <w:rsid w:val="009F755C"/>
    <w:rsid w:val="00C2698A"/>
    <w:rsid w:val="00DE030E"/>
    <w:rsid w:val="00EA4708"/>
    <w:rsid w:val="00EE3914"/>
    <w:rsid w:val="00F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52CBE-262D-4658-A441-418F0EF9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3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E030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Maseghe</dc:creator>
  <cp:keywords/>
  <dc:description/>
  <cp:lastModifiedBy>Dr Maseghe</cp:lastModifiedBy>
  <cp:revision>2</cp:revision>
  <dcterms:created xsi:type="dcterms:W3CDTF">2020-05-31T05:16:00Z</dcterms:created>
  <dcterms:modified xsi:type="dcterms:W3CDTF">2020-05-31T05:17:00Z</dcterms:modified>
</cp:coreProperties>
</file>