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Platelet-rich Plasma Combined with Core Decompression and Allogeneic Fibula Rod Support for the Treatment of Osteonecrosis of the Femoral Head (Ficat stage II): A short-term follow-up</w:t>
      </w:r>
    </w:p>
    <w:p>
      <w:pPr>
        <w:pStyle w:val="31"/>
        <w:spacing w:beforeLines="0" w:afterLines="0"/>
        <w:rPr>
          <w:rFonts w:hint="default"/>
          <w:sz w:val="24"/>
          <w:vertAlign w:val="superscript"/>
        </w:rPr>
      </w:pPr>
      <w:r>
        <w:rPr>
          <w:rFonts w:hint="default"/>
          <w:sz w:val="24"/>
        </w:rPr>
        <w:t>Liang-bin Jiang</w:t>
      </w:r>
      <w:r>
        <w:rPr>
          <w:rFonts w:hint="default"/>
          <w:sz w:val="24"/>
          <w:vertAlign w:val="superscript"/>
        </w:rPr>
        <w:t>a,b</w:t>
      </w:r>
      <w:r>
        <w:rPr>
          <w:rFonts w:hint="default"/>
          <w:sz w:val="24"/>
        </w:rPr>
        <w:t>, Song Liu</w:t>
      </w:r>
      <w:r>
        <w:rPr>
          <w:rFonts w:hint="default"/>
          <w:sz w:val="24"/>
          <w:vertAlign w:val="superscript"/>
        </w:rPr>
        <w:t>a,b</w:t>
      </w:r>
      <w:r>
        <w:rPr>
          <w:rFonts w:hint="default"/>
          <w:sz w:val="24"/>
        </w:rPr>
        <w:t>, Biao-fang Wei</w:t>
      </w:r>
      <w:r>
        <w:rPr>
          <w:rFonts w:hint="default"/>
          <w:sz w:val="24"/>
          <w:vertAlign w:val="superscript"/>
        </w:rPr>
        <w:t>b</w:t>
      </w:r>
    </w:p>
    <w:p>
      <w:pPr>
        <w:rPr>
          <w:rFonts w:hint="default"/>
        </w:rPr>
      </w:pPr>
      <w:r>
        <w:rPr>
          <w:rFonts w:hint="default"/>
          <w:vertAlign w:val="superscript"/>
        </w:rPr>
        <w:t>a</w:t>
      </w:r>
      <w:r>
        <w:rPr>
          <w:rFonts w:hint="default"/>
        </w:rPr>
        <w:t xml:space="preserve">Guang zhou University of Chinese Medicine ; </w:t>
      </w:r>
      <w:r>
        <w:rPr>
          <w:rFonts w:hint="default"/>
          <w:vertAlign w:val="superscript"/>
        </w:rPr>
        <w:t>b</w:t>
      </w:r>
      <w:r>
        <w:rPr>
          <w:rFonts w:hint="default"/>
        </w:rPr>
        <w:t>Department of Orthopaedic Surgery, Lin Yi People's Hospital</w:t>
      </w:r>
    </w:p>
    <w:p>
      <w:pPr>
        <w:rPr>
          <w:rFonts w:hint="default"/>
        </w:rPr>
      </w:pPr>
    </w:p>
    <w:p>
      <w:pPr>
        <w:rPr>
          <w:rFonts w:hint="default"/>
        </w:rPr>
      </w:pPr>
      <w:r>
        <w:rPr>
          <w:rFonts w:hint="default"/>
        </w:rPr>
        <w:t xml:space="preserve">*Corresponding author: </w:t>
      </w:r>
      <w:r>
        <w:rPr>
          <w:rFonts w:hint="default"/>
          <w:lang w:val="zh-CN"/>
        </w:rPr>
        <w:t>Biao-fang Wei</w:t>
      </w:r>
    </w:p>
    <w:p>
      <w:pPr>
        <w:rPr>
          <w:rFonts w:hint="default"/>
        </w:rPr>
      </w:pPr>
      <w:r>
        <w:rPr>
          <w:rFonts w:hint="default"/>
        </w:rPr>
        <w:t>Address: Department of Orthopaedic Surgery, Lin Yi People's Hospital, No.27 East Jiefang Road, Linyi, 276000</w:t>
      </w:r>
    </w:p>
    <w:p>
      <w:pPr>
        <w:rPr>
          <w:rFonts w:hint="default"/>
        </w:rPr>
      </w:pPr>
      <w:r>
        <w:rPr>
          <w:rFonts w:hint="default"/>
        </w:rPr>
        <w:t>E-mail: 317516288@qq.com</w:t>
      </w:r>
    </w:p>
    <w:p>
      <w:pPr>
        <w:spacing w:after="160" w:line="360" w:lineRule="auto"/>
        <w:rPr>
          <w:b/>
          <w:color w:val="000000" w:themeColor="text1"/>
          <w:szCs w:val="21"/>
          <w14:textFill>
            <w14:solidFill>
              <w14:schemeClr w14:val="tx1"/>
            </w14:solidFill>
          </w14:textFill>
        </w:rPr>
      </w:pPr>
      <w:bookmarkStart w:id="76" w:name="_GoBack"/>
      <w:bookmarkEnd w:id="76"/>
    </w:p>
    <w:p>
      <w:pPr>
        <w:spacing w:after="160" w:line="36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Abstract</w:t>
      </w:r>
    </w:p>
    <w:p>
      <w:pPr>
        <w:spacing w:after="160" w:line="360" w:lineRule="auto"/>
        <w:rPr>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Background: </w:t>
      </w:r>
      <w:r>
        <w:rPr>
          <w:color w:val="000000" w:themeColor="text1"/>
          <w:szCs w:val="21"/>
          <w14:textFill>
            <w14:solidFill>
              <w14:schemeClr w14:val="tx1"/>
            </w14:solidFill>
          </w14:textFill>
        </w:rPr>
        <w:t>The objective of this study was to investigate the potency of platelet-rich plasma (PRP) combined with core decompression and allogeneic fibula rod support for the treatment of osteonecrosis of the femoral head (</w:t>
      </w:r>
      <w:bookmarkStart w:id="0" w:name="_Hlk500253509"/>
      <w:r>
        <w:rPr>
          <w:color w:val="000000" w:themeColor="text1"/>
          <w:szCs w:val="21"/>
          <w14:textFill>
            <w14:solidFill>
              <w14:schemeClr w14:val="tx1"/>
            </w14:solidFill>
          </w14:textFill>
        </w:rPr>
        <w:t>ONFH</w:t>
      </w:r>
      <w:bookmarkEnd w:id="0"/>
      <w:r>
        <w:rPr>
          <w:color w:val="000000" w:themeColor="text1"/>
          <w:szCs w:val="21"/>
          <w14:textFill>
            <w14:solidFill>
              <w14:schemeClr w14:val="tx1"/>
            </w14:solidFill>
          </w14:textFill>
        </w:rPr>
        <w:t xml:space="preserve">, Ficat stage II). </w:t>
      </w:r>
      <w:r>
        <w:rPr>
          <w:b/>
          <w:color w:val="000000" w:themeColor="text1"/>
          <w:szCs w:val="21"/>
          <w14:textFill>
            <w14:solidFill>
              <w14:schemeClr w14:val="tx1"/>
            </w14:solidFill>
          </w14:textFill>
        </w:rPr>
        <w:t>Methods</w:t>
      </w:r>
      <w:bookmarkStart w:id="1" w:name="OLE_LINK12"/>
      <w:bookmarkStart w:id="2" w:name="OLE_LINK13"/>
      <w:r>
        <w:rPr>
          <w:b/>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bookmarkEnd w:id="1"/>
      <w:bookmarkEnd w:id="2"/>
      <w:r>
        <w:rPr>
          <w:color w:val="000000" w:themeColor="text1"/>
          <w:szCs w:val="21"/>
          <w14:textFill>
            <w14:solidFill>
              <w14:schemeClr w14:val="tx1"/>
            </w14:solidFill>
          </w14:textFill>
        </w:rPr>
        <w:t>This was a retrospective study of clinical data of patients who were admitted to our hospital for treatment of</w:t>
      </w: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t>ONFH from July 2014 to June 2015</w:t>
      </w:r>
      <w:bookmarkStart w:id="3" w:name="OLE_LINK14"/>
      <w:bookmarkStart w:id="4" w:name="OLE_LINK15"/>
      <w:r>
        <w:rPr>
          <w:color w:val="000000" w:themeColor="text1"/>
          <w:szCs w:val="21"/>
          <w14:textFill>
            <w14:solidFill>
              <w14:schemeClr w14:val="tx1"/>
            </w14:solidFill>
          </w14:textFill>
        </w:rPr>
        <w:t>.</w:t>
      </w:r>
      <w:bookmarkEnd w:id="3"/>
      <w:bookmarkEnd w:id="4"/>
      <w:r>
        <w:rPr>
          <w:rFonts w:hint="eastAsia"/>
          <w:color w:val="000000" w:themeColor="text1"/>
          <w:szCs w:val="21"/>
          <w:lang w:val="en-US" w:eastAsia="zh-CN"/>
          <w14:textFill>
            <w14:solidFill>
              <w14:schemeClr w14:val="tx1"/>
            </w14:solidFill>
          </w14:textFill>
        </w:rPr>
        <w:t xml:space="preserve"> In </w:t>
      </w:r>
      <w:r>
        <w:rPr>
          <w:rFonts w:hint="eastAsia"/>
          <w:color w:val="000000" w:themeColor="text1"/>
          <w:szCs w:val="21"/>
          <w14:textFill>
            <w14:solidFill>
              <w14:schemeClr w14:val="tx1"/>
            </w14:solidFill>
          </w14:textFill>
        </w:rPr>
        <w:t>PRP group</w:t>
      </w:r>
      <w:r>
        <w:rPr>
          <w:rFonts w:hint="eastAsia"/>
          <w:color w:val="000000" w:themeColor="text1"/>
          <w:szCs w:val="21"/>
          <w:lang w:val="en-US" w:eastAsia="zh-CN"/>
          <w14:textFill>
            <w14:solidFill>
              <w14:schemeClr w14:val="tx1"/>
            </w14:solidFill>
          </w14:textFill>
        </w:rPr>
        <w:t>, patients (</w:t>
      </w:r>
      <w:r>
        <w:rPr>
          <w:rFonts w:hint="eastAsia"/>
          <w:color w:val="000000" w:themeColor="text1"/>
          <w:szCs w:val="21"/>
          <w14:textFill>
            <w14:solidFill>
              <w14:schemeClr w14:val="tx1"/>
            </w14:solidFill>
          </w14:textFill>
        </w:rPr>
        <w:t>9 cases</w:t>
      </w:r>
      <w:r>
        <w:rPr>
          <w:rFonts w:hint="eastAsia"/>
          <w:color w:val="000000" w:themeColor="text1"/>
          <w:szCs w:val="21"/>
          <w:lang w:val="en-US" w:eastAsia="zh-CN"/>
          <w14:textFill>
            <w14:solidFill>
              <w14:schemeClr w14:val="tx1"/>
            </w14:solidFill>
          </w14:textFill>
        </w:rPr>
        <w:t>)</w:t>
      </w:r>
      <w:r>
        <w:rPr>
          <w:rFonts w:hint="eastAsia"/>
          <w:color w:val="000000" w:themeColor="text1"/>
          <w:szCs w:val="21"/>
          <w14:textFill>
            <w14:solidFill>
              <w14:schemeClr w14:val="tx1"/>
            </w14:solidFill>
          </w14:textFill>
        </w:rPr>
        <w:t xml:space="preserve"> were treated with platelet-rich plasma combined with core decompression and allogeneic fibula rod support</w:t>
      </w:r>
      <w:r>
        <w:rPr>
          <w:rFonts w:hint="eastAsia"/>
          <w:color w:val="000000" w:themeColor="text1"/>
          <w:szCs w:val="21"/>
          <w:lang w:val="en-US" w:eastAsia="zh-CN"/>
          <w14:textFill>
            <w14:solidFill>
              <w14:schemeClr w14:val="tx1"/>
            </w14:solidFill>
          </w14:textFill>
        </w:rPr>
        <w:t>. In c</w:t>
      </w:r>
      <w:r>
        <w:rPr>
          <w:rFonts w:hint="eastAsia"/>
          <w:color w:val="000000" w:themeColor="text1"/>
          <w:szCs w:val="21"/>
          <w14:textFill>
            <w14:solidFill>
              <w14:schemeClr w14:val="tx1"/>
            </w14:solidFill>
          </w14:textFill>
        </w:rPr>
        <w:t>ontrol group</w:t>
      </w:r>
      <w:r>
        <w:rPr>
          <w:rFonts w:hint="eastAsia"/>
          <w:color w:val="000000" w:themeColor="text1"/>
          <w:szCs w:val="21"/>
          <w:lang w:val="en-US" w:eastAsia="zh-CN"/>
          <w14:textFill>
            <w14:solidFill>
              <w14:schemeClr w14:val="tx1"/>
            </w14:solidFill>
          </w14:textFill>
        </w:rPr>
        <w:t>, patients (</w:t>
      </w:r>
      <w:r>
        <w:rPr>
          <w:rFonts w:hint="eastAsia"/>
          <w:color w:val="000000" w:themeColor="text1"/>
          <w:szCs w:val="21"/>
          <w14:textFill>
            <w14:solidFill>
              <w14:schemeClr w14:val="tx1"/>
            </w14:solidFill>
          </w14:textFill>
        </w:rPr>
        <w:t>7 cases</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were treated</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with core decompression and allogeneic fibula rod support only. </w:t>
      </w:r>
      <w:r>
        <w:rPr>
          <w:color w:val="000000" w:themeColor="text1"/>
          <w:szCs w:val="21"/>
          <w14:textFill>
            <w14:solidFill>
              <w14:schemeClr w14:val="tx1"/>
            </w14:solidFill>
          </w14:textFill>
        </w:rPr>
        <w:t xml:space="preserve">The time from onset of symptoms to surgery was </w:t>
      </w:r>
      <w:bookmarkStart w:id="5" w:name="OLE_LINK10"/>
      <w:r>
        <w:rPr>
          <w:color w:val="000000" w:themeColor="text1"/>
          <w:szCs w:val="21"/>
          <w14:textFill>
            <w14:solidFill>
              <w14:schemeClr w14:val="tx1"/>
            </w14:solidFill>
          </w14:textFill>
        </w:rPr>
        <w:t>3</w:t>
      </w:r>
      <w:bookmarkEnd w:id="5"/>
      <w:r>
        <w:rPr>
          <w:color w:val="000000" w:themeColor="text1"/>
          <w:szCs w:val="21"/>
          <w14:textFill>
            <w14:solidFill>
              <w14:schemeClr w14:val="tx1"/>
            </w14:solidFill>
          </w14:textFill>
        </w:rPr>
        <w:t xml:space="preserve">–6 months (mean: 4.5 months). Harris hip scores before and after surgery were recorded (&gt; 90, excellent; 75–90, good; 60–74, poor; and &lt; 60, bad). An imaging study was performed 1 and 3 months after surgery. </w:t>
      </w:r>
      <w:r>
        <w:rPr>
          <w:b/>
          <w:color w:val="000000" w:themeColor="text1"/>
          <w:szCs w:val="21"/>
          <w14:textFill>
            <w14:solidFill>
              <w14:schemeClr w14:val="tx1"/>
            </w14:solidFill>
          </w14:textFill>
        </w:rPr>
        <w:t>Results:</w:t>
      </w:r>
      <w:r>
        <w:rPr>
          <w:color w:val="000000" w:themeColor="text1"/>
          <w:szCs w:val="21"/>
          <w14:textFill>
            <w14:solidFill>
              <w14:schemeClr w14:val="tx1"/>
            </w14:solidFill>
          </w14:textFill>
        </w:rPr>
        <w:t xml:space="preserve"> In the PRP group, the Harris scores increased from 67.82 ± 9.61 to 88.45 ± 6.02. In the control group, the Harris scores increased from 69.74 ± 8.26 to 87.36 ± 6.17. There were statistically significant differences in pretherapy and post-treatment scores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 xml:space="preserve">&lt; 0.05). Three months postsurgery, the shapes of the femoral heads in both groups were good, with no deformation or collapse. The location of the top of the allograft fibula was perfect (no fibula out). </w:t>
      </w:r>
      <w:r>
        <w:rPr>
          <w:rFonts w:hint="eastAsia"/>
          <w:color w:val="000000" w:themeColor="text1"/>
          <w:szCs w:val="21"/>
          <w:lang w:val="en-US" w:eastAsia="zh-CN"/>
          <w14:textFill>
            <w14:solidFill>
              <w14:schemeClr w14:val="tx1"/>
            </w14:solidFill>
          </w14:textFill>
        </w:rPr>
        <w:t>Additionally, t</w:t>
      </w:r>
      <w:r>
        <w:rPr>
          <w:color w:val="000000" w:themeColor="text1"/>
          <w:szCs w:val="21"/>
          <w14:textFill>
            <w14:solidFill>
              <w14:schemeClr w14:val="tx1"/>
            </w14:solidFill>
          </w14:textFill>
        </w:rPr>
        <w:t>he fibula rods began to combine with the surrounding bone</w:t>
      </w:r>
      <w:r>
        <w:rPr>
          <w:rFonts w:hint="eastAsia"/>
          <w:color w:val="000000" w:themeColor="text1"/>
          <w:szCs w:val="21"/>
          <w:lang w:val="en-US" w:eastAsia="zh-CN"/>
          <w14:textFill>
            <w14:solidFill>
              <w14:schemeClr w14:val="tx1"/>
            </w14:solidFill>
          </w14:textFill>
        </w:rPr>
        <w:t xml:space="preserve"> after 3 </w:t>
      </w:r>
      <w:r>
        <w:rPr>
          <w:color w:val="000000" w:themeColor="text1"/>
          <w:szCs w:val="21"/>
          <w14:textFill>
            <w14:solidFill>
              <w14:schemeClr w14:val="tx1"/>
            </w14:solidFill>
          </w14:textFill>
        </w:rPr>
        <w:t>months</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postsurgery, without infection. </w:t>
      </w:r>
      <w:r>
        <w:rPr>
          <w:b/>
          <w:color w:val="000000" w:themeColor="text1"/>
          <w:szCs w:val="21"/>
          <w14:textFill>
            <w14:solidFill>
              <w14:schemeClr w14:val="tx1"/>
            </w14:solidFill>
          </w14:textFill>
        </w:rPr>
        <w:t>Conclusion:</w:t>
      </w:r>
      <w:r>
        <w:rPr>
          <w:color w:val="000000" w:themeColor="text1"/>
          <w:szCs w:val="21"/>
          <w14:textFill>
            <w14:solidFill>
              <w14:schemeClr w14:val="tx1"/>
            </w14:solidFill>
          </w14:textFill>
        </w:rPr>
        <w:t xml:space="preserve"> PRP can ease hip pain and improve joint function</w:t>
      </w:r>
    </w:p>
    <w:p>
      <w:pPr>
        <w:spacing w:after="160" w:line="360" w:lineRule="auto"/>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Keywords:</w:t>
      </w:r>
      <w:r>
        <w:rPr>
          <w:color w:val="000000" w:themeColor="text1"/>
          <w:szCs w:val="21"/>
          <w14:textFill>
            <w14:solidFill>
              <w14:schemeClr w14:val="tx1"/>
            </w14:solidFill>
          </w14:textFill>
        </w:rPr>
        <w:t xml:space="preserve"> PRP, ONFH</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core decompression, allogeneic fibula rod</w:t>
      </w:r>
    </w:p>
    <w:p>
      <w:pPr>
        <w:spacing w:after="160" w:line="360" w:lineRule="auto"/>
        <w:rPr>
          <w:rFonts w:eastAsia="Arial"/>
          <w:b/>
          <w:color w:val="000000" w:themeColor="text1"/>
          <w:szCs w:val="21"/>
          <w14:textFill>
            <w14:solidFill>
              <w14:schemeClr w14:val="tx1"/>
            </w14:solidFill>
          </w14:textFill>
        </w:rPr>
      </w:pPr>
      <w:r>
        <w:rPr>
          <w:b/>
          <w:color w:val="000000" w:themeColor="text1"/>
          <w:szCs w:val="21"/>
          <w14:textFill>
            <w14:solidFill>
              <w14:schemeClr w14:val="tx1"/>
            </w14:solidFill>
          </w14:textFill>
        </w:rPr>
        <w:t>1. Introduction</w:t>
      </w:r>
    </w:p>
    <w:p>
      <w:pPr>
        <w:spacing w:after="160" w:line="360" w:lineRule="auto"/>
        <w:rPr>
          <w:color w:val="000000" w:themeColor="text1"/>
          <w:szCs w:val="21"/>
          <w14:textFill>
            <w14:solidFill>
              <w14:schemeClr w14:val="tx1"/>
            </w14:solidFill>
          </w14:textFill>
        </w:rPr>
      </w:pPr>
      <w:bookmarkStart w:id="6" w:name="OLE_LINK8"/>
      <w:r>
        <w:rPr>
          <w:color w:val="000000" w:themeColor="text1"/>
          <w:szCs w:val="21"/>
          <w14:textFill>
            <w14:solidFill>
              <w14:schemeClr w14:val="tx1"/>
            </w14:solidFill>
          </w14:textFill>
        </w:rPr>
        <w:t>Osteonecrosis of the femoral head (</w:t>
      </w:r>
      <w:bookmarkStart w:id="7" w:name="_Hlk500235117"/>
      <w:r>
        <w:rPr>
          <w:color w:val="000000" w:themeColor="text1"/>
          <w:szCs w:val="21"/>
          <w14:textFill>
            <w14:solidFill>
              <w14:schemeClr w14:val="tx1"/>
            </w14:solidFill>
          </w14:textFill>
        </w:rPr>
        <w:t>ONFH</w:t>
      </w:r>
      <w:bookmarkEnd w:id="7"/>
      <w:r>
        <w:rPr>
          <w:color w:val="000000" w:themeColor="text1"/>
          <w:szCs w:val="21"/>
          <w14:textFill>
            <w14:solidFill>
              <w14:schemeClr w14:val="tx1"/>
            </w14:solidFill>
          </w14:textFill>
        </w:rPr>
        <w:t>) is a painful disorder of the hip that affects patients with various risk factors, such as glucocorticoid use, alcohol abuse, trauma</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and autoimmune diseases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The progress of joint destruction in ONFH can lead to hip arthritis, which seriously affects the patient’s health. In the absence of appropriate surgical treatment, the femoral head will collapse within 2–3 years</w:t>
      </w:r>
      <w:bookmarkStart w:id="8" w:name="OLE_LINK21"/>
      <w:bookmarkStart w:id="9" w:name="OLE_LINK19"/>
      <w:r>
        <w:rPr>
          <w:color w:val="000000" w:themeColor="text1"/>
          <w:szCs w:val="21"/>
          <w14:textFill>
            <w14:solidFill>
              <w14:schemeClr w14:val="tx1"/>
            </w14:solidFill>
          </w14:textFill>
        </w:rPr>
        <w:t xml:space="preserve"> in the vast majority of patients</w:t>
      </w:r>
      <w:bookmarkEnd w:id="8"/>
      <w:bookmarkEnd w:id="9"/>
      <w:r>
        <w:rPr>
          <w:rStyle w:val="17"/>
          <w:rFonts w:ascii="Times New Roman"/>
          <w:color w:val="000000" w:themeColor="text1"/>
          <w:sz w:val="21"/>
          <w:szCs w:val="21"/>
          <w14:textFill>
            <w14:solidFill>
              <w14:schemeClr w14:val="tx1"/>
            </w14:solidFill>
          </w14:textFill>
        </w:rPr>
        <w:t xml:space="preserve"> </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4</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 xml:space="preserve">. </w:t>
      </w:r>
      <w:r>
        <w:rPr>
          <w:color w:val="000000" w:themeColor="text1"/>
          <w:szCs w:val="21"/>
          <w14:textFill>
            <w14:solidFill>
              <w14:schemeClr w14:val="tx1"/>
            </w14:solidFill>
          </w14:textFill>
        </w:rPr>
        <w:t xml:space="preserve">Steinberg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5</w:t>
      </w:r>
      <w:r>
        <w:rPr>
          <w:rFonts w:hint="eastAsia"/>
          <w:color w:val="000000" w:themeColor="text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 xml:space="preserve"> reported</w:t>
      </w:r>
      <w:r>
        <w:rPr>
          <w:color w:val="000000" w:themeColor="text1"/>
          <w:szCs w:val="21"/>
          <w14:textFill>
            <w14:solidFill>
              <w14:schemeClr w14:val="tx1"/>
            </w14:solidFill>
          </w14:textFill>
        </w:rPr>
        <w:t xml:space="preserve"> that</w:t>
      </w:r>
      <w:r>
        <w:rPr>
          <w:rStyle w:val="15"/>
          <w:rFonts w:eastAsia="Arial"/>
          <w:color w:val="000000" w:themeColor="text1"/>
          <w:szCs w:val="21"/>
          <w14:textFill>
            <w14:solidFill>
              <w14:schemeClr w14:val="tx1"/>
            </w14:solidFill>
          </w14:textFill>
        </w:rPr>
        <w:t xml:space="preserve"> collapse of the femoral head occurred in </w:t>
      </w:r>
      <w:r>
        <w:rPr>
          <w:color w:val="000000" w:themeColor="text1"/>
          <w:szCs w:val="21"/>
          <w14:textFill>
            <w14:solidFill>
              <w14:schemeClr w14:val="tx1"/>
            </w14:solidFill>
          </w14:textFill>
        </w:rPr>
        <w:t xml:space="preserve">92% of nonsurgical cases (48 hips) within 3 years after a definite diagnosis of ONFH. </w:t>
      </w:r>
      <w:bookmarkStart w:id="10" w:name="OLE_LINK9"/>
      <w:bookmarkStart w:id="11" w:name="OLE_LINK22"/>
      <w:bookmarkStart w:id="12" w:name="OLE_LINK23"/>
      <w:r>
        <w:rPr>
          <w:color w:val="000000" w:themeColor="text1"/>
          <w:szCs w:val="21"/>
          <w14:textFill>
            <w14:solidFill>
              <w14:schemeClr w14:val="tx1"/>
            </w14:solidFill>
          </w14:textFill>
        </w:rPr>
        <w:t>As ONFH occurs mostly in young and middle-aged patients,</w:t>
      </w:r>
      <w:bookmarkEnd w:id="10"/>
      <w:r>
        <w:rPr>
          <w:color w:val="000000" w:themeColor="text1"/>
          <w:szCs w:val="21"/>
          <w14:textFill>
            <w14:solidFill>
              <w14:schemeClr w14:val="tx1"/>
            </w14:solidFill>
          </w14:textFill>
        </w:rPr>
        <w:t xml:space="preserve"> </w:t>
      </w:r>
      <w:bookmarkEnd w:id="11"/>
      <w:r>
        <w:rPr>
          <w:rFonts w:hint="eastAsia"/>
          <w:color w:val="000000" w:themeColor="text1"/>
          <w:szCs w:val="21"/>
          <w14:textFill>
            <w14:solidFill>
              <w14:schemeClr w14:val="tx1"/>
            </w14:solidFill>
          </w14:textFill>
        </w:rPr>
        <w:t>Garrigues</w:t>
      </w:r>
      <w:r>
        <w:rPr>
          <w:rFonts w:hint="eastAsia"/>
          <w:color w:val="000000" w:themeColor="text1"/>
          <w:szCs w:val="21"/>
          <w:lang w:val="en-US" w:eastAsia="zh-CN"/>
          <w14:textFill>
            <w14:solidFill>
              <w14:schemeClr w14:val="tx1"/>
            </w14:solidFill>
          </w14:textFill>
        </w:rPr>
        <w:t xml:space="preserve"> et al.</w:t>
      </w:r>
      <w:r>
        <w:rPr>
          <w:rStyle w:val="17"/>
          <w:rFonts w:ascii="Times New Roman"/>
          <w:color w:val="000000" w:themeColor="text1"/>
          <w:sz w:val="21"/>
          <w:szCs w:val="21"/>
          <w14:textFill>
            <w14:solidFill>
              <w14:schemeClr w14:val="tx1"/>
            </w14:solidFill>
          </w14:textFill>
        </w:rPr>
        <w:t xml:space="preserve"> </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6</w:t>
      </w:r>
      <w:r>
        <w:rPr>
          <w:rStyle w:val="17"/>
          <w:rFonts w:hint="eastAsia"/>
          <w:color w:val="000000" w:themeColor="text1"/>
          <w:sz w:val="21"/>
          <w:szCs w:val="21"/>
          <w:lang w:eastAsia="zh-CN"/>
          <w14:textFill>
            <w14:solidFill>
              <w14:schemeClr w14:val="tx1"/>
            </w14:solidFill>
          </w14:textFill>
        </w:rPr>
        <w:t>)</w:t>
      </w:r>
      <w:r>
        <w:rPr>
          <w:rStyle w:val="17"/>
          <w:rFonts w:hint="eastAsia"/>
          <w:color w:val="000000" w:themeColor="text1"/>
          <w:sz w:val="2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believe that all possible treatment measures should be taken to protect the femoral head</w:t>
      </w:r>
      <w:bookmarkEnd w:id="12"/>
      <w:r>
        <w:rPr>
          <w:rStyle w:val="17"/>
          <w:rFonts w:ascii="Times New Roman"/>
          <w:color w:val="000000" w:themeColor="text1"/>
          <w:sz w:val="21"/>
          <w:szCs w:val="21"/>
          <w14:textFill>
            <w14:solidFill>
              <w14:schemeClr w14:val="tx1"/>
            </w14:solidFill>
          </w14:textFill>
        </w:rPr>
        <w:t xml:space="preserve">. </w:t>
      </w:r>
      <w:r>
        <w:rPr>
          <w:color w:val="000000" w:themeColor="text1"/>
          <w:szCs w:val="21"/>
          <w14:textFill>
            <w14:solidFill>
              <w14:schemeClr w14:val="tx1"/>
            </w14:solidFill>
          </w14:textFill>
        </w:rPr>
        <w:t xml:space="preserve">At present, the main methods to </w:t>
      </w:r>
      <w:bookmarkStart w:id="13" w:name="OLE_LINK24"/>
      <w:r>
        <w:rPr>
          <w:color w:val="000000" w:themeColor="text1"/>
          <w:szCs w:val="21"/>
          <w14:textFill>
            <w14:solidFill>
              <w14:schemeClr w14:val="tx1"/>
            </w14:solidFill>
          </w14:textFill>
        </w:rPr>
        <w:t xml:space="preserve">protect </w:t>
      </w:r>
      <w:bookmarkStart w:id="14" w:name="OLE_LINK25"/>
      <w:r>
        <w:rPr>
          <w:color w:val="000000" w:themeColor="text1"/>
          <w:szCs w:val="21"/>
          <w14:textFill>
            <w14:solidFill>
              <w14:schemeClr w14:val="tx1"/>
            </w14:solidFill>
          </w14:textFill>
        </w:rPr>
        <w:t xml:space="preserve">the femoral head </w:t>
      </w:r>
      <w:bookmarkEnd w:id="14"/>
      <w:r>
        <w:rPr>
          <w:color w:val="000000" w:themeColor="text1"/>
          <w:szCs w:val="21"/>
          <w14:textFill>
            <w14:solidFill>
              <w14:schemeClr w14:val="tx1"/>
            </w14:solidFill>
          </w14:textFill>
        </w:rPr>
        <w:t>in ONFH</w:t>
      </w:r>
      <w:bookmarkEnd w:id="13"/>
      <w:r>
        <w:rPr>
          <w:color w:val="000000" w:themeColor="text1"/>
          <w:szCs w:val="21"/>
          <w14:textFill>
            <w14:solidFill>
              <w14:schemeClr w14:val="tx1"/>
            </w14:solidFill>
          </w14:textFill>
        </w:rPr>
        <w:t xml:space="preserve"> are</w:t>
      </w:r>
      <w:bookmarkStart w:id="15" w:name="OLE_LINK26"/>
      <w:bookmarkStart w:id="16" w:name="OLE_LINK27"/>
      <w:r>
        <w:rPr>
          <w:color w:val="000000" w:themeColor="text1"/>
          <w:szCs w:val="21"/>
          <w14:textFill>
            <w14:solidFill>
              <w14:schemeClr w14:val="tx1"/>
            </w14:solidFill>
          </w14:textFill>
        </w:rPr>
        <w:t xml:space="preserve"> core decompression, with or without a bone graft</w:t>
      </w:r>
      <w:bookmarkEnd w:id="15"/>
      <w:bookmarkEnd w:id="16"/>
      <w:r>
        <w:rPr>
          <w:rStyle w:val="15"/>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in addition to bone flap transplantation with blood vessels and blood vessel bundle transplantation</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However, these treatments have not achieved satisfactory clinical results.</w:t>
      </w:r>
    </w:p>
    <w:bookmarkEnd w:id="6"/>
    <w:p>
      <w:pPr>
        <w:spacing w:after="160" w:line="360" w:lineRule="auto"/>
        <w:rPr>
          <w:color w:val="000000" w:themeColor="text1"/>
          <w:szCs w:val="21"/>
          <w14:textFill>
            <w14:solidFill>
              <w14:schemeClr w14:val="tx1"/>
            </w14:solidFill>
          </w14:textFill>
        </w:rPr>
      </w:pPr>
      <w:bookmarkStart w:id="17" w:name="OLE_LINK29"/>
      <w:r>
        <w:rPr>
          <w:color w:val="000000" w:themeColor="text1"/>
          <w:szCs w:val="21"/>
          <w14:textFill>
            <w14:solidFill>
              <w14:schemeClr w14:val="tx1"/>
            </w14:solidFill>
          </w14:textFill>
        </w:rPr>
        <w:t>Platelet-rich plasma (PRP)</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an autologous enriched source of various growth factors, is widely used during trauma and orthopedic surgery. PRP contains a variety of cytokines, such as platelet-derived growth factor (PDGF), vascular endothelial growth factor, platelet-derived angiogenesis factor, transforming growth factor (TGF), insulin-like growth factor, and platelet-derived epidermal growth factor. PRP can accelerate the healing of hard and soft tissues after maxillofacial, plastic, dermatologic, dental, and </w:t>
      </w:r>
      <w:bookmarkStart w:id="18" w:name="OLE_LINK30"/>
      <w:r>
        <w:rPr>
          <w:color w:val="000000" w:themeColor="text1"/>
          <w:szCs w:val="21"/>
          <w14:textFill>
            <w14:solidFill>
              <w14:schemeClr w14:val="tx1"/>
            </w14:solidFill>
          </w14:textFill>
        </w:rPr>
        <w:t xml:space="preserve">orthopedic </w:t>
      </w:r>
      <w:bookmarkEnd w:id="18"/>
      <w:r>
        <w:rPr>
          <w:color w:val="000000" w:themeColor="text1"/>
          <w:szCs w:val="21"/>
          <w14:textFill>
            <w14:solidFill>
              <w14:schemeClr w14:val="tx1"/>
            </w14:solidFill>
          </w14:textFill>
        </w:rPr>
        <w:t>surgery</w:t>
      </w:r>
      <w:r>
        <w:rPr>
          <w:rStyle w:val="17"/>
          <w:rFonts w:ascii="Times New Roman"/>
          <w:color w:val="000000" w:themeColor="text1"/>
          <w:sz w:val="21"/>
          <w:szCs w:val="21"/>
          <w14:textFill>
            <w14:solidFill>
              <w14:schemeClr w14:val="tx1"/>
            </w14:solidFill>
          </w14:textFill>
        </w:rPr>
        <w:t xml:space="preserve"> </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7-9</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 xml:space="preserve">. </w:t>
      </w:r>
      <w:bookmarkStart w:id="19" w:name="OLE_LINK31"/>
      <w:r>
        <w:rPr>
          <w:rStyle w:val="17"/>
          <w:rFonts w:ascii="Times New Roman"/>
          <w:color w:val="000000" w:themeColor="text1"/>
          <w:sz w:val="21"/>
          <w:szCs w:val="21"/>
          <w14:textFill>
            <w14:solidFill>
              <w14:schemeClr w14:val="tx1"/>
            </w14:solidFill>
          </w14:textFill>
        </w:rPr>
        <w:t>However,</w:t>
      </w:r>
      <w:r>
        <w:rPr>
          <w:color w:val="000000" w:themeColor="text1"/>
          <w:szCs w:val="21"/>
          <w14:textFill>
            <w14:solidFill>
              <w14:schemeClr w14:val="tx1"/>
            </w14:solidFill>
          </w14:textFill>
        </w:rPr>
        <w:t xml:space="preserve"> </w:t>
      </w:r>
      <w:bookmarkStart w:id="20" w:name="OLE_LINK33"/>
      <w:r>
        <w:rPr>
          <w:color w:val="000000" w:themeColor="text1"/>
          <w:szCs w:val="21"/>
          <w14:textFill>
            <w14:solidFill>
              <w14:schemeClr w14:val="tx1"/>
            </w14:solidFill>
          </w14:textFill>
        </w:rPr>
        <w:t>evidence from preclinical and clinical research suggests that PRP has no significant therapeutic effects on ONFH</w:t>
      </w:r>
      <w:bookmarkStart w:id="21" w:name="OLE_LINK32"/>
      <w:r>
        <w:rPr>
          <w:rFonts w:eastAsia="Arial"/>
          <w:color w:val="000000" w:themeColor="text1"/>
          <w:szCs w:val="21"/>
          <w14:textFill>
            <w14:solidFill>
              <w14:schemeClr w14:val="tx1"/>
            </w14:solidFill>
          </w14:textFill>
        </w:rPr>
        <w:t>.</w:t>
      </w:r>
      <w:bookmarkEnd w:id="19"/>
      <w:bookmarkEnd w:id="20"/>
      <w:bookmarkEnd w:id="21"/>
    </w:p>
    <w:bookmarkEnd w:id="17"/>
    <w:p>
      <w:pPr>
        <w:spacing w:after="160" w:line="360" w:lineRule="auto"/>
        <w:rPr>
          <w:rFonts w:eastAsia="Arial"/>
          <w:color w:val="000000" w:themeColor="text1"/>
          <w:szCs w:val="21"/>
          <w14:textFill>
            <w14:solidFill>
              <w14:schemeClr w14:val="tx1"/>
            </w14:solidFill>
          </w14:textFill>
        </w:rPr>
      </w:pPr>
      <w:bookmarkStart w:id="22" w:name="OLE_LINK34"/>
      <w:r>
        <w:rPr>
          <w:color w:val="000000" w:themeColor="text1"/>
          <w:szCs w:val="21"/>
          <w14:textFill>
            <w14:solidFill>
              <w14:schemeClr w14:val="tx1"/>
            </w14:solidFill>
          </w14:textFill>
        </w:rPr>
        <w:t>The aim of the present study was</w:t>
      </w:r>
      <w:bookmarkStart w:id="23" w:name="OLE_LINK36"/>
      <w:bookmarkStart w:id="24" w:name="OLE_LINK35"/>
      <w:r>
        <w:rPr>
          <w:color w:val="000000" w:themeColor="text1"/>
          <w:szCs w:val="21"/>
          <w14:textFill>
            <w14:solidFill>
              <w14:schemeClr w14:val="tx1"/>
            </w14:solidFill>
          </w14:textFill>
        </w:rPr>
        <w:t xml:space="preserve"> to</w:t>
      </w:r>
      <w:bookmarkEnd w:id="23"/>
      <w:r>
        <w:rPr>
          <w:color w:val="000000" w:themeColor="text1"/>
          <w:szCs w:val="21"/>
          <w14:textFill>
            <w14:solidFill>
              <w14:schemeClr w14:val="tx1"/>
            </w14:solidFill>
          </w14:textFill>
        </w:rPr>
        <w:t xml:space="preserve"> investigate whether PRP promoted healing of ONFH in a clinical setting.</w:t>
      </w:r>
    </w:p>
    <w:bookmarkEnd w:id="22"/>
    <w:bookmarkEnd w:id="24"/>
    <w:p>
      <w:pPr>
        <w:spacing w:after="160" w:line="360" w:lineRule="auto"/>
        <w:rPr>
          <w:rFonts w:eastAsia="Arial"/>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2. Material and </w:t>
      </w:r>
      <w:bookmarkStart w:id="25" w:name="OLE_LINK3"/>
      <w:bookmarkStart w:id="26" w:name="OLE_LINK4"/>
      <w:r>
        <w:rPr>
          <w:b/>
          <w:color w:val="000000" w:themeColor="text1"/>
          <w:szCs w:val="21"/>
          <w14:textFill>
            <w14:solidFill>
              <w14:schemeClr w14:val="tx1"/>
            </w14:solidFill>
          </w14:textFill>
        </w:rPr>
        <w:t>Methods</w:t>
      </w:r>
      <w:bookmarkEnd w:id="25"/>
      <w:bookmarkEnd w:id="26"/>
    </w:p>
    <w:p>
      <w:pPr>
        <w:spacing w:after="160" w:line="36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2.1 Patients</w:t>
      </w:r>
    </w:p>
    <w:p>
      <w:pPr>
        <w:spacing w:after="160" w:line="360" w:lineRule="auto"/>
        <w:rPr>
          <w:color w:val="000000" w:themeColor="text1"/>
          <w:szCs w:val="21"/>
          <w14:textFill>
            <w14:solidFill>
              <w14:schemeClr w14:val="tx1"/>
            </w14:solidFill>
          </w14:textFill>
        </w:rPr>
      </w:pPr>
      <w:bookmarkStart w:id="27" w:name="OLE_LINK37"/>
      <w:r>
        <w:rPr>
          <w:color w:val="000000" w:themeColor="text1"/>
          <w:szCs w:val="21"/>
          <w14:textFill>
            <w14:solidFill>
              <w14:schemeClr w14:val="tx1"/>
            </w14:solidFill>
          </w14:textFill>
        </w:rPr>
        <w:t xml:space="preserve">This was a retrospective study of clinical data of patients who were admitted to our hospital for treatment of ONFH from July 2014 to June 2015. The patients were assigned to a PRP group or a control group. In the PRP group, there were seven males and two females aged 28–45 years (mean: 36.5 years). The group included six cases of alcoholic avascular necrosis and three cases of glucocorticoid-induced avascular necrosis. </w:t>
      </w:r>
      <w:bookmarkEnd w:id="27"/>
      <w:bookmarkStart w:id="28" w:name="OLE_LINK1"/>
      <w:bookmarkStart w:id="29" w:name="OLE_LINK2"/>
      <w:bookmarkStart w:id="30" w:name="OLE_LINK38"/>
      <w:r>
        <w:rPr>
          <w:color w:val="000000" w:themeColor="text1"/>
          <w:szCs w:val="21"/>
          <w14:textFill>
            <w14:solidFill>
              <w14:schemeClr w14:val="tx1"/>
            </w14:solidFill>
          </w14:textFill>
        </w:rPr>
        <w:t>The Harris score was 60–86 points (mean: 73 points) prior to surgery</w:t>
      </w:r>
      <w:bookmarkEnd w:id="28"/>
      <w:bookmarkEnd w:id="29"/>
      <w:bookmarkEnd w:id="30"/>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Patients were treated with platelet-rich plasma combined with core decompression and allogeneic fibula rod support. </w:t>
      </w:r>
      <w:r>
        <w:rPr>
          <w:color w:val="000000" w:themeColor="text1"/>
          <w:szCs w:val="21"/>
          <w14:textFill>
            <w14:solidFill>
              <w14:schemeClr w14:val="tx1"/>
            </w14:solidFill>
          </w14:textFill>
        </w:rPr>
        <w:t xml:space="preserve">In the control group, there were five males and two females aged 26–44 years (mean: 35 years). The group contained four cases of alcoholic avascular necrosis, two cases of glucocorticoid-induced avascular necrosis, and </w:t>
      </w:r>
      <w:bookmarkStart w:id="31" w:name="OLE_LINK39"/>
      <w:r>
        <w:rPr>
          <w:color w:val="000000" w:themeColor="text1"/>
          <w:szCs w:val="21"/>
          <w14:textFill>
            <w14:solidFill>
              <w14:schemeClr w14:val="tx1"/>
            </w14:solidFill>
          </w14:textFill>
        </w:rPr>
        <w:t>one case of traumatic ONFH</w:t>
      </w:r>
      <w:r>
        <w:rPr>
          <w:rFonts w:eastAsia="Arial"/>
          <w:color w:val="000000" w:themeColor="text1"/>
          <w:szCs w:val="21"/>
          <w14:textFill>
            <w14:solidFill>
              <w14:schemeClr w14:val="tx1"/>
            </w14:solidFill>
          </w14:textFill>
        </w:rPr>
        <w:t>.</w:t>
      </w:r>
      <w:bookmarkEnd w:id="31"/>
      <w:r>
        <w:rPr>
          <w:color w:val="000000" w:themeColor="text1"/>
          <w:szCs w:val="21"/>
          <w14:textFill>
            <w14:solidFill>
              <w14:schemeClr w14:val="tx1"/>
            </w14:solidFill>
          </w14:textFill>
        </w:rPr>
        <w:t xml:space="preserve"> The Harris score was 62–86 points (mean: 74 points) prior to surgery. </w:t>
      </w:r>
      <w:r>
        <w:rPr>
          <w:rFonts w:hint="eastAsia"/>
          <w:color w:val="000000" w:themeColor="text1"/>
          <w:szCs w:val="21"/>
          <w14:textFill>
            <w14:solidFill>
              <w14:schemeClr w14:val="tx1"/>
            </w14:solidFill>
          </w14:textFill>
        </w:rPr>
        <w:t xml:space="preserve">Patients  were treated with core decompression and allogeneic fibula rod support only. </w:t>
      </w:r>
      <w:r>
        <w:rPr>
          <w:color w:val="000000" w:themeColor="text1"/>
          <w:szCs w:val="21"/>
          <w14:textFill>
            <w14:solidFill>
              <w14:schemeClr w14:val="tx1"/>
            </w14:solidFill>
          </w14:textFill>
        </w:rPr>
        <w:t>In all patients, ONFH was confirmed by symptoms, a physical examination, patient history, and results of imaging studies, including X-ray and</w:t>
      </w:r>
      <w:r>
        <w:rPr>
          <w:rFonts w:hint="eastAsia"/>
          <w:color w:val="000000" w:themeColor="text1"/>
          <w:szCs w:val="21"/>
          <w:lang w:val="en-US" w:eastAsia="zh-CN"/>
          <w14:textFill>
            <w14:solidFill>
              <w14:schemeClr w14:val="tx1"/>
            </w14:solidFill>
          </w14:textFill>
        </w:rPr>
        <w:t xml:space="preserve"> magnetic resonance</w:t>
      </w:r>
      <w:r>
        <w:rPr>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MR</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 xml:space="preserve"> examinations</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The time from onset of symptoms to surgery was 3–6 months (mean: 4.5 months). There were no statistically significant differences in </w:t>
      </w:r>
      <w:r>
        <w:rPr>
          <w:rFonts w:hint="eastAsia"/>
          <w:color w:val="000000" w:themeColor="text1"/>
          <w:szCs w:val="21"/>
          <w14:textFill>
            <w14:solidFill>
              <w14:schemeClr w14:val="tx1"/>
            </w14:solidFill>
          </w14:textFill>
        </w:rPr>
        <w:t xml:space="preserve">the common </w:t>
      </w:r>
      <w:r>
        <w:rPr>
          <w:color w:val="000000" w:themeColor="text1"/>
          <w:szCs w:val="21"/>
          <w14:textFill>
            <w14:solidFill>
              <w14:schemeClr w14:val="tx1"/>
            </w14:solidFill>
          </w14:textFill>
        </w:rPr>
        <w:t>data between the two groups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 xml:space="preserve">&gt; 0.05). </w:t>
      </w:r>
      <w:bookmarkStart w:id="32" w:name="OLE_LINK40"/>
      <w:r>
        <w:rPr>
          <w:color w:val="000000" w:themeColor="text1"/>
          <w:szCs w:val="21"/>
          <w14:textFill>
            <w14:solidFill>
              <w14:schemeClr w14:val="tx1"/>
            </w14:solidFill>
          </w14:textFill>
        </w:rPr>
        <w:t>The clinical experiments were approved by the ethics committee of Linyi People’s Hospital</w:t>
      </w:r>
      <w:r>
        <w:rPr>
          <w:rFonts w:eastAsia="Arial"/>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All the patients volunteered to take part in the study, and all signed informed consent forms.</w:t>
      </w:r>
    </w:p>
    <w:bookmarkEnd w:id="32"/>
    <w:p>
      <w:pPr>
        <w:spacing w:after="160" w:line="360" w:lineRule="auto"/>
        <w:rPr>
          <w:rFonts w:eastAsia="Arial"/>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2.2 </w:t>
      </w:r>
      <w:r>
        <w:rPr>
          <w:b/>
          <w:color w:val="000000" w:themeColor="text1"/>
          <w:szCs w:val="21"/>
          <w14:textFill>
            <w14:solidFill>
              <w14:schemeClr w14:val="tx1"/>
            </w14:solidFill>
          </w14:textFill>
        </w:rPr>
        <w:t>Preparation of PRP</w:t>
      </w:r>
    </w:p>
    <w:p>
      <w:pPr>
        <w:spacing w:after="16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After successful induction of general anesthesia, </w:t>
      </w:r>
      <w:bookmarkStart w:id="33" w:name="OLE_LINK41"/>
      <w:r>
        <w:rPr>
          <w:color w:val="000000" w:themeColor="text1"/>
          <w:szCs w:val="21"/>
          <w14:textFill>
            <w14:solidFill>
              <w14:schemeClr w14:val="tx1"/>
            </w14:solidFill>
          </w14:textFill>
        </w:rPr>
        <w:t xml:space="preserve">whole blood (30 mL) was collected from </w:t>
      </w:r>
      <w:bookmarkStart w:id="34" w:name="OLE_LINK42"/>
      <w:r>
        <w:rPr>
          <w:color w:val="000000" w:themeColor="text1"/>
          <w:szCs w:val="21"/>
          <w14:textFill>
            <w14:solidFill>
              <w14:schemeClr w14:val="tx1"/>
            </w14:solidFill>
          </w14:textFill>
        </w:rPr>
        <w:t>the marginal auricular vein</w:t>
      </w:r>
      <w:bookmarkEnd w:id="34"/>
      <w:r>
        <w:rPr>
          <w:color w:val="000000" w:themeColor="text1"/>
          <w:szCs w:val="21"/>
          <w14:textFill>
            <w14:solidFill>
              <w14:schemeClr w14:val="tx1"/>
            </w14:solidFill>
          </w14:textFill>
        </w:rPr>
        <w:t xml:space="preserve"> using an 18-gauge catheter. </w:t>
      </w:r>
      <w:bookmarkEnd w:id="33"/>
      <w:r>
        <w:rPr>
          <w:color w:val="000000" w:themeColor="text1"/>
          <w:szCs w:val="21"/>
          <w14:textFill>
            <w14:solidFill>
              <w14:schemeClr w14:val="tx1"/>
            </w14:solidFill>
          </w14:textFill>
        </w:rPr>
        <w:t>The blood was then injected into a sterile centrifuge tube containing 1.5 mL of sodium citrate. The mixture was centrifuged at 1500×g for 20 min to separate the plasma from red blood cells.</w:t>
      </w:r>
      <w:bookmarkStart w:id="35" w:name="OLE_LINK43"/>
      <w:r>
        <w:rPr>
          <w:color w:val="000000" w:themeColor="text1"/>
          <w:szCs w:val="21"/>
          <w14:textFill>
            <w14:solidFill>
              <w14:schemeClr w14:val="tx1"/>
            </w14:solidFill>
          </w14:textFill>
        </w:rPr>
        <w:t xml:space="preserve"> </w:t>
      </w:r>
      <w:bookmarkEnd w:id="35"/>
      <w:r>
        <w:rPr>
          <w:color w:val="000000" w:themeColor="text1"/>
          <w:szCs w:val="21"/>
          <w14:textFill>
            <w14:solidFill>
              <w14:schemeClr w14:val="tx1"/>
            </w14:solidFill>
          </w14:textFill>
        </w:rPr>
        <w:t>A straw was then used to</w:t>
      </w:r>
      <w:r>
        <w:rPr>
          <w:rStyle w:val="15"/>
          <w:rFonts w:eastAsia="Arial"/>
          <w:color w:val="000000" w:themeColor="text1"/>
          <w:szCs w:val="21"/>
          <w14:textFill>
            <w14:solidFill>
              <w14:schemeClr w14:val="tx1"/>
            </w14:solidFill>
          </w14:textFill>
        </w:rPr>
        <w:t xml:space="preserve"> </w:t>
      </w:r>
      <w:r>
        <w:rPr>
          <w:rStyle w:val="15"/>
          <w:color w:val="000000" w:themeColor="text1"/>
          <w:szCs w:val="21"/>
          <w14:textFill>
            <w14:solidFill>
              <w14:schemeClr w14:val="tx1"/>
            </w14:solidFill>
          </w14:textFill>
        </w:rPr>
        <w:t xml:space="preserve">suck out </w:t>
      </w:r>
      <w:r>
        <w:rPr>
          <w:color w:val="000000" w:themeColor="text1"/>
          <w:szCs w:val="21"/>
          <w14:textFill>
            <w14:solidFill>
              <w14:schemeClr w14:val="tx1"/>
            </w14:solidFill>
          </w14:textFill>
        </w:rPr>
        <w:t xml:space="preserve">the supernatant. </w:t>
      </w:r>
      <w:bookmarkStart w:id="36" w:name="OLE_LINK44"/>
      <w:r>
        <w:rPr>
          <w:color w:val="000000" w:themeColor="text1"/>
          <w:szCs w:val="21"/>
          <w14:textFill>
            <w14:solidFill>
              <w14:schemeClr w14:val="tx1"/>
            </w14:solidFill>
          </w14:textFill>
        </w:rPr>
        <w:t xml:space="preserve">The plasma was centrifuged again at 1500×g for 10 min (4 °C), and </w:t>
      </w:r>
      <w:bookmarkStart w:id="37" w:name="OLE_LINK45"/>
      <w:r>
        <w:rPr>
          <w:color w:val="000000" w:themeColor="text1"/>
          <w:szCs w:val="21"/>
          <w14:textFill>
            <w14:solidFill>
              <w14:schemeClr w14:val="tx1"/>
            </w14:solidFill>
          </w14:textFill>
        </w:rPr>
        <w:t>the precipitated platelets</w:t>
      </w:r>
      <w:bookmarkEnd w:id="37"/>
      <w:r>
        <w:rPr>
          <w:color w:val="000000" w:themeColor="text1"/>
          <w:szCs w:val="21"/>
          <w14:textFill>
            <w14:solidFill>
              <w14:schemeClr w14:val="tx1"/>
            </w14:solidFill>
          </w14:textFill>
        </w:rPr>
        <w:t xml:space="preserve"> (i.e., PRP) were collected</w:t>
      </w:r>
      <w:bookmarkEnd w:id="36"/>
      <w:r>
        <w:rPr>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10</w:t>
      </w:r>
      <w:r>
        <w:rPr>
          <w:rFonts w:hint="eastAsia"/>
          <w:color w:val="000000" w:themeColor="text1"/>
          <w:szCs w:val="21"/>
          <w:lang w:eastAsia="zh-CN"/>
          <w14:textFill>
            <w14:solidFill>
              <w14:schemeClr w14:val="tx1"/>
            </w14:solidFill>
          </w14:textFill>
        </w:rPr>
        <w:t>)</w:t>
      </w:r>
      <w:r>
        <w:rPr>
          <w:rFonts w:eastAsia="Arial"/>
          <w:color w:val="000000" w:themeColor="text1"/>
          <w:szCs w:val="21"/>
          <w14:textFill>
            <w14:solidFill>
              <w14:schemeClr w14:val="tx1"/>
            </w14:solidFill>
          </w14:textFill>
        </w:rPr>
        <w:t>.</w:t>
      </w:r>
    </w:p>
    <w:p>
      <w:pPr>
        <w:spacing w:after="160" w:line="360" w:lineRule="auto"/>
        <w:rPr>
          <w:rFonts w:eastAsia="Arial"/>
          <w:color w:val="000000" w:themeColor="text1"/>
          <w:szCs w:val="21"/>
          <w14:textFill>
            <w14:solidFill>
              <w14:schemeClr w14:val="tx1"/>
            </w14:solidFill>
          </w14:textFill>
        </w:rPr>
      </w:pPr>
      <w:r>
        <w:rPr>
          <w:b/>
          <w:color w:val="000000" w:themeColor="text1"/>
          <w:szCs w:val="21"/>
          <w14:textFill>
            <w14:solidFill>
              <w14:schemeClr w14:val="tx1"/>
            </w14:solidFill>
          </w14:textFill>
        </w:rPr>
        <w:t>2.3 Surgical procedure</w:t>
      </w:r>
    </w:p>
    <w:p>
      <w:pPr>
        <w:spacing w:after="160" w:line="360" w:lineRule="auto"/>
        <w:rPr>
          <w:color w:val="000000" w:themeColor="text1"/>
          <w:szCs w:val="21"/>
          <w14:textFill>
            <w14:solidFill>
              <w14:schemeClr w14:val="tx1"/>
            </w14:solidFill>
          </w14:textFill>
        </w:rPr>
      </w:pPr>
      <w:bookmarkStart w:id="38" w:name="OLE_LINK47"/>
      <w:bookmarkStart w:id="39" w:name="OLE_LINK46"/>
      <w:r>
        <w:rPr>
          <w:color w:val="000000" w:themeColor="text1"/>
          <w:szCs w:val="21"/>
          <w14:textFill>
            <w14:solidFill>
              <w14:schemeClr w14:val="tx1"/>
            </w14:solidFill>
          </w14:textFill>
        </w:rPr>
        <w:t>A longitudinal incision (4–6 cm) was made in the big tuberosity distal along the lateral femoral hip</w:t>
      </w:r>
      <w:bookmarkEnd w:id="38"/>
      <w:bookmarkEnd w:id="39"/>
      <w:r>
        <w:rPr>
          <w:color w:val="000000" w:themeColor="text1"/>
          <w:szCs w:val="21"/>
          <w14:textFill>
            <w14:solidFill>
              <w14:schemeClr w14:val="tx1"/>
            </w14:solidFill>
          </w14:textFill>
        </w:rPr>
        <w:t xml:space="preserve"> to </w:t>
      </w:r>
      <w:bookmarkStart w:id="40" w:name="OLE_LINK48"/>
      <w:r>
        <w:rPr>
          <w:color w:val="000000" w:themeColor="text1"/>
          <w:szCs w:val="21"/>
          <w14:textFill>
            <w14:solidFill>
              <w14:schemeClr w14:val="tx1"/>
            </w14:solidFill>
          </w14:textFill>
        </w:rPr>
        <w:t>expose the far side of the greater trochanter of the femur, which was used as the entry point.</w:t>
      </w:r>
      <w:bookmarkEnd w:id="40"/>
      <w:r>
        <w:rPr>
          <w:color w:val="000000" w:themeColor="text1"/>
          <w:szCs w:val="21"/>
          <w14:textFill>
            <w14:solidFill>
              <w14:schemeClr w14:val="tx1"/>
            </w14:solidFill>
          </w14:textFill>
        </w:rPr>
        <w:t xml:space="preserve"> Using C-arm X-ray machine monitoring, a bone tunnel (diameter of 12 mm) was drilled in the central necrosis area (5–7 mm under the articular cartilage)</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All d</w:t>
      </w:r>
      <w:bookmarkStart w:id="41" w:name="OLE_LINK49"/>
      <w:r>
        <w:rPr>
          <w:color w:val="000000" w:themeColor="text1"/>
          <w:szCs w:val="21"/>
          <w14:textFill>
            <w14:solidFill>
              <w14:schemeClr w14:val="tx1"/>
            </w14:solidFill>
          </w14:textFill>
        </w:rPr>
        <w:t>ead bone tissue was then removed along the bone tunnel</w:t>
      </w:r>
      <w:bookmarkEnd w:id="41"/>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bookmarkStart w:id="42" w:name="OLE_LINK50"/>
      <w:r>
        <w:rPr>
          <w:color w:val="000000" w:themeColor="text1"/>
          <w:szCs w:val="21"/>
          <w14:textFill>
            <w14:solidFill>
              <w14:schemeClr w14:val="tx1"/>
            </w14:solidFill>
          </w14:textFill>
        </w:rPr>
        <w:t>and autologous PRP was implanted.</w:t>
      </w:r>
      <w:bookmarkEnd w:id="42"/>
      <w:bookmarkStart w:id="43" w:name="OLE_LINK51"/>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Selecting suitable length allogeneic fibula rod support and fixed</w:t>
      </w:r>
      <w:r>
        <w:rPr>
          <w:rFonts w:eastAsia="Arial"/>
          <w:color w:val="000000" w:themeColor="text1"/>
          <w:szCs w:val="21"/>
          <w14:textFill>
            <w14:solidFill>
              <w14:schemeClr w14:val="tx1"/>
            </w14:solidFill>
          </w14:textFill>
        </w:rPr>
        <w:t>.</w:t>
      </w:r>
      <w:bookmarkEnd w:id="43"/>
      <w:r>
        <w:rPr>
          <w:color w:val="000000" w:themeColor="text1"/>
          <w:szCs w:val="21"/>
          <w14:textFill>
            <w14:solidFill>
              <w14:schemeClr w14:val="tx1"/>
            </w14:solidFill>
          </w14:textFill>
        </w:rPr>
        <w:t xml:space="preserve"> After confirming the depth and location</w:t>
      </w:r>
      <w:r>
        <w:rPr>
          <w:rFonts w:hint="eastAsia"/>
          <w:color w:val="000000" w:themeColor="text1"/>
          <w:szCs w:val="21"/>
          <w:lang w:val="en-US" w:eastAsia="zh-CN"/>
          <w14:textFill>
            <w14:solidFill>
              <w14:schemeClr w14:val="tx1"/>
            </w14:solidFill>
          </w14:textFill>
        </w:rPr>
        <w:t xml:space="preserve"> of allogeneic fibula rod</w:t>
      </w:r>
      <w:r>
        <w:rPr>
          <w:color w:val="000000" w:themeColor="text1"/>
          <w:szCs w:val="21"/>
          <w14:textFill>
            <w14:solidFill>
              <w14:schemeClr w14:val="tx1"/>
            </w14:solidFill>
          </w14:textFill>
        </w:rPr>
        <w:t xml:space="preserve">, the incision was sutured. </w:t>
      </w:r>
      <w:bookmarkStart w:id="44" w:name="OLE_LINK52"/>
      <w:r>
        <w:rPr>
          <w:color w:val="000000" w:themeColor="text1"/>
          <w:szCs w:val="21"/>
          <w14:textFill>
            <w14:solidFill>
              <w14:schemeClr w14:val="tx1"/>
            </w14:solidFill>
          </w14:textFill>
        </w:rPr>
        <w:t>The surgical protocol is shown in Figure 1.</w:t>
      </w:r>
      <w:r>
        <w:rPr>
          <w:rFonts w:hint="eastAsia"/>
          <w:color w:val="000000" w:themeColor="text1"/>
          <w:szCs w:val="21"/>
          <w:lang w:val="en-US" w:eastAsia="zh-CN"/>
          <w14:textFill>
            <w14:solidFill>
              <w14:schemeClr w14:val="tx1"/>
            </w14:solidFill>
          </w14:textFill>
        </w:rPr>
        <w:t xml:space="preserve"> </w:t>
      </w:r>
    </w:p>
    <w:bookmarkEnd w:id="44"/>
    <w:p>
      <w:pPr>
        <w:spacing w:after="160" w:line="360" w:lineRule="auto"/>
        <w:rPr>
          <w:rFonts w:eastAsia="Arial"/>
          <w:b/>
          <w:color w:val="000000" w:themeColor="text1"/>
          <w:szCs w:val="21"/>
          <w14:textFill>
            <w14:solidFill>
              <w14:schemeClr w14:val="tx1"/>
            </w14:solidFill>
          </w14:textFill>
        </w:rPr>
      </w:pPr>
      <w:r>
        <w:rPr>
          <w:b/>
          <w:color w:val="000000" w:themeColor="text1"/>
          <w:szCs w:val="21"/>
          <w14:textFill>
            <w14:solidFill>
              <w14:schemeClr w14:val="tx1"/>
            </w14:solidFill>
          </w14:textFill>
        </w:rPr>
        <w:t>2.4 Postoperative management</w:t>
      </w:r>
    </w:p>
    <w:p>
      <w:pPr>
        <w:spacing w:after="160" w:line="360" w:lineRule="auto"/>
        <w:rPr>
          <w:color w:val="000000" w:themeColor="text1"/>
          <w:szCs w:val="21"/>
          <w14:textFill>
            <w14:solidFill>
              <w14:schemeClr w14:val="tx1"/>
            </w14:solidFill>
          </w14:textFill>
        </w:rPr>
      </w:pPr>
      <w:bookmarkStart w:id="45" w:name="OLE_LINK53"/>
      <w:r>
        <w:rPr>
          <w:color w:val="000000" w:themeColor="text1"/>
          <w:szCs w:val="21"/>
          <w14:textFill>
            <w14:solidFill>
              <w14:schemeClr w14:val="tx1"/>
            </w14:solidFill>
          </w14:textFill>
        </w:rPr>
        <w:t>All the patients were treated with anti-inflammatory agents after the surgery</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bookmarkStart w:id="46" w:name="OLE_LINK54"/>
      <w:r>
        <w:rPr>
          <w:color w:val="000000" w:themeColor="text1"/>
          <w:szCs w:val="21"/>
          <w14:textFill>
            <w14:solidFill>
              <w14:schemeClr w14:val="tx1"/>
            </w14:solidFill>
          </w14:textFill>
        </w:rPr>
        <w:t xml:space="preserve">After </w:t>
      </w:r>
      <w:bookmarkStart w:id="47" w:name="OLE_LINK55"/>
      <w:r>
        <w:rPr>
          <w:color w:val="000000" w:themeColor="text1"/>
          <w:szCs w:val="21"/>
          <w14:textFill>
            <w14:solidFill>
              <w14:schemeClr w14:val="tx1"/>
            </w14:solidFill>
          </w14:textFill>
        </w:rPr>
        <w:t>awakening from anesthesia,</w:t>
      </w:r>
      <w:r>
        <w:rPr>
          <w:rFonts w:hint="eastAsia"/>
          <w:color w:val="000000" w:themeColor="text1"/>
          <w:szCs w:val="21"/>
          <w:lang w:val="en-US" w:eastAsia="zh-CN"/>
          <w14:textFill>
            <w14:solidFill>
              <w14:schemeClr w14:val="tx1"/>
            </w14:solidFill>
          </w14:textFill>
        </w:rPr>
        <w:t xml:space="preserve"> active flex and outreach of joint function rehabilitation exercise was </w:t>
      </w:r>
      <w:bookmarkEnd w:id="47"/>
      <w:r>
        <w:rPr>
          <w:color w:val="000000" w:themeColor="text1"/>
          <w:szCs w:val="21"/>
          <w14:textFill>
            <w14:solidFill>
              <w14:schemeClr w14:val="tx1"/>
            </w14:solidFill>
          </w14:textFill>
        </w:rPr>
        <w:t>carried out.</w:t>
      </w:r>
      <w:bookmarkStart w:id="48" w:name="OLE_LINK57"/>
      <w:r>
        <w:rPr>
          <w:color w:val="000000" w:themeColor="text1"/>
          <w:szCs w:val="21"/>
          <w14:textFill>
            <w14:solidFill>
              <w14:schemeClr w14:val="tx1"/>
            </w14:solidFill>
          </w14:textFill>
        </w:rPr>
        <w:t xml:space="preserve"> </w:t>
      </w:r>
      <w:bookmarkEnd w:id="46"/>
      <w:bookmarkStart w:id="49" w:name="OLE_LINK58"/>
      <w:r>
        <w:rPr>
          <w:color w:val="000000" w:themeColor="text1"/>
          <w:szCs w:val="21"/>
          <w14:textFill>
            <w14:solidFill>
              <w14:schemeClr w14:val="tx1"/>
            </w14:solidFill>
          </w14:textFill>
        </w:rPr>
        <w:t xml:space="preserve">Postsurgery, the patients were supported by crutches for 3 months to avoid femur neck fracture caused by falling. Each patient was advised to avoid excessive </w:t>
      </w:r>
      <w:r>
        <w:rPr>
          <w:rFonts w:hint="eastAsia"/>
          <w:color w:val="000000" w:themeColor="text1"/>
          <w:szCs w:val="21"/>
          <w:lang w:val="en-US" w:eastAsia="zh-CN"/>
          <w14:textFill>
            <w14:solidFill>
              <w14:schemeClr w14:val="tx1"/>
            </w14:solidFill>
          </w14:textFill>
        </w:rPr>
        <w:t xml:space="preserve">body </w:t>
      </w:r>
      <w:r>
        <w:rPr>
          <w:color w:val="000000" w:themeColor="text1"/>
          <w:szCs w:val="21"/>
          <w14:textFill>
            <w14:solidFill>
              <w14:schemeClr w14:val="tx1"/>
            </w14:solidFill>
          </w14:textFill>
        </w:rPr>
        <w:t>weight and intense activity for 1 year.</w:t>
      </w:r>
    </w:p>
    <w:bookmarkEnd w:id="45"/>
    <w:bookmarkEnd w:id="48"/>
    <w:bookmarkEnd w:id="49"/>
    <w:p>
      <w:pPr>
        <w:spacing w:after="160" w:line="360" w:lineRule="auto"/>
        <w:rPr>
          <w:rFonts w:eastAsia="Arial"/>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2.5 Postoperative follow-up and evaluation of the curative effect </w:t>
      </w:r>
    </w:p>
    <w:p>
      <w:pPr>
        <w:spacing w:after="160" w:line="360" w:lineRule="auto"/>
        <w:rPr>
          <w:color w:val="000000" w:themeColor="text1"/>
          <w:szCs w:val="21"/>
          <w14:textFill>
            <w14:solidFill>
              <w14:schemeClr w14:val="tx1"/>
            </w14:solidFill>
          </w14:textFill>
        </w:rPr>
      </w:pPr>
      <w:bookmarkStart w:id="50" w:name="OLE_LINK63"/>
      <w:bookmarkStart w:id="51" w:name="OLE_LINK62"/>
      <w:r>
        <w:rPr>
          <w:color w:val="000000" w:themeColor="text1"/>
          <w:szCs w:val="21"/>
          <w14:textFill>
            <w14:solidFill>
              <w14:schemeClr w14:val="tx1"/>
            </w14:solidFill>
          </w14:textFill>
        </w:rPr>
        <w:t>As an indicator of the curative effect, the Harris hip score was used (</w:t>
      </w:r>
      <w:bookmarkEnd w:id="50"/>
      <w:bookmarkEnd w:id="51"/>
      <w:bookmarkStart w:id="52" w:name="OLE_LINK65"/>
      <w:r>
        <w:rPr>
          <w:color w:val="000000" w:themeColor="text1"/>
          <w:szCs w:val="21"/>
          <w14:textFill>
            <w14:solidFill>
              <w14:schemeClr w14:val="tx1"/>
            </w14:solidFill>
          </w14:textFill>
        </w:rPr>
        <w:t xml:space="preserve">&gt; 90, excellent; 75–90, good; 60–74, </w:t>
      </w:r>
      <w:bookmarkStart w:id="53" w:name="OLE_LINK64"/>
      <w:r>
        <w:rPr>
          <w:color w:val="000000" w:themeColor="text1"/>
          <w:szCs w:val="21"/>
          <w14:textFill>
            <w14:solidFill>
              <w14:schemeClr w14:val="tx1"/>
            </w14:solidFill>
          </w14:textFill>
        </w:rPr>
        <w:t xml:space="preserve">poor; </w:t>
      </w:r>
      <w:bookmarkEnd w:id="53"/>
      <w:r>
        <w:rPr>
          <w:color w:val="000000" w:themeColor="text1"/>
          <w:szCs w:val="21"/>
          <w14:textFill>
            <w14:solidFill>
              <w14:schemeClr w14:val="tx1"/>
            </w14:solidFill>
          </w14:textFill>
        </w:rPr>
        <w:t>and &lt; 60, bad)</w:t>
      </w:r>
      <w:r>
        <w:rPr>
          <w:rFonts w:hint="eastAsia"/>
          <w:color w:val="000000" w:themeColor="text1"/>
          <w:szCs w:val="21"/>
          <w:lang w:val="en-US" w:eastAsia="zh-CN"/>
          <w14:textFill>
            <w14:solidFill>
              <w14:schemeClr w14:val="tx1"/>
            </w14:solidFill>
          </w14:textFill>
        </w:rPr>
        <w:t xml:space="preserve"> (11)</w:t>
      </w:r>
      <w:r>
        <w:rPr>
          <w:color w:val="000000" w:themeColor="text1"/>
          <w:szCs w:val="21"/>
          <w14:textFill>
            <w14:solidFill>
              <w14:schemeClr w14:val="tx1"/>
            </w14:solidFill>
          </w14:textFill>
        </w:rPr>
        <w:t xml:space="preserve">. </w:t>
      </w:r>
      <w:bookmarkStart w:id="54" w:name="OLE_LINK70"/>
      <w:r>
        <w:rPr>
          <w:color w:val="000000" w:themeColor="text1"/>
          <w:szCs w:val="21"/>
          <w14:textFill>
            <w14:solidFill>
              <w14:schemeClr w14:val="tx1"/>
            </w14:solidFill>
          </w14:textFill>
        </w:rPr>
        <w:t>Imaging studies were performed 1 and 3 months after the surgery to evaluate changes in bone morphology.</w:t>
      </w:r>
    </w:p>
    <w:bookmarkEnd w:id="52"/>
    <w:bookmarkEnd w:id="54"/>
    <w:p>
      <w:pPr>
        <w:pStyle w:val="20"/>
        <w:spacing w:after="160" w:line="360" w:lineRule="auto"/>
        <w:ind w:firstLine="0" w:firstLineChars="0"/>
        <w:rPr>
          <w:rFonts w:hint="default"/>
          <w:b/>
          <w:color w:val="000000" w:themeColor="text1"/>
          <w:szCs w:val="21"/>
          <w14:textFill>
            <w14:solidFill>
              <w14:schemeClr w14:val="tx1"/>
            </w14:solidFill>
          </w14:textFill>
        </w:rPr>
      </w:pPr>
      <w:r>
        <w:rPr>
          <w:rFonts w:hint="default"/>
          <w:b/>
          <w:color w:val="000000" w:themeColor="text1"/>
          <w:szCs w:val="21"/>
          <w14:textFill>
            <w14:solidFill>
              <w14:schemeClr w14:val="tx1"/>
            </w14:solidFill>
          </w14:textFill>
        </w:rPr>
        <w:t>2.6 Statistical analysis</w:t>
      </w:r>
    </w:p>
    <w:p>
      <w:pPr>
        <w:pStyle w:val="20"/>
        <w:spacing w:after="160" w:line="360" w:lineRule="auto"/>
        <w:ind w:firstLine="0" w:firstLineChars="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All data are expressed as means ± standard deviation (SD). The statistical analysis was performed using SPSS 16.0 software</w:t>
      </w:r>
      <w:r>
        <w:rPr>
          <w:rFonts w:hint="eastAsia"/>
          <w:color w:val="000000" w:themeColor="text1"/>
          <w:szCs w:val="21"/>
          <w:lang w:val="en-US" w:eastAsia="zh-CN"/>
          <w14:textFill>
            <w14:solidFill>
              <w14:schemeClr w14:val="tx1"/>
            </w14:solidFill>
          </w14:textFill>
        </w:rPr>
        <w:t xml:space="preserve"> (SPSS Inc., Chicago, IL, USA)</w:t>
      </w:r>
      <w:r>
        <w:rPr>
          <w:rFonts w:hint="default"/>
          <w:color w:val="000000" w:themeColor="text1"/>
          <w:szCs w:val="21"/>
          <w14:textFill>
            <w14:solidFill>
              <w14:schemeClr w14:val="tx1"/>
            </w14:solidFill>
          </w14:textFill>
        </w:rPr>
        <w:t xml:space="preserve">. Differences between groups were detected using a one-way analysis of variance, followed by Scheffe’s multiple comparison test. </w:t>
      </w:r>
      <w:r>
        <w:rPr>
          <w:rFonts w:hint="default"/>
          <w:i/>
          <w:color w:val="000000" w:themeColor="text1"/>
          <w:szCs w:val="21"/>
          <w14:textFill>
            <w14:solidFill>
              <w14:schemeClr w14:val="tx1"/>
            </w14:solidFill>
          </w14:textFill>
        </w:rPr>
        <w:t xml:space="preserve">P </w:t>
      </w:r>
      <w:r>
        <w:rPr>
          <w:rFonts w:hint="default"/>
          <w:color w:val="000000" w:themeColor="text1"/>
          <w:szCs w:val="21"/>
          <w14:textFill>
            <w14:solidFill>
              <w14:schemeClr w14:val="tx1"/>
            </w14:solidFill>
          </w14:textFill>
        </w:rPr>
        <w:t>&lt; 0.05 was considered statistically significant.</w:t>
      </w:r>
    </w:p>
    <w:p>
      <w:pPr>
        <w:pStyle w:val="20"/>
        <w:spacing w:after="160" w:line="360" w:lineRule="auto"/>
        <w:ind w:firstLine="0" w:firstLineChars="0"/>
        <w:rPr>
          <w:rFonts w:hint="default" w:eastAsia="Arial"/>
          <w:b/>
          <w:color w:val="000000" w:themeColor="text1"/>
          <w:szCs w:val="21"/>
          <w14:textFill>
            <w14:solidFill>
              <w14:schemeClr w14:val="tx1"/>
            </w14:solidFill>
          </w14:textFill>
        </w:rPr>
      </w:pPr>
      <w:r>
        <w:rPr>
          <w:rFonts w:hint="default"/>
          <w:b/>
          <w:color w:val="000000" w:themeColor="text1"/>
          <w:szCs w:val="21"/>
          <w14:textFill>
            <w14:solidFill>
              <w14:schemeClr w14:val="tx1"/>
            </w14:solidFill>
          </w14:textFill>
        </w:rPr>
        <w:t>3. Results</w:t>
      </w:r>
    </w:p>
    <w:p>
      <w:pPr>
        <w:spacing w:after="160" w:line="36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3.1 Comparison of Harris hip scores in the two groups</w:t>
      </w:r>
    </w:p>
    <w:p>
      <w:pPr>
        <w:spacing w:after="16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In the PRP group, the Harris scores increased from 67.82 ± 9.61 to 88.45 ± 6.02</w:t>
      </w:r>
      <w:bookmarkStart w:id="55" w:name="OLE_LINK68"/>
      <w:r>
        <w:rPr>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&lt; 0.05, Table 1).</w:t>
      </w:r>
      <w:bookmarkEnd w:id="55"/>
      <w:r>
        <w:rPr>
          <w:color w:val="000000" w:themeColor="text1"/>
          <w:szCs w:val="21"/>
          <w14:textFill>
            <w14:solidFill>
              <w14:schemeClr w14:val="tx1"/>
            </w14:solidFill>
          </w14:textFill>
        </w:rPr>
        <w:t xml:space="preserve"> </w:t>
      </w:r>
      <w:bookmarkStart w:id="56" w:name="OLE_LINK67"/>
      <w:r>
        <w:rPr>
          <w:color w:val="000000" w:themeColor="text1"/>
          <w:szCs w:val="21"/>
          <w14:textFill>
            <w14:solidFill>
              <w14:schemeClr w14:val="tx1"/>
            </w14:solidFill>
          </w14:textFill>
        </w:rPr>
        <w:t xml:space="preserve">Seven </w:t>
      </w:r>
      <w:bookmarkEnd w:id="56"/>
      <w:r>
        <w:rPr>
          <w:color w:val="000000" w:themeColor="text1"/>
          <w:szCs w:val="21"/>
          <w14:textFill>
            <w14:solidFill>
              <w14:schemeClr w14:val="tx1"/>
            </w14:solidFill>
          </w14:textFill>
        </w:rPr>
        <w:t>(77.8%) hips were classed as excellent, and one (22.2%) hip was classed as good. No hips were classed as poor or bad. In the control group, the Harris scores increased from 69.74 ± 8.26 to 87.36 ± 6.17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&lt; 0.05, Table 1). Six (85.7%) hips were classed as excellent, and 1 (14.2%) hip was classed as good. No hips were classed as poor or bad. There were statistically significant differences in pretreatment and post-treatment scores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&lt; 0.05, Table 1). There were no statistically significant differences in the postoperative scores of the two groups (</w:t>
      </w:r>
      <w:r>
        <w:rPr>
          <w:i/>
          <w:color w:val="000000" w:themeColor="text1"/>
          <w:szCs w:val="21"/>
          <w14:textFill>
            <w14:solidFill>
              <w14:schemeClr w14:val="tx1"/>
            </w14:solidFill>
          </w14:textFill>
        </w:rPr>
        <w:t xml:space="preserve">P </w:t>
      </w:r>
      <w:r>
        <w:rPr>
          <w:color w:val="000000" w:themeColor="text1"/>
          <w:szCs w:val="21"/>
          <w14:textFill>
            <w14:solidFill>
              <w14:schemeClr w14:val="tx1"/>
            </w14:solidFill>
          </w14:textFill>
        </w:rPr>
        <w:t>&gt; 0.05, Table 1).</w:t>
      </w:r>
    </w:p>
    <w:p>
      <w:pPr>
        <w:spacing w:after="160" w:line="36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3.2 Imaging findings</w:t>
      </w:r>
    </w:p>
    <w:p>
      <w:pPr>
        <w:spacing w:after="160" w:line="360" w:lineRule="auto"/>
        <w:rPr>
          <w:color w:val="000000" w:themeColor="text1"/>
          <w:szCs w:val="21"/>
          <w14:textFill>
            <w14:solidFill>
              <w14:schemeClr w14:val="tx1"/>
            </w14:solidFill>
          </w14:textFill>
        </w:rPr>
      </w:pPr>
      <w:bookmarkStart w:id="57" w:name="OLE_LINK69"/>
      <w:bookmarkStart w:id="58" w:name="_Hlk500253852"/>
      <w:r>
        <w:rPr>
          <w:color w:val="000000" w:themeColor="text1"/>
          <w:szCs w:val="21"/>
          <w14:textFill>
            <w14:solidFill>
              <w14:schemeClr w14:val="tx1"/>
            </w14:solidFill>
          </w14:textFill>
        </w:rPr>
        <w:t>Three months after the operation</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bookmarkStart w:id="59" w:name="OLE_LINK71"/>
      <w:r>
        <w:rPr>
          <w:color w:val="000000" w:themeColor="text1"/>
          <w:szCs w:val="21"/>
          <w14:textFill>
            <w14:solidFill>
              <w14:schemeClr w14:val="tx1"/>
            </w14:solidFill>
          </w14:textFill>
        </w:rPr>
        <w:t>the shapes of the femoral heads</w:t>
      </w:r>
      <w:bookmarkEnd w:id="59"/>
      <w:r>
        <w:rPr>
          <w:color w:val="000000" w:themeColor="text1"/>
          <w:szCs w:val="21"/>
          <w14:textFill>
            <w14:solidFill>
              <w14:schemeClr w14:val="tx1"/>
            </w14:solidFill>
          </w14:textFill>
        </w:rPr>
        <w:t xml:space="preserve"> in the two groups</w:t>
      </w:r>
      <w:r>
        <w:rPr>
          <w:rStyle w:val="15"/>
          <w:rFonts w:eastAsia="Arial"/>
          <w:color w:val="000000" w:themeColor="text1"/>
          <w:szCs w:val="21"/>
          <w14:textFill>
            <w14:solidFill>
              <w14:schemeClr w14:val="tx1"/>
            </w14:solidFill>
          </w14:textFill>
        </w:rPr>
        <w:t xml:space="preserve"> </w:t>
      </w:r>
      <w:r>
        <w:rPr>
          <w:rStyle w:val="15"/>
          <w:color w:val="000000" w:themeColor="text1"/>
          <w:szCs w:val="21"/>
          <w14:textFill>
            <w14:solidFill>
              <w14:schemeClr w14:val="tx1"/>
            </w14:solidFill>
          </w14:textFill>
        </w:rPr>
        <w:t xml:space="preserve">were good, with no </w:t>
      </w:r>
      <w:r>
        <w:rPr>
          <w:color w:val="000000" w:themeColor="text1"/>
          <w:szCs w:val="21"/>
          <w14:textFill>
            <w14:solidFill>
              <w14:schemeClr w14:val="tx1"/>
            </w14:solidFill>
          </w14:textFill>
        </w:rPr>
        <w:t>deformation and collapse</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The location of the top of the allograft fibula was perfect (no fibula out), </w:t>
      </w:r>
      <w:r>
        <w:rPr>
          <w:rFonts w:hint="eastAsia"/>
          <w:color w:val="000000" w:themeColor="text1"/>
          <w:szCs w:val="21"/>
          <w:lang w:val="en-US" w:eastAsia="zh-CN"/>
          <w14:textFill>
            <w14:solidFill>
              <w14:schemeClr w14:val="tx1"/>
            </w14:solidFill>
          </w14:textFill>
        </w:rPr>
        <w:t xml:space="preserve">and it </w:t>
      </w:r>
      <w:r>
        <w:rPr>
          <w:color w:val="000000" w:themeColor="text1"/>
          <w:szCs w:val="21"/>
          <w14:textFill>
            <w14:solidFill>
              <w14:schemeClr w14:val="tx1"/>
            </w14:solidFill>
          </w14:textFill>
        </w:rPr>
        <w:t xml:space="preserve">was located in the weight-bearing area and 5–7 mm (mean 6 mm) under the articular cartilage. </w:t>
      </w:r>
      <w:bookmarkStart w:id="60" w:name="OLE_LINK72"/>
      <w:r>
        <w:rPr>
          <w:color w:val="000000" w:themeColor="text1"/>
          <w:szCs w:val="21"/>
          <w14:textFill>
            <w14:solidFill>
              <w14:schemeClr w14:val="tx1"/>
            </w14:solidFill>
          </w14:textFill>
        </w:rPr>
        <w:t>The fibula rods began to combine with the surrounding bone</w:t>
      </w:r>
      <w:r>
        <w:rPr>
          <w:rFonts w:hint="eastAsia"/>
          <w:color w:val="000000" w:themeColor="text1"/>
          <w:szCs w:val="21"/>
          <w:lang w:val="en-US" w:eastAsia="zh-CN"/>
          <w14:textFill>
            <w14:solidFill>
              <w14:schemeClr w14:val="tx1"/>
            </w14:solidFill>
          </w14:textFill>
        </w:rPr>
        <w:t xml:space="preserve"> after 3 </w:t>
      </w:r>
      <w:r>
        <w:rPr>
          <w:color w:val="000000" w:themeColor="text1"/>
          <w:szCs w:val="21"/>
          <w14:textFill>
            <w14:solidFill>
              <w14:schemeClr w14:val="tx1"/>
            </w14:solidFill>
          </w14:textFill>
        </w:rPr>
        <w:t>months</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postsurgery, without infection</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bookmarkEnd w:id="60"/>
      <w:r>
        <w:rPr>
          <w:color w:val="000000" w:themeColor="text1"/>
          <w:szCs w:val="21"/>
          <w14:textFill>
            <w14:solidFill>
              <w14:schemeClr w14:val="tx1"/>
            </w14:solidFill>
          </w14:textFill>
        </w:rPr>
        <w:t>There were no statistically significant differences in the imaging findings of the two groups</w:t>
      </w:r>
      <w:bookmarkEnd w:id="57"/>
      <w:r>
        <w:rPr>
          <w:color w:val="000000" w:themeColor="text1"/>
          <w:szCs w:val="21"/>
          <w14:textFill>
            <w14:solidFill>
              <w14:schemeClr w14:val="tx1"/>
            </w14:solidFill>
          </w14:textFill>
        </w:rPr>
        <w:t xml:space="preserve"> (</w:t>
      </w:r>
      <w:bookmarkStart w:id="61" w:name="OLE_LINK7"/>
      <w:r>
        <w:rPr>
          <w:color w:val="000000" w:themeColor="text1"/>
          <w:szCs w:val="21"/>
          <w14:textFill>
            <w14:solidFill>
              <w14:schemeClr w14:val="tx1"/>
            </w14:solidFill>
          </w14:textFill>
        </w:rPr>
        <w:t>Fig</w:t>
      </w:r>
      <w:bookmarkEnd w:id="61"/>
      <w:r>
        <w:rPr>
          <w:color w:val="000000" w:themeColor="text1"/>
          <w:szCs w:val="21"/>
          <w14:textFill>
            <w14:solidFill>
              <w14:schemeClr w14:val="tx1"/>
            </w14:solidFill>
          </w14:textFill>
        </w:rPr>
        <w:t>. 2).</w:t>
      </w:r>
    </w:p>
    <w:bookmarkEnd w:id="58"/>
    <w:p>
      <w:pPr>
        <w:spacing w:after="160" w:line="360" w:lineRule="auto"/>
        <w:rPr>
          <w:rFonts w:eastAsia="Arial"/>
          <w:b/>
          <w:color w:val="000000" w:themeColor="text1"/>
          <w:szCs w:val="21"/>
          <w14:textFill>
            <w14:solidFill>
              <w14:schemeClr w14:val="tx1"/>
            </w14:solidFill>
          </w14:textFill>
        </w:rPr>
      </w:pPr>
      <w:r>
        <w:rPr>
          <w:b/>
          <w:color w:val="000000" w:themeColor="text1"/>
          <w:szCs w:val="21"/>
          <w14:textFill>
            <w14:solidFill>
              <w14:schemeClr w14:val="tx1"/>
            </w14:solidFill>
          </w14:textFill>
        </w:rPr>
        <w:t>4. Discussion</w:t>
      </w:r>
    </w:p>
    <w:p>
      <w:pPr>
        <w:spacing w:after="16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The purpose of this study was to evaluate the therapeutic effect of PRP in ONFH (Ficat stage II)</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In the initial stage of ONFH, core decompression, together with allogeneic fibula rod support, is considered an effective surgical intervention. However, </w:t>
      </w:r>
      <w:r>
        <w:rPr>
          <w:rFonts w:hint="eastAsia"/>
          <w:color w:val="000000" w:themeColor="text1"/>
          <w:szCs w:val="21"/>
          <w14:textFill>
            <w14:solidFill>
              <w14:schemeClr w14:val="tx1"/>
            </w14:solidFill>
          </w14:textFill>
        </w:rPr>
        <w:t>However, this treatment retains the femoral head in only 60–80% of cases in the short and medium term</w:t>
      </w:r>
      <w:r>
        <w:rPr>
          <w:rStyle w:val="17"/>
          <w:rFonts w:ascii="Times New Roman"/>
          <w:color w:val="000000" w:themeColor="text1"/>
          <w:sz w:val="21"/>
          <w:szCs w:val="21"/>
          <w14:textFill>
            <w14:solidFill>
              <w14:schemeClr w14:val="tx1"/>
            </w14:solidFill>
          </w14:textFill>
        </w:rPr>
        <w:t xml:space="preserve"> </w:t>
      </w:r>
      <w:r>
        <w:rPr>
          <w:rStyle w:val="17"/>
          <w:rFonts w:hint="eastAsia"/>
          <w:color w:val="000000" w:themeColor="text1"/>
          <w:sz w:val="21"/>
          <w:szCs w:val="21"/>
          <w:lang w:eastAsia="zh-CN"/>
          <w14:textFill>
            <w14:solidFill>
              <w14:schemeClr w14:val="tx1"/>
            </w14:solidFill>
          </w14:textFill>
        </w:rPr>
        <w:t>(</w:t>
      </w:r>
      <w:r>
        <w:rPr>
          <w:rStyle w:val="17"/>
          <w:rFonts w:ascii="Times New Roman"/>
          <w:color w:val="000000" w:themeColor="text1"/>
          <w:sz w:val="21"/>
          <w:szCs w:val="21"/>
          <w14:textFill>
            <w14:solidFill>
              <w14:schemeClr w14:val="tx1"/>
            </w14:solidFill>
          </w14:textFill>
        </w:rPr>
        <w:t>1</w:t>
      </w:r>
      <w:r>
        <w:rPr>
          <w:rStyle w:val="17"/>
          <w:rFonts w:hint="eastAsia"/>
          <w:color w:val="000000" w:themeColor="text1"/>
          <w:sz w:val="21"/>
          <w:szCs w:val="21"/>
          <w:lang w:val="en-US" w:eastAsia="zh-CN"/>
          <w14:textFill>
            <w14:solidFill>
              <w14:schemeClr w14:val="tx1"/>
            </w14:solidFill>
          </w14:textFill>
        </w:rPr>
        <w:t>2</w:t>
      </w:r>
      <w:r>
        <w:rPr>
          <w:rStyle w:val="17"/>
          <w:rFonts w:hint="eastAsia"/>
          <w:color w:val="000000" w:themeColor="text1"/>
          <w:sz w:val="21"/>
          <w:szCs w:val="21"/>
          <w:lang w:eastAsia="zh-CN"/>
          <w14:textFill>
            <w14:solidFill>
              <w14:schemeClr w14:val="tx1"/>
            </w14:solidFill>
          </w14:textFill>
        </w:rPr>
        <w:t>)</w:t>
      </w:r>
      <w:r>
        <w:rPr>
          <w:rStyle w:val="17"/>
          <w:rFonts w:ascii="Times New Roman" w:eastAsia="Arial"/>
          <w:color w:val="000000" w:themeColor="text1"/>
          <w:sz w:val="21"/>
          <w:szCs w:val="21"/>
          <w14:textFill>
            <w14:solidFill>
              <w14:schemeClr w14:val="tx1"/>
            </w14:solidFill>
          </w14:textFill>
        </w:rPr>
        <w:t>.</w:t>
      </w:r>
      <w:r>
        <w:rPr>
          <w:color w:val="000000" w:themeColor="text1"/>
          <w:szCs w:val="21"/>
          <w14:textFill>
            <w14:solidFill>
              <w14:schemeClr w14:val="tx1"/>
            </w14:solidFill>
          </w14:textFill>
        </w:rPr>
        <w:t xml:space="preserve"> </w:t>
      </w:r>
      <w:bookmarkStart w:id="62" w:name="OLE_LINK73"/>
      <w:bookmarkStart w:id="63" w:name="OLE_LINK74"/>
      <w:r>
        <w:rPr>
          <w:color w:val="000000" w:themeColor="text1"/>
          <w:szCs w:val="21"/>
          <w14:textFill>
            <w14:solidFill>
              <w14:schemeClr w14:val="tx1"/>
            </w14:solidFill>
          </w14:textFill>
        </w:rPr>
        <w:t xml:space="preserve">Femoral head core decompression involves drilling a tunnel to reduce the pressure on the femoral head, thereby alleviating pain. </w:t>
      </w:r>
      <w:bookmarkEnd w:id="62"/>
      <w:bookmarkEnd w:id="63"/>
      <w:r>
        <w:rPr>
          <w:color w:val="000000" w:themeColor="text1"/>
          <w:szCs w:val="21"/>
          <w14:textFill>
            <w14:solidFill>
              <w14:schemeClr w14:val="tx1"/>
            </w14:solidFill>
          </w14:textFill>
        </w:rPr>
        <w:t xml:space="preserve">A combination of core decompression with other treatments, such as a bone graft and implants, with growth factors, can promote local osteogenesis and avoid channel collapse. The ultimate aim is to reduce pressure in the necrotic area, remove necrotic tissue, and provide effective mechanical support. </w:t>
      </w:r>
      <w:r>
        <w:rPr>
          <w:rFonts w:hint="eastAsia"/>
          <w:color w:val="000000" w:themeColor="text1"/>
          <w:szCs w:val="21"/>
          <w14:textFill>
            <w14:solidFill>
              <w14:schemeClr w14:val="tx1"/>
            </w14:solidFill>
          </w14:textFill>
        </w:rPr>
        <w:t>The clinical application of PRP in the treatment of early-stage ONFH offers a new strategy to combat disease progression</w:t>
      </w:r>
      <w:r>
        <w:rPr>
          <w:color w:val="000000" w:themeColor="text1"/>
          <w:szCs w:val="21"/>
          <w14:textFill>
            <w14:solidFill>
              <w14:schemeClr w14:val="tx1"/>
            </w14:solidFill>
          </w14:textFill>
        </w:rPr>
        <w:t>.</w:t>
      </w:r>
      <w:bookmarkStart w:id="64" w:name="OLE_LINK75"/>
    </w:p>
    <w:p>
      <w:pPr>
        <w:spacing w:after="160" w:line="360" w:lineRule="auto"/>
        <w:rPr>
          <w:rFonts w:eastAsia="Arial"/>
          <w:color w:val="000000" w:themeColor="text1"/>
          <w:szCs w:val="21"/>
          <w14:textFill>
            <w14:solidFill>
              <w14:schemeClr w14:val="tx1"/>
            </w14:solidFill>
          </w14:textFill>
        </w:rPr>
      </w:pPr>
      <w:r>
        <w:rPr>
          <w:color w:val="000000" w:themeColor="text1"/>
          <w:szCs w:val="21"/>
          <w14:textFill>
            <w14:solidFill>
              <w14:schemeClr w14:val="tx1"/>
            </w14:solidFill>
          </w14:textFill>
        </w:rPr>
        <w:t>The platelet (PLT) concentration in PRP is several times higher than that in whole blood, although findings differ on this issue.</w:t>
      </w:r>
      <w:bookmarkEnd w:id="64"/>
      <w:r>
        <w:rPr>
          <w:color w:val="000000" w:themeColor="text1"/>
          <w:szCs w:val="21"/>
          <w14:textFill>
            <w14:solidFill>
              <w14:schemeClr w14:val="tx1"/>
            </w14:solidFill>
          </w14:textFill>
        </w:rPr>
        <w:t xml:space="preserve"> Marx et al.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reported that the concentration of PLT in PRP was four times higher than that in whole blood</w:t>
      </w:r>
      <w:r>
        <w:rPr>
          <w:rFonts w:eastAsia="Arial"/>
          <w:color w:val="000000" w:themeColor="text1"/>
          <w:szCs w:val="21"/>
          <w14:textFill>
            <w14:solidFill>
              <w14:schemeClr w14:val="tx1"/>
            </w14:solidFill>
          </w14:textFill>
        </w:rPr>
        <w:t>. In contrast,</w:t>
      </w:r>
      <w:r>
        <w:rPr>
          <w:color w:val="000000" w:themeColor="text1"/>
          <w:szCs w:val="21"/>
          <w14:textFill>
            <w14:solidFill>
              <w14:schemeClr w14:val="tx1"/>
            </w14:solidFill>
          </w14:textFill>
        </w:rPr>
        <w:t xml:space="preserve"> Okuda et al.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4</w:t>
      </w:r>
      <w:r>
        <w:rPr>
          <w:rFonts w:hint="eastAsia"/>
          <w:color w:val="000000" w:themeColor="text1"/>
          <w:szCs w:val="21"/>
          <w:lang w:eastAsia="zh-CN"/>
          <w14:textFill>
            <w14:solidFill>
              <w14:schemeClr w14:val="tx1"/>
            </w14:solidFill>
          </w14:textFill>
        </w:rPr>
        <w:t>)</w:t>
      </w:r>
      <w:r>
        <w:rPr>
          <w:rStyle w:val="15"/>
          <w:rFonts w:eastAsia="Arial"/>
          <w:color w:val="000000" w:themeColor="text1"/>
          <w:szCs w:val="21"/>
          <w14:textFill>
            <w14:solidFill>
              <w14:schemeClr w14:val="tx1"/>
            </w14:solidFill>
          </w14:textFill>
        </w:rPr>
        <w:t xml:space="preserve"> concluded </w:t>
      </w:r>
      <w:r>
        <w:rPr>
          <w:rStyle w:val="15"/>
          <w:color w:val="000000" w:themeColor="text1"/>
          <w:szCs w:val="21"/>
          <w14:textFill>
            <w14:solidFill>
              <w14:schemeClr w14:val="tx1"/>
            </w14:solidFill>
          </w14:textFill>
        </w:rPr>
        <w:t xml:space="preserve">that </w:t>
      </w:r>
      <w:r>
        <w:rPr>
          <w:color w:val="000000" w:themeColor="text1"/>
          <w:szCs w:val="21"/>
          <w14:textFill>
            <w14:solidFill>
              <w14:schemeClr w14:val="tx1"/>
            </w14:solidFill>
          </w14:textFill>
        </w:rPr>
        <w:t>the concentration of PLT in PRP was 2.83 times higher than that in whole blood</w:t>
      </w:r>
      <w:r>
        <w:rPr>
          <w:rFonts w:eastAsia="Arial"/>
          <w:color w:val="000000" w:themeColor="text1"/>
          <w:szCs w:val="21"/>
          <w14:textFill>
            <w14:solidFill>
              <w14:schemeClr w14:val="tx1"/>
            </w14:solidFill>
          </w14:textFill>
        </w:rPr>
        <w:t xml:space="preserve">. Others reported that the concentration of PLT in PRP was 2.05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5</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5.05 (artificial count)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15</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5.29 (</w:t>
      </w:r>
      <w:r>
        <w:t>automated</w:t>
      </w:r>
      <w:r>
        <w:rPr>
          <w:rFonts w:hint="eastAsia"/>
          <w:lang w:val="en-US" w:eastAsia="zh-CN"/>
        </w:rPr>
        <w:t xml:space="preserve"> </w:t>
      </w:r>
      <w:r>
        <w:rPr>
          <w:color w:val="000000" w:themeColor="text1"/>
          <w:szCs w:val="21"/>
          <w14:textFill>
            <w14:solidFill>
              <w14:schemeClr w14:val="tx1"/>
            </w14:solidFill>
          </w14:textFill>
        </w:rPr>
        <w:t xml:space="preserve">account)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6</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and even 9–11 times higher as compared with that in whole blood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7</w:t>
      </w:r>
      <w:r>
        <w:rPr>
          <w:rFonts w:hint="eastAsia"/>
          <w:color w:val="000000" w:themeColor="text1"/>
          <w:szCs w:val="21"/>
          <w:lang w:eastAsia="zh-CN"/>
          <w14:textFill>
            <w14:solidFill>
              <w14:schemeClr w14:val="tx1"/>
            </w14:solidFill>
          </w14:textFill>
        </w:rPr>
        <w:t>)</w:t>
      </w:r>
      <w:r>
        <w:rPr>
          <w:rFonts w:eastAsia="Arial"/>
          <w:color w:val="000000" w:themeColor="text1"/>
          <w:szCs w:val="21"/>
          <w14:textFill>
            <w14:solidFill>
              <w14:schemeClr w14:val="tx1"/>
            </w14:solidFill>
          </w14:textFill>
        </w:rPr>
        <w:t>.</w:t>
      </w:r>
    </w:p>
    <w:p>
      <w:pPr>
        <w:spacing w:after="160"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PRP-induced bone regeneration is mainly due to growth factors, which are released in response to activation of PRP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8-20</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Growth factors, especially PDGF and TGF-β play a vital role in the process of bone regeneration and repair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1</w:t>
      </w:r>
      <w:r>
        <w:rPr>
          <w:rFonts w:hint="eastAsia"/>
          <w:color w:val="000000" w:themeColor="text1"/>
          <w:szCs w:val="21"/>
          <w:lang w:eastAsia="zh-CN"/>
          <w14:textFill>
            <w14:solidFill>
              <w14:schemeClr w14:val="tx1"/>
            </w14:solidFill>
          </w14:textFill>
        </w:rPr>
        <w:t>)</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In addition to growth factors in PLTs, macrophages and endothelial cells, which synthesize and secrete PDGF, promote wound healing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2</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t>
      </w:r>
      <w:bookmarkStart w:id="65" w:name="OLE_LINK77"/>
      <w:r>
        <w:rPr>
          <w:color w:val="000000" w:themeColor="text1"/>
          <w:szCs w:val="21"/>
          <w14:textFill>
            <w14:solidFill>
              <w14:schemeClr w14:val="tx1"/>
            </w14:solidFill>
          </w14:textFill>
        </w:rPr>
        <w:t xml:space="preserve">PDGF promotes mitosis and related angiogenesis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and improves the activity of macrophages and other growth factors. TGF-β induce mitosis, osteoblast differentiation, osteoid formation, and bone regeneration</w:t>
      </w:r>
      <w:r>
        <w:rPr>
          <w:rFonts w:hint="eastAsia"/>
          <w:color w:val="000000" w:themeColor="text1"/>
          <w:szCs w:val="21"/>
          <w:lang w:val="en-US" w:eastAsia="zh-CN"/>
          <w14:textFill>
            <w14:solidFill>
              <w14:schemeClr w14:val="tx1"/>
            </w14:solidFill>
          </w14:textFill>
        </w:rPr>
        <w:t xml:space="preserve"> (24) </w:t>
      </w:r>
      <w:r>
        <w:rPr>
          <w:color w:val="000000" w:themeColor="text1"/>
          <w:szCs w:val="21"/>
          <w14:textFill>
            <w14:solidFill>
              <w14:schemeClr w14:val="tx1"/>
            </w14:solidFill>
          </w14:textFill>
        </w:rPr>
        <w:t>.</w:t>
      </w:r>
      <w:bookmarkEnd w:id="65"/>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nsulin-like growth factor </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IGF</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 xml:space="preserve"> accelerates bone formation by increasing the number of osteoblasts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25</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To shed light on the therapeutic effect of growth factors, Lynch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26</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used different concentrations of PDGF, IGF, </w:t>
      </w:r>
      <w:r>
        <w:rPr>
          <w:rFonts w:hint="eastAsia"/>
          <w:color w:val="000000" w:themeColor="text1"/>
          <w:szCs w:val="21"/>
          <w14:textFill>
            <w14:solidFill>
              <w14:schemeClr w14:val="tx1"/>
            </w14:solidFill>
          </w14:textFill>
        </w:rPr>
        <w:t>epidermal growth factor</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EGF</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 xml:space="preserve">, and </w:t>
      </w:r>
      <w:r>
        <w:rPr>
          <w:rFonts w:hint="eastAsia"/>
          <w:color w:val="000000" w:themeColor="text1"/>
          <w:szCs w:val="21"/>
          <w14:textFill>
            <w14:solidFill>
              <w14:schemeClr w14:val="tx1"/>
            </w14:solidFill>
          </w14:textFill>
        </w:rPr>
        <w:t>Fibroblast growth factor</w:t>
      </w: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FGF</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 xml:space="preserve"> mixtures to repair wounds and found that a 2:1 ratio of PDGF and IGF was the best combination. They suggested that </w:t>
      </w:r>
      <w:bookmarkStart w:id="66" w:name="OLE_LINK78"/>
      <w:r>
        <w:rPr>
          <w:color w:val="000000" w:themeColor="text1"/>
          <w:szCs w:val="21"/>
          <w14:textFill>
            <w14:solidFill>
              <w14:schemeClr w14:val="tx1"/>
            </w14:solidFill>
          </w14:textFill>
        </w:rPr>
        <w:t>a variety of growth factors constitute a growth factor net and have a synergistic effect.</w:t>
      </w:r>
      <w:bookmarkEnd w:id="66"/>
      <w:r>
        <w:rPr>
          <w:color w:val="000000" w:themeColor="text1"/>
          <w:szCs w:val="21"/>
          <w14:textFill>
            <w14:solidFill>
              <w14:schemeClr w14:val="tx1"/>
            </w14:solidFill>
          </w14:textFill>
        </w:rPr>
        <w:t xml:space="preserve"> For example, combined PDGF and TGF-β had a strong biological chemotactic effect on human osteoblasts</w:t>
      </w:r>
      <w:r>
        <w:rPr>
          <w:rFonts w:hint="eastAsia"/>
          <w:color w:val="000000" w:themeColor="text1"/>
          <w:szCs w:val="21"/>
          <w:lang w:val="en-US" w:eastAsia="zh-CN"/>
          <w14:textFill>
            <w14:solidFill>
              <w14:schemeClr w14:val="tx1"/>
            </w14:solidFill>
          </w14:textFill>
        </w:rPr>
        <w:t xml:space="preserve"> (27)</w:t>
      </w:r>
      <w:r>
        <w:rPr>
          <w:color w:val="000000" w:themeColor="text1"/>
          <w:szCs w:val="21"/>
          <w14:textFill>
            <w14:solidFill>
              <w14:schemeClr w14:val="tx1"/>
            </w14:solidFill>
          </w14:textFill>
        </w:rPr>
        <w:t>. TGF-β not only regulated growth and differentiation of bone cells and cartilage cells but also regulated the expression of other growth factors in bone and cartilage tissue</w:t>
      </w:r>
      <w:r>
        <w:rPr>
          <w:rFonts w:hint="eastAsia"/>
          <w:color w:val="000000" w:themeColor="text1"/>
          <w:szCs w:val="21"/>
          <w:lang w:val="en-US" w:eastAsia="zh-CN"/>
          <w14:textFill>
            <w14:solidFill>
              <w14:schemeClr w14:val="tx1"/>
            </w14:solidFill>
          </w14:textFill>
        </w:rPr>
        <w:t xml:space="preserve"> (28)</w:t>
      </w:r>
      <w:r>
        <w:rPr>
          <w:color w:val="000000" w:themeColor="text1"/>
          <w:szCs w:val="21"/>
          <w14:textFill>
            <w14:solidFill>
              <w14:schemeClr w14:val="tx1"/>
            </w14:solidFill>
          </w14:textFill>
        </w:rPr>
        <w:t>. PDGF and TGF-β promoted the expression of vascular endothelial growth factor</w:t>
      </w:r>
      <w:r>
        <w:rPr>
          <w:rFonts w:hint="eastAsia"/>
          <w:color w:val="000000" w:themeColor="text1"/>
          <w:szCs w:val="21"/>
          <w:lang w:val="en-US" w:eastAsia="zh-CN"/>
          <w14:textFill>
            <w14:solidFill>
              <w14:schemeClr w14:val="tx1"/>
            </w14:solidFill>
          </w14:textFill>
        </w:rPr>
        <w:t xml:space="preserve"> (29)</w:t>
      </w:r>
      <w:r>
        <w:rPr>
          <w:color w:val="000000" w:themeColor="text1"/>
          <w:szCs w:val="21"/>
          <w14:textFill>
            <w14:solidFill>
              <w14:schemeClr w14:val="tx1"/>
            </w14:solidFill>
          </w14:textFill>
        </w:rPr>
        <w:t xml:space="preserve">. In combination </w:t>
      </w:r>
      <w:bookmarkStart w:id="67" w:name="OLE_LINK81"/>
      <w:r>
        <w:rPr>
          <w:color w:val="000000" w:themeColor="text1"/>
          <w:szCs w:val="21"/>
          <w14:textFill>
            <w14:solidFill>
              <w14:schemeClr w14:val="tx1"/>
            </w14:solidFill>
          </w14:textFill>
        </w:rPr>
        <w:t>with other growth factor</w:t>
      </w:r>
      <w:bookmarkEnd w:id="67"/>
      <w:r>
        <w:rPr>
          <w:color w:val="000000" w:themeColor="text1"/>
          <w:szCs w:val="21"/>
          <w14:textFill>
            <w14:solidFill>
              <w14:schemeClr w14:val="tx1"/>
            </w14:solidFill>
          </w14:textFill>
        </w:rPr>
        <w:t>s, IGF promoted differentiation and maturation of a variety of cells</w:t>
      </w:r>
      <w:r>
        <w:rPr>
          <w:rFonts w:hint="eastAsia"/>
          <w:color w:val="000000" w:themeColor="text1"/>
          <w:szCs w:val="21"/>
          <w:lang w:val="en-US" w:eastAsia="zh-CN"/>
          <w14:textFill>
            <w14:solidFill>
              <w14:schemeClr w14:val="tx1"/>
            </w14:solidFill>
          </w14:textFill>
        </w:rPr>
        <w:t xml:space="preserve"> (30)</w:t>
      </w:r>
      <w:r>
        <w:rPr>
          <w:color w:val="000000" w:themeColor="text1"/>
          <w:szCs w:val="21"/>
          <w14:textFill>
            <w14:solidFill>
              <w14:schemeClr w14:val="tx1"/>
            </w14:solidFill>
          </w14:textFill>
        </w:rPr>
        <w:t xml:space="preserve">. Okuda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14</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reported that PRP stimulated osteoblast DNA synthesis and cell division. We contend that the combined effect of a variety of the high concentration of growth factors in PRP can stimulate osteogenesis and accelerate bone repair.</w:t>
      </w:r>
    </w:p>
    <w:p>
      <w:pPr>
        <w:spacing w:after="160" w:line="360" w:lineRule="auto"/>
        <w:rPr>
          <w:color w:val="000000" w:themeColor="text1"/>
          <w:szCs w:val="21"/>
          <w14:textFill>
            <w14:solidFill>
              <w14:schemeClr w14:val="tx1"/>
            </w14:solidFill>
          </w14:textFill>
        </w:rPr>
      </w:pPr>
      <w:bookmarkStart w:id="68" w:name="OLE_LINK83"/>
      <w:bookmarkStart w:id="69" w:name="OLE_LINK82"/>
      <w:r>
        <w:rPr>
          <w:color w:val="000000" w:themeColor="text1"/>
          <w:szCs w:val="21"/>
          <w14:textFill>
            <w14:solidFill>
              <w14:schemeClr w14:val="tx1"/>
            </w14:solidFill>
          </w14:textFill>
        </w:rPr>
        <w:t xml:space="preserve">In the current study, we analyzed retrospectively the clinical efficacy of 16 recent cases (16 hips) of ONFH. </w:t>
      </w:r>
      <w:bookmarkEnd w:id="68"/>
      <w:r>
        <w:rPr>
          <w:rStyle w:val="14"/>
          <w:color w:val="000000" w:themeColor="text1"/>
          <w:szCs w:val="21"/>
          <w14:textFill>
            <w14:solidFill>
              <w14:schemeClr w14:val="tx1"/>
            </w14:solidFill>
          </w14:textFill>
        </w:rPr>
        <w:t>According to the postoperative 3-month follow-up, none of the cases in either group showed disease progression</w:t>
      </w:r>
      <w:r>
        <w:rPr>
          <w:rStyle w:val="14"/>
          <w:rFonts w:eastAsia="Arial"/>
          <w:color w:val="000000" w:themeColor="text1"/>
          <w:szCs w:val="21"/>
          <w14:textFill>
            <w14:solidFill>
              <w14:schemeClr w14:val="tx1"/>
            </w14:solidFill>
          </w14:textFill>
        </w:rPr>
        <w:t>,</w:t>
      </w:r>
      <w:r>
        <w:rPr>
          <w:rStyle w:val="14"/>
          <w:color w:val="000000" w:themeColor="text1"/>
          <w:szCs w:val="21"/>
          <w14:textFill>
            <w14:solidFill>
              <w14:schemeClr w14:val="tx1"/>
            </w14:solidFill>
          </w14:textFill>
        </w:rPr>
        <w:t xml:space="preserve"> such as femoral head collapse, </w:t>
      </w:r>
      <w:bookmarkStart w:id="70" w:name="OLE_LINK85"/>
      <w:r>
        <w:rPr>
          <w:rStyle w:val="14"/>
          <w:color w:val="000000" w:themeColor="text1"/>
          <w:szCs w:val="21"/>
          <w14:textFill>
            <w14:solidFill>
              <w14:schemeClr w14:val="tx1"/>
            </w14:solidFill>
          </w14:textFill>
        </w:rPr>
        <w:t>osteoarthritis requiring a</w:t>
      </w:r>
      <w:r>
        <w:rPr>
          <w:color w:val="000000" w:themeColor="text1"/>
          <w:szCs w:val="21"/>
          <w14:textFill>
            <w14:solidFill>
              <w14:schemeClr w14:val="tx1"/>
            </w14:solidFill>
          </w14:textFill>
        </w:rPr>
        <w:t xml:space="preserve"> total hip replacement</w:t>
      </w:r>
      <w:bookmarkEnd w:id="70"/>
      <w:r>
        <w:rPr>
          <w:color w:val="000000" w:themeColor="text1"/>
          <w:szCs w:val="21"/>
          <w14:textFill>
            <w14:solidFill>
              <w14:schemeClr w14:val="tx1"/>
            </w14:solidFill>
          </w14:textFill>
        </w:rPr>
        <w:t xml:space="preserve">, </w:t>
      </w:r>
      <w:r>
        <w:rPr>
          <w:rStyle w:val="14"/>
          <w:color w:val="000000" w:themeColor="text1"/>
          <w:szCs w:val="21"/>
          <w14:textFill>
            <w14:solidFill>
              <w14:schemeClr w14:val="tx1"/>
            </w14:solidFill>
          </w14:textFill>
        </w:rPr>
        <w:t>infections, or femoral neck fracture. In all patients, hip pain was significantly reduced or had disappeared.</w:t>
      </w:r>
    </w:p>
    <w:bookmarkEnd w:id="69"/>
    <w:p>
      <w:pPr>
        <w:spacing w:after="160"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There is no consensus in the literature on the potential role of PRP in promoting bone regeneration and repair</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Whitman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31</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were the first to successfully use used PRP and bone transplantation to treat a bone defect in the field of maxillofacial surgery. Marx et al.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used PRP and a bone graft to treat a bone defect. They reported that the callus growth rate in the combined transplantation group was 1.62–2.16 times higher than that in a pure bone transplantation group</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However, in a rabbit skull defect model Ahgaloo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32</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found that PRP did not promote bone regeneration after an autologous bone graft</w:t>
      </w:r>
      <w:r>
        <w:rPr>
          <w:rFonts w:eastAsia="Arial"/>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Choi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reported that PRP did not promote healing of bone defects 6 weeks later. Furthermore, in a study of PRP with an autologous bone composite, biological materials, and organic bone matrix, Kim et al. </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34</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used and reported that PRP did not promote bone regeneration effectively</w:t>
      </w:r>
      <w:r>
        <w:rPr>
          <w:rFonts w:eastAsia="Arial"/>
          <w:color w:val="000000" w:themeColor="text1"/>
          <w:szCs w:val="21"/>
          <w14:textFill>
            <w14:solidFill>
              <w14:schemeClr w14:val="tx1"/>
            </w14:solidFill>
          </w14:textFill>
        </w:rPr>
        <w:t>.</w:t>
      </w:r>
    </w:p>
    <w:p>
      <w:pPr>
        <w:spacing w:after="160" w:line="360" w:lineRule="auto"/>
        <w:rPr>
          <w:color w:val="000000" w:themeColor="text1"/>
          <w:szCs w:val="21"/>
          <w14:textFill>
            <w14:solidFill>
              <w14:schemeClr w14:val="tx1"/>
            </w14:solidFill>
          </w14:textFill>
        </w:rPr>
      </w:pPr>
      <w:bookmarkStart w:id="71" w:name="OLE_LINK86"/>
      <w:r>
        <w:rPr>
          <w:color w:val="000000" w:themeColor="text1"/>
          <w:szCs w:val="21"/>
          <w14:textFill>
            <w14:solidFill>
              <w14:schemeClr w14:val="tx1"/>
            </w14:solidFill>
          </w14:textFill>
        </w:rPr>
        <w:t>The present study has several limitations. First, the follow-up time was relatively short.</w:t>
      </w:r>
      <w:bookmarkStart w:id="72" w:name="OLE_LINK87"/>
      <w:r>
        <w:rPr>
          <w:color w:val="000000" w:themeColor="text1"/>
          <w:szCs w:val="21"/>
          <w14:textFill>
            <w14:solidFill>
              <w14:schemeClr w14:val="tx1"/>
            </w14:solidFill>
          </w14:textFill>
        </w:rPr>
        <w:t xml:space="preserve"> The study was performed only in the first 3 months after the surgery during the initial stage of rehabilitation. </w:t>
      </w:r>
      <w:bookmarkEnd w:id="72"/>
      <w:r>
        <w:rPr>
          <w:color w:val="000000" w:themeColor="text1"/>
          <w:szCs w:val="21"/>
          <w14:textFill>
            <w14:solidFill>
              <w14:schemeClr w14:val="tx1"/>
            </w14:solidFill>
          </w14:textFill>
        </w:rPr>
        <w:t>Second, the number of cases in the study was relatively small</w:t>
      </w:r>
      <w:r>
        <w:rPr>
          <w:rStyle w:val="17"/>
          <w:rFonts w:ascii="Times New Roman"/>
          <w:color w:val="000000" w:themeColor="text1"/>
          <w:sz w:val="21"/>
          <w:szCs w:val="21"/>
          <w14:textFill>
            <w14:solidFill>
              <w14:schemeClr w14:val="tx1"/>
            </w14:solidFill>
          </w14:textFill>
        </w:rPr>
        <w:t>.</w:t>
      </w:r>
      <w:r>
        <w:rPr>
          <w:rStyle w:val="8"/>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Finally,</w:t>
      </w:r>
      <w:bookmarkEnd w:id="71"/>
      <w:r>
        <w:rPr>
          <w:color w:val="000000" w:themeColor="text1"/>
          <w:szCs w:val="21"/>
          <w14:textFill>
            <w14:solidFill>
              <w14:schemeClr w14:val="tx1"/>
            </w14:solidFill>
          </w14:textFill>
        </w:rPr>
        <w:t xml:space="preserve"> </w:t>
      </w:r>
      <w:bookmarkStart w:id="73" w:name="OLE_LINK89"/>
      <w:r>
        <w:rPr>
          <w:color w:val="000000" w:themeColor="text1"/>
          <w:szCs w:val="21"/>
          <w14:textFill>
            <w14:solidFill>
              <w14:schemeClr w14:val="tx1"/>
            </w14:solidFill>
          </w14:textFill>
        </w:rPr>
        <w:t>the study was a retrospective case series.</w:t>
      </w:r>
      <w:bookmarkEnd w:id="73"/>
    </w:p>
    <w:p>
      <w:pPr>
        <w:spacing w:after="160" w:line="36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t>5. Conclusions</w:t>
      </w:r>
    </w:p>
    <w:p>
      <w:pPr>
        <w:spacing w:after="160" w:line="360" w:lineRule="auto"/>
        <w:rPr>
          <w:color w:val="000000" w:themeColor="text1"/>
          <w:szCs w:val="21"/>
          <w14:textFill>
            <w14:solidFill>
              <w14:schemeClr w14:val="tx1"/>
            </w14:solidFill>
          </w14:textFill>
        </w:rPr>
      </w:pPr>
      <w:bookmarkStart w:id="74" w:name="_Hlk500253958"/>
      <w:r>
        <w:rPr>
          <w:color w:val="000000" w:themeColor="text1"/>
          <w:szCs w:val="21"/>
          <w14:textFill>
            <w14:solidFill>
              <w14:schemeClr w14:val="tx1"/>
            </w14:solidFill>
          </w14:textFill>
        </w:rPr>
        <w:t xml:space="preserve">In this comparison of a PRP group and controls in a clinical setting, the use of PRP was not associated with any obvious advantages. PRP eased hip pain and improved joint function. Long-term follow-up studies are needed to clarify the </w:t>
      </w:r>
      <w:bookmarkStart w:id="75" w:name="OLE_LINK90"/>
      <w:r>
        <w:rPr>
          <w:color w:val="000000" w:themeColor="text1"/>
          <w:szCs w:val="21"/>
          <w14:textFill>
            <w14:solidFill>
              <w14:schemeClr w14:val="tx1"/>
            </w14:solidFill>
          </w14:textFill>
        </w:rPr>
        <w:t>potential role of PRP in promoting re</w:t>
      </w:r>
      <w:r>
        <w:rPr>
          <w:rFonts w:hint="eastAsia"/>
          <w:color w:val="000000" w:themeColor="text1"/>
          <w:szCs w:val="21"/>
          <w:lang w:val="en-US" w:eastAsia="zh-CN"/>
          <w14:textFill>
            <w14:solidFill>
              <w14:schemeClr w14:val="tx1"/>
            </w14:solidFill>
          </w14:textFill>
        </w:rPr>
        <w:t xml:space="preserve">pairing </w:t>
      </w:r>
      <w:r>
        <w:rPr>
          <w:color w:val="000000" w:themeColor="text1"/>
          <w:szCs w:val="21"/>
          <w14:textFill>
            <w14:solidFill>
              <w14:schemeClr w14:val="tx1"/>
            </w14:solidFill>
          </w14:textFill>
        </w:rPr>
        <w:t>of ONFH.</w:t>
      </w:r>
      <w:bookmarkEnd w:id="75"/>
    </w:p>
    <w:p>
      <w:pPr>
        <w:rPr>
          <w:rFonts w:hint="default"/>
          <w:b/>
          <w:bCs/>
        </w:rPr>
      </w:pPr>
      <w:r>
        <w:rPr>
          <w:rFonts w:hint="default"/>
          <w:b/>
          <w:bCs/>
        </w:rPr>
        <w:t>ACKNOWLEDGEMENT</w:t>
      </w:r>
    </w:p>
    <w:p>
      <w:pPr>
        <w:rPr>
          <w:rFonts w:hint="default"/>
        </w:rPr>
      </w:pPr>
      <w:r>
        <w:rPr>
          <w:rFonts w:hint="default"/>
        </w:rPr>
        <w:t>This work was supported by the Science and Technology Development Planning of Shan Dong Province(2014GSF119022)</w:t>
      </w:r>
    </w:p>
    <w:p>
      <w:pPr>
        <w:rPr>
          <w:rFonts w:hint="default"/>
        </w:rPr>
      </w:pPr>
    </w:p>
    <w:p>
      <w:pPr>
        <w:rPr>
          <w:rFonts w:hint="default"/>
          <w:b/>
          <w:bCs/>
        </w:rPr>
      </w:pPr>
      <w:r>
        <w:rPr>
          <w:rFonts w:hint="default"/>
          <w:b/>
          <w:bCs/>
        </w:rPr>
        <w:t>Conflict of interest</w:t>
      </w:r>
    </w:p>
    <w:p>
      <w:pPr>
        <w:rPr>
          <w:rFonts w:hint="default"/>
        </w:rPr>
      </w:pPr>
      <w:r>
        <w:rPr>
          <w:rFonts w:hint="default"/>
        </w:rPr>
        <w:t>The authors declare no conflict of interests.</w:t>
      </w:r>
    </w:p>
    <w:p>
      <w:pPr>
        <w:spacing w:after="160" w:line="360" w:lineRule="auto"/>
        <w:rPr>
          <w:color w:val="000000" w:themeColor="text1"/>
          <w:szCs w:val="21"/>
          <w14:textFill>
            <w14:solidFill>
              <w14:schemeClr w14:val="tx1"/>
            </w14:solidFill>
          </w14:textFill>
        </w:rPr>
      </w:pPr>
    </w:p>
    <w:p>
      <w:pPr>
        <w:spacing w:after="160"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References</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Okazaki, S., Nagoya, S., Tateda, K., Katada, R., Mizuo, K., Watanabe, S., Yamashita, T., and Matsumoto, H. (2013) Experimental rat model for alcohol-induced osteonecrosis of the femoral head. International journal of experimental pathology 94, 312-319</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Wu, Z., Ji, C., Li, H., Qiu, G., Gao, C., and Weng, X. (2013) Elevated level of membrane microparticles in the disease of steroid-induced vascular osteonecrosis. The Journal of craniofacial surgery 24, 1252-1256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Fukushima, W., Fujioka, M., Kubo, T., Tamakoshi, A., Nagai, M., and Hirota, Y. (2010) Nationwide epidemiologic survey of idiopathic osteonecrosis of the femoral head. Clinical orthopaedics and related research 468, 2715-2724</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Chen, C. C., Lin, C. L., Chen, W. C., Shih, H. N., Ueng, S. W., and Lee, M. S. (2009) Vascularized iliac bone-grafting for osteonecrosis with segmental collapse of the femoral head. The Journal of bone and joint surgery. American volume 91, 2390-2394</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Steinberg, M. E. (1988) Management of avascular necrosis of the femoral head--an overview. Instructional course lectures 37, 41-50</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Garrigues, G. E., Aldridge, J. M., 3rd, Friend, J. K., and Urbaniak, J. R. (2009) Free Vascularized Fibular Grafting for treatment of osteonecrosis of the femoral head secondary to hip dislocation. Microsurgery 29, 342-345</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Eppley, B. L., Woodell, J. E., and Higgins, J. (2004) Platelet quantification and growth factor analysis from platelet-rich plasma: implications for wound healing. Plastic and reconstructive surgery 114, 1502-1508</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van den Dolder, J., Mooren, R., Vloon, A. P., Stoelinga, P. J., and Jansen, J. A. (2006) Platelet-rich plasma: quantification of growth factor levels and the effect on growth and differentiation of rat bone marrow cells. Tissue engineering 12, 3067-3073</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Kon, E., Filardo, G., Delcogliano, M., Presti, M. L., Russo, A., Bondi, A., Di Martino, A., Cenacchi, A., Fornasari, P. M., and Marcacci, M. (2009) Platelet-rich plasma: new clinical application: a pilot study for treatment of jumper's knee. Injury 40, 598-603</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Wu, W., Chen, F., Liu, Y., Ma, Q., and Mao, T. (2007) Autologous injectable tissue-engineered cartilage by using platelet-rich plasma: experimental study in a rabbit model. Journal of oral and maxillofacial surgery : official journal of the American Association of Oral and Maxillofacial Surgeons 65, 1951-1957</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Ahmad, M. A., Xypnitos, F. N., and Giannoudis, P. V. (2011) Measuring hip outcomes: common scales and checklists. Injury 42, 259-264</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Feitosa, M. L., Fadel, L., Beltrao-Braga, P. C., Wenceslau, C. V., Kerkis, I., Kerkis, A., Birgel Junior, E. H., Martins, J. F., Martins Ddos, S., Miglino, M. A., and Ambrosio, C. E. (2010) Successful transplant of mesenchymal stem cells in induced osteonecrosis of the ovine femoral head: preliminary results. Acta cirurgica brasileira 25, 416-422</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Marx, R. E., Carlson, E. R., Eichstaedt, R. M., Schimmele, S. R., Strauss, J. E., and Georgeff, K. R. (1998) Platelet-rich plasma: Growth factor enhancement for bone grafts. Oral surgery, oral medicine, oral pathology, oral radiology, and endodontics 85, 638-646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Okuda, K., Kawase, T., Momose, M., Murata, M., Saito, Y., Suzuki, H., Wolff, L. F., and Yoshie, H. (2003) Platelet-rich plasma contains high levels of platelet-derived growth factor and transforming growth factor-beta and modulates the proliferation of periodontally related cells in vitro. Journal of periodontology 74, 849-857</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Landesberg, R., Roy, M., and Glickman, R. S. (2000) Quantification of growth factor levels using a simplified method of platelet-rich plasma gel preparation. Journal of oral and maxillofacial surgery : official journal of the American Association of Oral and Maxillofacial Surgeons 58, 297-300; discussion 300-291</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Roldan, J. C., Jepsen, S., Miller, J., Freitag, S., Rueger, D. C., Acil, Y., and Terheyden, H. (2004) Bone formation in the presence of platelet-rich plasma vs. bone morphogenetic protein-7. Bone 34, 80-90</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Weibrich, G., Hansen, T., Kleis, W., Buch, R., and Hitzler, W. E. (2004) Effect of platelet concentration in platelet-rich plasma on peri-implant bone regeneration. Bone 34, 665-671</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Danesh-Meyer, M. J., Filstein, M. R., and Shanaman, R. (2001) Histological evaluation of sinus augmentation using platelet rich plasma (PRP): a case series. Journal of the International Academy of Periodontology 3, 48-56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Weibrich, G., Kleis, W. K., Hafner, G., and Hitzler, W. E. (2002) Growth factor levels in platelet-rich plasma and correlations with donor age, sex, and platelet count. Journal of cranio-maxillo-facial surgery : official publication of the European Association for Cranio-Maxillo-Facial Surgery 30, 97-102</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Sanchez, A. R., Sheridan, P. J., and Kupp, L. I. (2003) Is platelet-rich plasma the perfect enhancement factor? A current review. The International journal of oral &amp; maxillofacial implants 18, 93-103</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Bhanot, S., and Alex, J. C. (2002) Current applications of platelet gels in facial plastic surgery. Facial plastic surgery : FPS 18, 27-33</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Yazawa, M., Ogata, H., Kimura, A., Nakajima, T., Mori, T., and Watanabe, N. (2004) Basic studies on the bone formation ability by platelet rich plasma in rabbits. The Journal of craniofacial surgery 15, 439-446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Risau, W., Drexler, H., Mironov, V., Smits, A., Siegbahn, A., Funa, K., and Heldin, C. H. (1992) Platelet-derived growth factor is angiogenic in vivo. Growth factors (Chur, Switzerland) 7, 261-266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Liu, Y., Zheng, W. K., Gao, W. S., Shen, Y., and Ding, W. Y. (2013) Function of TGF-beta and p38 MAKP signaling pathway in osteoblast differentiation from rat adipose-derived stem cells. European review for medical and pharmacological sciences 17, 1611-1619</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Kitoh, H., Kitakoji, T., Tsuchiya, H., Mitsuyama, H., Nakamura, H., Katoh, M., and Ishiguro, N. (2004) Transplantation of marrow-derived mesenchymal stem cells and platelet-rich plasma during distraction osteogenesis--a preliminary result of three cases. Bone 35, 892-898</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Lynch, S. E., Colvin, R. B., and Antoniades, H. N. (1989) Growth factors in wound healing. Single and synergistic effects on partial thickness porcine skin wounds. The Journal of clinical investigation 84, 640-646</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Colciago, A., Celotti, F., Casati, L., Giancola, R., Castano, S. M., Antonini, G., Sacchi, M. C., and Negri-Cesi, P. (2009) In Vitro Effects of PDGF Isoforms (AA, BB, AB and CC) on Migration and Proliferation of SaOS-2 Osteoblasts and on Migration of Human Osteoblasts. International journal of biomedical science : IJBS 5, 380-389</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Barrett, J. M., Rovedo, M. A., Tajuddin, A. M., Jilling, T., Macoska, J. A., MacDonald, J., Mangold, K. A., and Kaul, K. L. (2006) Prostate cancer cells regulate growth and differentiation of bone marrow endothelial cells through TGFbeta and its receptor, TGFbetaRII. The Prostate 66, 632-650</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Petersen, W., Pufe, T., Zantop, T., Tillmann, B., and Mentlein, R. (2003) Hypoxia and PDGF have a synergistic effect that increases the expression of the angiogenetic peptide vascular endothelial growth factor in Achilles tendon fibroblasts. Archives of orthopaedic and trauma surgery 123, 485-488</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Grohmann, M., Foulstone, E., Welsh, G., Holly, J., Shield, J., Crowne, E., and Stewart, C. (2005) Isolation and validation of human prepubertal skeletal muscle cells: maturation and metabolic effects of IGF-I, IGFBP-3 and TNFalpha. The Journal of physiology 568, 229-242</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Whitman, D. H., Berry, R. L., and Green, D. M. (1997) Platelet gel: an autologous alternative to fibrin glue with applications in oral and maxillofacial surgery. Journal of oral and maxillofacial surgery : official journal of the American Association of Oral and Maxillofacial Surgeons 55, 1294-1299</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Aghaloo, T. L., Moy, P. K., and Freymiller, E. G. (2002) Investigation of platelet-rich plasma in rabbit cranial defects: A pilot study. Journal of oral and maxillofacial surgery : official journal of the American Association of Oral and Maxillofacial Surgeons 60, 1176-1181</w:t>
      </w:r>
    </w:p>
    <w:p>
      <w:pPr>
        <w:spacing w:after="160"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Choi, B. H., Im, C. J., Huh, J. Y., Suh, J. J., and Lee, S. H. (2004) Effect of platelet-rich plasma on bone regeneration in autogenous bone graft. International journal of oral and maxillofacial surgery 33, 56-59</w:t>
      </w:r>
    </w:p>
    <w:p>
      <w:pPr>
        <w:spacing w:after="160"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Kim, S. G., Kim, W. K., Park, J. C., and Kim, H. J. (2002) A comparative study of osseointegration of Avana implants in a demineralized freeze-dried bone alone or with platelet-rich plasma. Journal of oral and maxillofacial surgery : official journal of the American Association of Oral and Maxillofacial Surgeons 60, 1018-1025</w:t>
      </w:r>
    </w:p>
    <w:p>
      <w:pPr>
        <w:spacing w:after="160" w:line="360" w:lineRule="auto"/>
        <w:rPr>
          <w:color w:val="000000" w:themeColor="text1"/>
          <w:szCs w:val="21"/>
          <w14:textFill>
            <w14:solidFill>
              <w14:schemeClr w14:val="tx1"/>
            </w14:solidFill>
          </w14:textFill>
        </w:rPr>
      </w:pPr>
    </w:p>
    <w:bookmarkEnd w:id="74"/>
    <w:p>
      <w:pPr>
        <w:spacing w:after="160" w:line="360" w:lineRule="auto"/>
        <w:rPr>
          <w:b/>
          <w:color w:val="000000" w:themeColor="text1"/>
          <w14:textFill>
            <w14:solidFill>
              <w14:schemeClr w14:val="tx1"/>
            </w14:solidFill>
          </w14:textFill>
        </w:rPr>
      </w:pPr>
      <w:r>
        <w:rPr>
          <w:b/>
          <w:color w:val="000000" w:themeColor="text1"/>
          <w14:textFill>
            <w14:solidFill>
              <w14:schemeClr w14:val="tx1"/>
            </w14:solidFill>
          </w14:textFill>
        </w:rPr>
        <w:t>Figure legends</w:t>
      </w:r>
    </w:p>
    <w:p>
      <w:pPr>
        <w:spacing w:after="160" w:line="360" w:lineRule="auto"/>
        <w:rPr>
          <w:color w:val="000000" w:themeColor="text1"/>
          <w14:textFill>
            <w14:solidFill>
              <w14:schemeClr w14:val="tx1"/>
            </w14:solidFill>
          </w14:textFill>
        </w:rPr>
      </w:pPr>
      <w:r>
        <w:rPr>
          <w:b/>
          <w:color w:val="000000" w:themeColor="text1"/>
          <w14:textFill>
            <w14:solidFill>
              <w14:schemeClr w14:val="tx1"/>
            </w14:solidFill>
          </w14:textFill>
        </w:rPr>
        <w:t>Figure 1.</w:t>
      </w:r>
      <w:r>
        <w:rPr>
          <w:color w:val="000000" w:themeColor="text1"/>
          <w14:textFill>
            <w14:solidFill>
              <w14:schemeClr w14:val="tx1"/>
            </w14:solidFill>
          </w14:textFill>
        </w:rPr>
        <w:t xml:space="preserve"> Surgical procedure. (A) Step 1: Identifying the location of ONFH. (B) Step 2: Construction of a bone tunnel and removal of dead bone tissue. (C) Step 3: Implantation of autologous PRP. (D) Step 4: Selection of an allogeneic fibula rod support of a suitable length and fixation. The anesthesia method, incision approach, and operative procedure in the control group were the same as those in the PRP group, except PRP was not implanted in the control group.</w:t>
      </w:r>
    </w:p>
    <w:p>
      <w:pPr>
        <w:spacing w:after="160" w:line="360" w:lineRule="auto"/>
        <w:rPr>
          <w:color w:val="000000" w:themeColor="text1"/>
          <w14:textFill>
            <w14:solidFill>
              <w14:schemeClr w14:val="tx1"/>
            </w14:solidFill>
          </w14:textFill>
        </w:rPr>
      </w:pPr>
      <w:r>
        <w:rPr>
          <w:b/>
          <w:color w:val="000000" w:themeColor="text1"/>
          <w14:textFill>
            <w14:solidFill>
              <w14:schemeClr w14:val="tx1"/>
            </w14:solidFill>
          </w14:textFill>
        </w:rPr>
        <w:t>Figure 2.</w:t>
      </w:r>
      <w:r>
        <w:rPr>
          <w:color w:val="000000" w:themeColor="text1"/>
          <w14:textFill>
            <w14:solidFill>
              <w14:schemeClr w14:val="tx1"/>
            </w14:solidFill>
          </w14:textFill>
        </w:rPr>
        <w:t xml:space="preserve"> Imaging findings. (A1 and B1) AP X-ray films before surgery. (B1 and B2) Coronal T1 </w:t>
      </w:r>
      <w:r>
        <w:rPr>
          <w:rFonts w:hint="eastAsia"/>
          <w:color w:val="000000" w:themeColor="text1"/>
          <w:szCs w:val="21"/>
          <w:lang w:val="en-US" w:eastAsia="zh-CN"/>
          <w14:textFill>
            <w14:solidFill>
              <w14:schemeClr w14:val="tx1"/>
            </w14:solidFill>
          </w14:textFill>
        </w:rPr>
        <w:t>magnetic resonance</w:t>
      </w:r>
      <w:r>
        <w:rPr>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MR</w:t>
      </w:r>
      <w:r>
        <w:rPr>
          <w:rFonts w:hint="eastAsia"/>
          <w:color w:val="000000" w:themeColor="text1"/>
          <w:szCs w:val="21"/>
          <w:lang w:val="en-US" w:eastAsia="zh-CN"/>
          <w14:textFill>
            <w14:solidFill>
              <w14:schemeClr w14:val="tx1"/>
            </w14:solidFill>
          </w14:textFill>
        </w:rPr>
        <w:t>)</w:t>
      </w:r>
      <w:r>
        <w:rPr>
          <w:color w:val="000000" w:themeColor="text1"/>
          <w:szCs w:val="21"/>
          <w14:textFill>
            <w14:solidFill>
              <w14:schemeClr w14:val="tx1"/>
            </w14:solidFill>
          </w14:textFill>
        </w:rPr>
        <w:t xml:space="preserve"> </w:t>
      </w:r>
      <w:r>
        <w:rPr>
          <w:color w:val="000000" w:themeColor="text1"/>
          <w14:textFill>
            <w14:solidFill>
              <w14:schemeClr w14:val="tx1"/>
            </w14:solidFill>
          </w14:textFill>
        </w:rPr>
        <w:t>images before surgery. (A3&amp;B3) AP X-ray films after surgery. (A4 and B4) AP X-ray films 3 months after surgery.</w:t>
      </w:r>
    </w:p>
    <w:p>
      <w:pPr>
        <w:spacing w:after="160" w:line="360" w:lineRule="auto"/>
        <w:rPr>
          <w:b/>
          <w:color w:val="000000" w:themeColor="text1"/>
          <w14:textFill>
            <w14:solidFill>
              <w14:schemeClr w14:val="tx1"/>
            </w14:solidFill>
          </w14:textFill>
        </w:rPr>
      </w:pPr>
      <w:r>
        <w:rPr>
          <w:b/>
          <w:color w:val="000000" w:themeColor="text1"/>
          <w14:textFill>
            <w14:solidFill>
              <w14:schemeClr w14:val="tx1"/>
            </w14:solidFill>
          </w14:textFill>
        </w:rPr>
        <w:t>Table caption</w:t>
      </w:r>
    </w:p>
    <w:p>
      <w:pPr>
        <w:spacing w:after="160" w:line="360" w:lineRule="auto"/>
        <w:rPr>
          <w:color w:val="000000" w:themeColor="text1"/>
          <w14:textFill>
            <w14:solidFill>
              <w14:schemeClr w14:val="tx1"/>
            </w14:solidFill>
          </w14:textFill>
        </w:rPr>
      </w:pPr>
      <w:r>
        <w:rPr>
          <w:b/>
          <w:color w:val="000000" w:themeColor="text1"/>
          <w14:textFill>
            <w14:solidFill>
              <w14:schemeClr w14:val="tx1"/>
            </w14:solidFill>
          </w14:textFill>
        </w:rPr>
        <w:t>Table 1.</w:t>
      </w:r>
      <w:r>
        <w:rPr>
          <w:color w:val="000000" w:themeColor="text1"/>
          <w14:textFill>
            <w14:solidFill>
              <w14:schemeClr w14:val="tx1"/>
            </w14:solidFill>
          </w14:textFill>
        </w:rPr>
        <w:t xml:space="preserve"> Comparison of Harris hip scores in the two groups before and after treatment.</w:t>
      </w:r>
    </w:p>
    <w:p>
      <w:pPr>
        <w:spacing w:after="160"/>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E-BZ+ZFNJC1-1">
    <w:altName w:val="Times New Roman"/>
    <w:panose1 w:val="00000000000000000000"/>
    <w:charset w:val="00"/>
    <w:family w:val="roman"/>
    <w:pitch w:val="default"/>
    <w:sig w:usb0="00000000" w:usb1="00000000" w:usb2="00000000" w:usb3="00000000" w:csb0="00040001" w:csb1="00000000"/>
  </w:font>
  <w:font w:name="NdvdtjAdvTTaf7f9f4f.B">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ion Pro">
    <w:panose1 w:val="02040503050201020203"/>
    <w:charset w:val="00"/>
    <w:family w:val="auto"/>
    <w:pitch w:val="default"/>
    <w:sig w:usb0="60000287" w:usb1="00000001"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A27"/>
    <w:rsid w:val="00072C50"/>
    <w:rsid w:val="00091925"/>
    <w:rsid w:val="000B0A81"/>
    <w:rsid w:val="001135BA"/>
    <w:rsid w:val="002056D6"/>
    <w:rsid w:val="00206121"/>
    <w:rsid w:val="00225B02"/>
    <w:rsid w:val="00226729"/>
    <w:rsid w:val="003407F3"/>
    <w:rsid w:val="004279B7"/>
    <w:rsid w:val="00516511"/>
    <w:rsid w:val="006825F5"/>
    <w:rsid w:val="007248C7"/>
    <w:rsid w:val="008A039C"/>
    <w:rsid w:val="009569A1"/>
    <w:rsid w:val="009674F5"/>
    <w:rsid w:val="009762B4"/>
    <w:rsid w:val="009A7237"/>
    <w:rsid w:val="009C4B56"/>
    <w:rsid w:val="00B914E8"/>
    <w:rsid w:val="00C3108C"/>
    <w:rsid w:val="00CE1780"/>
    <w:rsid w:val="00D51B3E"/>
    <w:rsid w:val="00D55227"/>
    <w:rsid w:val="00F45B6B"/>
    <w:rsid w:val="00F66AA9"/>
    <w:rsid w:val="070A44D8"/>
    <w:rsid w:val="09107D24"/>
    <w:rsid w:val="09985F0F"/>
    <w:rsid w:val="0B534010"/>
    <w:rsid w:val="10993D4B"/>
    <w:rsid w:val="1178248A"/>
    <w:rsid w:val="12553DD3"/>
    <w:rsid w:val="1452150E"/>
    <w:rsid w:val="1A683EA0"/>
    <w:rsid w:val="1C907717"/>
    <w:rsid w:val="1E0D716C"/>
    <w:rsid w:val="2964228C"/>
    <w:rsid w:val="29EC1625"/>
    <w:rsid w:val="2F3056C0"/>
    <w:rsid w:val="30FD09F0"/>
    <w:rsid w:val="349C736C"/>
    <w:rsid w:val="35A11D94"/>
    <w:rsid w:val="36873EF2"/>
    <w:rsid w:val="374C0B5A"/>
    <w:rsid w:val="38F531CF"/>
    <w:rsid w:val="3A4A7DDE"/>
    <w:rsid w:val="3ACD6CB5"/>
    <w:rsid w:val="3CE31E81"/>
    <w:rsid w:val="3E79101F"/>
    <w:rsid w:val="41CF265D"/>
    <w:rsid w:val="47450690"/>
    <w:rsid w:val="4DDA2048"/>
    <w:rsid w:val="4E4219FB"/>
    <w:rsid w:val="4E87648B"/>
    <w:rsid w:val="515319F8"/>
    <w:rsid w:val="56BF353C"/>
    <w:rsid w:val="5BB542D1"/>
    <w:rsid w:val="5D7D1E91"/>
    <w:rsid w:val="5E1B1C40"/>
    <w:rsid w:val="5F442C3D"/>
    <w:rsid w:val="630910CF"/>
    <w:rsid w:val="63E63CCF"/>
    <w:rsid w:val="683E3CF5"/>
    <w:rsid w:val="68CC0465"/>
    <w:rsid w:val="69EE4E4D"/>
    <w:rsid w:val="6C7D4B96"/>
    <w:rsid w:val="6D5D1BB1"/>
    <w:rsid w:val="6E510563"/>
    <w:rsid w:val="73463156"/>
    <w:rsid w:val="74BB0171"/>
    <w:rsid w:val="790035F4"/>
    <w:rsid w:val="7AF717B4"/>
    <w:rsid w:val="7CE8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8"/>
    <w:unhideWhenUsed/>
    <w:uiPriority w:val="99"/>
    <w:rPr>
      <w:b/>
      <w:bCs/>
    </w:rPr>
  </w:style>
  <w:style w:type="paragraph" w:styleId="3">
    <w:name w:val="annotation text"/>
    <w:basedOn w:val="1"/>
    <w:link w:val="26"/>
    <w:unhideWhenUsed/>
    <w:uiPriority w:val="99"/>
    <w:rPr>
      <w:sz w:val="20"/>
    </w:rPr>
  </w:style>
  <w:style w:type="paragraph" w:styleId="4">
    <w:name w:val="Balloon Text"/>
    <w:basedOn w:val="1"/>
    <w:link w:val="27"/>
    <w:unhideWhenUsed/>
    <w:uiPriority w:val="99"/>
    <w:rPr>
      <w:rFonts w:ascii="Tahoma" w:hAnsi="Tahoma" w:cs="Tahoma"/>
      <w:sz w:val="20"/>
      <w:szCs w:val="16"/>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qFormat/>
    <w:uiPriority w:val="0"/>
    <w:rPr>
      <w:rFonts w:hint="default" w:ascii="Times New Roman"/>
      <w:i/>
    </w:rPr>
  </w:style>
  <w:style w:type="character" w:styleId="9">
    <w:name w:val="Hyperlink"/>
    <w:uiPriority w:val="0"/>
    <w:rPr>
      <w:rFonts w:hint="default" w:ascii="Times New Roman"/>
      <w:color w:val="0000FF"/>
      <w:u w:val="single"/>
    </w:rPr>
  </w:style>
  <w:style w:type="character" w:styleId="10">
    <w:name w:val="annotation reference"/>
    <w:basedOn w:val="7"/>
    <w:unhideWhenUsed/>
    <w:uiPriority w:val="99"/>
    <w:rPr>
      <w:sz w:val="16"/>
      <w:szCs w:val="16"/>
    </w:rPr>
  </w:style>
  <w:style w:type="character" w:customStyle="1" w:styleId="12">
    <w:name w:val="Header Char"/>
    <w:link w:val="6"/>
    <w:uiPriority w:val="99"/>
    <w:rPr>
      <w:sz w:val="18"/>
      <w:szCs w:val="18"/>
    </w:rPr>
  </w:style>
  <w:style w:type="character" w:customStyle="1" w:styleId="13">
    <w:name w:val="Footer Char"/>
    <w:link w:val="5"/>
    <w:uiPriority w:val="99"/>
    <w:rPr>
      <w:sz w:val="18"/>
      <w:szCs w:val="18"/>
    </w:rPr>
  </w:style>
  <w:style w:type="character" w:customStyle="1" w:styleId="14">
    <w:name w:val="tgt"/>
    <w:uiPriority w:val="0"/>
    <w:rPr>
      <w:rFonts w:hint="default" w:ascii="Times New Roman"/>
    </w:rPr>
  </w:style>
  <w:style w:type="character" w:customStyle="1" w:styleId="15">
    <w:name w:val="apple-converted-space"/>
    <w:uiPriority w:val="0"/>
    <w:rPr>
      <w:rFonts w:hint="default" w:ascii="Times New Roman"/>
    </w:rPr>
  </w:style>
  <w:style w:type="character" w:customStyle="1" w:styleId="16">
    <w:name w:val="fontstyle31"/>
    <w:uiPriority w:val="0"/>
    <w:rPr>
      <w:rFonts w:hint="default" w:ascii="E-BZ+ZFNJC1-1"/>
      <w:color w:val="000000"/>
      <w:sz w:val="24"/>
    </w:rPr>
  </w:style>
  <w:style w:type="character" w:customStyle="1" w:styleId="17">
    <w:name w:val="fontstyle01"/>
    <w:uiPriority w:val="0"/>
    <w:rPr>
      <w:rFonts w:hint="default" w:ascii="NdvdtjAdvTTaf7f9f4f.B"/>
      <w:color w:val="131413"/>
      <w:sz w:val="22"/>
    </w:rPr>
  </w:style>
  <w:style w:type="character" w:customStyle="1" w:styleId="18">
    <w:name w:val="页眉 Char"/>
    <w:basedOn w:val="7"/>
    <w:semiHidden/>
    <w:uiPriority w:val="99"/>
    <w:rPr>
      <w:rFonts w:ascii="Times New Roman" w:hAnsi="Times New Roman" w:eastAsia="宋体" w:cs="Times New Roman"/>
      <w:sz w:val="18"/>
      <w:szCs w:val="18"/>
    </w:rPr>
  </w:style>
  <w:style w:type="character" w:customStyle="1" w:styleId="19">
    <w:name w:val="页脚 Char"/>
    <w:basedOn w:val="7"/>
    <w:semiHidden/>
    <w:uiPriority w:val="99"/>
    <w:rPr>
      <w:rFonts w:ascii="Times New Roman" w:hAnsi="Times New Roman" w:eastAsia="宋体" w:cs="Times New Roman"/>
      <w:sz w:val="18"/>
      <w:szCs w:val="18"/>
    </w:rPr>
  </w:style>
  <w:style w:type="paragraph" w:customStyle="1" w:styleId="20">
    <w:name w:val="List Paragraph1"/>
    <w:basedOn w:val="1"/>
    <w:uiPriority w:val="0"/>
    <w:pPr>
      <w:ind w:firstLine="420" w:firstLineChars="200"/>
    </w:pPr>
    <w:rPr>
      <w:rFonts w:hint="eastAsia"/>
    </w:rPr>
  </w:style>
  <w:style w:type="paragraph" w:customStyle="1" w:styleId="21">
    <w:name w:val="EndNote Bibliography Title"/>
    <w:basedOn w:val="1"/>
    <w:link w:val="22"/>
    <w:uiPriority w:val="0"/>
    <w:pPr>
      <w:jc w:val="center"/>
    </w:pPr>
    <w:rPr>
      <w:sz w:val="20"/>
    </w:rPr>
  </w:style>
  <w:style w:type="character" w:customStyle="1" w:styleId="22">
    <w:name w:val="EndNote Bibliography Title 字符"/>
    <w:link w:val="21"/>
    <w:uiPriority w:val="0"/>
    <w:rPr>
      <w:rFonts w:ascii="Times New Roman" w:hAnsi="Times New Roman" w:eastAsia="宋体" w:cs="Times New Roman"/>
      <w:sz w:val="20"/>
      <w:szCs w:val="20"/>
    </w:rPr>
  </w:style>
  <w:style w:type="paragraph" w:customStyle="1" w:styleId="23">
    <w:name w:val="EndNote Bibliography"/>
    <w:basedOn w:val="1"/>
    <w:link w:val="24"/>
    <w:uiPriority w:val="0"/>
    <w:rPr>
      <w:sz w:val="20"/>
    </w:rPr>
  </w:style>
  <w:style w:type="character" w:customStyle="1" w:styleId="24">
    <w:name w:val="EndNote Bibliography 字符"/>
    <w:link w:val="23"/>
    <w:qFormat/>
    <w:uiPriority w:val="0"/>
    <w:rPr>
      <w:rFonts w:ascii="Times New Roman" w:hAnsi="Times New Roman" w:eastAsia="宋体" w:cs="Times New Roman"/>
      <w:sz w:val="20"/>
      <w:szCs w:val="20"/>
    </w:rPr>
  </w:style>
  <w:style w:type="character" w:customStyle="1" w:styleId="25">
    <w:name w:val="未处理的提及"/>
    <w:unhideWhenUsed/>
    <w:uiPriority w:val="99"/>
    <w:rPr>
      <w:color w:val="808080"/>
      <w:shd w:val="clear" w:color="auto" w:fill="E6E6E6"/>
    </w:rPr>
  </w:style>
  <w:style w:type="character" w:customStyle="1" w:styleId="26">
    <w:name w:val="Comment Text Char"/>
    <w:basedOn w:val="7"/>
    <w:link w:val="3"/>
    <w:uiPriority w:val="99"/>
    <w:rPr>
      <w:rFonts w:ascii="Times New Roman" w:hAnsi="Times New Roman" w:eastAsia="宋体" w:cs="Times New Roman"/>
      <w:sz w:val="20"/>
      <w:szCs w:val="20"/>
    </w:rPr>
  </w:style>
  <w:style w:type="character" w:customStyle="1" w:styleId="27">
    <w:name w:val="Balloon Text Char"/>
    <w:basedOn w:val="7"/>
    <w:link w:val="4"/>
    <w:semiHidden/>
    <w:uiPriority w:val="99"/>
    <w:rPr>
      <w:rFonts w:ascii="Tahoma" w:hAnsi="Tahoma" w:eastAsia="宋体" w:cs="Tahoma"/>
      <w:sz w:val="20"/>
      <w:szCs w:val="16"/>
    </w:rPr>
  </w:style>
  <w:style w:type="character" w:customStyle="1" w:styleId="28">
    <w:name w:val="Comment Subject Char"/>
    <w:basedOn w:val="26"/>
    <w:link w:val="2"/>
    <w:semiHidden/>
    <w:uiPriority w:val="99"/>
    <w:rPr>
      <w:rFonts w:ascii="Times New Roman" w:hAnsi="Times New Roman" w:eastAsia="宋体" w:cs="Times New Roman"/>
      <w:b/>
      <w:bCs/>
      <w:sz w:val="20"/>
      <w:szCs w:val="20"/>
    </w:rPr>
  </w:style>
  <w:style w:type="paragraph" w:customStyle="1" w:styleId="29">
    <w:name w:val="Revision"/>
    <w:hidden/>
    <w:semiHidden/>
    <w:uiPriority w:val="99"/>
    <w:rPr>
      <w:rFonts w:ascii="Times New Roman" w:hAnsi="Times New Roman" w:eastAsia="宋体" w:cs="Times New Roman"/>
      <w:kern w:val="2"/>
      <w:sz w:val="21"/>
      <w:szCs w:val="20"/>
      <w:lang w:val="en-US" w:eastAsia="zh-CN" w:bidi="ar-SA"/>
    </w:rPr>
  </w:style>
  <w:style w:type="paragraph" w:customStyle="1" w:styleId="30">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lang w:val="zh-CN"/>
    </w:rPr>
  </w:style>
  <w:style w:type="paragraph" w:customStyle="1" w:styleId="31">
    <w:name w:val="作者 (样式组 1)"/>
    <w:basedOn w:val="30"/>
    <w:unhideWhenUsed/>
    <w:uiPriority w:val="99"/>
    <w:pPr>
      <w:suppressAutoHyphens/>
      <w:spacing w:beforeLines="0" w:afterLines="0"/>
    </w:pPr>
    <w:rPr>
      <w:rFonts w:hint="default" w:ascii="Cambria" w:hAnsi="Cambria" w:eastAsia="Cambria"/>
      <w:sz w:val="24"/>
    </w:rPr>
  </w:style>
  <w:style w:type="paragraph" w:customStyle="1" w:styleId="32">
    <w:name w:val="[基本段落]"/>
    <w:basedOn w:val="30"/>
    <w:unhideWhenUsed/>
    <w:uiPriority w:val="99"/>
    <w:pPr>
      <w:spacing w:beforeLines="0" w:afterLines="0"/>
    </w:pPr>
    <w:rPr>
      <w:rFonts w:hint="eastAsia"/>
      <w:sz w:val="24"/>
    </w:rPr>
  </w:style>
  <w:style w:type="paragraph" w:customStyle="1" w:styleId="33">
    <w:name w:val="正文 (样式组 1)"/>
    <w:basedOn w:val="32"/>
    <w:unhideWhenUsed/>
    <w:uiPriority w:val="99"/>
    <w:pPr>
      <w:spacing w:beforeLines="0" w:afterLines="0"/>
    </w:pPr>
    <w:rPr>
      <w:rFonts w:hint="default" w:ascii="Minion Pro" w:hAnsi="Minion Pro" w:eastAsia="Minion Pro"/>
      <w:spacing w:val="-2"/>
      <w:sz w:val="20"/>
    </w:rPr>
  </w:style>
  <w:style w:type="paragraph" w:customStyle="1" w:styleId="34">
    <w:name w:val="Figure legends (样式组 1)"/>
    <w:basedOn w:val="33"/>
    <w:unhideWhenUsed/>
    <w:uiPriority w:val="99"/>
    <w:pPr>
      <w:spacing w:beforeLines="0" w:afterLines="0"/>
    </w:pPr>
    <w:rPr>
      <w:rFonts w:hint="default" w:ascii="Cambria" w:hAnsi="Cambria" w:eastAsia="Cambria"/>
      <w:sz w:val="16"/>
      <w:lang w:val="en-GB"/>
    </w:rPr>
  </w:style>
  <w:style w:type="paragraph" w:customStyle="1" w:styleId="35">
    <w:name w:val="单位机构 (样式组 1)"/>
    <w:basedOn w:val="34"/>
    <w:unhideWhenUsed/>
    <w:uiPriority w:val="99"/>
    <w:pPr>
      <w:spacing w:beforeLines="0" w:afterLines="0" w:line="200" w:lineRule="atLeast"/>
    </w:pPr>
    <w:rPr>
      <w:rFonts w:hint="default" w:ascii="Calibri" w:hAnsi="Calibri" w:eastAsia="Calibri"/>
      <w:sz w:val="18"/>
    </w:rPr>
  </w:style>
  <w:style w:type="paragraph" w:customStyle="1" w:styleId="36">
    <w:name w:val="题目"/>
    <w:basedOn w:val="30"/>
    <w:unhideWhenUsed/>
    <w:uiPriority w:val="99"/>
    <w:pPr>
      <w:spacing w:beforeLines="0" w:afterLines="0" w:line="480" w:lineRule="atLeast"/>
    </w:pPr>
    <w:rPr>
      <w:rFonts w:hint="default" w:ascii="Cambria" w:hAnsi="Cambria" w:eastAsia="Cambria"/>
      <w:spacing w:val="-5"/>
      <w:sz w:val="36"/>
      <w:lang w:val="en-US"/>
    </w:rPr>
  </w:style>
  <w:style w:type="paragraph" w:customStyle="1" w:styleId="37">
    <w:name w:val="一级标题"/>
    <w:basedOn w:val="36"/>
    <w:unhideWhenUsed/>
    <w:uiPriority w:val="99"/>
    <w:pPr>
      <w:spacing w:beforeLines="0" w:afterLines="0" w:line="240" w:lineRule="atLeast"/>
    </w:pPr>
    <w:rPr>
      <w:rFonts w:hint="default"/>
      <w:b/>
      <w:color w:val="0266B2"/>
      <w:spacing w:val="-3"/>
      <w:sz w:val="22"/>
    </w:rPr>
  </w:style>
  <w:style w:type="paragraph" w:customStyle="1" w:styleId="38">
    <w:name w:val="Figure legends"/>
    <w:basedOn w:val="1"/>
    <w:unhideWhenUsed/>
    <w:uiPriority w:val="99"/>
    <w:pPr>
      <w:spacing w:beforeLines="0" w:afterLines="0"/>
    </w:pPr>
    <w:rPr>
      <w:rFonts w:hint="default" w:ascii="Cambria" w:hAnsi="Cambria" w:eastAsia="Cambria"/>
      <w:sz w:val="16"/>
      <w:lang w:val="en-GB"/>
    </w:rPr>
  </w:style>
  <w:style w:type="paragraph" w:customStyle="1" w:styleId="39">
    <w:name w:val="单位机构"/>
    <w:basedOn w:val="38"/>
    <w:unhideWhenUsed/>
    <w:uiPriority w:val="99"/>
    <w:pPr>
      <w:spacing w:beforeLines="0" w:afterLines="0" w:line="200" w:lineRule="atLeast"/>
    </w:pPr>
    <w:rPr>
      <w:rFonts w:hint="default" w:ascii="Calibri" w:hAnsi="Calibri" w:eastAsia="Calibri"/>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2728</Words>
  <Characters>15555</Characters>
  <Lines>129</Lines>
  <Paragraphs>36</Paragraphs>
  <ScaleCrop>false</ScaleCrop>
  <LinksUpToDate>false</LinksUpToDate>
  <CharactersWithSpaces>18247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2017-12-08T12:35:00Z</dcterms:created>
  <dc:creator>Administrator</dc:creator>
  <cp:lastModifiedBy>liliang</cp:lastModifiedBy>
  <dcterms:modified xsi:type="dcterms:W3CDTF">2017-12-26T08:48:03Z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