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7F69" w14:textId="1D9BDC8A" w:rsidR="004520C1" w:rsidRPr="00302C66" w:rsidRDefault="004520C1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Pattern </w:t>
      </w:r>
      <w:r w:rsidR="005440AC" w:rsidRPr="00302C6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of presentation </w:t>
      </w:r>
      <w:r w:rsidRPr="00302C6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and management castration resistant prostate cancer in tertiary Hospital of Northwestern Nigeria</w:t>
      </w:r>
      <w:r w:rsidR="00CB42AE" w:rsidRPr="00302C6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: 7-year Review</w:t>
      </w:r>
    </w:p>
    <w:p w14:paraId="312FF52E" w14:textId="77777777" w:rsidR="001341A8" w:rsidRDefault="001341A8" w:rsidP="001341A8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  <w:r w:rsidRPr="001341A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732C2131" w14:textId="5C68D997" w:rsidR="006920CE" w:rsidRPr="001341A8" w:rsidRDefault="001341A8" w:rsidP="001341A8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Prostate cancer is the second commonest malignancy and commonest cause of mortality worldwide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Pr="00A57E78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Prostate cancer is the commonest cancer in men in Africa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{"citationItems":[{"id":"ITEM-1","itemData":{"author":[{"dropping-particle":"","family":"Titilola O Akinremi1*, Chidiebere N Ogo2","given":"Ayodeji O Olutunde1","non-dropping-particle":"","parse-names":false,"suffix":""}],"container-title":"Akinremi et al. Infectious Agents and Cancer 2011, 6(Suppl 2):S8","id":"ITEM-1","issue":"Suppl 2","issued":{"date-parts":[["2011"]]},"page":"S8","title":"Review of prostate cancer research in Nigeria","type":"article-journal","volume":"6"},"uris":["http://www.mendeley.com/documents/?uuid=98d269c5-f5b3-4fc6-aebe-af00a6a5cf2f"]}],"mendeley":{"formattedCitation":"(2)","plainTextFormattedCitation":"(2)","previouslyFormattedCitation":"(2)"},"properties":{"noteIndex":0},"schema":"https://github.com/citation-style-language/schema/raw/master/csl-citation.json"}</w:instrTex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Pr="00A57E78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(2)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The mortality is due to progression to castration resistance and metastasis.</w:t>
      </w:r>
    </w:p>
    <w:p w14:paraId="7F023E25" w14:textId="32F7300C" w:rsidR="006920CE" w:rsidRPr="00302C66" w:rsidRDefault="006920CE" w:rsidP="002D1CA3">
      <w:pPr>
        <w:spacing w:after="20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66">
        <w:rPr>
          <w:rFonts w:ascii="Times New Roman" w:hAnsi="Times New Roman" w:cs="Times New Roman"/>
          <w:bCs/>
          <w:sz w:val="24"/>
          <w:szCs w:val="24"/>
        </w:rPr>
        <w:t>T</w:t>
      </w:r>
      <w:r w:rsidR="001341A8">
        <w:rPr>
          <w:rFonts w:ascii="Times New Roman" w:hAnsi="Times New Roman" w:cs="Times New Roman"/>
          <w:bCs/>
          <w:sz w:val="24"/>
          <w:szCs w:val="24"/>
        </w:rPr>
        <w:t>he objective of is study was to</w:t>
      </w:r>
      <w:r w:rsidRPr="00302C66">
        <w:rPr>
          <w:rFonts w:ascii="Times New Roman" w:hAnsi="Times New Roman" w:cs="Times New Roman"/>
          <w:bCs/>
          <w:sz w:val="24"/>
          <w:szCs w:val="24"/>
        </w:rPr>
        <w:t xml:space="preserve"> review pattern and management of</w:t>
      </w:r>
      <w:bookmarkStart w:id="0" w:name="_Hlk52439873"/>
      <w:r w:rsidRPr="00302C66">
        <w:rPr>
          <w:rFonts w:ascii="Times New Roman" w:hAnsi="Times New Roman" w:cs="Times New Roman"/>
          <w:bCs/>
          <w:sz w:val="24"/>
          <w:szCs w:val="24"/>
        </w:rPr>
        <w:t xml:space="preserve"> castration resistant prostate cancer</w:t>
      </w:r>
      <w:bookmarkEnd w:id="0"/>
      <w:r w:rsidRPr="00302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D7C" w:rsidRPr="00302C66">
        <w:rPr>
          <w:rFonts w:ascii="Times New Roman" w:hAnsi="Times New Roman" w:cs="Times New Roman"/>
          <w:bCs/>
          <w:sz w:val="24"/>
          <w:szCs w:val="24"/>
        </w:rPr>
        <w:t xml:space="preserve">(CRPC) </w:t>
      </w:r>
      <w:r w:rsidRPr="00302C66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1341A8" w:rsidRPr="00302C66">
        <w:rPr>
          <w:rFonts w:ascii="Times New Roman" w:hAnsi="Times New Roman" w:cs="Times New Roman"/>
          <w:bCs/>
          <w:sz w:val="24"/>
          <w:szCs w:val="24"/>
        </w:rPr>
        <w:t>our</w:t>
      </w:r>
      <w:r w:rsidR="001341A8">
        <w:rPr>
          <w:rFonts w:ascii="Times New Roman" w:hAnsi="Times New Roman" w:cs="Times New Roman"/>
          <w:bCs/>
          <w:sz w:val="24"/>
          <w:szCs w:val="24"/>
        </w:rPr>
        <w:t xml:space="preserve"> hospital.</w:t>
      </w:r>
    </w:p>
    <w:p w14:paraId="141720A2" w14:textId="125C90DC" w:rsidR="006920CE" w:rsidRDefault="001341A8" w:rsidP="002D1CA3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149A80E1" w14:textId="491F8A23" w:rsidR="004520C1" w:rsidRPr="001341A8" w:rsidRDefault="001341A8" w:rsidP="001341A8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hAnsi="Times New Roman" w:cs="Times New Roman"/>
          <w:sz w:val="24"/>
          <w:szCs w:val="24"/>
        </w:rPr>
        <w:t xml:space="preserve">This is a retrospective study of patients managed for </w:t>
      </w:r>
      <w:r w:rsidRPr="00302C66">
        <w:rPr>
          <w:rFonts w:ascii="Times New Roman" w:hAnsi="Times New Roman" w:cs="Times New Roman"/>
          <w:bCs/>
          <w:sz w:val="24"/>
          <w:szCs w:val="24"/>
        </w:rPr>
        <w:t>castration resistant prostate cancer</w:t>
      </w:r>
      <w:r w:rsidRPr="00302C66">
        <w:rPr>
          <w:rFonts w:ascii="Times New Roman" w:hAnsi="Times New Roman" w:cs="Times New Roman"/>
          <w:sz w:val="24"/>
          <w:szCs w:val="24"/>
        </w:rPr>
        <w:t xml:space="preserve"> in our hospital from January 2013 to December, 2019. </w:t>
      </w: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Data was collected from the case notes via a proforma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was analyzed using SPSS version 25.0</w:t>
      </w:r>
      <w:r w:rsidRPr="00302C66">
        <w:rPr>
          <w:rFonts w:ascii="Times New Roman" w:hAnsi="Times New Roman" w:cs="Times New Roman"/>
          <w:sz w:val="24"/>
          <w:szCs w:val="24"/>
        </w:rPr>
        <w:t xml:space="preserve">. </w:t>
      </w: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Results were reported percentages, mean ±SD</w:t>
      </w:r>
    </w:p>
    <w:p w14:paraId="4E17258A" w14:textId="1FDC6CA2" w:rsidR="00E87E6F" w:rsidRPr="002D1CA3" w:rsidRDefault="00E87E6F" w:rsidP="002D1CA3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CA3">
        <w:rPr>
          <w:rFonts w:ascii="Times New Roman" w:hAnsi="Times New Roman" w:cs="Times New Roman"/>
          <w:b/>
          <w:sz w:val="24"/>
          <w:szCs w:val="24"/>
        </w:rPr>
        <w:t>Results:</w:t>
      </w:r>
    </w:p>
    <w:p w14:paraId="03FA14FB" w14:textId="6BCC49A7" w:rsidR="003F6575" w:rsidRPr="00302C66" w:rsidRDefault="00FE0CC3" w:rsidP="002D1CA3">
      <w:pPr>
        <w:pStyle w:val="NormalWeb"/>
        <w:spacing w:before="0" w:beforeAutospacing="0" w:after="0" w:afterAutospacing="0" w:line="480" w:lineRule="auto"/>
        <w:jc w:val="both"/>
        <w:rPr>
          <w:rFonts w:eastAsiaTheme="minorEastAsia"/>
          <w:color w:val="000000" w:themeColor="dark1"/>
          <w:kern w:val="24"/>
        </w:rPr>
      </w:pPr>
      <w:bookmarkStart w:id="1" w:name="_Hlk52453488"/>
      <w:r w:rsidRPr="00302C66">
        <w:rPr>
          <w:bCs/>
        </w:rPr>
        <w:t xml:space="preserve">There were </w:t>
      </w:r>
      <w:r w:rsidRPr="00302C66">
        <w:t>20 patients with CRPC within the study period with</w:t>
      </w:r>
      <w:r w:rsidRPr="00302C66">
        <w:rPr>
          <w:bCs/>
        </w:rPr>
        <w:t xml:space="preserve"> </w:t>
      </w:r>
      <w:r w:rsidRPr="00302C66">
        <w:rPr>
          <w:rFonts w:eastAsiaTheme="minorEastAsia"/>
          <w:color w:val="000000" w:themeColor="text1"/>
          <w:kern w:val="24"/>
        </w:rPr>
        <w:t>Mean age of 66.2 ± 7.4 and a range of 53-78 years.</w:t>
      </w:r>
      <w:bookmarkEnd w:id="1"/>
      <w:r w:rsidRPr="00302C66">
        <w:rPr>
          <w:bCs/>
        </w:rPr>
        <w:t xml:space="preserve"> </w:t>
      </w:r>
      <w:r w:rsidR="003F6575" w:rsidRPr="00302C66">
        <w:rPr>
          <w:bCs/>
        </w:rPr>
        <w:t>Bilateral total orch</w:t>
      </w:r>
      <w:r w:rsidR="00840552" w:rsidRPr="00302C66">
        <w:rPr>
          <w:bCs/>
        </w:rPr>
        <w:t>i</w:t>
      </w:r>
      <w:r w:rsidR="003F6575" w:rsidRPr="00302C66">
        <w:rPr>
          <w:bCs/>
        </w:rPr>
        <w:t>dectomy was done in 16 patien</w:t>
      </w:r>
      <w:r w:rsidR="00840552" w:rsidRPr="00302C66">
        <w:rPr>
          <w:bCs/>
        </w:rPr>
        <w:t>t</w:t>
      </w:r>
      <w:r w:rsidR="003F6575" w:rsidRPr="00302C66">
        <w:rPr>
          <w:bCs/>
        </w:rPr>
        <w:t>s (80%) while sub</w:t>
      </w:r>
      <w:r w:rsidR="00840552" w:rsidRPr="00302C66">
        <w:rPr>
          <w:bCs/>
        </w:rPr>
        <w:t>c</w:t>
      </w:r>
      <w:r w:rsidR="003F6575" w:rsidRPr="00302C66">
        <w:rPr>
          <w:bCs/>
        </w:rPr>
        <w:t xml:space="preserve">utaneous </w:t>
      </w:r>
      <w:proofErr w:type="spellStart"/>
      <w:r w:rsidR="003F6575" w:rsidRPr="00302C66">
        <w:rPr>
          <w:bCs/>
        </w:rPr>
        <w:t>Zoladex</w:t>
      </w:r>
      <w:proofErr w:type="spellEnd"/>
      <w:r w:rsidR="003F6575" w:rsidRPr="00302C66">
        <w:rPr>
          <w:bCs/>
        </w:rPr>
        <w:t xml:space="preserve"> 10.8 mg</w:t>
      </w:r>
      <w:r w:rsidR="00652D20">
        <w:rPr>
          <w:bCs/>
        </w:rPr>
        <w:t>,</w:t>
      </w:r>
      <w:r w:rsidR="003F6575" w:rsidRPr="00302C66">
        <w:rPr>
          <w:bCs/>
        </w:rPr>
        <w:t xml:space="preserve"> 3</w:t>
      </w:r>
      <w:r w:rsidR="002D1CA3">
        <w:rPr>
          <w:bCs/>
        </w:rPr>
        <w:t>-</w:t>
      </w:r>
      <w:r w:rsidR="003F6575" w:rsidRPr="00302C66">
        <w:rPr>
          <w:bCs/>
        </w:rPr>
        <w:t xml:space="preserve">monthly depot was given to 4 </w:t>
      </w:r>
      <w:r w:rsidR="002D1CA3" w:rsidRPr="00302C66">
        <w:rPr>
          <w:bCs/>
        </w:rPr>
        <w:t>patients</w:t>
      </w:r>
      <w:r w:rsidR="003F6575" w:rsidRPr="00302C66">
        <w:rPr>
          <w:bCs/>
        </w:rPr>
        <w:t xml:space="preserve"> as a form of androgen deprivation therapy</w:t>
      </w:r>
      <w:r w:rsidR="00840552" w:rsidRPr="00302C66">
        <w:rPr>
          <w:bCs/>
        </w:rPr>
        <w:t xml:space="preserve"> (ADT)</w:t>
      </w:r>
      <w:r w:rsidR="003F6575" w:rsidRPr="00302C66">
        <w:rPr>
          <w:bCs/>
        </w:rPr>
        <w:t>. The mean PSA</w:t>
      </w:r>
      <w:r w:rsidR="00840552" w:rsidRPr="00302C66">
        <w:rPr>
          <w:bCs/>
        </w:rPr>
        <w:t xml:space="preserve"> value</w:t>
      </w:r>
      <w:r w:rsidR="003F6575" w:rsidRPr="00302C66">
        <w:rPr>
          <w:bCs/>
        </w:rPr>
        <w:t xml:space="preserve"> at the commencement of ADT was </w:t>
      </w:r>
      <w:r w:rsidR="002D1CA3" w:rsidRPr="00302C66">
        <w:rPr>
          <w:rFonts w:eastAsiaTheme="minorEastAsia"/>
          <w:color w:val="000000" w:themeColor="dark1"/>
          <w:kern w:val="24"/>
        </w:rPr>
        <w:t>44.06 ±</w:t>
      </w:r>
      <w:r w:rsidR="003F6575" w:rsidRPr="00302C66">
        <w:rPr>
          <w:rFonts w:eastAsiaTheme="minorEastAsia"/>
          <w:color w:val="000000" w:themeColor="dark1"/>
          <w:kern w:val="24"/>
        </w:rPr>
        <w:t xml:space="preserve"> 37.3 ng/ml. </w:t>
      </w:r>
      <w:r w:rsidR="00840552" w:rsidRPr="00302C66">
        <w:rPr>
          <w:rFonts w:eastAsiaTheme="minorEastAsia"/>
          <w:color w:val="000000" w:themeColor="dark1"/>
          <w:kern w:val="24"/>
        </w:rPr>
        <w:t>T</w:t>
      </w:r>
      <w:r w:rsidR="003F6575" w:rsidRPr="00302C66">
        <w:rPr>
          <w:rFonts w:eastAsiaTheme="minorEastAsia"/>
          <w:color w:val="000000" w:themeColor="dark1"/>
          <w:kern w:val="24"/>
        </w:rPr>
        <w:t>he PSA nadir and PSA doubling time (PSADT) were 20.63 ± 25.85</w:t>
      </w:r>
      <w:r w:rsidR="004A1FEE" w:rsidRPr="00302C66">
        <w:rPr>
          <w:rFonts w:eastAsiaTheme="minorEastAsia"/>
          <w:color w:val="000000" w:themeColor="dark1"/>
          <w:kern w:val="24"/>
        </w:rPr>
        <w:t xml:space="preserve"> ng/ml </w:t>
      </w:r>
      <w:r w:rsidR="004A1FEE" w:rsidRPr="00302C66">
        <w:t xml:space="preserve">and </w:t>
      </w:r>
      <w:r w:rsidR="002D1CA3" w:rsidRPr="00302C66">
        <w:rPr>
          <w:rFonts w:eastAsiaTheme="minorEastAsia"/>
          <w:color w:val="000000" w:themeColor="dark1"/>
          <w:kern w:val="24"/>
        </w:rPr>
        <w:t>8.71 ±</w:t>
      </w:r>
      <w:r w:rsidR="003F6575" w:rsidRPr="00302C66">
        <w:rPr>
          <w:rFonts w:eastAsiaTheme="minorEastAsia"/>
          <w:color w:val="000000" w:themeColor="dark1"/>
          <w:kern w:val="24"/>
        </w:rPr>
        <w:t xml:space="preserve"> 10.75</w:t>
      </w:r>
      <w:r w:rsidR="004A1FEE" w:rsidRPr="00302C66">
        <w:rPr>
          <w:rFonts w:eastAsiaTheme="minorEastAsia"/>
          <w:color w:val="000000" w:themeColor="dark1"/>
          <w:kern w:val="24"/>
        </w:rPr>
        <w:t xml:space="preserve"> months.</w:t>
      </w:r>
      <w:r w:rsidR="004A1FEE" w:rsidRPr="00302C66">
        <w:t xml:space="preserve"> The mean duration to development of CRPC and follow up were </w:t>
      </w:r>
      <w:r w:rsidR="002D1CA3" w:rsidRPr="00302C66">
        <w:rPr>
          <w:rFonts w:eastAsiaTheme="minorEastAsia"/>
          <w:color w:val="000000" w:themeColor="dark1"/>
          <w:kern w:val="24"/>
        </w:rPr>
        <w:t>16.9 ± 13.3</w:t>
      </w:r>
      <w:r w:rsidR="002D1CA3">
        <w:rPr>
          <w:rFonts w:eastAsiaTheme="minorEastAsia"/>
          <w:color w:val="000000" w:themeColor="dark1"/>
          <w:kern w:val="24"/>
        </w:rPr>
        <w:t xml:space="preserve"> months and </w:t>
      </w:r>
      <w:r w:rsidR="003F6575" w:rsidRPr="00302C66">
        <w:rPr>
          <w:rFonts w:eastAsiaTheme="minorEastAsia"/>
          <w:color w:val="000000" w:themeColor="dark1"/>
          <w:kern w:val="24"/>
        </w:rPr>
        <w:t>7.93 ± 8.5 months</w:t>
      </w:r>
      <w:r w:rsidR="004A1FEE" w:rsidRPr="00302C66">
        <w:rPr>
          <w:rFonts w:eastAsiaTheme="minorEastAsia"/>
          <w:color w:val="000000" w:themeColor="dark1"/>
          <w:kern w:val="24"/>
        </w:rPr>
        <w:t xml:space="preserve"> respectively. Metastatic CRPC was diagnosed in 16 patients (80%) and </w:t>
      </w:r>
      <w:r w:rsidR="004A1FEE" w:rsidRPr="00302C66">
        <w:rPr>
          <w:rFonts w:eastAsiaTheme="minorEastAsia"/>
          <w:color w:val="000000" w:themeColor="dark1"/>
          <w:kern w:val="24"/>
        </w:rPr>
        <w:lastRenderedPageBreak/>
        <w:t>Non-metastatic CRPC in 4 patients (</w:t>
      </w:r>
      <w:r w:rsidR="00652D20" w:rsidRPr="0050742C">
        <w:rPr>
          <w:rFonts w:eastAsiaTheme="majorEastAsia"/>
          <w:color w:val="000000" w:themeColor="text1"/>
          <w:kern w:val="24"/>
          <w:sz w:val="28"/>
          <w:szCs w:val="28"/>
        </w:rPr>
        <w:t>20</w:t>
      </w:r>
      <w:r w:rsidR="004A1FEE" w:rsidRPr="00302C66">
        <w:rPr>
          <w:rFonts w:eastAsiaTheme="minorEastAsia"/>
          <w:color w:val="000000" w:themeColor="dark1"/>
          <w:kern w:val="24"/>
        </w:rPr>
        <w:t>%). Maximal androgen blockade (MAB) and medical adrenalectomy were used for all the patients. Four (4) patients (</w:t>
      </w:r>
      <w:bookmarkStart w:id="2" w:name="_Hlk55856158"/>
      <w:r w:rsidR="00652D20" w:rsidRPr="0050742C">
        <w:rPr>
          <w:rFonts w:eastAsiaTheme="majorEastAsia"/>
          <w:color w:val="000000" w:themeColor="text1"/>
          <w:kern w:val="24"/>
          <w:sz w:val="28"/>
          <w:szCs w:val="28"/>
        </w:rPr>
        <w:t>20</w:t>
      </w:r>
      <w:r w:rsidR="00652D20">
        <w:rPr>
          <w:rFonts w:eastAsiaTheme="majorEastAsia"/>
          <w:color w:val="000000" w:themeColor="text1"/>
          <w:kern w:val="24"/>
          <w:sz w:val="28"/>
          <w:szCs w:val="28"/>
        </w:rPr>
        <w:t>%</w:t>
      </w:r>
      <w:bookmarkEnd w:id="2"/>
      <w:r w:rsidR="004A1FEE" w:rsidRPr="00302C66">
        <w:rPr>
          <w:rFonts w:eastAsiaTheme="minorEastAsia"/>
          <w:color w:val="000000" w:themeColor="dark1"/>
          <w:kern w:val="24"/>
        </w:rPr>
        <w:t xml:space="preserve">) </w:t>
      </w:r>
      <w:r w:rsidR="00E26C4F">
        <w:rPr>
          <w:rFonts w:eastAsiaTheme="minorEastAsia"/>
          <w:color w:val="000000" w:themeColor="dark1"/>
          <w:kern w:val="24"/>
        </w:rPr>
        <w:t xml:space="preserve">with progressive disease </w:t>
      </w:r>
      <w:r w:rsidR="004A1FEE" w:rsidRPr="00302C66">
        <w:rPr>
          <w:rFonts w:eastAsiaTheme="minorEastAsia"/>
          <w:color w:val="000000" w:themeColor="dark1"/>
          <w:kern w:val="24"/>
        </w:rPr>
        <w:t xml:space="preserve">required use of </w:t>
      </w:r>
      <w:r w:rsidR="00531D7C" w:rsidRPr="00302C66">
        <w:rPr>
          <w:rFonts w:eastAsiaTheme="minorEastAsia"/>
          <w:color w:val="000000" w:themeColor="dark1"/>
          <w:kern w:val="24"/>
        </w:rPr>
        <w:t>abiraterone</w:t>
      </w:r>
      <w:r w:rsidR="00E26C4F">
        <w:rPr>
          <w:rFonts w:eastAsiaTheme="minorEastAsia"/>
          <w:color w:val="000000" w:themeColor="dark1"/>
          <w:kern w:val="24"/>
        </w:rPr>
        <w:t xml:space="preserve"> as second line agent and</w:t>
      </w:r>
      <w:r w:rsidR="004A1FEE" w:rsidRPr="00302C66">
        <w:rPr>
          <w:rFonts w:eastAsiaTheme="minorEastAsia"/>
          <w:color w:val="000000" w:themeColor="dark1"/>
          <w:kern w:val="24"/>
        </w:rPr>
        <w:t xml:space="preserve"> 1 patient on medical castration had BTO</w:t>
      </w:r>
      <w:r w:rsidR="00E26C4F">
        <w:rPr>
          <w:rFonts w:eastAsiaTheme="minorEastAsia"/>
          <w:color w:val="000000" w:themeColor="dark1"/>
          <w:kern w:val="24"/>
        </w:rPr>
        <w:t xml:space="preserve"> with good response</w:t>
      </w:r>
      <w:r w:rsidR="004A1FEE" w:rsidRPr="00302C66">
        <w:rPr>
          <w:rFonts w:eastAsiaTheme="minorEastAsia"/>
          <w:color w:val="000000" w:themeColor="dark1"/>
          <w:kern w:val="24"/>
        </w:rPr>
        <w:t xml:space="preserve">. </w:t>
      </w:r>
      <w:r w:rsidR="002472CA" w:rsidRPr="00302C66">
        <w:rPr>
          <w:rFonts w:eastAsiaTheme="minorEastAsia"/>
          <w:color w:val="000000" w:themeColor="dark1"/>
          <w:kern w:val="24"/>
        </w:rPr>
        <w:t>Analgesia</w:t>
      </w:r>
      <w:r w:rsidR="00652D20">
        <w:rPr>
          <w:rFonts w:eastAsiaTheme="minorEastAsia"/>
          <w:color w:val="000000" w:themeColor="dark1"/>
          <w:kern w:val="24"/>
        </w:rPr>
        <w:t>,</w:t>
      </w:r>
      <w:r w:rsidR="002472CA" w:rsidRPr="00302C66">
        <w:rPr>
          <w:rFonts w:eastAsiaTheme="minorEastAsia"/>
          <w:color w:val="000000" w:themeColor="dark1"/>
          <w:kern w:val="24"/>
        </w:rPr>
        <w:t xml:space="preserve"> </w:t>
      </w:r>
      <w:r w:rsidR="00652D20">
        <w:rPr>
          <w:rFonts w:eastAsiaTheme="minorEastAsia"/>
          <w:color w:val="000000" w:themeColor="dark1"/>
          <w:kern w:val="24"/>
        </w:rPr>
        <w:t>a</w:t>
      </w:r>
      <w:r w:rsidR="002472CA" w:rsidRPr="00302C66">
        <w:rPr>
          <w:rFonts w:eastAsiaTheme="minorEastAsia"/>
          <w:color w:val="000000" w:themeColor="dark1"/>
          <w:kern w:val="24"/>
        </w:rPr>
        <w:t xml:space="preserve">lendronate, and radiotherapy were </w:t>
      </w:r>
      <w:r w:rsidR="00652D20">
        <w:rPr>
          <w:rFonts w:eastAsiaTheme="minorEastAsia"/>
          <w:color w:val="000000" w:themeColor="dark1"/>
          <w:kern w:val="24"/>
        </w:rPr>
        <w:t>given to</w:t>
      </w:r>
      <w:r w:rsidR="002472CA" w:rsidRPr="00302C66">
        <w:rPr>
          <w:rFonts w:eastAsiaTheme="minorEastAsia"/>
          <w:color w:val="000000" w:themeColor="dark1"/>
          <w:kern w:val="24"/>
        </w:rPr>
        <w:t xml:space="preserve"> 18 patients</w:t>
      </w:r>
      <w:r w:rsidR="00652D20">
        <w:rPr>
          <w:rFonts w:eastAsiaTheme="minorEastAsia"/>
          <w:color w:val="000000" w:themeColor="dark1"/>
          <w:kern w:val="24"/>
        </w:rPr>
        <w:t>,</w:t>
      </w:r>
      <w:r w:rsidR="002472CA" w:rsidRPr="00302C66">
        <w:rPr>
          <w:rFonts w:eastAsiaTheme="minorEastAsia"/>
          <w:color w:val="000000" w:themeColor="dark1"/>
          <w:kern w:val="24"/>
        </w:rPr>
        <w:t xml:space="preserve"> 15 patients and 1 patient respectively.  There was clinical biochemical improvement in 15 patients </w:t>
      </w:r>
      <w:r w:rsidR="002D1CA3">
        <w:rPr>
          <w:rFonts w:eastAsiaTheme="minorEastAsia"/>
          <w:color w:val="000000" w:themeColor="dark1"/>
          <w:kern w:val="24"/>
        </w:rPr>
        <w:t xml:space="preserve">(75%) </w:t>
      </w:r>
      <w:r w:rsidR="002472CA" w:rsidRPr="00302C66">
        <w:rPr>
          <w:rFonts w:eastAsiaTheme="minorEastAsia"/>
          <w:color w:val="000000" w:themeColor="dark1"/>
          <w:kern w:val="24"/>
        </w:rPr>
        <w:t>and mortality in 5 patients</w:t>
      </w:r>
      <w:r w:rsidR="002D1CA3">
        <w:rPr>
          <w:rFonts w:eastAsiaTheme="minorEastAsia"/>
          <w:color w:val="000000" w:themeColor="dark1"/>
          <w:kern w:val="24"/>
        </w:rPr>
        <w:t xml:space="preserve"> (</w:t>
      </w:r>
      <w:r w:rsidR="002D1CA3" w:rsidRPr="0050742C">
        <w:rPr>
          <w:rFonts w:eastAsiaTheme="majorEastAsia"/>
          <w:color w:val="000000" w:themeColor="text1"/>
          <w:kern w:val="24"/>
          <w:sz w:val="28"/>
          <w:szCs w:val="28"/>
        </w:rPr>
        <w:t>2</w:t>
      </w:r>
      <w:r w:rsidR="002D1CA3">
        <w:rPr>
          <w:rFonts w:eastAsiaTheme="majorEastAsia"/>
          <w:color w:val="000000" w:themeColor="text1"/>
          <w:kern w:val="24"/>
          <w:sz w:val="28"/>
          <w:szCs w:val="28"/>
        </w:rPr>
        <w:t>5%</w:t>
      </w:r>
      <w:r w:rsidR="002D1CA3">
        <w:rPr>
          <w:rFonts w:eastAsiaTheme="minorEastAsia"/>
          <w:color w:val="000000" w:themeColor="dark1"/>
          <w:kern w:val="24"/>
        </w:rPr>
        <w:t>)</w:t>
      </w:r>
      <w:r w:rsidR="002472CA" w:rsidRPr="00302C66">
        <w:rPr>
          <w:rFonts w:eastAsiaTheme="minorEastAsia"/>
          <w:color w:val="000000" w:themeColor="dark1"/>
          <w:kern w:val="24"/>
        </w:rPr>
        <w:t>.</w:t>
      </w:r>
    </w:p>
    <w:p w14:paraId="00DAF3F7" w14:textId="77777777" w:rsidR="002472CA" w:rsidRPr="00302C66" w:rsidRDefault="002472CA" w:rsidP="002D1CA3">
      <w:pPr>
        <w:pStyle w:val="NormalWeb"/>
        <w:spacing w:before="0" w:beforeAutospacing="0" w:after="0" w:afterAutospacing="0" w:line="480" w:lineRule="auto"/>
        <w:jc w:val="both"/>
      </w:pPr>
    </w:p>
    <w:p w14:paraId="35840417" w14:textId="169647FB" w:rsidR="00E87E6F" w:rsidRPr="00302C66" w:rsidRDefault="00E87E6F" w:rsidP="002D1CA3">
      <w:pPr>
        <w:spacing w:after="20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A3">
        <w:rPr>
          <w:rFonts w:ascii="Times New Roman" w:hAnsi="Times New Roman" w:cs="Times New Roman"/>
          <w:b/>
          <w:sz w:val="24"/>
          <w:szCs w:val="24"/>
        </w:rPr>
        <w:t>Conclusion:</w:t>
      </w:r>
      <w:r w:rsidR="002472CA" w:rsidRPr="00302C6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55853543"/>
      <w:r w:rsidR="00E26C4F">
        <w:rPr>
          <w:rFonts w:ascii="Times New Roman" w:hAnsi="Times New Roman" w:cs="Times New Roman"/>
          <w:bCs/>
          <w:sz w:val="24"/>
          <w:szCs w:val="24"/>
        </w:rPr>
        <w:t>C</w:t>
      </w:r>
      <w:r w:rsidR="002472CA" w:rsidRPr="00302C66">
        <w:rPr>
          <w:rFonts w:ascii="Times New Roman" w:hAnsi="Times New Roman" w:cs="Times New Roman"/>
          <w:bCs/>
          <w:sz w:val="24"/>
          <w:szCs w:val="24"/>
        </w:rPr>
        <w:t>astration resistant prostate cancer</w:t>
      </w:r>
      <w:r w:rsidR="00060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C4F">
        <w:rPr>
          <w:rFonts w:ascii="Times New Roman" w:hAnsi="Times New Roman" w:cs="Times New Roman"/>
          <w:bCs/>
          <w:sz w:val="24"/>
          <w:szCs w:val="24"/>
        </w:rPr>
        <w:t xml:space="preserve">present predominantly as metastatic disease in our environment. There was good </w:t>
      </w:r>
      <w:r w:rsidR="00A41A0D" w:rsidRPr="00302C66">
        <w:rPr>
          <w:rFonts w:ascii="Times New Roman" w:hAnsi="Times New Roman" w:cs="Times New Roman"/>
          <w:bCs/>
          <w:sz w:val="24"/>
          <w:szCs w:val="24"/>
        </w:rPr>
        <w:t>respon</w:t>
      </w:r>
      <w:r w:rsidR="00E26C4F">
        <w:rPr>
          <w:rFonts w:ascii="Times New Roman" w:hAnsi="Times New Roman" w:cs="Times New Roman"/>
          <w:bCs/>
          <w:sz w:val="24"/>
          <w:szCs w:val="24"/>
        </w:rPr>
        <w:t>se</w:t>
      </w:r>
      <w:r w:rsidR="00C30FA7" w:rsidRPr="00302C66">
        <w:rPr>
          <w:rFonts w:ascii="Times New Roman" w:hAnsi="Times New Roman" w:cs="Times New Roman"/>
          <w:bCs/>
          <w:sz w:val="24"/>
          <w:szCs w:val="24"/>
        </w:rPr>
        <w:t xml:space="preserve"> initially</w:t>
      </w:r>
      <w:r w:rsidR="00A41A0D" w:rsidRPr="00302C66">
        <w:rPr>
          <w:rFonts w:ascii="Times New Roman" w:hAnsi="Times New Roman" w:cs="Times New Roman"/>
          <w:bCs/>
          <w:sz w:val="24"/>
          <w:szCs w:val="24"/>
        </w:rPr>
        <w:t xml:space="preserve"> to maximal androgen blockade and medical adrenalectomy. Abiraterone is very effective in </w:t>
      </w:r>
      <w:r w:rsidR="00C30FA7" w:rsidRPr="00302C66">
        <w:rPr>
          <w:rFonts w:ascii="Times New Roman" w:hAnsi="Times New Roman" w:cs="Times New Roman"/>
          <w:bCs/>
          <w:sz w:val="24"/>
          <w:szCs w:val="24"/>
        </w:rPr>
        <w:t xml:space="preserve">subsequent resistance </w:t>
      </w:r>
      <w:r w:rsidR="00A41A0D" w:rsidRPr="00302C66">
        <w:rPr>
          <w:rFonts w:ascii="Times New Roman" w:hAnsi="Times New Roman" w:cs="Times New Roman"/>
          <w:bCs/>
          <w:sz w:val="24"/>
          <w:szCs w:val="24"/>
        </w:rPr>
        <w:t xml:space="preserve">but </w:t>
      </w:r>
      <w:r w:rsidR="00C30FA7" w:rsidRPr="00302C66">
        <w:rPr>
          <w:rFonts w:ascii="Times New Roman" w:hAnsi="Times New Roman" w:cs="Times New Roman"/>
          <w:bCs/>
          <w:sz w:val="24"/>
          <w:szCs w:val="24"/>
        </w:rPr>
        <w:t xml:space="preserve">it’s use </w:t>
      </w:r>
      <w:r w:rsidR="00A41A0D" w:rsidRPr="00302C66">
        <w:rPr>
          <w:rFonts w:ascii="Times New Roman" w:hAnsi="Times New Roman" w:cs="Times New Roman"/>
          <w:bCs/>
          <w:sz w:val="24"/>
          <w:szCs w:val="24"/>
        </w:rPr>
        <w:t xml:space="preserve">is limited by the cost. </w:t>
      </w:r>
      <w:r w:rsidR="00E26C4F">
        <w:rPr>
          <w:rFonts w:ascii="Times New Roman" w:hAnsi="Times New Roman" w:cs="Times New Roman"/>
          <w:bCs/>
          <w:sz w:val="24"/>
          <w:szCs w:val="24"/>
        </w:rPr>
        <w:t xml:space="preserve">Surgical castration may be effective in patients that progress on medical castration. </w:t>
      </w:r>
      <w:r w:rsidR="00531D7C" w:rsidRPr="00302C66">
        <w:rPr>
          <w:rFonts w:ascii="Times New Roman" w:hAnsi="Times New Roman" w:cs="Times New Roman"/>
          <w:bCs/>
          <w:sz w:val="24"/>
          <w:szCs w:val="24"/>
        </w:rPr>
        <w:t xml:space="preserve">There </w:t>
      </w:r>
      <w:r w:rsidR="00060059">
        <w:rPr>
          <w:rFonts w:ascii="Times New Roman" w:hAnsi="Times New Roman" w:cs="Times New Roman"/>
          <w:bCs/>
          <w:sz w:val="24"/>
          <w:szCs w:val="24"/>
        </w:rPr>
        <w:t>was</w:t>
      </w:r>
      <w:r w:rsidR="00531D7C" w:rsidRPr="00302C66">
        <w:rPr>
          <w:rFonts w:ascii="Times New Roman" w:hAnsi="Times New Roman" w:cs="Times New Roman"/>
          <w:bCs/>
          <w:sz w:val="24"/>
          <w:szCs w:val="24"/>
        </w:rPr>
        <w:t xml:space="preserve"> high PSA nadir, short PSADT, </w:t>
      </w:r>
      <w:r w:rsidR="00060059">
        <w:rPr>
          <w:rFonts w:ascii="Times New Roman" w:hAnsi="Times New Roman" w:cs="Times New Roman"/>
          <w:bCs/>
          <w:sz w:val="24"/>
          <w:szCs w:val="24"/>
        </w:rPr>
        <w:t xml:space="preserve">short duration for development of </w:t>
      </w:r>
      <w:r w:rsidR="00531D7C" w:rsidRPr="00302C66">
        <w:rPr>
          <w:rFonts w:ascii="Times New Roman" w:hAnsi="Times New Roman" w:cs="Times New Roman"/>
          <w:bCs/>
          <w:sz w:val="24"/>
          <w:szCs w:val="24"/>
        </w:rPr>
        <w:t xml:space="preserve">CRPC and </w:t>
      </w:r>
      <w:r w:rsidR="00060059">
        <w:rPr>
          <w:rFonts w:ascii="Times New Roman" w:hAnsi="Times New Roman" w:cs="Times New Roman"/>
          <w:bCs/>
          <w:sz w:val="24"/>
          <w:szCs w:val="24"/>
        </w:rPr>
        <w:t xml:space="preserve">erratic </w:t>
      </w:r>
      <w:r w:rsidR="00531D7C" w:rsidRPr="00302C66">
        <w:rPr>
          <w:rFonts w:ascii="Times New Roman" w:hAnsi="Times New Roman" w:cs="Times New Roman"/>
          <w:bCs/>
          <w:sz w:val="24"/>
          <w:szCs w:val="24"/>
        </w:rPr>
        <w:t>follow up.</w:t>
      </w:r>
    </w:p>
    <w:bookmarkEnd w:id="3"/>
    <w:p w14:paraId="5C8D87AA" w14:textId="6AB1468E" w:rsidR="00E87E6F" w:rsidRPr="00302C66" w:rsidRDefault="00E87E6F" w:rsidP="002D1CA3">
      <w:pPr>
        <w:spacing w:after="20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CA3">
        <w:rPr>
          <w:rFonts w:ascii="Times New Roman" w:hAnsi="Times New Roman" w:cs="Times New Roman"/>
          <w:b/>
          <w:sz w:val="24"/>
          <w:szCs w:val="24"/>
        </w:rPr>
        <w:t>Keywords:</w:t>
      </w:r>
      <w:r w:rsidRPr="00302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D7C" w:rsidRPr="00302C66">
        <w:rPr>
          <w:rFonts w:ascii="Times New Roman" w:hAnsi="Times New Roman" w:cs="Times New Roman"/>
          <w:bCs/>
          <w:sz w:val="24"/>
          <w:szCs w:val="24"/>
        </w:rPr>
        <w:t xml:space="preserve">castration resistant prostate cancer, PSA nadir, PSADT, ADT, castration, ketoconazole, bicalutamide, abiraterone </w:t>
      </w:r>
    </w:p>
    <w:p w14:paraId="0BF66659" w14:textId="77777777" w:rsidR="00E87E6F" w:rsidRPr="00302C66" w:rsidRDefault="00E87E6F" w:rsidP="002D1CA3">
      <w:pPr>
        <w:spacing w:after="20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E095E2" w14:textId="77777777" w:rsidR="00652D20" w:rsidRDefault="00652D20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9DF823B" w14:textId="30B6F168" w:rsidR="00652D20" w:rsidRDefault="00652D20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557DFD8" w14:textId="47336318" w:rsidR="002D1CA3" w:rsidRDefault="002D1CA3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196D72DA" w14:textId="16DBD496" w:rsidR="002D1CA3" w:rsidRDefault="002D1CA3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0A774B99" w14:textId="77777777" w:rsidR="002D1CA3" w:rsidRDefault="002D1CA3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07E50A81" w14:textId="77777777" w:rsidR="002D1CA3" w:rsidRDefault="002D1CA3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C61E9A3" w14:textId="17328355" w:rsidR="00CB42AE" w:rsidRPr="00302C66" w:rsidRDefault="00C30FA7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Introduction</w:t>
      </w:r>
      <w:r w:rsidR="00CB42AE" w:rsidRPr="00302C6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</w:p>
    <w:p w14:paraId="4D33AEEF" w14:textId="72C002A0" w:rsidR="00CB42AE" w:rsidRPr="00302C66" w:rsidRDefault="00CB42AE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bookmarkStart w:id="4" w:name="_Hlk60221384"/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Prostate cancer is the second commonest malignancy and commonest cause of mortality worldwide</w:t>
      </w:r>
      <w:r w:rsidR="00A57E7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A57E7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A57E7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A57E78" w:rsidRPr="00A57E78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A57E7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A43AF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Prostate cancer is the commonest cancer in men in Africa</w:t>
      </w:r>
      <w:r w:rsidR="004404E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57E7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DC58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{"citationItems":[{"id":"ITEM-1","itemData":{"author":[{"dropping-particle":"","family":"Titilola O Akinremi1*, Chidiebere N Ogo2","given":"Ayodeji O Olutunde1","non-dropping-particle":"","parse-names":false,"suffix":""}],"container-title":"Akinremi et al. Infectious Agents and Cancer 2011, 6(Suppl 2):S8","id":"ITEM-1","issue":"Suppl 2","issued":{"date-parts":[["2011"]]},"page":"S8","title":"Review of prostate cancer research in Nigeria","type":"article-journal","volume":"6"},"uris":["http://www.mendeley.com/documents/?uuid=98d269c5-f5b3-4fc6-aebe-af00a6a5cf2f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="00A57E7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A57E78" w:rsidRPr="00A57E78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(2)</w:t>
      </w:r>
      <w:r w:rsidR="00A57E7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A43AF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="003C2817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mortality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is due to progression to castration resistance and metastasis.</w:t>
      </w:r>
    </w:p>
    <w:bookmarkEnd w:id="4"/>
    <w:p w14:paraId="052B0F7E" w14:textId="7F1C3434" w:rsidR="009A3980" w:rsidRPr="00302C66" w:rsidRDefault="009A3980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Castration resistant prostate cancer (CRPC) is defined as evidence of biochemical, clinical </w:t>
      </w:r>
      <w:r w:rsidR="007A58BB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or radiological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progression </w:t>
      </w:r>
      <w:r w:rsidR="007A58BB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of disease despite androgen deprivation therapy with castrate level of testosterone</w:t>
      </w:r>
      <w:r w:rsidR="00DC58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{"citationItems":[{"id":"ITEM-1","itemData":{"author":[{"dropping-particle":"","family":"Titilola O Akinremi1*, Chidiebere N Ogo2","given":"Ayodeji O Olutunde1","non-dropping-particle":"","parse-names":false,"suffix":""}],"container-title":"Akinremi et al. Infectious Agents and Cancer 2011, 6(Suppl 2):S8","id":"ITEM-1","issue":"Suppl 2","issued":{"date-parts":[["2011"]]},"page":"S8","title":"Review of prostate cancer research in Nigeria","type":"article-journal","volume":"6"},"uris":["http://www.mendeley.com/documents/?uuid=98d269c5-f5b3-4fc6-aebe-af00a6a5cf2f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="00DC58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DC58B9" w:rsidRPr="00DC58B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(2)</w:t>
      </w:r>
      <w:r w:rsidR="00DC58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7A58BB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14:paraId="604AFF3D" w14:textId="480422F4" w:rsidR="00B1532D" w:rsidRPr="00302C66" w:rsidRDefault="00B1532D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mechanism and timing of castration resistance is variable and subject of debate</w: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980924" w:rsidRPr="00980924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fter </w:t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initial response to ADT</w:t>
      </w:r>
      <w:r w:rsidR="009459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patients with prostate cancer </w:t>
      </w:r>
      <w:r w:rsidR="00B8450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(CAP) developed CRPC wit</w:t>
      </w:r>
      <w:r w:rsidR="007841E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hin 5 years </w:t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with</w:t>
      </w:r>
      <w:r w:rsidR="007841E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 average </w:t>
      </w:r>
      <w:r w:rsidR="009459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duration </w:t>
      </w:r>
      <w:r w:rsidR="007841E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of 18-</w:t>
      </w:r>
      <w:r w:rsidR="00B8450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841E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24 months</w: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{"citationItems":[{"id":"ITEM-1","itemData":{"author":[{"dropping-particle":"","family":"B.Nelson, Joel, Kavoussi LR, Partin AW","given":"Peters CA","non-dropping-particle":"","parse-names":false,"suffix":""}],"chapter-number":"120","container-title":"Campbell -Walsh' s Urology","edition":"11","editor":[{"dropping-particle":"","family":"Wein AJ","given":"Kavoussi","non-dropping-particle":"","parse-names":false,"suffix":""}],"id":"ITEM-1","issued":{"date-parts":[["2016"]]},"page":"7961-7980","publisher":"Elsevier Sunders","publisher-place":"Philadelphia","title":"Hormonal therapy for prostate cancer","type":"chapter"},"uris":["http://www.mendeley.com/documents/?uuid=aa79493d-42e6-4f7d-944e-6e843d9c78e7"]}],"mendeley":{"formattedCitation":"(3)","plainTextFormattedCitation":"(3)","previouslyFormattedCitation":"(3)"},"properties":{"noteIndex":0},"schema":"https://github.com/citation-style-language/schema/raw/master/csl-citation.json"}</w:instrTex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980924" w:rsidRPr="00980924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(3)</w: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7841E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Most of CRPC patients developed metastatic disease   2 years after </w:t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diagnosis</w: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{"citationItems":[{"id":"ITEM-1","itemData":{"author":[{"dropping-particle":"","family":"Emmanuel S. Antonarakis MD, Michael A. Carducci MD","given":"Mario A. Eisenberger","non-dropping-particle":"","parse-names":false,"suffix":""}],"chapter-number":"121","container-title":"Campbell -Walsh' s Urology","edition":"11","editor":[{"dropping-particle":"","family":"Wein AJ, Kavoussi LR, Partin AW","given":"Peters CA","non-dropping-particle":"","parse-names":false,"suffix":""}],"id":"ITEM-1","issued":{"date-parts":[["2016"]]},"page":"815-850","publisher":"Elsevier Sunders","publisher-place":"Philadelphia","title":"Treatment of cstrstion resistant prostate cancer","type":"chapter"},"uris":["http://www.mendeley.com/documents/?uuid=f6dd9684-6b6c-4100-a1fb-e44d719fb220"]}],"mendeley":{"formattedCitation":"(4)","plainTextFormattedCitation":"(4)","previouslyFormattedCitation":"(4)"},"properties":{"noteIndex":0},"schema":"https://github.com/citation-style-language/schema/raw/master/csl-citation.json"}</w:instrTex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980924" w:rsidRPr="00980924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(4)</w:t>
      </w:r>
      <w:r w:rsidR="0098092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There are two models that explained the mechanism of castration resistance, the adaptation and clonal selection models</w: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{"citationItems":[{"id":"ITEM-1","itemData":{"author":[{"dropping-particle":"","family":"Ahmad M","given":"Li LC","non-dropping-particle":"","parse-names":false,"suffix":""}],"container-title":"Int J Urol","id":"ITEM-1","issue":"4","issued":{"date-parts":[["2013"]]},"page":"362-371","title":"Adapatation and Clonal Selection Models ofCastration Resistant Prostate Cancer: Current Perspective","type":"article-journal","volume":"20"},"uris":["http://www.mendeley.com/documents/?uuid=e1a5f6eb-4a43-463b-ac16-313ef0de1cb3"]}],"mendeley":{"formattedCitation":"(5)","plainTextFormattedCitation":"(5)","previouslyFormattedCitation":"(5)"},"properties":{"noteIndex":0},"schema":"https://github.com/citation-style-language/schema/raw/master/csl-citation.json"}</w:instrTex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3C2F34" w:rsidRPr="003C2F34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(5)</w: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The adaptation model postulate that the androgen receptors are homogenous</w:t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in their androgen response</w:t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castration resistance </w:t>
      </w:r>
      <w:r w:rsidR="000A045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developed </w:t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by genetic and epigenetic changes which convert the </w:t>
      </w:r>
      <w:proofErr w:type="spellStart"/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="000A045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u</w:t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mour</w:t>
      </w:r>
      <w:proofErr w:type="spellEnd"/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A045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cells </w:t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to androgen independent cells. The clonal selection model postulates that androgen receptors are heterogenous</w:t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in </w:t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their response to androgens and there is</w:t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pree</w:t>
      </w:r>
      <w:r w:rsidR="000A045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x</w:t>
      </w:r>
      <w:r w:rsidR="00B801E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isting minority clone of castration resistant </w:t>
      </w:r>
      <w:r w:rsidR="00E164C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cells</w:t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which is selected after elimination of a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n</w:t>
      </w:r>
      <w:r w:rsidR="00652D2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drogen sensitive cells by ADT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E164C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Several studies prove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</w:t>
      </w:r>
      <w:r w:rsidR="00E164C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presence of androgen receptors in CRPC</w: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{"citationItems":[{"id":"ITEM-1","itemData":{"author":[{"dropping-particle":"","family":"B.Nelson, Joel, Kavoussi LR, Partin AW","given":"Peters CA","non-dropping-particle":"","parse-names":false,"suffix":""}],"chapter-number":"120","container-title":"Campbell -Walsh' s Urology","edition":"11","editor":[{"dropping-particle":"","family":"Wein AJ","given":"Kavoussi","non-dropping-particle":"","parse-names":false,"suffix":""}],"id":"ITEM-1","issued":{"date-parts":[["2016"]]},"page":"7961-7980","publisher":"Elsevier Sunders","publisher-place":"Philadelphia","title":"Hormonal therapy for prostate cancer","type":"chapter"},"uris":["http://www.mendeley.com/documents/?uuid=aa79493d-42e6-4f7d-944e-6e843d9c78e7"]}],"mendeley":{"formattedCitation":"(3)","plainTextFormattedCitation":"(3)","previouslyFormattedCitation":"(3)"},"properties":{"noteIndex":0},"schema":"https://github.com/citation-style-language/schema/raw/master/csl-citation.json"}</w:instrTex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3C2F34" w:rsidRPr="003C2F34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(3)</w: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E164C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Several </w:t>
      </w:r>
      <w:r w:rsidR="00E029C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theories that try </w:t>
      </w:r>
      <w:r w:rsidR="00AE6D6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to explain the development of CRPC include hypersensitivity, promiscuity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</w:t>
      </w:r>
      <w:r w:rsidR="00AE6D6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outlaw, which androgen receptor dependent</w: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{"citationItems":[{"id":"ITEM-1","itemData":{"author":[{"dropping-particle":"","family":"B.Nelson, Joel, Kavoussi LR, Partin AW","given":"Peters CA","non-dropping-particle":"","parse-names":false,"suffix":""}],"chapter-number":"120","container-title":"Campbell -Walsh' s Urology","edition":"11","editor":[{"dropping-particle":"","family":"Wein AJ","given":"Kavoussi","non-dropping-particle":"","parse-names":false,"suffix":""}],"id":"ITEM-1","issued":{"date-parts":[["2016"]]},"page":"7961-7980","publisher":"Elsevier Sunders","publisher-place":"Philadelphia","title":"Hormonal therapy for prostate cancer","type":"chapter"},"uris":["http://www.mendeley.com/documents/?uuid=aa79493d-42e6-4f7d-944e-6e843d9c78e7"]}],"mendeley":{"formattedCitation":"(3)","plainTextFormattedCitation":"(3)","previouslyFormattedCitation":"(3)"},"properties":{"noteIndex":0},"schema":"https://github.com/citation-style-language/schema/raw/master/csl-citation.json"}</w:instrTex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3C2F34" w:rsidRPr="003C2F34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(3)</w: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The androgen independent include</w:t>
      </w:r>
      <w:r w:rsidR="00AE6D6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bypass and </w:t>
      </w:r>
      <w:proofErr w:type="spellStart"/>
      <w:r w:rsidR="00AE6D6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lucker</w:t>
      </w:r>
      <w:proofErr w:type="spellEnd"/>
      <w:r w:rsidR="00AE6D6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cell 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theories</w:t>
      </w:r>
      <w:r w:rsidR="00AE6D6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0A045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The androgen receptors (AR) may be </w:t>
      </w:r>
      <w:r w:rsidR="00302C6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amplified</w:t>
      </w:r>
      <w:r w:rsidR="000A045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or mutated</w:t>
      </w:r>
      <w:r w:rsidR="000770A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which increase their sensitivity to 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even </w:t>
      </w:r>
      <w:r w:rsidR="000770A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small amount of androgen</w:t>
      </w:r>
      <w:r w:rsidR="00302C6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{"citationItems":[{"id":"ITEM-1","itemData":{"author":[{"dropping-particle":"","family":"B.Nelson, Joel, Kavoussi LR, Partin AW","given":"Peters CA","non-dropping-particle":"","parse-names":false,"suffix":""}],"chapter-number":"120","container-title":"Campbell -Walsh' s Urology","edition":"11","editor":[{"dropping-particle":"","family":"Wein AJ","given":"Kavoussi","non-dropping-particle":"","parse-names":false,"suffix":""}],"id":"ITEM-1","issued":{"date-parts":[["2016"]]},"page":"7961-7980","publisher":"Elsevier Sunders","publisher-place":"Philadelphia","title":"Hormonal therapy for prostate cancer","type":"chapter"},"uris":["http://www.mendeley.com/documents/?uuid=aa79493d-42e6-4f7d-944e-6e843d9c78e7"]}],"mendeley":{"formattedCitation":"(3)","plainTextFormattedCitation":"(3)","previouslyFormattedCitation":"(3)"},"properties":{"noteIndex":0},"schema":"https://github.com/citation-style-language/schema/raw/master/csl-citation.json"}</w:instrTex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3C2F34" w:rsidRPr="003C2F34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(3)</w:t>
      </w:r>
      <w:r w:rsidR="003C2F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0770A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The </w:t>
      </w:r>
      <w:r w:rsidR="000770A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AR may be </w:t>
      </w:r>
      <w:r w:rsidR="003531C0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promiscuous</w:t>
      </w:r>
      <w:r w:rsidR="000770A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other </w:t>
      </w:r>
      <w:r w:rsidR="000770A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ligands such as corti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co</w:t>
      </w:r>
      <w:r w:rsidR="000770A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steroid or even ant</w:t>
      </w:r>
      <w:r w:rsidR="00302C6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i-</w:t>
      </w:r>
      <w:r w:rsidR="000770A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androgens. Growth factors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such as Insulin like growth factor-1, epidermal growth factor</w:t>
      </w:r>
      <w:r w:rsidR="000770A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interleukin-6, protein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kinas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es</w:t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 and C can increase the transcriptional activity of AR in the absence of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531C0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androge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ns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{"citationItems":[{"id":"ITEM-1","itemData":{"author":[{"dropping-particle":"","family":"B.Nelson, Joel, Kavoussi LR, Partin AW","given":"Peters CA","non-dropping-particle":"","parse-names":false,"suffix":""}],"chapter-number":"120","container-title":"Campbell -Walsh' s Urology","edition":"11","editor":[{"dropping-particle":"","family":"Wein AJ","given":"Kavoussi","non-dropping-particle":"","parse-names":false,"suffix":""}],"id":"ITEM-1","issued":{"date-parts":[["2016"]]},"page":"7961-7980","publisher":"Elsevier Sunders","publisher-place":"Philadelphia","title":"Hormonal therapy for prostate cancer","type":"chapter"},"uris":["http://www.mendeley.com/documents/?uuid=aa79493d-42e6-4f7d-944e-6e843d9c78e7"]}],"mendeley":{"formattedCitation":"(3)","plainTextFormattedCitation":"(3)","previouslyFormattedCitation":"(3)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(3)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The 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receptors may</w:t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also be by</w:t>
      </w:r>
      <w:r w:rsidR="009459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passed by alternative survival pathway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such Bcl-</w:t>
      </w:r>
      <w:r w:rsidR="003531C0" w:rsidRPr="0050742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2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8"/>
          <w:szCs w:val="28"/>
        </w:rPr>
        <w:t>(1)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fldChar w:fldCharType="end"/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In </w:t>
      </w:r>
      <w:proofErr w:type="spellStart"/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Lucker</w:t>
      </w:r>
      <w:proofErr w:type="spellEnd"/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cell model</w:t>
      </w:r>
      <w:r w:rsidR="00EB6F8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small subset of androgen resistant cells are selected by ADT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AE6D6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25E32796" w14:textId="2FCB37CC" w:rsidR="007A58BB" w:rsidRPr="00302C66" w:rsidRDefault="007A58BB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Ninety (90%) of patients with CRPC have spinal metastasis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at diagnosis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{"citationItems":[{"id":"ITEM-1","itemData":{"DOI":"10.1007/s11864-016-0438-9","author":[{"dropping-particle":"","family":"Handy, C.E., Antonarakis","given":"E.S","non-dropping-particle":"","parse-names":false,"suffix":""}],"container-title":"Current Treatment Options inOncology","id":"ITEM-1","issue":"64","issued":{"date-parts":[["2016"]]},"title":"Sequencing Treatment for Castration-Resistant Prostate Cancer","type":"article-journal","volume":"17"},"uris":["http://www.mendeley.com/documents/?uuid=ebb676a2-0b50-434c-9b0f-a2d50a6271e1"]}],"mendeley":{"formattedCitation":"(6)","plainTextFormattedCitation":"(6)","previouslyFormattedCitation":"(6)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(6)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B41AF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median survival of patients with CRPC is 1- year.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{"citationItems":[{"id":"ITEM-1","itemData":{"author":[{"dropping-particle":"","family":"Jack R Andrews, Mohamed E Ahmed, R Jeffrey Kames, Eugene Kwon","given":"Alan H Bryce","non-dropping-particle":"","parse-names":false,"suffix":""}],"container-title":"The Prostate","id":"ITEM-1","issue":"5","issued":{"date-parts":[["2020"]]},"page":"399- 406","title":"Systemic treatment for metastatic castrate resistant prostate cancer: Does seqence matter?","type":"article-journal","volume":"80"},"uris":["http://www.mendeley.com/documents/?uuid=6d465614-5853-4c08-9b01-fc704bc80d6a"]}],"mendeley":{"formattedCitation":"(7)","plainTextFormattedCitation":"(7)","previouslyFormattedCitation":"(7)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(7)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07441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Management of </w:t>
      </w:r>
      <w:r w:rsidR="00A43AF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CRPC is multidisciplinary involving urologi</w:t>
      </w:r>
      <w:r w:rsidR="009459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st</w:t>
      </w:r>
      <w:r w:rsidR="00A43AF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clinical oncologist, radiation oncologist, 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pain management s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ecialist and palliative care team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9459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among others</w:t>
      </w:r>
      <w:r w:rsidR="003531C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A43AFE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0E84E3CF" w14:textId="0A00A288" w:rsidR="00B41AF6" w:rsidRPr="00302C66" w:rsidRDefault="00B41AF6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disease is divided in to non-metastatic CRPC (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NM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CRPC) and metastatic CRPC (</w:t>
      </w:r>
      <w:proofErr w:type="spellStart"/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mCRPC</w:t>
      </w:r>
      <w:proofErr w:type="spellEnd"/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{"citationItems":[{"id":"ITEM-1","itemData":{"author":[{"dropping-particle":"","family":"Emmanuel S. Antonarakis MD, Michael A. Carducci MD","given":"Mario A. Eisenberger","non-dropping-particle":"","parse-names":false,"suffix":""}],"chapter-number":"121","container-title":"Campbell -Walsh' s Urology","edition":"11","editor":[{"dropping-particle":"","family":"Wein AJ, Kavoussi LR, Partin AW","given":"Peters CA","non-dropping-particle":"","parse-names":false,"suffix":""}],"id":"ITEM-1","issued":{"date-parts":[["2016"]]},"page":"815-850","publisher":"Elsevier Sunders","publisher-place":"Philadelphia","title":"Treatment of cstrstion resistant prostate cancer","type":"chapter"},"uris":["http://www.mendeley.com/documents/?uuid=f6dd9684-6b6c-4100-a1fb-e44d719fb220"]}],"mendeley":{"formattedCitation":"(4)","plainTextFormattedCitation":"(4)","previouslyFormattedCitation":"(4)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(4)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="00915FD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use of maximal androgen blockade, systemic corticosteroid therapy and second line 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hormonal </w:t>
      </w:r>
      <w:r w:rsidR="00915FD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agents, chemotherapy 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with docetaxel </w:t>
      </w:r>
      <w:r w:rsidR="0019654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and </w:t>
      </w:r>
      <w:proofErr w:type="spellStart"/>
      <w:r w:rsidR="0019654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carbazitaxel</w:t>
      </w:r>
      <w:proofErr w:type="spellEnd"/>
      <w:r w:rsidR="0019654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15FD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produced various improvement in the disease symptoms and prostate specific antigen (PSA) 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elevation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{"citationItems":[{"id":"ITEM-1","itemData":{"author":[{"dropping-particle":"","family":"Jack R Andrews, Mohamed E Ahmed, R Jeffrey Kames, Eugene Kwon","given":"Alan H Bryce","non-dropping-particle":"","parse-names":false,"suffix":""}],"container-title":"The Prostate","id":"ITEM-1","issue":"5","issued":{"date-parts":[["2020"]]},"page":"399- 406","title":"Systemic treatment for metastatic castrate resistant prostate cancer: Does seqence matter?","type":"article-journal","volume":"80"},"uris":["http://www.mendeley.com/documents/?uuid=6d465614-5853-4c08-9b01-fc704bc80d6a"]}],"mendeley":{"formattedCitation":"(7)","plainTextFormattedCitation":"(7)","previouslyFormattedCitation":"(7)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(7)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19654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Targeted immunotherapy with immune check point inhibitors and prostate cancer vaccines are promising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0226C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Various hormonal manipulations suffix in 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NM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CRPC while chemotherapy with docetaxel and </w:t>
      </w:r>
      <w:proofErr w:type="spellStart"/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carbazitaxel</w:t>
      </w:r>
      <w:proofErr w:type="spellEnd"/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as first and second line agents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are tried in metastatic disease</w:t>
      </w:r>
      <w:r w:rsidR="0019654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with good results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{"citationItems":[{"id":"ITEM-1","itemData":{"author":[{"dropping-particle":"","family":"Emmanuel S. Antonarakis MD, Michael A. Carducci MD","given":"Mario A. Eisenberger","non-dropping-particle":"","parse-names":false,"suffix":""}],"chapter-number":"121","container-title":"Campbell -Walsh' s Urology","edition":"11","editor":[{"dropping-particle":"","family":"Wein AJ, Kavoussi LR, Partin AW","given":"Peters CA","non-dropping-particle":"","parse-names":false,"suffix":""}],"id":"ITEM-1","issued":{"date-parts":[["2016"]]},"page":"815-850","publisher":"Elsevier Sunders","publisher-place":"Philadelphia","title":"Treatment of cstrstion resistant prostate cancer","type":"chapter"},"uris":["http://www.mendeley.com/documents/?uuid=f6dd9684-6b6c-4100-a1fb-e44d719fb220"]}],"mendeley":{"formattedCitation":"(4)","plainTextFormattedCitation":"(4)","previouslyFormattedCitation":"(4)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(4)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{"citationItems":[{"id":"ITEM-1","itemData":{"DOI":"10.1007/s11864-016-0438-9","author":[{"dropping-particle":"","family":"Handy, C.E., Antonarakis","given":"E.S","non-dropping-particle":"","parse-names":false,"suffix":""}],"container-title":"Current Treatment Options inOncology","id":"ITEM-1","issue":"64","issued":{"date-parts":[["2016"]]},"title":"Sequencing Treatment for Castration-Resistant Prostate Cancer","type":"article-journal","volume":"17"},"uris":["http://www.mendeley.com/documents/?uuid=ebb676a2-0b50-434c-9b0f-a2d50a6271e1"]}],"mendeley":{"formattedCitation":"(6)","plainTextFormattedCitation":"(6)","previouslyFormattedCitation":"(6)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(6)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EB6F8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Some studies have shown benefits of chemotherapy pre second line hormonal agents.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Hormonal agents have more acce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ptable and tolerable side effects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{"citationItems":[{"id":"ITEM-1","itemData":{"author":[{"dropping-particle":"","family":"B.Nelson, Joel, Kavoussi LR, Partin AW","given":"Peters CA","non-dropping-particle":"","parse-names":false,"suffix":""}],"chapter-number":"120","container-title":"Campbell -Walsh' s Urology","edition":"11","editor":[{"dropping-particle":"","family":"Wein AJ","given":"Kavoussi","non-dropping-particle":"","parse-names":false,"suffix":""}],"id":"ITEM-1","issued":{"date-parts":[["2016"]]},"page":"7961-7980","publisher":"Elsevier Sunders","publisher-place":"Philadelphia","title":"Hormonal therapy for prostate cancer","type":"chapter"},"uris":["http://www.mendeley.com/documents/?uuid=aa79493d-42e6-4f7d-944e-6e843d9c78e7"]}],"mendeley":{"formattedCitation":"(3)","plainTextFormattedCitation":"(3)","previouslyFormattedCitation":"(3)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(3)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19654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u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se of anti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androgen bicalutamide to effect MAB </w:t>
      </w:r>
      <w:r w:rsidR="0019654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post ADT 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initially or antiandrogen withdrawal for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those already on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MAB suffix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For those that progress</w:t>
      </w:r>
      <w:r w:rsidR="0019654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medical adrenalectomy with ketoconazole</w:t>
      </w:r>
      <w:r w:rsidR="0019654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915FD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prednisolone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may produce  appreciable response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B175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EB6F8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u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se of enzalutamide, abiraterone </w:t>
      </w:r>
      <w:r w:rsidR="00984D7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have </w:t>
      </w:r>
      <w:proofErr w:type="spellStart"/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revolutionalised</w:t>
      </w:r>
      <w:proofErr w:type="spellEnd"/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the treatment of CRPC and can be used pre or post chemotherapy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{"citationItems":[{"id":"ITEM-1","itemData":{"DOI":"10.1007/s11864-016-0438-9","author":[{"dropping-particle":"","family":"Handy, C.E., Antonarakis","given":"E.S","non-dropping-particle":"","parse-names":false,"suffix":""}],"container-title":"Current Treatment Options inOncology","id":"ITEM-1","issue":"64","issued":{"date-parts":[["2016"]]},"title":"Sequencing Treatment for Castration-Resistant Prostate Cancer","type":"article-journal","volume":"17"},"uris":["http://www.mendeley.com/documents/?uuid=ebb676a2-0b50-434c-9b0f-a2d50a6271e1"]}],"mendeley":{"formattedCitation":"(6)","plainTextFormattedCitation":"(6)","previouslyFormattedCitation":"(6)"},"properties":{"noteIndex":0},"schema":"https://github.com/citation-style-language/schema/raw/master/csl-citation.json"}</w:instrTex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0C5953" w:rsidRPr="000C5953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(6)</w:t>
      </w:r>
      <w:r w:rsidR="000C595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bookmarkStart w:id="5" w:name="_Hlk55852637"/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Other </w:t>
      </w:r>
      <w:r w:rsidR="00915FD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important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treatment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are bone targeting agents such bisphosphonates, </w:t>
      </w:r>
      <w:proofErr w:type="spellStart"/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danusumab</w:t>
      </w:r>
      <w:proofErr w:type="spellEnd"/>
      <w:r w:rsidR="008156EF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680EC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radiopharmaceuticals</w:t>
      </w:r>
      <w:r w:rsidR="008156EF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pain 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>management</w:t>
      </w:r>
      <w:r w:rsidR="00B175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B175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B175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B17561" w:rsidRPr="00B17561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B175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8156EF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bookmarkEnd w:id="5"/>
      <w:r w:rsidR="000226C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SPARTAN, ARAMIS and PROSPER trial</w:t>
      </w:r>
      <w:r w:rsidR="00EB6F8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0226C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have proved efficacy of Enzalutamide, apalu</w:t>
      </w:r>
      <w:r w:rsidR="00524A9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tamide and </w:t>
      </w:r>
      <w:proofErr w:type="spellStart"/>
      <w:r w:rsidR="00524A9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darolutamide</w:t>
      </w:r>
      <w:proofErr w:type="spellEnd"/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{"citationItems":[{"id":"ITEM-1","itemData":{"author":[{"dropping-particle":"","family":"Handy CE","given":"Antonarakis ES","non-dropping-particle":"","parse-names":false,"suffix":""}],"container-title":"Future Oncol","id":"ITEM-1","issue":"10","issued":{"date-parts":[["2018"]]},"page":"907-917","title":"Sipuleucel-T for the treatment of prostate cancer, novel insight and future direction","type":"article-journal","volume":"14"},"uris":["http://www.mendeley.com/documents/?uuid=68e068df-1a52-4a6d-ad94-15464e7ce4cc"]}],"mendeley":{"formattedCitation":"(9)","plainTextFormattedCitation":"(9)","previouslyFormattedCitation":"(9)"},"properties":{"noteIndex":0},"schema":"https://github.com/citation-style-language/schema/raw/master/csl-citation.json"}</w:instrTex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2443CD" w:rsidRPr="002443CD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(9)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{"citationItems":[{"id":"ITEM-1","itemData":{"author":[{"dropping-particle":"al","family":"Smith MR, Saad F, Chowdhury S, Oudard S, Hadaschik BA","given":"et","non-dropping-particle":"","parse-names":false,"suffix":""}],"container-title":"N Eng J Med","id":"ITEM-1","issue":"15","issued":{"date-parts":[["2018"]]},"page":"1808-1418","title":"Apalutamidetreatment and metastatic freesurvival in prostate cancer","type":"article-journal","volume":"378"},"uris":["http://www.mendeley.com/documents/?uuid=3c9d2a84-71ee-4f5e-b395-639dd928f64c"]}],"mendeley":{"formattedCitation":"(10)","plainTextFormattedCitation":"(10)","previouslyFormattedCitation":"(10)"},"properties":{"noteIndex":0},"schema":"https://github.com/citation-style-language/schema/raw/master/csl-citation.json"}</w:instrTex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2443CD" w:rsidRPr="002443CD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(10)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524A9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Selecting treatment for </w:t>
      </w:r>
      <w:proofErr w:type="spellStart"/>
      <w:r w:rsidR="00524A9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mCRPC</w:t>
      </w:r>
      <w:proofErr w:type="spellEnd"/>
      <w:r w:rsidR="00524A9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is difficult due to inability to </w:t>
      </w:r>
      <w:proofErr w:type="spellStart"/>
      <w:r w:rsidR="00524A9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hormonise</w:t>
      </w:r>
      <w:proofErr w:type="spellEnd"/>
      <w:r w:rsidR="00524A9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finding of different studies on </w:t>
      </w:r>
      <w:proofErr w:type="spellStart"/>
      <w:r w:rsidR="00524A9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mCRPC</w:t>
      </w:r>
      <w:proofErr w:type="spellEnd"/>
      <w:r w:rsidR="00524A9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unlike NMCRPC</w:t>
      </w:r>
      <w:r w:rsidR="00B175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B175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B175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B17561" w:rsidRPr="00B17561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B175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524A9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44A8D0AC" w14:textId="7D92BF96" w:rsidR="007C2518" w:rsidRPr="005A158C" w:rsidRDefault="00CB42AE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here are limited studies in Africa on CRPC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2443CD" w:rsidRPr="002443CD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915FD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 none </w:t>
      </w:r>
      <w:r w:rsidR="00C9495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 my environment</w:t>
      </w:r>
      <w:r w:rsidR="003C2817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0A045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C2817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We review cases of castration resistant disease in our institution within the last 7 years.</w:t>
      </w:r>
    </w:p>
    <w:p w14:paraId="3B7FCC63" w14:textId="77777777" w:rsidR="00AA3C84" w:rsidRPr="005A158C" w:rsidRDefault="00AA3C84" w:rsidP="002D1CA3">
      <w:pPr>
        <w:spacing w:after="20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58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Methodology:</w:t>
      </w:r>
      <w:r w:rsidRPr="005A1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C2C751" w14:textId="60C7A6D0" w:rsidR="00AA3C84" w:rsidRPr="00302C66" w:rsidRDefault="00AA3C84" w:rsidP="002D1CA3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bookmarkStart w:id="6" w:name="_Hlk60221598"/>
      <w:r w:rsidRPr="00302C66">
        <w:rPr>
          <w:rFonts w:ascii="Times New Roman" w:hAnsi="Times New Roman" w:cs="Times New Roman"/>
          <w:sz w:val="24"/>
          <w:szCs w:val="24"/>
        </w:rPr>
        <w:t xml:space="preserve">This is a retrospective study of patients managed for </w:t>
      </w:r>
      <w:r w:rsidRPr="00302C66">
        <w:rPr>
          <w:rFonts w:ascii="Times New Roman" w:hAnsi="Times New Roman" w:cs="Times New Roman"/>
          <w:bCs/>
          <w:sz w:val="24"/>
          <w:szCs w:val="24"/>
        </w:rPr>
        <w:t>castration resistant prostate cancer</w:t>
      </w:r>
      <w:r w:rsidRPr="00302C66">
        <w:rPr>
          <w:rFonts w:ascii="Times New Roman" w:hAnsi="Times New Roman" w:cs="Times New Roman"/>
          <w:sz w:val="24"/>
          <w:szCs w:val="24"/>
        </w:rPr>
        <w:t xml:space="preserve"> in our hospital from January 2013 to December, 2019. </w:t>
      </w: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Data was collected from the case notes via a proforma. Information retrieved include biodata, presentation, clinical features, radiological findings, and laboratory investigation findings, diagnosis, treatments, drugs, follow up and outcome. The laboratory investigations include PSA, </w:t>
      </w:r>
      <w:proofErr w:type="spellStart"/>
      <w:r w:rsidR="00F3620B"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</w:t>
      </w:r>
      <w:r w:rsidR="00C9495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="00F3620B"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emogram</w:t>
      </w:r>
      <w:proofErr w:type="spellEnd"/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urine microscopy</w:t>
      </w:r>
      <w:r w:rsidR="00F3620B"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serum testosterone, urea and creatinine. Data </w:t>
      </w: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was </w:t>
      </w:r>
      <w:r w:rsidR="00F3620B"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analyzed</w:t>
      </w: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using SPSS version 25.0</w:t>
      </w:r>
      <w:r w:rsidRPr="00302C66">
        <w:rPr>
          <w:rFonts w:ascii="Times New Roman" w:hAnsi="Times New Roman" w:cs="Times New Roman"/>
          <w:sz w:val="24"/>
          <w:szCs w:val="24"/>
        </w:rPr>
        <w:t xml:space="preserve">. </w:t>
      </w: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Results were reported percentages, mean ±SD</w:t>
      </w:r>
    </w:p>
    <w:bookmarkEnd w:id="6"/>
    <w:p w14:paraId="5323170D" w14:textId="0A3D0948" w:rsidR="00AA3C84" w:rsidRPr="005A158C" w:rsidRDefault="00F3620B" w:rsidP="002D1CA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58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Results:</w:t>
      </w:r>
    </w:p>
    <w:p w14:paraId="425066FE" w14:textId="3C4BF6A9" w:rsidR="00AA3C84" w:rsidRPr="00302C66" w:rsidRDefault="00F3620B" w:rsidP="002D1CA3">
      <w:pPr>
        <w:spacing w:after="20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hAnsi="Times New Roman" w:cs="Times New Roman"/>
          <w:bCs/>
          <w:sz w:val="24"/>
          <w:szCs w:val="24"/>
        </w:rPr>
        <w:t xml:space="preserve">There were </w:t>
      </w:r>
      <w:r w:rsidRPr="00302C66">
        <w:rPr>
          <w:rFonts w:ascii="Times New Roman" w:hAnsi="Times New Roman" w:cs="Times New Roman"/>
          <w:sz w:val="24"/>
          <w:szCs w:val="24"/>
        </w:rPr>
        <w:t>20 patients with CRPC within the study period with</w:t>
      </w:r>
      <w:r w:rsidRPr="00302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Mean age of 66.2 ± 7.4 and a range of 53- 78 years.</w:t>
      </w:r>
      <w:r w:rsidR="009A1BFC"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24CA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 median age was 70 years.</w:t>
      </w:r>
    </w:p>
    <w:p w14:paraId="683730AF" w14:textId="40CF6A5B" w:rsidR="009A1BFC" w:rsidRPr="00302C66" w:rsidRDefault="009A1BFC" w:rsidP="002D1C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most common presentations were lower urinary tract symptoms (LUTS) and low back pain in </w:t>
      </w:r>
      <w:r w:rsidRPr="005A158C">
        <w:rPr>
          <w:rFonts w:ascii="Times New Roman" w:hAnsi="Times New Roman" w:cs="Times New Roman"/>
          <w:sz w:val="24"/>
          <w:szCs w:val="24"/>
        </w:rPr>
        <w:t>20</w:t>
      </w:r>
      <w:r w:rsidRPr="005A15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patients and </w:t>
      </w:r>
      <w:r w:rsidRPr="005A15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</w:t>
      </w:r>
      <w:r w:rsidRPr="005A158C">
        <w:rPr>
          <w:rFonts w:ascii="Times New Roman" w:hAnsi="Times New Roman" w:cs="Times New Roman"/>
          <w:sz w:val="24"/>
          <w:szCs w:val="24"/>
        </w:rPr>
        <w:t>2</w:t>
      </w:r>
      <w:r w:rsidR="005A1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C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patients respectively. Other modes of presentation are shown in Table 1 below.</w:t>
      </w:r>
    </w:p>
    <w:p w14:paraId="480F2F6F" w14:textId="218BFE1C" w:rsidR="00C30FA7" w:rsidRPr="00302C66" w:rsidRDefault="00C30FA7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4F10BC17" w14:textId="77777777" w:rsidR="00AA3C84" w:rsidRPr="00302C66" w:rsidRDefault="00AA3C84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7B7AF8EC" w14:textId="77777777" w:rsidR="005A158C" w:rsidRDefault="005A158C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6E7A46D4" w14:textId="77777777" w:rsidR="005A158C" w:rsidRDefault="005A158C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311D8C65" w14:textId="37AC77BC" w:rsidR="00C30FA7" w:rsidRPr="00302C66" w:rsidRDefault="00C94957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Table 1: Presentations of patients with CRPC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2518" w:rsidRPr="00302C66" w14:paraId="75D89B23" w14:textId="77777777" w:rsidTr="00A43AFE">
        <w:tc>
          <w:tcPr>
            <w:tcW w:w="3116" w:type="dxa"/>
          </w:tcPr>
          <w:p w14:paraId="1B5A3E56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  <w:tc>
          <w:tcPr>
            <w:tcW w:w="3117" w:type="dxa"/>
          </w:tcPr>
          <w:p w14:paraId="701639A3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 xml:space="preserve">Number of patients </w:t>
            </w:r>
          </w:p>
        </w:tc>
        <w:tc>
          <w:tcPr>
            <w:tcW w:w="3117" w:type="dxa"/>
          </w:tcPr>
          <w:p w14:paraId="1FAE1E99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>Percentage (%)</w:t>
            </w:r>
          </w:p>
        </w:tc>
      </w:tr>
      <w:tr w:rsidR="007C2518" w:rsidRPr="00302C66" w14:paraId="08E94976" w14:textId="77777777" w:rsidTr="00A43AFE">
        <w:tc>
          <w:tcPr>
            <w:tcW w:w="3116" w:type="dxa"/>
          </w:tcPr>
          <w:p w14:paraId="11C47977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 xml:space="preserve">LUTS </w:t>
            </w:r>
          </w:p>
          <w:p w14:paraId="39748580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 xml:space="preserve">      acute urinary retention</w:t>
            </w:r>
          </w:p>
          <w:p w14:paraId="46324CFA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 xml:space="preserve">      chronic urinary retention</w:t>
            </w:r>
          </w:p>
          <w:p w14:paraId="12BFE59F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>Low back pain</w:t>
            </w:r>
          </w:p>
          <w:p w14:paraId="66D8AD39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>Inability to walk</w:t>
            </w:r>
          </w:p>
          <w:p w14:paraId="217A40D8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>Urinary tract infection</w:t>
            </w:r>
          </w:p>
          <w:p w14:paraId="6A166FD7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>uremia</w:t>
            </w:r>
          </w:p>
          <w:p w14:paraId="79CD6EFB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>Weight loss</w:t>
            </w:r>
          </w:p>
          <w:p w14:paraId="59279841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  <w:p w14:paraId="5F08E63B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 xml:space="preserve">Anemia </w:t>
            </w:r>
          </w:p>
          <w:p w14:paraId="73753F7F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11D1B6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2455499"/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bookmarkEnd w:id="7"/>
          <w:p w14:paraId="6AA72694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297FF886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14:paraId="2D6DF0B7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14:paraId="6DB8739F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58387E1E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0A4B1959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E1813A4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CB67023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DF8EEC4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1ECBF60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76AE8E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14:paraId="1E13278C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FE0F4E9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  <w:p w14:paraId="54207153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7BA85F74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  <w:p w14:paraId="0562F156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3FD11E06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5479A558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59C900A7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0F2ADEC9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7AB18FDF" w14:textId="77777777" w:rsidR="007C2518" w:rsidRPr="00302C66" w:rsidRDefault="007C2518" w:rsidP="002D1C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D5B0E" w14:textId="77777777" w:rsidR="00C94957" w:rsidRDefault="00C94957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0EF97D36" w14:textId="67DBAD5C" w:rsidR="00C94957" w:rsidRDefault="00D87CF2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baseline clinical, radiological, histological findings and classification of castration resistant prostate cancer </w:t>
      </w:r>
      <w:r w:rsidR="00811F35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are shown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in table</w:t>
      </w:r>
      <w:r w:rsidR="00C9495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94957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2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below.</w:t>
      </w:r>
      <w:r w:rsidR="00C94957" w:rsidRPr="00C9495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5AECF831" w14:textId="77777777" w:rsidR="005A158C" w:rsidRDefault="005A158C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54855519" w14:textId="77777777" w:rsidR="005A158C" w:rsidRDefault="005A158C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2A052E3F" w14:textId="77777777" w:rsidR="005A158C" w:rsidRDefault="005A158C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639DF8BE" w14:textId="77777777" w:rsidR="005A158C" w:rsidRDefault="005A158C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1F3F066B" w14:textId="23CBFC62" w:rsidR="00C94957" w:rsidRPr="005A158C" w:rsidRDefault="00C94957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A158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Table 2: Baseline clinical, biochemical and histological characteristic of the patients with CRPC</w:t>
      </w:r>
    </w:p>
    <w:p w14:paraId="37D223AF" w14:textId="77777777" w:rsidR="00C94957" w:rsidRPr="00302C66" w:rsidRDefault="00C94957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7CF2" w:rsidRPr="00302C66" w14:paraId="7C1B39DA" w14:textId="77777777" w:rsidTr="00D87CF2">
        <w:tc>
          <w:tcPr>
            <w:tcW w:w="3116" w:type="dxa"/>
          </w:tcPr>
          <w:p w14:paraId="549FFE49" w14:textId="0C523233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Parameters </w:t>
            </w:r>
          </w:p>
        </w:tc>
        <w:tc>
          <w:tcPr>
            <w:tcW w:w="3117" w:type="dxa"/>
          </w:tcPr>
          <w:p w14:paraId="64115743" w14:textId="77777777" w:rsidR="00D87CF2" w:rsidRDefault="001341A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Number of patients </w:t>
            </w:r>
          </w:p>
          <w:p w14:paraId="18EB0A5E" w14:textId="0D1E88A3" w:rsidR="001341A8" w:rsidRPr="00302C66" w:rsidRDefault="001341A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N=</w:t>
            </w:r>
            <w:r w:rsidR="00393666"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0BF97571" w14:textId="74FE42B3" w:rsidR="00D87CF2" w:rsidRPr="00302C66" w:rsidRDefault="001341A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Percentage (%)</w:t>
            </w:r>
          </w:p>
        </w:tc>
      </w:tr>
      <w:tr w:rsidR="00D87CF2" w:rsidRPr="00302C66" w14:paraId="716254DF" w14:textId="77777777" w:rsidTr="00D87CF2">
        <w:tc>
          <w:tcPr>
            <w:tcW w:w="3116" w:type="dxa"/>
          </w:tcPr>
          <w:p w14:paraId="1D160AA3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DRE- normal</w:t>
            </w:r>
          </w:p>
          <w:p w14:paraId="71A2C7B5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abnormal</w:t>
            </w:r>
          </w:p>
          <w:p w14:paraId="0CD46950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TRUS – normal</w:t>
            </w:r>
          </w:p>
          <w:p w14:paraId="4BD8CD98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- abnormal</w:t>
            </w:r>
          </w:p>
          <w:p w14:paraId="57542E83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PSA- normal range</w:t>
            </w:r>
          </w:p>
          <w:p w14:paraId="53893FD0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&gt; 10 ng/ ml</w:t>
            </w:r>
          </w:p>
          <w:p w14:paraId="536201CD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HISTOLOGY</w:t>
            </w:r>
          </w:p>
          <w:p w14:paraId="673184AF" w14:textId="3E8CE73C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Adenocarcinoma</w:t>
            </w:r>
          </w:p>
          <w:p w14:paraId="3E8FAC28" w14:textId="356FC0DF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Gleason score</w:t>
            </w:r>
          </w:p>
          <w:p w14:paraId="1B470202" w14:textId="0540A369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2918F1"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≤ </w:t>
            </w: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  <w:r w:rsidR="002918F1"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(3+4)</w:t>
            </w:r>
          </w:p>
          <w:p w14:paraId="5579E164" w14:textId="7EAFD3D1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24A3BE05" w14:textId="227A7BFC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&gt;7</w:t>
            </w:r>
            <w:r w:rsidR="002918F1"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(4+3)</w:t>
            </w:r>
          </w:p>
          <w:p w14:paraId="0C9599F1" w14:textId="06628831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055F49AF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CRPC </w:t>
            </w:r>
          </w:p>
          <w:p w14:paraId="339A725A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NMCRPC</w:t>
            </w:r>
          </w:p>
          <w:p w14:paraId="4721ADE1" w14:textId="7DCD79D2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</w:t>
            </w:r>
            <w:proofErr w:type="spellStart"/>
            <w:r w:rsidR="00524A93"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m</w:t>
            </w: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CRPC</w:t>
            </w:r>
            <w:proofErr w:type="spellEnd"/>
          </w:p>
          <w:p w14:paraId="3B875D2D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500833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  <w:p w14:paraId="7957871B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14</w:t>
            </w:r>
          </w:p>
          <w:p w14:paraId="2DE71D4E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  <w:p w14:paraId="165C14FA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14</w:t>
            </w:r>
          </w:p>
          <w:p w14:paraId="659D73EA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  <w:p w14:paraId="6474C194" w14:textId="57145A91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19</w:t>
            </w:r>
          </w:p>
          <w:p w14:paraId="42E35B6C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6E334858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20</w:t>
            </w:r>
          </w:p>
          <w:p w14:paraId="048FC603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</w:t>
            </w:r>
          </w:p>
          <w:p w14:paraId="2CEA1AC1" w14:textId="37495312" w:rsidR="00811F35" w:rsidRPr="00302C66" w:rsidRDefault="002918F1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  <w:r w:rsidR="00D87CF2"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</w:p>
          <w:p w14:paraId="35E2B803" w14:textId="77777777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52D74DC7" w14:textId="0F8AA0DE" w:rsidR="00811F35" w:rsidRPr="00302C66" w:rsidRDefault="002918F1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 </w:t>
            </w:r>
            <w:bookmarkStart w:id="8" w:name="_Hlk54957473"/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bookmarkEnd w:id="8"/>
          </w:p>
          <w:p w14:paraId="5248B22C" w14:textId="77777777" w:rsidR="002918F1" w:rsidRPr="00302C66" w:rsidRDefault="002918F1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67A5C927" w14:textId="77777777" w:rsidR="002918F1" w:rsidRPr="00302C66" w:rsidRDefault="002918F1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39C9FE3E" w14:textId="75B3CF4F" w:rsidR="00D87CF2" w:rsidRPr="00302C66" w:rsidRDefault="002918F1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D87CF2"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  <w:p w14:paraId="530E6049" w14:textId="2968EFF3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16</w:t>
            </w:r>
          </w:p>
        </w:tc>
        <w:tc>
          <w:tcPr>
            <w:tcW w:w="3117" w:type="dxa"/>
          </w:tcPr>
          <w:p w14:paraId="3F6F3D0E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30</w:t>
            </w:r>
          </w:p>
          <w:p w14:paraId="29862957" w14:textId="0E24FAEB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70</w:t>
            </w:r>
          </w:p>
          <w:p w14:paraId="1AECAD9F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30</w:t>
            </w:r>
          </w:p>
          <w:p w14:paraId="04CD7D63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70</w:t>
            </w:r>
          </w:p>
          <w:p w14:paraId="5A500386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  <w:p w14:paraId="4AA40D3C" w14:textId="60FE7210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95</w:t>
            </w:r>
          </w:p>
          <w:p w14:paraId="1C6AC980" w14:textId="47C0E660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129CA3AC" w14:textId="5B232A09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100</w:t>
            </w:r>
          </w:p>
          <w:p w14:paraId="6F108CDC" w14:textId="77777777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1E3FAE0A" w14:textId="423CF329" w:rsidR="00D87CF2" w:rsidRPr="00302C66" w:rsidRDefault="002918F1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D87CF2"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  <w:p w14:paraId="3EC71D30" w14:textId="77777777" w:rsidR="002918F1" w:rsidRPr="00302C66" w:rsidRDefault="002918F1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0C048416" w14:textId="578CA74D" w:rsidR="00D87CF2" w:rsidRPr="00302C66" w:rsidRDefault="002918F1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  <w:r w:rsidR="00D87CF2"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  <w:p w14:paraId="24363C0B" w14:textId="77777777" w:rsidR="00D87CF2" w:rsidRPr="00302C66" w:rsidRDefault="00D87CF2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4D8083B9" w14:textId="77777777" w:rsidR="005D78E9" w:rsidRPr="00302C66" w:rsidRDefault="005D78E9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3D6F5685" w14:textId="77777777" w:rsidR="005D78E9" w:rsidRPr="00302C66" w:rsidRDefault="005D78E9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16</w:t>
            </w:r>
          </w:p>
          <w:p w14:paraId="6990C1A9" w14:textId="6BF02593" w:rsidR="005D78E9" w:rsidRPr="00302C66" w:rsidRDefault="005D78E9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84</w:t>
            </w:r>
          </w:p>
        </w:tc>
      </w:tr>
    </w:tbl>
    <w:p w14:paraId="6EAA7E37" w14:textId="1DB8F0A1" w:rsidR="007C2518" w:rsidRPr="00302C66" w:rsidRDefault="007C2518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5AF412A6" w14:textId="6729C347" w:rsidR="007C2518" w:rsidRPr="00302C66" w:rsidRDefault="007C2518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48355C33" w14:textId="19269C18" w:rsidR="00811F35" w:rsidRPr="00302C66" w:rsidRDefault="00811F35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mean PSA nadir was high and th</w:t>
      </w:r>
      <w:r w:rsidR="005440AC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re was short PSADT and short mean time to development, of CRPC as shown in table </w:t>
      </w:r>
      <w:r w:rsidR="00C536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3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below.</w:t>
      </w:r>
    </w:p>
    <w:p w14:paraId="20798791" w14:textId="19E8BAAD" w:rsidR="00811F35" w:rsidRPr="005A158C" w:rsidRDefault="00811F35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A158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Table </w:t>
      </w:r>
      <w:r w:rsidR="00C94957" w:rsidRPr="005A158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3: </w:t>
      </w:r>
      <w:r w:rsidRPr="005A158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Prostate Specific Antigen Kinetics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1F35" w:rsidRPr="00302C66" w14:paraId="4F15D04E" w14:textId="77777777" w:rsidTr="00811F35">
        <w:tc>
          <w:tcPr>
            <w:tcW w:w="3116" w:type="dxa"/>
          </w:tcPr>
          <w:p w14:paraId="1452BAE2" w14:textId="444C1273" w:rsidR="00811F35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Parameter </w:t>
            </w:r>
          </w:p>
        </w:tc>
        <w:tc>
          <w:tcPr>
            <w:tcW w:w="3117" w:type="dxa"/>
          </w:tcPr>
          <w:p w14:paraId="44D8369C" w14:textId="2280782C" w:rsidR="00811F35" w:rsidRPr="00302C66" w:rsidRDefault="00325BB3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Mean PSA kinetic</w:t>
            </w:r>
          </w:p>
        </w:tc>
        <w:tc>
          <w:tcPr>
            <w:tcW w:w="3117" w:type="dxa"/>
          </w:tcPr>
          <w:p w14:paraId="35B3D597" w14:textId="2A164B14" w:rsidR="00811F35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Range values</w:t>
            </w:r>
          </w:p>
        </w:tc>
      </w:tr>
      <w:tr w:rsidR="00811F35" w:rsidRPr="00302C66" w14:paraId="0C5168EF" w14:textId="77777777" w:rsidTr="00811F35">
        <w:tc>
          <w:tcPr>
            <w:tcW w:w="3116" w:type="dxa"/>
          </w:tcPr>
          <w:p w14:paraId="4681BFC7" w14:textId="472EA6BA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Pretreatment PSA </w:t>
            </w:r>
          </w:p>
          <w:p w14:paraId="7AA716B2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PSAN nadir</w:t>
            </w:r>
          </w:p>
          <w:p w14:paraId="771EAFF5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PSADT</w:t>
            </w:r>
          </w:p>
          <w:p w14:paraId="6F514F99" w14:textId="4B9B533E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tNadir</w:t>
            </w:r>
            <w:proofErr w:type="spellEnd"/>
          </w:p>
          <w:p w14:paraId="1D679BB1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ADT- CRPC duration</w:t>
            </w:r>
          </w:p>
          <w:p w14:paraId="2ACC9990" w14:textId="5E09B832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12E520FF" w14:textId="77777777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B38AA9" w14:textId="358EED34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44.06 ± 37.3</w:t>
            </w:r>
          </w:p>
          <w:p w14:paraId="25DB60FE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bookmarkStart w:id="9" w:name="_Hlk54856305"/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20.63 ± 25.85</w:t>
            </w:r>
          </w:p>
          <w:bookmarkEnd w:id="9"/>
          <w:p w14:paraId="6C24C3D1" w14:textId="70AC0BE4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8.71 ± 10.75</w:t>
            </w:r>
          </w:p>
          <w:p w14:paraId="59791712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7.93 ± 8.5 months</w:t>
            </w:r>
          </w:p>
          <w:p w14:paraId="1576E7FB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16.9 ± 13.3 months</w:t>
            </w:r>
          </w:p>
          <w:p w14:paraId="0DAE44E1" w14:textId="12E0C164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bookmarkStart w:id="10" w:name="_Hlk52499983"/>
          </w:p>
          <w:bookmarkEnd w:id="10"/>
          <w:p w14:paraId="7B2F963F" w14:textId="77777777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57BFF0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3- 126.43 ng/ml</w:t>
            </w:r>
          </w:p>
          <w:p w14:paraId="096B46C3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bookmarkStart w:id="11" w:name="_Hlk54856374"/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0.26- 95.7 ng/ml</w:t>
            </w:r>
          </w:p>
          <w:bookmarkEnd w:id="11"/>
          <w:p w14:paraId="738661E1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1-31 months</w:t>
            </w:r>
          </w:p>
          <w:p w14:paraId="0565FA0A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3-36 months</w:t>
            </w:r>
          </w:p>
          <w:p w14:paraId="34360A81" w14:textId="77777777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3-47 months</w:t>
            </w:r>
          </w:p>
          <w:p w14:paraId="183DCB89" w14:textId="1D50704D" w:rsidR="00C03428" w:rsidRPr="00302C66" w:rsidRDefault="00C03428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6BA3F741" w14:textId="77777777" w:rsidR="00811F35" w:rsidRPr="00302C66" w:rsidRDefault="00811F35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0C92AE14" w14:textId="53F2F5DC" w:rsidR="00811F35" w:rsidRPr="00302C66" w:rsidRDefault="00A5301E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</w:p>
    <w:p w14:paraId="2ACEDAEE" w14:textId="78EEE67B" w:rsidR="005135F6" w:rsidRDefault="005135F6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commonest first treatment offered was maximal androgen blockade and medical adrenalectomy using ketoconazole which is non-specific antiandrogen. Other treatments are shown in Table </w:t>
      </w:r>
      <w:r w:rsidR="00C536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4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below.</w:t>
      </w:r>
    </w:p>
    <w:p w14:paraId="000CEE21" w14:textId="3E5C7341" w:rsidR="00C53639" w:rsidRPr="005A158C" w:rsidRDefault="00C53639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430"/>
        <w:gridCol w:w="2605"/>
      </w:tblGrid>
      <w:tr w:rsidR="005135F6" w:rsidRPr="00302C66" w14:paraId="02FC255A" w14:textId="77777777" w:rsidTr="00A333E4">
        <w:tc>
          <w:tcPr>
            <w:tcW w:w="4315" w:type="dxa"/>
          </w:tcPr>
          <w:p w14:paraId="4444D5C5" w14:textId="025C7A3F" w:rsidR="005135F6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Treatment </w:t>
            </w:r>
          </w:p>
        </w:tc>
        <w:tc>
          <w:tcPr>
            <w:tcW w:w="2430" w:type="dxa"/>
          </w:tcPr>
          <w:p w14:paraId="1FC9C6B4" w14:textId="142057F3" w:rsidR="005135F6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Number of patients </w:t>
            </w:r>
          </w:p>
        </w:tc>
        <w:tc>
          <w:tcPr>
            <w:tcW w:w="2605" w:type="dxa"/>
          </w:tcPr>
          <w:p w14:paraId="1AD89C98" w14:textId="042E4C5D" w:rsidR="005135F6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Percentage (%)</w:t>
            </w:r>
          </w:p>
        </w:tc>
      </w:tr>
      <w:tr w:rsidR="005135F6" w:rsidRPr="00302C66" w14:paraId="6F24D7BF" w14:textId="77777777" w:rsidTr="00A333E4">
        <w:tc>
          <w:tcPr>
            <w:tcW w:w="4315" w:type="dxa"/>
          </w:tcPr>
          <w:p w14:paraId="1CD9705F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Primary treatment </w:t>
            </w:r>
          </w:p>
          <w:p w14:paraId="5CB8AC59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BTO</w:t>
            </w:r>
          </w:p>
          <w:p w14:paraId="33B8C93F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medical castration </w:t>
            </w:r>
          </w:p>
          <w:p w14:paraId="530D337A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  CRPC</w:t>
            </w:r>
          </w:p>
          <w:p w14:paraId="3C7CB500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BTO1</w:t>
            </w:r>
          </w:p>
          <w:p w14:paraId="17388723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MAB: BTO+ bicalutamide</w:t>
            </w:r>
          </w:p>
          <w:p w14:paraId="6EA4FDCA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ketoconazole </w:t>
            </w:r>
          </w:p>
          <w:p w14:paraId="4AA91170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Abiraterone</w:t>
            </w:r>
          </w:p>
          <w:p w14:paraId="530ED49F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chemotherapy – paclitaxel</w:t>
            </w:r>
          </w:p>
          <w:p w14:paraId="7AFFB6EB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Bisphosphonate- Alendronate </w:t>
            </w:r>
          </w:p>
          <w:p w14:paraId="3F19496F" w14:textId="6CCC0DD8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Analgesia</w:t>
            </w:r>
          </w:p>
          <w:p w14:paraId="1E318EAB" w14:textId="268AB35E" w:rsidR="005135F6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radiotherapy</w:t>
            </w:r>
          </w:p>
        </w:tc>
        <w:tc>
          <w:tcPr>
            <w:tcW w:w="2430" w:type="dxa"/>
          </w:tcPr>
          <w:p w14:paraId="0C4937B4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5DD7A275" w14:textId="4C9F09D6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16</w:t>
            </w:r>
          </w:p>
          <w:p w14:paraId="34805A64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  <w:p w14:paraId="1875FE7A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3B1879C8" w14:textId="01B059C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  <w:p w14:paraId="3504C420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20</w:t>
            </w:r>
          </w:p>
          <w:p w14:paraId="12E4CAA2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20</w:t>
            </w:r>
          </w:p>
          <w:p w14:paraId="6E3E5582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  <w:p w14:paraId="68633FF4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  <w:p w14:paraId="42996ADA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</w:p>
          <w:p w14:paraId="12A506AA" w14:textId="05538954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18</w:t>
            </w:r>
          </w:p>
          <w:p w14:paraId="5FFD5696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  <w:p w14:paraId="6E3AE699" w14:textId="77777777" w:rsidR="005135F6" w:rsidRPr="00302C66" w:rsidRDefault="005135F6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8EC4157" w14:textId="77777777" w:rsidR="00FD03B4" w:rsidRPr="00302C66" w:rsidRDefault="00FD03B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3D4F4721" w14:textId="52844F8A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80</w:t>
            </w:r>
          </w:p>
          <w:p w14:paraId="25689122" w14:textId="505E6CE1" w:rsidR="00A333E4" w:rsidRPr="00302C66" w:rsidRDefault="00183291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20</w:t>
            </w:r>
          </w:p>
          <w:p w14:paraId="6900D815" w14:textId="77777777" w:rsidR="00FD03B4" w:rsidRPr="00302C66" w:rsidRDefault="00FD03B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37949E84" w14:textId="606E8BB2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  <w:p w14:paraId="5B920DA3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100</w:t>
            </w:r>
          </w:p>
          <w:p w14:paraId="0D21FE55" w14:textId="58E8DCAB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100</w:t>
            </w:r>
          </w:p>
          <w:p w14:paraId="7866637C" w14:textId="7C3E2D3F" w:rsidR="00374AC6" w:rsidRPr="00302C66" w:rsidRDefault="00374AC6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40</w:t>
            </w:r>
          </w:p>
          <w:p w14:paraId="6C26CDBB" w14:textId="7CA9489C" w:rsidR="00A333E4" w:rsidRPr="00302C66" w:rsidRDefault="00374AC6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  <w:p w14:paraId="27AF6A62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60</w:t>
            </w:r>
          </w:p>
          <w:p w14:paraId="0F90F75D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90</w:t>
            </w:r>
          </w:p>
          <w:p w14:paraId="476E6262" w14:textId="77777777" w:rsidR="00A333E4" w:rsidRPr="00302C66" w:rsidRDefault="00A333E4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02C6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  <w:p w14:paraId="64AD806E" w14:textId="77777777" w:rsidR="005135F6" w:rsidRPr="00302C66" w:rsidRDefault="005135F6" w:rsidP="002D1CA3">
            <w:pPr>
              <w:spacing w:line="480" w:lineRule="auto"/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79FA16D7" w14:textId="5F8B1BB2" w:rsidR="005135F6" w:rsidRPr="00302C66" w:rsidRDefault="00374AC6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 Analgesia- Opioids paracetamol Non-steroidal Anti-inflammatory drugs</w:t>
      </w:r>
    </w:p>
    <w:p w14:paraId="4B854D4A" w14:textId="77777777" w:rsidR="005135F6" w:rsidRPr="00302C66" w:rsidRDefault="005135F6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51B362DE" w14:textId="51FAF126" w:rsidR="00A5301E" w:rsidRPr="00302C66" w:rsidRDefault="00A5301E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There was biochemical and clinical improvement in 15 patients </w:t>
      </w:r>
      <w:r w:rsidR="00BF155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(75%)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and 5 patients </w:t>
      </w:r>
      <w:r w:rsidR="00BF1553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(25%)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died of MCRPC.</w:t>
      </w:r>
      <w:r w:rsidR="005A15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average duration of follow up was</w:t>
      </w:r>
      <w:bookmarkStart w:id="12" w:name="_Hlk54763602"/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2</w:t>
      </w:r>
      <w:bookmarkEnd w:id="12"/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2.6 ± 14.8 with a range of 6-60 months.</w:t>
      </w:r>
    </w:p>
    <w:p w14:paraId="3597C43B" w14:textId="35ACE9B1" w:rsidR="00374AC6" w:rsidRDefault="00374AC6" w:rsidP="002D1CA3">
      <w:pPr>
        <w:spacing w:after="0"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5363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Discussion:</w:t>
      </w:r>
    </w:p>
    <w:p w14:paraId="458DF1F5" w14:textId="176CB1EC" w:rsidR="00C53639" w:rsidRPr="00C53639" w:rsidRDefault="00C53639" w:rsidP="002D1CA3">
      <w:pPr>
        <w:spacing w:after="0"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536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Prostate cancer is the second most common malignancy and commonest cause of mortality worldwide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{"citationItems":[{"id":"ITEM-1","itemData":{"author":[{"dropping-particle":"","family":"Titilola O Akinremi1*, Chidiebere N Ogo2","given":"Ayodeji O Olutunde1","non-dropping-particle":"","parse-names":false,"suffix":""}],"container-title":"Akinremi et al. Infectious Agents and Cancer 2011, 6(Suppl 2):S8","id":"ITEM-1","issue":"Suppl 2","issued":{"date-parts":[["2011"]]},"page":"S8","title":"Review of prostate cancer research in Nigeria","type":"article-journal","volume":"6"},"uris":["http://www.mendeley.com/documents/?uuid=98d269c5-f5b3-4fc6-aebe-af00a6a5cf2f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2443CD" w:rsidRPr="002443CD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(2)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C536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The mortality is usually to progression to CRPC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{"citationItems":[{"id":"ITEM-1","itemData":{"author":[{"dropping-particle":"","family":"Emmanuel S. Antonarakis MD, Michael A. Carducci MD","given":"Mario A. Eisenberger","non-dropping-particle":"","parse-names":false,"suffix":""}],"chapter-number":"121","container-title":"Campbell -Walsh' s Urology","edition":"11","editor":[{"dropping-particle":"","family":"Wein AJ, Kavoussi LR, Partin AW","given":"Peters CA","non-dropping-particle":"","parse-names":false,"suffix":""}],"id":"ITEM-1","issued":{"date-parts":[["2016"]]},"page":"815-850","publisher":"Elsevier Sunders","publisher-place":"Philadelphia","title":"Treatment of cstrstion resistant prostate cancer","type":"chapter"},"uris":["http://www.mendeley.com/documents/?uuid=f6dd9684-6b6c-4100-a1fb-e44d719fb220"]}],"mendeley":{"formattedCitation":"(4)","plainTextFormattedCitation":"(4)","previouslyFormattedCitation":"(4)"},"properties":{"noteIndex":0},"schema":"https://github.com/citation-style-language/schema/raw/master/csl-citation.json"}</w:instrTex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2443CD" w:rsidRPr="002443CD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(4)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C536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In the western world there are many patients with NMCRPC who benefited most from the new hormonal agents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2443CD" w:rsidRPr="002443CD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C536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In Africa most of our patients have </w:t>
      </w:r>
      <w:proofErr w:type="spellStart"/>
      <w:r w:rsidRPr="00C536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mCRPC</w:t>
      </w:r>
      <w:proofErr w:type="spellEnd"/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2443CD" w:rsidRPr="002443CD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2443C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C536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though many respond to new agents like abiraterone and enzalutamide but are limited by cost and the availability.</w:t>
      </w:r>
    </w:p>
    <w:p w14:paraId="40A51C39" w14:textId="3E6CDDBA" w:rsidR="003E66E4" w:rsidRPr="00302C66" w:rsidRDefault="008513AB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National Comprehensive Cancer Network (NCCN)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{"citationItems":[{"id":"ITEM-1","itemData":{"author":[{"dropping-particle":"al","family":"MohlerJL, Antonarakis ES, Armstrong AJ, D'Amico AV, Davis BJ","given":"et","non-dropping-particle":"","parse-names":false,"suffix":""}],"container-title":"J Natl Compr Canc Netw","id":"ITEM-1","issue":"5","issued":{"date-parts":[["2019"]]},"page":"479-505","title":"Prostate Version 2, 2019, NCCN clinical practice guideline in oncology","type":"article-journal","volume":"17"},"uris":["http://www.mendeley.com/documents/?uuid=7c2f467e-f92a-4056-a24d-fe6bd8192b74"]}],"mendeley":{"formattedCitation":"(11)","plainTextFormattedCitation":"(11)","previouslyFormattedCitation":"(11)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(11)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defined CRPC as prostate cancer that progress clinically, radiographically or biochemically despite castrate level of testosterone (&lt; 50 ng/dl). American Association of Urology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{"citationItems":[{"id":"ITEM-1","itemData":{"author":[{"dropping-particle":"","family":"Lowrance WT, Murd MH, Oh WK, Jarrad DF","given":"Rasnick MJ","non-dropping-particle":"","parse-names":false,"suffix":""}],"container-title":"J Urol","id":"ITEM-1","issue":"6","issued":{"date-parts":[["2018"]]},"page":"1264-1274","title":"Castration Resiatant Prostate Cancer.AUA Guideline Amendment 2018","type":"article-journal","volume":"200"},"uris":["http://www.mendeley.com/documents/?uuid=cdf7ae86-da28-4944-993f-3e7990a53e8a"]}],"mendeley":{"formattedCitation":"(12)","plainTextFormattedCitation":"(12)","previouslyFormattedCitation":"(12)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(12)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defined CRPC as rising PSA despite surgical or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medical castration (serum testosterone &lt; 50ng/dl) with or without radiographic evidence or metastasis or prior docetaxel therapy. Also rising PSA &gt; </w:t>
      </w:r>
      <w:r w:rsidR="00B1532D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2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ng/ml </w:t>
      </w:r>
      <w:r w:rsidR="00B1532D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above nadir (at least 25% rise above nadir)</w:t>
      </w:r>
      <w:r w:rsidR="003E66E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5363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The NCCN and AUA are easily adaptable in our setting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All our patients had evidence of progression well above nadir with castrate level of testosterone. </w:t>
      </w:r>
      <w:r w:rsidR="003E66E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Most of our patients (84%) presented with metastatic disease and 60% has high grade disease as reported by 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="003E66E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previous 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stud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ies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{"citationItems":[{"id":"ITEM-1","itemData":{"author":[{"dropping-particle":"","family":"Abdulwahab A Ajape1, Kazeem O. O. Ibrahim2, John A Fakeye2","given":"Olusegun O Abiola1","non-dropping-particle":"","parse-names":false,"suffix":""}],"container-title":"Annals of African Medicine","id":"ITEM-1","issue":"3","issued":{"date-parts":[["2010"]]},"page":"113-117","title":"An overview of cancer of the prostate diagnosis and management in Nigeria: The experience in a Nigerian tertiary hospital","type":"article-journal","volume":"9"},"uris":["http://www.mendeley.com/documents/?uuid=29ce39c4-0da0-4cf8-8d65-95b77a163329"]}],"mendeley":{"formattedCitation":"(13)","plainTextFormattedCitation":"(13)","previouslyFormattedCitation":"(13)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(13)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6572291A" w14:textId="46BE3BFB" w:rsidR="00906E3C" w:rsidRPr="00302C66" w:rsidRDefault="00906E3C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me</w: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dian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age of </w: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70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years in this study is </w:t>
      </w:r>
      <w:r w:rsidR="006D00B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comparable </w: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similar 70 years reported </w:t>
      </w:r>
      <w:r w:rsidR="0039366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by Bello JO </w: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et al </w: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393666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B26F6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but </w:t>
      </w:r>
      <w:r w:rsidR="00B26F6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mean age of 66.</w:t>
      </w:r>
      <w:r w:rsidR="00B26F6A" w:rsidRPr="00B26F6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26F6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2</w:t>
      </w:r>
      <w:r w:rsidR="00B26F6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years is lower </w: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than </w:t>
      </w:r>
      <w:r w:rsidR="006D00B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67.5 years </w: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 68.4years </w:t>
      </w:r>
      <w:r w:rsidR="006D00B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reported by O</w:t>
      </w:r>
      <w:proofErr w:type="spellStart"/>
      <w:r w:rsidR="006D00B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foha</w:t>
      </w:r>
      <w:proofErr w:type="spellEnd"/>
      <w:r w:rsidR="006D00B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et al </w:t>
      </w:r>
      <w:r w:rsidR="0088524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7855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{"citationItems":[{"id":"ITEM-1","itemData":{"author":[{"dropping-particle":"","family":"Ofoha and Magnus; JAMMR, 31(5): 1-7","given":"2019; Article no.JAMMR.52918","non-dropping-particle":"","parse-names":false,"suffix":""}],"container-title":"Ofoha CG, Magnus FE","id":"ITEM-1","issue":"5","issued":{"date-parts":[["2019"]]},"page":"1-7; Article no.JAMMR.52918","title":"Presentation, Characteristics and Co-morbidities of Men with Prostate Cancer in Nigeria","type":"article-journal","volume":"31"},"uris":["http://www.mendeley.com/documents/?uuid=5897fa6b-5f0b-4568-871e-3fb5f9ff275c"]}],"mendeley":{"formattedCitation":"(14)","plainTextFormattedCitation":"(14)","previouslyFormattedCitation":"(14)"},"properties":{"noteIndex":0},"schema":"https://github.com/citation-style-language/schema/raw/master/csl-citation.json"}</w:instrText>
      </w:r>
      <w:r w:rsidR="0088524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885244" w:rsidRPr="00885244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(14)</w:t>
      </w:r>
      <w:r w:rsidR="0088524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88524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C0C9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and</w:t>
      </w:r>
      <w:r w:rsidR="003936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C0C9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Ajape</w:t>
      </w:r>
      <w:proofErr w:type="spellEnd"/>
      <w:r w:rsidR="008C0C9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AA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et al 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{"citationItems":[{"id":"ITEM-1","itemData":{"author":[{"dropping-particle":"","family":"Abdulwahab A Ajape1, Kazeem O. O. Ibrahim2, John A Fakeye2","given":"Olusegun O Abiola1","non-dropping-particle":"","parse-names":false,"suffix":""}],"container-title":"Annals of African Medicine","id":"ITEM-1","issue":"3","issued":{"date-parts":[["2010"]]},"page":"113-117","title":"An overview of cancer of the prostate diagnosis and management in Nigeria: The experience in a Nigerian tertiary hospital","type":"article-journal","volume":"9"},"uris":["http://www.mendeley.com/documents/?uuid=29ce39c4-0da0-4cf8-8d65-95b77a163329"]}],"mendeley":{"formattedCitation":"(13)","plainTextFormattedCitation":"(13)","previouslyFormattedCitation":"(13)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(13)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8C0C9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respectively.</w:t>
      </w:r>
    </w:p>
    <w:p w14:paraId="7BCD33A1" w14:textId="7DEB01C7" w:rsidR="006D00B4" w:rsidRPr="00302C66" w:rsidRDefault="006D00B4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Our patients present with features of advanced disease, uremia and urinary tract infection which common in African population.</w:t>
      </w:r>
      <w:r w:rsidR="0082191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In the study by Bello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JO</w:t>
      </w:r>
      <w:r w:rsidR="0082191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et al 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82191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symptoms presented by the patients were LUTS (83.3%), bothersome pains (79. </w:t>
      </w:r>
      <w:bookmarkStart w:id="13" w:name="_Hlk60224695"/>
      <w:r w:rsidR="0082191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2</w:t>
      </w:r>
      <w:bookmarkEnd w:id="13"/>
      <w:r w:rsidR="0082191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%), </w:t>
      </w:r>
      <w:proofErr w:type="spellStart"/>
      <w:r w:rsidR="0082191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anaemia</w:t>
      </w:r>
      <w:proofErr w:type="spellEnd"/>
      <w:r w:rsidR="0082191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(45.8%), cord compression (33.3%), pathological fracture (4. 2%).</w:t>
      </w:r>
      <w:r w:rsidR="00B7082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The 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rate of </w:t>
      </w:r>
      <w:r w:rsidR="00B7082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LUTS 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in their study </w:t>
      </w:r>
      <w:r w:rsidR="00B7082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was lower that the finding in the present study (100%). But pain (60%), </w:t>
      </w:r>
      <w:proofErr w:type="spellStart"/>
      <w:r w:rsidR="00B7082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anaemia</w:t>
      </w:r>
      <w:proofErr w:type="spellEnd"/>
      <w:r w:rsidR="00B7082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(10%) were lower in the present study. We did not record any cord compression neither the authors 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of the previous study reported </w:t>
      </w:r>
      <w:r w:rsidR="00B7082A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on UTI and uremia.</w:t>
      </w:r>
    </w:p>
    <w:p w14:paraId="2084C645" w14:textId="179DD141" w:rsidR="006D00B4" w:rsidRPr="00302C66" w:rsidRDefault="00325BB3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mean pre-treatment PSA of patients in this study was 44.06 ng/ ml</w:t>
      </w:r>
      <w:r w:rsidR="008751F7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which is higher than 42 ng/ml reported by Bello JO et al.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8751F7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83291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There </w:t>
      </w:r>
      <w:r w:rsidR="005C3FF8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were 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60% </w:t>
      </w:r>
      <w:r w:rsidR="005C3FF8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high grade </w:t>
      </w:r>
      <w:proofErr w:type="spellStart"/>
      <w:r w:rsidR="005C3FF8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tumour</w:t>
      </w:r>
      <w:proofErr w:type="spellEnd"/>
      <w:r w:rsidR="005C3FF8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[(</w:t>
      </w:r>
      <w:r w:rsidR="005C3FF8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≥ Gleason  score of 7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(4+3)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]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C3FF8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in the present study 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which </w:t>
      </w:r>
      <w:r w:rsidR="005319E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was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lower than</w:t>
      </w:r>
      <w:r w:rsidR="005C3FF8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72.9% reported by Bello et al.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5C3FF8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183291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urgical and medical castration w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ere</w:t>
      </w:r>
      <w:r w:rsidR="00183291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done for 80% and 20% of our patients 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which is comparable</w:t>
      </w:r>
      <w:r w:rsidR="00183291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to the finding 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of</w:t>
      </w:r>
      <w:r w:rsidR="00183291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83.3% and 16.7% respectively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by the previous study</w:t>
      </w:r>
      <w:r w:rsidR="00183291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DC52A0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There was high PSA nadir of 20.6 ng/ml as compared to 5.7 ng/ml reported by Bello JO et al.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DC52A0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High PSA nadir, short PSADT (8.7months), time to nadir (7.9 months) and time interval for castration resistance (16.9months) are associated </w:t>
      </w:r>
      <w:r w:rsidR="00DC52A0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with early progression to metastasis and mortality which 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was</w:t>
      </w:r>
      <w:r w:rsidR="00DC52A0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not prominent in this study.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This might be affected by the variable </w:t>
      </w:r>
      <w:proofErr w:type="spellStart"/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tumour</w:t>
      </w:r>
      <w:proofErr w:type="spellEnd"/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behavior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level patient’s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retention in the study which is low in our setting</w:t>
      </w:r>
      <w:r w:rsidR="009278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4FEC0CE6" w14:textId="6672A000" w:rsidR="00060DC0" w:rsidRPr="00302C66" w:rsidRDefault="00060DC0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Patients who 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id not reach undetectable nadir PSA are at risk of progression to castration resistance within 4 months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{"citationItems":[{"id":"ITEM-1","itemData":{"author":[{"dropping-particle":"","family":"B.Nelson, Joel, Kavoussi LR, Partin AW","given":"Peters CA","non-dropping-particle":"","parse-names":false,"suffix":""}],"chapter-number":"120","container-title":"Campbell -Walsh' s Urology","edition":"11","editor":[{"dropping-particle":"","family":"Wein AJ","given":"Kavoussi","non-dropping-particle":"","parse-names":false,"suffix":""}],"id":"ITEM-1","issued":{"date-parts":[["2016"]]},"page":"7961-7980","publisher":"Elsevier Sunders","publisher-place":"Philadelphia","title":"Hormonal therapy for prostate cancer","type":"chapter"},"uris":["http://www.mendeley.com/documents/?uuid=aa79493d-42e6-4f7d-944e-6e843d9c78e7"]}],"mendeley":{"formattedCitation":"(3)","plainTextFormattedCitation":"(3)","previouslyFormattedCitation":"(3)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(3)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None of our patients reached undetectable nadir. The mean nadir was 20.63 ± 25.85</w:t>
      </w:r>
      <w:r w:rsidR="005319E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 yet 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average progression in our study was 8 months. This might be due to different </w:t>
      </w:r>
      <w:proofErr w:type="spellStart"/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tumour</w:t>
      </w:r>
      <w:proofErr w:type="spellEnd"/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71A9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behavior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in western world and Africa. But prostate is known to be more </w:t>
      </w:r>
      <w:r w:rsidR="00271A9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aggressive</w:t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in blacks more especially African Americans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{"citationItems":[{"id":"ITEM-1","itemData":{"author":[{"dropping-particle":"","family":"Titilola O Akinremi1*, Chidiebere N Ogo2","given":"Ayodeji O Olutunde1","non-dropping-particle":"","parse-names":false,"suffix":""}],"container-title":"Akinremi et al. Infectious Agents and Cancer 2011, 6(Suppl 2):S8","id":"ITEM-1","issue":"Suppl 2","issued":{"date-parts":[["2011"]]},"page":"S8","title":"Review of prostate cancer research in Nigeria","type":"article-journal","volume":"6"},"uris":["http://www.mendeley.com/documents/?uuid=98d269c5-f5b3-4fc6-aebe-af00a6a5cf2f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(2)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3027B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40FA1FE3" w14:textId="045DF5A3" w:rsidR="00060DC0" w:rsidRPr="00302C66" w:rsidRDefault="00271A91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</w:t>
      </w:r>
      <w:r w:rsidR="00060DC0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n a study in Asia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{"citationItems":[{"id":"ITEM-1","itemData":{"author":[{"dropping-particle":"","family":"B.Nelson, Joel, Kavoussi LR, Partin AW","given":"Peters CA","non-dropping-particle":"","parse-names":false,"suffix":""}],"chapter-number":"120","container-title":"Campbell -Walsh' s Urology","edition":"11","editor":[{"dropping-particle":"","family":"Wein AJ","given":"Kavoussi","non-dropping-particle":"","parse-names":false,"suffix":""}],"id":"ITEM-1","issued":{"date-parts":[["2016"]]},"page":"7961-7980","publisher":"Elsevier Sunders","publisher-place":"Philadelphia","title":"Hormonal therapy for prostate cancer","type":"chapter"},"uris":["http://www.mendeley.com/documents/?uuid=aa79493d-42e6-4f7d-944e-6e843d9c78e7"]}],"mendeley":{"formattedCitation":"(3)","plainTextFormattedCitation":"(3)","previouslyFormattedCitation":"(3)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(3)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060DC0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PSA nadir of 1.1 ng/ml at 6 months is the most sensitive predictor of progression at 24 months. The median survival was 75 months for patients achieving PSA nadir 0.2 ng/ml</w:t>
      </w:r>
      <w:r w:rsidR="00C36D5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as compared to 13 months for nadir of 4 ng/ml which is </w:t>
      </w:r>
      <w:r w:rsidR="00302C66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lower</w:t>
      </w:r>
      <w:r w:rsidR="00C36D52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than the nadir of 20.63 ng/ml recorded in this study.</w:t>
      </w:r>
    </w:p>
    <w:p w14:paraId="66C8B544" w14:textId="0FA9E0F8" w:rsidR="00984D79" w:rsidRDefault="008751F7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All the patients received MAB, Ketoconazole, and 4 received abiraterone which is contrary to the finding by Bello JO 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et al 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where 20 patients received docetaxel and one patient each had abiraterone and enzalutamide. None of our patient received enzalutamide and docetaxel.</w:t>
      </w:r>
      <w:r w:rsidR="008C4FF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Many of our patients (90%) received analgesia and alendronate (60%) </w:t>
      </w:r>
      <w:r w:rsidR="00271A91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which</w:t>
      </w:r>
      <w:r w:rsidR="008C4FF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is high</w:t>
      </w:r>
      <w:r w:rsidR="00271A9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er</w:t>
      </w:r>
      <w:r w:rsidR="008C4FF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than what was reported by </w:t>
      </w:r>
      <w:r w:rsidR="005319E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="008C4FF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similar study, where less than 25% received those agents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FA74C9" w:rsidRPr="00FA74C9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FA74C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8C4FF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Radiotherapy was given to one </w:t>
      </w:r>
      <w:r w:rsidR="005D78E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patient</w:t>
      </w:r>
      <w:r w:rsidR="008C4FF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 none was reported by </w:t>
      </w:r>
      <w:r w:rsidR="00984D7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="008C4FF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previous studies. </w:t>
      </w:r>
    </w:p>
    <w:p w14:paraId="75B316F0" w14:textId="15077A06" w:rsidR="008751F7" w:rsidRDefault="00785546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Use of</w:t>
      </w:r>
      <w:r w:rsidR="00984D7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bone targeting agents such bisphosphonates, </w:t>
      </w:r>
      <w:proofErr w:type="spellStart"/>
      <w:r w:rsidR="00984D7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danusumab</w:t>
      </w:r>
      <w:proofErr w:type="spellEnd"/>
      <w:r w:rsidR="00984D7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radiopharmaceuticals and </w:t>
      </w:r>
      <w:r w:rsidR="00984D7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pain management</w:t>
      </w:r>
      <w:r w:rsidR="00984D7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984D7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984D7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984D79" w:rsidRPr="00B17561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984D7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are integral part of bone metastatic disease</w:t>
      </w:r>
      <w:r w:rsidR="00984D7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Alendronate, various pain management using opioids, non-steroidal anti-inflammatory drugs and radiotherapy have been use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in our patients. We have no experience in the use of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danosumab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radiopharmaceticals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as they are not available in our environment. </w:t>
      </w:r>
    </w:p>
    <w:p w14:paraId="1369DE49" w14:textId="77777777" w:rsidR="00984D79" w:rsidRDefault="00984D79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1FF681FE" w14:textId="0B04F799" w:rsidR="008F29A7" w:rsidRPr="00302C66" w:rsidRDefault="008F29A7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 recent study suggests increase survival and decrease</w:t>
      </w:r>
      <w:r w:rsidR="002C423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bone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C423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metastasis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for early docetaxel therapy before commencement of second generation of antiandrogens such as abiraterone and enzalutamide</w: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{"citationItems":[{"id":"ITEM-1","itemData":{"author":[{"dropping-particle":"","family":"Jack R Andrews, Mohamed E Ahmed, R Jeffrey Kames, Eugene Kwon","given":"Alan H Bryce","non-dropping-particle":"","parse-names":false,"suffix":""}],"container-title":"The Prostate","id":"ITEM-1","issue":"5","issued":{"date-parts":[["2020"]]},"page":"399- 406","title":"Systemic treatment for metastatic castrate resistant prostate cancer: Does seqence matter?","type":"article-journal","volume":"80"},"uris":["http://www.mendeley.com/documents/?uuid=6d465614-5853-4c08-9b01-fc704bc80d6a"]}],"mendeley":{"formattedCitation":"(7)","plainTextFormattedCitation":"(7)","previouslyFormattedCitation":"(7)"},"properties":{"noteIndex":0},"schema":"https://github.com/citation-style-language/schema/raw/master/csl-citation.json"}</w:instrTex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804C5C" w:rsidRPr="00804C5C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(7)</w: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We have not used docetaxel for any of our patients</w:t>
      </w:r>
    </w:p>
    <w:p w14:paraId="1F6E2BE8" w14:textId="5DEA5C95" w:rsidR="00271A91" w:rsidRDefault="00BF1553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The mortality rate of our patients was 25% at an average follow of 22 months</w:t>
      </w:r>
      <w:r w:rsidR="005319E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is lower than 58.3% mortality reported by Bello JO et al </w: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804C5C" w:rsidRPr="00804C5C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at an average follow up of 8 months.</w:t>
      </w:r>
      <w:r w:rsidR="008C4FF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Our patients average </w:t>
      </w:r>
      <w:r w:rsidR="005D78E9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follows</w:t>
      </w:r>
      <w:r w:rsidR="008C4FF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up of 22 suggest better survival than 11month median overall survival reported by the previous study.</w:t>
      </w:r>
      <w:r w:rsidR="003E66E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This is lower than average survival in western world of 27 months</w: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88524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{"citationItems":[{"id":"ITEM-1","itemData":{"author":[{"dropping-particle":"","family":"Ganesh K Bakshi1, SK Raghunath2, Sudhir Rawal3, Ganesh Gopalakrishnan4, Sanjai K Addla5, Priya J6","given":"Suyog C","non-dropping-particle":"","parse-names":false,"suffix":""},{"dropping-particle":"","family":"Al","given":"Et","non-dropping-particle":"","parse-names":false,"suffix":""}],"id":"ITEM-1","issued":{"date-parts":[["0"]]},"title":"Medical Management of Castration Resistant Prostate Cancer (CRPC): Beyond Chemotherapy","type":"article-journal"},"uris":["http://www.mendeley.com/documents/?uuid=69989d15-a346-40d5-8479-8665f383310d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804C5C" w:rsidRPr="00804C5C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(1)</w: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>ADDIN CSL_CITATION {"citationItems":[{"id":"ITEM-1","itemData":{"author":[{"dropping-particle":"","family":"Bello","given":"jibril O","non-dropping-particle":"","parse-names":false,"suffix":""}],"container-title":"ecancer","id":"ITEM-1","issued":{"date-parts":[["2018"]]},"page":"797","title":"Natural history of castration-resistant prostate cancer in sub-Saharan","type":"article-journal","volume":"12"},"uris":["http://www.mendeley.com/documents/?uuid=329c6e15-44ee-40d5-861a-74bc021a7d76"]}],"mendeley":{"formattedCitation":"(8)","plainTextFormattedCitation":"(8)","previouslyFormattedCitation":"(8)"},"properties":{"noteIndex":0},"schema":"https://github.com/citation-style-language/schema/raw/master/csl-citation.json"}</w:instrTex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="00804C5C" w:rsidRPr="00804C5C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4"/>
          <w:szCs w:val="24"/>
        </w:rPr>
        <w:t>(8)</w:t>
      </w:r>
      <w:r w:rsidR="00804C5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  <w:r w:rsidR="003E66E4"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7CC7C942" w14:textId="77777777" w:rsidR="00F70E09" w:rsidRPr="005319ED" w:rsidRDefault="00E13003" w:rsidP="002D1CA3">
      <w:pPr>
        <w:spacing w:after="20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9E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Conclusion:</w:t>
      </w:r>
      <w:r w:rsidR="00F70E09" w:rsidRPr="00531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204E12" w14:textId="5FB91DA6" w:rsidR="00F70E09" w:rsidRPr="00F70E09" w:rsidRDefault="00F70E09" w:rsidP="002D1CA3">
      <w:pPr>
        <w:spacing w:after="20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302C66">
        <w:rPr>
          <w:rFonts w:ascii="Times New Roman" w:hAnsi="Times New Roman" w:cs="Times New Roman"/>
          <w:bCs/>
          <w:sz w:val="24"/>
          <w:szCs w:val="24"/>
        </w:rPr>
        <w:t>astration resistant prostate cancer</w:t>
      </w:r>
      <w:r>
        <w:rPr>
          <w:rFonts w:ascii="Times New Roman" w:hAnsi="Times New Roman" w:cs="Times New Roman"/>
          <w:bCs/>
          <w:sz w:val="24"/>
          <w:szCs w:val="24"/>
        </w:rPr>
        <w:t xml:space="preserve"> present predominantly as metastatic disease in our environment. There was good </w:t>
      </w:r>
      <w:r w:rsidRPr="00302C66">
        <w:rPr>
          <w:rFonts w:ascii="Times New Roman" w:hAnsi="Times New Roman" w:cs="Times New Roman"/>
          <w:bCs/>
          <w:sz w:val="24"/>
          <w:szCs w:val="24"/>
        </w:rPr>
        <w:t>respon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302C66">
        <w:rPr>
          <w:rFonts w:ascii="Times New Roman" w:hAnsi="Times New Roman" w:cs="Times New Roman"/>
          <w:bCs/>
          <w:sz w:val="24"/>
          <w:szCs w:val="24"/>
        </w:rPr>
        <w:t xml:space="preserve"> initially to maximal androgen blockade and medical adrenalectomy. Abiraterone is very effective in subsequent resistance but it’s use is limited by the cost. </w:t>
      </w:r>
      <w:r>
        <w:rPr>
          <w:rFonts w:ascii="Times New Roman" w:hAnsi="Times New Roman" w:cs="Times New Roman"/>
          <w:bCs/>
          <w:sz w:val="24"/>
          <w:szCs w:val="24"/>
        </w:rPr>
        <w:t xml:space="preserve">Surgical castration may be effective in patients that progress on medical castration. </w:t>
      </w:r>
      <w:r w:rsidRPr="00302C66">
        <w:rPr>
          <w:rFonts w:ascii="Times New Roman" w:hAnsi="Times New Roman" w:cs="Times New Roman"/>
          <w:bCs/>
          <w:sz w:val="24"/>
          <w:szCs w:val="24"/>
        </w:rPr>
        <w:t xml:space="preserve">There </w:t>
      </w:r>
      <w:r>
        <w:rPr>
          <w:rFonts w:ascii="Times New Roman" w:hAnsi="Times New Roman" w:cs="Times New Roman"/>
          <w:bCs/>
          <w:sz w:val="24"/>
          <w:szCs w:val="24"/>
        </w:rPr>
        <w:t>was</w:t>
      </w:r>
      <w:r w:rsidRPr="00302C66">
        <w:rPr>
          <w:rFonts w:ascii="Times New Roman" w:hAnsi="Times New Roman" w:cs="Times New Roman"/>
          <w:bCs/>
          <w:sz w:val="24"/>
          <w:szCs w:val="24"/>
        </w:rPr>
        <w:t xml:space="preserve"> high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pre-ADT PSA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302C66">
        <w:rPr>
          <w:rFonts w:ascii="Times New Roman" w:hAnsi="Times New Roman" w:cs="Times New Roman"/>
          <w:bCs/>
          <w:sz w:val="24"/>
          <w:szCs w:val="24"/>
        </w:rPr>
        <w:t xml:space="preserve"> PSA nadir, short PSADT, </w:t>
      </w:r>
      <w:r>
        <w:rPr>
          <w:rFonts w:ascii="Times New Roman" w:hAnsi="Times New Roman" w:cs="Times New Roman"/>
          <w:bCs/>
          <w:sz w:val="24"/>
          <w:szCs w:val="24"/>
        </w:rPr>
        <w:t xml:space="preserve">short duration for development of </w:t>
      </w:r>
      <w:r w:rsidRPr="00302C66">
        <w:rPr>
          <w:rFonts w:ascii="Times New Roman" w:hAnsi="Times New Roman" w:cs="Times New Roman"/>
          <w:bCs/>
          <w:sz w:val="24"/>
          <w:szCs w:val="24"/>
        </w:rPr>
        <w:t xml:space="preserve">CRPC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erratic </w:t>
      </w:r>
      <w:r w:rsidRPr="00302C66">
        <w:rPr>
          <w:rFonts w:ascii="Times New Roman" w:hAnsi="Times New Roman" w:cs="Times New Roman"/>
          <w:bCs/>
          <w:sz w:val="24"/>
          <w:szCs w:val="24"/>
        </w:rPr>
        <w:t>follow up.</w:t>
      </w:r>
      <w:r w:rsidRPr="00F70E0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The average duration for development of CRPC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was </w:t>
      </w:r>
      <w:r w:rsidRPr="00302C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17months</w:t>
      </w:r>
    </w:p>
    <w:p w14:paraId="32213847" w14:textId="7A1E4917" w:rsidR="00785546" w:rsidRPr="005319ED" w:rsidRDefault="00785546" w:rsidP="002D1CA3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319E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References </w:t>
      </w:r>
    </w:p>
    <w:p w14:paraId="79FA3104" w14:textId="370AB1E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begin" w:fldLock="1"/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separate"/>
      </w: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Ganesh K Bakshi1, SK Raghunath2, Sudhir Rawal3, Ganesh Gopalakrishnan4, Sanjai K Addla5, Priya J6 SC, Al E. Medical Management of Castration Resistant Prostate Cancer (CRPC): Beyond Chemotherapy. </w:t>
      </w:r>
    </w:p>
    <w:p w14:paraId="0E375221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Titilola O Akinremi1*, Chidiebere N Ogo2 AOO. Review of prostate cancer research in Nigeria. Akinremi al Infect Agents Cancer 2011, 6(Suppl 2)S8. 2011;6(Suppl 2):S8. </w:t>
      </w:r>
    </w:p>
    <w:p w14:paraId="7B567036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B.Nelson, Joel, Kavoussi LR, Partin AW PC. Hormonal therapy for prostate cancer. In: Wein AJ K, editor. Campbell -Walsh’ s Urology. 11th ed. Philadelphia: Elsevier Sunders; 2016. p. 7961–80. </w:t>
      </w:r>
    </w:p>
    <w:p w14:paraId="3E1BB89C" w14:textId="76E6E2E0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>Emmanuel S. Antonarakis MD, Michael A. Carducci MD MAE. Treatment of cstrstion resistant prostate cancer. In: Wein AJ, Kavoussi LR, Partin AW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 PC, editor. Campbell -Walsh’ s Urology. 11th ed. Philadelphia: Elsevier Sunders; 2016. p. 815–50. </w:t>
      </w:r>
    </w:p>
    <w:p w14:paraId="48860F37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Ahmad M LL. Adapatation and Clonal Selection Models ofCastration Resistant Prostate Cancer: Current Perspective. Int J Urol. 2013;20(4):362–71. </w:t>
      </w:r>
    </w:p>
    <w:p w14:paraId="5A0282F3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Handy, C.E., Antonarakis E. Sequencing Treatment for Castration-Resistant Prostate Cancer. Curr Treat Options inOncology. 2016;17(64). </w:t>
      </w:r>
    </w:p>
    <w:p w14:paraId="2D66998B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Jack R Andrews, Mohamed E Ahmed, R Jeffrey Kames, Eugene Kwon AHB. Systemic treatment for metastatic castrate resistant prostate cancer: Does seqence matter? Prostate. 2020;80(5):399–406. </w:t>
      </w:r>
    </w:p>
    <w:p w14:paraId="541D273C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Bello  jibril O. Natural history of castration-resistant prostate cancer in sub-Saharan. ecancer. 2018;12:797. </w:t>
      </w:r>
    </w:p>
    <w:p w14:paraId="7D771C68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Handy CE AE. Sipuleucel-T for the treatment of prostate cancer, novel insight and future direction. Futur Oncol. 2018;14(10):907–17. </w:t>
      </w:r>
    </w:p>
    <w:p w14:paraId="5D89CC66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Smith MR, Saad F, Chowdhury S, Oudard S, Hadaschik BA  et al. Apalutamidetreatment and metastatic freesurvival in prostate cancer. N Eng J Med. 2018;378(15):1808–1418. </w:t>
      </w:r>
    </w:p>
    <w:p w14:paraId="0A734065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11.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MohlerJL, Antonarakis ES, Armstrong AJ, D’Amico AV, Davis BJ  et al. Prostate Version 2, 2019, NCCN clinical practice guideline in oncology. J Natl Compr Canc Netw. 2019;17(5):479–505. </w:t>
      </w:r>
    </w:p>
    <w:p w14:paraId="027A2648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Lowrance WT, Murd MH, Oh WK, Jarrad DF RM. Castration Resiatant Prostate Cancer.AUA Guideline Amendment 2018. J Urol. 2018;200(6):1264–74. </w:t>
      </w:r>
    </w:p>
    <w:p w14:paraId="231B457D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Abdulwahab A Ajape1, Kazeem O. O. Ibrahim2, John A Fakeye2 OOA. An overview of cancer of the prostate diagnosis and management in Nigeria: The experience in a Nigerian tertiary hospital. Ann Afr Med. 2010;9(3):113–7. </w:t>
      </w:r>
    </w:p>
    <w:p w14:paraId="6845A221" w14:textId="77777777" w:rsidR="00785546" w:rsidRPr="00785546" w:rsidRDefault="00785546" w:rsidP="002D1CA3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</w:rPr>
      </w:pPr>
      <w:r w:rsidRPr="00785546">
        <w:rPr>
          <w:rFonts w:ascii="Times New Roman" w:hAnsi="Times New Roman" w:cs="Times New Roman"/>
          <w:noProof/>
          <w:sz w:val="24"/>
          <w:szCs w:val="24"/>
        </w:rPr>
        <w:t xml:space="preserve">14. </w:t>
      </w:r>
      <w:r w:rsidRPr="00785546">
        <w:rPr>
          <w:rFonts w:ascii="Times New Roman" w:hAnsi="Times New Roman" w:cs="Times New Roman"/>
          <w:noProof/>
          <w:sz w:val="24"/>
          <w:szCs w:val="24"/>
        </w:rPr>
        <w:tab/>
        <w:t xml:space="preserve">Ofoha and Magnus; JAMMR, 31(5): 1-7 2019; Article no.JAMMR.52918. Presentation, Characteristics and Co-morbidities of Men with Prostate Cancer in Nigeria. Ofoha CG, Magnus FE. 2019;31(5):1–7; Article no.JAMMR.52918. </w:t>
      </w:r>
    </w:p>
    <w:p w14:paraId="637CA2E3" w14:textId="59373C21" w:rsidR="00E13003" w:rsidRPr="00302C66" w:rsidRDefault="00785546" w:rsidP="002D1CA3">
      <w:pPr>
        <w:spacing w:line="48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fldChar w:fldCharType="end"/>
      </w:r>
    </w:p>
    <w:sectPr w:rsidR="00E13003" w:rsidRPr="00302C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730C" w14:textId="77777777" w:rsidR="00814CAA" w:rsidRDefault="00814CAA" w:rsidP="00FD051C">
      <w:pPr>
        <w:spacing w:after="0" w:line="240" w:lineRule="auto"/>
      </w:pPr>
      <w:r>
        <w:separator/>
      </w:r>
    </w:p>
  </w:endnote>
  <w:endnote w:type="continuationSeparator" w:id="0">
    <w:p w14:paraId="649317A5" w14:textId="77777777" w:rsidR="00814CAA" w:rsidRDefault="00814CAA" w:rsidP="00FD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361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C4C8B" w14:textId="2ABBF01E" w:rsidR="00FD051C" w:rsidRDefault="00FD0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F52FB" w14:textId="77777777" w:rsidR="00FD051C" w:rsidRDefault="00FD0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B3BA" w14:textId="77777777" w:rsidR="00814CAA" w:rsidRDefault="00814CAA" w:rsidP="00FD051C">
      <w:pPr>
        <w:spacing w:after="0" w:line="240" w:lineRule="auto"/>
      </w:pPr>
      <w:r>
        <w:separator/>
      </w:r>
    </w:p>
  </w:footnote>
  <w:footnote w:type="continuationSeparator" w:id="0">
    <w:p w14:paraId="5B111B10" w14:textId="77777777" w:rsidR="00814CAA" w:rsidRDefault="00814CAA" w:rsidP="00FD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6A44"/>
    <w:multiLevelType w:val="hybridMultilevel"/>
    <w:tmpl w:val="3BCAFEB0"/>
    <w:lvl w:ilvl="0" w:tplc="A94AFCD6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719"/>
    <w:multiLevelType w:val="hybridMultilevel"/>
    <w:tmpl w:val="7D7A4BBE"/>
    <w:lvl w:ilvl="0" w:tplc="112AF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2B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65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0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2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6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E9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48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8C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E040DC"/>
    <w:multiLevelType w:val="hybridMultilevel"/>
    <w:tmpl w:val="D6C6271E"/>
    <w:lvl w:ilvl="0" w:tplc="04B25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A7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E3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23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69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7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6B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6F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A3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C1"/>
    <w:rsid w:val="000226C4"/>
    <w:rsid w:val="00060059"/>
    <w:rsid w:val="00060DC0"/>
    <w:rsid w:val="00074412"/>
    <w:rsid w:val="000770AE"/>
    <w:rsid w:val="000A045A"/>
    <w:rsid w:val="000C5953"/>
    <w:rsid w:val="000F4D46"/>
    <w:rsid w:val="00103822"/>
    <w:rsid w:val="001341A8"/>
    <w:rsid w:val="00155222"/>
    <w:rsid w:val="00183291"/>
    <w:rsid w:val="0019654F"/>
    <w:rsid w:val="001B6471"/>
    <w:rsid w:val="002443CD"/>
    <w:rsid w:val="002472CA"/>
    <w:rsid w:val="00271A91"/>
    <w:rsid w:val="002918F1"/>
    <w:rsid w:val="002C4230"/>
    <w:rsid w:val="002D1CA3"/>
    <w:rsid w:val="003027B9"/>
    <w:rsid w:val="00302C66"/>
    <w:rsid w:val="00325BB3"/>
    <w:rsid w:val="003531C0"/>
    <w:rsid w:val="00374AC6"/>
    <w:rsid w:val="00393666"/>
    <w:rsid w:val="003C2817"/>
    <w:rsid w:val="003C2F34"/>
    <w:rsid w:val="003E66E4"/>
    <w:rsid w:val="003F6575"/>
    <w:rsid w:val="00410414"/>
    <w:rsid w:val="004404ED"/>
    <w:rsid w:val="004520C1"/>
    <w:rsid w:val="00464FFA"/>
    <w:rsid w:val="004A1FEE"/>
    <w:rsid w:val="005135F6"/>
    <w:rsid w:val="00524A93"/>
    <w:rsid w:val="00524CAF"/>
    <w:rsid w:val="005319ED"/>
    <w:rsid w:val="00531D7C"/>
    <w:rsid w:val="005331DF"/>
    <w:rsid w:val="005359B4"/>
    <w:rsid w:val="005440AC"/>
    <w:rsid w:val="0056295D"/>
    <w:rsid w:val="00565574"/>
    <w:rsid w:val="005A158C"/>
    <w:rsid w:val="005C3FF8"/>
    <w:rsid w:val="005D78E9"/>
    <w:rsid w:val="0060715D"/>
    <w:rsid w:val="00652D20"/>
    <w:rsid w:val="00680EC3"/>
    <w:rsid w:val="006920CE"/>
    <w:rsid w:val="006C363A"/>
    <w:rsid w:val="006D00B4"/>
    <w:rsid w:val="00770F34"/>
    <w:rsid w:val="007841EA"/>
    <w:rsid w:val="00785546"/>
    <w:rsid w:val="007A58BB"/>
    <w:rsid w:val="007B7B01"/>
    <w:rsid w:val="007C2518"/>
    <w:rsid w:val="00804C5C"/>
    <w:rsid w:val="00811F35"/>
    <w:rsid w:val="00814CAA"/>
    <w:rsid w:val="008156EF"/>
    <w:rsid w:val="00821916"/>
    <w:rsid w:val="00840552"/>
    <w:rsid w:val="008513AB"/>
    <w:rsid w:val="008751F7"/>
    <w:rsid w:val="00885244"/>
    <w:rsid w:val="008C0C94"/>
    <w:rsid w:val="008C4FF4"/>
    <w:rsid w:val="008F29A7"/>
    <w:rsid w:val="00906E3C"/>
    <w:rsid w:val="00915FD4"/>
    <w:rsid w:val="009278B4"/>
    <w:rsid w:val="00945903"/>
    <w:rsid w:val="00980924"/>
    <w:rsid w:val="00984D79"/>
    <w:rsid w:val="009A1BFC"/>
    <w:rsid w:val="009A3980"/>
    <w:rsid w:val="009B07C4"/>
    <w:rsid w:val="00A333E4"/>
    <w:rsid w:val="00A41A0D"/>
    <w:rsid w:val="00A43AFE"/>
    <w:rsid w:val="00A5301E"/>
    <w:rsid w:val="00A57E78"/>
    <w:rsid w:val="00A874C5"/>
    <w:rsid w:val="00AA3C84"/>
    <w:rsid w:val="00AE6D69"/>
    <w:rsid w:val="00B00A0A"/>
    <w:rsid w:val="00B1532D"/>
    <w:rsid w:val="00B17561"/>
    <w:rsid w:val="00B26F6A"/>
    <w:rsid w:val="00B41AF6"/>
    <w:rsid w:val="00B7082A"/>
    <w:rsid w:val="00B801E5"/>
    <w:rsid w:val="00B84509"/>
    <w:rsid w:val="00BF1553"/>
    <w:rsid w:val="00C03428"/>
    <w:rsid w:val="00C30FA7"/>
    <w:rsid w:val="00C36D52"/>
    <w:rsid w:val="00C53639"/>
    <w:rsid w:val="00C94957"/>
    <w:rsid w:val="00CB42AE"/>
    <w:rsid w:val="00D7270F"/>
    <w:rsid w:val="00D87CF2"/>
    <w:rsid w:val="00DC52A0"/>
    <w:rsid w:val="00DC58B9"/>
    <w:rsid w:val="00E029C9"/>
    <w:rsid w:val="00E13003"/>
    <w:rsid w:val="00E164C9"/>
    <w:rsid w:val="00E26C4F"/>
    <w:rsid w:val="00E76AF5"/>
    <w:rsid w:val="00E87E6F"/>
    <w:rsid w:val="00EB6F8A"/>
    <w:rsid w:val="00F153CD"/>
    <w:rsid w:val="00F3620B"/>
    <w:rsid w:val="00F70E09"/>
    <w:rsid w:val="00FA74C9"/>
    <w:rsid w:val="00FD03B4"/>
    <w:rsid w:val="00FD051C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1BD8"/>
  <w15:chartTrackingRefBased/>
  <w15:docId w15:val="{3F56F231-55E9-49F2-B40A-961C73BA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C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1C"/>
  </w:style>
  <w:style w:type="paragraph" w:styleId="Footer">
    <w:name w:val="footer"/>
    <w:basedOn w:val="Normal"/>
    <w:link w:val="FooterChar"/>
    <w:uiPriority w:val="99"/>
    <w:unhideWhenUsed/>
    <w:rsid w:val="00FD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4102-376C-4289-AB3A-912D3555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10210</Words>
  <Characters>58198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Sadiq_M</dc:creator>
  <cp:keywords/>
  <dc:description/>
  <cp:lastModifiedBy>Sadiq_M</cp:lastModifiedBy>
  <cp:revision>4</cp:revision>
  <cp:lastPrinted>2020-11-16T19:47:00Z</cp:lastPrinted>
  <dcterms:created xsi:type="dcterms:W3CDTF">2020-12-30T19:48:00Z</dcterms:created>
  <dcterms:modified xsi:type="dcterms:W3CDTF">2020-12-30T20:45:00Z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d5244ffc-a8fd-3fe2-a859-14c8cc20c04d</vt:lpwstr>
  </property>
  <property fmtid="{D5CDD505-2E9C-101B-9397-08002B2CF9AE}" pid="24" name="Mendeley Citation Style_1">
    <vt:lpwstr>http://www.zotero.org/styles/vancouver</vt:lpwstr>
  </property>
</Properties>
</file>