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D7F49" w14:textId="77777777" w:rsidR="00A851A1" w:rsidRDefault="002B70EE" w:rsidP="00A851A1">
      <w:pPr>
        <w:spacing w:line="360" w:lineRule="auto"/>
        <w:rPr>
          <w:b/>
          <w:bCs/>
          <w:iCs/>
          <w:sz w:val="22"/>
          <w:szCs w:val="22"/>
          <w:shd w:val="clear" w:color="auto" w:fill="FFFFFF"/>
          <w:lang w:val="en-US" w:eastAsia="en-US"/>
        </w:rPr>
      </w:pPr>
      <w:r w:rsidRPr="00E67146">
        <w:rPr>
          <w:b/>
          <w:sz w:val="22"/>
          <w:szCs w:val="22"/>
          <w:lang w:val="en-US" w:eastAsia="en-US"/>
        </w:rPr>
        <w:t>Title:</w:t>
      </w:r>
      <w:r w:rsidRPr="00E67146">
        <w:rPr>
          <w:sz w:val="22"/>
          <w:szCs w:val="22"/>
          <w:lang w:val="en-US" w:eastAsia="en-US"/>
        </w:rPr>
        <w:t xml:space="preserve"> </w:t>
      </w:r>
      <w:r w:rsidR="00620893" w:rsidRPr="00E67146">
        <w:rPr>
          <w:sz w:val="22"/>
          <w:szCs w:val="22"/>
          <w:lang w:val="en-US" w:eastAsia="en-US"/>
        </w:rPr>
        <w:t xml:space="preserve">Are Hematological </w:t>
      </w:r>
      <w:r w:rsidR="009F289A" w:rsidRPr="00E67146">
        <w:rPr>
          <w:sz w:val="22"/>
          <w:szCs w:val="22"/>
          <w:lang w:val="en-US" w:eastAsia="en-US"/>
        </w:rPr>
        <w:t>Parameters Satisfactory Method for Predicting Mortality in t</w:t>
      </w:r>
      <w:r w:rsidR="00620893" w:rsidRPr="00E67146">
        <w:rPr>
          <w:sz w:val="22"/>
          <w:szCs w:val="22"/>
          <w:lang w:val="en-US" w:eastAsia="en-US"/>
        </w:rPr>
        <w:t>he Stanford Type A Aortic Dissection?</w:t>
      </w:r>
      <w:r w:rsidR="00A851A1" w:rsidRPr="00A851A1">
        <w:rPr>
          <w:b/>
          <w:bCs/>
          <w:iCs/>
          <w:sz w:val="22"/>
          <w:szCs w:val="22"/>
          <w:shd w:val="clear" w:color="auto" w:fill="FFFFFF"/>
          <w:lang w:val="en-US" w:eastAsia="en-US"/>
        </w:rPr>
        <w:t xml:space="preserve"> </w:t>
      </w:r>
    </w:p>
    <w:p w14:paraId="1FE8F0E2" w14:textId="77777777" w:rsidR="00A851A1" w:rsidRPr="009A6032" w:rsidRDefault="00A851A1" w:rsidP="00A851A1">
      <w:pPr>
        <w:spacing w:line="360" w:lineRule="auto"/>
        <w:rPr>
          <w:sz w:val="22"/>
          <w:szCs w:val="22"/>
          <w:lang w:val="en-US" w:eastAsia="en-US"/>
        </w:rPr>
      </w:pPr>
      <w:r w:rsidRPr="009A6032">
        <w:rPr>
          <w:b/>
          <w:bCs/>
          <w:iCs/>
          <w:sz w:val="22"/>
          <w:szCs w:val="22"/>
          <w:shd w:val="clear" w:color="auto" w:fill="FFFFFF"/>
          <w:lang w:val="en-US" w:eastAsia="en-US"/>
        </w:rPr>
        <w:t>Short Title</w:t>
      </w:r>
      <w:r w:rsidRPr="009A6032">
        <w:rPr>
          <w:b/>
          <w:sz w:val="22"/>
          <w:szCs w:val="22"/>
          <w:shd w:val="clear" w:color="auto" w:fill="FFFFFF"/>
          <w:lang w:val="en-US" w:eastAsia="en-US"/>
        </w:rPr>
        <w:t>:</w:t>
      </w:r>
      <w:r w:rsidRPr="009A6032">
        <w:rPr>
          <w:sz w:val="22"/>
          <w:szCs w:val="22"/>
          <w:shd w:val="clear" w:color="auto" w:fill="FFFFFF"/>
          <w:lang w:val="en-US" w:eastAsia="en-US"/>
        </w:rPr>
        <w:t xml:space="preserve"> Hematological Markers in </w:t>
      </w:r>
      <w:r w:rsidRPr="009A6032">
        <w:rPr>
          <w:sz w:val="22"/>
          <w:szCs w:val="22"/>
          <w:lang w:val="en-US" w:eastAsia="en-US"/>
        </w:rPr>
        <w:t xml:space="preserve">Type A Aortic Dissection </w:t>
      </w:r>
    </w:p>
    <w:p w14:paraId="596A5899" w14:textId="77777777" w:rsidR="00067A89" w:rsidRDefault="00067A89" w:rsidP="00067A89">
      <w:pPr>
        <w:rPr>
          <w:b/>
          <w:bCs/>
          <w:sz w:val="22"/>
          <w:szCs w:val="22"/>
          <w:lang w:val="en-US" w:eastAsia="en-US"/>
        </w:rPr>
      </w:pPr>
    </w:p>
    <w:p w14:paraId="71394D20" w14:textId="6F2AD640" w:rsidR="00067A89" w:rsidRPr="00067A89" w:rsidRDefault="00067A89" w:rsidP="00067A89">
      <w:pPr>
        <w:rPr>
          <w:b/>
          <w:bCs/>
          <w:sz w:val="22"/>
          <w:szCs w:val="22"/>
          <w:lang w:val="en-US" w:eastAsia="en-US"/>
        </w:rPr>
      </w:pPr>
      <w:r w:rsidRPr="00067A89">
        <w:rPr>
          <w:b/>
          <w:bCs/>
          <w:sz w:val="22"/>
          <w:szCs w:val="22"/>
          <w:lang w:val="en-US" w:eastAsia="en-US"/>
        </w:rPr>
        <w:t>ABSTRACT</w:t>
      </w:r>
    </w:p>
    <w:p w14:paraId="3E50BB46" w14:textId="77777777" w:rsidR="00067A89" w:rsidRPr="00067A89" w:rsidRDefault="00067A89" w:rsidP="00067A89">
      <w:pPr>
        <w:rPr>
          <w:sz w:val="22"/>
          <w:szCs w:val="22"/>
          <w:lang w:val="en-US" w:eastAsia="en-US"/>
        </w:rPr>
      </w:pPr>
      <w:r w:rsidRPr="00067A89">
        <w:rPr>
          <w:b/>
          <w:bCs/>
          <w:sz w:val="22"/>
          <w:szCs w:val="22"/>
          <w:lang w:val="en-US" w:eastAsia="en-US"/>
        </w:rPr>
        <w:t>Objective:</w:t>
      </w:r>
      <w:r w:rsidRPr="00067A89">
        <w:rPr>
          <w:sz w:val="22"/>
          <w:szCs w:val="22"/>
          <w:lang w:val="en-US" w:eastAsia="en-US"/>
        </w:rPr>
        <w:t xml:space="preserve"> Acute Type A aortic dissection (TAAD) has a high mortality. Our aim was to predict early mortality in patients undergoing TAAD surgery and to investigate possible risk factors.</w:t>
      </w:r>
    </w:p>
    <w:p w14:paraId="3A2D4B37" w14:textId="77777777" w:rsidR="00067A89" w:rsidRPr="00067A89" w:rsidRDefault="00067A89" w:rsidP="00067A89">
      <w:pPr>
        <w:rPr>
          <w:sz w:val="22"/>
          <w:szCs w:val="22"/>
          <w:lang w:val="en-US" w:eastAsia="en-US"/>
        </w:rPr>
      </w:pPr>
      <w:r w:rsidRPr="00067A89">
        <w:rPr>
          <w:sz w:val="22"/>
          <w:szCs w:val="22"/>
          <w:lang w:val="en-US" w:eastAsia="en-US"/>
        </w:rPr>
        <w:t xml:space="preserve"> </w:t>
      </w:r>
      <w:r w:rsidRPr="00067A89">
        <w:rPr>
          <w:b/>
          <w:bCs/>
          <w:sz w:val="22"/>
          <w:szCs w:val="22"/>
          <w:lang w:val="en-US" w:eastAsia="en-US"/>
        </w:rPr>
        <w:t>Methods:</w:t>
      </w:r>
      <w:r w:rsidRPr="00067A89">
        <w:rPr>
          <w:sz w:val="22"/>
          <w:szCs w:val="22"/>
          <w:lang w:val="en-US" w:eastAsia="en-US"/>
        </w:rPr>
        <w:t xml:space="preserve"> 82 consecutive patients who were admitted to the emergency service and operated on were retrospectively analyzed. Risk factors for in-hospital death were investigated to develop a predictive model.</w:t>
      </w:r>
    </w:p>
    <w:p w14:paraId="76AB4E33" w14:textId="77777777" w:rsidR="00067A89" w:rsidRPr="00067A89" w:rsidRDefault="00067A89" w:rsidP="00067A89">
      <w:pPr>
        <w:rPr>
          <w:sz w:val="22"/>
          <w:szCs w:val="22"/>
          <w:lang w:val="en-US" w:eastAsia="en-US"/>
        </w:rPr>
      </w:pPr>
      <w:r w:rsidRPr="00067A89">
        <w:rPr>
          <w:sz w:val="22"/>
          <w:szCs w:val="22"/>
          <w:lang w:val="en-US" w:eastAsia="en-US"/>
        </w:rPr>
        <w:t xml:space="preserve"> </w:t>
      </w:r>
      <w:r w:rsidRPr="00067A89">
        <w:rPr>
          <w:b/>
          <w:bCs/>
          <w:sz w:val="22"/>
          <w:szCs w:val="22"/>
          <w:lang w:val="en-US" w:eastAsia="en-US"/>
        </w:rPr>
        <w:t>Results:</w:t>
      </w:r>
      <w:r w:rsidRPr="00067A89">
        <w:rPr>
          <w:sz w:val="22"/>
          <w:szCs w:val="22"/>
          <w:lang w:val="en-US" w:eastAsia="en-US"/>
        </w:rPr>
        <w:t xml:space="preserve"> There was no difference between patients in terms of demographic data of the patients. In the mortality group, only preoperative creatinine levels were found to be higher (p &lt;0.05). Factors affecting mortality were found as total circulatory arrest (TCA) and cross-clamp (X-clamp) times when intraoperative data were examined (p &lt;0.05). ROC analysis was performed to determine the power to predict mortality and to determine the cut-off point. In ROC analysis to predict mortality, X-Clamp time&gt; 71 minutes, 68.2% sensitivity and 66.1% specificity, TCA&gt; 44.5 minutes, 72.7% sensitivity and 73.2% specificity were found. In the mortality group, these values were found to be significantly higher than those who were discharged.</w:t>
      </w:r>
    </w:p>
    <w:p w14:paraId="24E3F6D6" w14:textId="77777777" w:rsidR="00067A89" w:rsidRPr="00067A89" w:rsidRDefault="00067A89" w:rsidP="00067A89">
      <w:pPr>
        <w:rPr>
          <w:sz w:val="22"/>
          <w:szCs w:val="22"/>
          <w:lang w:val="en-US" w:eastAsia="en-US"/>
        </w:rPr>
      </w:pPr>
      <w:r w:rsidRPr="00067A89">
        <w:rPr>
          <w:b/>
          <w:bCs/>
          <w:sz w:val="22"/>
          <w:szCs w:val="22"/>
          <w:lang w:val="en-US" w:eastAsia="en-US"/>
        </w:rPr>
        <w:t xml:space="preserve"> Conclusion:</w:t>
      </w:r>
      <w:r w:rsidRPr="00067A89">
        <w:rPr>
          <w:sz w:val="22"/>
          <w:szCs w:val="22"/>
          <w:lang w:val="en-US" w:eastAsia="en-US"/>
        </w:rPr>
        <w:t xml:space="preserve"> Preoperative variables and intraoperative data should be added to models to estimate the mortality of patients undergoing surgical treatment in TAAD.</w:t>
      </w:r>
    </w:p>
    <w:p w14:paraId="466DCE04" w14:textId="58813067" w:rsidR="006A1BD1" w:rsidRPr="00E67146" w:rsidRDefault="00067A89" w:rsidP="00067A89">
      <w:pPr>
        <w:rPr>
          <w:sz w:val="22"/>
          <w:szCs w:val="22"/>
          <w:lang w:val="en-US" w:eastAsia="en-US"/>
        </w:rPr>
      </w:pPr>
      <w:r w:rsidRPr="00067A89">
        <w:rPr>
          <w:b/>
          <w:bCs/>
          <w:sz w:val="22"/>
          <w:szCs w:val="22"/>
          <w:lang w:val="en-US" w:eastAsia="en-US"/>
        </w:rPr>
        <w:t>Keywords:</w:t>
      </w:r>
      <w:r w:rsidRPr="00067A89">
        <w:rPr>
          <w:sz w:val="22"/>
          <w:szCs w:val="22"/>
          <w:lang w:val="en-US" w:eastAsia="en-US"/>
        </w:rPr>
        <w:t xml:space="preserve"> acute; aortic dissection; biomarker; mortality</w:t>
      </w:r>
    </w:p>
    <w:p w14:paraId="7D8546F7" w14:textId="77777777" w:rsidR="004758DB" w:rsidRPr="00E67146" w:rsidRDefault="004758DB" w:rsidP="00E67146">
      <w:pPr>
        <w:rPr>
          <w:b/>
          <w:sz w:val="22"/>
          <w:szCs w:val="22"/>
          <w:lang w:val="en-US"/>
        </w:rPr>
      </w:pPr>
      <w:r w:rsidRPr="00E67146">
        <w:rPr>
          <w:b/>
          <w:sz w:val="22"/>
          <w:szCs w:val="22"/>
          <w:lang w:val="en-US"/>
        </w:rPr>
        <w:t>Introduction</w:t>
      </w:r>
    </w:p>
    <w:p w14:paraId="7D0077EC" w14:textId="77777777" w:rsidR="00C1646D" w:rsidRPr="00E67146" w:rsidRDefault="00D344A0" w:rsidP="007D0777">
      <w:pPr>
        <w:ind w:firstLine="720"/>
        <w:rPr>
          <w:sz w:val="22"/>
          <w:szCs w:val="22"/>
          <w:lang w:val="en-US"/>
        </w:rPr>
      </w:pPr>
      <w:r w:rsidRPr="00E67146">
        <w:rPr>
          <w:sz w:val="22"/>
          <w:szCs w:val="22"/>
          <w:lang w:val="en-US"/>
        </w:rPr>
        <w:t>Acute aortic dissection (AAD) is a life-threatening disease that requires rapid diagnosis and is seen in 0.3% of patients who present to the emergency department with chest pain</w:t>
      </w:r>
      <w:r w:rsidR="009E4ACC" w:rsidRPr="00E67146">
        <w:rPr>
          <w:sz w:val="22"/>
          <w:szCs w:val="22"/>
          <w:lang w:val="en-US"/>
        </w:rPr>
        <w:t>.</w:t>
      </w:r>
      <w:r w:rsidR="00F1639F" w:rsidRPr="00E67146">
        <w:rPr>
          <w:rStyle w:val="DipnotBavurusu"/>
          <w:sz w:val="22"/>
          <w:szCs w:val="22"/>
          <w:lang w:val="en-US"/>
        </w:rPr>
        <w:fldChar w:fldCharType="begin" w:fldLock="1"/>
      </w:r>
      <w:r w:rsidR="003D3313" w:rsidRPr="00E67146">
        <w:rPr>
          <w:sz w:val="22"/>
          <w:szCs w:val="22"/>
          <w:lang w:val="en-US"/>
        </w:rPr>
        <w:instrText>ADDIN CSL_CITATION {"citationItems":[{"id":"ITEM-1","itemData":{"DOI":"10.1111/acem.13356","ISSN":"15532712","PMID":"29218798","abstract":"Background: Acute aortic dissection (AAD) is a rare condition with a high mortality that is often missed. The objective of our study was to assess the diagnostic accuracy of clinical and laboratory findings for AAD, in confirmed cases of AAD and in a low-risk control group. Methods: This was a historical matched case–control study: participants were adults &gt; 18 years old presenting to two tertiary care emergency departments (EDs) or one regional cardiac referral center. Cases were patients with new ED or in-hospital diagnosis of nontraumatic AAD confirmed by computed tomography or echocardiography. Controls were patients with a triage diagnosis of truncal pain (&lt;14 days) and an absence of a clear diagnosis on basic investigation. Cases and controls were matched in a 1:4 ratio by sex and age. A sample size of 165 cases and 660 controls was calculated based on 80% power and confidence interval of 95% to detect an odds ratio of greater than 2. Results: Data were collected from 2002 to 2014 yielding 194 cases of AAD and 776 controls (mean ± SD age = 65 ± 14.1 years; 66.7% male). Absence of abrupt-onset pain (sensitivity = 95.9%, negative likelihood ratio = 0.07 [0.03–0.14]) can help rule out AAD. Presence of tearing/ripping pain (specificity = 99.7%, positive likelihood ratio [LR+] = 42.1 [9.9–177.5]), aortic aneurysm (specificity = 97.8%, LR+ = 6.35 [3.54–11.42]), hypotension (specificity = 98.7%, LR+ = 17.2 [8.8–33.6]), pulse deficit (specificity = 99.3, LR+ = 31.1 [11.2–86.6]), neurologic deficits (specificity = 96.9%, LR+ = 5.26 [2.9–9.3]), and a new murmur (specificity = 97.8%, LR+ = 9.4 [5.5–16.2]) can help rule in the diagnosis of AAD. Conclusions: Patients with one or more high-risk feature should be considered high risk, whereas patients with no high-risk and multiple low-risk features are at low risk for AAD.","author":[{"dropping-particle":"","family":"Ohle","given":"Robert","non-dropping-particle":"","parse-names":false,"suffix":""},{"dropping-particle":"","family":"Um","given":"Justin","non-dropping-particle":"","parse-names":false,"suffix":""},{"dropping-particle":"","family":"Anjum","given":"Omar","non-dropping-particle":"","parse-names":false,"suffix":""},{"dropping-particle":"","family":"Bleeker","given":"Helena","non-dropping-particle":"","parse-names":false,"suffix":""},{"dropping-particle":"","family":"Luo","given":"Lindy","non-dropping-particle":"","parse-names":false,"suffix":""},{"dropping-particle":"","family":"Wells","given":"George","non-dropping-particle":"","parse-names":false,"suffix":""},{"dropping-particle":"","family":"Perry","given":"Jeffrey J.","non-dropping-particle":"","parse-names":false,"suffix":""}],"container-title":"Academic Emergency Medicine","id":"ITEM-1","issue":"4","issued":{"date-parts":[["2018","4","1"]]},"page":"378-387","publisher":"Blackwell Publishing Inc.","title":"High Risk Clinical Features for Acute Aortic Dissection: A Case–Control Study","type":"article-journal","volume":"25"},"uris":["http://www.mendeley.com/documents/?uuid=1e705313-eac5-3f9c-b271-8c5a83d71c95"]},{"id":"ITEM-2","itemData":{"DOI":"10.12659/AJCR.917179","ISSN":"19415923","PMID":"31786581","abstract":"Objective: Challenging differential diagnosis Background: Type A aortic dissection (AD) is a rare disease, with a high mortality rate. Its most common symptom is thoracic pain, which is nevertheless absent in about 6% of cases. Neurologic complications are extremely rare and include ischemic stroke and ischemic neuropathy (which are the most common as presenting symptoms), spinal cord ischemia, and hypoxic encephalopathy. These rare neurological presentations can often be missed at initial clinical examination. Case Report: We report 2 cases of patients presenting with seemingly mild neurological symptoms. However, diagnostic tests revealed acute type A AD, and further steps were taken. Conclusions: Although it is a rare cause of transient stroke or peripheral nerve ischemia, AD should be quickly recognized as a potential cause of new-onset neurological manifestations.","author":[{"dropping-particle":"","family":"Manea","given":"Maria Mirabela","non-dropping-particle":"","parse-names":false,"suffix":""},{"dropping-particle":"","family":"Dragos","given":"Dorin","non-dropping-particle":"","parse-names":false,"suffix":""},{"dropping-particle":"","family":"Antonescu","given":"Florian","non-dropping-particle":"","parse-names":false,"suffix":""},{"dropping-particle":"","family":"Sirbu","given":"Adrian George","non-dropping-particle":"","parse-names":false,"suffix":""},{"dropping-particle":"","family":"Tiron","given":"Andreea Taisia","non-dropping-particle":"","parse-names":false,"suffix":""},{"dropping-particle":"","family":"Dobri","given":"Ana Maria","non-dropping-particle":"","parse-names":false,"suffix":""},{"dropping-particle":"","family":"Tuta","given":"Sorin","non-dropping-particle":"","parse-names":false,"suffix":""}],"container-title":"American Journal of Case Reports","id":"ITEM-2","issued":{"date-parts":[["2019"]]},"page":"1788-1792","publisher":"International Scientific Information, Inc.","title":"Aortic dissection: An easily missed diagnosis when pain doesn’t hold the stage","type":"article-journal","volume":"20"},"uris":["http://www.mendeley.com/documents/?uuid=1da07911-d46c-39f5-ad94-b1723658e14f"]}],"mendeley":{"formattedCitation":"&lt;sup&gt;[1,2]&lt;/sup&gt;","plainTextFormattedCitation":"[1,2]","previouslyFormattedCitation":"&lt;sup&gt;[1,2]&lt;/sup&gt;"},"properties":{"noteIndex":0},"schema":"https://github.com/citation-style-language/schema/raw/master/csl-citation.json"}</w:instrText>
      </w:r>
      <w:r w:rsidR="00F1639F" w:rsidRPr="00E67146">
        <w:rPr>
          <w:rStyle w:val="DipnotBavurusu"/>
          <w:sz w:val="22"/>
          <w:szCs w:val="22"/>
          <w:lang w:val="en-US"/>
        </w:rPr>
        <w:fldChar w:fldCharType="separate"/>
      </w:r>
      <w:r w:rsidR="00496F1D" w:rsidRPr="00E67146">
        <w:rPr>
          <w:bCs/>
          <w:noProof/>
          <w:sz w:val="22"/>
          <w:szCs w:val="22"/>
          <w:vertAlign w:val="superscript"/>
          <w:lang w:val="tr-TR"/>
        </w:rPr>
        <w:t>[1,2]</w:t>
      </w:r>
      <w:r w:rsidR="00F1639F" w:rsidRPr="00E67146">
        <w:rPr>
          <w:rStyle w:val="DipnotBavurusu"/>
          <w:sz w:val="22"/>
          <w:szCs w:val="22"/>
          <w:lang w:val="en-US"/>
        </w:rPr>
        <w:fldChar w:fldCharType="end"/>
      </w:r>
      <w:r w:rsidR="006F0001" w:rsidRPr="00E67146">
        <w:rPr>
          <w:sz w:val="22"/>
          <w:szCs w:val="22"/>
          <w:lang w:val="en-US"/>
        </w:rPr>
        <w:t xml:space="preserve"> As a result of the tear between the intima and media layers of the aorta, restricted or progressing along the entire aorta, it may cause symptoms of all organ systems</w:t>
      </w:r>
      <w:r w:rsidR="009E4ACC" w:rsidRPr="00E67146">
        <w:rPr>
          <w:sz w:val="22"/>
          <w:szCs w:val="22"/>
          <w:lang w:val="en-US"/>
        </w:rPr>
        <w:t>.</w:t>
      </w:r>
      <w:r w:rsidR="00F1639F" w:rsidRPr="00E67146">
        <w:rPr>
          <w:rStyle w:val="DipnotBavurusu"/>
          <w:sz w:val="22"/>
          <w:szCs w:val="22"/>
          <w:lang w:val="en-US"/>
        </w:rPr>
        <w:fldChar w:fldCharType="begin" w:fldLock="1"/>
      </w:r>
      <w:r w:rsidR="003D3313" w:rsidRPr="00E67146">
        <w:rPr>
          <w:sz w:val="22"/>
          <w:szCs w:val="22"/>
          <w:lang w:val="en-US"/>
        </w:rPr>
        <w:instrText>ADDIN CSL_CITATION {"citationItems":[{"id":"ITEM-1","itemData":{"DOI":"10.1001/jama.2016.10026","ISSN":"15383598","abstract":"Importance: Acute aortic syndrome (AAS), a potentially fatal pathologic process within the aortic wall, should be suspected in patients presenting with severe thoracic pain and hypertension. AAS, including aortic dissection (approximately 90% of cases) and intramural hematoma, may be complicated by poor perfusion, aneurysm, or uncontrollable pain and hypertension. AAS is uncommon (approximately 3.5-6.0 per 100,000 patient-years) but rapid diagnosis is imperative as an emergency surgical procedure is frequently necessary.Objective: To systematically review the current evidence on diagnosis and treatment of AAS.Evidence Review: Searches of MEDLINE, EMBASE, and the Cochrane Register of Controlled Trials for articles on diagnosis and treatment of AAS from June 1994 to January 29, 2016, were performed. Only clinical trials and prospective observational studies of 10 or more patients were included. Eighty-two studies (2 randomized clinical trials and 80 observational) describing 57,311 patients were reviewed.Findings: Chest or back pain was the most commonly reported presenting symptom of AAS (61.6%-84.8%). Patients were typically aged 60 to 70 years, male (50%-81%), and had hypertension (45%-100%). Sensitivities of computerized tomography and magnetic resonance imaging for diagnosis of AAS were 100% and 95% to 100%, respectively. Transesophageal echocardiography was 86% to 100% sensitive, whereas D-dimer was 51.7% to 100% sensitive and 32.8% to 89.2% specific among 6 studies (n = 876). An immediate open surgical procedure is needed for dissection of the ascending aorta, given the high mortality (26%-58%) and proximity to the aortic valve and great vessels (with potential for dissection complications such as tamponade). An RCT comparing endovascular surgical procedure to medical management for uncomplicated AAS in the descending aorta (n = 61) revealed no dissection-related deaths in either group. Endovascular surgical procedure was better than medical treatment (97% vs 43%, P &lt; .001) for the primary end point of \"favorable aortic remodeling\" (false lumen thrombosis and no aortic dilation or rupture). The remaining evidence on therapies was observational, introducing significant selection bias.Conclusions and Relevance: Because of the high mortality rate, AAS should be considered and diagnosed promptly in patients presenting with acute chest or back pain and high blood pressure. Computerized tomography, magnetic resonance imaging, and transesophageal echocard…","author":[{"dropping-particle":"","family":"Mussa","given":"Firas F.","non-dropping-particle":"","parse-names":false,"suffix":""},{"dropping-particle":"","family":"Horton","given":"Joshua D.","non-dropping-particle":"","parse-names":false,"suffix":""},{"dropping-particle":"","family":"Moridzadeh","given":"Rameen","non-dropping-particle":"","parse-names":false,"suffix":""},{"dropping-particle":"","family":"Nicholson","given":"Joseph","non-dropping-particle":"","parse-names":false,"suffix":""},{"dropping-particle":"","family":"Trimarchi","given":"Santi","non-dropping-particle":"","parse-names":false,"suffix":""},{"dropping-particle":"","family":"Eagle","given":"Kim A.","non-dropping-particle":"","parse-names":false,"suffix":""},{"dropping-particle":"","family":"FF","given":"Mussa","non-dropping-particle":"","parse-names":false,"suffix":""},{"dropping-particle":"","family":"JD","given":"Horton","non-dropping-particle":"","parse-names":false,"suffix":""},{"dropping-particle":"","family":"Moridzadeh","given":"Rameen","non-dropping-particle":"","parse-names":false,"suffix":""},{"dropping-particle":"","family":"Nicholson","given":"Joseph","non-dropping-particle":"","parse-names":false,"suffix":""},{"dropping-particle":"","family":"Trimarchi","given":"Santi","non-dropping-particle":"","parse-names":false,"suffix":""},{"dropping-particle":"","family":"KA","given":"Eagle","non-dropping-particle":"","parse-names":false,"suffix":""}],"container-title":"JAMA - Journal of the American Medical Association","id":"ITEM-1","issue":"7","issued":{"date-parts":[["2016"]]},"page":"754-763","title":"Acute aortic dissection and intramural hematoma a systematic review","type":"article-journal","volume":"316"},"uris":["http://www.mendeley.com/documents/?uuid=61585bf7-d8c4-497b-ad63-d02624c94541"]},{"id":"ITEM-2","itemData":{"DOI":"10.21037/jtd.2016.12.03","ISSN":"2072-1439","PMID":"28149596","author":[{"dropping-particle":"","family":"Minegishi","given":"Shintaro","non-dropping-particle":"","parse-names":false,"suffix":""},{"dropping-particle":"","family":"Watanabe","given":"Hiroki","non-dropping-particle":"","parse-names":false,"suffix":""},{"dropping-particle":"","family":"Horita","given":"Nobuyuki","non-dropping-particle":"","parse-names":false,"suffix":""},{"dropping-particle":"","family":"Shibata","given":"Yuji","non-dropping-particle":"","parse-names":false,"suffix":""},{"dropping-particle":"","family":"Kaneko","given":"Takeshi","non-dropping-particle":"","parse-names":false,"suffix":""},{"dropping-particle":"","family":"Ishigami","given":"Tomoaki","non-dropping-particle":"","parse-names":false,"suffix":""}],"container-title":"Journal of thoracic disease","id":"ITEM-2","issue":"12","issued":{"date-parts":[["2016","12"]]},"page":"E1617-E1619","publisher":"AME Publishing Company","title":"The current evidence on diagnosis and treatment of acute aortic syndrome.","type":"article-journal","volume":"8"},"uris":["http://www.mendeley.com/documents/?uuid=29073dd9-ba1f-3c51-9869-14e5132d2b47"]}],"mendeley":{"formattedCitation":"&lt;sup&gt;[3,4]&lt;/sup&gt;","plainTextFormattedCitation":"[3,4]","previouslyFormattedCitation":"&lt;sup&gt;[3,4]&lt;/sup&gt;"},"properties":{"noteIndex":0},"schema":"https://github.com/citation-style-language/schema/raw/master/csl-citation.json"}</w:instrText>
      </w:r>
      <w:r w:rsidR="00F1639F" w:rsidRPr="00E67146">
        <w:rPr>
          <w:rStyle w:val="DipnotBavurusu"/>
          <w:sz w:val="22"/>
          <w:szCs w:val="22"/>
          <w:lang w:val="en-US"/>
        </w:rPr>
        <w:fldChar w:fldCharType="separate"/>
      </w:r>
      <w:r w:rsidR="00496F1D" w:rsidRPr="00E67146">
        <w:rPr>
          <w:bCs/>
          <w:noProof/>
          <w:sz w:val="22"/>
          <w:szCs w:val="22"/>
          <w:vertAlign w:val="superscript"/>
          <w:lang w:val="tr-TR"/>
        </w:rPr>
        <w:t>[3,4]</w:t>
      </w:r>
      <w:r w:rsidR="00F1639F" w:rsidRPr="00E67146">
        <w:rPr>
          <w:rStyle w:val="DipnotBavurusu"/>
          <w:sz w:val="22"/>
          <w:szCs w:val="22"/>
          <w:lang w:val="en-US"/>
        </w:rPr>
        <w:fldChar w:fldCharType="end"/>
      </w:r>
      <w:r w:rsidR="0022628E" w:rsidRPr="00E67146">
        <w:rPr>
          <w:sz w:val="22"/>
          <w:szCs w:val="22"/>
          <w:lang w:val="en-US"/>
        </w:rPr>
        <w:t xml:space="preserve"> </w:t>
      </w:r>
      <w:r w:rsidR="006F0001" w:rsidRPr="00E67146">
        <w:rPr>
          <w:sz w:val="22"/>
          <w:szCs w:val="22"/>
          <w:lang w:val="en-US"/>
        </w:rPr>
        <w:t xml:space="preserve">Dissections starting from </w:t>
      </w:r>
      <w:r w:rsidR="006F0001" w:rsidRPr="00E67146">
        <w:rPr>
          <w:sz w:val="22"/>
          <w:szCs w:val="22"/>
          <w:lang w:val="en-US"/>
        </w:rPr>
        <w:lastRenderedPageBreak/>
        <w:t>the ascendi</w:t>
      </w:r>
      <w:r w:rsidR="00A73EAA" w:rsidRPr="00E67146">
        <w:rPr>
          <w:sz w:val="22"/>
          <w:szCs w:val="22"/>
          <w:lang w:val="en-US"/>
        </w:rPr>
        <w:t xml:space="preserve">ng aorta are classified as Type </w:t>
      </w:r>
      <w:r w:rsidR="00A378FE" w:rsidRPr="00E67146">
        <w:rPr>
          <w:sz w:val="22"/>
          <w:szCs w:val="22"/>
          <w:lang w:val="en-US"/>
        </w:rPr>
        <w:t>A, and</w:t>
      </w:r>
      <w:r w:rsidR="006F0001" w:rsidRPr="00E67146">
        <w:rPr>
          <w:sz w:val="22"/>
          <w:szCs w:val="22"/>
          <w:lang w:val="en-US"/>
        </w:rPr>
        <w:t xml:space="preserve"> dissections starting from the distal of the left subclavia</w:t>
      </w:r>
      <w:r w:rsidR="00A73EAA" w:rsidRPr="00E67146">
        <w:rPr>
          <w:sz w:val="22"/>
          <w:szCs w:val="22"/>
          <w:lang w:val="en-US"/>
        </w:rPr>
        <w:t>n artery are classified as Type B.</w:t>
      </w:r>
      <w:r w:rsidR="009235E3" w:rsidRPr="00E67146">
        <w:rPr>
          <w:sz w:val="22"/>
          <w:szCs w:val="22"/>
        </w:rPr>
        <w:t xml:space="preserve"> </w:t>
      </w:r>
      <w:r w:rsidR="009235E3" w:rsidRPr="00E67146">
        <w:rPr>
          <w:sz w:val="22"/>
          <w:szCs w:val="22"/>
          <w:lang w:val="en-US"/>
        </w:rPr>
        <w:t>The current clinical procedure is the reconstruction of Type A AAD (TAAD) with emergency surgical intervention</w:t>
      </w:r>
      <w:r w:rsidR="0022628E" w:rsidRPr="00E67146">
        <w:rPr>
          <w:sz w:val="22"/>
          <w:szCs w:val="22"/>
          <w:lang w:val="en-US"/>
        </w:rPr>
        <w:t>.</w:t>
      </w:r>
      <w:r w:rsidR="003D3313" w:rsidRPr="00E67146">
        <w:rPr>
          <w:sz w:val="22"/>
          <w:szCs w:val="22"/>
          <w:lang w:val="en-US"/>
        </w:rPr>
        <w:fldChar w:fldCharType="begin" w:fldLock="1"/>
      </w:r>
      <w:r w:rsidR="003D3313" w:rsidRPr="00E67146">
        <w:rPr>
          <w:sz w:val="22"/>
          <w:szCs w:val="22"/>
          <w:lang w:val="en-US"/>
        </w:rPr>
        <w:instrText>ADDIN CSL_CITATION {"citationItems":[{"id":"ITEM-1","itemData":{"DOI":"10.21037/cdt.2018.03.02","ISSN":"22233660","abstract":"Acute aortic syndrome (AAS) and emergencies are relatively uncommon but are considered as life threatening, potentially fatal conditions. Different forms of aortic emergencies/AAS are often clinically indiscernible. Prompt and accurate diagnosis of these entities significantly influences prognosis and guides therapy. We aim to elucidate the pertinent role that radiology plays in the management of acute aortic diseases, with contrast-enhanced computed tomography angiography (CTA) being the most rapid and robust imaging technique.","author":[{"dropping-particle":"","family":"Baliyan","given":"Vinit","non-dropping-particle":"","parse-names":false,"suffix":""},{"dropping-particle":"","family":"Parakh","given":"Anushri","non-dropping-particle":"","parse-names":false,"suffix":""},{"dropping-particle":"","family":"Prabhakar","given":"Anand M.","non-dropping-particle":"","parse-names":false,"suffix":""},{"dropping-particle":"","family":"Hedgire","given":"Sandeep","non-dropping-particle":"","parse-names":false,"suffix":""}],"container-title":"Cardiovascular Diagnosis and Therapy","id":"ITEM-1","issued":{"date-parts":[["2018","4","1"]]},"page":"S82-S96","publisher":"AME Publishing Company","title":"Acute aortic syndromes and aortic emergencies","type":"article","volume":"8"},"uris":["http://www.mendeley.com/documents/?uuid=f4c100d6-ce51-3805-937e-0f56bab8e71d"]}],"mendeley":{"formattedCitation":"&lt;sup&gt;[5]&lt;/sup&gt;","plainTextFormattedCitation":"[5]","previouslyFormattedCitation":"&lt;sup&gt;[5]&lt;/sup&gt;"},"properties":{"noteIndex":0},"schema":"https://github.com/citation-style-language/schema/raw/master/csl-citation.json"}</w:instrText>
      </w:r>
      <w:r w:rsidR="003D3313" w:rsidRPr="00E67146">
        <w:rPr>
          <w:sz w:val="22"/>
          <w:szCs w:val="22"/>
          <w:lang w:val="en-US"/>
        </w:rPr>
        <w:fldChar w:fldCharType="separate"/>
      </w:r>
      <w:r w:rsidR="003D3313" w:rsidRPr="00E67146">
        <w:rPr>
          <w:noProof/>
          <w:sz w:val="22"/>
          <w:szCs w:val="22"/>
          <w:vertAlign w:val="superscript"/>
          <w:lang w:val="en-US"/>
        </w:rPr>
        <w:t>[5]</w:t>
      </w:r>
      <w:r w:rsidR="003D3313" w:rsidRPr="00E67146">
        <w:rPr>
          <w:sz w:val="22"/>
          <w:szCs w:val="22"/>
          <w:lang w:val="en-US"/>
        </w:rPr>
        <w:fldChar w:fldCharType="end"/>
      </w:r>
      <w:r w:rsidR="002D7E80" w:rsidRPr="00E67146">
        <w:rPr>
          <w:sz w:val="22"/>
          <w:szCs w:val="22"/>
          <w:lang w:val="en-US"/>
        </w:rPr>
        <w:t xml:space="preserve"> </w:t>
      </w:r>
      <w:r w:rsidR="009235E3" w:rsidRPr="00E67146">
        <w:rPr>
          <w:sz w:val="22"/>
          <w:szCs w:val="22"/>
          <w:lang w:val="en-US"/>
        </w:rPr>
        <w:t>The mortality rate of patients who have raised mortality within hours after diagnosis and who stay without trea</w:t>
      </w:r>
      <w:r w:rsidR="002D7E80" w:rsidRPr="00E67146">
        <w:rPr>
          <w:sz w:val="22"/>
          <w:szCs w:val="22"/>
          <w:lang w:val="en-US"/>
        </w:rPr>
        <w:t xml:space="preserve">tment exceeds 90% within a year. </w:t>
      </w:r>
      <w:r w:rsidR="009A56AF" w:rsidRPr="00E67146">
        <w:rPr>
          <w:sz w:val="22"/>
          <w:szCs w:val="22"/>
          <w:lang w:val="en-US"/>
        </w:rPr>
        <w:t>Despite satisfactory results of surgical treatment, it still has high morbidity and mortality rates of up to 40 %</w:t>
      </w:r>
      <w:r w:rsidR="00445F66" w:rsidRPr="00E67146">
        <w:rPr>
          <w:sz w:val="22"/>
          <w:szCs w:val="22"/>
          <w:lang w:val="en-US"/>
        </w:rPr>
        <w:t>.</w:t>
      </w:r>
      <w:r w:rsidR="003D3313" w:rsidRPr="00E67146">
        <w:rPr>
          <w:sz w:val="22"/>
          <w:szCs w:val="22"/>
          <w:lang w:val="en-US"/>
        </w:rPr>
        <w:fldChar w:fldCharType="begin" w:fldLock="1"/>
      </w:r>
      <w:r w:rsidR="0018180E" w:rsidRPr="00E67146">
        <w:rPr>
          <w:sz w:val="22"/>
          <w:szCs w:val="22"/>
          <w:lang w:val="en-US"/>
        </w:rPr>
        <w:instrText>ADDIN CSL_CITATION {"citationItems":[{"id":"ITEM-1","itemData":{"DOI":"10.1016/j.jtcvs.2017.02.015","ISSN":"1097685X","PMID":"28291608","abstract":"Objectives Surgery for acute type A aortic dissection (ATAD) carries a high risk of operative mortality. We examined the surgeon volume-outcome relation with respect to in-hospital mortality for patients presenting with this pathology in the United Kingdom. Method Between April 2007 and March 2013, 1550 ATAD procedures were identified from the National Institute for Cardiovascular Outcomes Research database. A total of 249 responsible consultant cardiac surgeons from the United Kingdom recorded 1 or more of these procedures in their surgical activity over this period. We describe the patient population and mortality rates, focusing on the relationship between surgeon volume and in-hospital mortality. Results The mean annual volume of procedures per surgeon during the 6-year period ranged from 1 to 6.6. The overall in-hospital mortality rate was 18.3% (283/1550). A mortality improvement at the 95% level was observed with a risk-adjusted mean annual volume &gt;4.5. Surgeons with a mean annual volume &lt;4 over the study period had significantly higher in-hospital mortality rates in comparison with surgeons with a mean annual volume ≥4 (19.3% vs 12.6%; P =.015). Conclusions Patients with ATAD who are operated on by lower-volume surgeons experience higher levels of in-hospital mortality. Directing these patients to higher-volume surgeons may be a strategy to reduce in-hospital mortality.","author":[{"dropping-particle":"","family":"Bashir","given":"Mohamad","non-dropping-particle":"","parse-names":false,"suffix":""},{"dropping-particle":"","family":"Harky","given":"Amer","non-dropping-particle":"","parse-names":false,"suffix":""},{"dropping-particle":"","family":"Fok","given":"Matthew","non-dropping-particle":"","parse-names":false,"suffix":""},{"dropping-particle":"","family":"Shaw","given":"Matthew","non-dropping-particle":"","parse-names":false,"suffix":""},{"dropping-particle":"","family":"Hickey","given":"Graeme L.","non-dropping-particle":"","parse-names":false,"suffix":""},{"dropping-particle":"","family":"Grant","given":"Stuart W.","non-dropping-particle":"","parse-names":false,"suffix":""},{"dropping-particle":"","family":"Uppal","given":"Rakesh","non-dropping-particle":"","parse-names":false,"suffix":""},{"dropping-particle":"","family":"Oo","given":"Aung","non-dropping-particle":"","parse-names":false,"suffix":""}],"container-title":"Journal of Thoracic and Cardiovascular Surgery","id":"ITEM-1","issue":"2","issued":{"date-parts":[["2017","8","1"]]},"page":"398-406.e1","publisher":"Mosby Inc.","title":"Acute type A aortic dissection in the United Kingdom: Surgeon volume-outcome relation","type":"article-journal","volume":"154"},"uris":["http://www.mendeley.com/documents/?uuid=7b0c92f6-451b-3c56-bab4-e8ea309bcef4"]}],"mendeley":{"formattedCitation":"&lt;sup&gt;[6]&lt;/sup&gt;","plainTextFormattedCitation":"[6]","previouslyFormattedCitation":"&lt;sup&gt;[6]&lt;/sup&gt;"},"properties":{"noteIndex":0},"schema":"https://github.com/citation-style-language/schema/raw/master/csl-citation.json"}</w:instrText>
      </w:r>
      <w:r w:rsidR="003D3313" w:rsidRPr="00E67146">
        <w:rPr>
          <w:sz w:val="22"/>
          <w:szCs w:val="22"/>
          <w:lang w:val="en-US"/>
        </w:rPr>
        <w:fldChar w:fldCharType="separate"/>
      </w:r>
      <w:r w:rsidR="003D3313" w:rsidRPr="00E67146">
        <w:rPr>
          <w:noProof/>
          <w:sz w:val="22"/>
          <w:szCs w:val="22"/>
          <w:vertAlign w:val="superscript"/>
          <w:lang w:val="en-US"/>
        </w:rPr>
        <w:t>[6]</w:t>
      </w:r>
      <w:r w:rsidR="003D3313" w:rsidRPr="00E67146">
        <w:rPr>
          <w:sz w:val="22"/>
          <w:szCs w:val="22"/>
          <w:lang w:val="en-US"/>
        </w:rPr>
        <w:fldChar w:fldCharType="end"/>
      </w:r>
    </w:p>
    <w:p w14:paraId="6E2BAC25" w14:textId="77777777" w:rsidR="007D0777" w:rsidRDefault="002811E5" w:rsidP="007D0777">
      <w:pPr>
        <w:ind w:firstLine="720"/>
        <w:rPr>
          <w:sz w:val="22"/>
          <w:szCs w:val="22"/>
          <w:lang w:val="en-US"/>
        </w:rPr>
      </w:pPr>
      <w:r w:rsidRPr="00E67146">
        <w:rPr>
          <w:sz w:val="22"/>
          <w:szCs w:val="22"/>
          <w:lang w:val="en-US"/>
        </w:rPr>
        <w:t>Mortality in AAD is caused by a systemic inflammatory reaction that starts with the dysfunction in multiple-organ perfusion secondary to the mechanical effect created by blood penetrating between the aortic layers</w:t>
      </w:r>
      <w:r w:rsidR="00445F66" w:rsidRPr="00E67146">
        <w:rPr>
          <w:sz w:val="22"/>
          <w:szCs w:val="22"/>
          <w:lang w:val="en-US"/>
        </w:rPr>
        <w:t>.</w:t>
      </w:r>
      <w:r w:rsidR="00F1639F" w:rsidRPr="00E67146">
        <w:rPr>
          <w:rStyle w:val="DipnotBavurusu"/>
          <w:sz w:val="22"/>
          <w:szCs w:val="22"/>
          <w:lang w:val="en-US"/>
        </w:rPr>
        <w:fldChar w:fldCharType="begin" w:fldLock="1"/>
      </w:r>
      <w:r w:rsidR="003D3313" w:rsidRPr="00E67146">
        <w:rPr>
          <w:sz w:val="22"/>
          <w:szCs w:val="22"/>
          <w:lang w:val="en-US"/>
        </w:rPr>
        <w:instrText>ADDIN CSL_CITATION {"citationItems":[{"id":"ITEM-1","itemData":{"DOI":"10.1016/s0025-6196(11)60566-1","ISSN":"00256196","PMID":"19411444","abstract":"Acute and chronic aortic diseases have been diagnosed and studied by physicians for centuries. Both the diagnosis and treatment of aortic diseases have been steadily improving over time, largely because of increased physician awareness and improvements in diagnostic modalities. This comprehensive review discusses the pathophysiology and risk factors, classification schemes, epidemiology, clinical presentations, diagnostic modalities, management options, and outcomes of various aortic conditions, including acute aortic dissection (and its variants intramural hematoma and penetrating aortic ulcers) and thoracic aortic aneurysms. Literature searches of the PubMed database were conducted using the following keywords: aortic dissection, intramural hematoma, aortic ulcer, and thoracic aortic aneurysm. Retrospective and prospective studies performed within the past 20 years were included in the review; however, most data are from the past 15 years.","author":[{"dropping-particle":"","family":"Ramanath","given":"Vijay S.","non-dropping-particle":"","parse-names":false,"suffix":""},{"dropping-particle":"","family":"Oh","given":"Jae K.","non-dropping-particle":"","parse-names":false,"suffix":""},{"dropping-particle":"","family":"Sundt","given":"Thoralf M.","non-dropping-particle":"","parse-names":false,"suffix":""},{"dropping-particle":"","family":"Eagle","given":"Kim A.","non-dropping-particle":"","parse-names":false,"suffix":""}],"container-title":"Mayo Clinic Proceedings","id":"ITEM-1","issue":"5","issued":{"date-parts":[["2009","5"]]},"page":"465-481","publisher":"Elsevier BV","title":"Acute Aortic Syndromes and Thoracic Aortic Aneurysm","type":"article-journal","volume":"84"},"uris":["http://www.mendeley.com/documents/?uuid=18f5b98a-3e67-318c-9bfe-f87c7bfda968"]}],"mendeley":{"formattedCitation":"&lt;sup&gt;[7]&lt;/sup&gt;","plainTextFormattedCitation":"[7]","previouslyFormattedCitation":"&lt;sup&gt;[7]&lt;/sup&gt;"},"properties":{"noteIndex":0},"schema":"https://github.com/citation-style-language/schema/raw/master/csl-citation.json"}</w:instrText>
      </w:r>
      <w:r w:rsidR="00F1639F" w:rsidRPr="00E67146">
        <w:rPr>
          <w:rStyle w:val="DipnotBavurusu"/>
          <w:sz w:val="22"/>
          <w:szCs w:val="22"/>
          <w:lang w:val="en-US"/>
        </w:rPr>
        <w:fldChar w:fldCharType="separate"/>
      </w:r>
      <w:r w:rsidR="00496F1D" w:rsidRPr="00E67146">
        <w:rPr>
          <w:bCs/>
          <w:noProof/>
          <w:sz w:val="22"/>
          <w:szCs w:val="22"/>
          <w:vertAlign w:val="superscript"/>
          <w:lang w:val="tr-TR"/>
        </w:rPr>
        <w:t>[7]</w:t>
      </w:r>
      <w:r w:rsidR="00F1639F" w:rsidRPr="00E67146">
        <w:rPr>
          <w:rStyle w:val="DipnotBavurusu"/>
          <w:sz w:val="22"/>
          <w:szCs w:val="22"/>
          <w:lang w:val="en-US"/>
        </w:rPr>
        <w:fldChar w:fldCharType="end"/>
      </w:r>
      <w:r w:rsidRPr="00E67146">
        <w:rPr>
          <w:sz w:val="22"/>
          <w:szCs w:val="22"/>
          <w:lang w:val="en-US"/>
        </w:rPr>
        <w:t xml:space="preserve"> Various tests are used in the emergency room to evaluate systemic inflammation. </w:t>
      </w:r>
      <w:r w:rsidR="00C27C49" w:rsidRPr="00C27C49">
        <w:rPr>
          <w:sz w:val="22"/>
          <w:szCs w:val="22"/>
          <w:lang w:val="en-US"/>
        </w:rPr>
        <w:t>Therefore, the erythrocyte distribution width (RDW), thrombocyte / lymphocyte ratio (PLR), neutrophil / lymphocyte ratio (NLR) and mean platelet volume (MPV) measurements obtained from the preoperative whole blood sample have started to be used frequently.</w:t>
      </w:r>
      <w:r w:rsidR="0018180E" w:rsidRPr="00E67146">
        <w:rPr>
          <w:sz w:val="22"/>
          <w:szCs w:val="22"/>
          <w:lang w:val="en-US"/>
        </w:rPr>
        <w:fldChar w:fldCharType="begin" w:fldLock="1"/>
      </w:r>
      <w:r w:rsidR="0018180E" w:rsidRPr="00E67146">
        <w:rPr>
          <w:sz w:val="22"/>
          <w:szCs w:val="22"/>
          <w:lang w:val="en-US"/>
        </w:rPr>
        <w:instrText>ADDIN CSL_CITATION {"citationItems":[{"id":"ITEM-1","itemData":{"DOI":"10.21470/1678-9741-2018-0343","ISSN":"16789741","PMID":"31545575","abstract":"Objective: To evaluate the relationship between neutrophil to lymphocyte ratio (NLR) and platelet to lymphocyte ratio (PLR) with in-hospital mortality in type A acute aortic dissection (AAD). Methods: A total of 96 patients who presented to the emergency department between January 2013 and June 2018 with a diagnosis of type A AAD were enrolled in this study. White blood cell count subtypes such as NLR and PLR were calculated at the time of admission. The end point was in-hospital mortality. Results: Of the 96 type A AAD patients included in this analysis, 17 patients (17.7%) died during hospitalization. NLR and PLR were significantly elevated in patients with type A AAD (P&lt;0.001 and &lt;0.001, respectively). Based on the receiver operating characteristic curve, the best NLR cut-off value to predict in-hospital mortality was 9.74, with 70.6% sensitivity and 76.8% specificity, whereas the best PLR cut-off value was 195.8, with 76.5% sensitivity and 78.1% specificity. Conclusion: Admission NLR and PLR levels were important risk factors and independently associated with in-hospital mortality of type A AAD patients.","author":[{"dropping-particle":"","family":"Bedel","given":"Cihan","non-dropping-particle":"","parse-names":false,"suffix":""},{"dropping-particle":"","family":"Selvi","given":"Fatih","non-dropping-particle":"","parse-names":false,"suffix":""}],"container-title":"Brazilian Journal of Cardiovascular Surgery","id":"ITEM-1","issue":"6","issued":{"date-parts":[["2019","11","1"]]},"page":"694-698","publisher":"Sociedade Brasileira de Cirurgia Cardiovascular","title":"Association of platelet to lymphocyte and neutrophil to lymphocyte ratios with in-hospital mortality in patients with type a acute aortic dissection","type":"article-journal","volume":"34"},"uris":["http://www.mendeley.com/documents/?uuid=8dc97472-c5f4-394a-ab9d-603fb753f3ff"]}],"mendeley":{"formattedCitation":"&lt;sup&gt;[8]&lt;/sup&gt;","plainTextFormattedCitation":"[8]","previouslyFormattedCitation":"&lt;sup&gt;[8]&lt;/sup&gt;"},"properties":{"noteIndex":0},"schema":"https://github.com/citation-style-language/schema/raw/master/csl-citation.json"}</w:instrText>
      </w:r>
      <w:r w:rsidR="0018180E" w:rsidRPr="00E67146">
        <w:rPr>
          <w:sz w:val="22"/>
          <w:szCs w:val="22"/>
          <w:lang w:val="en-US"/>
        </w:rPr>
        <w:fldChar w:fldCharType="separate"/>
      </w:r>
      <w:r w:rsidR="0018180E" w:rsidRPr="00E67146">
        <w:rPr>
          <w:noProof/>
          <w:sz w:val="22"/>
          <w:szCs w:val="22"/>
          <w:vertAlign w:val="superscript"/>
          <w:lang w:val="en-US"/>
        </w:rPr>
        <w:t>[8]</w:t>
      </w:r>
      <w:r w:rsidR="0018180E" w:rsidRPr="00E67146">
        <w:rPr>
          <w:sz w:val="22"/>
          <w:szCs w:val="22"/>
          <w:lang w:val="en-US"/>
        </w:rPr>
        <w:fldChar w:fldCharType="end"/>
      </w:r>
      <w:r w:rsidR="0018180E" w:rsidRPr="00E67146">
        <w:rPr>
          <w:sz w:val="22"/>
          <w:szCs w:val="22"/>
          <w:lang w:val="en-US"/>
        </w:rPr>
        <w:t xml:space="preserve"> </w:t>
      </w:r>
      <w:r w:rsidR="00445F66" w:rsidRPr="00E67146">
        <w:rPr>
          <w:sz w:val="22"/>
          <w:szCs w:val="22"/>
          <w:lang w:val="en-US"/>
        </w:rPr>
        <w:t xml:space="preserve"> </w:t>
      </w:r>
      <w:r w:rsidR="00C27C49" w:rsidRPr="00C27C49">
        <w:rPr>
          <w:sz w:val="22"/>
          <w:szCs w:val="22"/>
          <w:lang w:val="en-US"/>
        </w:rPr>
        <w:t>It has also been reported that it can provide predictive information about the prognosis of cardiovascular diseases</w:t>
      </w:r>
      <w:r w:rsidR="00445F66" w:rsidRPr="00E67146">
        <w:rPr>
          <w:sz w:val="22"/>
          <w:szCs w:val="22"/>
          <w:lang w:val="en-US"/>
        </w:rPr>
        <w:t>.</w:t>
      </w:r>
      <w:r w:rsidR="0018180E" w:rsidRPr="00E67146">
        <w:rPr>
          <w:sz w:val="22"/>
          <w:szCs w:val="22"/>
          <w:lang w:val="en-US"/>
        </w:rPr>
        <w:fldChar w:fldCharType="begin" w:fldLock="1"/>
      </w:r>
      <w:r w:rsidR="0018180E" w:rsidRPr="00E67146">
        <w:rPr>
          <w:sz w:val="22"/>
          <w:szCs w:val="22"/>
          <w:lang w:val="en-US"/>
        </w:rPr>
        <w:instrText>ADDIN CSL_CITATION {"citationItems":[{"id":"ITEM-1","itemData":{"DOI":"10.2174/1573403x15666190225123544","ISSN":"1573403X","PMID":"30799790","abstract":"© 2019 Bentham Science Publishers. Cardiovascular diseases are the major causes of preventable health loss from disease in the world and lead to functional disturbances including hematological parameters. The inflammatory and hypoxemic nature of cardiovascular diseases causes a stimulus in the bone marrow and, depending on the intensity of this stimulus, there is a release of immature cells or increase of other cells in the bloodstream. Therefore, their presence in the circulation is an important variable used to diagnose, stratify and predict diseases. In the last five decades, with the advent of automated counting of immature cells in the peripheral blood, the hemogram was transformed into a clinical tool of great importance in hospital surveillance for demonstrating this daily variability in the hematopoietic response according to the existing injury in the patient. Studies have shown that the presence of nucleated red blood cells and increases in mean platelet volume, immature granulocytes and neutrophil to lymphocyte ratio in the systemic circulation are independent prognostic biomarkers. This review article has as main objective to demonstrate the association of these hematological parameters to cardiovascular diseases, emphasizing their importance in clinical decision making.","author":[{"dropping-particle":"","family":"Monteiro Júnior","given":"José Gildo de Moura","non-dropping-particle":"","parse-names":false,"suffix":""},{"dropping-particle":"","family":"Oliveira Cipriano Torres","given":"Dilênia","non-dropping-particle":"de","parse-names":false,"suffix":""},{"dropping-particle":"","family":"Filho","given":"Dário Celestino Sobral","non-dropping-particle":"","parse-names":false,"suffix":""}],"container-title":"Current Cardiology Reviews","id":"ITEM-1","issue":"4","issued":{"date-parts":[["2019","2","25"]]},"page":"274-282","publisher":"Bentham Science Publishers Ltd.","title":"Hematological Parameters as Prognostic Biomarkers in Patients with Cardiovascular Diseases","type":"article-journal","volume":"15"},"uris":["http://www.mendeley.com/documents/?uuid=553ab4ce-a1ff-368e-ba8c-5308974ef30f"]}],"mendeley":{"formattedCitation":"&lt;sup&gt;[9]&lt;/sup&gt;","plainTextFormattedCitation":"[9]","previouslyFormattedCitation":"&lt;sup&gt;[9]&lt;/sup&gt;"},"properties":{"noteIndex":0},"schema":"https://github.com/citation-style-language/schema/raw/master/csl-citation.json"}</w:instrText>
      </w:r>
      <w:r w:rsidR="0018180E" w:rsidRPr="00E67146">
        <w:rPr>
          <w:sz w:val="22"/>
          <w:szCs w:val="22"/>
          <w:lang w:val="en-US"/>
        </w:rPr>
        <w:fldChar w:fldCharType="separate"/>
      </w:r>
      <w:r w:rsidR="0018180E" w:rsidRPr="00E67146">
        <w:rPr>
          <w:noProof/>
          <w:sz w:val="22"/>
          <w:szCs w:val="22"/>
          <w:vertAlign w:val="superscript"/>
          <w:lang w:val="en-US"/>
        </w:rPr>
        <w:t>[9]</w:t>
      </w:r>
      <w:r w:rsidR="0018180E" w:rsidRPr="00E67146">
        <w:rPr>
          <w:sz w:val="22"/>
          <w:szCs w:val="22"/>
          <w:lang w:val="en-US"/>
        </w:rPr>
        <w:fldChar w:fldCharType="end"/>
      </w:r>
      <w:r w:rsidR="00C1646D" w:rsidRPr="00E67146">
        <w:rPr>
          <w:sz w:val="22"/>
          <w:szCs w:val="22"/>
          <w:lang w:val="en-US"/>
        </w:rPr>
        <w:t xml:space="preserve"> </w:t>
      </w:r>
      <w:r w:rsidR="00C27C49" w:rsidRPr="00C27C49">
        <w:rPr>
          <w:sz w:val="22"/>
          <w:szCs w:val="22"/>
          <w:lang w:val="en-US"/>
        </w:rPr>
        <w:t xml:space="preserve">Although early diagnosis and preoperative variables have positive effects on survival, predicting mortality in TAAD disease is still a question that needs an </w:t>
      </w:r>
      <w:r w:rsidR="007D0777" w:rsidRPr="00C27C49">
        <w:rPr>
          <w:sz w:val="22"/>
          <w:szCs w:val="22"/>
          <w:lang w:val="en-US"/>
        </w:rPr>
        <w:t>answer. It</w:t>
      </w:r>
      <w:r w:rsidR="00C27C49" w:rsidRPr="00C27C49">
        <w:rPr>
          <w:sz w:val="22"/>
          <w:szCs w:val="22"/>
          <w:lang w:val="en-US"/>
        </w:rPr>
        <w:t xml:space="preserve"> would be interesting to develop tests that would quickly assess the severity of surgical operations to be performed on patients. However, determining the risk in surgical interventions may be dependent on preoperative variables as well as intraoperative variables.</w:t>
      </w:r>
    </w:p>
    <w:p w14:paraId="71A06BB9" w14:textId="1C77FC8F" w:rsidR="000F0DC3" w:rsidRPr="00E67146" w:rsidRDefault="00BE1590" w:rsidP="007D0777">
      <w:pPr>
        <w:ind w:firstLine="720"/>
        <w:rPr>
          <w:sz w:val="22"/>
          <w:szCs w:val="22"/>
          <w:lang w:val="en-US"/>
        </w:rPr>
      </w:pPr>
      <w:r w:rsidRPr="00BE1590">
        <w:rPr>
          <w:sz w:val="22"/>
          <w:szCs w:val="22"/>
          <w:lang w:val="en-US"/>
        </w:rPr>
        <w:t>Our aim in planning this retrospective clinical study was to determine the effectiveness of preoperative and intraoperative variables to predict mortality in patients with TAAD.</w:t>
      </w:r>
    </w:p>
    <w:p w14:paraId="32518740" w14:textId="77777777" w:rsidR="000F0DC3" w:rsidRPr="00E67146" w:rsidRDefault="00510B05" w:rsidP="00E67146">
      <w:pPr>
        <w:rPr>
          <w:rStyle w:val="Balk2Char"/>
          <w:rFonts w:cs="Times New Roman"/>
          <w:b w:val="0"/>
          <w:bCs w:val="0"/>
          <w:i w:val="0"/>
          <w:iCs w:val="0"/>
          <w:sz w:val="22"/>
          <w:szCs w:val="22"/>
        </w:rPr>
      </w:pPr>
      <w:r w:rsidRPr="00E67146">
        <w:rPr>
          <w:b/>
          <w:sz w:val="22"/>
          <w:szCs w:val="22"/>
        </w:rPr>
        <w:t>Materials and M</w:t>
      </w:r>
      <w:r w:rsidR="004758DB" w:rsidRPr="00E67146">
        <w:rPr>
          <w:b/>
          <w:sz w:val="22"/>
          <w:szCs w:val="22"/>
        </w:rPr>
        <w:t>ethods</w:t>
      </w:r>
    </w:p>
    <w:p w14:paraId="7CBE8394" w14:textId="77777777" w:rsidR="004F0810" w:rsidRPr="00E67146" w:rsidRDefault="004F0810" w:rsidP="00E67146">
      <w:pPr>
        <w:rPr>
          <w:b/>
          <w:sz w:val="22"/>
          <w:szCs w:val="22"/>
          <w:lang w:val="en-US"/>
        </w:rPr>
      </w:pPr>
      <w:r w:rsidRPr="00E67146">
        <w:rPr>
          <w:b/>
          <w:sz w:val="22"/>
          <w:szCs w:val="22"/>
          <w:lang w:val="en-US"/>
        </w:rPr>
        <w:t>Study Population</w:t>
      </w:r>
    </w:p>
    <w:p w14:paraId="33CAC319" w14:textId="772E8F7A" w:rsidR="002212F7" w:rsidRPr="00E67146" w:rsidRDefault="00AA5473" w:rsidP="007D0777">
      <w:pPr>
        <w:ind w:firstLine="720"/>
        <w:rPr>
          <w:b/>
          <w:bCs/>
          <w:i/>
          <w:iCs/>
          <w:sz w:val="22"/>
          <w:szCs w:val="22"/>
          <w:lang w:val="en-US"/>
        </w:rPr>
      </w:pPr>
      <w:r w:rsidRPr="00E67146">
        <w:rPr>
          <w:sz w:val="22"/>
          <w:szCs w:val="22"/>
          <w:lang w:val="en-US"/>
        </w:rPr>
        <w:t xml:space="preserve">A total of 82 consecutive patients who were diagnosed with acute TAAD in the emergency department from January 2010 to January 2018 and operated on urgently were retrospectively analyzed. </w:t>
      </w:r>
      <w:r w:rsidR="00BE1590" w:rsidRPr="00BE1590">
        <w:rPr>
          <w:sz w:val="22"/>
          <w:szCs w:val="22"/>
          <w:lang w:val="en-US"/>
        </w:rPr>
        <w:t>Patients who underwent deep hypothermic cardiopulmonary arrest but not applied brain protection techniques were included in the study.</w:t>
      </w:r>
      <w:r w:rsidR="00BE1590">
        <w:rPr>
          <w:sz w:val="22"/>
          <w:szCs w:val="22"/>
          <w:lang w:val="en-US"/>
        </w:rPr>
        <w:t xml:space="preserve"> </w:t>
      </w:r>
      <w:r w:rsidR="002212F7" w:rsidRPr="00E67146">
        <w:rPr>
          <w:sz w:val="22"/>
          <w:szCs w:val="22"/>
          <w:lang w:val="en-US"/>
        </w:rPr>
        <w:t xml:space="preserve">After the study protocol was approved by </w:t>
      </w:r>
      <w:r w:rsidR="00BE1590">
        <w:rPr>
          <w:sz w:val="22"/>
          <w:szCs w:val="22"/>
          <w:lang w:val="en-US"/>
        </w:rPr>
        <w:t>Aydın Adnan Menderes</w:t>
      </w:r>
      <w:r w:rsidR="007F1C4D" w:rsidRPr="00E67146">
        <w:rPr>
          <w:sz w:val="22"/>
          <w:szCs w:val="22"/>
          <w:lang w:val="en-US"/>
        </w:rPr>
        <w:t xml:space="preserve"> University </w:t>
      </w:r>
      <w:r w:rsidR="002212F7" w:rsidRPr="00E67146">
        <w:rPr>
          <w:sz w:val="22"/>
          <w:szCs w:val="22"/>
          <w:lang w:val="en-US"/>
        </w:rPr>
        <w:t xml:space="preserve">Non-Interventional Clinical Studies Ethics </w:t>
      </w:r>
      <w:r w:rsidR="002212F7" w:rsidRPr="00E67146">
        <w:rPr>
          <w:sz w:val="22"/>
          <w:szCs w:val="22"/>
          <w:lang w:val="en-US"/>
        </w:rPr>
        <w:lastRenderedPageBreak/>
        <w:t>Committee (Ref: 53043469-050.04.04), the data were retrospectively prepared and recorded. Patients with known hematological diseases, cancer, immunological diseases, and infections were excluded from the study. Hematological and biochemical values of 78 patients included in the study at the time of admission to the emergency department were recorded. Operational data were obtained by examining the surgery reports in files that are stored in electronic media.</w:t>
      </w:r>
    </w:p>
    <w:p w14:paraId="04AB5327" w14:textId="77777777" w:rsidR="004F0810" w:rsidRPr="00E67146" w:rsidRDefault="004F0810" w:rsidP="00E67146">
      <w:pPr>
        <w:rPr>
          <w:b/>
          <w:sz w:val="22"/>
          <w:szCs w:val="22"/>
          <w:lang w:val="en-US"/>
        </w:rPr>
      </w:pPr>
      <w:r w:rsidRPr="00E67146">
        <w:rPr>
          <w:b/>
          <w:sz w:val="22"/>
          <w:szCs w:val="22"/>
          <w:lang w:val="en-US"/>
        </w:rPr>
        <w:t>Operative Technique</w:t>
      </w:r>
    </w:p>
    <w:p w14:paraId="3BA1B411" w14:textId="77777777" w:rsidR="004F0810" w:rsidRPr="00E67146" w:rsidRDefault="002212F7" w:rsidP="007D0777">
      <w:pPr>
        <w:ind w:firstLine="720"/>
        <w:rPr>
          <w:sz w:val="22"/>
          <w:szCs w:val="22"/>
          <w:lang w:val="en-US"/>
        </w:rPr>
      </w:pPr>
      <w:r w:rsidRPr="00E67146">
        <w:rPr>
          <w:sz w:val="22"/>
          <w:szCs w:val="22"/>
          <w:lang w:val="en-US"/>
        </w:rPr>
        <w:t>Deep hypothermic</w:t>
      </w:r>
      <w:r w:rsidR="00FF7836" w:rsidRPr="00E67146">
        <w:rPr>
          <w:sz w:val="22"/>
          <w:szCs w:val="22"/>
          <w:lang w:val="en-US"/>
        </w:rPr>
        <w:t xml:space="preserve"> (18</w:t>
      </w:r>
      <w:r w:rsidR="00FF7836" w:rsidRPr="00E67146">
        <w:rPr>
          <w:sz w:val="22"/>
          <w:szCs w:val="22"/>
          <w:vertAlign w:val="superscript"/>
          <w:lang w:val="en-US"/>
        </w:rPr>
        <w:t>0</w:t>
      </w:r>
      <w:r w:rsidR="00FF7836" w:rsidRPr="00E67146">
        <w:rPr>
          <w:sz w:val="22"/>
          <w:szCs w:val="22"/>
          <w:lang w:val="en-US"/>
        </w:rPr>
        <w:t>C)</w:t>
      </w:r>
      <w:r w:rsidRPr="00E67146">
        <w:rPr>
          <w:sz w:val="22"/>
          <w:szCs w:val="22"/>
          <w:lang w:val="en-US"/>
        </w:rPr>
        <w:t xml:space="preserve"> cardiopulmonary bypass</w:t>
      </w:r>
      <w:r w:rsidR="007C47AA" w:rsidRPr="00E67146">
        <w:rPr>
          <w:sz w:val="22"/>
          <w:szCs w:val="22"/>
          <w:lang w:val="en-US"/>
        </w:rPr>
        <w:t xml:space="preserve"> was</w:t>
      </w:r>
      <w:r w:rsidRPr="00E67146">
        <w:rPr>
          <w:sz w:val="22"/>
          <w:szCs w:val="22"/>
          <w:lang w:val="en-US"/>
        </w:rPr>
        <w:t xml:space="preserve"> performed in all patients under general anesthesia via standard aortic, femoral, or axillary arterial cannulation and femoral or right atrial venous cannulation. Antegrade hypothermic and hyperkalemic blood cardioplegia was performed in all patients. When the deep hypothermic circulatory arrest was achieved, sodium pentothal was administered. </w:t>
      </w:r>
      <w:r w:rsidR="00773BA3" w:rsidRPr="00E67146">
        <w:rPr>
          <w:sz w:val="22"/>
          <w:szCs w:val="22"/>
          <w:lang w:val="en-US"/>
        </w:rPr>
        <w:t xml:space="preserve">The intimal tear area was found with aortotomy and was excised and made suitable for anastomosis. The anastomosis was conducted using the Dacron vascular graft instead of the removed ascending aorta. </w:t>
      </w:r>
      <w:r w:rsidRPr="00E67146">
        <w:rPr>
          <w:sz w:val="22"/>
          <w:szCs w:val="22"/>
          <w:lang w:val="en-US"/>
        </w:rPr>
        <w:t>After the anastomoses were finished, the patient was started to be warmed, cardiopulmonary bypass</w:t>
      </w:r>
      <w:r w:rsidR="007C47AA" w:rsidRPr="00E67146">
        <w:rPr>
          <w:sz w:val="22"/>
          <w:szCs w:val="22"/>
          <w:lang w:val="en-US"/>
        </w:rPr>
        <w:t xml:space="preserve"> </w:t>
      </w:r>
      <w:r w:rsidRPr="00E67146">
        <w:rPr>
          <w:sz w:val="22"/>
          <w:szCs w:val="22"/>
          <w:lang w:val="en-US"/>
        </w:rPr>
        <w:t>was terminated and the patient was transferred to intensive care.</w:t>
      </w:r>
    </w:p>
    <w:p w14:paraId="4585D328" w14:textId="77777777" w:rsidR="004758DB" w:rsidRPr="00E67146" w:rsidRDefault="004758DB" w:rsidP="00E67146">
      <w:pPr>
        <w:rPr>
          <w:b/>
          <w:sz w:val="22"/>
          <w:szCs w:val="22"/>
          <w:lang w:val="en-US"/>
        </w:rPr>
      </w:pPr>
      <w:r w:rsidRPr="00E67146">
        <w:rPr>
          <w:b/>
          <w:sz w:val="22"/>
          <w:szCs w:val="22"/>
          <w:lang w:val="en-US"/>
        </w:rPr>
        <w:t>Study groups</w:t>
      </w:r>
    </w:p>
    <w:p w14:paraId="3A027D59" w14:textId="77777777" w:rsidR="004758DB" w:rsidRPr="00E67146" w:rsidRDefault="00FA5A77" w:rsidP="007D0777">
      <w:pPr>
        <w:ind w:firstLine="720"/>
        <w:rPr>
          <w:sz w:val="22"/>
          <w:szCs w:val="22"/>
          <w:lang w:val="en-US"/>
        </w:rPr>
      </w:pPr>
      <w:r w:rsidRPr="00E67146">
        <w:rPr>
          <w:sz w:val="22"/>
          <w:szCs w:val="22"/>
          <w:lang w:val="en-US"/>
        </w:rPr>
        <w:t>Study groups were divided according to the Stanford aortic dissection classification. Among the patients with T</w:t>
      </w:r>
      <w:r w:rsidR="006D3FC5" w:rsidRPr="00E67146">
        <w:rPr>
          <w:sz w:val="22"/>
          <w:szCs w:val="22"/>
          <w:lang w:val="en-US"/>
        </w:rPr>
        <w:t>AAD</w:t>
      </w:r>
      <w:r w:rsidRPr="00E67146">
        <w:rPr>
          <w:sz w:val="22"/>
          <w:szCs w:val="22"/>
          <w:lang w:val="en-US"/>
        </w:rPr>
        <w:t xml:space="preserve">, those with early postoperative mortality (within the first 30 days) were classified as </w:t>
      </w:r>
      <w:r w:rsidR="006D3FC5" w:rsidRPr="00E67146">
        <w:rPr>
          <w:sz w:val="22"/>
          <w:szCs w:val="22"/>
          <w:lang w:val="en-US"/>
        </w:rPr>
        <w:t>Exitus</w:t>
      </w:r>
      <w:r w:rsidRPr="00E67146">
        <w:rPr>
          <w:sz w:val="22"/>
          <w:szCs w:val="22"/>
          <w:lang w:val="en-US"/>
        </w:rPr>
        <w:t xml:space="preserve">, and the patients who were discharged were classified as </w:t>
      </w:r>
      <w:r w:rsidR="006D3FC5" w:rsidRPr="00E67146">
        <w:rPr>
          <w:sz w:val="22"/>
          <w:szCs w:val="22"/>
          <w:lang w:val="en-US"/>
        </w:rPr>
        <w:t>Discharge</w:t>
      </w:r>
      <w:r w:rsidRPr="00E67146">
        <w:rPr>
          <w:sz w:val="22"/>
          <w:szCs w:val="22"/>
          <w:lang w:val="en-US"/>
        </w:rPr>
        <w:t>.</w:t>
      </w:r>
      <w:r w:rsidR="009C6FBB" w:rsidRPr="00E67146">
        <w:rPr>
          <w:sz w:val="22"/>
          <w:szCs w:val="22"/>
          <w:lang w:val="en-US"/>
        </w:rPr>
        <w:t xml:space="preserve"> Regardless of hunger, preoperative blood samples taken in the emergency room were taken. Using Mindray BC 6800 (Mindray, China), full blood counts were collected, including total white blood cells, neutrophils, lymphocytes, and platelets.</w:t>
      </w:r>
      <w:r w:rsidR="009C6FBB" w:rsidRPr="00E67146">
        <w:rPr>
          <w:sz w:val="22"/>
          <w:szCs w:val="22"/>
        </w:rPr>
        <w:t xml:space="preserve"> </w:t>
      </w:r>
      <w:r w:rsidR="009C6FBB" w:rsidRPr="00E67146">
        <w:rPr>
          <w:sz w:val="22"/>
          <w:szCs w:val="22"/>
          <w:lang w:val="en-US"/>
        </w:rPr>
        <w:t>The ratio of thrombocytes (10</w:t>
      </w:r>
      <w:r w:rsidR="009C6FBB" w:rsidRPr="00E67146">
        <w:rPr>
          <w:sz w:val="22"/>
          <w:szCs w:val="22"/>
          <w:vertAlign w:val="superscript"/>
          <w:lang w:val="en-US"/>
        </w:rPr>
        <w:t>3</w:t>
      </w:r>
      <w:r w:rsidR="009C6FBB" w:rsidRPr="00E67146">
        <w:rPr>
          <w:sz w:val="22"/>
          <w:szCs w:val="22"/>
          <w:lang w:val="en-US"/>
        </w:rPr>
        <w:t xml:space="preserve"> / uL) to lymphocytes (10</w:t>
      </w:r>
      <w:r w:rsidR="009C6FBB" w:rsidRPr="00E67146">
        <w:rPr>
          <w:sz w:val="22"/>
          <w:szCs w:val="22"/>
          <w:vertAlign w:val="superscript"/>
          <w:lang w:val="en-US"/>
        </w:rPr>
        <w:t>3</w:t>
      </w:r>
      <w:r w:rsidR="009C6FBB" w:rsidRPr="00E67146">
        <w:rPr>
          <w:sz w:val="22"/>
          <w:szCs w:val="22"/>
          <w:lang w:val="en-US"/>
        </w:rPr>
        <w:t xml:space="preserve"> / uL) collected from blood samples was calculated as PLR, and the ratio of neutrophils (10</w:t>
      </w:r>
      <w:r w:rsidR="009C6FBB" w:rsidRPr="00E67146">
        <w:rPr>
          <w:sz w:val="22"/>
          <w:szCs w:val="22"/>
          <w:vertAlign w:val="superscript"/>
          <w:lang w:val="en-US"/>
        </w:rPr>
        <w:t>3</w:t>
      </w:r>
      <w:r w:rsidR="009C6FBB" w:rsidRPr="00E67146">
        <w:rPr>
          <w:sz w:val="22"/>
          <w:szCs w:val="22"/>
          <w:lang w:val="en-US"/>
        </w:rPr>
        <w:t xml:space="preserve"> / uL) to lymphocytes (10</w:t>
      </w:r>
      <w:r w:rsidR="009C6FBB" w:rsidRPr="00E67146">
        <w:rPr>
          <w:sz w:val="22"/>
          <w:szCs w:val="22"/>
          <w:vertAlign w:val="superscript"/>
          <w:lang w:val="en-US"/>
        </w:rPr>
        <w:t>3</w:t>
      </w:r>
      <w:r w:rsidR="009C6FBB" w:rsidRPr="00E67146">
        <w:rPr>
          <w:sz w:val="22"/>
          <w:szCs w:val="22"/>
          <w:lang w:val="en-US"/>
        </w:rPr>
        <w:t xml:space="preserve"> / uL) was calculated as NLR.</w:t>
      </w:r>
    </w:p>
    <w:p w14:paraId="0C8F94AE" w14:textId="77777777" w:rsidR="004758DB" w:rsidRPr="00E67146" w:rsidRDefault="004758DB" w:rsidP="00E67146">
      <w:pPr>
        <w:rPr>
          <w:b/>
          <w:sz w:val="22"/>
          <w:szCs w:val="22"/>
          <w:lang w:val="en-US"/>
        </w:rPr>
      </w:pPr>
      <w:r w:rsidRPr="00E67146">
        <w:rPr>
          <w:b/>
          <w:sz w:val="22"/>
          <w:szCs w:val="22"/>
          <w:lang w:val="en-US"/>
        </w:rPr>
        <w:t>Statistical analysis</w:t>
      </w:r>
    </w:p>
    <w:p w14:paraId="7B47866A" w14:textId="77777777" w:rsidR="00667B3B" w:rsidRPr="00E67146" w:rsidRDefault="00667B3B" w:rsidP="007D0777">
      <w:pPr>
        <w:ind w:firstLine="720"/>
        <w:rPr>
          <w:sz w:val="22"/>
          <w:szCs w:val="22"/>
          <w:lang w:val="en-US"/>
        </w:rPr>
      </w:pPr>
      <w:r w:rsidRPr="00E67146">
        <w:rPr>
          <w:sz w:val="22"/>
          <w:szCs w:val="22"/>
          <w:lang w:val="en-US"/>
        </w:rPr>
        <w:t xml:space="preserve">For statistical analysis, the data were </w:t>
      </w:r>
      <w:r w:rsidR="006D3FC5" w:rsidRPr="00E67146">
        <w:rPr>
          <w:sz w:val="22"/>
          <w:szCs w:val="22"/>
          <w:lang w:val="en-US"/>
        </w:rPr>
        <w:t>analyzed</w:t>
      </w:r>
      <w:r w:rsidRPr="00E67146">
        <w:rPr>
          <w:sz w:val="22"/>
          <w:szCs w:val="22"/>
          <w:lang w:val="en-US"/>
        </w:rPr>
        <w:t xml:space="preserve"> using the Statistical Package for the S</w:t>
      </w:r>
      <w:r w:rsidR="00150B1B" w:rsidRPr="00E67146">
        <w:rPr>
          <w:sz w:val="22"/>
          <w:szCs w:val="22"/>
          <w:lang w:val="en-US"/>
        </w:rPr>
        <w:t>ocial Sciences (SPSS) program (</w:t>
      </w:r>
      <w:r w:rsidRPr="00E67146">
        <w:rPr>
          <w:sz w:val="22"/>
          <w:szCs w:val="22"/>
          <w:lang w:val="en-US"/>
        </w:rPr>
        <w:t xml:space="preserve">IBM SPSS Statistics for Windows, Version </w:t>
      </w:r>
      <w:r w:rsidR="00150B1B" w:rsidRPr="00E67146">
        <w:rPr>
          <w:sz w:val="22"/>
          <w:szCs w:val="22"/>
          <w:lang w:val="en-US"/>
        </w:rPr>
        <w:t>18</w:t>
      </w:r>
      <w:r w:rsidRPr="00E67146">
        <w:rPr>
          <w:sz w:val="22"/>
          <w:szCs w:val="22"/>
          <w:lang w:val="en-US"/>
        </w:rPr>
        <w:t xml:space="preserve">.0. Armonk, NY, USA). </w:t>
      </w:r>
      <w:r w:rsidR="00150B1B" w:rsidRPr="00E67146">
        <w:rPr>
          <w:sz w:val="22"/>
          <w:szCs w:val="22"/>
          <w:lang w:val="en-US"/>
        </w:rPr>
        <w:t xml:space="preserve">The study of normality was carried out using either the Kolmogorov-Smirnov or </w:t>
      </w:r>
      <w:r w:rsidR="00150B1B" w:rsidRPr="00E67146">
        <w:rPr>
          <w:sz w:val="22"/>
          <w:szCs w:val="22"/>
          <w:lang w:val="en-US"/>
        </w:rPr>
        <w:lastRenderedPageBreak/>
        <w:t xml:space="preserve">Shapiro-Wilk measures. </w:t>
      </w:r>
      <w:r w:rsidR="00342250" w:rsidRPr="00E67146">
        <w:rPr>
          <w:sz w:val="22"/>
          <w:szCs w:val="22"/>
          <w:lang w:val="en-US"/>
        </w:rPr>
        <w:t xml:space="preserve">Chi-square </w:t>
      </w:r>
      <w:r w:rsidRPr="00E67146">
        <w:rPr>
          <w:sz w:val="22"/>
          <w:szCs w:val="22"/>
          <w:lang w:val="en-US"/>
        </w:rPr>
        <w:t>test was used for categorical variables and Mann Whitney u test was used for continuous variables. Receiver operating curve (ROC) analysis was performed to determine the factors that may affect mortality.</w:t>
      </w:r>
      <w:r w:rsidR="001075CA" w:rsidRPr="00E67146">
        <w:rPr>
          <w:sz w:val="22"/>
          <w:szCs w:val="22"/>
          <w:lang w:val="en-US"/>
        </w:rPr>
        <w:t xml:space="preserve"> The significance level was accepted as p &lt;0.05 for all statistical evaluations.</w:t>
      </w:r>
    </w:p>
    <w:p w14:paraId="01FC7AFC" w14:textId="77777777" w:rsidR="004758DB" w:rsidRPr="00E67146" w:rsidRDefault="004758DB" w:rsidP="00E67146">
      <w:pPr>
        <w:rPr>
          <w:b/>
          <w:sz w:val="22"/>
          <w:szCs w:val="22"/>
          <w:lang w:val="en-US"/>
        </w:rPr>
      </w:pPr>
      <w:r w:rsidRPr="00E67146">
        <w:rPr>
          <w:b/>
          <w:sz w:val="22"/>
          <w:szCs w:val="22"/>
          <w:lang w:val="en-US"/>
        </w:rPr>
        <w:t>Results</w:t>
      </w:r>
    </w:p>
    <w:p w14:paraId="4E06CD5E" w14:textId="77777777" w:rsidR="00E72AFA" w:rsidRPr="00E67146" w:rsidRDefault="00CE2710" w:rsidP="007D0777">
      <w:pPr>
        <w:ind w:firstLine="720"/>
        <w:rPr>
          <w:sz w:val="22"/>
          <w:szCs w:val="22"/>
          <w:lang w:val="en-US"/>
        </w:rPr>
      </w:pPr>
      <w:r w:rsidRPr="00E67146">
        <w:rPr>
          <w:sz w:val="22"/>
          <w:szCs w:val="22"/>
          <w:lang w:val="en-US"/>
        </w:rPr>
        <w:t xml:space="preserve">The demographic data of the patients are shown in Table 1. No difference was observed between discharged patients and patients who died. When the data were examined in terms of preoperative blood values, there was no difference in blood parameters such as </w:t>
      </w:r>
      <w:r w:rsidR="00575278" w:rsidRPr="00E67146">
        <w:rPr>
          <w:sz w:val="22"/>
          <w:szCs w:val="22"/>
          <w:lang w:val="en-US"/>
        </w:rPr>
        <w:t>Hemoglobin (H</w:t>
      </w:r>
      <w:r w:rsidRPr="00E67146">
        <w:rPr>
          <w:sz w:val="22"/>
          <w:szCs w:val="22"/>
          <w:lang w:val="en-US"/>
        </w:rPr>
        <w:t>b</w:t>
      </w:r>
      <w:r w:rsidR="00575278" w:rsidRPr="00E67146">
        <w:rPr>
          <w:sz w:val="22"/>
          <w:szCs w:val="22"/>
          <w:lang w:val="en-US"/>
        </w:rPr>
        <w:t>)</w:t>
      </w:r>
      <w:r w:rsidRPr="00E67146">
        <w:rPr>
          <w:sz w:val="22"/>
          <w:szCs w:val="22"/>
          <w:lang w:val="en-US"/>
        </w:rPr>
        <w:t xml:space="preserve">, PLR, NLR, RDW, </w:t>
      </w:r>
      <w:r w:rsidR="00F46C19" w:rsidRPr="00E67146">
        <w:rPr>
          <w:sz w:val="22"/>
          <w:szCs w:val="22"/>
          <w:lang w:val="en-US"/>
        </w:rPr>
        <w:t>and MPV</w:t>
      </w:r>
      <w:r w:rsidRPr="00E67146">
        <w:rPr>
          <w:sz w:val="22"/>
          <w:szCs w:val="22"/>
          <w:lang w:val="en-US"/>
        </w:rPr>
        <w:t>. Only preoperative creatinine levels were found to be higher in the mortality group (p &lt;0.05) (Table 2).</w:t>
      </w:r>
    </w:p>
    <w:p w14:paraId="7601755A" w14:textId="77777777" w:rsidR="00E72AFA" w:rsidRPr="00E67146" w:rsidRDefault="00CE2710" w:rsidP="007D0777">
      <w:pPr>
        <w:ind w:firstLine="720"/>
        <w:rPr>
          <w:sz w:val="22"/>
          <w:szCs w:val="22"/>
          <w:lang w:val="en-US"/>
        </w:rPr>
      </w:pPr>
      <w:r w:rsidRPr="00E67146">
        <w:rPr>
          <w:sz w:val="22"/>
          <w:szCs w:val="22"/>
          <w:lang w:val="en-US"/>
        </w:rPr>
        <w:t>The display of intraoperative data is given in Table 3. When these data are examined, the effect of cardiopulmonary bypass time on mortality has not been found. It was found that the factors affecting mortality were total circulatory arrest (TCA) and Cross clamp (X-clamp) times (p &lt;0.05).</w:t>
      </w:r>
    </w:p>
    <w:p w14:paraId="30FFE53F" w14:textId="77777777" w:rsidR="00E72AFA" w:rsidRPr="00E67146" w:rsidRDefault="00342250" w:rsidP="007D0777">
      <w:pPr>
        <w:ind w:firstLine="720"/>
        <w:rPr>
          <w:sz w:val="22"/>
          <w:szCs w:val="22"/>
          <w:lang w:val="en-US"/>
        </w:rPr>
      </w:pPr>
      <w:r w:rsidRPr="00E67146">
        <w:rPr>
          <w:sz w:val="22"/>
          <w:szCs w:val="22"/>
        </w:rPr>
        <w:t xml:space="preserve">The receiver operating characteristics curve was used to determine the </w:t>
      </w:r>
      <w:r w:rsidR="00697089" w:rsidRPr="00E67146">
        <w:rPr>
          <w:sz w:val="22"/>
          <w:szCs w:val="22"/>
        </w:rPr>
        <w:t xml:space="preserve">sensitivity and specificity of </w:t>
      </w:r>
      <w:r w:rsidRPr="00E67146">
        <w:rPr>
          <w:sz w:val="22"/>
          <w:szCs w:val="22"/>
        </w:rPr>
        <w:t>TCA and X-clamp time and the optimal cut-off value for predicting mortality</w:t>
      </w:r>
      <w:r w:rsidR="00E72AFA" w:rsidRPr="00E67146">
        <w:rPr>
          <w:sz w:val="22"/>
          <w:szCs w:val="22"/>
          <w:lang w:val="en-US"/>
        </w:rPr>
        <w:t xml:space="preserve"> (Figure 1). In ROC analysis, X-Clamp</w:t>
      </w:r>
      <w:r w:rsidR="00577D5B" w:rsidRPr="00E67146">
        <w:rPr>
          <w:sz w:val="22"/>
          <w:szCs w:val="22"/>
          <w:lang w:val="en-US"/>
        </w:rPr>
        <w:t xml:space="preserve"> time &gt;71 m. predicted mortality with 68.2% sensitivity and 66.1% specificity (AUC: 0.788, p&lt;0.05), </w:t>
      </w:r>
      <w:r w:rsidR="00E72AFA" w:rsidRPr="00E67146">
        <w:rPr>
          <w:sz w:val="22"/>
          <w:szCs w:val="22"/>
          <w:lang w:val="en-US"/>
        </w:rPr>
        <w:t>TCA</w:t>
      </w:r>
      <w:r w:rsidR="00577D5B" w:rsidRPr="00E67146">
        <w:rPr>
          <w:sz w:val="22"/>
          <w:szCs w:val="22"/>
          <w:lang w:val="en-US"/>
        </w:rPr>
        <w:t xml:space="preserve"> &gt;44.5 m. predicted mortality with 72.7% sensitivity and 73.2% specificity (AUC: 0.778, p&lt;0.05)</w:t>
      </w:r>
      <w:r w:rsidR="00E72AFA" w:rsidRPr="00E67146">
        <w:rPr>
          <w:sz w:val="22"/>
          <w:szCs w:val="22"/>
          <w:lang w:val="en-US"/>
        </w:rPr>
        <w:t>. It was found that these times were significantly higher in the mortality group than those who were discharged.</w:t>
      </w:r>
    </w:p>
    <w:p w14:paraId="640A7CEC" w14:textId="77777777" w:rsidR="004758DB" w:rsidRPr="00E67146" w:rsidRDefault="004758DB" w:rsidP="00E67146">
      <w:pPr>
        <w:rPr>
          <w:b/>
          <w:sz w:val="22"/>
          <w:szCs w:val="22"/>
          <w:lang w:val="en-US"/>
        </w:rPr>
      </w:pPr>
      <w:r w:rsidRPr="00E67146">
        <w:rPr>
          <w:b/>
          <w:sz w:val="22"/>
          <w:szCs w:val="22"/>
          <w:lang w:val="en-US"/>
        </w:rPr>
        <w:t>Discussion</w:t>
      </w:r>
    </w:p>
    <w:p w14:paraId="307FA74F" w14:textId="71ADB3C3" w:rsidR="0033135F" w:rsidRDefault="00C14A51" w:rsidP="00C14A51">
      <w:pPr>
        <w:ind w:firstLine="720"/>
        <w:rPr>
          <w:sz w:val="22"/>
          <w:szCs w:val="22"/>
          <w:lang w:val="en-US"/>
        </w:rPr>
      </w:pPr>
      <w:r w:rsidRPr="00C14A51">
        <w:rPr>
          <w:sz w:val="22"/>
          <w:szCs w:val="22"/>
          <w:lang w:val="en-US"/>
        </w:rPr>
        <w:t>In this study, we examined the relationship between mortality and preoperative hematological markers in patients who underwent surgery for TAAD. The results we found in our study determined that preoperative hematological markers failed to predict mortality. However, it showed that the effect of intraoperative variables is more important in predicting mortality.</w:t>
      </w:r>
      <w:r w:rsidR="0033135F">
        <w:rPr>
          <w:sz w:val="22"/>
          <w:szCs w:val="22"/>
          <w:lang w:val="en-US"/>
        </w:rPr>
        <w:t xml:space="preserve"> </w:t>
      </w:r>
    </w:p>
    <w:p w14:paraId="7594A229" w14:textId="492FBA8B" w:rsidR="0073225E" w:rsidRDefault="006A6D8B" w:rsidP="00C14A51">
      <w:pPr>
        <w:ind w:firstLine="720"/>
        <w:rPr>
          <w:sz w:val="22"/>
          <w:szCs w:val="22"/>
          <w:lang w:val="en-US"/>
        </w:rPr>
      </w:pPr>
      <w:r w:rsidRPr="006A6D8B">
        <w:rPr>
          <w:sz w:val="22"/>
          <w:szCs w:val="22"/>
          <w:lang w:val="en-US"/>
        </w:rPr>
        <w:t xml:space="preserve">TAAD is a vascular clinical pathology that occurs with high morbidity and mortality, and its incidence is increasing with prolongation of life span and prevalence of hypertension. </w:t>
      </w:r>
      <w:r w:rsidRPr="006A6D8B">
        <w:rPr>
          <w:sz w:val="22"/>
          <w:szCs w:val="22"/>
          <w:lang w:val="en-US"/>
        </w:rPr>
        <w:lastRenderedPageBreak/>
        <w:t>Patients and doctors are still concerned about the high risk of surgery. In previous studies, the efficacy of hematological markers, a simple and inexpensive method, predicting thrombosis, inflammation, and mortality was investigated. Most of the studies conducted to show mortality are related to Type B AAD.</w:t>
      </w:r>
      <w:r w:rsidR="00F1639F" w:rsidRPr="00E67146">
        <w:rPr>
          <w:rStyle w:val="DipnotBavurusu"/>
          <w:sz w:val="22"/>
          <w:szCs w:val="22"/>
          <w:lang w:val="en-US"/>
        </w:rPr>
        <w:fldChar w:fldCharType="begin" w:fldLock="1"/>
      </w:r>
      <w:r w:rsidR="003D3313" w:rsidRPr="00E67146">
        <w:rPr>
          <w:sz w:val="22"/>
          <w:szCs w:val="22"/>
          <w:lang w:val="en-US"/>
        </w:rPr>
        <w:instrText>ADDIN CSL_CITATION {"citationItems":[{"id":"ITEM-1","itemData":{"DOI":"10.1097/MD.0000000000016462","ISSN":"15365964","PMID":"31393350","abstract":"The outcome of patients with acute type B aortic dissection (BAAD) is largely dictated by whether or not the case is \"complicated.\" The purpose of this study was to investigate the risk factors leading to in-hospital death among patients with BAAD and then to develop a predictive model to estimate individual risk of in-hospital death.A total of 188 patients with BAAD were enrolled. Risk factors for in-hospital death were investigated with univariate and multivariable logistic regression analysis. Significant risk factors were used to develop a predictive model.The in-hospital mortality rate was 9% (17 of 188 patients). Univariate analysis revealed 7 risk factors to be statistically significant predictors of in-hospital death (P&lt;.1). In multivariable analysis, the following variables at admission were independently associated with increased in-hospital mortality: hypotension (odds ratio [OR], 4.85; 95% confidence interval [CI], 1.12-18.90; P=.04), ischemic complications (OR, 8.24; 95% CI, 1.25-33.85; P&lt;.001), renal dysfunction (OR, 12.32; 95% CI, 10.63-76.66; P&lt;.001), and neutrophil percentage ≥80% (OR, 5.76; 95% CI, 2.58-12.56; P=.03). Based on these multivariable results, a reliable and simple prediction model was developed, a total score of 4 offered the best point value.Independent risk factors associated with in-hospital death can be predicted in BAAD patients. The prediction model could be used to identify the prognosis for BAAD patients and assist physicians in their choice of management.","author":[{"dropping-particle":"","family":"Zhang","given":"Jing","non-dropping-particle":"","parse-names":false,"suffix":""},{"dropping-particle":"","family":"Cheng","given":"Baoshan","non-dropping-particle":"","parse-names":false,"suffix":""},{"dropping-particle":"","family":"Yang","given":"Mengsi","non-dropping-particle":"","parse-names":false,"suffix":""},{"dropping-particle":"","family":"Pan","given":"Jianyuan","non-dropping-particle":"","parse-names":false,"suffix":""},{"dropping-particle":"","family":"Feng","given":"Jun","non-dropping-particle":"","parse-names":false,"suffix":""},{"dropping-particle":"","family":"Cheng","given":"Ziping","non-dropping-particle":"","parse-names":false,"suffix":""},{"dropping-particle":"","family":"Chen","given":"Robert","non-dropping-particle":"","parse-names":false,"suffix":""}],"container-title":"Medicine (United States)","id":"ITEM-1","issue":"32","issued":{"date-parts":[["2019","8","1"]]},"publisher":"Lippincott Williams and Wilkins","title":"Predicting in-hospital death in patients with type B acute aortic dissection","type":"article-journal","volume":"98"},"uris":["http://www.mendeley.com/documents/?uuid=57ebc18d-8688-3ae6-9507-23fa5c7771b6"]}],"mendeley":{"formattedCitation":"&lt;sup&gt;[10]&lt;/sup&gt;","plainTextFormattedCitation":"[10]","previouslyFormattedCitation":"&lt;sup&gt;[10]&lt;/sup&gt;"},"properties":{"noteIndex":0},"schema":"https://github.com/citation-style-language/schema/raw/master/csl-citation.json"}</w:instrText>
      </w:r>
      <w:r w:rsidR="00F1639F" w:rsidRPr="00E67146">
        <w:rPr>
          <w:rStyle w:val="DipnotBavurusu"/>
          <w:sz w:val="22"/>
          <w:szCs w:val="22"/>
          <w:lang w:val="en-US"/>
        </w:rPr>
        <w:fldChar w:fldCharType="separate"/>
      </w:r>
      <w:r w:rsidR="00496F1D" w:rsidRPr="00E67146">
        <w:rPr>
          <w:bCs/>
          <w:noProof/>
          <w:sz w:val="22"/>
          <w:szCs w:val="22"/>
          <w:vertAlign w:val="superscript"/>
          <w:lang w:val="tr-TR"/>
        </w:rPr>
        <w:t>[10]</w:t>
      </w:r>
      <w:r w:rsidR="00F1639F" w:rsidRPr="00E67146">
        <w:rPr>
          <w:rStyle w:val="DipnotBavurusu"/>
          <w:sz w:val="22"/>
          <w:szCs w:val="22"/>
          <w:lang w:val="en-US"/>
        </w:rPr>
        <w:fldChar w:fldCharType="end"/>
      </w:r>
      <w:r w:rsidR="00551BC6" w:rsidRPr="00E67146">
        <w:rPr>
          <w:sz w:val="22"/>
          <w:szCs w:val="22"/>
          <w:lang w:val="en-US"/>
        </w:rPr>
        <w:t xml:space="preserve"> </w:t>
      </w:r>
      <w:r w:rsidRPr="006A6D8B">
        <w:rPr>
          <w:sz w:val="22"/>
          <w:szCs w:val="22"/>
          <w:lang w:val="en-US"/>
        </w:rPr>
        <w:t>The time from diagnosis to surgery may allow such assessments in patients diagnosed with Type B AAD. However, this option can often be overlooked due to the need for rapid surgery decision in patients diagnosed with TAAD.</w:t>
      </w:r>
    </w:p>
    <w:p w14:paraId="77AC33A2" w14:textId="77777777" w:rsidR="004953EF" w:rsidRDefault="00400FE4" w:rsidP="00C14A51">
      <w:pPr>
        <w:ind w:firstLine="720"/>
        <w:rPr>
          <w:sz w:val="22"/>
          <w:szCs w:val="22"/>
          <w:lang w:val="en-US"/>
        </w:rPr>
      </w:pPr>
      <w:r w:rsidRPr="00400FE4">
        <w:rPr>
          <w:sz w:val="22"/>
          <w:szCs w:val="22"/>
          <w:lang w:val="en-US"/>
        </w:rPr>
        <w:t>Several recent studies have found an association between increased hematological inflammatory markers and mortality.</w:t>
      </w:r>
      <w:r>
        <w:rPr>
          <w:sz w:val="22"/>
          <w:szCs w:val="22"/>
          <w:lang w:val="en-US"/>
        </w:rPr>
        <w:fldChar w:fldCharType="begin" w:fldLock="1"/>
      </w:r>
      <w:r>
        <w:rPr>
          <w:sz w:val="22"/>
          <w:szCs w:val="22"/>
          <w:lang w:val="en-US"/>
        </w:rPr>
        <w:instrText>ADDIN CSL_CITATION {"citationItems":[{"id":"ITEM-1","itemData":{"DOI":"10.21470/1678-9741-2020-0144","ISSN":"16789741","PMID":"33113320","author":[{"dropping-particle":"","family":"Liu","given":"Hong","non-dropping-particle":"","parse-names":false,"suffix":""},{"dropping-particle":"","family":"Li","given":"Dongze","non-dropping-particle":"","parse-names":false,"suffix":""},{"dropping-particle":"","family":"Jia","given":"Yu","non-dropping-particle":"","parse-names":false,"suffix":""},{"dropping-particle":"","family":"Zeng","given":"Rui","non-dropping-particle":"","parse-names":false,"suffix":""}],"container-title":"Brazilian Journal of Cardiovascular Surgery","id":"ITEM-1","issue":"6","issued":{"date-parts":[["2020"]]},"page":"1031-1033","publisher":"Sociedade Brasileira de Cirurgia Cardiovascular","title":"Predictive value of white blood cells, neutrophils, platelets, platelet to lymphocyte and neutrophil to lymphocyte ratios in patients with acute aortic dissection","type":"article-journal","volume":"35"},"uris":["http://www.mendeley.com/documents/?uuid=c6144467-2809-3a7e-929b-724f13af20f5"]},{"id":"ITEM-2","itemData":{"DOI":"10.1097/MBC.0000000000000449","ISBN":"0957-5235","ISSN":"1473-5733","abstract":"Type A acute aortic dissection is a life-threatening vascular emergency because of its high morbidity and mortality. Platelet is a pivotal ingredient involved in the development of acute aortic dissection. In this study, we aimed to investigate whether mean platelet volume (MPV)/platelet count ratio predicts in-hospital complications and long-term mortality in type A acute aortic dissection. In this single-center and prospective cohort study, 106 consecutive patients with Stanford type A acute aortic dissection admitted to the hospital within 12h after onset were recruited. The best cut-off value of MPV/platelet count ratio predicting all-cause mortality was determined by the receiver operator characteristic analysis. Patients were divided into high (H-MPV/platelet count) and low (L-MPV/platelet count) groups based on the cut-off value of 7.49 (10 2 fl/10 9 /l). Patients were followed up for 3.5 years. Of the 106 acute aortic dissection patients, 71 (67.0%) died during the study period, with a median follow-up duration of 570 days. Compared to the L-MPV/platelet count group, patients with H-MPV/platelet count had a higher risk of in-hospital complications including hypotension, hypoxemia, myocardial ischemia/infarction, conscious disturbance, pericardial tamponade, paraplegia, and poor survival (all P&lt;0.05). In multivariable Cox regression models adjusted for potential confounders, MPV/platelet count ratio was positively associated with the hazard of all-cause mortality, irrespective of interventions either with medication only or urgent surgery, and the hazard ratios were 2.81 (95% confidence interval 1.28-4.48) for the H-MPV/platelet count group when taking L-MPV/platelet count group as the reference (P=0.005). The MPV/platelet count ratio was a strong independent predictor for in-hospital complications and long-term mortality in patients with type A acute aortic dissection.","author":[{"dropping-particle":"","family":"D.-Z.","given":"Li","non-dropping-particle":"","parse-names":false,"suffix":""},{"dropping-particle":"","family":"Q.-J.","given":"Chen","non-dropping-particle":"","parse-names":false,"suffix":""},{"dropping-particle":"","family":"H.-P.","given":"Sun","non-dropping-particle":"","parse-names":false,"suffix":""},{"dropping-particle":"","family":"R.","given":"Zeng","non-dropping-particle":"","parse-names":false,"suffix":""},{"dropping-particle":"","family":"Z.","given":"Zeng","non-dropping-particle":"","parse-names":false,"suffix":""},{"dropping-particle":"","family":"X.-M.","given":"Gao","non-dropping-particle":"","parse-names":false,"suffix":""},{"dropping-particle":"","family":"Y.-T.","given":"Ma","non-dropping-particle":"","parse-names":false,"suffix":""},{"dropping-particle":"","family":"Y.-N.","given":"Yang","non-dropping-particle":"","parse-names":false,"suffix":""}],"container-title":"Blood Coagulation and Fibrinolysis","id":"ITEM-2","issue":"6","issued":{"date-parts":[["2016"]]},"page":"653-659","title":"Mean platelet volume to platelet count ratio predicts in-hospital complications and long-term mortality in type A acute aortic dissection","type":"article-journal","volume":"27"},"uris":["http://www.mendeley.com/documents/?uuid=9ca578b0-d0e9-46f0-b338-ab47c3c0562c"]}],"mendeley":{"formattedCitation":"&lt;sup&gt;[11,12]&lt;/sup&gt;","plainTextFormattedCitation":"[11,12]","previouslyFormattedCitation":"&lt;sup&gt;[11,12]&lt;/sup&gt;"},"properties":{"noteIndex":0},"schema":"https://github.com/citation-style-language/schema/raw/master/csl-citation.json"}</w:instrText>
      </w:r>
      <w:r>
        <w:rPr>
          <w:sz w:val="22"/>
          <w:szCs w:val="22"/>
          <w:lang w:val="en-US"/>
        </w:rPr>
        <w:fldChar w:fldCharType="separate"/>
      </w:r>
      <w:r w:rsidRPr="00400FE4">
        <w:rPr>
          <w:noProof/>
          <w:sz w:val="22"/>
          <w:szCs w:val="22"/>
          <w:vertAlign w:val="superscript"/>
          <w:lang w:val="en-US"/>
        </w:rPr>
        <w:t>[11,12]</w:t>
      </w:r>
      <w:r>
        <w:rPr>
          <w:sz w:val="22"/>
          <w:szCs w:val="22"/>
          <w:lang w:val="en-US"/>
        </w:rPr>
        <w:fldChar w:fldCharType="end"/>
      </w:r>
      <w:r w:rsidRPr="00400FE4">
        <w:rPr>
          <w:sz w:val="22"/>
          <w:szCs w:val="22"/>
          <w:lang w:val="en-US"/>
        </w:rPr>
        <w:t xml:space="preserve"> In a study conducted by Sbarouni et al. in a patient group with TAAD, they could not find the mortality predictive effect of PLR and NLR.</w:t>
      </w:r>
      <w:r>
        <w:rPr>
          <w:sz w:val="22"/>
          <w:szCs w:val="22"/>
          <w:lang w:val="en-US"/>
        </w:rPr>
        <w:fldChar w:fldCharType="begin" w:fldLock="1"/>
      </w:r>
      <w:r>
        <w:rPr>
          <w:sz w:val="22"/>
          <w:szCs w:val="22"/>
          <w:lang w:val="en-US"/>
        </w:rPr>
        <w:instrText>ADDIN CSL_CITATION {"citationItems":[{"id":"ITEM-1","itemData":{"DOI":"10.1002/jcla.22447","ISSN":"10982825","PMID":"29603401","abstract":"Background: Inflammation plays an important role in the initiation and progression of acute aortic dissection (AAD). New inflammatory indices derived from full cell blood count and its differential may be associated with increased risk. We evaluated platelet-lymphocyte (PLR), red cell distribution width (RDW) and RDW/PLT's (platelets) (RPR) in AAD. Methods: We studied 120 consecutive patients with AAD type I admitted for emergency surgery (group I), 121 consecutive patients with aortic aneurysms of the ascending aorta prior to elective repair (group II) and 121 controls (group III), age and sex matched. Results: PLR was significantly higher in group I vs both groups II and III (P &lt;.001). There was an excellent correlation of PLR with neutrophil/lymphocyte ratio (NLR) in all three groups (P &lt;.001 for all). After adjustment for hemoglobin, RDW did not differ but RPR remained significantly higher in group I compared to groups II and III (P &lt;.001). The best cutoff value of PLR to predict dissection was 159 with 53% sensitivity and 86% specificity. No association between PLR, RDW, and RPR and mortality in group I was found. Conclusions: Indices derived from full cell blood count may provide diagnostic information in patients with AAD; whether these indices may contribute to prognosis assessment should be further investigated.","author":[{"dropping-particle":"","family":"Sbarouni","given":"Eftihia","non-dropping-particle":"","parse-names":false,"suffix":""},{"dropping-particle":"","family":"Georgiadou","given":"Panagiota","non-dropping-particle":"","parse-names":false,"suffix":""},{"dropping-particle":"","family":"Kosmas","given":"Elias","non-dropping-particle":"","parse-names":false,"suffix":""},{"dropping-particle":"","family":"Analitis","given":"Antonis","non-dropping-particle":"","parse-names":false,"suffix":""},{"dropping-particle":"","family":"Voudris","given":"Vassilis","non-dropping-particle":"","parse-names":false,"suffix":""}],"container-title":"Journal of Clinical Laboratory Analysis","id":"ITEM-1","issued":{"date-parts":[["2018"]]},"title":"Platelet to lymphocyte ratio in acute aortic dissection","type":"article-journal"},"uris":["http://www.mendeley.com/documents/?uuid=c4ec6c99-4e01-4790-aac2-d6537f4516d4"]}],"mendeley":{"formattedCitation":"&lt;sup&gt;[13]&lt;/sup&gt;","plainTextFormattedCitation":"[13]","previouslyFormattedCitation":"&lt;sup&gt;[13]&lt;/sup&gt;"},"properties":{"noteIndex":0},"schema":"https://github.com/citation-style-language/schema/raw/master/csl-citation.json"}</w:instrText>
      </w:r>
      <w:r>
        <w:rPr>
          <w:sz w:val="22"/>
          <w:szCs w:val="22"/>
          <w:lang w:val="en-US"/>
        </w:rPr>
        <w:fldChar w:fldCharType="separate"/>
      </w:r>
      <w:r w:rsidRPr="00400FE4">
        <w:rPr>
          <w:noProof/>
          <w:sz w:val="22"/>
          <w:szCs w:val="22"/>
          <w:vertAlign w:val="superscript"/>
          <w:lang w:val="en-US"/>
        </w:rPr>
        <w:t>[13]</w:t>
      </w:r>
      <w:r>
        <w:rPr>
          <w:sz w:val="22"/>
          <w:szCs w:val="22"/>
          <w:lang w:val="en-US"/>
        </w:rPr>
        <w:fldChar w:fldCharType="end"/>
      </w:r>
      <w:r w:rsidRPr="00400FE4">
        <w:rPr>
          <w:sz w:val="22"/>
          <w:szCs w:val="22"/>
          <w:lang w:val="en-US"/>
        </w:rPr>
        <w:t xml:space="preserve"> In another study stating that preoperative hematological markers have a predictive effect on mortality, Erdolu et al. reported that CRP and NLR are predictors of mortality.</w:t>
      </w:r>
      <w:r>
        <w:rPr>
          <w:sz w:val="22"/>
          <w:szCs w:val="22"/>
          <w:lang w:val="en-US"/>
        </w:rPr>
        <w:fldChar w:fldCharType="begin" w:fldLock="1"/>
      </w:r>
      <w:r>
        <w:rPr>
          <w:sz w:val="22"/>
          <w:szCs w:val="22"/>
          <w:lang w:val="en-US"/>
        </w:rPr>
        <w:instrText>ADDIN CSL_CITATION {"citationItems":[{"id":"ITEM-1","itemData":{"DOI":"10.1532/hsf.3055","ISSN":"15226662","PMID":"32726205","abstract":"Background: Aortic dissection is a cardiovascular disease with high mortality and morbidity rates. The aim of this study is to investigate the role of C-reactive protein (CRP) and neutrophil-to-lymphocyte ratio (NLR) in predicting in-hospital mortality in patients undergoing emergent surgery for Stanford type A aortic dissection. Methods: Patients operated for acute Stanford type A aortic dissection between January 2010 and December 2018 were included in the study. Patients without in-hospital mortality were classified as Group 1, and patients with mortality were classified as Group 2. Results: One-hundred-eighteen patients were involved in the study. Patient mean age was 57 ± 11.7 years, and 89 patients (75.4%) were male. Neutrophil-to-lymphocyte ratio (NLR), white blood cell (WBC), neutrophil counts, and C-reactive protein (CRP) values at the time of admission also were found to be high in Group 2 (P = .001, .021, &lt; .001, &lt; .001 respectively). Total perfusion times (TPt), antegrade cerebral perfusion time (ACPt), cross-clamp time (CCt), and intensive care unit (ICU) stay periods significantly were higher in the mortality group (P &lt; .001, &lt; .001, = .01, and &lt; .001, respectively). In receiver-operating characteristic (ROC) curve analysis, a cut-off level of 23 mg/L was determined for CRP levels that predict progression to mortality (area under the curve (AUC): 0.879, P &lt; .001, 75.0% sensitivity and 58.0% specificity). Similarly, a cut-off level of 8.8 was found for NLR that predicts progression to mortality (AUC: 0.835, P &lt; .001, 76.0% sensitivity and 61.0% specificity). Conclusion: As a result, we can use CRP and NLR values, which easily can be measured or calculated from blood tests to predict mortality in patients with aortic dissections, which may have serious mortal consequences.","author":[{"dropping-particle":"","family":"Erdolu","given":"Burak","non-dropping-particle":"","parse-names":false,"suffix":""},{"dropping-particle":"","family":"Kağan As","given":"Ahmet","non-dropping-particle":"","parse-names":false,"suffix":""}],"container-title":"Heart Surgery Forum","id":"ITEM-1","issued":{"date-parts":[["2020"]]},"title":"C-reactive protein and neutrophil to lymphocyte ratio values in predicting inhospital death in patients with stanford type a acute aortic dissection","type":"article-journal"},"uris":["http://www.mendeley.com/documents/?uuid=d8b71fae-4e8c-43ff-94a0-470511709c4b"]}],"mendeley":{"formattedCitation":"&lt;sup&gt;[14]&lt;/sup&gt;","plainTextFormattedCitation":"[14]","previouslyFormattedCitation":"&lt;sup&gt;[14]&lt;/sup&gt;"},"properties":{"noteIndex":0},"schema":"https://github.com/citation-style-language/schema/raw/master/csl-citation.json"}</w:instrText>
      </w:r>
      <w:r>
        <w:rPr>
          <w:sz w:val="22"/>
          <w:szCs w:val="22"/>
          <w:lang w:val="en-US"/>
        </w:rPr>
        <w:fldChar w:fldCharType="separate"/>
      </w:r>
      <w:r w:rsidRPr="00400FE4">
        <w:rPr>
          <w:noProof/>
          <w:sz w:val="22"/>
          <w:szCs w:val="22"/>
          <w:vertAlign w:val="superscript"/>
          <w:lang w:val="en-US"/>
        </w:rPr>
        <w:t>[14]</w:t>
      </w:r>
      <w:r>
        <w:rPr>
          <w:sz w:val="22"/>
          <w:szCs w:val="22"/>
          <w:lang w:val="en-US"/>
        </w:rPr>
        <w:fldChar w:fldCharType="end"/>
      </w:r>
      <w:r w:rsidRPr="00400FE4">
        <w:rPr>
          <w:sz w:val="22"/>
          <w:szCs w:val="22"/>
          <w:lang w:val="en-US"/>
        </w:rPr>
        <w:t xml:space="preserve"> In our study, we could not find the predictive value of these markers. However, when these studies and our studies are examined, it is seen that a limited number of patients and preoperative data are evaluated alone. Preoperative inflammation level may not be high enough to cause mortality. In addition, considering the inflammation caused by intraoperative reasons, it may be insufficient in determining mortality.</w:t>
      </w:r>
    </w:p>
    <w:p w14:paraId="0877F2CA" w14:textId="63186823" w:rsidR="00CF4564" w:rsidRPr="00E67146" w:rsidRDefault="0073225E" w:rsidP="00C14A51">
      <w:pPr>
        <w:ind w:firstLine="720"/>
        <w:rPr>
          <w:b/>
          <w:bCs/>
          <w:i/>
          <w:iCs/>
          <w:sz w:val="22"/>
          <w:szCs w:val="22"/>
          <w:lang w:val="en-US"/>
        </w:rPr>
      </w:pPr>
      <w:r w:rsidRPr="00E67146">
        <w:rPr>
          <w:sz w:val="22"/>
          <w:szCs w:val="22"/>
          <w:lang w:val="en-US"/>
        </w:rPr>
        <w:t>Many tests have been used to predict mortality. However, the reliability of these tests was limited due to a major surgical operation affecting mortality. It was stated that the factors affecting mortality were age, preoperative renal dysfunction and prolongation of CPB duration</w:t>
      </w:r>
      <w:r w:rsidR="00551BC6" w:rsidRPr="00E67146">
        <w:rPr>
          <w:sz w:val="22"/>
          <w:szCs w:val="22"/>
          <w:lang w:val="en-US"/>
        </w:rPr>
        <w:t>.</w:t>
      </w:r>
      <w:r w:rsidR="00F1639F" w:rsidRPr="00E67146">
        <w:rPr>
          <w:rStyle w:val="DipnotBavurusu"/>
          <w:sz w:val="22"/>
          <w:szCs w:val="22"/>
          <w:lang w:val="en-US"/>
        </w:rPr>
        <w:fldChar w:fldCharType="begin" w:fldLock="1"/>
      </w:r>
      <w:r w:rsidR="004953EF">
        <w:rPr>
          <w:sz w:val="22"/>
          <w:szCs w:val="22"/>
          <w:lang w:val="en-US"/>
        </w:rPr>
        <w:instrText>ADDIN CSL_CITATION {"citationItems":[{"id":"ITEM-1","itemData":{"DOI":"10.21037/acs.2016.06.01","ISSN":"23041021","abstract":"Background: Type A aortic dissection (TAAD) is a complex cardiovascular disease that is associated with high perioperative morbidity and mortality. The most effective approach is still being debated-such as the best cannulation technique, and conservative versus extensive initial surgery. We reviewed our experience over the last 20 years and examined for variables that correlated with observed outcomes. Methods: All patients who underwent TAAD repair were reviewed. Chi-Square tests, Fisher Exact tests and Wilcoxon tests were performed where appropriate. Survival and freedom from reoperations were analyzed with the Kaplan-Meier actuarial method. Results: Acute TAAD was associated with a higher incidence of permanent stroke (P=0.010), renal failure (P=0.025), prolonged mechanical ventilator support (P=0.004), higher operative mortality (P=0.039) and higher 30-day mortality (P=0.003) compared to chronic TAAD. There was a trend towards higher risk for transient neurologic events among patients who were reoperated on (P=0.057). Extensive proximal repair led to longer perfusion and cross clamp times (P &lt; 0.001) and the need for temporary mechanical support postoperatively (P=0.011). More patients that had extensive distal repair underwent circulatory arrest (P=0.009) with no significant differences in the incidence of peri-operative complications, early, middle and long-term survival compared to the conservative management group. Overall survival in our series was 66.73% and 46.30% at 5 and 10 years respectively (median survival time: 9.38 years). There was a significant improvement in operative mortality (P=0.002) and 30-day mortality (P=0.033) in the second decade of our study. Conclusion: TAAD is a complex disease with several options for its surgical management. Each technique has its own advantages and complications and surgical management should be individualized depending on the clinical presentation. We propose our present approach to maximize benefits in both the short and long term.","author":[{"dropping-particle":"","family":"Cabasa","given":"Alduz","non-dropping-particle":"","parse-names":false,"suffix":""},{"dropping-particle":"","family":"Pochettino","given":"Alberto","non-dropping-particle":"","parse-names":false,"suffix":""}],"container-title":"Annals of Cardiothoracic Surgery","id":"ITEM-1","issue":"4","issued":{"date-parts":[["2016","7","1"]]},"page":"296-309","publisher":"AME Publishing Company","title":"Surgical management and outcomes of type A dissection-The Mayo Clinic experience","type":"article-journal","volume":"5"},"uris":["http://www.mendeley.com/documents/?uuid=624759ac-45b3-3b1a-b82a-a51a8eade348"]},{"id":"ITEM-2","itemData":{"DOI":"10.1016/j.hlc.2020.05.113","ISSN":"14442892","PMID":"32798049","abstract":"Acute type A aortic dissection is a clinical emergency and is associated with significant morbidity and mortality rates if not managed promptly in specialised and high-volume centres. The mortality rate is increased by 1% for each hour delay in management; however, with advancement in clinical practice, diagnostic imaging and clinician awareness, this has been dramatically reduced to below 30% in most international centres. Not only timing of recognition of the pathology, but also other factors can significantly affect outcomes of such critical pathology. This includes, but is not limited to, age, extent of the pathology, existence of connective tissue disorders, hypertension, diabetes mellitus and surgeon experience. This narrative review will focus on current clinical practice and the evidence behind optimising each factor to minimise adverse outcomes in such high-risk cohort.","author":[{"dropping-particle":"","family":"Harky","given":"Amer","non-dropping-particle":"","parse-names":false,"suffix":""},{"dropping-particle":"","family":"Singh","given":"Vineshwar Pal","non-dropping-particle":"","parse-names":false,"suffix":""},{"dropping-particle":"","family":"Khan","given":"Darab","non-dropping-particle":"","parse-names":false,"suffix":""},{"dropping-particle":"","family":"Sajid","given":"Muhammad Maaz","non-dropping-particle":"","parse-names":false,"suffix":""},{"dropping-particle":"","family":"Kermali","given":"Muhammed","non-dropping-particle":"","parse-names":false,"suffix":""},{"dropping-particle":"","family":"Othman","given":"Ahmed","non-dropping-particle":"","parse-names":false,"suffix":""}],"container-title":"Heart Lung and Circulation","id":"ITEM-2","issue":"11","issued":{"date-parts":[["2020","11","1"]]},"page":"1668-1681","publisher":"Elsevier Ltd","title":"Factors Affecting Outcomes in Acute Type A Aortic Dissection: A Systematic Review","type":"article","volume":"29"},"uris":["http://www.mendeley.com/documents/?uuid=9f90f09c-97c9-31f6-b60e-6ed217795892"]},{"id":"ITEM-3","itemData":{"DOI":"10.21037/jtd.2019.08.72","ISSN":"20776624","abstract":"Background: Postoperative hepatic dysfunction (HD) increases the morbidity and mortality risk after cardiac surgery; however, only a few studies have specifically focused on acute type A aortic dissection (AAAD) surgery. We explored the possible risk factors and outcomes of early postoperative HD in patients with AAAD undergoing surgery. Methods: All patients who underwent AAAD surgery at our institution from April 2015 to April 2017 were retrospectively evaluated. Postoperative model for end-stage liver disease (MELD) score was used to define HD. Independent risk factors for HD were determined by multivariate logistic analysis. Results: Two hundred fifteen patients with AAAD met the inclusion criteria. The incidence rate of early postoperative HD was 60.9%, and the rate of in-hospital mortality was 16.8%. Patients with a high postoperative MELD score had longer mechanical ventilation time, longer durations of intensive care unit (ICU) stay, and higher in-hospital mortality. During the postoperative period, patients with AAAD complicated by HD needed continuous renal replacement therapy (CRRT), reintubation, tracheostomy, and blood transfusion more frequently. Aortic cross clamp (ACC) time [per 10 min higher; odds ratio (OR): 1.216, 95% confidence interval (CI): 1.017–1.454, P=0.032], postoperative leucocytes (per 2×109/L higher; OR: 1.161, 95% CI: 1.018–1.324, P=0.026), postoperative respiratory dysfunction (OR: 3.176, 95% CI: 1.293–7.803, P=0.012), and postoperative low cardiac output syndrome (LCOS) (OR: 12.663, 95% CI: 1.432–111.998, P=0.022) were independent risk factors associated with HD in patients undergoing AAAD surgery. Conclusions: Postoperative HD prolongs mechanical ventilation time and ICU stay, and is associated with increased in-hospital mortality among patients who undergo AAAD surgery. Several factors are associated with a high postoperative MELD score.","author":[{"dropping-particle":"","family":"Zhou","given":"Wei","non-dropping-particle":"","parse-names":false,"suffix":""},{"dropping-particle":"","family":"Wang","given":"Guokun","non-dropping-particle":"","parse-names":false,"suffix":""},{"dropping-particle":"","family":"Liu","given":"Yaoyang","non-dropping-particle":"","parse-names":false,"suffix":""},{"dropping-particle":"","family":"Tao","given":"Yun","non-dropping-particle":"","parse-names":false,"suffix":""},{"dropping-particle":"","family":"Du","given":"Zhen","non-dropping-particle":"","parse-names":false,"suffix":""},{"dropping-particle":"","family":"Tang","given":"Yangfeng","non-dropping-particle":"","parse-names":false,"suffix":""},{"dropping-particle":"","family":"Qiao","given":"Fan","non-dropping-particle":"","parse-names":false,"suffix":""},{"dropping-particle":"","family":"Liu","given":"Yang","non-dropping-particle":"","parse-names":false,"suffix":""},{"dropping-particle":"","family":"Xu","given":"Zhiyun","non-dropping-particle":"","parse-names":false,"suffix":""}],"container-title":"Journal of Thoracic Disease","id":"ITEM-3","issue":"8","issued":{"date-parts":[["2019"]]},"page":"3225-3233","publisher":"AME Publishing Company","title":"Outcomes and risk factors of postoperative hepatic dysfunction in patients undergoing acute type A aortic dissection surgery","type":"article-journal","volume":"11"},"uris":["http://www.mendeley.com/documents/?uuid=838b0dfe-2613-3aaa-a71a-a05e31c8ffbd"]}],"mendeley":{"formattedCitation":"&lt;sup&gt;[15–17]&lt;/sup&gt;","plainTextFormattedCitation":"[15–17]","previouslyFormattedCitation":"&lt;sup&gt;[16–18]&lt;/sup&gt;"},"properties":{"noteIndex":0},"schema":"https://github.com/citation-style-language/schema/raw/master/csl-citation.json"}</w:instrText>
      </w:r>
      <w:r w:rsidR="00F1639F" w:rsidRPr="00E67146">
        <w:rPr>
          <w:rStyle w:val="DipnotBavurusu"/>
          <w:sz w:val="22"/>
          <w:szCs w:val="22"/>
          <w:lang w:val="en-US"/>
        </w:rPr>
        <w:fldChar w:fldCharType="separate"/>
      </w:r>
      <w:r w:rsidR="004953EF" w:rsidRPr="004953EF">
        <w:rPr>
          <w:bCs/>
          <w:noProof/>
          <w:sz w:val="22"/>
          <w:szCs w:val="22"/>
          <w:vertAlign w:val="superscript"/>
          <w:lang w:val="tr-TR"/>
        </w:rPr>
        <w:t>[15–17]</w:t>
      </w:r>
      <w:r w:rsidR="00F1639F" w:rsidRPr="00E67146">
        <w:rPr>
          <w:rStyle w:val="DipnotBavurusu"/>
          <w:sz w:val="22"/>
          <w:szCs w:val="22"/>
          <w:lang w:val="en-US"/>
        </w:rPr>
        <w:fldChar w:fldCharType="end"/>
      </w:r>
      <w:r w:rsidRPr="00E67146">
        <w:rPr>
          <w:sz w:val="22"/>
          <w:szCs w:val="22"/>
          <w:lang w:val="en-US"/>
        </w:rPr>
        <w:t xml:space="preserve"> In the </w:t>
      </w:r>
      <w:r w:rsidR="004A2914" w:rsidRPr="00E67146">
        <w:rPr>
          <w:sz w:val="22"/>
          <w:szCs w:val="22"/>
          <w:lang w:val="en-US"/>
        </w:rPr>
        <w:t>international registry of acute aortic dissection (</w:t>
      </w:r>
      <w:r w:rsidRPr="00E67146">
        <w:rPr>
          <w:sz w:val="22"/>
          <w:szCs w:val="22"/>
          <w:lang w:val="en-US"/>
        </w:rPr>
        <w:t>IRAD</w:t>
      </w:r>
      <w:r w:rsidR="004A2914" w:rsidRPr="00E67146">
        <w:rPr>
          <w:sz w:val="22"/>
          <w:szCs w:val="22"/>
          <w:lang w:val="en-US"/>
        </w:rPr>
        <w:t>)</w:t>
      </w:r>
      <w:r w:rsidRPr="00E67146">
        <w:rPr>
          <w:sz w:val="22"/>
          <w:szCs w:val="22"/>
          <w:lang w:val="en-US"/>
        </w:rPr>
        <w:t xml:space="preserve"> study, Rampoldi et al.</w:t>
      </w:r>
      <w:r w:rsidR="00F1639F" w:rsidRPr="00E67146">
        <w:rPr>
          <w:rStyle w:val="DipnotBavurusu"/>
          <w:sz w:val="22"/>
          <w:szCs w:val="22"/>
          <w:lang w:val="en-US"/>
        </w:rPr>
        <w:fldChar w:fldCharType="begin" w:fldLock="1"/>
      </w:r>
      <w:r w:rsidR="004953EF">
        <w:rPr>
          <w:sz w:val="22"/>
          <w:szCs w:val="22"/>
          <w:lang w:val="en-US"/>
        </w:rPr>
        <w:instrText>ADDIN CSL_CITATION {"citationItems":[{"id":"ITEM-1","itemData":{"DOI":"10.1016/j.athoracsur.2006.08.007","ISSN":"00034975","PMID":"17184630","abstract":"Background: Surgical mortality for acute type A aortic dissection is frequently related to preoperative clinical conditions. We report a predictive score to identify risk of death that may be helpful to assist surgeons who are considering whether to proceed with surgical correction in the case of patients in extreme clinical risk. Methods: Surgical outcome of 682 patients enrolled in the International Registry of Acute Aortic Dissection from 1996 to 2003 was analyzed. Two different models were used. The initial model included only preoperative variables such as demographics, history, symptoms, signs, and diagnostic methods (model 1). The second model also tested intraoperative hemodynamic and surgical variables (model 2). A bedside risk prediction tool to predict operative mortality in individual patients was developed. Results: The overall in-hospital surgical mortality was 23.9%. Independent preoperative predictors of mortality in model 1 were age greater than 70 years, prior cardiac surgery, hypotension (systolic blood pressure less than 100 mm Hg) or shock at presentation, migrating pain, cardiac tamponade, any pulse deficit, and electrocardiogram with findings of myocardial ischemia or infarction. In model 2, other predictors of surgical death were intraoperative hypotension, a right ventricle dysfunction at surgery, and a necessity to perform coronary revascularization. An independent predictor for favorable surgical outcome was right hemiarch replacement. Conclusions: Surgery in unstable patients with acute type A aortic dissection can be highly unsuccessful. The International Registry of Acute Aortic Dissection risk models predict in-hospital mortality using a multivariable risk prediction tool, useful for surgeons and patients as they consider their surgical risk and the pros and cons of embarking on high-risk surgery. © 2007 The Society of Thoracic Surgeons.","author":[{"dropping-particle":"","family":"Rampoldi","given":"Vincenzo","non-dropping-particle":"","parse-names":false,"suffix":""},{"dropping-particle":"","family":"Trimarchi","given":"Santi","non-dropping-particle":"","parse-names":false,"suffix":""},{"dropping-particle":"","family":"Eagle","given":"Kim A.","non-dropping-particle":"","parse-names":false,"suffix":""},{"dropping-particle":"","family":"Nienaber","given":"Christoph A.","non-dropping-particle":"","parse-names":false,"suffix":""},{"dropping-particle":"","family":"Oh","given":"Jae K.","non-dropping-particle":"","parse-names":false,"suffix":""},{"dropping-particle":"","family":"Bossone","given":"Eduardo","non-dropping-particle":"","parse-names":false,"suffix":""},{"dropping-particle":"","family":"Myrmel","given":"Truls","non-dropping-particle":"","parse-names":false,"suffix":""},{"dropping-particle":"","family":"Sangiorgi","given":"Giuseppe M.","non-dropping-particle":"","parse-names":false,"suffix":""},{"dropping-particle":"","family":"Vincentiis","given":"Carlo","non-dropping-particle":"De","parse-names":false,"suffix":""},{"dropping-particle":"V.","family":"Cooper","given":"Jeanna","non-dropping-particle":"","parse-names":false,"suffix":""},{"dropping-particle":"","family":"Fang","given":"Jianming","non-dropping-particle":"","parse-names":false,"suffix":""},{"dropping-particle":"","family":"Smith","given":"Dean","non-dropping-particle":"","parse-names":false,"suffix":""},{"dropping-particle":"","family":"Tsai","given":"Thomas","non-dropping-particle":"","parse-names":false,"suffix":""},{"dropping-particle":"","family":"Raghupathy","given":"Arun","non-dropping-particle":"","parse-names":false,"suffix":""},{"dropping-particle":"","family":"Fattori","given":"Rossella","non-dropping-particle":"","parse-names":false,"suffix":""},{"dropping-particle":"","family":"Sechtem","given":"Udo","non-dropping-particle":"","parse-names":false,"suffix":""},{"dropping-particle":"","family":"Deeb","given":"Michael G.","non-dropping-particle":"","parse-names":false,"suffix":""},{"dropping-particle":"","family":"Sundt","given":"Thoralf M.","non-dropping-particle":"","parse-names":false,"suffix":""},{"dropping-particle":"","family":"Isselbacher","given":"Eric M.","non-dropping-particle":"","parse-names":false,"suffix":""}],"container-title":"Annals of Thoracic Surgery","id":"ITEM-1","issue":"1","issued":{"date-parts":[["2007"]]},"page":"55-61","publisher":"Elsevier USA","title":"Simple Risk Models to Predict Surgical Mortality in Acute Type A Aortic Dissection: The International Registry of Acute Aortic Dissection Score","type":"article-journal","volume":"83"},"uris":["http://www.mendeley.com/documents/?uuid=5191dffa-a7f3-3c7d-9716-4653d0c160ba"]}],"mendeley":{"formattedCitation":"&lt;sup&gt;[18]&lt;/sup&gt;","plainTextFormattedCitation":"[18]","previouslyFormattedCitation":"&lt;sup&gt;[19]&lt;/sup&gt;"},"properties":{"noteIndex":0},"schema":"https://github.com/citation-style-language/schema/raw/master/csl-citation.json"}</w:instrText>
      </w:r>
      <w:r w:rsidR="00F1639F" w:rsidRPr="00E67146">
        <w:rPr>
          <w:rStyle w:val="DipnotBavurusu"/>
          <w:sz w:val="22"/>
          <w:szCs w:val="22"/>
          <w:lang w:val="en-US"/>
        </w:rPr>
        <w:fldChar w:fldCharType="separate"/>
      </w:r>
      <w:r w:rsidR="004953EF" w:rsidRPr="004953EF">
        <w:rPr>
          <w:noProof/>
          <w:sz w:val="22"/>
          <w:szCs w:val="22"/>
          <w:vertAlign w:val="superscript"/>
          <w:lang w:val="en-US"/>
        </w:rPr>
        <w:t>[18]</w:t>
      </w:r>
      <w:r w:rsidR="00F1639F" w:rsidRPr="00E67146">
        <w:rPr>
          <w:rStyle w:val="DipnotBavurusu"/>
          <w:sz w:val="22"/>
          <w:szCs w:val="22"/>
          <w:lang w:val="en-US"/>
        </w:rPr>
        <w:fldChar w:fldCharType="end"/>
      </w:r>
      <w:r w:rsidR="00671341" w:rsidRPr="00E67146">
        <w:rPr>
          <w:sz w:val="22"/>
          <w:szCs w:val="22"/>
          <w:lang w:val="en-US"/>
        </w:rPr>
        <w:t>, i</w:t>
      </w:r>
      <w:r w:rsidRPr="00E67146">
        <w:rPr>
          <w:sz w:val="22"/>
          <w:szCs w:val="22"/>
          <w:lang w:val="en-US"/>
        </w:rPr>
        <w:t>t was found that prolongation of intraoperative T</w:t>
      </w:r>
      <w:r w:rsidR="002C552C" w:rsidRPr="00E67146">
        <w:rPr>
          <w:sz w:val="22"/>
          <w:szCs w:val="22"/>
          <w:lang w:val="en-US"/>
        </w:rPr>
        <w:t>C</w:t>
      </w:r>
      <w:r w:rsidRPr="00E67146">
        <w:rPr>
          <w:sz w:val="22"/>
          <w:szCs w:val="22"/>
          <w:lang w:val="en-US"/>
        </w:rPr>
        <w:t>A duration was associated with mortality. In our study, it was found to be associated with prolonged X-clamp and TCA durations. Graft anastomosis time, which is one of the factors that may affect the prolongation of T</w:t>
      </w:r>
      <w:r w:rsidR="002C552C" w:rsidRPr="00E67146">
        <w:rPr>
          <w:sz w:val="22"/>
          <w:szCs w:val="22"/>
          <w:lang w:val="en-US"/>
        </w:rPr>
        <w:t>C</w:t>
      </w:r>
      <w:r w:rsidRPr="00E67146">
        <w:rPr>
          <w:sz w:val="22"/>
          <w:szCs w:val="22"/>
          <w:lang w:val="en-US"/>
        </w:rPr>
        <w:t>A, may be related to intact aortic tissue. In addition, in cases where the dissection line includes the aortic arch, mortality may increase in this patient group as the duration of the anastomosis may increase, resulting in longer X-clamp and TCA times.</w:t>
      </w:r>
      <w:r w:rsidR="00CF4564" w:rsidRPr="00E67146">
        <w:rPr>
          <w:b/>
          <w:bCs/>
          <w:i/>
          <w:iCs/>
          <w:sz w:val="22"/>
          <w:szCs w:val="22"/>
          <w:lang w:val="en-US"/>
        </w:rPr>
        <w:t xml:space="preserve"> </w:t>
      </w:r>
    </w:p>
    <w:p w14:paraId="7CA9F30A" w14:textId="77777777" w:rsidR="002E6164" w:rsidRPr="00E67146" w:rsidRDefault="0078085D" w:rsidP="00C14A51">
      <w:pPr>
        <w:ind w:firstLine="720"/>
        <w:rPr>
          <w:sz w:val="22"/>
          <w:szCs w:val="22"/>
          <w:lang w:val="en-US"/>
        </w:rPr>
      </w:pPr>
      <w:r w:rsidRPr="00E67146">
        <w:rPr>
          <w:sz w:val="22"/>
          <w:szCs w:val="22"/>
          <w:lang w:val="en-US"/>
        </w:rPr>
        <w:t xml:space="preserve">The data used in this study, which was planned as a retrospective cohort study, have limitations. The time that passes due to the distance of the patients from our center may have an </w:t>
      </w:r>
      <w:r w:rsidRPr="00E67146">
        <w:rPr>
          <w:sz w:val="22"/>
          <w:szCs w:val="22"/>
          <w:lang w:val="en-US"/>
        </w:rPr>
        <w:lastRenderedPageBreak/>
        <w:t>impact on mortality. It will be useful to evaluate the results under these conditions. Causes such as late diagnosis, tamponade due to aortic rupture, and multi</w:t>
      </w:r>
      <w:r w:rsidRPr="00E67146">
        <w:rPr>
          <w:bCs/>
          <w:sz w:val="22"/>
          <w:szCs w:val="22"/>
          <w:lang w:val="en-US"/>
        </w:rPr>
        <w:t>ple</w:t>
      </w:r>
      <w:r w:rsidRPr="00E67146">
        <w:rPr>
          <w:b/>
          <w:bCs/>
          <w:sz w:val="22"/>
          <w:szCs w:val="22"/>
          <w:lang w:val="en-US"/>
        </w:rPr>
        <w:t xml:space="preserve"> </w:t>
      </w:r>
      <w:r w:rsidR="006A22FB" w:rsidRPr="00E67146">
        <w:rPr>
          <w:bCs/>
          <w:sz w:val="22"/>
          <w:szCs w:val="22"/>
          <w:lang w:val="en-US"/>
        </w:rPr>
        <w:t>o</w:t>
      </w:r>
      <w:r w:rsidRPr="00E67146">
        <w:rPr>
          <w:sz w:val="22"/>
          <w:szCs w:val="22"/>
          <w:lang w:val="en-US"/>
        </w:rPr>
        <w:t>rgan failure, which are among the data of preoperative conditions that may affect mortality, could not be presented in our study.</w:t>
      </w:r>
    </w:p>
    <w:p w14:paraId="1EDDC7A9" w14:textId="77777777" w:rsidR="00E67146" w:rsidRDefault="002E6164" w:rsidP="004414C2">
      <w:pPr>
        <w:ind w:firstLine="720"/>
        <w:rPr>
          <w:b/>
          <w:bCs/>
          <w:kern w:val="32"/>
          <w:sz w:val="22"/>
          <w:szCs w:val="22"/>
          <w:lang w:val="en-US"/>
        </w:rPr>
      </w:pPr>
      <w:r w:rsidRPr="00E67146">
        <w:rPr>
          <w:sz w:val="22"/>
          <w:szCs w:val="22"/>
          <w:lang w:val="en-US"/>
        </w:rPr>
        <w:t xml:space="preserve">In conclusion, </w:t>
      </w:r>
      <w:r w:rsidR="00522AF1" w:rsidRPr="00E67146">
        <w:rPr>
          <w:sz w:val="22"/>
          <w:szCs w:val="22"/>
          <w:lang w:val="en-US"/>
        </w:rPr>
        <w:t>T</w:t>
      </w:r>
      <w:r w:rsidR="00EE26D1" w:rsidRPr="00E67146">
        <w:rPr>
          <w:sz w:val="22"/>
          <w:szCs w:val="22"/>
          <w:lang w:val="en-US"/>
        </w:rPr>
        <w:t>AAD continues to be an emergency cardiovascular pathology with high mortality and challenging treatment. Although studies have been carried out for years to predict mortality, and an effective option has not yet been put into use. There is a need for studies involving larger patient groups in which the mortality of patients undergoing surgery is evaluated in addition to preoperative variables, perioperative surg</w:t>
      </w:r>
      <w:r w:rsidR="00EF15B3" w:rsidRPr="00E67146">
        <w:rPr>
          <w:sz w:val="22"/>
          <w:szCs w:val="22"/>
          <w:lang w:val="en-US"/>
        </w:rPr>
        <w:t>ical</w:t>
      </w:r>
      <w:r w:rsidR="00EE26D1" w:rsidRPr="00E67146">
        <w:rPr>
          <w:sz w:val="22"/>
          <w:szCs w:val="22"/>
          <w:lang w:val="en-US"/>
        </w:rPr>
        <w:t>, and hematologic variables.</w:t>
      </w:r>
    </w:p>
    <w:p w14:paraId="3D417024" w14:textId="77777777" w:rsidR="002E6164" w:rsidRPr="00E67146" w:rsidRDefault="002E6164" w:rsidP="00E67146">
      <w:pPr>
        <w:rPr>
          <w:b/>
          <w:bCs/>
          <w:kern w:val="32"/>
          <w:sz w:val="22"/>
          <w:szCs w:val="22"/>
          <w:lang w:val="en-US"/>
        </w:rPr>
      </w:pPr>
      <w:r w:rsidRPr="00E67146">
        <w:rPr>
          <w:b/>
          <w:bCs/>
          <w:kern w:val="32"/>
          <w:sz w:val="22"/>
          <w:szCs w:val="22"/>
          <w:lang w:val="en-US"/>
        </w:rPr>
        <w:t>Declaration of conflicting interests</w:t>
      </w:r>
    </w:p>
    <w:p w14:paraId="1277F570" w14:textId="77777777" w:rsidR="002E6164" w:rsidRPr="00E67146" w:rsidRDefault="002E6164" w:rsidP="00E67146">
      <w:pPr>
        <w:rPr>
          <w:bCs/>
          <w:kern w:val="32"/>
          <w:sz w:val="22"/>
          <w:szCs w:val="22"/>
          <w:lang w:val="en-US"/>
        </w:rPr>
      </w:pPr>
      <w:r w:rsidRPr="00E67146">
        <w:rPr>
          <w:bCs/>
          <w:kern w:val="32"/>
          <w:sz w:val="22"/>
          <w:szCs w:val="22"/>
          <w:lang w:val="en-US"/>
        </w:rPr>
        <w:t>The authors declared no conflicts of interest with respect to the authorship and/or publication of this article.</w:t>
      </w:r>
    </w:p>
    <w:p w14:paraId="1F0F93CB" w14:textId="77777777" w:rsidR="002E6164" w:rsidRPr="00E67146" w:rsidRDefault="002E6164" w:rsidP="00E67146">
      <w:pPr>
        <w:rPr>
          <w:b/>
          <w:bCs/>
          <w:kern w:val="32"/>
          <w:sz w:val="22"/>
          <w:szCs w:val="22"/>
          <w:lang w:val="en-US"/>
        </w:rPr>
      </w:pPr>
      <w:r w:rsidRPr="00E67146">
        <w:rPr>
          <w:b/>
          <w:bCs/>
          <w:kern w:val="32"/>
          <w:sz w:val="22"/>
          <w:szCs w:val="22"/>
          <w:lang w:val="en-US"/>
        </w:rPr>
        <w:t>Funding</w:t>
      </w:r>
    </w:p>
    <w:p w14:paraId="33A59EE0" w14:textId="77777777" w:rsidR="004C5F3D" w:rsidRPr="00E67146" w:rsidRDefault="002E6164" w:rsidP="00E67146">
      <w:pPr>
        <w:rPr>
          <w:sz w:val="22"/>
          <w:szCs w:val="22"/>
          <w:lang w:val="en-US"/>
        </w:rPr>
      </w:pPr>
      <w:r w:rsidRPr="00E67146">
        <w:rPr>
          <w:bCs/>
          <w:kern w:val="32"/>
          <w:sz w:val="22"/>
          <w:szCs w:val="22"/>
          <w:lang w:val="en-US"/>
        </w:rPr>
        <w:t>The authors received no financial support for the research and/or authorship of this article.</w:t>
      </w:r>
    </w:p>
    <w:p w14:paraId="73CCBFD4" w14:textId="77777777" w:rsidR="009C005C" w:rsidRPr="00E67146" w:rsidRDefault="009C005C" w:rsidP="00E67146">
      <w:pPr>
        <w:rPr>
          <w:b/>
          <w:sz w:val="22"/>
          <w:szCs w:val="22"/>
        </w:rPr>
      </w:pPr>
      <w:r w:rsidRPr="00E67146">
        <w:rPr>
          <w:b/>
          <w:sz w:val="22"/>
          <w:szCs w:val="22"/>
        </w:rPr>
        <w:t>References</w:t>
      </w:r>
    </w:p>
    <w:p w14:paraId="0F9898FF" w14:textId="03416C87" w:rsidR="004953EF" w:rsidRPr="004953EF" w:rsidRDefault="002D0018" w:rsidP="004953EF">
      <w:pPr>
        <w:widowControl w:val="0"/>
        <w:autoSpaceDE w:val="0"/>
        <w:autoSpaceDN w:val="0"/>
        <w:adjustRightInd w:val="0"/>
        <w:ind w:left="640" w:hanging="640"/>
        <w:rPr>
          <w:noProof/>
          <w:sz w:val="22"/>
        </w:rPr>
      </w:pPr>
      <w:r w:rsidRPr="00E67146">
        <w:rPr>
          <w:sz w:val="22"/>
          <w:szCs w:val="22"/>
        </w:rPr>
        <w:fldChar w:fldCharType="begin" w:fldLock="1"/>
      </w:r>
      <w:r w:rsidRPr="00E67146">
        <w:rPr>
          <w:sz w:val="22"/>
          <w:szCs w:val="22"/>
        </w:rPr>
        <w:instrText xml:space="preserve">ADDIN Mendeley Bibliography CSL_BIBLIOGRAPHY </w:instrText>
      </w:r>
      <w:r w:rsidRPr="00E67146">
        <w:rPr>
          <w:sz w:val="22"/>
          <w:szCs w:val="22"/>
        </w:rPr>
        <w:fldChar w:fldCharType="separate"/>
      </w:r>
      <w:r w:rsidR="004953EF" w:rsidRPr="004953EF">
        <w:rPr>
          <w:noProof/>
          <w:sz w:val="22"/>
        </w:rPr>
        <w:t xml:space="preserve">1. </w:t>
      </w:r>
      <w:r w:rsidR="004953EF" w:rsidRPr="004953EF">
        <w:rPr>
          <w:noProof/>
          <w:sz w:val="22"/>
        </w:rPr>
        <w:tab/>
        <w:t>Ohle R, Um J, Anjum O, Bleeker H, Luo L, Wells G, et al. High Risk Clinical Features for Acute Aortic Dissection: A Case–Control Study. Acad Emerg Med [Internet] 2018 [cited 2020 Dec 6];25(4):378–87. Available from: https://pubmed.ncbi.nlm.nih.gov/29218798/</w:t>
      </w:r>
    </w:p>
    <w:p w14:paraId="6C323704" w14:textId="77777777" w:rsidR="004953EF" w:rsidRPr="004953EF" w:rsidRDefault="004953EF" w:rsidP="004953EF">
      <w:pPr>
        <w:widowControl w:val="0"/>
        <w:autoSpaceDE w:val="0"/>
        <w:autoSpaceDN w:val="0"/>
        <w:adjustRightInd w:val="0"/>
        <w:ind w:left="640" w:hanging="640"/>
        <w:rPr>
          <w:noProof/>
          <w:sz w:val="22"/>
        </w:rPr>
      </w:pPr>
      <w:r w:rsidRPr="004953EF">
        <w:rPr>
          <w:noProof/>
          <w:sz w:val="22"/>
        </w:rPr>
        <w:t xml:space="preserve">2. </w:t>
      </w:r>
      <w:r w:rsidRPr="004953EF">
        <w:rPr>
          <w:noProof/>
          <w:sz w:val="22"/>
        </w:rPr>
        <w:tab/>
        <w:t>Manea MM, Dragos D, Antonescu F, Sirbu AG, Tiron AT, Dobri AM, et al. Aortic dissection: An easily missed diagnosis when pain doesn’t hold the stage. Am J Case Rep [Internet] 2019 [cited 2020 Dec 6];20:1788–92. Available from: /pmc/articles/PMC6910182/?report=abstract</w:t>
      </w:r>
    </w:p>
    <w:p w14:paraId="5D758020" w14:textId="77777777" w:rsidR="004953EF" w:rsidRPr="004953EF" w:rsidRDefault="004953EF" w:rsidP="004953EF">
      <w:pPr>
        <w:widowControl w:val="0"/>
        <w:autoSpaceDE w:val="0"/>
        <w:autoSpaceDN w:val="0"/>
        <w:adjustRightInd w:val="0"/>
        <w:ind w:left="640" w:hanging="640"/>
        <w:rPr>
          <w:noProof/>
          <w:sz w:val="22"/>
        </w:rPr>
      </w:pPr>
      <w:r w:rsidRPr="004953EF">
        <w:rPr>
          <w:noProof/>
          <w:sz w:val="22"/>
        </w:rPr>
        <w:t xml:space="preserve">3. </w:t>
      </w:r>
      <w:r w:rsidRPr="004953EF">
        <w:rPr>
          <w:noProof/>
          <w:sz w:val="22"/>
        </w:rPr>
        <w:tab/>
        <w:t xml:space="preserve">Mussa FF, Horton JD, Moridzadeh R, Nicholson J, Trimarchi S, Eagle KA, et al. Acute aortic dissection and intramural hematoma a systematic review. JAMA - J Am Med Assoc 2016;316(7):754–63. </w:t>
      </w:r>
    </w:p>
    <w:p w14:paraId="7FC12636" w14:textId="77777777" w:rsidR="004953EF" w:rsidRPr="004953EF" w:rsidRDefault="004953EF" w:rsidP="004953EF">
      <w:pPr>
        <w:widowControl w:val="0"/>
        <w:autoSpaceDE w:val="0"/>
        <w:autoSpaceDN w:val="0"/>
        <w:adjustRightInd w:val="0"/>
        <w:ind w:left="640" w:hanging="640"/>
        <w:rPr>
          <w:noProof/>
          <w:sz w:val="22"/>
        </w:rPr>
      </w:pPr>
      <w:r w:rsidRPr="004953EF">
        <w:rPr>
          <w:noProof/>
          <w:sz w:val="22"/>
        </w:rPr>
        <w:t xml:space="preserve">4. </w:t>
      </w:r>
      <w:r w:rsidRPr="004953EF">
        <w:rPr>
          <w:noProof/>
          <w:sz w:val="22"/>
        </w:rPr>
        <w:tab/>
        <w:t xml:space="preserve">Minegishi S, Watanabe H, Horita N, Shibata Y, Kaneko T, Ishigami T. The current </w:t>
      </w:r>
      <w:r w:rsidRPr="004953EF">
        <w:rPr>
          <w:noProof/>
          <w:sz w:val="22"/>
        </w:rPr>
        <w:lastRenderedPageBreak/>
        <w:t>evidence on diagnosis and treatment of acute aortic syndrome. J Thorac Dis [Internet] 2016 [cited 2020 Dec 6];8(12):E1617–9. Available from: http://www.ncbi.nlm.nih.gov/pubmed/28149596</w:t>
      </w:r>
    </w:p>
    <w:p w14:paraId="2FE3D69C" w14:textId="77777777" w:rsidR="004953EF" w:rsidRPr="004953EF" w:rsidRDefault="004953EF" w:rsidP="004953EF">
      <w:pPr>
        <w:widowControl w:val="0"/>
        <w:autoSpaceDE w:val="0"/>
        <w:autoSpaceDN w:val="0"/>
        <w:adjustRightInd w:val="0"/>
        <w:ind w:left="640" w:hanging="640"/>
        <w:rPr>
          <w:noProof/>
          <w:sz w:val="22"/>
        </w:rPr>
      </w:pPr>
      <w:r w:rsidRPr="004953EF">
        <w:rPr>
          <w:noProof/>
          <w:sz w:val="22"/>
        </w:rPr>
        <w:t xml:space="preserve">5. </w:t>
      </w:r>
      <w:r w:rsidRPr="004953EF">
        <w:rPr>
          <w:noProof/>
          <w:sz w:val="22"/>
        </w:rPr>
        <w:tab/>
        <w:t xml:space="preserve">Baliyan V, Parakh A, Prabhakar AM, Hedgire S. Acute aortic syndromes and aortic emergencies. Cardiovasc. Diagn. Ther.2018;8:S82–96. </w:t>
      </w:r>
    </w:p>
    <w:p w14:paraId="52ACF537" w14:textId="77777777" w:rsidR="004953EF" w:rsidRPr="004953EF" w:rsidRDefault="004953EF" w:rsidP="004953EF">
      <w:pPr>
        <w:widowControl w:val="0"/>
        <w:autoSpaceDE w:val="0"/>
        <w:autoSpaceDN w:val="0"/>
        <w:adjustRightInd w:val="0"/>
        <w:ind w:left="640" w:hanging="640"/>
        <w:rPr>
          <w:noProof/>
          <w:sz w:val="22"/>
        </w:rPr>
      </w:pPr>
      <w:r w:rsidRPr="004953EF">
        <w:rPr>
          <w:noProof/>
          <w:sz w:val="22"/>
        </w:rPr>
        <w:t xml:space="preserve">6. </w:t>
      </w:r>
      <w:r w:rsidRPr="004953EF">
        <w:rPr>
          <w:noProof/>
          <w:sz w:val="22"/>
        </w:rPr>
        <w:tab/>
        <w:t>Bashir M, Harky A, Fok M, Shaw M, Hickey GL, Grant SW, et al. Acute type A aortic dissection in the United Kingdom: Surgeon volume-outcome relation. J Thorac Cardiovasc Surg [Internet] 2017 [cited 2021 Feb 15];154(2):398-406.e1. Available from: https://pubmed.ncbi.nlm.nih.gov/28291608/</w:t>
      </w:r>
    </w:p>
    <w:p w14:paraId="504810F4" w14:textId="77777777" w:rsidR="004953EF" w:rsidRPr="004953EF" w:rsidRDefault="004953EF" w:rsidP="004953EF">
      <w:pPr>
        <w:widowControl w:val="0"/>
        <w:autoSpaceDE w:val="0"/>
        <w:autoSpaceDN w:val="0"/>
        <w:adjustRightInd w:val="0"/>
        <w:ind w:left="640" w:hanging="640"/>
        <w:rPr>
          <w:noProof/>
          <w:sz w:val="22"/>
        </w:rPr>
      </w:pPr>
      <w:r w:rsidRPr="004953EF">
        <w:rPr>
          <w:noProof/>
          <w:sz w:val="22"/>
        </w:rPr>
        <w:t xml:space="preserve">7. </w:t>
      </w:r>
      <w:r w:rsidRPr="004953EF">
        <w:rPr>
          <w:noProof/>
          <w:sz w:val="22"/>
        </w:rPr>
        <w:tab/>
        <w:t>Ramanath VS, Oh JK, Sundt TM, Eagle KA. Acute Aortic Syndromes and Thoracic Aortic Aneurysm. Mayo Clin Proc [Internet] 2009 [cited 2021 Feb 4];84(5):465–81. Available from: /pmc/articles/PMC2676130/?report=abstract</w:t>
      </w:r>
    </w:p>
    <w:p w14:paraId="77BF2F89" w14:textId="77777777" w:rsidR="004953EF" w:rsidRPr="004953EF" w:rsidRDefault="004953EF" w:rsidP="004953EF">
      <w:pPr>
        <w:widowControl w:val="0"/>
        <w:autoSpaceDE w:val="0"/>
        <w:autoSpaceDN w:val="0"/>
        <w:adjustRightInd w:val="0"/>
        <w:ind w:left="640" w:hanging="640"/>
        <w:rPr>
          <w:noProof/>
          <w:sz w:val="22"/>
        </w:rPr>
      </w:pPr>
      <w:r w:rsidRPr="004953EF">
        <w:rPr>
          <w:noProof/>
          <w:sz w:val="22"/>
        </w:rPr>
        <w:t xml:space="preserve">8. </w:t>
      </w:r>
      <w:r w:rsidRPr="004953EF">
        <w:rPr>
          <w:noProof/>
          <w:sz w:val="22"/>
        </w:rPr>
        <w:tab/>
        <w:t>Bedel C, Selvi F. Association of platelet to lymphocyte and neutrophil to lymphocyte ratios with in-hospital mortality in patients with type a acute aortic dissection. Brazilian J Cardiovasc Surg [Internet] 2019 [cited 2021 Feb 15];34(6):694–8. Available from: /pmc/articles/PMC6894039/</w:t>
      </w:r>
    </w:p>
    <w:p w14:paraId="7C8FA53C" w14:textId="77777777" w:rsidR="004953EF" w:rsidRPr="004953EF" w:rsidRDefault="004953EF" w:rsidP="004953EF">
      <w:pPr>
        <w:widowControl w:val="0"/>
        <w:autoSpaceDE w:val="0"/>
        <w:autoSpaceDN w:val="0"/>
        <w:adjustRightInd w:val="0"/>
        <w:ind w:left="640" w:hanging="640"/>
        <w:rPr>
          <w:noProof/>
          <w:sz w:val="22"/>
        </w:rPr>
      </w:pPr>
      <w:r w:rsidRPr="004953EF">
        <w:rPr>
          <w:noProof/>
          <w:sz w:val="22"/>
        </w:rPr>
        <w:t xml:space="preserve">9. </w:t>
      </w:r>
      <w:r w:rsidRPr="004953EF">
        <w:rPr>
          <w:noProof/>
          <w:sz w:val="22"/>
        </w:rPr>
        <w:tab/>
        <w:t>Monteiro Júnior JG de M, de Oliveira Cipriano Torres D, Filho DCS. Hematological Parameters as Prognostic Biomarkers in Patients with Cardiovascular Diseases. Curr Cardiol Rev [Internet] 2019 [cited 2021 Feb 15];15(4):274–82. Available from: https://pubmed.ncbi.nlm.nih.gov/30799790/</w:t>
      </w:r>
    </w:p>
    <w:p w14:paraId="2DC2E26A" w14:textId="77777777" w:rsidR="004953EF" w:rsidRPr="004953EF" w:rsidRDefault="004953EF" w:rsidP="004953EF">
      <w:pPr>
        <w:widowControl w:val="0"/>
        <w:autoSpaceDE w:val="0"/>
        <w:autoSpaceDN w:val="0"/>
        <w:adjustRightInd w:val="0"/>
        <w:ind w:left="640" w:hanging="640"/>
        <w:rPr>
          <w:noProof/>
          <w:sz w:val="22"/>
        </w:rPr>
      </w:pPr>
      <w:r w:rsidRPr="004953EF">
        <w:rPr>
          <w:noProof/>
          <w:sz w:val="22"/>
        </w:rPr>
        <w:t xml:space="preserve">10. </w:t>
      </w:r>
      <w:r w:rsidRPr="004953EF">
        <w:rPr>
          <w:noProof/>
          <w:sz w:val="22"/>
        </w:rPr>
        <w:tab/>
        <w:t>Zhang J, Cheng B, Yang M, Pan J, Feng J, Cheng Z, et al. Predicting in-hospital death in patients with type B acute aortic dissection. Med (United States) [Internet] 2019 [cited 2020 Dec 6];98(32). Available from: /pmc/articles/PMC6709184/?report=abstract</w:t>
      </w:r>
    </w:p>
    <w:p w14:paraId="2874BA7A" w14:textId="77777777" w:rsidR="004953EF" w:rsidRPr="004953EF" w:rsidRDefault="004953EF" w:rsidP="004953EF">
      <w:pPr>
        <w:widowControl w:val="0"/>
        <w:autoSpaceDE w:val="0"/>
        <w:autoSpaceDN w:val="0"/>
        <w:adjustRightInd w:val="0"/>
        <w:ind w:left="640" w:hanging="640"/>
        <w:rPr>
          <w:noProof/>
          <w:sz w:val="22"/>
        </w:rPr>
      </w:pPr>
      <w:r w:rsidRPr="004953EF">
        <w:rPr>
          <w:noProof/>
          <w:sz w:val="22"/>
        </w:rPr>
        <w:t xml:space="preserve">11. </w:t>
      </w:r>
      <w:r w:rsidRPr="004953EF">
        <w:rPr>
          <w:noProof/>
          <w:sz w:val="22"/>
        </w:rPr>
        <w:tab/>
        <w:t>Liu H, Li D, Jia Y, Zeng R. Predictive value of white blood cells, neutrophils, platelets, platelet to lymphocyte and neutrophil to lymphocyte ratios in patients with acute aortic dissection. Brazilian J Cardiovasc Surg [Internet] 2020 [cited 2021 Feb 15];35(6):1031–3. Available from: https://pubmed.ncbi.nlm.nih.gov/33113320/</w:t>
      </w:r>
    </w:p>
    <w:p w14:paraId="2122961E" w14:textId="77777777" w:rsidR="004953EF" w:rsidRPr="004953EF" w:rsidRDefault="004953EF" w:rsidP="004953EF">
      <w:pPr>
        <w:widowControl w:val="0"/>
        <w:autoSpaceDE w:val="0"/>
        <w:autoSpaceDN w:val="0"/>
        <w:adjustRightInd w:val="0"/>
        <w:ind w:left="640" w:hanging="640"/>
        <w:rPr>
          <w:noProof/>
          <w:sz w:val="22"/>
        </w:rPr>
      </w:pPr>
      <w:r w:rsidRPr="004953EF">
        <w:rPr>
          <w:noProof/>
          <w:sz w:val="22"/>
        </w:rPr>
        <w:t xml:space="preserve">12. </w:t>
      </w:r>
      <w:r w:rsidRPr="004953EF">
        <w:rPr>
          <w:noProof/>
          <w:sz w:val="22"/>
        </w:rPr>
        <w:tab/>
        <w:t xml:space="preserve">D.-Z. L, Q.-J. C, H.-P. S, R. Z, Z. Z, X.-M. G, et al. Mean platelet volume to platelet </w:t>
      </w:r>
      <w:r w:rsidRPr="004953EF">
        <w:rPr>
          <w:noProof/>
          <w:sz w:val="22"/>
        </w:rPr>
        <w:lastRenderedPageBreak/>
        <w:t>count ratio predicts in-hospital complications and long-term mortality in type A acute aortic dissection. Blood Coagul Fibrinolysis [Internet] 2016;27(6):653–9. Available from: http://www.embase.com/search/results?subaction=viewrecord&amp;from=export&amp;id=L606982537%0Ahttp://dx.doi.org/10.1097/MBC.0000000000000449%0Ahttp://rug.on.worldcat.org/atoztitles/link/?sid=EMBASE&amp;issn=14735733&amp;id=doi:10.1097%2FMBC.0000000000000449&amp;atitle=Mean+p</w:t>
      </w:r>
    </w:p>
    <w:p w14:paraId="46E5AE6D" w14:textId="77777777" w:rsidR="004953EF" w:rsidRPr="004953EF" w:rsidRDefault="004953EF" w:rsidP="004953EF">
      <w:pPr>
        <w:widowControl w:val="0"/>
        <w:autoSpaceDE w:val="0"/>
        <w:autoSpaceDN w:val="0"/>
        <w:adjustRightInd w:val="0"/>
        <w:ind w:left="640" w:hanging="640"/>
        <w:rPr>
          <w:noProof/>
          <w:sz w:val="22"/>
        </w:rPr>
      </w:pPr>
      <w:r w:rsidRPr="004953EF">
        <w:rPr>
          <w:noProof/>
          <w:sz w:val="22"/>
        </w:rPr>
        <w:t xml:space="preserve">13. </w:t>
      </w:r>
      <w:r w:rsidRPr="004953EF">
        <w:rPr>
          <w:noProof/>
          <w:sz w:val="22"/>
        </w:rPr>
        <w:tab/>
        <w:t>Sbarouni E, Georgiadou P, Kosmas E, Analitis A, Voudris V. Platelet to lymphocyte ratio in acute aortic dissection. J Clin Lab Anal 2018;</w:t>
      </w:r>
    </w:p>
    <w:p w14:paraId="746167E8" w14:textId="77777777" w:rsidR="004953EF" w:rsidRPr="004953EF" w:rsidRDefault="004953EF" w:rsidP="004953EF">
      <w:pPr>
        <w:widowControl w:val="0"/>
        <w:autoSpaceDE w:val="0"/>
        <w:autoSpaceDN w:val="0"/>
        <w:adjustRightInd w:val="0"/>
        <w:ind w:left="640" w:hanging="640"/>
        <w:rPr>
          <w:noProof/>
          <w:sz w:val="22"/>
        </w:rPr>
      </w:pPr>
      <w:r w:rsidRPr="004953EF">
        <w:rPr>
          <w:noProof/>
          <w:sz w:val="22"/>
        </w:rPr>
        <w:t xml:space="preserve">14. </w:t>
      </w:r>
      <w:r w:rsidRPr="004953EF">
        <w:rPr>
          <w:noProof/>
          <w:sz w:val="22"/>
        </w:rPr>
        <w:tab/>
        <w:t>Erdolu B, Kağan As A. C-reactive protein and neutrophil to lymphocyte ratio values in predicting inhospital death in patients with stanford type a acute aortic dissection. Heart Surg Forum 2020;</w:t>
      </w:r>
    </w:p>
    <w:p w14:paraId="57DC2717" w14:textId="77777777" w:rsidR="004953EF" w:rsidRPr="004953EF" w:rsidRDefault="004953EF" w:rsidP="004953EF">
      <w:pPr>
        <w:widowControl w:val="0"/>
        <w:autoSpaceDE w:val="0"/>
        <w:autoSpaceDN w:val="0"/>
        <w:adjustRightInd w:val="0"/>
        <w:ind w:left="640" w:hanging="640"/>
        <w:rPr>
          <w:noProof/>
          <w:sz w:val="22"/>
        </w:rPr>
      </w:pPr>
      <w:r w:rsidRPr="004953EF">
        <w:rPr>
          <w:noProof/>
          <w:sz w:val="22"/>
        </w:rPr>
        <w:t xml:space="preserve">15. </w:t>
      </w:r>
      <w:r w:rsidRPr="004953EF">
        <w:rPr>
          <w:noProof/>
          <w:sz w:val="22"/>
        </w:rPr>
        <w:tab/>
        <w:t>Cabasa A, Pochettino A. Surgical management and outcomes of type A dissection-The Mayo Clinic experience. Ann Cardiothorac Surg [Internet] 2016 [cited 2021 Feb 15];5(4):296–309. Available from: /pmc/articles/PMC4973124/</w:t>
      </w:r>
    </w:p>
    <w:p w14:paraId="33D48847" w14:textId="77777777" w:rsidR="004953EF" w:rsidRPr="004953EF" w:rsidRDefault="004953EF" w:rsidP="004953EF">
      <w:pPr>
        <w:widowControl w:val="0"/>
        <w:autoSpaceDE w:val="0"/>
        <w:autoSpaceDN w:val="0"/>
        <w:adjustRightInd w:val="0"/>
        <w:ind w:left="640" w:hanging="640"/>
        <w:rPr>
          <w:noProof/>
          <w:sz w:val="22"/>
        </w:rPr>
      </w:pPr>
      <w:r w:rsidRPr="004953EF">
        <w:rPr>
          <w:noProof/>
          <w:sz w:val="22"/>
        </w:rPr>
        <w:t xml:space="preserve">16. </w:t>
      </w:r>
      <w:r w:rsidRPr="004953EF">
        <w:rPr>
          <w:noProof/>
          <w:sz w:val="22"/>
        </w:rPr>
        <w:tab/>
        <w:t>Harky A, Singh VP, Khan D, Sajid MM, Kermali M, Othman A. Factors Affecting Outcomes in Acute Type A Aortic Dissection: A Systematic Review [Internet]. Hear. Lung Circ.2020 [cited 2020 Dec 6];29(11):1668–81. Available from: http://www.heartlungcirc.org/article/S1443950620303085/fulltext</w:t>
      </w:r>
    </w:p>
    <w:p w14:paraId="7B7CED59" w14:textId="77777777" w:rsidR="004953EF" w:rsidRPr="004953EF" w:rsidRDefault="004953EF" w:rsidP="004953EF">
      <w:pPr>
        <w:widowControl w:val="0"/>
        <w:autoSpaceDE w:val="0"/>
        <w:autoSpaceDN w:val="0"/>
        <w:adjustRightInd w:val="0"/>
        <w:ind w:left="640" w:hanging="640"/>
        <w:rPr>
          <w:noProof/>
          <w:sz w:val="22"/>
        </w:rPr>
      </w:pPr>
      <w:r w:rsidRPr="004953EF">
        <w:rPr>
          <w:noProof/>
          <w:sz w:val="22"/>
        </w:rPr>
        <w:t xml:space="preserve">17. </w:t>
      </w:r>
      <w:r w:rsidRPr="004953EF">
        <w:rPr>
          <w:noProof/>
          <w:sz w:val="22"/>
        </w:rPr>
        <w:tab/>
        <w:t>Zhou W, Wang G, Liu Y, Tao Y, Du Z, Tang Y, et al. Outcomes and risk factors of postoperative hepatic dysfunction in patients undergoing acute type A aortic dissection surgery. J Thorac Dis [Internet] 2019 [cited 2020 Dec 6];11(8):3225–33. Available from: /pmc/articles/PMC6753406/?report=abstract</w:t>
      </w:r>
    </w:p>
    <w:p w14:paraId="02AA5C35" w14:textId="77777777" w:rsidR="004953EF" w:rsidRPr="004953EF" w:rsidRDefault="004953EF" w:rsidP="004953EF">
      <w:pPr>
        <w:widowControl w:val="0"/>
        <w:autoSpaceDE w:val="0"/>
        <w:autoSpaceDN w:val="0"/>
        <w:adjustRightInd w:val="0"/>
        <w:ind w:left="640" w:hanging="640"/>
        <w:rPr>
          <w:noProof/>
          <w:sz w:val="22"/>
        </w:rPr>
      </w:pPr>
      <w:r w:rsidRPr="004953EF">
        <w:rPr>
          <w:noProof/>
          <w:sz w:val="22"/>
        </w:rPr>
        <w:t xml:space="preserve">18. </w:t>
      </w:r>
      <w:r w:rsidRPr="004953EF">
        <w:rPr>
          <w:noProof/>
          <w:sz w:val="22"/>
        </w:rPr>
        <w:tab/>
        <w:t>Rampoldi V, Trimarchi S, Eagle KA, Nienaber CA, Oh JK, Bossone E, et al. Simple Risk Models to Predict Surgical Mortality in Acute Type A Aortic Dissection: The International Registry of Acute Aortic Dissection Score. Ann Thorac Surg [Internet] 2007 [cited 2021 Feb 15];83(1):55–61. Available from: https://pubmed.ncbi.nlm.nih.gov/17184630/</w:t>
      </w:r>
    </w:p>
    <w:p w14:paraId="46B2824A" w14:textId="26716E47" w:rsidR="00F764A6" w:rsidRPr="00E67146" w:rsidRDefault="002D0018" w:rsidP="00400FE4">
      <w:pPr>
        <w:rPr>
          <w:rFonts w:eastAsia="Calibri"/>
          <w:sz w:val="22"/>
          <w:szCs w:val="22"/>
          <w:lang w:val="en-US" w:eastAsia="en-US"/>
        </w:rPr>
      </w:pPr>
      <w:r w:rsidRPr="00E67146">
        <w:rPr>
          <w:sz w:val="22"/>
          <w:szCs w:val="22"/>
        </w:rPr>
        <w:lastRenderedPageBreak/>
        <w:fldChar w:fldCharType="end"/>
      </w:r>
    </w:p>
    <w:p w14:paraId="493D38E2" w14:textId="77777777" w:rsidR="009A6032" w:rsidRPr="00E67146" w:rsidRDefault="009A6032" w:rsidP="00E67146">
      <w:pPr>
        <w:rPr>
          <w:rFonts w:eastAsia="Calibri"/>
          <w:b/>
          <w:sz w:val="22"/>
          <w:szCs w:val="22"/>
          <w:lang w:val="en-US" w:eastAsia="en-US"/>
        </w:rPr>
      </w:pPr>
    </w:p>
    <w:p w14:paraId="4CBC1470" w14:textId="7CFDB2BB" w:rsidR="009A6032" w:rsidRDefault="009A6032" w:rsidP="00E67146">
      <w:pPr>
        <w:rPr>
          <w:rFonts w:eastAsia="Calibri"/>
          <w:b/>
          <w:sz w:val="22"/>
          <w:szCs w:val="22"/>
          <w:lang w:val="en-US" w:eastAsia="en-US"/>
        </w:rPr>
      </w:pPr>
    </w:p>
    <w:p w14:paraId="2BBEA13A" w14:textId="4B3BFA1F" w:rsidR="007B158D" w:rsidRDefault="007B158D" w:rsidP="00E67146">
      <w:pPr>
        <w:rPr>
          <w:rFonts w:eastAsia="Calibri"/>
          <w:b/>
          <w:sz w:val="22"/>
          <w:szCs w:val="22"/>
          <w:lang w:val="en-US" w:eastAsia="en-US"/>
        </w:rPr>
      </w:pPr>
    </w:p>
    <w:p w14:paraId="56F75F1C" w14:textId="6B08ABEE" w:rsidR="007B158D" w:rsidRDefault="007B158D" w:rsidP="00E67146">
      <w:pPr>
        <w:rPr>
          <w:rFonts w:eastAsia="Calibri"/>
          <w:b/>
          <w:sz w:val="22"/>
          <w:szCs w:val="22"/>
          <w:lang w:val="en-US" w:eastAsia="en-US"/>
        </w:rPr>
      </w:pPr>
    </w:p>
    <w:p w14:paraId="46B8C5D8" w14:textId="398AB707" w:rsidR="007B158D" w:rsidRDefault="007B158D" w:rsidP="00E67146">
      <w:pPr>
        <w:rPr>
          <w:rFonts w:eastAsia="Calibri"/>
          <w:b/>
          <w:sz w:val="22"/>
          <w:szCs w:val="22"/>
          <w:lang w:val="en-US" w:eastAsia="en-US"/>
        </w:rPr>
      </w:pPr>
    </w:p>
    <w:p w14:paraId="199C4CEE" w14:textId="1C400195" w:rsidR="007B158D" w:rsidRDefault="007B158D" w:rsidP="00E67146">
      <w:pPr>
        <w:rPr>
          <w:rFonts w:eastAsia="Calibri"/>
          <w:b/>
          <w:sz w:val="22"/>
          <w:szCs w:val="22"/>
          <w:lang w:val="en-US" w:eastAsia="en-US"/>
        </w:rPr>
      </w:pPr>
    </w:p>
    <w:p w14:paraId="5E8970AB" w14:textId="59B42B28" w:rsidR="007B158D" w:rsidRDefault="007B158D" w:rsidP="00E67146">
      <w:pPr>
        <w:rPr>
          <w:rFonts w:eastAsia="Calibri"/>
          <w:b/>
          <w:sz w:val="22"/>
          <w:szCs w:val="22"/>
          <w:lang w:val="en-US" w:eastAsia="en-US"/>
        </w:rPr>
      </w:pPr>
    </w:p>
    <w:p w14:paraId="6FE891F8" w14:textId="4834BB46" w:rsidR="007B158D" w:rsidRDefault="007B158D" w:rsidP="00E67146">
      <w:pPr>
        <w:rPr>
          <w:rFonts w:eastAsia="Calibri"/>
          <w:b/>
          <w:sz w:val="22"/>
          <w:szCs w:val="22"/>
          <w:lang w:val="en-US" w:eastAsia="en-US"/>
        </w:rPr>
      </w:pPr>
    </w:p>
    <w:p w14:paraId="2A0140BA" w14:textId="0D1CE050" w:rsidR="007B158D" w:rsidRDefault="007B158D" w:rsidP="00E67146">
      <w:pPr>
        <w:rPr>
          <w:rFonts w:eastAsia="Calibri"/>
          <w:b/>
          <w:sz w:val="22"/>
          <w:szCs w:val="22"/>
          <w:lang w:val="en-US" w:eastAsia="en-US"/>
        </w:rPr>
      </w:pPr>
    </w:p>
    <w:p w14:paraId="27D60E24" w14:textId="59E953F1" w:rsidR="007B158D" w:rsidRDefault="007B158D" w:rsidP="00E67146">
      <w:pPr>
        <w:rPr>
          <w:rFonts w:eastAsia="Calibri"/>
          <w:b/>
          <w:sz w:val="22"/>
          <w:szCs w:val="22"/>
          <w:lang w:val="en-US" w:eastAsia="en-US"/>
        </w:rPr>
      </w:pPr>
    </w:p>
    <w:p w14:paraId="67462EB9" w14:textId="0A7B57CF" w:rsidR="007B158D" w:rsidRDefault="007B158D" w:rsidP="00E67146">
      <w:pPr>
        <w:rPr>
          <w:rFonts w:eastAsia="Calibri"/>
          <w:b/>
          <w:sz w:val="22"/>
          <w:szCs w:val="22"/>
          <w:lang w:val="en-US" w:eastAsia="en-US"/>
        </w:rPr>
      </w:pPr>
    </w:p>
    <w:p w14:paraId="38E4698E" w14:textId="2DB23FC2" w:rsidR="007B158D" w:rsidRDefault="007B158D" w:rsidP="00E67146">
      <w:pPr>
        <w:rPr>
          <w:rFonts w:eastAsia="Calibri"/>
          <w:b/>
          <w:sz w:val="22"/>
          <w:szCs w:val="22"/>
          <w:lang w:val="en-US" w:eastAsia="en-US"/>
        </w:rPr>
      </w:pPr>
    </w:p>
    <w:p w14:paraId="2A44C0C8" w14:textId="2AA48130" w:rsidR="007B158D" w:rsidRDefault="007B158D" w:rsidP="00E67146">
      <w:pPr>
        <w:rPr>
          <w:rFonts w:eastAsia="Calibri"/>
          <w:b/>
          <w:sz w:val="22"/>
          <w:szCs w:val="22"/>
          <w:lang w:val="en-US" w:eastAsia="en-US"/>
        </w:rPr>
      </w:pPr>
    </w:p>
    <w:p w14:paraId="03FCE1B0" w14:textId="176AC8D9" w:rsidR="007B158D" w:rsidRDefault="007B158D" w:rsidP="00E67146">
      <w:pPr>
        <w:rPr>
          <w:rFonts w:eastAsia="Calibri"/>
          <w:b/>
          <w:sz w:val="22"/>
          <w:szCs w:val="22"/>
          <w:lang w:val="en-US" w:eastAsia="en-US"/>
        </w:rPr>
      </w:pPr>
    </w:p>
    <w:p w14:paraId="76A7F13D" w14:textId="23DEAB25" w:rsidR="007B158D" w:rsidRDefault="007B158D" w:rsidP="00E67146">
      <w:pPr>
        <w:rPr>
          <w:rFonts w:eastAsia="Calibri"/>
          <w:b/>
          <w:sz w:val="22"/>
          <w:szCs w:val="22"/>
          <w:lang w:val="en-US" w:eastAsia="en-US"/>
        </w:rPr>
      </w:pPr>
    </w:p>
    <w:p w14:paraId="30587931" w14:textId="4D2E22F8" w:rsidR="007B158D" w:rsidRDefault="007B158D" w:rsidP="00E67146">
      <w:pPr>
        <w:rPr>
          <w:rFonts w:eastAsia="Calibri"/>
          <w:b/>
          <w:sz w:val="22"/>
          <w:szCs w:val="22"/>
          <w:lang w:val="en-US" w:eastAsia="en-US"/>
        </w:rPr>
      </w:pPr>
    </w:p>
    <w:p w14:paraId="7E005995" w14:textId="6E79B2FF" w:rsidR="007B158D" w:rsidRDefault="007B158D" w:rsidP="00E67146">
      <w:pPr>
        <w:rPr>
          <w:rFonts w:eastAsia="Calibri"/>
          <w:b/>
          <w:sz w:val="22"/>
          <w:szCs w:val="22"/>
          <w:lang w:val="en-US" w:eastAsia="en-US"/>
        </w:rPr>
      </w:pPr>
    </w:p>
    <w:p w14:paraId="4DD4C2DE" w14:textId="76449D94" w:rsidR="007B158D" w:rsidRDefault="007B158D" w:rsidP="00E67146">
      <w:pPr>
        <w:rPr>
          <w:rFonts w:eastAsia="Calibri"/>
          <w:b/>
          <w:sz w:val="22"/>
          <w:szCs w:val="22"/>
          <w:lang w:val="en-US" w:eastAsia="en-US"/>
        </w:rPr>
      </w:pPr>
    </w:p>
    <w:p w14:paraId="415E3C4A" w14:textId="573BB0BB" w:rsidR="007B158D" w:rsidRDefault="007B158D" w:rsidP="00E67146">
      <w:pPr>
        <w:rPr>
          <w:rFonts w:eastAsia="Calibri"/>
          <w:b/>
          <w:sz w:val="22"/>
          <w:szCs w:val="22"/>
          <w:lang w:val="en-US" w:eastAsia="en-US"/>
        </w:rPr>
      </w:pPr>
    </w:p>
    <w:p w14:paraId="27F7EB93" w14:textId="6D15209F" w:rsidR="007B158D" w:rsidRDefault="007B158D" w:rsidP="00E67146">
      <w:pPr>
        <w:rPr>
          <w:rFonts w:eastAsia="Calibri"/>
          <w:b/>
          <w:sz w:val="22"/>
          <w:szCs w:val="22"/>
          <w:lang w:val="en-US" w:eastAsia="en-US"/>
        </w:rPr>
      </w:pPr>
    </w:p>
    <w:p w14:paraId="5E9152C5" w14:textId="082135B3" w:rsidR="007B158D" w:rsidRDefault="007B158D" w:rsidP="00E67146">
      <w:pPr>
        <w:rPr>
          <w:rFonts w:eastAsia="Calibri"/>
          <w:b/>
          <w:sz w:val="22"/>
          <w:szCs w:val="22"/>
          <w:lang w:val="en-US" w:eastAsia="en-US"/>
        </w:rPr>
      </w:pPr>
    </w:p>
    <w:p w14:paraId="7D15B73E" w14:textId="77777777" w:rsidR="007B158D" w:rsidRPr="00E67146" w:rsidRDefault="007B158D" w:rsidP="00E67146">
      <w:pPr>
        <w:rPr>
          <w:rFonts w:eastAsia="Calibri"/>
          <w:b/>
          <w:sz w:val="22"/>
          <w:szCs w:val="22"/>
          <w:lang w:val="en-US" w:eastAsia="en-US"/>
        </w:rPr>
      </w:pPr>
    </w:p>
    <w:p w14:paraId="6668DA76" w14:textId="77777777" w:rsidR="00F764A6" w:rsidRPr="00E67146" w:rsidRDefault="00F764A6" w:rsidP="00E67146">
      <w:pPr>
        <w:rPr>
          <w:rFonts w:eastAsia="Calibri"/>
          <w:sz w:val="22"/>
          <w:szCs w:val="22"/>
          <w:lang w:val="en-US" w:eastAsia="en-US"/>
        </w:rPr>
      </w:pPr>
      <w:r w:rsidRPr="00E67146">
        <w:rPr>
          <w:rFonts w:eastAsia="Calibri"/>
          <w:b/>
          <w:sz w:val="22"/>
          <w:szCs w:val="22"/>
          <w:lang w:val="en-US" w:eastAsia="en-US"/>
        </w:rPr>
        <w:t>Table1.</w:t>
      </w:r>
      <w:r w:rsidRPr="00E67146">
        <w:rPr>
          <w:rFonts w:eastAsia="Calibri"/>
          <w:sz w:val="22"/>
          <w:szCs w:val="22"/>
          <w:lang w:val="en-US" w:eastAsia="en-US"/>
        </w:rPr>
        <w:t xml:space="preserve"> Demographic characteristics of patients</w:t>
      </w:r>
    </w:p>
    <w:tbl>
      <w:tblPr>
        <w:tblW w:w="8462" w:type="dxa"/>
        <w:tblInd w:w="-72" w:type="dxa"/>
        <w:tblCellMar>
          <w:left w:w="70" w:type="dxa"/>
          <w:right w:w="70" w:type="dxa"/>
        </w:tblCellMar>
        <w:tblLook w:val="04A0" w:firstRow="1" w:lastRow="0" w:firstColumn="1" w:lastColumn="0" w:noHBand="0" w:noVBand="1"/>
      </w:tblPr>
      <w:tblGrid>
        <w:gridCol w:w="2127"/>
        <w:gridCol w:w="1353"/>
        <w:gridCol w:w="1123"/>
        <w:gridCol w:w="1353"/>
        <w:gridCol w:w="1123"/>
        <w:gridCol w:w="1383"/>
      </w:tblGrid>
      <w:tr w:rsidR="00CD4293" w:rsidRPr="00E67146" w14:paraId="24394FEC" w14:textId="77777777" w:rsidTr="00B329A5">
        <w:trPr>
          <w:trHeight w:val="300"/>
        </w:trPr>
        <w:tc>
          <w:tcPr>
            <w:tcW w:w="2127" w:type="dxa"/>
            <w:tcBorders>
              <w:top w:val="single" w:sz="4" w:space="0" w:color="auto"/>
              <w:left w:val="nil"/>
              <w:bottom w:val="single" w:sz="4" w:space="0" w:color="auto"/>
              <w:right w:val="nil"/>
            </w:tcBorders>
            <w:shd w:val="clear" w:color="auto" w:fill="auto"/>
            <w:noWrap/>
            <w:vAlign w:val="bottom"/>
            <w:hideMark/>
          </w:tcPr>
          <w:p w14:paraId="5F91CF89" w14:textId="77777777" w:rsidR="00B329A5" w:rsidRPr="00E67146" w:rsidRDefault="00B329A5" w:rsidP="00E67146">
            <w:pPr>
              <w:rPr>
                <w:sz w:val="22"/>
                <w:szCs w:val="22"/>
                <w:lang w:eastAsia="tr-TR"/>
              </w:rPr>
            </w:pPr>
            <w:r w:rsidRPr="00E67146">
              <w:rPr>
                <w:sz w:val="22"/>
                <w:szCs w:val="22"/>
                <w:lang w:eastAsia="tr-TR"/>
              </w:rPr>
              <w:t> </w:t>
            </w:r>
          </w:p>
        </w:tc>
        <w:tc>
          <w:tcPr>
            <w:tcW w:w="2476" w:type="dxa"/>
            <w:gridSpan w:val="2"/>
            <w:tcBorders>
              <w:top w:val="single" w:sz="4" w:space="0" w:color="auto"/>
              <w:left w:val="nil"/>
              <w:bottom w:val="single" w:sz="4" w:space="0" w:color="auto"/>
              <w:right w:val="nil"/>
            </w:tcBorders>
            <w:shd w:val="clear" w:color="auto" w:fill="auto"/>
            <w:noWrap/>
            <w:vAlign w:val="bottom"/>
            <w:hideMark/>
          </w:tcPr>
          <w:p w14:paraId="77D39F78" w14:textId="77777777" w:rsidR="00B329A5" w:rsidRPr="00E67146" w:rsidRDefault="00B329A5" w:rsidP="00E67146">
            <w:pPr>
              <w:rPr>
                <w:sz w:val="22"/>
                <w:szCs w:val="22"/>
                <w:lang w:eastAsia="tr-TR"/>
              </w:rPr>
            </w:pPr>
            <w:r w:rsidRPr="00E67146">
              <w:rPr>
                <w:sz w:val="22"/>
                <w:szCs w:val="22"/>
                <w:lang w:eastAsia="tr-TR"/>
              </w:rPr>
              <w:t xml:space="preserve">Discharge </w:t>
            </w:r>
          </w:p>
        </w:tc>
        <w:tc>
          <w:tcPr>
            <w:tcW w:w="2476" w:type="dxa"/>
            <w:gridSpan w:val="2"/>
            <w:tcBorders>
              <w:top w:val="single" w:sz="4" w:space="0" w:color="auto"/>
              <w:left w:val="nil"/>
              <w:bottom w:val="single" w:sz="4" w:space="0" w:color="auto"/>
              <w:right w:val="nil"/>
            </w:tcBorders>
            <w:shd w:val="clear" w:color="auto" w:fill="auto"/>
            <w:noWrap/>
            <w:vAlign w:val="bottom"/>
            <w:hideMark/>
          </w:tcPr>
          <w:p w14:paraId="0C99C398" w14:textId="77777777" w:rsidR="00B329A5" w:rsidRPr="00E67146" w:rsidRDefault="00B329A5" w:rsidP="00E67146">
            <w:pPr>
              <w:rPr>
                <w:sz w:val="22"/>
                <w:szCs w:val="22"/>
                <w:lang w:eastAsia="tr-TR"/>
              </w:rPr>
            </w:pPr>
            <w:r w:rsidRPr="00E67146">
              <w:rPr>
                <w:sz w:val="22"/>
                <w:szCs w:val="22"/>
                <w:lang w:eastAsia="tr-TR"/>
              </w:rPr>
              <w:t xml:space="preserve">    Exitus</w:t>
            </w:r>
          </w:p>
        </w:tc>
        <w:tc>
          <w:tcPr>
            <w:tcW w:w="1383" w:type="dxa"/>
            <w:tcBorders>
              <w:top w:val="single" w:sz="4" w:space="0" w:color="auto"/>
              <w:left w:val="nil"/>
              <w:bottom w:val="single" w:sz="4" w:space="0" w:color="auto"/>
              <w:right w:val="nil"/>
            </w:tcBorders>
            <w:shd w:val="clear" w:color="auto" w:fill="auto"/>
            <w:noWrap/>
            <w:vAlign w:val="bottom"/>
            <w:hideMark/>
          </w:tcPr>
          <w:p w14:paraId="01F16195" w14:textId="77777777" w:rsidR="00B329A5" w:rsidRPr="00E67146" w:rsidRDefault="00B329A5" w:rsidP="00E67146">
            <w:pPr>
              <w:rPr>
                <w:sz w:val="22"/>
                <w:szCs w:val="22"/>
                <w:lang w:eastAsia="tr-TR"/>
              </w:rPr>
            </w:pPr>
            <w:r w:rsidRPr="00E67146">
              <w:rPr>
                <w:sz w:val="22"/>
                <w:szCs w:val="22"/>
                <w:lang w:eastAsia="tr-TR"/>
              </w:rPr>
              <w:t>p value</w:t>
            </w:r>
          </w:p>
        </w:tc>
      </w:tr>
      <w:tr w:rsidR="00CD4293" w:rsidRPr="00E67146" w14:paraId="382FDECA" w14:textId="77777777" w:rsidTr="00B329A5">
        <w:trPr>
          <w:trHeight w:val="246"/>
        </w:trPr>
        <w:tc>
          <w:tcPr>
            <w:tcW w:w="2127" w:type="dxa"/>
            <w:tcBorders>
              <w:top w:val="nil"/>
              <w:left w:val="nil"/>
              <w:bottom w:val="nil"/>
              <w:right w:val="nil"/>
            </w:tcBorders>
            <w:shd w:val="clear" w:color="auto" w:fill="auto"/>
            <w:noWrap/>
            <w:vAlign w:val="bottom"/>
            <w:hideMark/>
          </w:tcPr>
          <w:p w14:paraId="45BBCC74" w14:textId="77777777" w:rsidR="00B329A5" w:rsidRPr="00E67146" w:rsidRDefault="00B329A5" w:rsidP="00E67146">
            <w:pPr>
              <w:rPr>
                <w:sz w:val="22"/>
                <w:szCs w:val="22"/>
                <w:lang w:eastAsia="tr-TR"/>
              </w:rPr>
            </w:pPr>
          </w:p>
        </w:tc>
        <w:tc>
          <w:tcPr>
            <w:tcW w:w="1353" w:type="dxa"/>
            <w:tcBorders>
              <w:top w:val="nil"/>
              <w:left w:val="nil"/>
              <w:bottom w:val="nil"/>
              <w:right w:val="nil"/>
            </w:tcBorders>
            <w:shd w:val="clear" w:color="auto" w:fill="auto"/>
            <w:noWrap/>
            <w:vAlign w:val="bottom"/>
            <w:hideMark/>
          </w:tcPr>
          <w:p w14:paraId="509F6611" w14:textId="77777777" w:rsidR="00B329A5" w:rsidRPr="00E67146" w:rsidRDefault="00B329A5" w:rsidP="00E67146">
            <w:pPr>
              <w:rPr>
                <w:sz w:val="22"/>
                <w:szCs w:val="22"/>
                <w:lang w:eastAsia="tr-TR"/>
              </w:rPr>
            </w:pPr>
          </w:p>
        </w:tc>
        <w:tc>
          <w:tcPr>
            <w:tcW w:w="1123" w:type="dxa"/>
            <w:tcBorders>
              <w:top w:val="nil"/>
              <w:left w:val="nil"/>
              <w:bottom w:val="nil"/>
              <w:right w:val="nil"/>
            </w:tcBorders>
            <w:shd w:val="clear" w:color="auto" w:fill="auto"/>
            <w:noWrap/>
            <w:vAlign w:val="bottom"/>
            <w:hideMark/>
          </w:tcPr>
          <w:p w14:paraId="0E1B718C" w14:textId="77777777" w:rsidR="00B329A5" w:rsidRPr="00E67146" w:rsidRDefault="00B329A5" w:rsidP="00E67146">
            <w:pPr>
              <w:rPr>
                <w:sz w:val="22"/>
                <w:szCs w:val="22"/>
                <w:lang w:eastAsia="tr-TR"/>
              </w:rPr>
            </w:pPr>
          </w:p>
        </w:tc>
        <w:tc>
          <w:tcPr>
            <w:tcW w:w="1353" w:type="dxa"/>
            <w:tcBorders>
              <w:top w:val="nil"/>
              <w:left w:val="nil"/>
              <w:bottom w:val="nil"/>
              <w:right w:val="nil"/>
            </w:tcBorders>
            <w:shd w:val="clear" w:color="auto" w:fill="auto"/>
            <w:noWrap/>
            <w:vAlign w:val="bottom"/>
            <w:hideMark/>
          </w:tcPr>
          <w:p w14:paraId="4DDFB364" w14:textId="77777777" w:rsidR="00B329A5" w:rsidRPr="00E67146" w:rsidRDefault="00B329A5" w:rsidP="00E67146">
            <w:pPr>
              <w:rPr>
                <w:sz w:val="22"/>
                <w:szCs w:val="22"/>
                <w:lang w:eastAsia="tr-TR"/>
              </w:rPr>
            </w:pPr>
          </w:p>
        </w:tc>
        <w:tc>
          <w:tcPr>
            <w:tcW w:w="1123" w:type="dxa"/>
            <w:tcBorders>
              <w:top w:val="nil"/>
              <w:left w:val="nil"/>
              <w:bottom w:val="nil"/>
              <w:right w:val="nil"/>
            </w:tcBorders>
            <w:shd w:val="clear" w:color="auto" w:fill="auto"/>
            <w:noWrap/>
            <w:vAlign w:val="bottom"/>
            <w:hideMark/>
          </w:tcPr>
          <w:p w14:paraId="19F1F1A0" w14:textId="77777777" w:rsidR="00B329A5" w:rsidRPr="00E67146" w:rsidRDefault="00B329A5" w:rsidP="00E67146">
            <w:pPr>
              <w:rPr>
                <w:sz w:val="22"/>
                <w:szCs w:val="22"/>
                <w:lang w:eastAsia="tr-TR"/>
              </w:rPr>
            </w:pPr>
          </w:p>
        </w:tc>
        <w:tc>
          <w:tcPr>
            <w:tcW w:w="1383" w:type="dxa"/>
            <w:tcBorders>
              <w:top w:val="nil"/>
              <w:left w:val="nil"/>
              <w:bottom w:val="nil"/>
              <w:right w:val="nil"/>
            </w:tcBorders>
            <w:shd w:val="clear" w:color="auto" w:fill="auto"/>
            <w:noWrap/>
            <w:vAlign w:val="bottom"/>
          </w:tcPr>
          <w:p w14:paraId="71CF48FC" w14:textId="77777777" w:rsidR="00B329A5" w:rsidRPr="00E67146" w:rsidRDefault="00B329A5" w:rsidP="00E67146">
            <w:pPr>
              <w:rPr>
                <w:sz w:val="22"/>
                <w:szCs w:val="22"/>
                <w:lang w:eastAsia="tr-TR"/>
              </w:rPr>
            </w:pPr>
          </w:p>
        </w:tc>
      </w:tr>
      <w:tr w:rsidR="00CD4293" w:rsidRPr="00E67146" w14:paraId="1F7CB8F9" w14:textId="77777777" w:rsidTr="00B329A5">
        <w:trPr>
          <w:trHeight w:val="246"/>
        </w:trPr>
        <w:tc>
          <w:tcPr>
            <w:tcW w:w="2127" w:type="dxa"/>
            <w:tcBorders>
              <w:top w:val="nil"/>
              <w:left w:val="nil"/>
              <w:bottom w:val="nil"/>
              <w:right w:val="nil"/>
            </w:tcBorders>
            <w:shd w:val="clear" w:color="auto" w:fill="auto"/>
            <w:noWrap/>
            <w:vAlign w:val="bottom"/>
          </w:tcPr>
          <w:p w14:paraId="1F82ACF3" w14:textId="77777777" w:rsidR="00B329A5" w:rsidRPr="00E67146" w:rsidRDefault="00B329A5" w:rsidP="00E67146">
            <w:pPr>
              <w:rPr>
                <w:sz w:val="22"/>
                <w:szCs w:val="22"/>
                <w:lang w:eastAsia="tr-TR"/>
              </w:rPr>
            </w:pPr>
            <w:r w:rsidRPr="00E67146">
              <w:rPr>
                <w:sz w:val="22"/>
                <w:szCs w:val="22"/>
                <w:lang w:eastAsia="tr-TR"/>
              </w:rPr>
              <w:t>Age (Mean ± SD)</w:t>
            </w:r>
          </w:p>
        </w:tc>
        <w:tc>
          <w:tcPr>
            <w:tcW w:w="1353" w:type="dxa"/>
            <w:tcBorders>
              <w:top w:val="nil"/>
              <w:left w:val="nil"/>
              <w:bottom w:val="nil"/>
              <w:right w:val="nil"/>
            </w:tcBorders>
            <w:shd w:val="clear" w:color="auto" w:fill="auto"/>
            <w:noWrap/>
            <w:vAlign w:val="bottom"/>
          </w:tcPr>
          <w:p w14:paraId="73319747" w14:textId="77777777" w:rsidR="00B329A5" w:rsidRPr="00E67146" w:rsidRDefault="00B329A5" w:rsidP="00E67146">
            <w:pPr>
              <w:rPr>
                <w:sz w:val="22"/>
                <w:szCs w:val="22"/>
                <w:lang w:eastAsia="tr-TR"/>
              </w:rPr>
            </w:pPr>
            <w:r w:rsidRPr="00E67146">
              <w:rPr>
                <w:sz w:val="22"/>
                <w:szCs w:val="22"/>
                <w:lang w:eastAsia="tr-TR"/>
              </w:rPr>
              <w:t xml:space="preserve">59,28±11,39 </w:t>
            </w:r>
          </w:p>
        </w:tc>
        <w:tc>
          <w:tcPr>
            <w:tcW w:w="1123" w:type="dxa"/>
            <w:tcBorders>
              <w:top w:val="nil"/>
              <w:left w:val="nil"/>
              <w:bottom w:val="nil"/>
              <w:right w:val="nil"/>
            </w:tcBorders>
            <w:shd w:val="clear" w:color="auto" w:fill="auto"/>
            <w:noWrap/>
            <w:vAlign w:val="bottom"/>
          </w:tcPr>
          <w:p w14:paraId="5085770D" w14:textId="77777777" w:rsidR="00B329A5" w:rsidRPr="00E67146" w:rsidRDefault="00B329A5" w:rsidP="00E67146">
            <w:pPr>
              <w:rPr>
                <w:sz w:val="22"/>
                <w:szCs w:val="22"/>
                <w:lang w:eastAsia="tr-TR"/>
              </w:rPr>
            </w:pPr>
          </w:p>
        </w:tc>
        <w:tc>
          <w:tcPr>
            <w:tcW w:w="1353" w:type="dxa"/>
            <w:tcBorders>
              <w:top w:val="nil"/>
              <w:left w:val="nil"/>
              <w:bottom w:val="nil"/>
              <w:right w:val="nil"/>
            </w:tcBorders>
            <w:shd w:val="clear" w:color="auto" w:fill="auto"/>
            <w:noWrap/>
            <w:vAlign w:val="bottom"/>
          </w:tcPr>
          <w:p w14:paraId="2B351C18" w14:textId="77777777" w:rsidR="00B329A5" w:rsidRPr="00E67146" w:rsidRDefault="00B329A5" w:rsidP="00E67146">
            <w:pPr>
              <w:rPr>
                <w:sz w:val="22"/>
                <w:szCs w:val="22"/>
                <w:lang w:eastAsia="tr-TR"/>
              </w:rPr>
            </w:pPr>
            <w:r w:rsidRPr="00E67146">
              <w:rPr>
                <w:sz w:val="22"/>
                <w:szCs w:val="22"/>
                <w:lang w:eastAsia="tr-TR"/>
              </w:rPr>
              <w:t>57,13±17,19</w:t>
            </w:r>
          </w:p>
        </w:tc>
        <w:tc>
          <w:tcPr>
            <w:tcW w:w="1123" w:type="dxa"/>
            <w:tcBorders>
              <w:top w:val="nil"/>
              <w:left w:val="nil"/>
              <w:bottom w:val="nil"/>
              <w:right w:val="nil"/>
            </w:tcBorders>
            <w:shd w:val="clear" w:color="auto" w:fill="auto"/>
            <w:noWrap/>
            <w:vAlign w:val="bottom"/>
          </w:tcPr>
          <w:p w14:paraId="2F838D8D" w14:textId="77777777" w:rsidR="00B329A5" w:rsidRPr="00E67146" w:rsidRDefault="00B329A5" w:rsidP="00E67146">
            <w:pPr>
              <w:rPr>
                <w:sz w:val="22"/>
                <w:szCs w:val="22"/>
                <w:lang w:eastAsia="tr-TR"/>
              </w:rPr>
            </w:pPr>
          </w:p>
        </w:tc>
        <w:tc>
          <w:tcPr>
            <w:tcW w:w="1383" w:type="dxa"/>
            <w:tcBorders>
              <w:top w:val="nil"/>
              <w:left w:val="nil"/>
              <w:bottom w:val="nil"/>
              <w:right w:val="nil"/>
            </w:tcBorders>
            <w:shd w:val="clear" w:color="auto" w:fill="auto"/>
            <w:noWrap/>
            <w:vAlign w:val="bottom"/>
          </w:tcPr>
          <w:p w14:paraId="64DA22FA" w14:textId="77777777" w:rsidR="00B329A5" w:rsidRPr="00E67146" w:rsidRDefault="00B329A5" w:rsidP="00E67146">
            <w:pPr>
              <w:rPr>
                <w:sz w:val="22"/>
                <w:szCs w:val="22"/>
                <w:lang w:eastAsia="tr-TR"/>
              </w:rPr>
            </w:pPr>
            <w:r w:rsidRPr="00E67146">
              <w:rPr>
                <w:sz w:val="22"/>
                <w:szCs w:val="22"/>
                <w:lang w:eastAsia="tr-TR"/>
              </w:rPr>
              <w:t>0,276</w:t>
            </w:r>
            <w:r w:rsidRPr="00E67146">
              <w:rPr>
                <w:sz w:val="22"/>
                <w:szCs w:val="22"/>
                <w:vertAlign w:val="superscript"/>
                <w:lang w:eastAsia="tr-TR"/>
              </w:rPr>
              <w:t>#</w:t>
            </w:r>
          </w:p>
        </w:tc>
      </w:tr>
      <w:tr w:rsidR="00CD4293" w:rsidRPr="00E67146" w14:paraId="02D8A38A" w14:textId="77777777" w:rsidTr="00B329A5">
        <w:trPr>
          <w:trHeight w:val="277"/>
        </w:trPr>
        <w:tc>
          <w:tcPr>
            <w:tcW w:w="2127" w:type="dxa"/>
            <w:tcBorders>
              <w:top w:val="nil"/>
              <w:left w:val="nil"/>
              <w:bottom w:val="nil"/>
              <w:right w:val="nil"/>
            </w:tcBorders>
            <w:shd w:val="clear" w:color="auto" w:fill="auto"/>
            <w:noWrap/>
            <w:vAlign w:val="bottom"/>
          </w:tcPr>
          <w:p w14:paraId="0ED0EE5E" w14:textId="77777777" w:rsidR="00B329A5" w:rsidRPr="00E67146" w:rsidRDefault="00B329A5" w:rsidP="00E67146">
            <w:pPr>
              <w:rPr>
                <w:sz w:val="22"/>
                <w:szCs w:val="22"/>
                <w:lang w:eastAsia="tr-TR"/>
              </w:rPr>
            </w:pPr>
            <w:r w:rsidRPr="00E67146">
              <w:rPr>
                <w:sz w:val="22"/>
                <w:szCs w:val="22"/>
                <w:lang w:eastAsia="tr-TR"/>
              </w:rPr>
              <w:lastRenderedPageBreak/>
              <w:t>BMI (Mean ± SD)</w:t>
            </w:r>
          </w:p>
        </w:tc>
        <w:tc>
          <w:tcPr>
            <w:tcW w:w="1353" w:type="dxa"/>
            <w:tcBorders>
              <w:top w:val="nil"/>
              <w:left w:val="nil"/>
              <w:bottom w:val="nil"/>
              <w:right w:val="nil"/>
            </w:tcBorders>
            <w:shd w:val="clear" w:color="auto" w:fill="auto"/>
            <w:noWrap/>
            <w:vAlign w:val="bottom"/>
          </w:tcPr>
          <w:p w14:paraId="005551B0" w14:textId="77777777" w:rsidR="00B329A5" w:rsidRPr="00E67146" w:rsidRDefault="00B329A5" w:rsidP="00E67146">
            <w:pPr>
              <w:rPr>
                <w:sz w:val="22"/>
                <w:szCs w:val="22"/>
                <w:lang w:eastAsia="tr-TR"/>
              </w:rPr>
            </w:pPr>
            <w:r w:rsidRPr="00E67146">
              <w:rPr>
                <w:sz w:val="22"/>
                <w:szCs w:val="22"/>
                <w:lang w:eastAsia="tr-TR"/>
              </w:rPr>
              <w:t>28,08± 4,6</w:t>
            </w:r>
          </w:p>
        </w:tc>
        <w:tc>
          <w:tcPr>
            <w:tcW w:w="1123" w:type="dxa"/>
            <w:tcBorders>
              <w:top w:val="nil"/>
              <w:left w:val="nil"/>
              <w:bottom w:val="nil"/>
              <w:right w:val="nil"/>
            </w:tcBorders>
            <w:shd w:val="clear" w:color="auto" w:fill="auto"/>
            <w:noWrap/>
            <w:vAlign w:val="bottom"/>
          </w:tcPr>
          <w:p w14:paraId="642B6FA1" w14:textId="77777777" w:rsidR="00B329A5" w:rsidRPr="00E67146" w:rsidRDefault="00B329A5" w:rsidP="00E67146">
            <w:pPr>
              <w:rPr>
                <w:sz w:val="22"/>
                <w:szCs w:val="22"/>
                <w:lang w:eastAsia="tr-TR"/>
              </w:rPr>
            </w:pPr>
          </w:p>
        </w:tc>
        <w:tc>
          <w:tcPr>
            <w:tcW w:w="1353" w:type="dxa"/>
            <w:tcBorders>
              <w:top w:val="nil"/>
              <w:left w:val="nil"/>
              <w:bottom w:val="nil"/>
              <w:right w:val="nil"/>
            </w:tcBorders>
            <w:shd w:val="clear" w:color="auto" w:fill="auto"/>
            <w:noWrap/>
            <w:vAlign w:val="bottom"/>
          </w:tcPr>
          <w:p w14:paraId="71665126" w14:textId="77777777" w:rsidR="00B329A5" w:rsidRPr="00E67146" w:rsidRDefault="00B329A5" w:rsidP="00E67146">
            <w:pPr>
              <w:rPr>
                <w:sz w:val="22"/>
                <w:szCs w:val="22"/>
                <w:lang w:eastAsia="tr-TR"/>
              </w:rPr>
            </w:pPr>
            <w:r w:rsidRPr="00E67146">
              <w:rPr>
                <w:sz w:val="22"/>
                <w:szCs w:val="22"/>
                <w:lang w:eastAsia="tr-TR"/>
              </w:rPr>
              <w:t>28,36±4,38</w:t>
            </w:r>
          </w:p>
        </w:tc>
        <w:tc>
          <w:tcPr>
            <w:tcW w:w="1123" w:type="dxa"/>
            <w:tcBorders>
              <w:top w:val="nil"/>
              <w:left w:val="nil"/>
              <w:bottom w:val="nil"/>
              <w:right w:val="nil"/>
            </w:tcBorders>
            <w:shd w:val="clear" w:color="auto" w:fill="auto"/>
            <w:noWrap/>
            <w:vAlign w:val="bottom"/>
          </w:tcPr>
          <w:p w14:paraId="7D4408FA" w14:textId="77777777" w:rsidR="00B329A5" w:rsidRPr="00E67146" w:rsidRDefault="00B329A5" w:rsidP="00E67146">
            <w:pPr>
              <w:rPr>
                <w:sz w:val="22"/>
                <w:szCs w:val="22"/>
                <w:lang w:eastAsia="tr-TR"/>
              </w:rPr>
            </w:pPr>
          </w:p>
        </w:tc>
        <w:tc>
          <w:tcPr>
            <w:tcW w:w="1383" w:type="dxa"/>
            <w:tcBorders>
              <w:top w:val="nil"/>
              <w:left w:val="nil"/>
              <w:bottom w:val="nil"/>
              <w:right w:val="nil"/>
            </w:tcBorders>
            <w:shd w:val="clear" w:color="auto" w:fill="auto"/>
            <w:noWrap/>
            <w:vAlign w:val="bottom"/>
          </w:tcPr>
          <w:p w14:paraId="3619477F" w14:textId="77777777" w:rsidR="00B329A5" w:rsidRPr="00E67146" w:rsidRDefault="00B329A5" w:rsidP="00E67146">
            <w:pPr>
              <w:rPr>
                <w:sz w:val="22"/>
                <w:szCs w:val="22"/>
                <w:lang w:eastAsia="tr-TR"/>
              </w:rPr>
            </w:pPr>
            <w:r w:rsidRPr="00E67146">
              <w:rPr>
                <w:sz w:val="22"/>
                <w:szCs w:val="22"/>
                <w:lang w:eastAsia="tr-TR"/>
              </w:rPr>
              <w:t>0,803</w:t>
            </w:r>
            <w:r w:rsidRPr="00E67146">
              <w:rPr>
                <w:sz w:val="22"/>
                <w:szCs w:val="22"/>
                <w:vertAlign w:val="superscript"/>
                <w:lang w:eastAsia="tr-TR"/>
              </w:rPr>
              <w:t>#</w:t>
            </w:r>
          </w:p>
        </w:tc>
      </w:tr>
      <w:tr w:rsidR="00CD4293" w:rsidRPr="00E67146" w14:paraId="7B458DC0" w14:textId="77777777" w:rsidTr="00B329A5">
        <w:trPr>
          <w:trHeight w:val="246"/>
        </w:trPr>
        <w:tc>
          <w:tcPr>
            <w:tcW w:w="2127" w:type="dxa"/>
            <w:tcBorders>
              <w:top w:val="nil"/>
              <w:left w:val="nil"/>
              <w:bottom w:val="nil"/>
              <w:right w:val="nil"/>
            </w:tcBorders>
            <w:shd w:val="clear" w:color="auto" w:fill="auto"/>
            <w:noWrap/>
            <w:vAlign w:val="bottom"/>
          </w:tcPr>
          <w:p w14:paraId="4C0694C9" w14:textId="77777777" w:rsidR="00B329A5" w:rsidRPr="00E67146" w:rsidRDefault="00B329A5" w:rsidP="00E67146">
            <w:pPr>
              <w:rPr>
                <w:sz w:val="22"/>
                <w:szCs w:val="22"/>
                <w:lang w:eastAsia="tr-TR"/>
              </w:rPr>
            </w:pPr>
            <w:r w:rsidRPr="00E67146">
              <w:rPr>
                <w:sz w:val="22"/>
                <w:szCs w:val="22"/>
                <w:lang w:eastAsia="tr-TR"/>
              </w:rPr>
              <w:t>EF (Mean ± SD)</w:t>
            </w:r>
          </w:p>
        </w:tc>
        <w:tc>
          <w:tcPr>
            <w:tcW w:w="1353" w:type="dxa"/>
            <w:tcBorders>
              <w:top w:val="nil"/>
              <w:left w:val="nil"/>
              <w:bottom w:val="nil"/>
              <w:right w:val="nil"/>
            </w:tcBorders>
            <w:shd w:val="clear" w:color="auto" w:fill="auto"/>
            <w:noWrap/>
            <w:vAlign w:val="bottom"/>
          </w:tcPr>
          <w:p w14:paraId="3386D0F1" w14:textId="77777777" w:rsidR="00B329A5" w:rsidRPr="00E67146" w:rsidRDefault="00B329A5" w:rsidP="00E67146">
            <w:pPr>
              <w:rPr>
                <w:sz w:val="22"/>
                <w:szCs w:val="22"/>
                <w:lang w:eastAsia="tr-TR"/>
              </w:rPr>
            </w:pPr>
            <w:r w:rsidRPr="00E67146">
              <w:rPr>
                <w:sz w:val="22"/>
                <w:szCs w:val="22"/>
                <w:lang w:eastAsia="tr-TR"/>
              </w:rPr>
              <w:t>49,66±10,08</w:t>
            </w:r>
          </w:p>
        </w:tc>
        <w:tc>
          <w:tcPr>
            <w:tcW w:w="1123" w:type="dxa"/>
            <w:tcBorders>
              <w:top w:val="nil"/>
              <w:left w:val="nil"/>
              <w:bottom w:val="nil"/>
              <w:right w:val="nil"/>
            </w:tcBorders>
            <w:shd w:val="clear" w:color="auto" w:fill="auto"/>
            <w:noWrap/>
            <w:vAlign w:val="bottom"/>
          </w:tcPr>
          <w:p w14:paraId="560A89F0" w14:textId="77777777" w:rsidR="00B329A5" w:rsidRPr="00E67146" w:rsidRDefault="00B329A5" w:rsidP="00E67146">
            <w:pPr>
              <w:rPr>
                <w:sz w:val="22"/>
                <w:szCs w:val="22"/>
                <w:lang w:eastAsia="tr-TR"/>
              </w:rPr>
            </w:pPr>
          </w:p>
        </w:tc>
        <w:tc>
          <w:tcPr>
            <w:tcW w:w="1353" w:type="dxa"/>
            <w:tcBorders>
              <w:top w:val="nil"/>
              <w:left w:val="nil"/>
              <w:bottom w:val="nil"/>
              <w:right w:val="nil"/>
            </w:tcBorders>
            <w:shd w:val="clear" w:color="auto" w:fill="auto"/>
            <w:noWrap/>
            <w:vAlign w:val="bottom"/>
          </w:tcPr>
          <w:p w14:paraId="6D5A949A" w14:textId="77777777" w:rsidR="00B329A5" w:rsidRPr="00E67146" w:rsidRDefault="00B329A5" w:rsidP="00E67146">
            <w:pPr>
              <w:rPr>
                <w:sz w:val="22"/>
                <w:szCs w:val="22"/>
                <w:lang w:eastAsia="tr-TR"/>
              </w:rPr>
            </w:pPr>
            <w:r w:rsidRPr="00E67146">
              <w:rPr>
                <w:sz w:val="22"/>
                <w:szCs w:val="22"/>
                <w:lang w:eastAsia="tr-TR"/>
              </w:rPr>
              <w:t>51±9,46</w:t>
            </w:r>
          </w:p>
        </w:tc>
        <w:tc>
          <w:tcPr>
            <w:tcW w:w="1123" w:type="dxa"/>
            <w:tcBorders>
              <w:top w:val="nil"/>
              <w:left w:val="nil"/>
              <w:bottom w:val="nil"/>
              <w:right w:val="nil"/>
            </w:tcBorders>
            <w:shd w:val="clear" w:color="auto" w:fill="auto"/>
            <w:noWrap/>
            <w:vAlign w:val="bottom"/>
          </w:tcPr>
          <w:p w14:paraId="4703BEAC" w14:textId="77777777" w:rsidR="00B329A5" w:rsidRPr="00E67146" w:rsidRDefault="00B329A5" w:rsidP="00E67146">
            <w:pPr>
              <w:rPr>
                <w:sz w:val="22"/>
                <w:szCs w:val="22"/>
                <w:lang w:eastAsia="tr-TR"/>
              </w:rPr>
            </w:pPr>
          </w:p>
        </w:tc>
        <w:tc>
          <w:tcPr>
            <w:tcW w:w="1383" w:type="dxa"/>
            <w:tcBorders>
              <w:top w:val="nil"/>
              <w:left w:val="nil"/>
              <w:bottom w:val="nil"/>
              <w:right w:val="nil"/>
            </w:tcBorders>
            <w:shd w:val="clear" w:color="auto" w:fill="auto"/>
            <w:noWrap/>
            <w:vAlign w:val="bottom"/>
          </w:tcPr>
          <w:p w14:paraId="75B6A785" w14:textId="77777777" w:rsidR="00B329A5" w:rsidRPr="00E67146" w:rsidRDefault="00B329A5" w:rsidP="00E67146">
            <w:pPr>
              <w:rPr>
                <w:sz w:val="22"/>
                <w:szCs w:val="22"/>
                <w:lang w:eastAsia="tr-TR"/>
              </w:rPr>
            </w:pPr>
            <w:r w:rsidRPr="00E67146">
              <w:rPr>
                <w:sz w:val="22"/>
                <w:szCs w:val="22"/>
                <w:lang w:eastAsia="tr-TR"/>
              </w:rPr>
              <w:t>0,536</w:t>
            </w:r>
            <w:r w:rsidRPr="00E67146">
              <w:rPr>
                <w:sz w:val="22"/>
                <w:szCs w:val="22"/>
                <w:vertAlign w:val="superscript"/>
                <w:lang w:eastAsia="tr-TR"/>
              </w:rPr>
              <w:t>#</w:t>
            </w:r>
          </w:p>
        </w:tc>
      </w:tr>
      <w:tr w:rsidR="00CD4293" w:rsidRPr="00E67146" w14:paraId="3678869B" w14:textId="77777777" w:rsidTr="00B329A5">
        <w:trPr>
          <w:trHeight w:val="300"/>
        </w:trPr>
        <w:tc>
          <w:tcPr>
            <w:tcW w:w="2127" w:type="dxa"/>
            <w:tcBorders>
              <w:top w:val="nil"/>
              <w:left w:val="nil"/>
              <w:bottom w:val="nil"/>
              <w:right w:val="nil"/>
            </w:tcBorders>
            <w:shd w:val="clear" w:color="auto" w:fill="auto"/>
            <w:noWrap/>
            <w:vAlign w:val="bottom"/>
          </w:tcPr>
          <w:p w14:paraId="365C0971" w14:textId="77777777" w:rsidR="00B329A5" w:rsidRPr="00E67146" w:rsidRDefault="00B329A5" w:rsidP="00E67146">
            <w:pPr>
              <w:rPr>
                <w:sz w:val="22"/>
                <w:szCs w:val="22"/>
                <w:lang w:eastAsia="tr-TR"/>
              </w:rPr>
            </w:pPr>
            <w:r w:rsidRPr="00E67146">
              <w:rPr>
                <w:sz w:val="22"/>
                <w:szCs w:val="22"/>
                <w:lang w:eastAsia="tr-TR"/>
              </w:rPr>
              <w:t>Female (n)</w:t>
            </w:r>
          </w:p>
        </w:tc>
        <w:tc>
          <w:tcPr>
            <w:tcW w:w="1353" w:type="dxa"/>
            <w:tcBorders>
              <w:top w:val="nil"/>
              <w:left w:val="nil"/>
              <w:bottom w:val="nil"/>
              <w:right w:val="nil"/>
            </w:tcBorders>
            <w:shd w:val="clear" w:color="auto" w:fill="auto"/>
            <w:noWrap/>
            <w:vAlign w:val="bottom"/>
          </w:tcPr>
          <w:p w14:paraId="03E31649" w14:textId="77777777" w:rsidR="00B329A5" w:rsidRPr="00E67146" w:rsidRDefault="00B329A5" w:rsidP="00E67146">
            <w:pPr>
              <w:rPr>
                <w:sz w:val="22"/>
                <w:szCs w:val="22"/>
                <w:lang w:eastAsia="tr-TR"/>
              </w:rPr>
            </w:pPr>
            <w:r w:rsidRPr="00E67146">
              <w:rPr>
                <w:sz w:val="22"/>
                <w:szCs w:val="22"/>
                <w:lang w:eastAsia="tr-TR"/>
              </w:rPr>
              <w:t>10</w:t>
            </w:r>
          </w:p>
        </w:tc>
        <w:tc>
          <w:tcPr>
            <w:tcW w:w="1123" w:type="dxa"/>
            <w:tcBorders>
              <w:top w:val="nil"/>
              <w:left w:val="nil"/>
              <w:bottom w:val="nil"/>
              <w:right w:val="nil"/>
            </w:tcBorders>
            <w:shd w:val="clear" w:color="auto" w:fill="auto"/>
            <w:noWrap/>
            <w:vAlign w:val="bottom"/>
          </w:tcPr>
          <w:p w14:paraId="39DAA704" w14:textId="77777777" w:rsidR="00B329A5" w:rsidRPr="00E67146" w:rsidRDefault="00B329A5" w:rsidP="00E67146">
            <w:pPr>
              <w:rPr>
                <w:sz w:val="22"/>
                <w:szCs w:val="22"/>
                <w:lang w:eastAsia="tr-TR"/>
              </w:rPr>
            </w:pPr>
          </w:p>
        </w:tc>
        <w:tc>
          <w:tcPr>
            <w:tcW w:w="1353" w:type="dxa"/>
            <w:tcBorders>
              <w:top w:val="nil"/>
              <w:left w:val="nil"/>
              <w:bottom w:val="nil"/>
              <w:right w:val="nil"/>
            </w:tcBorders>
            <w:shd w:val="clear" w:color="auto" w:fill="auto"/>
            <w:noWrap/>
            <w:vAlign w:val="bottom"/>
          </w:tcPr>
          <w:p w14:paraId="14461CA6" w14:textId="77777777" w:rsidR="00B329A5" w:rsidRPr="00E67146" w:rsidRDefault="00B329A5" w:rsidP="00E67146">
            <w:pPr>
              <w:rPr>
                <w:sz w:val="22"/>
                <w:szCs w:val="22"/>
                <w:lang w:eastAsia="tr-TR"/>
              </w:rPr>
            </w:pPr>
            <w:r w:rsidRPr="00E67146">
              <w:rPr>
                <w:sz w:val="22"/>
                <w:szCs w:val="22"/>
                <w:lang w:eastAsia="tr-TR"/>
              </w:rPr>
              <w:t>6</w:t>
            </w:r>
          </w:p>
        </w:tc>
        <w:tc>
          <w:tcPr>
            <w:tcW w:w="1123" w:type="dxa"/>
            <w:tcBorders>
              <w:top w:val="nil"/>
              <w:left w:val="nil"/>
              <w:bottom w:val="nil"/>
              <w:right w:val="nil"/>
            </w:tcBorders>
            <w:shd w:val="clear" w:color="auto" w:fill="auto"/>
            <w:noWrap/>
            <w:vAlign w:val="bottom"/>
          </w:tcPr>
          <w:p w14:paraId="60C5B7C3" w14:textId="77777777" w:rsidR="00B329A5" w:rsidRPr="00E67146" w:rsidRDefault="00B329A5" w:rsidP="00E67146">
            <w:pPr>
              <w:rPr>
                <w:sz w:val="22"/>
                <w:szCs w:val="22"/>
                <w:lang w:eastAsia="tr-TR"/>
              </w:rPr>
            </w:pPr>
          </w:p>
        </w:tc>
        <w:tc>
          <w:tcPr>
            <w:tcW w:w="1383" w:type="dxa"/>
            <w:tcBorders>
              <w:top w:val="nil"/>
              <w:left w:val="nil"/>
              <w:bottom w:val="nil"/>
              <w:right w:val="nil"/>
            </w:tcBorders>
            <w:shd w:val="clear" w:color="auto" w:fill="auto"/>
            <w:noWrap/>
            <w:vAlign w:val="bottom"/>
          </w:tcPr>
          <w:p w14:paraId="1C279B2B" w14:textId="77777777" w:rsidR="00B329A5" w:rsidRPr="00E67146" w:rsidRDefault="00B329A5" w:rsidP="00E67146">
            <w:pPr>
              <w:rPr>
                <w:sz w:val="22"/>
                <w:szCs w:val="22"/>
                <w:lang w:eastAsia="tr-TR"/>
              </w:rPr>
            </w:pPr>
            <w:r w:rsidRPr="00E67146">
              <w:rPr>
                <w:sz w:val="22"/>
                <w:szCs w:val="22"/>
                <w:lang w:eastAsia="tr-TR"/>
              </w:rPr>
              <w:t>0,365*</w:t>
            </w:r>
          </w:p>
        </w:tc>
      </w:tr>
      <w:tr w:rsidR="00CD4293" w:rsidRPr="00E67146" w14:paraId="77454276" w14:textId="77777777" w:rsidTr="00B329A5">
        <w:trPr>
          <w:trHeight w:val="300"/>
        </w:trPr>
        <w:tc>
          <w:tcPr>
            <w:tcW w:w="2127" w:type="dxa"/>
            <w:tcBorders>
              <w:top w:val="nil"/>
              <w:left w:val="nil"/>
              <w:bottom w:val="nil"/>
              <w:right w:val="nil"/>
            </w:tcBorders>
            <w:shd w:val="clear" w:color="auto" w:fill="auto"/>
            <w:noWrap/>
            <w:vAlign w:val="bottom"/>
            <w:hideMark/>
          </w:tcPr>
          <w:p w14:paraId="48D0B4CF" w14:textId="77777777" w:rsidR="00B329A5" w:rsidRPr="00E67146" w:rsidRDefault="00B329A5" w:rsidP="00E67146">
            <w:pPr>
              <w:rPr>
                <w:sz w:val="22"/>
                <w:szCs w:val="22"/>
                <w:lang w:eastAsia="tr-TR"/>
              </w:rPr>
            </w:pPr>
            <w:r w:rsidRPr="00E67146">
              <w:rPr>
                <w:sz w:val="22"/>
                <w:szCs w:val="22"/>
                <w:lang w:eastAsia="tr-TR"/>
              </w:rPr>
              <w:t>Male (n)</w:t>
            </w:r>
          </w:p>
        </w:tc>
        <w:tc>
          <w:tcPr>
            <w:tcW w:w="1353" w:type="dxa"/>
            <w:tcBorders>
              <w:top w:val="nil"/>
              <w:left w:val="nil"/>
              <w:bottom w:val="nil"/>
              <w:right w:val="nil"/>
            </w:tcBorders>
            <w:shd w:val="clear" w:color="auto" w:fill="auto"/>
            <w:noWrap/>
            <w:vAlign w:val="bottom"/>
            <w:hideMark/>
          </w:tcPr>
          <w:p w14:paraId="09B55480" w14:textId="77777777" w:rsidR="00B329A5" w:rsidRPr="00E67146" w:rsidRDefault="00B329A5" w:rsidP="00E67146">
            <w:pPr>
              <w:rPr>
                <w:sz w:val="22"/>
                <w:szCs w:val="22"/>
                <w:lang w:eastAsia="tr-TR"/>
              </w:rPr>
            </w:pPr>
            <w:r w:rsidRPr="00E67146">
              <w:rPr>
                <w:sz w:val="22"/>
                <w:szCs w:val="22"/>
                <w:lang w:eastAsia="tr-TR"/>
              </w:rPr>
              <w:t>46</w:t>
            </w:r>
          </w:p>
        </w:tc>
        <w:tc>
          <w:tcPr>
            <w:tcW w:w="1123" w:type="dxa"/>
            <w:tcBorders>
              <w:top w:val="nil"/>
              <w:left w:val="nil"/>
              <w:bottom w:val="nil"/>
              <w:right w:val="nil"/>
            </w:tcBorders>
            <w:shd w:val="clear" w:color="auto" w:fill="auto"/>
            <w:noWrap/>
            <w:vAlign w:val="bottom"/>
            <w:hideMark/>
          </w:tcPr>
          <w:p w14:paraId="0C776A2D" w14:textId="77777777" w:rsidR="00B329A5" w:rsidRPr="00E67146" w:rsidRDefault="00B329A5" w:rsidP="00E67146">
            <w:pPr>
              <w:rPr>
                <w:sz w:val="22"/>
                <w:szCs w:val="22"/>
                <w:lang w:eastAsia="tr-TR"/>
              </w:rPr>
            </w:pPr>
          </w:p>
        </w:tc>
        <w:tc>
          <w:tcPr>
            <w:tcW w:w="1353" w:type="dxa"/>
            <w:tcBorders>
              <w:top w:val="nil"/>
              <w:left w:val="nil"/>
              <w:bottom w:val="nil"/>
              <w:right w:val="nil"/>
            </w:tcBorders>
            <w:shd w:val="clear" w:color="auto" w:fill="auto"/>
            <w:noWrap/>
            <w:vAlign w:val="bottom"/>
            <w:hideMark/>
          </w:tcPr>
          <w:p w14:paraId="5C30F240" w14:textId="77777777" w:rsidR="00B329A5" w:rsidRPr="00E67146" w:rsidRDefault="00B329A5" w:rsidP="00E67146">
            <w:pPr>
              <w:rPr>
                <w:sz w:val="22"/>
                <w:szCs w:val="22"/>
                <w:lang w:eastAsia="tr-TR"/>
              </w:rPr>
            </w:pPr>
            <w:r w:rsidRPr="00E67146">
              <w:rPr>
                <w:sz w:val="22"/>
                <w:szCs w:val="22"/>
                <w:lang w:eastAsia="tr-TR"/>
              </w:rPr>
              <w:t>16</w:t>
            </w:r>
          </w:p>
        </w:tc>
        <w:tc>
          <w:tcPr>
            <w:tcW w:w="1123" w:type="dxa"/>
            <w:tcBorders>
              <w:top w:val="nil"/>
              <w:left w:val="nil"/>
              <w:bottom w:val="nil"/>
              <w:right w:val="nil"/>
            </w:tcBorders>
            <w:shd w:val="clear" w:color="auto" w:fill="auto"/>
            <w:noWrap/>
            <w:vAlign w:val="bottom"/>
            <w:hideMark/>
          </w:tcPr>
          <w:p w14:paraId="5CCA5A0A" w14:textId="77777777" w:rsidR="00B329A5" w:rsidRPr="00E67146" w:rsidRDefault="00B329A5" w:rsidP="00E67146">
            <w:pPr>
              <w:rPr>
                <w:sz w:val="22"/>
                <w:szCs w:val="22"/>
                <w:lang w:eastAsia="tr-TR"/>
              </w:rPr>
            </w:pPr>
          </w:p>
        </w:tc>
        <w:tc>
          <w:tcPr>
            <w:tcW w:w="1383" w:type="dxa"/>
            <w:tcBorders>
              <w:top w:val="nil"/>
              <w:left w:val="nil"/>
              <w:bottom w:val="nil"/>
              <w:right w:val="nil"/>
            </w:tcBorders>
            <w:shd w:val="clear" w:color="auto" w:fill="auto"/>
            <w:noWrap/>
            <w:vAlign w:val="bottom"/>
            <w:hideMark/>
          </w:tcPr>
          <w:p w14:paraId="59ED14D6" w14:textId="77777777" w:rsidR="00B329A5" w:rsidRPr="00E67146" w:rsidRDefault="00B329A5" w:rsidP="00E67146">
            <w:pPr>
              <w:rPr>
                <w:sz w:val="22"/>
                <w:szCs w:val="22"/>
                <w:lang w:eastAsia="tr-TR"/>
              </w:rPr>
            </w:pPr>
            <w:r w:rsidRPr="00E67146">
              <w:rPr>
                <w:sz w:val="22"/>
                <w:szCs w:val="22"/>
                <w:lang w:eastAsia="tr-TR"/>
              </w:rPr>
              <w:t>0.264*</w:t>
            </w:r>
          </w:p>
        </w:tc>
      </w:tr>
      <w:tr w:rsidR="00CD4293" w:rsidRPr="00E67146" w14:paraId="1806CE11" w14:textId="77777777" w:rsidTr="00B329A5">
        <w:trPr>
          <w:trHeight w:val="300"/>
        </w:trPr>
        <w:tc>
          <w:tcPr>
            <w:tcW w:w="2127" w:type="dxa"/>
            <w:tcBorders>
              <w:top w:val="nil"/>
              <w:left w:val="nil"/>
              <w:bottom w:val="nil"/>
              <w:right w:val="nil"/>
            </w:tcBorders>
            <w:shd w:val="clear" w:color="auto" w:fill="auto"/>
            <w:noWrap/>
            <w:vAlign w:val="bottom"/>
            <w:hideMark/>
          </w:tcPr>
          <w:p w14:paraId="37139836" w14:textId="77777777" w:rsidR="00B329A5" w:rsidRPr="00E67146" w:rsidRDefault="00B329A5" w:rsidP="00E67146">
            <w:pPr>
              <w:rPr>
                <w:sz w:val="22"/>
                <w:szCs w:val="22"/>
                <w:lang w:eastAsia="tr-TR"/>
              </w:rPr>
            </w:pPr>
            <w:r w:rsidRPr="00E67146">
              <w:rPr>
                <w:sz w:val="22"/>
                <w:szCs w:val="22"/>
                <w:lang w:eastAsia="tr-TR"/>
              </w:rPr>
              <w:t>HT (n)</w:t>
            </w:r>
          </w:p>
        </w:tc>
        <w:tc>
          <w:tcPr>
            <w:tcW w:w="1353" w:type="dxa"/>
            <w:tcBorders>
              <w:top w:val="nil"/>
              <w:left w:val="nil"/>
              <w:bottom w:val="nil"/>
              <w:right w:val="nil"/>
            </w:tcBorders>
            <w:shd w:val="clear" w:color="auto" w:fill="auto"/>
            <w:noWrap/>
            <w:vAlign w:val="bottom"/>
            <w:hideMark/>
          </w:tcPr>
          <w:p w14:paraId="05C32677" w14:textId="77777777" w:rsidR="00B329A5" w:rsidRPr="00E67146" w:rsidRDefault="00B329A5" w:rsidP="00E67146">
            <w:pPr>
              <w:rPr>
                <w:sz w:val="22"/>
                <w:szCs w:val="22"/>
                <w:lang w:eastAsia="tr-TR"/>
              </w:rPr>
            </w:pPr>
            <w:r w:rsidRPr="00E67146">
              <w:rPr>
                <w:sz w:val="22"/>
                <w:szCs w:val="22"/>
                <w:lang w:eastAsia="tr-TR"/>
              </w:rPr>
              <w:t>32</w:t>
            </w:r>
          </w:p>
        </w:tc>
        <w:tc>
          <w:tcPr>
            <w:tcW w:w="1123" w:type="dxa"/>
            <w:tcBorders>
              <w:top w:val="nil"/>
              <w:left w:val="nil"/>
              <w:bottom w:val="nil"/>
              <w:right w:val="nil"/>
            </w:tcBorders>
            <w:shd w:val="clear" w:color="auto" w:fill="auto"/>
            <w:noWrap/>
            <w:vAlign w:val="bottom"/>
            <w:hideMark/>
          </w:tcPr>
          <w:p w14:paraId="2AA7445A" w14:textId="77777777" w:rsidR="00B329A5" w:rsidRPr="00E67146" w:rsidRDefault="00B329A5" w:rsidP="00E67146">
            <w:pPr>
              <w:rPr>
                <w:sz w:val="22"/>
                <w:szCs w:val="22"/>
                <w:lang w:eastAsia="tr-TR"/>
              </w:rPr>
            </w:pPr>
          </w:p>
        </w:tc>
        <w:tc>
          <w:tcPr>
            <w:tcW w:w="1353" w:type="dxa"/>
            <w:tcBorders>
              <w:top w:val="nil"/>
              <w:left w:val="nil"/>
              <w:bottom w:val="nil"/>
              <w:right w:val="nil"/>
            </w:tcBorders>
            <w:shd w:val="clear" w:color="auto" w:fill="auto"/>
            <w:noWrap/>
            <w:vAlign w:val="bottom"/>
            <w:hideMark/>
          </w:tcPr>
          <w:p w14:paraId="6DF5EF1C" w14:textId="77777777" w:rsidR="00B329A5" w:rsidRPr="00E67146" w:rsidRDefault="00B329A5" w:rsidP="00E67146">
            <w:pPr>
              <w:rPr>
                <w:sz w:val="22"/>
                <w:szCs w:val="22"/>
                <w:lang w:eastAsia="tr-TR"/>
              </w:rPr>
            </w:pPr>
            <w:r w:rsidRPr="00E67146">
              <w:rPr>
                <w:sz w:val="22"/>
                <w:szCs w:val="22"/>
                <w:lang w:eastAsia="tr-TR"/>
              </w:rPr>
              <w:t>14</w:t>
            </w:r>
          </w:p>
        </w:tc>
        <w:tc>
          <w:tcPr>
            <w:tcW w:w="1123" w:type="dxa"/>
            <w:tcBorders>
              <w:top w:val="nil"/>
              <w:left w:val="nil"/>
              <w:bottom w:val="nil"/>
              <w:right w:val="nil"/>
            </w:tcBorders>
            <w:shd w:val="clear" w:color="auto" w:fill="auto"/>
            <w:noWrap/>
            <w:vAlign w:val="bottom"/>
            <w:hideMark/>
          </w:tcPr>
          <w:p w14:paraId="0EE2EAC7" w14:textId="77777777" w:rsidR="00B329A5" w:rsidRPr="00E67146" w:rsidRDefault="00B329A5" w:rsidP="00E67146">
            <w:pPr>
              <w:rPr>
                <w:sz w:val="22"/>
                <w:szCs w:val="22"/>
                <w:lang w:eastAsia="tr-TR"/>
              </w:rPr>
            </w:pPr>
          </w:p>
        </w:tc>
        <w:tc>
          <w:tcPr>
            <w:tcW w:w="1383" w:type="dxa"/>
            <w:tcBorders>
              <w:top w:val="nil"/>
              <w:left w:val="nil"/>
              <w:bottom w:val="nil"/>
              <w:right w:val="nil"/>
            </w:tcBorders>
            <w:shd w:val="clear" w:color="auto" w:fill="auto"/>
            <w:noWrap/>
            <w:vAlign w:val="bottom"/>
            <w:hideMark/>
          </w:tcPr>
          <w:p w14:paraId="32559375" w14:textId="77777777" w:rsidR="00B329A5" w:rsidRPr="00E67146" w:rsidRDefault="00B329A5" w:rsidP="00E67146">
            <w:pPr>
              <w:rPr>
                <w:sz w:val="22"/>
                <w:szCs w:val="22"/>
                <w:lang w:eastAsia="tr-TR"/>
              </w:rPr>
            </w:pPr>
            <w:r w:rsidRPr="00E67146">
              <w:rPr>
                <w:sz w:val="22"/>
                <w:szCs w:val="22"/>
                <w:lang w:eastAsia="tr-TR"/>
              </w:rPr>
              <w:t>0,600</w:t>
            </w:r>
          </w:p>
        </w:tc>
      </w:tr>
      <w:tr w:rsidR="00CD4293" w:rsidRPr="00E67146" w14:paraId="04093B91" w14:textId="77777777" w:rsidTr="00B329A5">
        <w:trPr>
          <w:trHeight w:val="300"/>
        </w:trPr>
        <w:tc>
          <w:tcPr>
            <w:tcW w:w="2127" w:type="dxa"/>
            <w:tcBorders>
              <w:top w:val="nil"/>
              <w:left w:val="nil"/>
              <w:bottom w:val="nil"/>
              <w:right w:val="nil"/>
            </w:tcBorders>
            <w:shd w:val="clear" w:color="auto" w:fill="auto"/>
            <w:noWrap/>
            <w:vAlign w:val="bottom"/>
            <w:hideMark/>
          </w:tcPr>
          <w:p w14:paraId="581C1E7E" w14:textId="77777777" w:rsidR="00B329A5" w:rsidRPr="00E67146" w:rsidRDefault="00B329A5" w:rsidP="00E67146">
            <w:pPr>
              <w:rPr>
                <w:sz w:val="22"/>
                <w:szCs w:val="22"/>
                <w:lang w:eastAsia="tr-TR"/>
              </w:rPr>
            </w:pPr>
            <w:r w:rsidRPr="00E67146">
              <w:rPr>
                <w:sz w:val="22"/>
                <w:szCs w:val="22"/>
                <w:lang w:eastAsia="tr-TR"/>
              </w:rPr>
              <w:t>DM (n)</w:t>
            </w:r>
          </w:p>
        </w:tc>
        <w:tc>
          <w:tcPr>
            <w:tcW w:w="1353" w:type="dxa"/>
            <w:tcBorders>
              <w:top w:val="nil"/>
              <w:left w:val="nil"/>
              <w:bottom w:val="nil"/>
              <w:right w:val="nil"/>
            </w:tcBorders>
            <w:shd w:val="clear" w:color="auto" w:fill="auto"/>
            <w:noWrap/>
            <w:vAlign w:val="bottom"/>
            <w:hideMark/>
          </w:tcPr>
          <w:p w14:paraId="49CAAA14" w14:textId="77777777" w:rsidR="00B329A5" w:rsidRPr="00E67146" w:rsidRDefault="00B329A5" w:rsidP="00E67146">
            <w:pPr>
              <w:rPr>
                <w:sz w:val="22"/>
                <w:szCs w:val="22"/>
                <w:lang w:eastAsia="tr-TR"/>
              </w:rPr>
            </w:pPr>
            <w:r w:rsidRPr="00E67146">
              <w:rPr>
                <w:sz w:val="22"/>
                <w:szCs w:val="22"/>
                <w:lang w:eastAsia="tr-TR"/>
              </w:rPr>
              <w:t>25</w:t>
            </w:r>
          </w:p>
        </w:tc>
        <w:tc>
          <w:tcPr>
            <w:tcW w:w="1123" w:type="dxa"/>
            <w:tcBorders>
              <w:top w:val="nil"/>
              <w:left w:val="nil"/>
              <w:bottom w:val="nil"/>
              <w:right w:val="nil"/>
            </w:tcBorders>
            <w:shd w:val="clear" w:color="auto" w:fill="auto"/>
            <w:noWrap/>
            <w:vAlign w:val="bottom"/>
            <w:hideMark/>
          </w:tcPr>
          <w:p w14:paraId="7EEBA717" w14:textId="77777777" w:rsidR="00B329A5" w:rsidRPr="00E67146" w:rsidRDefault="00B329A5" w:rsidP="00E67146">
            <w:pPr>
              <w:rPr>
                <w:sz w:val="22"/>
                <w:szCs w:val="22"/>
                <w:lang w:eastAsia="tr-TR"/>
              </w:rPr>
            </w:pPr>
          </w:p>
        </w:tc>
        <w:tc>
          <w:tcPr>
            <w:tcW w:w="1353" w:type="dxa"/>
            <w:tcBorders>
              <w:top w:val="nil"/>
              <w:left w:val="nil"/>
              <w:bottom w:val="nil"/>
              <w:right w:val="nil"/>
            </w:tcBorders>
            <w:shd w:val="clear" w:color="auto" w:fill="auto"/>
            <w:noWrap/>
            <w:vAlign w:val="bottom"/>
            <w:hideMark/>
          </w:tcPr>
          <w:p w14:paraId="317617CA" w14:textId="77777777" w:rsidR="00B329A5" w:rsidRPr="00E67146" w:rsidRDefault="00B329A5" w:rsidP="00E67146">
            <w:pPr>
              <w:rPr>
                <w:sz w:val="22"/>
                <w:szCs w:val="22"/>
                <w:lang w:eastAsia="tr-TR"/>
              </w:rPr>
            </w:pPr>
            <w:r w:rsidRPr="00E67146">
              <w:rPr>
                <w:sz w:val="22"/>
                <w:szCs w:val="22"/>
                <w:lang w:eastAsia="tr-TR"/>
              </w:rPr>
              <w:t>12</w:t>
            </w:r>
          </w:p>
        </w:tc>
        <w:tc>
          <w:tcPr>
            <w:tcW w:w="1123" w:type="dxa"/>
            <w:tcBorders>
              <w:top w:val="nil"/>
              <w:left w:val="nil"/>
              <w:bottom w:val="nil"/>
              <w:right w:val="nil"/>
            </w:tcBorders>
            <w:shd w:val="clear" w:color="auto" w:fill="auto"/>
            <w:noWrap/>
            <w:vAlign w:val="bottom"/>
            <w:hideMark/>
          </w:tcPr>
          <w:p w14:paraId="1A7B72BB" w14:textId="77777777" w:rsidR="00B329A5" w:rsidRPr="00E67146" w:rsidRDefault="00B329A5" w:rsidP="00E67146">
            <w:pPr>
              <w:rPr>
                <w:sz w:val="22"/>
                <w:szCs w:val="22"/>
                <w:lang w:eastAsia="tr-TR"/>
              </w:rPr>
            </w:pPr>
          </w:p>
        </w:tc>
        <w:tc>
          <w:tcPr>
            <w:tcW w:w="1383" w:type="dxa"/>
            <w:tcBorders>
              <w:top w:val="nil"/>
              <w:left w:val="nil"/>
              <w:bottom w:val="nil"/>
              <w:right w:val="nil"/>
            </w:tcBorders>
            <w:shd w:val="clear" w:color="auto" w:fill="auto"/>
            <w:noWrap/>
            <w:vAlign w:val="bottom"/>
            <w:hideMark/>
          </w:tcPr>
          <w:p w14:paraId="0CED3B51" w14:textId="77777777" w:rsidR="00B329A5" w:rsidRPr="00E67146" w:rsidRDefault="00B329A5" w:rsidP="00E67146">
            <w:pPr>
              <w:rPr>
                <w:sz w:val="22"/>
                <w:szCs w:val="22"/>
                <w:lang w:eastAsia="tr-TR"/>
              </w:rPr>
            </w:pPr>
            <w:r w:rsidRPr="00E67146">
              <w:rPr>
                <w:sz w:val="22"/>
                <w:szCs w:val="22"/>
                <w:lang w:eastAsia="tr-TR"/>
              </w:rPr>
              <w:t>0,431</w:t>
            </w:r>
          </w:p>
        </w:tc>
      </w:tr>
      <w:tr w:rsidR="00CD4293" w:rsidRPr="00E67146" w14:paraId="0DF5B249" w14:textId="77777777" w:rsidTr="00B329A5">
        <w:trPr>
          <w:trHeight w:val="300"/>
        </w:trPr>
        <w:tc>
          <w:tcPr>
            <w:tcW w:w="2127" w:type="dxa"/>
            <w:tcBorders>
              <w:top w:val="nil"/>
              <w:left w:val="nil"/>
              <w:bottom w:val="nil"/>
              <w:right w:val="nil"/>
            </w:tcBorders>
            <w:shd w:val="clear" w:color="auto" w:fill="auto"/>
            <w:noWrap/>
            <w:vAlign w:val="bottom"/>
            <w:hideMark/>
          </w:tcPr>
          <w:p w14:paraId="713ED26F" w14:textId="77777777" w:rsidR="00B329A5" w:rsidRPr="00E67146" w:rsidRDefault="00B329A5" w:rsidP="00E67146">
            <w:pPr>
              <w:rPr>
                <w:sz w:val="22"/>
                <w:szCs w:val="22"/>
                <w:lang w:eastAsia="tr-TR"/>
              </w:rPr>
            </w:pPr>
            <w:r w:rsidRPr="00E67146">
              <w:rPr>
                <w:sz w:val="22"/>
                <w:szCs w:val="22"/>
                <w:lang w:eastAsia="tr-TR"/>
              </w:rPr>
              <w:t>COPD (n)</w:t>
            </w:r>
          </w:p>
        </w:tc>
        <w:tc>
          <w:tcPr>
            <w:tcW w:w="1353" w:type="dxa"/>
            <w:tcBorders>
              <w:top w:val="nil"/>
              <w:left w:val="nil"/>
              <w:bottom w:val="nil"/>
              <w:right w:val="nil"/>
            </w:tcBorders>
            <w:shd w:val="clear" w:color="auto" w:fill="auto"/>
            <w:noWrap/>
            <w:vAlign w:val="bottom"/>
            <w:hideMark/>
          </w:tcPr>
          <w:p w14:paraId="121BE556" w14:textId="77777777" w:rsidR="00B329A5" w:rsidRPr="00E67146" w:rsidRDefault="00B329A5" w:rsidP="00E67146">
            <w:pPr>
              <w:rPr>
                <w:sz w:val="22"/>
                <w:szCs w:val="22"/>
                <w:lang w:eastAsia="tr-TR"/>
              </w:rPr>
            </w:pPr>
            <w:r w:rsidRPr="00E67146">
              <w:rPr>
                <w:sz w:val="22"/>
                <w:szCs w:val="22"/>
                <w:lang w:eastAsia="tr-TR"/>
              </w:rPr>
              <w:t>9</w:t>
            </w:r>
          </w:p>
        </w:tc>
        <w:tc>
          <w:tcPr>
            <w:tcW w:w="1123" w:type="dxa"/>
            <w:tcBorders>
              <w:top w:val="nil"/>
              <w:left w:val="nil"/>
              <w:bottom w:val="nil"/>
              <w:right w:val="nil"/>
            </w:tcBorders>
            <w:shd w:val="clear" w:color="auto" w:fill="auto"/>
            <w:noWrap/>
            <w:vAlign w:val="bottom"/>
            <w:hideMark/>
          </w:tcPr>
          <w:p w14:paraId="5339D534" w14:textId="77777777" w:rsidR="00B329A5" w:rsidRPr="00E67146" w:rsidRDefault="00B329A5" w:rsidP="00E67146">
            <w:pPr>
              <w:rPr>
                <w:sz w:val="22"/>
                <w:szCs w:val="22"/>
                <w:lang w:eastAsia="tr-TR"/>
              </w:rPr>
            </w:pPr>
          </w:p>
        </w:tc>
        <w:tc>
          <w:tcPr>
            <w:tcW w:w="1353" w:type="dxa"/>
            <w:tcBorders>
              <w:top w:val="nil"/>
              <w:left w:val="nil"/>
              <w:bottom w:val="nil"/>
              <w:right w:val="nil"/>
            </w:tcBorders>
            <w:shd w:val="clear" w:color="auto" w:fill="auto"/>
            <w:noWrap/>
            <w:vAlign w:val="bottom"/>
            <w:hideMark/>
          </w:tcPr>
          <w:p w14:paraId="6CB5183C" w14:textId="77777777" w:rsidR="00B329A5" w:rsidRPr="00E67146" w:rsidRDefault="00B329A5" w:rsidP="00E67146">
            <w:pPr>
              <w:rPr>
                <w:sz w:val="22"/>
                <w:szCs w:val="22"/>
                <w:lang w:eastAsia="tr-TR"/>
              </w:rPr>
            </w:pPr>
            <w:r w:rsidRPr="00E67146">
              <w:rPr>
                <w:sz w:val="22"/>
                <w:szCs w:val="22"/>
                <w:lang w:eastAsia="tr-TR"/>
              </w:rPr>
              <w:t xml:space="preserve">   3</w:t>
            </w:r>
          </w:p>
        </w:tc>
        <w:tc>
          <w:tcPr>
            <w:tcW w:w="1123" w:type="dxa"/>
            <w:tcBorders>
              <w:top w:val="nil"/>
              <w:left w:val="nil"/>
              <w:bottom w:val="nil"/>
              <w:right w:val="nil"/>
            </w:tcBorders>
            <w:shd w:val="clear" w:color="auto" w:fill="auto"/>
            <w:noWrap/>
            <w:vAlign w:val="bottom"/>
            <w:hideMark/>
          </w:tcPr>
          <w:p w14:paraId="7A6FA8A9" w14:textId="77777777" w:rsidR="00B329A5" w:rsidRPr="00E67146" w:rsidRDefault="00B329A5" w:rsidP="00E67146">
            <w:pPr>
              <w:rPr>
                <w:sz w:val="22"/>
                <w:szCs w:val="22"/>
                <w:lang w:eastAsia="tr-TR"/>
              </w:rPr>
            </w:pPr>
          </w:p>
        </w:tc>
        <w:tc>
          <w:tcPr>
            <w:tcW w:w="1383" w:type="dxa"/>
            <w:tcBorders>
              <w:top w:val="nil"/>
              <w:left w:val="nil"/>
              <w:bottom w:val="nil"/>
              <w:right w:val="nil"/>
            </w:tcBorders>
            <w:shd w:val="clear" w:color="auto" w:fill="auto"/>
            <w:noWrap/>
            <w:vAlign w:val="bottom"/>
            <w:hideMark/>
          </w:tcPr>
          <w:p w14:paraId="28A646C5" w14:textId="77777777" w:rsidR="00B329A5" w:rsidRPr="00E67146" w:rsidRDefault="00B329A5" w:rsidP="00E67146">
            <w:pPr>
              <w:rPr>
                <w:sz w:val="22"/>
                <w:szCs w:val="22"/>
                <w:lang w:eastAsia="tr-TR"/>
              </w:rPr>
            </w:pPr>
            <w:r w:rsidRPr="00E67146">
              <w:rPr>
                <w:sz w:val="22"/>
                <w:szCs w:val="22"/>
                <w:lang w:eastAsia="tr-TR"/>
              </w:rPr>
              <w:t>0,546*</w:t>
            </w:r>
          </w:p>
        </w:tc>
      </w:tr>
      <w:tr w:rsidR="00CD4293" w:rsidRPr="00E67146" w14:paraId="115298DA" w14:textId="77777777" w:rsidTr="00B329A5">
        <w:trPr>
          <w:trHeight w:val="300"/>
        </w:trPr>
        <w:tc>
          <w:tcPr>
            <w:tcW w:w="2127" w:type="dxa"/>
            <w:tcBorders>
              <w:top w:val="nil"/>
              <w:left w:val="nil"/>
              <w:bottom w:val="nil"/>
              <w:right w:val="nil"/>
            </w:tcBorders>
            <w:shd w:val="clear" w:color="auto" w:fill="auto"/>
            <w:noWrap/>
            <w:vAlign w:val="bottom"/>
            <w:hideMark/>
          </w:tcPr>
          <w:p w14:paraId="25C54F45" w14:textId="77777777" w:rsidR="00B329A5" w:rsidRPr="00E67146" w:rsidRDefault="00B329A5" w:rsidP="00E67146">
            <w:pPr>
              <w:rPr>
                <w:sz w:val="22"/>
                <w:szCs w:val="22"/>
                <w:lang w:eastAsia="tr-TR"/>
              </w:rPr>
            </w:pPr>
            <w:r w:rsidRPr="00E67146">
              <w:rPr>
                <w:sz w:val="22"/>
                <w:szCs w:val="22"/>
                <w:lang w:eastAsia="tr-TR"/>
              </w:rPr>
              <w:t>DL (n)</w:t>
            </w:r>
          </w:p>
        </w:tc>
        <w:tc>
          <w:tcPr>
            <w:tcW w:w="1353" w:type="dxa"/>
            <w:tcBorders>
              <w:top w:val="nil"/>
              <w:left w:val="nil"/>
              <w:bottom w:val="nil"/>
              <w:right w:val="nil"/>
            </w:tcBorders>
            <w:shd w:val="clear" w:color="auto" w:fill="auto"/>
            <w:noWrap/>
            <w:vAlign w:val="bottom"/>
            <w:hideMark/>
          </w:tcPr>
          <w:p w14:paraId="1D7EDF1D" w14:textId="77777777" w:rsidR="00B329A5" w:rsidRPr="00E67146" w:rsidRDefault="00B329A5" w:rsidP="00E67146">
            <w:pPr>
              <w:rPr>
                <w:sz w:val="22"/>
                <w:szCs w:val="22"/>
                <w:lang w:eastAsia="tr-TR"/>
              </w:rPr>
            </w:pPr>
            <w:r w:rsidRPr="00E67146">
              <w:rPr>
                <w:sz w:val="22"/>
                <w:szCs w:val="22"/>
                <w:lang w:eastAsia="tr-TR"/>
              </w:rPr>
              <w:t>15</w:t>
            </w:r>
          </w:p>
        </w:tc>
        <w:tc>
          <w:tcPr>
            <w:tcW w:w="1123" w:type="dxa"/>
            <w:tcBorders>
              <w:top w:val="nil"/>
              <w:left w:val="nil"/>
              <w:bottom w:val="nil"/>
              <w:right w:val="nil"/>
            </w:tcBorders>
            <w:shd w:val="clear" w:color="auto" w:fill="auto"/>
            <w:noWrap/>
            <w:vAlign w:val="bottom"/>
            <w:hideMark/>
          </w:tcPr>
          <w:p w14:paraId="2742153B" w14:textId="77777777" w:rsidR="00B329A5" w:rsidRPr="00E67146" w:rsidRDefault="00B329A5" w:rsidP="00E67146">
            <w:pPr>
              <w:rPr>
                <w:sz w:val="22"/>
                <w:szCs w:val="22"/>
                <w:lang w:eastAsia="tr-TR"/>
              </w:rPr>
            </w:pPr>
          </w:p>
        </w:tc>
        <w:tc>
          <w:tcPr>
            <w:tcW w:w="1353" w:type="dxa"/>
            <w:tcBorders>
              <w:top w:val="nil"/>
              <w:left w:val="nil"/>
              <w:bottom w:val="nil"/>
              <w:right w:val="nil"/>
            </w:tcBorders>
            <w:shd w:val="clear" w:color="auto" w:fill="auto"/>
            <w:noWrap/>
            <w:vAlign w:val="bottom"/>
            <w:hideMark/>
          </w:tcPr>
          <w:p w14:paraId="2D354D07" w14:textId="77777777" w:rsidR="00B329A5" w:rsidRPr="00E67146" w:rsidRDefault="00B329A5" w:rsidP="00E67146">
            <w:pPr>
              <w:rPr>
                <w:sz w:val="22"/>
                <w:szCs w:val="22"/>
                <w:lang w:eastAsia="tr-TR"/>
              </w:rPr>
            </w:pPr>
            <w:r w:rsidRPr="00E67146">
              <w:rPr>
                <w:sz w:val="22"/>
                <w:szCs w:val="22"/>
                <w:lang w:eastAsia="tr-TR"/>
              </w:rPr>
              <w:t>5</w:t>
            </w:r>
          </w:p>
        </w:tc>
        <w:tc>
          <w:tcPr>
            <w:tcW w:w="1123" w:type="dxa"/>
            <w:tcBorders>
              <w:top w:val="nil"/>
              <w:left w:val="nil"/>
              <w:bottom w:val="nil"/>
              <w:right w:val="nil"/>
            </w:tcBorders>
            <w:shd w:val="clear" w:color="auto" w:fill="auto"/>
            <w:noWrap/>
            <w:vAlign w:val="bottom"/>
            <w:hideMark/>
          </w:tcPr>
          <w:p w14:paraId="70D8E227" w14:textId="77777777" w:rsidR="00B329A5" w:rsidRPr="00E67146" w:rsidRDefault="00B329A5" w:rsidP="00E67146">
            <w:pPr>
              <w:rPr>
                <w:sz w:val="22"/>
                <w:szCs w:val="22"/>
                <w:lang w:eastAsia="tr-TR"/>
              </w:rPr>
            </w:pPr>
          </w:p>
        </w:tc>
        <w:tc>
          <w:tcPr>
            <w:tcW w:w="1383" w:type="dxa"/>
            <w:tcBorders>
              <w:top w:val="nil"/>
              <w:left w:val="nil"/>
              <w:bottom w:val="nil"/>
              <w:right w:val="nil"/>
            </w:tcBorders>
            <w:shd w:val="clear" w:color="auto" w:fill="auto"/>
            <w:noWrap/>
            <w:vAlign w:val="bottom"/>
            <w:hideMark/>
          </w:tcPr>
          <w:p w14:paraId="4B68DF7D" w14:textId="77777777" w:rsidR="00B329A5" w:rsidRPr="00E67146" w:rsidRDefault="00B329A5" w:rsidP="00E67146">
            <w:pPr>
              <w:rPr>
                <w:sz w:val="22"/>
                <w:szCs w:val="22"/>
                <w:lang w:eastAsia="tr-TR"/>
              </w:rPr>
            </w:pPr>
            <w:r w:rsidRPr="00E67146">
              <w:rPr>
                <w:sz w:val="22"/>
                <w:szCs w:val="22"/>
                <w:lang w:eastAsia="tr-TR"/>
              </w:rPr>
              <w:t>0,712</w:t>
            </w:r>
          </w:p>
        </w:tc>
      </w:tr>
      <w:tr w:rsidR="00CD4293" w:rsidRPr="00E67146" w14:paraId="7B2FD20A" w14:textId="77777777" w:rsidTr="00B329A5">
        <w:trPr>
          <w:trHeight w:val="300"/>
        </w:trPr>
        <w:tc>
          <w:tcPr>
            <w:tcW w:w="2127" w:type="dxa"/>
            <w:tcBorders>
              <w:top w:val="nil"/>
              <w:left w:val="nil"/>
              <w:bottom w:val="nil"/>
              <w:right w:val="nil"/>
            </w:tcBorders>
            <w:shd w:val="clear" w:color="auto" w:fill="auto"/>
            <w:noWrap/>
            <w:vAlign w:val="bottom"/>
            <w:hideMark/>
          </w:tcPr>
          <w:p w14:paraId="28BE9FE4" w14:textId="77777777" w:rsidR="00B329A5" w:rsidRPr="00E67146" w:rsidRDefault="00B329A5" w:rsidP="00E67146">
            <w:pPr>
              <w:rPr>
                <w:sz w:val="22"/>
                <w:szCs w:val="22"/>
                <w:lang w:eastAsia="tr-TR"/>
              </w:rPr>
            </w:pPr>
            <w:r w:rsidRPr="00E67146">
              <w:rPr>
                <w:sz w:val="22"/>
                <w:szCs w:val="22"/>
                <w:lang w:eastAsia="tr-TR"/>
              </w:rPr>
              <w:t>Family History (n)</w:t>
            </w:r>
          </w:p>
        </w:tc>
        <w:tc>
          <w:tcPr>
            <w:tcW w:w="1353" w:type="dxa"/>
            <w:tcBorders>
              <w:top w:val="nil"/>
              <w:left w:val="nil"/>
              <w:bottom w:val="nil"/>
              <w:right w:val="nil"/>
            </w:tcBorders>
            <w:shd w:val="clear" w:color="auto" w:fill="auto"/>
            <w:noWrap/>
            <w:vAlign w:val="bottom"/>
            <w:hideMark/>
          </w:tcPr>
          <w:p w14:paraId="3408A640" w14:textId="77777777" w:rsidR="00B329A5" w:rsidRPr="00E67146" w:rsidRDefault="00B329A5" w:rsidP="00E67146">
            <w:pPr>
              <w:rPr>
                <w:sz w:val="22"/>
                <w:szCs w:val="22"/>
                <w:lang w:eastAsia="tr-TR"/>
              </w:rPr>
            </w:pPr>
            <w:r w:rsidRPr="00E67146">
              <w:rPr>
                <w:sz w:val="22"/>
                <w:szCs w:val="22"/>
                <w:lang w:eastAsia="tr-TR"/>
              </w:rPr>
              <w:t>2</w:t>
            </w:r>
          </w:p>
        </w:tc>
        <w:tc>
          <w:tcPr>
            <w:tcW w:w="1123" w:type="dxa"/>
            <w:tcBorders>
              <w:top w:val="nil"/>
              <w:left w:val="nil"/>
              <w:bottom w:val="nil"/>
              <w:right w:val="nil"/>
            </w:tcBorders>
            <w:shd w:val="clear" w:color="auto" w:fill="auto"/>
            <w:noWrap/>
            <w:vAlign w:val="bottom"/>
            <w:hideMark/>
          </w:tcPr>
          <w:p w14:paraId="4ADEB679" w14:textId="77777777" w:rsidR="00B329A5" w:rsidRPr="00E67146" w:rsidRDefault="00B329A5" w:rsidP="00E67146">
            <w:pPr>
              <w:rPr>
                <w:sz w:val="22"/>
                <w:szCs w:val="22"/>
                <w:lang w:eastAsia="tr-TR"/>
              </w:rPr>
            </w:pPr>
          </w:p>
        </w:tc>
        <w:tc>
          <w:tcPr>
            <w:tcW w:w="1353" w:type="dxa"/>
            <w:tcBorders>
              <w:top w:val="nil"/>
              <w:left w:val="nil"/>
              <w:bottom w:val="nil"/>
              <w:right w:val="nil"/>
            </w:tcBorders>
            <w:shd w:val="clear" w:color="auto" w:fill="auto"/>
            <w:noWrap/>
            <w:vAlign w:val="bottom"/>
            <w:hideMark/>
          </w:tcPr>
          <w:p w14:paraId="5D0B15E6" w14:textId="77777777" w:rsidR="00B329A5" w:rsidRPr="00E67146" w:rsidRDefault="00B329A5" w:rsidP="00E67146">
            <w:pPr>
              <w:rPr>
                <w:sz w:val="22"/>
                <w:szCs w:val="22"/>
                <w:lang w:eastAsia="tr-TR"/>
              </w:rPr>
            </w:pPr>
            <w:r w:rsidRPr="00E67146">
              <w:rPr>
                <w:sz w:val="22"/>
                <w:szCs w:val="22"/>
                <w:lang w:eastAsia="tr-TR"/>
              </w:rPr>
              <w:t>0</w:t>
            </w:r>
          </w:p>
        </w:tc>
        <w:tc>
          <w:tcPr>
            <w:tcW w:w="1123" w:type="dxa"/>
            <w:tcBorders>
              <w:top w:val="nil"/>
              <w:left w:val="nil"/>
              <w:bottom w:val="nil"/>
              <w:right w:val="nil"/>
            </w:tcBorders>
            <w:shd w:val="clear" w:color="auto" w:fill="auto"/>
            <w:noWrap/>
            <w:vAlign w:val="bottom"/>
            <w:hideMark/>
          </w:tcPr>
          <w:p w14:paraId="0D53FF82" w14:textId="77777777" w:rsidR="00B329A5" w:rsidRPr="00E67146" w:rsidRDefault="00B329A5" w:rsidP="00E67146">
            <w:pPr>
              <w:rPr>
                <w:sz w:val="22"/>
                <w:szCs w:val="22"/>
                <w:lang w:eastAsia="tr-TR"/>
              </w:rPr>
            </w:pPr>
          </w:p>
        </w:tc>
        <w:tc>
          <w:tcPr>
            <w:tcW w:w="1383" w:type="dxa"/>
            <w:tcBorders>
              <w:top w:val="nil"/>
              <w:left w:val="nil"/>
              <w:bottom w:val="nil"/>
              <w:right w:val="nil"/>
            </w:tcBorders>
            <w:shd w:val="clear" w:color="auto" w:fill="auto"/>
            <w:noWrap/>
            <w:vAlign w:val="bottom"/>
            <w:hideMark/>
          </w:tcPr>
          <w:p w14:paraId="6A7DE7BB" w14:textId="77777777" w:rsidR="00B329A5" w:rsidRPr="00E67146" w:rsidRDefault="00B329A5" w:rsidP="00E67146">
            <w:pPr>
              <w:rPr>
                <w:sz w:val="22"/>
                <w:szCs w:val="22"/>
                <w:lang w:eastAsia="tr-TR"/>
              </w:rPr>
            </w:pPr>
            <w:r w:rsidRPr="00E67146">
              <w:rPr>
                <w:sz w:val="22"/>
                <w:szCs w:val="22"/>
                <w:lang w:eastAsia="tr-TR"/>
              </w:rPr>
              <w:t>0,513*</w:t>
            </w:r>
          </w:p>
        </w:tc>
      </w:tr>
      <w:tr w:rsidR="00CD4293" w:rsidRPr="00E67146" w14:paraId="0D668978" w14:textId="77777777" w:rsidTr="00B329A5">
        <w:trPr>
          <w:trHeight w:val="300"/>
        </w:trPr>
        <w:tc>
          <w:tcPr>
            <w:tcW w:w="2127" w:type="dxa"/>
            <w:tcBorders>
              <w:top w:val="nil"/>
              <w:left w:val="nil"/>
              <w:bottom w:val="single" w:sz="4" w:space="0" w:color="auto"/>
              <w:right w:val="nil"/>
            </w:tcBorders>
            <w:shd w:val="clear" w:color="auto" w:fill="auto"/>
            <w:noWrap/>
            <w:vAlign w:val="bottom"/>
            <w:hideMark/>
          </w:tcPr>
          <w:p w14:paraId="7499B30E" w14:textId="77777777" w:rsidR="00B329A5" w:rsidRPr="00E67146" w:rsidRDefault="00B329A5" w:rsidP="00E67146">
            <w:pPr>
              <w:rPr>
                <w:sz w:val="22"/>
                <w:szCs w:val="22"/>
                <w:lang w:eastAsia="tr-TR"/>
              </w:rPr>
            </w:pPr>
            <w:r w:rsidRPr="00E67146">
              <w:rPr>
                <w:sz w:val="22"/>
                <w:szCs w:val="22"/>
                <w:lang w:eastAsia="tr-TR"/>
              </w:rPr>
              <w:t>Smoking (n)</w:t>
            </w:r>
          </w:p>
        </w:tc>
        <w:tc>
          <w:tcPr>
            <w:tcW w:w="1353" w:type="dxa"/>
            <w:tcBorders>
              <w:top w:val="nil"/>
              <w:left w:val="nil"/>
              <w:bottom w:val="single" w:sz="4" w:space="0" w:color="auto"/>
              <w:right w:val="nil"/>
            </w:tcBorders>
            <w:shd w:val="clear" w:color="auto" w:fill="auto"/>
            <w:noWrap/>
            <w:vAlign w:val="bottom"/>
            <w:hideMark/>
          </w:tcPr>
          <w:p w14:paraId="47770FCE" w14:textId="77777777" w:rsidR="00B329A5" w:rsidRPr="00E67146" w:rsidRDefault="00B329A5" w:rsidP="00E67146">
            <w:pPr>
              <w:rPr>
                <w:sz w:val="22"/>
                <w:szCs w:val="22"/>
                <w:lang w:eastAsia="tr-TR"/>
              </w:rPr>
            </w:pPr>
            <w:r w:rsidRPr="00E67146">
              <w:rPr>
                <w:sz w:val="22"/>
                <w:szCs w:val="22"/>
                <w:lang w:eastAsia="tr-TR"/>
              </w:rPr>
              <w:t>28</w:t>
            </w:r>
          </w:p>
        </w:tc>
        <w:tc>
          <w:tcPr>
            <w:tcW w:w="1123" w:type="dxa"/>
            <w:tcBorders>
              <w:top w:val="nil"/>
              <w:left w:val="nil"/>
              <w:bottom w:val="single" w:sz="4" w:space="0" w:color="auto"/>
              <w:right w:val="nil"/>
            </w:tcBorders>
            <w:shd w:val="clear" w:color="auto" w:fill="auto"/>
            <w:noWrap/>
            <w:vAlign w:val="bottom"/>
            <w:hideMark/>
          </w:tcPr>
          <w:p w14:paraId="3DA62515" w14:textId="77777777" w:rsidR="00B329A5" w:rsidRPr="00E67146" w:rsidRDefault="00B329A5" w:rsidP="00E67146">
            <w:pPr>
              <w:rPr>
                <w:sz w:val="22"/>
                <w:szCs w:val="22"/>
                <w:lang w:eastAsia="tr-TR"/>
              </w:rPr>
            </w:pPr>
          </w:p>
        </w:tc>
        <w:tc>
          <w:tcPr>
            <w:tcW w:w="1353" w:type="dxa"/>
            <w:tcBorders>
              <w:top w:val="nil"/>
              <w:left w:val="nil"/>
              <w:bottom w:val="single" w:sz="4" w:space="0" w:color="auto"/>
              <w:right w:val="nil"/>
            </w:tcBorders>
            <w:shd w:val="clear" w:color="auto" w:fill="auto"/>
            <w:noWrap/>
            <w:vAlign w:val="bottom"/>
            <w:hideMark/>
          </w:tcPr>
          <w:p w14:paraId="29E968E7" w14:textId="77777777" w:rsidR="00B329A5" w:rsidRPr="00E67146" w:rsidRDefault="00B329A5" w:rsidP="00E67146">
            <w:pPr>
              <w:rPr>
                <w:sz w:val="22"/>
                <w:szCs w:val="22"/>
                <w:lang w:eastAsia="tr-TR"/>
              </w:rPr>
            </w:pPr>
            <w:r w:rsidRPr="00E67146">
              <w:rPr>
                <w:sz w:val="22"/>
                <w:szCs w:val="22"/>
                <w:lang w:eastAsia="tr-TR"/>
              </w:rPr>
              <w:t>10</w:t>
            </w:r>
          </w:p>
        </w:tc>
        <w:tc>
          <w:tcPr>
            <w:tcW w:w="1123" w:type="dxa"/>
            <w:tcBorders>
              <w:top w:val="nil"/>
              <w:left w:val="nil"/>
              <w:bottom w:val="single" w:sz="4" w:space="0" w:color="auto"/>
              <w:right w:val="nil"/>
            </w:tcBorders>
            <w:shd w:val="clear" w:color="auto" w:fill="auto"/>
            <w:noWrap/>
            <w:vAlign w:val="bottom"/>
            <w:hideMark/>
          </w:tcPr>
          <w:p w14:paraId="7A6A2A53" w14:textId="77777777" w:rsidR="00B329A5" w:rsidRPr="00E67146" w:rsidRDefault="00B329A5" w:rsidP="00E67146">
            <w:pPr>
              <w:rPr>
                <w:sz w:val="22"/>
                <w:szCs w:val="22"/>
                <w:lang w:eastAsia="tr-TR"/>
              </w:rPr>
            </w:pPr>
          </w:p>
        </w:tc>
        <w:tc>
          <w:tcPr>
            <w:tcW w:w="1383" w:type="dxa"/>
            <w:tcBorders>
              <w:top w:val="nil"/>
              <w:left w:val="nil"/>
              <w:bottom w:val="single" w:sz="4" w:space="0" w:color="auto"/>
              <w:right w:val="nil"/>
            </w:tcBorders>
            <w:shd w:val="clear" w:color="auto" w:fill="auto"/>
            <w:noWrap/>
            <w:vAlign w:val="bottom"/>
            <w:hideMark/>
          </w:tcPr>
          <w:p w14:paraId="55E6AC22" w14:textId="77777777" w:rsidR="00B329A5" w:rsidRPr="00E67146" w:rsidRDefault="00B329A5" w:rsidP="00E67146">
            <w:pPr>
              <w:rPr>
                <w:sz w:val="22"/>
                <w:szCs w:val="22"/>
                <w:lang w:eastAsia="tr-TR"/>
              </w:rPr>
            </w:pPr>
            <w:r w:rsidRPr="00E67146">
              <w:rPr>
                <w:sz w:val="22"/>
                <w:szCs w:val="22"/>
                <w:lang w:eastAsia="tr-TR"/>
              </w:rPr>
              <w:t>0,718</w:t>
            </w:r>
          </w:p>
        </w:tc>
      </w:tr>
    </w:tbl>
    <w:p w14:paraId="31B47066" w14:textId="77777777" w:rsidR="00B329A5" w:rsidRPr="00E67146" w:rsidRDefault="00B329A5" w:rsidP="00E67146">
      <w:pPr>
        <w:rPr>
          <w:sz w:val="22"/>
          <w:szCs w:val="22"/>
        </w:rPr>
      </w:pPr>
      <w:r w:rsidRPr="00E67146">
        <w:rPr>
          <w:sz w:val="22"/>
          <w:szCs w:val="22"/>
          <w:lang w:eastAsia="tr-TR"/>
        </w:rPr>
        <w:t>BMI: Body mass index, EF: Ejection fraction, HT:</w:t>
      </w:r>
      <w:r w:rsidRPr="00E67146">
        <w:rPr>
          <w:sz w:val="22"/>
          <w:szCs w:val="22"/>
        </w:rPr>
        <w:t xml:space="preserve"> </w:t>
      </w:r>
      <w:r w:rsidRPr="00E67146">
        <w:rPr>
          <w:sz w:val="22"/>
          <w:szCs w:val="22"/>
          <w:lang w:eastAsia="tr-TR"/>
        </w:rPr>
        <w:t>Hypertension, DM: Diabetes Mellitus, COPD: Chronic Obstructive pulmonary disease</w:t>
      </w:r>
      <w:r w:rsidR="005A20D9" w:rsidRPr="00E67146">
        <w:rPr>
          <w:sz w:val="22"/>
          <w:szCs w:val="22"/>
          <w:lang w:eastAsia="tr-TR"/>
        </w:rPr>
        <w:t xml:space="preserve">, </w:t>
      </w:r>
      <w:r w:rsidR="005A20D9" w:rsidRPr="00E67146">
        <w:rPr>
          <w:sz w:val="22"/>
          <w:szCs w:val="22"/>
        </w:rPr>
        <w:t>DL</w:t>
      </w:r>
      <w:r w:rsidRPr="00E67146">
        <w:rPr>
          <w:sz w:val="22"/>
          <w:szCs w:val="22"/>
          <w:lang w:eastAsia="tr-TR"/>
        </w:rPr>
        <w:t xml:space="preserve">: </w:t>
      </w:r>
      <w:r w:rsidR="005A20D9" w:rsidRPr="00E67146">
        <w:rPr>
          <w:sz w:val="22"/>
          <w:szCs w:val="22"/>
          <w:lang w:eastAsia="tr-TR"/>
        </w:rPr>
        <w:t>Dyslipidaemia</w:t>
      </w:r>
      <w:r w:rsidRPr="00E67146">
        <w:rPr>
          <w:sz w:val="22"/>
          <w:szCs w:val="22"/>
          <w:lang w:eastAsia="tr-TR"/>
        </w:rPr>
        <w:t xml:space="preserve">. </w:t>
      </w:r>
      <w:r w:rsidRPr="00E67146">
        <w:rPr>
          <w:sz w:val="22"/>
          <w:szCs w:val="22"/>
        </w:rPr>
        <w:t xml:space="preserve">*Chi-square, </w:t>
      </w:r>
      <w:r w:rsidRPr="00E67146">
        <w:rPr>
          <w:sz w:val="22"/>
          <w:szCs w:val="22"/>
          <w:vertAlign w:val="superscript"/>
        </w:rPr>
        <w:t>#</w:t>
      </w:r>
      <w:r w:rsidRPr="00E67146">
        <w:rPr>
          <w:sz w:val="22"/>
          <w:szCs w:val="22"/>
        </w:rPr>
        <w:t>Mann Whitney-U test.</w:t>
      </w:r>
    </w:p>
    <w:p w14:paraId="7248CE8C" w14:textId="77777777" w:rsidR="00B329A5" w:rsidRPr="00E67146" w:rsidRDefault="00B329A5" w:rsidP="00E67146">
      <w:pPr>
        <w:rPr>
          <w:rFonts w:eastAsia="Calibri"/>
          <w:sz w:val="22"/>
          <w:szCs w:val="22"/>
          <w:lang w:val="en-US" w:eastAsia="en-US"/>
        </w:rPr>
      </w:pPr>
    </w:p>
    <w:p w14:paraId="6E28B45D" w14:textId="77777777" w:rsidR="00F764A6" w:rsidRPr="00E67146" w:rsidRDefault="00F764A6" w:rsidP="00E67146">
      <w:pPr>
        <w:rPr>
          <w:rFonts w:eastAsia="Calibri"/>
          <w:sz w:val="22"/>
          <w:szCs w:val="22"/>
          <w:lang w:val="en-US" w:eastAsia="en-US"/>
        </w:rPr>
      </w:pPr>
    </w:p>
    <w:p w14:paraId="2A9C3605" w14:textId="77777777" w:rsidR="00B329A5" w:rsidRPr="00E67146" w:rsidRDefault="00B329A5" w:rsidP="00E67146">
      <w:pPr>
        <w:rPr>
          <w:rFonts w:eastAsia="Calibri"/>
          <w:sz w:val="22"/>
          <w:szCs w:val="22"/>
          <w:lang w:val="en-US" w:eastAsia="en-US"/>
        </w:rPr>
      </w:pPr>
    </w:p>
    <w:p w14:paraId="45D11663" w14:textId="77777777" w:rsidR="00B329A5" w:rsidRPr="00E67146" w:rsidRDefault="00B329A5" w:rsidP="00E67146">
      <w:pPr>
        <w:rPr>
          <w:rFonts w:eastAsia="Calibri"/>
          <w:sz w:val="22"/>
          <w:szCs w:val="22"/>
          <w:lang w:val="en-US" w:eastAsia="en-US"/>
        </w:rPr>
      </w:pPr>
    </w:p>
    <w:p w14:paraId="0154B321" w14:textId="77777777" w:rsidR="00B329A5" w:rsidRPr="00E67146" w:rsidRDefault="00B329A5" w:rsidP="00E67146">
      <w:pPr>
        <w:rPr>
          <w:rFonts w:eastAsia="Calibri"/>
          <w:sz w:val="22"/>
          <w:szCs w:val="22"/>
          <w:lang w:val="en-US" w:eastAsia="en-US"/>
        </w:rPr>
      </w:pPr>
    </w:p>
    <w:p w14:paraId="2968A054" w14:textId="77777777" w:rsidR="00B329A5" w:rsidRPr="00E67146" w:rsidRDefault="00B329A5" w:rsidP="00E67146">
      <w:pPr>
        <w:rPr>
          <w:rFonts w:eastAsia="Calibri"/>
          <w:sz w:val="22"/>
          <w:szCs w:val="22"/>
          <w:lang w:val="en-US" w:eastAsia="en-US"/>
        </w:rPr>
      </w:pPr>
    </w:p>
    <w:p w14:paraId="2DDB77DB" w14:textId="77777777" w:rsidR="00B329A5" w:rsidRPr="00E67146" w:rsidRDefault="00B329A5" w:rsidP="00E67146">
      <w:pPr>
        <w:rPr>
          <w:rFonts w:eastAsia="Calibri"/>
          <w:sz w:val="22"/>
          <w:szCs w:val="22"/>
          <w:lang w:val="en-US" w:eastAsia="en-US"/>
        </w:rPr>
      </w:pPr>
    </w:p>
    <w:p w14:paraId="5791DA85" w14:textId="77777777" w:rsidR="00DD7DF2" w:rsidRPr="00E67146" w:rsidRDefault="00DD7DF2" w:rsidP="00E67146">
      <w:pPr>
        <w:rPr>
          <w:rFonts w:eastAsia="Calibri"/>
          <w:sz w:val="22"/>
          <w:szCs w:val="22"/>
          <w:lang w:val="en-US" w:eastAsia="en-US"/>
        </w:rPr>
      </w:pPr>
    </w:p>
    <w:p w14:paraId="11790D3A" w14:textId="77777777" w:rsidR="00DD7DF2" w:rsidRPr="00E67146" w:rsidRDefault="00DD7DF2" w:rsidP="00E67146">
      <w:pPr>
        <w:rPr>
          <w:rFonts w:eastAsia="Calibri"/>
          <w:sz w:val="22"/>
          <w:szCs w:val="22"/>
          <w:lang w:val="en-US" w:eastAsia="en-US"/>
        </w:rPr>
      </w:pPr>
    </w:p>
    <w:p w14:paraId="6BFD3140" w14:textId="77777777" w:rsidR="00DD7DF2" w:rsidRPr="00E67146" w:rsidRDefault="00DD7DF2" w:rsidP="00E67146">
      <w:pPr>
        <w:rPr>
          <w:rFonts w:eastAsia="Calibri"/>
          <w:sz w:val="22"/>
          <w:szCs w:val="22"/>
          <w:lang w:val="en-US" w:eastAsia="en-US"/>
        </w:rPr>
      </w:pPr>
    </w:p>
    <w:p w14:paraId="6B575384" w14:textId="77777777" w:rsidR="00DD7DF2" w:rsidRPr="00E67146" w:rsidRDefault="00DD7DF2" w:rsidP="00E67146">
      <w:pPr>
        <w:rPr>
          <w:rFonts w:eastAsia="Calibri"/>
          <w:sz w:val="22"/>
          <w:szCs w:val="22"/>
          <w:lang w:val="en-US" w:eastAsia="en-US"/>
        </w:rPr>
      </w:pPr>
    </w:p>
    <w:p w14:paraId="102BE51E" w14:textId="77777777" w:rsidR="00F764A6" w:rsidRPr="00E67146" w:rsidRDefault="00F764A6" w:rsidP="00E67146">
      <w:pPr>
        <w:rPr>
          <w:rFonts w:eastAsia="Calibri"/>
          <w:sz w:val="22"/>
          <w:szCs w:val="22"/>
          <w:lang w:val="en-US" w:eastAsia="en-US"/>
        </w:rPr>
      </w:pPr>
      <w:r w:rsidRPr="00E67146">
        <w:rPr>
          <w:rFonts w:eastAsia="Calibri"/>
          <w:b/>
          <w:sz w:val="22"/>
          <w:szCs w:val="22"/>
          <w:lang w:val="en-US" w:eastAsia="en-US"/>
        </w:rPr>
        <w:t>Table 2.</w:t>
      </w:r>
      <w:r w:rsidRPr="00E67146">
        <w:rPr>
          <w:rFonts w:eastAsia="Calibri"/>
          <w:sz w:val="22"/>
          <w:szCs w:val="22"/>
          <w:lang w:val="en-US" w:eastAsia="en-US"/>
        </w:rPr>
        <w:t xml:space="preserve"> Characteristics of blood values of patients</w:t>
      </w:r>
    </w:p>
    <w:tbl>
      <w:tblPr>
        <w:tblW w:w="7562" w:type="dxa"/>
        <w:tblCellMar>
          <w:left w:w="70" w:type="dxa"/>
          <w:right w:w="70" w:type="dxa"/>
        </w:tblCellMar>
        <w:tblLook w:val="04A0" w:firstRow="1" w:lastRow="0" w:firstColumn="1" w:lastColumn="0" w:noHBand="0" w:noVBand="1"/>
      </w:tblPr>
      <w:tblGrid>
        <w:gridCol w:w="1384"/>
        <w:gridCol w:w="1361"/>
        <w:gridCol w:w="1111"/>
        <w:gridCol w:w="1361"/>
        <w:gridCol w:w="1111"/>
        <w:gridCol w:w="1368"/>
      </w:tblGrid>
      <w:tr w:rsidR="00CD4293" w:rsidRPr="00E67146" w14:paraId="6FF66ECF" w14:textId="77777777" w:rsidTr="00E04861">
        <w:trPr>
          <w:trHeight w:val="285"/>
        </w:trPr>
        <w:tc>
          <w:tcPr>
            <w:tcW w:w="1384" w:type="dxa"/>
            <w:tcBorders>
              <w:top w:val="single" w:sz="4" w:space="0" w:color="auto"/>
              <w:left w:val="nil"/>
              <w:bottom w:val="single" w:sz="4" w:space="0" w:color="auto"/>
              <w:right w:val="nil"/>
            </w:tcBorders>
            <w:shd w:val="clear" w:color="auto" w:fill="auto"/>
            <w:noWrap/>
            <w:vAlign w:val="bottom"/>
            <w:hideMark/>
          </w:tcPr>
          <w:p w14:paraId="7F01749B" w14:textId="77777777" w:rsidR="00F764A6" w:rsidRPr="00E67146" w:rsidRDefault="00F764A6" w:rsidP="00E67146">
            <w:pPr>
              <w:rPr>
                <w:sz w:val="22"/>
                <w:szCs w:val="22"/>
                <w:lang w:val="en-US" w:eastAsia="tr-TR"/>
              </w:rPr>
            </w:pPr>
            <w:r w:rsidRPr="00E67146">
              <w:rPr>
                <w:sz w:val="22"/>
                <w:szCs w:val="22"/>
                <w:lang w:val="en-US" w:eastAsia="tr-TR"/>
              </w:rPr>
              <w:t> </w:t>
            </w:r>
          </w:p>
        </w:tc>
        <w:tc>
          <w:tcPr>
            <w:tcW w:w="2405" w:type="dxa"/>
            <w:gridSpan w:val="2"/>
            <w:tcBorders>
              <w:top w:val="single" w:sz="4" w:space="0" w:color="auto"/>
              <w:left w:val="nil"/>
              <w:bottom w:val="single" w:sz="4" w:space="0" w:color="auto"/>
              <w:right w:val="nil"/>
            </w:tcBorders>
            <w:shd w:val="clear" w:color="auto" w:fill="auto"/>
            <w:noWrap/>
            <w:vAlign w:val="bottom"/>
            <w:hideMark/>
          </w:tcPr>
          <w:p w14:paraId="75E34DCD" w14:textId="77777777" w:rsidR="00F764A6" w:rsidRPr="00E67146" w:rsidRDefault="00F764A6" w:rsidP="00E67146">
            <w:pPr>
              <w:rPr>
                <w:sz w:val="22"/>
                <w:szCs w:val="22"/>
                <w:lang w:val="en-US" w:eastAsia="tr-TR"/>
              </w:rPr>
            </w:pPr>
            <w:r w:rsidRPr="00E67146">
              <w:rPr>
                <w:sz w:val="22"/>
                <w:szCs w:val="22"/>
                <w:lang w:val="en-US" w:eastAsia="tr-TR"/>
              </w:rPr>
              <w:t>Discharge</w:t>
            </w:r>
          </w:p>
        </w:tc>
        <w:tc>
          <w:tcPr>
            <w:tcW w:w="2405" w:type="dxa"/>
            <w:gridSpan w:val="2"/>
            <w:tcBorders>
              <w:top w:val="single" w:sz="4" w:space="0" w:color="auto"/>
              <w:left w:val="nil"/>
              <w:bottom w:val="single" w:sz="4" w:space="0" w:color="auto"/>
              <w:right w:val="nil"/>
            </w:tcBorders>
            <w:shd w:val="clear" w:color="auto" w:fill="auto"/>
            <w:noWrap/>
            <w:vAlign w:val="bottom"/>
            <w:hideMark/>
          </w:tcPr>
          <w:p w14:paraId="2C2C961A" w14:textId="77777777" w:rsidR="00F764A6" w:rsidRPr="00E67146" w:rsidRDefault="00F764A6" w:rsidP="00E67146">
            <w:pPr>
              <w:rPr>
                <w:sz w:val="22"/>
                <w:szCs w:val="22"/>
                <w:lang w:val="en-US" w:eastAsia="tr-TR"/>
              </w:rPr>
            </w:pPr>
            <w:r w:rsidRPr="00E67146">
              <w:rPr>
                <w:sz w:val="22"/>
                <w:szCs w:val="22"/>
                <w:lang w:val="en-US" w:eastAsia="tr-TR"/>
              </w:rPr>
              <w:t>Exitus</w:t>
            </w:r>
          </w:p>
        </w:tc>
        <w:tc>
          <w:tcPr>
            <w:tcW w:w="1368" w:type="dxa"/>
            <w:tcBorders>
              <w:top w:val="single" w:sz="4" w:space="0" w:color="auto"/>
              <w:left w:val="nil"/>
              <w:bottom w:val="single" w:sz="4" w:space="0" w:color="auto"/>
              <w:right w:val="nil"/>
            </w:tcBorders>
            <w:shd w:val="clear" w:color="auto" w:fill="auto"/>
            <w:noWrap/>
            <w:vAlign w:val="bottom"/>
            <w:hideMark/>
          </w:tcPr>
          <w:p w14:paraId="45873B30" w14:textId="77777777" w:rsidR="00F764A6" w:rsidRPr="00E67146" w:rsidRDefault="00F764A6" w:rsidP="00E67146">
            <w:pPr>
              <w:rPr>
                <w:sz w:val="22"/>
                <w:szCs w:val="22"/>
                <w:lang w:val="en-US" w:eastAsia="tr-TR"/>
              </w:rPr>
            </w:pPr>
            <w:r w:rsidRPr="00E67146">
              <w:rPr>
                <w:sz w:val="22"/>
                <w:szCs w:val="22"/>
                <w:lang w:val="en-US" w:eastAsia="tr-TR"/>
              </w:rPr>
              <w:t>p value*</w:t>
            </w:r>
          </w:p>
        </w:tc>
      </w:tr>
      <w:tr w:rsidR="00CD4293" w:rsidRPr="00E67146" w14:paraId="076C07E8" w14:textId="77777777" w:rsidTr="00E04861">
        <w:trPr>
          <w:trHeight w:val="234"/>
        </w:trPr>
        <w:tc>
          <w:tcPr>
            <w:tcW w:w="1384" w:type="dxa"/>
            <w:tcBorders>
              <w:top w:val="nil"/>
              <w:left w:val="nil"/>
              <w:bottom w:val="nil"/>
              <w:right w:val="nil"/>
            </w:tcBorders>
            <w:shd w:val="clear" w:color="auto" w:fill="auto"/>
            <w:noWrap/>
            <w:vAlign w:val="bottom"/>
            <w:hideMark/>
          </w:tcPr>
          <w:p w14:paraId="5C05FB40" w14:textId="77777777" w:rsidR="00F764A6" w:rsidRPr="00E67146" w:rsidRDefault="00F764A6" w:rsidP="00E67146">
            <w:pPr>
              <w:rPr>
                <w:sz w:val="22"/>
                <w:szCs w:val="22"/>
                <w:lang w:val="en-US" w:eastAsia="tr-TR"/>
              </w:rPr>
            </w:pPr>
          </w:p>
        </w:tc>
        <w:tc>
          <w:tcPr>
            <w:tcW w:w="1294" w:type="dxa"/>
            <w:tcBorders>
              <w:top w:val="nil"/>
              <w:left w:val="nil"/>
              <w:bottom w:val="nil"/>
              <w:right w:val="nil"/>
            </w:tcBorders>
            <w:shd w:val="clear" w:color="auto" w:fill="auto"/>
            <w:noWrap/>
            <w:vAlign w:val="bottom"/>
            <w:hideMark/>
          </w:tcPr>
          <w:p w14:paraId="6C84B06C" w14:textId="77777777" w:rsidR="00F764A6" w:rsidRPr="00E67146" w:rsidRDefault="00F764A6" w:rsidP="00E67146">
            <w:pPr>
              <w:rPr>
                <w:sz w:val="22"/>
                <w:szCs w:val="22"/>
                <w:lang w:val="en-US" w:eastAsia="tr-TR"/>
              </w:rPr>
            </w:pPr>
          </w:p>
        </w:tc>
        <w:tc>
          <w:tcPr>
            <w:tcW w:w="1111" w:type="dxa"/>
            <w:tcBorders>
              <w:top w:val="nil"/>
              <w:left w:val="nil"/>
              <w:bottom w:val="nil"/>
              <w:right w:val="nil"/>
            </w:tcBorders>
            <w:shd w:val="clear" w:color="auto" w:fill="auto"/>
            <w:noWrap/>
            <w:vAlign w:val="bottom"/>
            <w:hideMark/>
          </w:tcPr>
          <w:p w14:paraId="397107D6" w14:textId="77777777" w:rsidR="00F764A6" w:rsidRPr="00E67146" w:rsidRDefault="00F764A6" w:rsidP="00E67146">
            <w:pPr>
              <w:rPr>
                <w:sz w:val="22"/>
                <w:szCs w:val="22"/>
                <w:lang w:val="en-US" w:eastAsia="tr-TR"/>
              </w:rPr>
            </w:pPr>
          </w:p>
        </w:tc>
        <w:tc>
          <w:tcPr>
            <w:tcW w:w="1294" w:type="dxa"/>
            <w:tcBorders>
              <w:top w:val="nil"/>
              <w:left w:val="nil"/>
              <w:bottom w:val="nil"/>
              <w:right w:val="nil"/>
            </w:tcBorders>
            <w:shd w:val="clear" w:color="auto" w:fill="auto"/>
            <w:noWrap/>
            <w:vAlign w:val="bottom"/>
            <w:hideMark/>
          </w:tcPr>
          <w:p w14:paraId="40466619" w14:textId="77777777" w:rsidR="00F764A6" w:rsidRPr="00E67146" w:rsidRDefault="00F764A6" w:rsidP="00E67146">
            <w:pPr>
              <w:rPr>
                <w:sz w:val="22"/>
                <w:szCs w:val="22"/>
                <w:lang w:val="en-US" w:eastAsia="tr-TR"/>
              </w:rPr>
            </w:pPr>
          </w:p>
        </w:tc>
        <w:tc>
          <w:tcPr>
            <w:tcW w:w="1111" w:type="dxa"/>
            <w:tcBorders>
              <w:top w:val="nil"/>
              <w:left w:val="nil"/>
              <w:bottom w:val="nil"/>
              <w:right w:val="nil"/>
            </w:tcBorders>
            <w:shd w:val="clear" w:color="auto" w:fill="auto"/>
            <w:noWrap/>
            <w:vAlign w:val="bottom"/>
            <w:hideMark/>
          </w:tcPr>
          <w:p w14:paraId="67C7A040" w14:textId="77777777" w:rsidR="00F764A6" w:rsidRPr="00E67146" w:rsidRDefault="00F764A6" w:rsidP="00E67146">
            <w:pPr>
              <w:rPr>
                <w:sz w:val="22"/>
                <w:szCs w:val="22"/>
                <w:lang w:val="en-US" w:eastAsia="tr-TR"/>
              </w:rPr>
            </w:pPr>
          </w:p>
        </w:tc>
        <w:tc>
          <w:tcPr>
            <w:tcW w:w="1368" w:type="dxa"/>
            <w:tcBorders>
              <w:top w:val="nil"/>
              <w:left w:val="nil"/>
              <w:bottom w:val="nil"/>
              <w:right w:val="nil"/>
            </w:tcBorders>
            <w:shd w:val="clear" w:color="auto" w:fill="auto"/>
            <w:noWrap/>
            <w:vAlign w:val="bottom"/>
          </w:tcPr>
          <w:p w14:paraId="705BA8EA" w14:textId="77777777" w:rsidR="00F764A6" w:rsidRPr="00E67146" w:rsidRDefault="00F764A6" w:rsidP="00E67146">
            <w:pPr>
              <w:rPr>
                <w:sz w:val="22"/>
                <w:szCs w:val="22"/>
                <w:lang w:val="en-US" w:eastAsia="tr-TR"/>
              </w:rPr>
            </w:pPr>
          </w:p>
        </w:tc>
      </w:tr>
      <w:tr w:rsidR="00CD4293" w:rsidRPr="00E67146" w14:paraId="5770DF99" w14:textId="77777777" w:rsidTr="00E04861">
        <w:trPr>
          <w:trHeight w:val="83"/>
        </w:trPr>
        <w:tc>
          <w:tcPr>
            <w:tcW w:w="1384" w:type="dxa"/>
            <w:tcBorders>
              <w:top w:val="nil"/>
              <w:left w:val="nil"/>
              <w:bottom w:val="nil"/>
              <w:right w:val="nil"/>
            </w:tcBorders>
            <w:shd w:val="clear" w:color="auto" w:fill="auto"/>
            <w:noWrap/>
            <w:vAlign w:val="bottom"/>
          </w:tcPr>
          <w:p w14:paraId="5677FC2A" w14:textId="77777777" w:rsidR="00F764A6" w:rsidRPr="00E67146" w:rsidRDefault="00F764A6" w:rsidP="00E67146">
            <w:pPr>
              <w:rPr>
                <w:sz w:val="22"/>
                <w:szCs w:val="22"/>
                <w:lang w:val="en-US" w:eastAsia="tr-TR"/>
              </w:rPr>
            </w:pPr>
            <w:r w:rsidRPr="00E67146">
              <w:rPr>
                <w:sz w:val="22"/>
                <w:szCs w:val="22"/>
                <w:lang w:val="en-US" w:eastAsia="tr-TR"/>
              </w:rPr>
              <w:lastRenderedPageBreak/>
              <w:t>Hemoglobin</w:t>
            </w:r>
          </w:p>
        </w:tc>
        <w:tc>
          <w:tcPr>
            <w:tcW w:w="1294" w:type="dxa"/>
            <w:tcBorders>
              <w:top w:val="nil"/>
              <w:left w:val="nil"/>
              <w:bottom w:val="nil"/>
              <w:right w:val="nil"/>
            </w:tcBorders>
            <w:shd w:val="clear" w:color="auto" w:fill="auto"/>
            <w:noWrap/>
            <w:vAlign w:val="bottom"/>
          </w:tcPr>
          <w:p w14:paraId="5411A987" w14:textId="77777777" w:rsidR="00F764A6" w:rsidRPr="00E67146" w:rsidRDefault="00F764A6" w:rsidP="00E67146">
            <w:pPr>
              <w:rPr>
                <w:sz w:val="22"/>
                <w:szCs w:val="22"/>
                <w:lang w:val="en-US" w:eastAsia="tr-TR"/>
              </w:rPr>
            </w:pPr>
            <w:r w:rsidRPr="00E67146">
              <w:rPr>
                <w:sz w:val="22"/>
                <w:szCs w:val="22"/>
                <w:lang w:val="en-US" w:eastAsia="tr-TR"/>
              </w:rPr>
              <w:t>13,20±1,61</w:t>
            </w:r>
          </w:p>
        </w:tc>
        <w:tc>
          <w:tcPr>
            <w:tcW w:w="1111" w:type="dxa"/>
            <w:tcBorders>
              <w:top w:val="nil"/>
              <w:left w:val="nil"/>
              <w:bottom w:val="nil"/>
              <w:right w:val="nil"/>
            </w:tcBorders>
            <w:shd w:val="clear" w:color="auto" w:fill="auto"/>
            <w:noWrap/>
            <w:vAlign w:val="bottom"/>
          </w:tcPr>
          <w:p w14:paraId="44A18AD1" w14:textId="77777777" w:rsidR="00F764A6" w:rsidRPr="00E67146" w:rsidRDefault="00F764A6" w:rsidP="00E67146">
            <w:pPr>
              <w:rPr>
                <w:sz w:val="22"/>
                <w:szCs w:val="22"/>
                <w:lang w:val="en-US" w:eastAsia="tr-TR"/>
              </w:rPr>
            </w:pPr>
          </w:p>
        </w:tc>
        <w:tc>
          <w:tcPr>
            <w:tcW w:w="1294" w:type="dxa"/>
            <w:tcBorders>
              <w:top w:val="nil"/>
              <w:left w:val="nil"/>
              <w:bottom w:val="nil"/>
              <w:right w:val="nil"/>
            </w:tcBorders>
            <w:shd w:val="clear" w:color="auto" w:fill="auto"/>
            <w:noWrap/>
            <w:vAlign w:val="bottom"/>
          </w:tcPr>
          <w:p w14:paraId="0457478D" w14:textId="77777777" w:rsidR="00F764A6" w:rsidRPr="00E67146" w:rsidRDefault="00F764A6" w:rsidP="00E67146">
            <w:pPr>
              <w:rPr>
                <w:sz w:val="22"/>
                <w:szCs w:val="22"/>
                <w:lang w:val="en-US" w:eastAsia="tr-TR"/>
              </w:rPr>
            </w:pPr>
            <w:r w:rsidRPr="00E67146">
              <w:rPr>
                <w:sz w:val="22"/>
                <w:szCs w:val="22"/>
                <w:lang w:val="en-US" w:eastAsia="tr-TR"/>
              </w:rPr>
              <w:t>13,63±1,48</w:t>
            </w:r>
          </w:p>
        </w:tc>
        <w:tc>
          <w:tcPr>
            <w:tcW w:w="1111" w:type="dxa"/>
            <w:tcBorders>
              <w:top w:val="nil"/>
              <w:left w:val="nil"/>
              <w:bottom w:val="nil"/>
              <w:right w:val="nil"/>
            </w:tcBorders>
            <w:shd w:val="clear" w:color="auto" w:fill="auto"/>
            <w:noWrap/>
            <w:vAlign w:val="bottom"/>
          </w:tcPr>
          <w:p w14:paraId="2360949C" w14:textId="77777777" w:rsidR="00F764A6" w:rsidRPr="00E67146" w:rsidRDefault="00F764A6" w:rsidP="00E67146">
            <w:pPr>
              <w:rPr>
                <w:sz w:val="22"/>
                <w:szCs w:val="22"/>
                <w:lang w:val="en-US" w:eastAsia="tr-TR"/>
              </w:rPr>
            </w:pPr>
          </w:p>
        </w:tc>
        <w:tc>
          <w:tcPr>
            <w:tcW w:w="1368" w:type="dxa"/>
            <w:tcBorders>
              <w:top w:val="nil"/>
              <w:left w:val="nil"/>
              <w:bottom w:val="nil"/>
              <w:right w:val="nil"/>
            </w:tcBorders>
            <w:shd w:val="clear" w:color="auto" w:fill="auto"/>
            <w:noWrap/>
            <w:vAlign w:val="bottom"/>
          </w:tcPr>
          <w:p w14:paraId="4B31FAD7" w14:textId="77777777" w:rsidR="00F764A6" w:rsidRPr="00E67146" w:rsidRDefault="00F764A6" w:rsidP="00E67146">
            <w:pPr>
              <w:rPr>
                <w:sz w:val="22"/>
                <w:szCs w:val="22"/>
                <w:lang w:val="en-US" w:eastAsia="tr-TR"/>
              </w:rPr>
            </w:pPr>
            <w:r w:rsidRPr="00E67146">
              <w:rPr>
                <w:sz w:val="22"/>
                <w:szCs w:val="22"/>
                <w:lang w:val="en-US" w:eastAsia="tr-TR"/>
              </w:rPr>
              <w:t>0,257</w:t>
            </w:r>
          </w:p>
        </w:tc>
      </w:tr>
      <w:tr w:rsidR="00CD4293" w:rsidRPr="00E67146" w14:paraId="15FD60B8" w14:textId="77777777" w:rsidTr="00E04861">
        <w:trPr>
          <w:trHeight w:val="234"/>
        </w:trPr>
        <w:tc>
          <w:tcPr>
            <w:tcW w:w="1384" w:type="dxa"/>
            <w:tcBorders>
              <w:top w:val="nil"/>
              <w:left w:val="nil"/>
              <w:bottom w:val="nil"/>
              <w:right w:val="nil"/>
            </w:tcBorders>
            <w:shd w:val="clear" w:color="auto" w:fill="auto"/>
            <w:noWrap/>
            <w:vAlign w:val="bottom"/>
          </w:tcPr>
          <w:p w14:paraId="203ED417" w14:textId="77777777" w:rsidR="00F764A6" w:rsidRPr="00E67146" w:rsidRDefault="00F764A6" w:rsidP="00E67146">
            <w:pPr>
              <w:rPr>
                <w:sz w:val="22"/>
                <w:szCs w:val="22"/>
                <w:lang w:val="en-US" w:eastAsia="tr-TR"/>
              </w:rPr>
            </w:pPr>
            <w:r w:rsidRPr="00E67146">
              <w:rPr>
                <w:sz w:val="22"/>
                <w:szCs w:val="22"/>
                <w:lang w:val="en-US" w:eastAsia="tr-TR"/>
              </w:rPr>
              <w:t>Htc</w:t>
            </w:r>
          </w:p>
        </w:tc>
        <w:tc>
          <w:tcPr>
            <w:tcW w:w="1294" w:type="dxa"/>
            <w:tcBorders>
              <w:top w:val="nil"/>
              <w:left w:val="nil"/>
              <w:bottom w:val="nil"/>
              <w:right w:val="nil"/>
            </w:tcBorders>
            <w:shd w:val="clear" w:color="auto" w:fill="auto"/>
            <w:noWrap/>
            <w:vAlign w:val="bottom"/>
          </w:tcPr>
          <w:p w14:paraId="255B323A" w14:textId="77777777" w:rsidR="00F764A6" w:rsidRPr="00E67146" w:rsidRDefault="00F764A6" w:rsidP="00E67146">
            <w:pPr>
              <w:rPr>
                <w:sz w:val="22"/>
                <w:szCs w:val="22"/>
                <w:lang w:val="en-US" w:eastAsia="tr-TR"/>
              </w:rPr>
            </w:pPr>
            <w:r w:rsidRPr="00E67146">
              <w:rPr>
                <w:sz w:val="22"/>
                <w:szCs w:val="22"/>
                <w:lang w:val="en-US" w:eastAsia="tr-TR"/>
              </w:rPr>
              <w:t>39,44±4,27</w:t>
            </w:r>
          </w:p>
        </w:tc>
        <w:tc>
          <w:tcPr>
            <w:tcW w:w="1111" w:type="dxa"/>
            <w:tcBorders>
              <w:top w:val="nil"/>
              <w:left w:val="nil"/>
              <w:bottom w:val="nil"/>
              <w:right w:val="nil"/>
            </w:tcBorders>
            <w:shd w:val="clear" w:color="auto" w:fill="auto"/>
            <w:noWrap/>
            <w:vAlign w:val="bottom"/>
          </w:tcPr>
          <w:p w14:paraId="36A29391" w14:textId="77777777" w:rsidR="00F764A6" w:rsidRPr="00E67146" w:rsidRDefault="00F764A6" w:rsidP="00E67146">
            <w:pPr>
              <w:rPr>
                <w:sz w:val="22"/>
                <w:szCs w:val="22"/>
                <w:lang w:val="en-US" w:eastAsia="tr-TR"/>
              </w:rPr>
            </w:pPr>
          </w:p>
        </w:tc>
        <w:tc>
          <w:tcPr>
            <w:tcW w:w="1294" w:type="dxa"/>
            <w:tcBorders>
              <w:top w:val="nil"/>
              <w:left w:val="nil"/>
              <w:bottom w:val="nil"/>
              <w:right w:val="nil"/>
            </w:tcBorders>
            <w:shd w:val="clear" w:color="auto" w:fill="auto"/>
            <w:noWrap/>
            <w:vAlign w:val="bottom"/>
          </w:tcPr>
          <w:p w14:paraId="1603F9DF" w14:textId="77777777" w:rsidR="00F764A6" w:rsidRPr="00E67146" w:rsidRDefault="00F764A6" w:rsidP="00E67146">
            <w:pPr>
              <w:rPr>
                <w:sz w:val="22"/>
                <w:szCs w:val="22"/>
                <w:lang w:val="en-US" w:eastAsia="tr-TR"/>
              </w:rPr>
            </w:pPr>
            <w:r w:rsidRPr="00E67146">
              <w:rPr>
                <w:sz w:val="22"/>
                <w:szCs w:val="22"/>
                <w:lang w:val="en-US" w:eastAsia="tr-TR"/>
              </w:rPr>
              <w:t>40,81±4,17</w:t>
            </w:r>
          </w:p>
        </w:tc>
        <w:tc>
          <w:tcPr>
            <w:tcW w:w="1111" w:type="dxa"/>
            <w:tcBorders>
              <w:top w:val="nil"/>
              <w:left w:val="nil"/>
              <w:bottom w:val="nil"/>
              <w:right w:val="nil"/>
            </w:tcBorders>
            <w:shd w:val="clear" w:color="auto" w:fill="auto"/>
            <w:noWrap/>
            <w:vAlign w:val="bottom"/>
          </w:tcPr>
          <w:p w14:paraId="31958B79" w14:textId="77777777" w:rsidR="00F764A6" w:rsidRPr="00E67146" w:rsidRDefault="00F764A6" w:rsidP="00E67146">
            <w:pPr>
              <w:rPr>
                <w:sz w:val="22"/>
                <w:szCs w:val="22"/>
                <w:lang w:val="en-US" w:eastAsia="tr-TR"/>
              </w:rPr>
            </w:pPr>
          </w:p>
        </w:tc>
        <w:tc>
          <w:tcPr>
            <w:tcW w:w="1368" w:type="dxa"/>
            <w:tcBorders>
              <w:top w:val="nil"/>
              <w:left w:val="nil"/>
              <w:bottom w:val="nil"/>
              <w:right w:val="nil"/>
            </w:tcBorders>
            <w:shd w:val="clear" w:color="auto" w:fill="auto"/>
            <w:noWrap/>
            <w:vAlign w:val="bottom"/>
          </w:tcPr>
          <w:p w14:paraId="511461EB" w14:textId="77777777" w:rsidR="00F764A6" w:rsidRPr="00E67146" w:rsidRDefault="00F764A6" w:rsidP="00E67146">
            <w:pPr>
              <w:rPr>
                <w:sz w:val="22"/>
                <w:szCs w:val="22"/>
                <w:lang w:val="en-US" w:eastAsia="tr-TR"/>
              </w:rPr>
            </w:pPr>
            <w:r w:rsidRPr="00E67146">
              <w:rPr>
                <w:sz w:val="22"/>
                <w:szCs w:val="22"/>
                <w:lang w:val="en-US" w:eastAsia="tr-TR"/>
              </w:rPr>
              <w:t>0,196</w:t>
            </w:r>
          </w:p>
        </w:tc>
      </w:tr>
      <w:tr w:rsidR="00CD4293" w:rsidRPr="00E67146" w14:paraId="7FFA19D7" w14:textId="77777777" w:rsidTr="00E04861">
        <w:trPr>
          <w:trHeight w:val="234"/>
        </w:trPr>
        <w:tc>
          <w:tcPr>
            <w:tcW w:w="1384" w:type="dxa"/>
            <w:tcBorders>
              <w:top w:val="nil"/>
              <w:left w:val="nil"/>
              <w:bottom w:val="nil"/>
              <w:right w:val="nil"/>
            </w:tcBorders>
            <w:shd w:val="clear" w:color="auto" w:fill="auto"/>
            <w:noWrap/>
            <w:vAlign w:val="bottom"/>
          </w:tcPr>
          <w:p w14:paraId="34743F59" w14:textId="77777777" w:rsidR="00F764A6" w:rsidRPr="00E67146" w:rsidRDefault="00F764A6" w:rsidP="00E67146">
            <w:pPr>
              <w:rPr>
                <w:sz w:val="22"/>
                <w:szCs w:val="22"/>
                <w:lang w:val="en-US" w:eastAsia="tr-TR"/>
              </w:rPr>
            </w:pPr>
            <w:r w:rsidRPr="00E67146">
              <w:rPr>
                <w:sz w:val="22"/>
                <w:szCs w:val="22"/>
                <w:lang w:val="en-US" w:eastAsia="tr-TR"/>
              </w:rPr>
              <w:t>Neutrophils</w:t>
            </w:r>
          </w:p>
        </w:tc>
        <w:tc>
          <w:tcPr>
            <w:tcW w:w="1294" w:type="dxa"/>
            <w:tcBorders>
              <w:top w:val="nil"/>
              <w:left w:val="nil"/>
              <w:bottom w:val="nil"/>
              <w:right w:val="nil"/>
            </w:tcBorders>
            <w:shd w:val="clear" w:color="auto" w:fill="auto"/>
            <w:noWrap/>
            <w:vAlign w:val="bottom"/>
          </w:tcPr>
          <w:p w14:paraId="6AAEFE44" w14:textId="77777777" w:rsidR="00F764A6" w:rsidRPr="00E67146" w:rsidRDefault="00F764A6" w:rsidP="00E67146">
            <w:pPr>
              <w:rPr>
                <w:sz w:val="22"/>
                <w:szCs w:val="22"/>
                <w:lang w:val="en-US" w:eastAsia="tr-TR"/>
              </w:rPr>
            </w:pPr>
            <w:r w:rsidRPr="00E67146">
              <w:rPr>
                <w:sz w:val="22"/>
                <w:szCs w:val="22"/>
                <w:lang w:val="en-US" w:eastAsia="tr-TR"/>
              </w:rPr>
              <w:t>6,13±4,48</w:t>
            </w:r>
          </w:p>
        </w:tc>
        <w:tc>
          <w:tcPr>
            <w:tcW w:w="1111" w:type="dxa"/>
            <w:tcBorders>
              <w:top w:val="nil"/>
              <w:left w:val="nil"/>
              <w:bottom w:val="nil"/>
              <w:right w:val="nil"/>
            </w:tcBorders>
            <w:shd w:val="clear" w:color="auto" w:fill="auto"/>
            <w:noWrap/>
            <w:vAlign w:val="bottom"/>
          </w:tcPr>
          <w:p w14:paraId="565D54BD" w14:textId="77777777" w:rsidR="00F764A6" w:rsidRPr="00E67146" w:rsidRDefault="00F764A6" w:rsidP="00E67146">
            <w:pPr>
              <w:rPr>
                <w:sz w:val="22"/>
                <w:szCs w:val="22"/>
                <w:lang w:val="en-US" w:eastAsia="tr-TR"/>
              </w:rPr>
            </w:pPr>
          </w:p>
        </w:tc>
        <w:tc>
          <w:tcPr>
            <w:tcW w:w="1294" w:type="dxa"/>
            <w:tcBorders>
              <w:top w:val="nil"/>
              <w:left w:val="nil"/>
              <w:bottom w:val="nil"/>
              <w:right w:val="nil"/>
            </w:tcBorders>
            <w:shd w:val="clear" w:color="auto" w:fill="auto"/>
            <w:noWrap/>
            <w:vAlign w:val="bottom"/>
          </w:tcPr>
          <w:p w14:paraId="5588AEED" w14:textId="77777777" w:rsidR="00F764A6" w:rsidRPr="00E67146" w:rsidRDefault="00F764A6" w:rsidP="00E67146">
            <w:pPr>
              <w:rPr>
                <w:sz w:val="22"/>
                <w:szCs w:val="22"/>
                <w:lang w:val="en-US" w:eastAsia="tr-TR"/>
              </w:rPr>
            </w:pPr>
            <w:r w:rsidRPr="00E67146">
              <w:rPr>
                <w:sz w:val="22"/>
                <w:szCs w:val="22"/>
                <w:lang w:val="en-US" w:eastAsia="tr-TR"/>
              </w:rPr>
              <w:t>5,85±1,84</w:t>
            </w:r>
          </w:p>
        </w:tc>
        <w:tc>
          <w:tcPr>
            <w:tcW w:w="1111" w:type="dxa"/>
            <w:tcBorders>
              <w:top w:val="nil"/>
              <w:left w:val="nil"/>
              <w:bottom w:val="nil"/>
              <w:right w:val="nil"/>
            </w:tcBorders>
            <w:shd w:val="clear" w:color="auto" w:fill="auto"/>
            <w:noWrap/>
            <w:vAlign w:val="bottom"/>
          </w:tcPr>
          <w:p w14:paraId="77AB92E2" w14:textId="77777777" w:rsidR="00F764A6" w:rsidRPr="00E67146" w:rsidRDefault="00F764A6" w:rsidP="00E67146">
            <w:pPr>
              <w:rPr>
                <w:sz w:val="22"/>
                <w:szCs w:val="22"/>
                <w:lang w:val="en-US" w:eastAsia="tr-TR"/>
              </w:rPr>
            </w:pPr>
          </w:p>
        </w:tc>
        <w:tc>
          <w:tcPr>
            <w:tcW w:w="1368" w:type="dxa"/>
            <w:tcBorders>
              <w:top w:val="nil"/>
              <w:left w:val="nil"/>
              <w:bottom w:val="nil"/>
              <w:right w:val="nil"/>
            </w:tcBorders>
            <w:shd w:val="clear" w:color="auto" w:fill="auto"/>
            <w:noWrap/>
            <w:vAlign w:val="bottom"/>
          </w:tcPr>
          <w:p w14:paraId="0C2EF1AC" w14:textId="77777777" w:rsidR="00F764A6" w:rsidRPr="00E67146" w:rsidRDefault="00F764A6" w:rsidP="00E67146">
            <w:pPr>
              <w:rPr>
                <w:sz w:val="22"/>
                <w:szCs w:val="22"/>
                <w:lang w:val="en-US" w:eastAsia="tr-TR"/>
              </w:rPr>
            </w:pPr>
            <w:r w:rsidRPr="00E67146">
              <w:rPr>
                <w:sz w:val="22"/>
                <w:szCs w:val="22"/>
                <w:lang w:val="en-US" w:eastAsia="tr-TR"/>
              </w:rPr>
              <w:t>0,564</w:t>
            </w:r>
          </w:p>
        </w:tc>
      </w:tr>
      <w:tr w:rsidR="00CD4293" w:rsidRPr="00E67146" w14:paraId="5D6C140A" w14:textId="77777777" w:rsidTr="00E04861">
        <w:trPr>
          <w:trHeight w:val="285"/>
        </w:trPr>
        <w:tc>
          <w:tcPr>
            <w:tcW w:w="1384" w:type="dxa"/>
            <w:tcBorders>
              <w:top w:val="nil"/>
              <w:left w:val="nil"/>
              <w:bottom w:val="nil"/>
              <w:right w:val="nil"/>
            </w:tcBorders>
            <w:shd w:val="clear" w:color="auto" w:fill="auto"/>
            <w:noWrap/>
            <w:vAlign w:val="bottom"/>
          </w:tcPr>
          <w:p w14:paraId="38BE3C73" w14:textId="77777777" w:rsidR="00F764A6" w:rsidRPr="00E67146" w:rsidRDefault="00F764A6" w:rsidP="00E67146">
            <w:pPr>
              <w:rPr>
                <w:sz w:val="22"/>
                <w:szCs w:val="22"/>
                <w:lang w:val="en-US" w:eastAsia="tr-TR"/>
              </w:rPr>
            </w:pPr>
            <w:r w:rsidRPr="00E67146">
              <w:rPr>
                <w:sz w:val="22"/>
                <w:szCs w:val="22"/>
                <w:lang w:val="en-US" w:eastAsia="tr-TR"/>
              </w:rPr>
              <w:t>Lymphocytes</w:t>
            </w:r>
          </w:p>
        </w:tc>
        <w:tc>
          <w:tcPr>
            <w:tcW w:w="1294" w:type="dxa"/>
            <w:tcBorders>
              <w:top w:val="nil"/>
              <w:left w:val="nil"/>
              <w:bottom w:val="nil"/>
              <w:right w:val="nil"/>
            </w:tcBorders>
            <w:shd w:val="clear" w:color="auto" w:fill="auto"/>
            <w:noWrap/>
            <w:vAlign w:val="bottom"/>
          </w:tcPr>
          <w:p w14:paraId="7521DE9E" w14:textId="77777777" w:rsidR="00F764A6" w:rsidRPr="00E67146" w:rsidRDefault="00F764A6" w:rsidP="00E67146">
            <w:pPr>
              <w:rPr>
                <w:sz w:val="22"/>
                <w:szCs w:val="22"/>
                <w:lang w:val="en-US" w:eastAsia="tr-TR"/>
              </w:rPr>
            </w:pPr>
            <w:r w:rsidRPr="00E67146">
              <w:rPr>
                <w:sz w:val="22"/>
                <w:szCs w:val="22"/>
                <w:lang w:val="en-US" w:eastAsia="tr-TR"/>
              </w:rPr>
              <w:t>2,06±0,89</w:t>
            </w:r>
          </w:p>
        </w:tc>
        <w:tc>
          <w:tcPr>
            <w:tcW w:w="1111" w:type="dxa"/>
            <w:tcBorders>
              <w:top w:val="nil"/>
              <w:left w:val="nil"/>
              <w:bottom w:val="nil"/>
              <w:right w:val="nil"/>
            </w:tcBorders>
            <w:shd w:val="clear" w:color="auto" w:fill="auto"/>
            <w:noWrap/>
            <w:vAlign w:val="bottom"/>
          </w:tcPr>
          <w:p w14:paraId="2F66413F" w14:textId="77777777" w:rsidR="00F764A6" w:rsidRPr="00E67146" w:rsidRDefault="00F764A6" w:rsidP="00E67146">
            <w:pPr>
              <w:rPr>
                <w:sz w:val="22"/>
                <w:szCs w:val="22"/>
                <w:lang w:val="en-US" w:eastAsia="tr-TR"/>
              </w:rPr>
            </w:pPr>
          </w:p>
        </w:tc>
        <w:tc>
          <w:tcPr>
            <w:tcW w:w="1294" w:type="dxa"/>
            <w:tcBorders>
              <w:top w:val="nil"/>
              <w:left w:val="nil"/>
              <w:bottom w:val="nil"/>
              <w:right w:val="nil"/>
            </w:tcBorders>
            <w:shd w:val="clear" w:color="auto" w:fill="auto"/>
            <w:noWrap/>
            <w:vAlign w:val="bottom"/>
          </w:tcPr>
          <w:p w14:paraId="00E1CC75" w14:textId="77777777" w:rsidR="00F764A6" w:rsidRPr="00E67146" w:rsidRDefault="00F764A6" w:rsidP="00E67146">
            <w:pPr>
              <w:rPr>
                <w:sz w:val="22"/>
                <w:szCs w:val="22"/>
                <w:lang w:val="en-US" w:eastAsia="tr-TR"/>
              </w:rPr>
            </w:pPr>
            <w:r w:rsidRPr="00E67146">
              <w:rPr>
                <w:sz w:val="22"/>
                <w:szCs w:val="22"/>
                <w:lang w:val="en-US" w:eastAsia="tr-TR"/>
              </w:rPr>
              <w:t>2,14±0,86</w:t>
            </w:r>
          </w:p>
        </w:tc>
        <w:tc>
          <w:tcPr>
            <w:tcW w:w="1111" w:type="dxa"/>
            <w:tcBorders>
              <w:top w:val="nil"/>
              <w:left w:val="nil"/>
              <w:bottom w:val="nil"/>
              <w:right w:val="nil"/>
            </w:tcBorders>
            <w:shd w:val="clear" w:color="auto" w:fill="auto"/>
            <w:noWrap/>
            <w:vAlign w:val="bottom"/>
          </w:tcPr>
          <w:p w14:paraId="716D4B50" w14:textId="77777777" w:rsidR="00F764A6" w:rsidRPr="00E67146" w:rsidRDefault="00F764A6" w:rsidP="00E67146">
            <w:pPr>
              <w:rPr>
                <w:sz w:val="22"/>
                <w:szCs w:val="22"/>
                <w:lang w:val="en-US" w:eastAsia="tr-TR"/>
              </w:rPr>
            </w:pPr>
          </w:p>
        </w:tc>
        <w:tc>
          <w:tcPr>
            <w:tcW w:w="1368" w:type="dxa"/>
            <w:tcBorders>
              <w:top w:val="nil"/>
              <w:left w:val="nil"/>
              <w:bottom w:val="nil"/>
              <w:right w:val="nil"/>
            </w:tcBorders>
            <w:shd w:val="clear" w:color="auto" w:fill="auto"/>
            <w:noWrap/>
            <w:vAlign w:val="bottom"/>
          </w:tcPr>
          <w:p w14:paraId="08EF3FB7" w14:textId="77777777" w:rsidR="00F764A6" w:rsidRPr="00E67146" w:rsidRDefault="00F764A6" w:rsidP="00E67146">
            <w:pPr>
              <w:rPr>
                <w:sz w:val="22"/>
                <w:szCs w:val="22"/>
                <w:lang w:val="en-US" w:eastAsia="tr-TR"/>
              </w:rPr>
            </w:pPr>
            <w:r w:rsidRPr="00E67146">
              <w:rPr>
                <w:sz w:val="22"/>
                <w:szCs w:val="22"/>
                <w:lang w:val="en-US" w:eastAsia="tr-TR"/>
              </w:rPr>
              <w:t>0,586</w:t>
            </w:r>
          </w:p>
        </w:tc>
      </w:tr>
      <w:tr w:rsidR="00CD4293" w:rsidRPr="00E67146" w14:paraId="6A2C08F8" w14:textId="77777777" w:rsidTr="00E04861">
        <w:trPr>
          <w:trHeight w:val="285"/>
        </w:trPr>
        <w:tc>
          <w:tcPr>
            <w:tcW w:w="1384" w:type="dxa"/>
            <w:tcBorders>
              <w:top w:val="nil"/>
              <w:left w:val="nil"/>
              <w:bottom w:val="nil"/>
              <w:right w:val="nil"/>
            </w:tcBorders>
            <w:shd w:val="clear" w:color="auto" w:fill="auto"/>
            <w:noWrap/>
            <w:vAlign w:val="bottom"/>
          </w:tcPr>
          <w:p w14:paraId="1649A531" w14:textId="77777777" w:rsidR="00F764A6" w:rsidRPr="00E67146" w:rsidRDefault="00F764A6" w:rsidP="00E67146">
            <w:pPr>
              <w:rPr>
                <w:sz w:val="22"/>
                <w:szCs w:val="22"/>
                <w:lang w:val="en-US" w:eastAsia="tr-TR"/>
              </w:rPr>
            </w:pPr>
            <w:r w:rsidRPr="00E67146">
              <w:rPr>
                <w:sz w:val="22"/>
                <w:szCs w:val="22"/>
                <w:lang w:val="en-US" w:eastAsia="tr-TR"/>
              </w:rPr>
              <w:t>Platelets</w:t>
            </w:r>
          </w:p>
        </w:tc>
        <w:tc>
          <w:tcPr>
            <w:tcW w:w="1294" w:type="dxa"/>
            <w:tcBorders>
              <w:top w:val="nil"/>
              <w:left w:val="nil"/>
              <w:bottom w:val="nil"/>
              <w:right w:val="nil"/>
            </w:tcBorders>
            <w:shd w:val="clear" w:color="auto" w:fill="auto"/>
            <w:noWrap/>
            <w:vAlign w:val="bottom"/>
          </w:tcPr>
          <w:p w14:paraId="22530F4F" w14:textId="77777777" w:rsidR="00F764A6" w:rsidRPr="00E67146" w:rsidRDefault="00F764A6" w:rsidP="00E67146">
            <w:pPr>
              <w:rPr>
                <w:sz w:val="22"/>
                <w:szCs w:val="22"/>
                <w:lang w:val="en-US" w:eastAsia="tr-TR"/>
              </w:rPr>
            </w:pPr>
            <w:r w:rsidRPr="00E67146">
              <w:rPr>
                <w:sz w:val="22"/>
                <w:szCs w:val="22"/>
                <w:lang w:val="en-US" w:eastAsia="tr-TR"/>
              </w:rPr>
              <w:t>278,28±88,53</w:t>
            </w:r>
          </w:p>
        </w:tc>
        <w:tc>
          <w:tcPr>
            <w:tcW w:w="1111" w:type="dxa"/>
            <w:tcBorders>
              <w:top w:val="nil"/>
              <w:left w:val="nil"/>
              <w:bottom w:val="nil"/>
              <w:right w:val="nil"/>
            </w:tcBorders>
            <w:shd w:val="clear" w:color="auto" w:fill="auto"/>
            <w:noWrap/>
            <w:vAlign w:val="bottom"/>
          </w:tcPr>
          <w:p w14:paraId="677F209D" w14:textId="77777777" w:rsidR="00F764A6" w:rsidRPr="00E67146" w:rsidRDefault="00F764A6" w:rsidP="00E67146">
            <w:pPr>
              <w:rPr>
                <w:sz w:val="22"/>
                <w:szCs w:val="22"/>
                <w:lang w:val="en-US" w:eastAsia="tr-TR"/>
              </w:rPr>
            </w:pPr>
          </w:p>
        </w:tc>
        <w:tc>
          <w:tcPr>
            <w:tcW w:w="1294" w:type="dxa"/>
            <w:tcBorders>
              <w:top w:val="nil"/>
              <w:left w:val="nil"/>
              <w:bottom w:val="nil"/>
              <w:right w:val="nil"/>
            </w:tcBorders>
            <w:shd w:val="clear" w:color="auto" w:fill="auto"/>
            <w:noWrap/>
            <w:vAlign w:val="bottom"/>
          </w:tcPr>
          <w:p w14:paraId="13131BDA" w14:textId="77777777" w:rsidR="00F764A6" w:rsidRPr="00E67146" w:rsidRDefault="00F764A6" w:rsidP="00E67146">
            <w:pPr>
              <w:rPr>
                <w:sz w:val="22"/>
                <w:szCs w:val="22"/>
                <w:lang w:val="en-US" w:eastAsia="tr-TR"/>
              </w:rPr>
            </w:pPr>
            <w:r w:rsidRPr="00E67146">
              <w:rPr>
                <w:sz w:val="22"/>
                <w:szCs w:val="22"/>
                <w:lang w:val="en-US" w:eastAsia="tr-TR"/>
              </w:rPr>
              <w:t>288,45±66,85</w:t>
            </w:r>
          </w:p>
        </w:tc>
        <w:tc>
          <w:tcPr>
            <w:tcW w:w="1111" w:type="dxa"/>
            <w:tcBorders>
              <w:top w:val="nil"/>
              <w:left w:val="nil"/>
              <w:bottom w:val="nil"/>
              <w:right w:val="nil"/>
            </w:tcBorders>
            <w:shd w:val="clear" w:color="auto" w:fill="auto"/>
            <w:noWrap/>
            <w:vAlign w:val="bottom"/>
          </w:tcPr>
          <w:p w14:paraId="5F20347D" w14:textId="77777777" w:rsidR="00F764A6" w:rsidRPr="00E67146" w:rsidRDefault="00F764A6" w:rsidP="00E67146">
            <w:pPr>
              <w:rPr>
                <w:sz w:val="22"/>
                <w:szCs w:val="22"/>
                <w:lang w:val="en-US" w:eastAsia="tr-TR"/>
              </w:rPr>
            </w:pPr>
          </w:p>
        </w:tc>
        <w:tc>
          <w:tcPr>
            <w:tcW w:w="1368" w:type="dxa"/>
            <w:tcBorders>
              <w:top w:val="nil"/>
              <w:left w:val="nil"/>
              <w:bottom w:val="nil"/>
              <w:right w:val="nil"/>
            </w:tcBorders>
            <w:shd w:val="clear" w:color="auto" w:fill="auto"/>
            <w:noWrap/>
            <w:vAlign w:val="bottom"/>
          </w:tcPr>
          <w:p w14:paraId="718A8563" w14:textId="77777777" w:rsidR="00F764A6" w:rsidRPr="00E67146" w:rsidRDefault="00F764A6" w:rsidP="00E67146">
            <w:pPr>
              <w:rPr>
                <w:sz w:val="22"/>
                <w:szCs w:val="22"/>
                <w:lang w:val="en-US" w:eastAsia="tr-TR"/>
              </w:rPr>
            </w:pPr>
            <w:r w:rsidRPr="00E67146">
              <w:rPr>
                <w:sz w:val="22"/>
                <w:szCs w:val="22"/>
                <w:lang w:val="en-US" w:eastAsia="tr-TR"/>
              </w:rPr>
              <w:t>0,328</w:t>
            </w:r>
          </w:p>
        </w:tc>
      </w:tr>
      <w:tr w:rsidR="00CD4293" w:rsidRPr="00E67146" w14:paraId="01EAE939" w14:textId="77777777" w:rsidTr="00E04861">
        <w:trPr>
          <w:trHeight w:val="285"/>
        </w:trPr>
        <w:tc>
          <w:tcPr>
            <w:tcW w:w="1384" w:type="dxa"/>
            <w:tcBorders>
              <w:top w:val="nil"/>
              <w:left w:val="nil"/>
              <w:bottom w:val="nil"/>
              <w:right w:val="nil"/>
            </w:tcBorders>
            <w:shd w:val="clear" w:color="auto" w:fill="auto"/>
            <w:noWrap/>
            <w:vAlign w:val="bottom"/>
          </w:tcPr>
          <w:p w14:paraId="3661026A" w14:textId="77777777" w:rsidR="00F764A6" w:rsidRPr="00E67146" w:rsidRDefault="00F764A6" w:rsidP="00E67146">
            <w:pPr>
              <w:rPr>
                <w:sz w:val="22"/>
                <w:szCs w:val="22"/>
                <w:lang w:val="en-US" w:eastAsia="tr-TR"/>
              </w:rPr>
            </w:pPr>
            <w:r w:rsidRPr="00E67146">
              <w:rPr>
                <w:sz w:val="22"/>
                <w:szCs w:val="22"/>
                <w:lang w:val="en-US" w:eastAsia="tr-TR"/>
              </w:rPr>
              <w:t>MPV</w:t>
            </w:r>
          </w:p>
        </w:tc>
        <w:tc>
          <w:tcPr>
            <w:tcW w:w="1294" w:type="dxa"/>
            <w:tcBorders>
              <w:top w:val="nil"/>
              <w:left w:val="nil"/>
              <w:bottom w:val="nil"/>
              <w:right w:val="nil"/>
            </w:tcBorders>
            <w:shd w:val="clear" w:color="auto" w:fill="auto"/>
            <w:noWrap/>
            <w:vAlign w:val="bottom"/>
          </w:tcPr>
          <w:p w14:paraId="42A65AB3" w14:textId="77777777" w:rsidR="00F764A6" w:rsidRPr="00E67146" w:rsidRDefault="00F764A6" w:rsidP="00E67146">
            <w:pPr>
              <w:rPr>
                <w:sz w:val="22"/>
                <w:szCs w:val="22"/>
                <w:lang w:val="en-US" w:eastAsia="tr-TR"/>
              </w:rPr>
            </w:pPr>
            <w:r w:rsidRPr="00E67146">
              <w:rPr>
                <w:sz w:val="22"/>
                <w:szCs w:val="22"/>
                <w:lang w:val="en-US" w:eastAsia="tr-TR"/>
              </w:rPr>
              <w:t>9,73±7,64</w:t>
            </w:r>
          </w:p>
        </w:tc>
        <w:tc>
          <w:tcPr>
            <w:tcW w:w="1111" w:type="dxa"/>
            <w:tcBorders>
              <w:top w:val="nil"/>
              <w:left w:val="nil"/>
              <w:bottom w:val="nil"/>
              <w:right w:val="nil"/>
            </w:tcBorders>
            <w:shd w:val="clear" w:color="auto" w:fill="auto"/>
            <w:noWrap/>
            <w:vAlign w:val="bottom"/>
          </w:tcPr>
          <w:p w14:paraId="02F255BB" w14:textId="77777777" w:rsidR="00F764A6" w:rsidRPr="00E67146" w:rsidRDefault="00F764A6" w:rsidP="00E67146">
            <w:pPr>
              <w:rPr>
                <w:sz w:val="22"/>
                <w:szCs w:val="22"/>
                <w:lang w:val="en-US" w:eastAsia="tr-TR"/>
              </w:rPr>
            </w:pPr>
          </w:p>
        </w:tc>
        <w:tc>
          <w:tcPr>
            <w:tcW w:w="1294" w:type="dxa"/>
            <w:tcBorders>
              <w:top w:val="nil"/>
              <w:left w:val="nil"/>
              <w:bottom w:val="nil"/>
              <w:right w:val="nil"/>
            </w:tcBorders>
            <w:shd w:val="clear" w:color="auto" w:fill="auto"/>
            <w:noWrap/>
            <w:vAlign w:val="bottom"/>
          </w:tcPr>
          <w:p w14:paraId="25CF8C1A" w14:textId="77777777" w:rsidR="00F764A6" w:rsidRPr="00E67146" w:rsidRDefault="00F764A6" w:rsidP="00E67146">
            <w:pPr>
              <w:rPr>
                <w:sz w:val="22"/>
                <w:szCs w:val="22"/>
                <w:lang w:val="en-US" w:eastAsia="tr-TR"/>
              </w:rPr>
            </w:pPr>
            <w:r w:rsidRPr="00E67146">
              <w:rPr>
                <w:sz w:val="22"/>
                <w:szCs w:val="22"/>
                <w:lang w:val="en-US" w:eastAsia="tr-TR"/>
              </w:rPr>
              <w:t>8,51±1,02</w:t>
            </w:r>
          </w:p>
        </w:tc>
        <w:tc>
          <w:tcPr>
            <w:tcW w:w="1111" w:type="dxa"/>
            <w:tcBorders>
              <w:top w:val="nil"/>
              <w:left w:val="nil"/>
              <w:bottom w:val="nil"/>
              <w:right w:val="nil"/>
            </w:tcBorders>
            <w:shd w:val="clear" w:color="auto" w:fill="auto"/>
            <w:noWrap/>
            <w:vAlign w:val="bottom"/>
          </w:tcPr>
          <w:p w14:paraId="263E7886" w14:textId="77777777" w:rsidR="00F764A6" w:rsidRPr="00E67146" w:rsidRDefault="00F764A6" w:rsidP="00E67146">
            <w:pPr>
              <w:rPr>
                <w:sz w:val="22"/>
                <w:szCs w:val="22"/>
                <w:lang w:val="en-US" w:eastAsia="tr-TR"/>
              </w:rPr>
            </w:pPr>
          </w:p>
        </w:tc>
        <w:tc>
          <w:tcPr>
            <w:tcW w:w="1368" w:type="dxa"/>
            <w:tcBorders>
              <w:top w:val="nil"/>
              <w:left w:val="nil"/>
              <w:bottom w:val="nil"/>
              <w:right w:val="nil"/>
            </w:tcBorders>
            <w:shd w:val="clear" w:color="auto" w:fill="auto"/>
            <w:noWrap/>
            <w:vAlign w:val="bottom"/>
          </w:tcPr>
          <w:p w14:paraId="45A26434" w14:textId="77777777" w:rsidR="00F764A6" w:rsidRPr="00E67146" w:rsidRDefault="00F764A6" w:rsidP="00E67146">
            <w:pPr>
              <w:rPr>
                <w:sz w:val="22"/>
                <w:szCs w:val="22"/>
                <w:lang w:val="en-US" w:eastAsia="tr-TR"/>
              </w:rPr>
            </w:pPr>
            <w:r w:rsidRPr="00E67146">
              <w:rPr>
                <w:sz w:val="22"/>
                <w:szCs w:val="22"/>
                <w:lang w:val="en-US" w:eastAsia="tr-TR"/>
              </w:rPr>
              <w:t>0,515</w:t>
            </w:r>
          </w:p>
        </w:tc>
      </w:tr>
      <w:tr w:rsidR="00CD4293" w:rsidRPr="00E67146" w14:paraId="16ADBD06" w14:textId="77777777" w:rsidTr="00E04861">
        <w:trPr>
          <w:trHeight w:val="285"/>
        </w:trPr>
        <w:tc>
          <w:tcPr>
            <w:tcW w:w="1384" w:type="dxa"/>
            <w:tcBorders>
              <w:top w:val="nil"/>
              <w:left w:val="nil"/>
              <w:bottom w:val="nil"/>
              <w:right w:val="nil"/>
            </w:tcBorders>
            <w:shd w:val="clear" w:color="auto" w:fill="auto"/>
            <w:noWrap/>
            <w:vAlign w:val="bottom"/>
          </w:tcPr>
          <w:p w14:paraId="2C01EA61" w14:textId="77777777" w:rsidR="00F764A6" w:rsidRPr="00E67146" w:rsidRDefault="00F764A6" w:rsidP="00E67146">
            <w:pPr>
              <w:rPr>
                <w:sz w:val="22"/>
                <w:szCs w:val="22"/>
                <w:lang w:val="en-US" w:eastAsia="tr-TR"/>
              </w:rPr>
            </w:pPr>
            <w:r w:rsidRPr="00E67146">
              <w:rPr>
                <w:sz w:val="22"/>
                <w:szCs w:val="22"/>
                <w:lang w:val="en-US" w:eastAsia="tr-TR"/>
              </w:rPr>
              <w:t>PDW</w:t>
            </w:r>
          </w:p>
        </w:tc>
        <w:tc>
          <w:tcPr>
            <w:tcW w:w="1294" w:type="dxa"/>
            <w:tcBorders>
              <w:top w:val="nil"/>
              <w:left w:val="nil"/>
              <w:bottom w:val="nil"/>
              <w:right w:val="nil"/>
            </w:tcBorders>
            <w:shd w:val="clear" w:color="auto" w:fill="auto"/>
            <w:noWrap/>
            <w:vAlign w:val="bottom"/>
          </w:tcPr>
          <w:p w14:paraId="60894755" w14:textId="77777777" w:rsidR="00F764A6" w:rsidRPr="00E67146" w:rsidRDefault="00F764A6" w:rsidP="00E67146">
            <w:pPr>
              <w:rPr>
                <w:sz w:val="22"/>
                <w:szCs w:val="22"/>
                <w:lang w:val="en-US" w:eastAsia="tr-TR"/>
              </w:rPr>
            </w:pPr>
            <w:r w:rsidRPr="00E67146">
              <w:rPr>
                <w:sz w:val="22"/>
                <w:szCs w:val="22"/>
                <w:lang w:val="en-US" w:eastAsia="tr-TR"/>
              </w:rPr>
              <w:t>53,31±7,11</w:t>
            </w:r>
          </w:p>
        </w:tc>
        <w:tc>
          <w:tcPr>
            <w:tcW w:w="1111" w:type="dxa"/>
            <w:tcBorders>
              <w:top w:val="nil"/>
              <w:left w:val="nil"/>
              <w:bottom w:val="nil"/>
              <w:right w:val="nil"/>
            </w:tcBorders>
            <w:shd w:val="clear" w:color="auto" w:fill="auto"/>
            <w:noWrap/>
            <w:vAlign w:val="bottom"/>
          </w:tcPr>
          <w:p w14:paraId="0D826C49" w14:textId="77777777" w:rsidR="00F764A6" w:rsidRPr="00E67146" w:rsidRDefault="00F764A6" w:rsidP="00E67146">
            <w:pPr>
              <w:rPr>
                <w:sz w:val="22"/>
                <w:szCs w:val="22"/>
                <w:lang w:val="en-US" w:eastAsia="tr-TR"/>
              </w:rPr>
            </w:pPr>
          </w:p>
        </w:tc>
        <w:tc>
          <w:tcPr>
            <w:tcW w:w="1294" w:type="dxa"/>
            <w:tcBorders>
              <w:top w:val="nil"/>
              <w:left w:val="nil"/>
              <w:bottom w:val="nil"/>
              <w:right w:val="nil"/>
            </w:tcBorders>
            <w:shd w:val="clear" w:color="auto" w:fill="auto"/>
            <w:noWrap/>
            <w:vAlign w:val="bottom"/>
          </w:tcPr>
          <w:p w14:paraId="5F80EF47" w14:textId="77777777" w:rsidR="00F764A6" w:rsidRPr="00E67146" w:rsidRDefault="00F764A6" w:rsidP="00E67146">
            <w:pPr>
              <w:rPr>
                <w:sz w:val="22"/>
                <w:szCs w:val="22"/>
                <w:lang w:val="en-US" w:eastAsia="tr-TR"/>
              </w:rPr>
            </w:pPr>
            <w:r w:rsidRPr="00E67146">
              <w:rPr>
                <w:sz w:val="22"/>
                <w:szCs w:val="22"/>
                <w:lang w:val="en-US" w:eastAsia="tr-TR"/>
              </w:rPr>
              <w:t>49,20±9,98</w:t>
            </w:r>
          </w:p>
        </w:tc>
        <w:tc>
          <w:tcPr>
            <w:tcW w:w="1111" w:type="dxa"/>
            <w:tcBorders>
              <w:top w:val="nil"/>
              <w:left w:val="nil"/>
              <w:bottom w:val="nil"/>
              <w:right w:val="nil"/>
            </w:tcBorders>
            <w:shd w:val="clear" w:color="auto" w:fill="auto"/>
            <w:noWrap/>
            <w:vAlign w:val="bottom"/>
          </w:tcPr>
          <w:p w14:paraId="706870EC" w14:textId="77777777" w:rsidR="00F764A6" w:rsidRPr="00E67146" w:rsidRDefault="00F764A6" w:rsidP="00E67146">
            <w:pPr>
              <w:rPr>
                <w:sz w:val="22"/>
                <w:szCs w:val="22"/>
                <w:lang w:val="en-US" w:eastAsia="tr-TR"/>
              </w:rPr>
            </w:pPr>
          </w:p>
        </w:tc>
        <w:tc>
          <w:tcPr>
            <w:tcW w:w="1368" w:type="dxa"/>
            <w:tcBorders>
              <w:top w:val="nil"/>
              <w:left w:val="nil"/>
              <w:bottom w:val="nil"/>
              <w:right w:val="nil"/>
            </w:tcBorders>
            <w:shd w:val="clear" w:color="auto" w:fill="auto"/>
            <w:noWrap/>
            <w:vAlign w:val="bottom"/>
          </w:tcPr>
          <w:p w14:paraId="71C110C8" w14:textId="77777777" w:rsidR="00F764A6" w:rsidRPr="00E67146" w:rsidRDefault="00F764A6" w:rsidP="00E67146">
            <w:pPr>
              <w:rPr>
                <w:sz w:val="22"/>
                <w:szCs w:val="22"/>
                <w:lang w:val="en-US" w:eastAsia="tr-TR"/>
              </w:rPr>
            </w:pPr>
            <w:r w:rsidRPr="00E67146">
              <w:rPr>
                <w:sz w:val="22"/>
                <w:szCs w:val="22"/>
                <w:lang w:val="en-US" w:eastAsia="tr-TR"/>
              </w:rPr>
              <w:t>0,084</w:t>
            </w:r>
          </w:p>
        </w:tc>
      </w:tr>
      <w:tr w:rsidR="00CD4293" w:rsidRPr="00E67146" w14:paraId="289591C2" w14:textId="77777777" w:rsidTr="00E04861">
        <w:trPr>
          <w:trHeight w:val="285"/>
        </w:trPr>
        <w:tc>
          <w:tcPr>
            <w:tcW w:w="1384" w:type="dxa"/>
            <w:tcBorders>
              <w:top w:val="nil"/>
              <w:left w:val="nil"/>
              <w:bottom w:val="nil"/>
              <w:right w:val="nil"/>
            </w:tcBorders>
            <w:shd w:val="clear" w:color="auto" w:fill="auto"/>
            <w:noWrap/>
            <w:vAlign w:val="bottom"/>
          </w:tcPr>
          <w:p w14:paraId="2239461B" w14:textId="77777777" w:rsidR="00F764A6" w:rsidRPr="00E67146" w:rsidRDefault="00F764A6" w:rsidP="00E67146">
            <w:pPr>
              <w:rPr>
                <w:sz w:val="22"/>
                <w:szCs w:val="22"/>
                <w:lang w:val="en-US" w:eastAsia="tr-TR"/>
              </w:rPr>
            </w:pPr>
            <w:r w:rsidRPr="00E67146">
              <w:rPr>
                <w:sz w:val="22"/>
                <w:szCs w:val="22"/>
                <w:lang w:val="en-US" w:eastAsia="tr-TR"/>
              </w:rPr>
              <w:t>RDW</w:t>
            </w:r>
          </w:p>
        </w:tc>
        <w:tc>
          <w:tcPr>
            <w:tcW w:w="1294" w:type="dxa"/>
            <w:tcBorders>
              <w:top w:val="nil"/>
              <w:left w:val="nil"/>
              <w:bottom w:val="nil"/>
              <w:right w:val="nil"/>
            </w:tcBorders>
            <w:shd w:val="clear" w:color="auto" w:fill="auto"/>
            <w:noWrap/>
            <w:vAlign w:val="bottom"/>
          </w:tcPr>
          <w:p w14:paraId="0A4332C2" w14:textId="77777777" w:rsidR="00F764A6" w:rsidRPr="00E67146" w:rsidRDefault="00F764A6" w:rsidP="00E67146">
            <w:pPr>
              <w:rPr>
                <w:sz w:val="22"/>
                <w:szCs w:val="22"/>
                <w:lang w:val="en-US" w:eastAsia="tr-TR"/>
              </w:rPr>
            </w:pPr>
            <w:r w:rsidRPr="00E67146">
              <w:rPr>
                <w:sz w:val="22"/>
                <w:szCs w:val="22"/>
                <w:lang w:val="en-US" w:eastAsia="tr-TR"/>
              </w:rPr>
              <w:t>16,44±14,67</w:t>
            </w:r>
          </w:p>
        </w:tc>
        <w:tc>
          <w:tcPr>
            <w:tcW w:w="1111" w:type="dxa"/>
            <w:tcBorders>
              <w:top w:val="nil"/>
              <w:left w:val="nil"/>
              <w:bottom w:val="nil"/>
              <w:right w:val="nil"/>
            </w:tcBorders>
            <w:shd w:val="clear" w:color="auto" w:fill="auto"/>
            <w:noWrap/>
            <w:vAlign w:val="bottom"/>
          </w:tcPr>
          <w:p w14:paraId="4EFEF1C0" w14:textId="77777777" w:rsidR="00F764A6" w:rsidRPr="00E67146" w:rsidRDefault="00F764A6" w:rsidP="00E67146">
            <w:pPr>
              <w:rPr>
                <w:sz w:val="22"/>
                <w:szCs w:val="22"/>
                <w:lang w:val="en-US" w:eastAsia="tr-TR"/>
              </w:rPr>
            </w:pPr>
          </w:p>
        </w:tc>
        <w:tc>
          <w:tcPr>
            <w:tcW w:w="1294" w:type="dxa"/>
            <w:tcBorders>
              <w:top w:val="nil"/>
              <w:left w:val="nil"/>
              <w:bottom w:val="nil"/>
              <w:right w:val="nil"/>
            </w:tcBorders>
            <w:shd w:val="clear" w:color="auto" w:fill="auto"/>
            <w:noWrap/>
            <w:vAlign w:val="bottom"/>
          </w:tcPr>
          <w:p w14:paraId="258D3236" w14:textId="77777777" w:rsidR="00F764A6" w:rsidRPr="00E67146" w:rsidRDefault="00F764A6" w:rsidP="00E67146">
            <w:pPr>
              <w:rPr>
                <w:sz w:val="22"/>
                <w:szCs w:val="22"/>
                <w:lang w:val="en-US" w:eastAsia="tr-TR"/>
              </w:rPr>
            </w:pPr>
            <w:r w:rsidRPr="00E67146">
              <w:rPr>
                <w:sz w:val="22"/>
                <w:szCs w:val="22"/>
                <w:lang w:val="en-US" w:eastAsia="tr-TR"/>
              </w:rPr>
              <w:t>13,94±1,16</w:t>
            </w:r>
          </w:p>
        </w:tc>
        <w:tc>
          <w:tcPr>
            <w:tcW w:w="1111" w:type="dxa"/>
            <w:tcBorders>
              <w:top w:val="nil"/>
              <w:left w:val="nil"/>
              <w:bottom w:val="nil"/>
              <w:right w:val="nil"/>
            </w:tcBorders>
            <w:shd w:val="clear" w:color="auto" w:fill="auto"/>
            <w:noWrap/>
            <w:vAlign w:val="bottom"/>
          </w:tcPr>
          <w:p w14:paraId="34CC04D4" w14:textId="77777777" w:rsidR="00F764A6" w:rsidRPr="00E67146" w:rsidRDefault="00F764A6" w:rsidP="00E67146">
            <w:pPr>
              <w:rPr>
                <w:sz w:val="22"/>
                <w:szCs w:val="22"/>
                <w:lang w:val="en-US" w:eastAsia="tr-TR"/>
              </w:rPr>
            </w:pPr>
          </w:p>
        </w:tc>
        <w:tc>
          <w:tcPr>
            <w:tcW w:w="1368" w:type="dxa"/>
            <w:tcBorders>
              <w:top w:val="nil"/>
              <w:left w:val="nil"/>
              <w:bottom w:val="nil"/>
              <w:right w:val="nil"/>
            </w:tcBorders>
            <w:shd w:val="clear" w:color="auto" w:fill="auto"/>
            <w:noWrap/>
            <w:vAlign w:val="bottom"/>
          </w:tcPr>
          <w:p w14:paraId="11E2103C" w14:textId="77777777" w:rsidR="00F764A6" w:rsidRPr="00E67146" w:rsidRDefault="00F764A6" w:rsidP="00E67146">
            <w:pPr>
              <w:rPr>
                <w:sz w:val="22"/>
                <w:szCs w:val="22"/>
                <w:lang w:val="en-US" w:eastAsia="tr-TR"/>
              </w:rPr>
            </w:pPr>
            <w:r w:rsidRPr="00E67146">
              <w:rPr>
                <w:sz w:val="22"/>
                <w:szCs w:val="22"/>
                <w:lang w:val="en-US" w:eastAsia="tr-TR"/>
              </w:rPr>
              <w:t>0,153</w:t>
            </w:r>
          </w:p>
        </w:tc>
      </w:tr>
      <w:tr w:rsidR="00CD4293" w:rsidRPr="00E67146" w14:paraId="2B96BCF9" w14:textId="77777777" w:rsidTr="00E04861">
        <w:trPr>
          <w:trHeight w:val="285"/>
        </w:trPr>
        <w:tc>
          <w:tcPr>
            <w:tcW w:w="1384" w:type="dxa"/>
            <w:tcBorders>
              <w:top w:val="nil"/>
              <w:left w:val="nil"/>
              <w:bottom w:val="nil"/>
              <w:right w:val="nil"/>
            </w:tcBorders>
            <w:shd w:val="clear" w:color="auto" w:fill="auto"/>
            <w:noWrap/>
            <w:vAlign w:val="bottom"/>
          </w:tcPr>
          <w:p w14:paraId="0D058FA7" w14:textId="77777777" w:rsidR="00F764A6" w:rsidRPr="00E67146" w:rsidRDefault="00F764A6" w:rsidP="00E67146">
            <w:pPr>
              <w:rPr>
                <w:sz w:val="22"/>
                <w:szCs w:val="22"/>
                <w:lang w:val="en-US" w:eastAsia="tr-TR"/>
              </w:rPr>
            </w:pPr>
            <w:r w:rsidRPr="00E67146">
              <w:rPr>
                <w:sz w:val="22"/>
                <w:szCs w:val="22"/>
                <w:lang w:val="en-US" w:eastAsia="tr-TR"/>
              </w:rPr>
              <w:t>BUN</w:t>
            </w:r>
          </w:p>
        </w:tc>
        <w:tc>
          <w:tcPr>
            <w:tcW w:w="1294" w:type="dxa"/>
            <w:tcBorders>
              <w:top w:val="nil"/>
              <w:left w:val="nil"/>
              <w:bottom w:val="nil"/>
              <w:right w:val="nil"/>
            </w:tcBorders>
            <w:shd w:val="clear" w:color="auto" w:fill="auto"/>
            <w:noWrap/>
            <w:vAlign w:val="bottom"/>
          </w:tcPr>
          <w:p w14:paraId="2964BAC8" w14:textId="77777777" w:rsidR="00F764A6" w:rsidRPr="00E67146" w:rsidRDefault="00F764A6" w:rsidP="00E67146">
            <w:pPr>
              <w:rPr>
                <w:sz w:val="22"/>
                <w:szCs w:val="22"/>
                <w:lang w:val="en-US" w:eastAsia="tr-TR"/>
              </w:rPr>
            </w:pPr>
            <w:r w:rsidRPr="00E67146">
              <w:rPr>
                <w:sz w:val="22"/>
                <w:szCs w:val="22"/>
                <w:lang w:val="en-US" w:eastAsia="tr-TR"/>
              </w:rPr>
              <w:t>38,55±19,52</w:t>
            </w:r>
          </w:p>
        </w:tc>
        <w:tc>
          <w:tcPr>
            <w:tcW w:w="1111" w:type="dxa"/>
            <w:tcBorders>
              <w:top w:val="nil"/>
              <w:left w:val="nil"/>
              <w:bottom w:val="nil"/>
              <w:right w:val="nil"/>
            </w:tcBorders>
            <w:shd w:val="clear" w:color="auto" w:fill="auto"/>
            <w:noWrap/>
            <w:vAlign w:val="bottom"/>
          </w:tcPr>
          <w:p w14:paraId="185E5E94" w14:textId="77777777" w:rsidR="00F764A6" w:rsidRPr="00E67146" w:rsidRDefault="00F764A6" w:rsidP="00E67146">
            <w:pPr>
              <w:rPr>
                <w:sz w:val="22"/>
                <w:szCs w:val="22"/>
                <w:lang w:val="en-US" w:eastAsia="tr-TR"/>
              </w:rPr>
            </w:pPr>
          </w:p>
        </w:tc>
        <w:tc>
          <w:tcPr>
            <w:tcW w:w="1294" w:type="dxa"/>
            <w:tcBorders>
              <w:top w:val="nil"/>
              <w:left w:val="nil"/>
              <w:bottom w:val="nil"/>
              <w:right w:val="nil"/>
            </w:tcBorders>
            <w:shd w:val="clear" w:color="auto" w:fill="auto"/>
            <w:noWrap/>
            <w:vAlign w:val="bottom"/>
          </w:tcPr>
          <w:p w14:paraId="775F1806" w14:textId="77777777" w:rsidR="00F764A6" w:rsidRPr="00E67146" w:rsidRDefault="00F764A6" w:rsidP="00E67146">
            <w:pPr>
              <w:rPr>
                <w:sz w:val="22"/>
                <w:szCs w:val="22"/>
                <w:lang w:val="en-US" w:eastAsia="tr-TR"/>
              </w:rPr>
            </w:pPr>
            <w:r w:rsidRPr="00E67146">
              <w:rPr>
                <w:sz w:val="22"/>
                <w:szCs w:val="22"/>
                <w:lang w:val="en-US" w:eastAsia="tr-TR"/>
              </w:rPr>
              <w:t>36,72±12,24</w:t>
            </w:r>
          </w:p>
        </w:tc>
        <w:tc>
          <w:tcPr>
            <w:tcW w:w="1111" w:type="dxa"/>
            <w:tcBorders>
              <w:top w:val="nil"/>
              <w:left w:val="nil"/>
              <w:bottom w:val="nil"/>
              <w:right w:val="nil"/>
            </w:tcBorders>
            <w:shd w:val="clear" w:color="auto" w:fill="auto"/>
            <w:noWrap/>
            <w:vAlign w:val="bottom"/>
          </w:tcPr>
          <w:p w14:paraId="16298A3B" w14:textId="77777777" w:rsidR="00F764A6" w:rsidRPr="00E67146" w:rsidRDefault="00F764A6" w:rsidP="00E67146">
            <w:pPr>
              <w:rPr>
                <w:sz w:val="22"/>
                <w:szCs w:val="22"/>
                <w:lang w:val="en-US" w:eastAsia="tr-TR"/>
              </w:rPr>
            </w:pPr>
          </w:p>
        </w:tc>
        <w:tc>
          <w:tcPr>
            <w:tcW w:w="1368" w:type="dxa"/>
            <w:tcBorders>
              <w:top w:val="nil"/>
              <w:left w:val="nil"/>
              <w:bottom w:val="nil"/>
              <w:right w:val="nil"/>
            </w:tcBorders>
            <w:shd w:val="clear" w:color="auto" w:fill="auto"/>
            <w:noWrap/>
            <w:vAlign w:val="bottom"/>
          </w:tcPr>
          <w:p w14:paraId="52A8AA36" w14:textId="77777777" w:rsidR="00F764A6" w:rsidRPr="00E67146" w:rsidRDefault="00F764A6" w:rsidP="00E67146">
            <w:pPr>
              <w:rPr>
                <w:sz w:val="22"/>
                <w:szCs w:val="22"/>
                <w:lang w:val="en-US" w:eastAsia="tr-TR"/>
              </w:rPr>
            </w:pPr>
            <w:r w:rsidRPr="00E67146">
              <w:rPr>
                <w:sz w:val="22"/>
                <w:szCs w:val="22"/>
                <w:lang w:val="en-US" w:eastAsia="tr-TR"/>
              </w:rPr>
              <w:t>0,894</w:t>
            </w:r>
          </w:p>
        </w:tc>
      </w:tr>
      <w:tr w:rsidR="00CD4293" w:rsidRPr="00E67146" w14:paraId="7F819E2A" w14:textId="77777777" w:rsidTr="00E04861">
        <w:trPr>
          <w:trHeight w:val="285"/>
        </w:trPr>
        <w:tc>
          <w:tcPr>
            <w:tcW w:w="1384" w:type="dxa"/>
            <w:tcBorders>
              <w:top w:val="nil"/>
              <w:left w:val="nil"/>
              <w:bottom w:val="nil"/>
              <w:right w:val="nil"/>
            </w:tcBorders>
            <w:shd w:val="clear" w:color="auto" w:fill="auto"/>
            <w:noWrap/>
            <w:vAlign w:val="bottom"/>
          </w:tcPr>
          <w:p w14:paraId="50DC70C0" w14:textId="77777777" w:rsidR="00F764A6" w:rsidRPr="00E67146" w:rsidRDefault="00F764A6" w:rsidP="00E67146">
            <w:pPr>
              <w:rPr>
                <w:sz w:val="22"/>
                <w:szCs w:val="22"/>
                <w:lang w:val="en-US" w:eastAsia="tr-TR"/>
              </w:rPr>
            </w:pPr>
            <w:r w:rsidRPr="00E67146">
              <w:rPr>
                <w:sz w:val="22"/>
                <w:szCs w:val="22"/>
                <w:lang w:val="en-US" w:eastAsia="tr-TR"/>
              </w:rPr>
              <w:t>Creatinine</w:t>
            </w:r>
          </w:p>
        </w:tc>
        <w:tc>
          <w:tcPr>
            <w:tcW w:w="1294" w:type="dxa"/>
            <w:tcBorders>
              <w:top w:val="nil"/>
              <w:left w:val="nil"/>
              <w:bottom w:val="nil"/>
              <w:right w:val="nil"/>
            </w:tcBorders>
            <w:shd w:val="clear" w:color="auto" w:fill="auto"/>
            <w:noWrap/>
            <w:vAlign w:val="bottom"/>
          </w:tcPr>
          <w:p w14:paraId="33DE5CDA" w14:textId="77777777" w:rsidR="00F764A6" w:rsidRPr="00E67146" w:rsidRDefault="00F764A6" w:rsidP="00E67146">
            <w:pPr>
              <w:rPr>
                <w:sz w:val="22"/>
                <w:szCs w:val="22"/>
                <w:lang w:val="en-US" w:eastAsia="tr-TR"/>
              </w:rPr>
            </w:pPr>
            <w:r w:rsidRPr="00E67146">
              <w:rPr>
                <w:sz w:val="22"/>
                <w:szCs w:val="22"/>
                <w:lang w:val="en-US" w:eastAsia="tr-TR"/>
              </w:rPr>
              <w:t>0,82±0,20</w:t>
            </w:r>
          </w:p>
        </w:tc>
        <w:tc>
          <w:tcPr>
            <w:tcW w:w="1111" w:type="dxa"/>
            <w:tcBorders>
              <w:top w:val="nil"/>
              <w:left w:val="nil"/>
              <w:bottom w:val="nil"/>
              <w:right w:val="nil"/>
            </w:tcBorders>
            <w:shd w:val="clear" w:color="auto" w:fill="auto"/>
            <w:noWrap/>
            <w:vAlign w:val="bottom"/>
          </w:tcPr>
          <w:p w14:paraId="749CEEA2" w14:textId="77777777" w:rsidR="00F764A6" w:rsidRPr="00E67146" w:rsidRDefault="00F764A6" w:rsidP="00E67146">
            <w:pPr>
              <w:rPr>
                <w:sz w:val="22"/>
                <w:szCs w:val="22"/>
                <w:lang w:val="en-US" w:eastAsia="tr-TR"/>
              </w:rPr>
            </w:pPr>
          </w:p>
        </w:tc>
        <w:tc>
          <w:tcPr>
            <w:tcW w:w="1294" w:type="dxa"/>
            <w:tcBorders>
              <w:top w:val="nil"/>
              <w:left w:val="nil"/>
              <w:bottom w:val="nil"/>
              <w:right w:val="nil"/>
            </w:tcBorders>
            <w:shd w:val="clear" w:color="auto" w:fill="auto"/>
            <w:noWrap/>
            <w:vAlign w:val="bottom"/>
          </w:tcPr>
          <w:p w14:paraId="437BBC14" w14:textId="77777777" w:rsidR="00F764A6" w:rsidRPr="00E67146" w:rsidRDefault="00F764A6" w:rsidP="00E67146">
            <w:pPr>
              <w:rPr>
                <w:sz w:val="22"/>
                <w:szCs w:val="22"/>
                <w:lang w:val="en-US" w:eastAsia="tr-TR"/>
              </w:rPr>
            </w:pPr>
            <w:r w:rsidRPr="00E67146">
              <w:rPr>
                <w:sz w:val="22"/>
                <w:szCs w:val="22"/>
                <w:lang w:val="en-US" w:eastAsia="tr-TR"/>
              </w:rPr>
              <w:t>0,97±0,34</w:t>
            </w:r>
          </w:p>
        </w:tc>
        <w:tc>
          <w:tcPr>
            <w:tcW w:w="1111" w:type="dxa"/>
            <w:tcBorders>
              <w:top w:val="nil"/>
              <w:left w:val="nil"/>
              <w:bottom w:val="nil"/>
              <w:right w:val="nil"/>
            </w:tcBorders>
            <w:shd w:val="clear" w:color="auto" w:fill="auto"/>
            <w:noWrap/>
            <w:vAlign w:val="bottom"/>
          </w:tcPr>
          <w:p w14:paraId="7CEB3596" w14:textId="77777777" w:rsidR="00F764A6" w:rsidRPr="00E67146" w:rsidRDefault="00F764A6" w:rsidP="00E67146">
            <w:pPr>
              <w:rPr>
                <w:sz w:val="22"/>
                <w:szCs w:val="22"/>
                <w:lang w:val="en-US" w:eastAsia="tr-TR"/>
              </w:rPr>
            </w:pPr>
          </w:p>
        </w:tc>
        <w:tc>
          <w:tcPr>
            <w:tcW w:w="1368" w:type="dxa"/>
            <w:tcBorders>
              <w:top w:val="nil"/>
              <w:left w:val="nil"/>
              <w:bottom w:val="nil"/>
              <w:right w:val="nil"/>
            </w:tcBorders>
            <w:shd w:val="clear" w:color="auto" w:fill="auto"/>
            <w:noWrap/>
            <w:vAlign w:val="bottom"/>
          </w:tcPr>
          <w:p w14:paraId="6673B207" w14:textId="77777777" w:rsidR="00F764A6" w:rsidRPr="00E67146" w:rsidRDefault="00F764A6" w:rsidP="00E67146">
            <w:pPr>
              <w:rPr>
                <w:b/>
                <w:sz w:val="22"/>
                <w:szCs w:val="22"/>
                <w:lang w:val="en-US" w:eastAsia="tr-TR"/>
              </w:rPr>
            </w:pPr>
            <w:r w:rsidRPr="00E67146">
              <w:rPr>
                <w:b/>
                <w:sz w:val="22"/>
                <w:szCs w:val="22"/>
                <w:lang w:val="en-US" w:eastAsia="tr-TR"/>
              </w:rPr>
              <w:t>0,041</w:t>
            </w:r>
          </w:p>
        </w:tc>
      </w:tr>
      <w:tr w:rsidR="00CD4293" w:rsidRPr="00E67146" w14:paraId="38C8B384" w14:textId="77777777" w:rsidTr="00E04861">
        <w:trPr>
          <w:trHeight w:val="285"/>
        </w:trPr>
        <w:tc>
          <w:tcPr>
            <w:tcW w:w="1384" w:type="dxa"/>
            <w:tcBorders>
              <w:top w:val="nil"/>
              <w:left w:val="nil"/>
              <w:bottom w:val="nil"/>
              <w:right w:val="nil"/>
            </w:tcBorders>
            <w:shd w:val="clear" w:color="auto" w:fill="auto"/>
            <w:noWrap/>
            <w:vAlign w:val="bottom"/>
          </w:tcPr>
          <w:p w14:paraId="2A9DB97B" w14:textId="77777777" w:rsidR="00F764A6" w:rsidRPr="00E67146" w:rsidRDefault="00F764A6" w:rsidP="00E67146">
            <w:pPr>
              <w:rPr>
                <w:sz w:val="22"/>
                <w:szCs w:val="22"/>
                <w:lang w:val="en-US" w:eastAsia="tr-TR"/>
              </w:rPr>
            </w:pPr>
            <w:r w:rsidRPr="00E67146">
              <w:rPr>
                <w:sz w:val="22"/>
                <w:szCs w:val="22"/>
                <w:lang w:val="en-US" w:eastAsia="tr-TR"/>
              </w:rPr>
              <w:t>PLR</w:t>
            </w:r>
          </w:p>
        </w:tc>
        <w:tc>
          <w:tcPr>
            <w:tcW w:w="1294" w:type="dxa"/>
            <w:tcBorders>
              <w:top w:val="nil"/>
              <w:left w:val="nil"/>
              <w:bottom w:val="nil"/>
              <w:right w:val="nil"/>
            </w:tcBorders>
            <w:shd w:val="clear" w:color="auto" w:fill="auto"/>
            <w:noWrap/>
            <w:vAlign w:val="bottom"/>
          </w:tcPr>
          <w:p w14:paraId="7FE15FD9" w14:textId="77777777" w:rsidR="00F764A6" w:rsidRPr="00E67146" w:rsidRDefault="00F764A6" w:rsidP="00E67146">
            <w:pPr>
              <w:rPr>
                <w:sz w:val="22"/>
                <w:szCs w:val="22"/>
                <w:lang w:val="en-US" w:eastAsia="tr-TR"/>
              </w:rPr>
            </w:pPr>
            <w:r w:rsidRPr="00E67146">
              <w:rPr>
                <w:sz w:val="22"/>
                <w:szCs w:val="22"/>
                <w:lang w:val="en-US" w:eastAsia="tr-TR"/>
              </w:rPr>
              <w:t>163,30±92,21</w:t>
            </w:r>
          </w:p>
        </w:tc>
        <w:tc>
          <w:tcPr>
            <w:tcW w:w="1111" w:type="dxa"/>
            <w:tcBorders>
              <w:top w:val="nil"/>
              <w:left w:val="nil"/>
              <w:bottom w:val="nil"/>
              <w:right w:val="nil"/>
            </w:tcBorders>
            <w:shd w:val="clear" w:color="auto" w:fill="auto"/>
            <w:noWrap/>
            <w:vAlign w:val="bottom"/>
          </w:tcPr>
          <w:p w14:paraId="04270292" w14:textId="77777777" w:rsidR="00F764A6" w:rsidRPr="00E67146" w:rsidRDefault="00F764A6" w:rsidP="00E67146">
            <w:pPr>
              <w:rPr>
                <w:sz w:val="22"/>
                <w:szCs w:val="22"/>
                <w:lang w:val="en-US" w:eastAsia="tr-TR"/>
              </w:rPr>
            </w:pPr>
          </w:p>
        </w:tc>
        <w:tc>
          <w:tcPr>
            <w:tcW w:w="1294" w:type="dxa"/>
            <w:tcBorders>
              <w:top w:val="nil"/>
              <w:left w:val="nil"/>
              <w:bottom w:val="nil"/>
              <w:right w:val="nil"/>
            </w:tcBorders>
            <w:shd w:val="clear" w:color="auto" w:fill="auto"/>
            <w:noWrap/>
            <w:vAlign w:val="bottom"/>
          </w:tcPr>
          <w:p w14:paraId="679A3C88" w14:textId="77777777" w:rsidR="00F764A6" w:rsidRPr="00E67146" w:rsidRDefault="00F764A6" w:rsidP="00E67146">
            <w:pPr>
              <w:rPr>
                <w:sz w:val="22"/>
                <w:szCs w:val="22"/>
                <w:lang w:val="en-US" w:eastAsia="tr-TR"/>
              </w:rPr>
            </w:pPr>
            <w:r w:rsidRPr="00E67146">
              <w:rPr>
                <w:sz w:val="22"/>
                <w:szCs w:val="22"/>
                <w:lang w:val="en-US" w:eastAsia="tr-TR"/>
              </w:rPr>
              <w:t>158,18±81,45</w:t>
            </w:r>
          </w:p>
        </w:tc>
        <w:tc>
          <w:tcPr>
            <w:tcW w:w="1111" w:type="dxa"/>
            <w:tcBorders>
              <w:top w:val="nil"/>
              <w:left w:val="nil"/>
              <w:bottom w:val="nil"/>
              <w:right w:val="nil"/>
            </w:tcBorders>
            <w:shd w:val="clear" w:color="auto" w:fill="auto"/>
            <w:noWrap/>
            <w:vAlign w:val="bottom"/>
          </w:tcPr>
          <w:p w14:paraId="23110EAA" w14:textId="77777777" w:rsidR="00F764A6" w:rsidRPr="00E67146" w:rsidRDefault="00F764A6" w:rsidP="00E67146">
            <w:pPr>
              <w:rPr>
                <w:sz w:val="22"/>
                <w:szCs w:val="22"/>
                <w:lang w:val="en-US" w:eastAsia="tr-TR"/>
              </w:rPr>
            </w:pPr>
          </w:p>
        </w:tc>
        <w:tc>
          <w:tcPr>
            <w:tcW w:w="1368" w:type="dxa"/>
            <w:tcBorders>
              <w:top w:val="nil"/>
              <w:left w:val="nil"/>
              <w:bottom w:val="nil"/>
              <w:right w:val="nil"/>
            </w:tcBorders>
            <w:shd w:val="clear" w:color="auto" w:fill="auto"/>
            <w:noWrap/>
            <w:vAlign w:val="bottom"/>
          </w:tcPr>
          <w:p w14:paraId="606C60C1" w14:textId="77777777" w:rsidR="00F764A6" w:rsidRPr="00E67146" w:rsidRDefault="00F764A6" w:rsidP="00E67146">
            <w:pPr>
              <w:rPr>
                <w:sz w:val="22"/>
                <w:szCs w:val="22"/>
                <w:lang w:val="en-US" w:eastAsia="tr-TR"/>
              </w:rPr>
            </w:pPr>
            <w:r w:rsidRPr="00E67146">
              <w:rPr>
                <w:sz w:val="22"/>
                <w:szCs w:val="22"/>
                <w:lang w:val="en-US" w:eastAsia="tr-TR"/>
              </w:rPr>
              <w:t>0,903</w:t>
            </w:r>
          </w:p>
        </w:tc>
      </w:tr>
      <w:tr w:rsidR="00CD4293" w:rsidRPr="00E67146" w14:paraId="0DB43961" w14:textId="77777777" w:rsidTr="00E04861">
        <w:trPr>
          <w:trHeight w:val="285"/>
        </w:trPr>
        <w:tc>
          <w:tcPr>
            <w:tcW w:w="1384" w:type="dxa"/>
            <w:tcBorders>
              <w:top w:val="nil"/>
              <w:left w:val="nil"/>
              <w:bottom w:val="single" w:sz="4" w:space="0" w:color="auto"/>
              <w:right w:val="nil"/>
            </w:tcBorders>
            <w:shd w:val="clear" w:color="auto" w:fill="auto"/>
            <w:noWrap/>
            <w:vAlign w:val="bottom"/>
          </w:tcPr>
          <w:p w14:paraId="069B9BE9" w14:textId="77777777" w:rsidR="00F764A6" w:rsidRPr="00E67146" w:rsidRDefault="00F764A6" w:rsidP="00E67146">
            <w:pPr>
              <w:rPr>
                <w:sz w:val="22"/>
                <w:szCs w:val="22"/>
                <w:lang w:val="en-US" w:eastAsia="tr-TR"/>
              </w:rPr>
            </w:pPr>
            <w:r w:rsidRPr="00E67146">
              <w:rPr>
                <w:sz w:val="22"/>
                <w:szCs w:val="22"/>
                <w:lang w:val="en-US" w:eastAsia="tr-TR"/>
              </w:rPr>
              <w:t>NLR</w:t>
            </w:r>
          </w:p>
        </w:tc>
        <w:tc>
          <w:tcPr>
            <w:tcW w:w="1294" w:type="dxa"/>
            <w:tcBorders>
              <w:top w:val="nil"/>
              <w:left w:val="nil"/>
              <w:bottom w:val="single" w:sz="4" w:space="0" w:color="auto"/>
              <w:right w:val="nil"/>
            </w:tcBorders>
            <w:shd w:val="clear" w:color="auto" w:fill="auto"/>
            <w:noWrap/>
            <w:vAlign w:val="bottom"/>
          </w:tcPr>
          <w:p w14:paraId="1AB8DBAA" w14:textId="77777777" w:rsidR="00F764A6" w:rsidRPr="00E67146" w:rsidRDefault="00F764A6" w:rsidP="00E67146">
            <w:pPr>
              <w:rPr>
                <w:sz w:val="22"/>
                <w:szCs w:val="22"/>
                <w:lang w:val="en-US" w:eastAsia="tr-TR"/>
              </w:rPr>
            </w:pPr>
            <w:r w:rsidRPr="00E67146">
              <w:rPr>
                <w:sz w:val="22"/>
                <w:szCs w:val="22"/>
                <w:lang w:val="en-US" w:eastAsia="tr-TR"/>
              </w:rPr>
              <w:t>3,49±3,30</w:t>
            </w:r>
          </w:p>
        </w:tc>
        <w:tc>
          <w:tcPr>
            <w:tcW w:w="1111" w:type="dxa"/>
            <w:tcBorders>
              <w:top w:val="nil"/>
              <w:left w:val="nil"/>
              <w:bottom w:val="single" w:sz="4" w:space="0" w:color="auto"/>
              <w:right w:val="nil"/>
            </w:tcBorders>
            <w:shd w:val="clear" w:color="auto" w:fill="auto"/>
            <w:noWrap/>
            <w:vAlign w:val="bottom"/>
          </w:tcPr>
          <w:p w14:paraId="40CFCE11" w14:textId="77777777" w:rsidR="00F764A6" w:rsidRPr="00E67146" w:rsidRDefault="00F764A6" w:rsidP="00E67146">
            <w:pPr>
              <w:rPr>
                <w:sz w:val="22"/>
                <w:szCs w:val="22"/>
                <w:lang w:val="en-US" w:eastAsia="tr-TR"/>
              </w:rPr>
            </w:pPr>
          </w:p>
        </w:tc>
        <w:tc>
          <w:tcPr>
            <w:tcW w:w="1294" w:type="dxa"/>
            <w:tcBorders>
              <w:top w:val="nil"/>
              <w:left w:val="nil"/>
              <w:bottom w:val="single" w:sz="4" w:space="0" w:color="auto"/>
              <w:right w:val="nil"/>
            </w:tcBorders>
            <w:shd w:val="clear" w:color="auto" w:fill="auto"/>
            <w:noWrap/>
            <w:vAlign w:val="bottom"/>
          </w:tcPr>
          <w:p w14:paraId="7F213CB0" w14:textId="77777777" w:rsidR="00F764A6" w:rsidRPr="00E67146" w:rsidRDefault="00F764A6" w:rsidP="00E67146">
            <w:pPr>
              <w:rPr>
                <w:sz w:val="22"/>
                <w:szCs w:val="22"/>
                <w:lang w:val="en-US" w:eastAsia="tr-TR"/>
              </w:rPr>
            </w:pPr>
            <w:r w:rsidRPr="00E67146">
              <w:rPr>
                <w:sz w:val="22"/>
                <w:szCs w:val="22"/>
                <w:lang w:val="en-US" w:eastAsia="tr-TR"/>
              </w:rPr>
              <w:t>3,19±1,81</w:t>
            </w:r>
          </w:p>
        </w:tc>
        <w:tc>
          <w:tcPr>
            <w:tcW w:w="1111" w:type="dxa"/>
            <w:tcBorders>
              <w:top w:val="nil"/>
              <w:left w:val="nil"/>
              <w:bottom w:val="single" w:sz="4" w:space="0" w:color="auto"/>
              <w:right w:val="nil"/>
            </w:tcBorders>
            <w:shd w:val="clear" w:color="auto" w:fill="auto"/>
            <w:noWrap/>
            <w:vAlign w:val="bottom"/>
          </w:tcPr>
          <w:p w14:paraId="392215F6" w14:textId="77777777" w:rsidR="00F764A6" w:rsidRPr="00E67146" w:rsidRDefault="00F764A6" w:rsidP="00E67146">
            <w:pPr>
              <w:rPr>
                <w:sz w:val="22"/>
                <w:szCs w:val="22"/>
                <w:lang w:val="en-US" w:eastAsia="tr-TR"/>
              </w:rPr>
            </w:pPr>
          </w:p>
        </w:tc>
        <w:tc>
          <w:tcPr>
            <w:tcW w:w="1368" w:type="dxa"/>
            <w:tcBorders>
              <w:top w:val="nil"/>
              <w:left w:val="nil"/>
              <w:bottom w:val="single" w:sz="4" w:space="0" w:color="auto"/>
              <w:right w:val="nil"/>
            </w:tcBorders>
            <w:shd w:val="clear" w:color="auto" w:fill="auto"/>
            <w:noWrap/>
            <w:vAlign w:val="bottom"/>
          </w:tcPr>
          <w:p w14:paraId="6BB1591A" w14:textId="77777777" w:rsidR="00F764A6" w:rsidRPr="00E67146" w:rsidRDefault="00F764A6" w:rsidP="00E67146">
            <w:pPr>
              <w:rPr>
                <w:sz w:val="22"/>
                <w:szCs w:val="22"/>
                <w:lang w:val="en-US" w:eastAsia="tr-TR"/>
              </w:rPr>
            </w:pPr>
            <w:r w:rsidRPr="00E67146">
              <w:rPr>
                <w:sz w:val="22"/>
                <w:szCs w:val="22"/>
                <w:lang w:val="en-US" w:eastAsia="tr-TR"/>
              </w:rPr>
              <w:t>0,798</w:t>
            </w:r>
          </w:p>
        </w:tc>
      </w:tr>
    </w:tbl>
    <w:p w14:paraId="5609E653" w14:textId="77777777" w:rsidR="00F764A6" w:rsidRPr="00E67146" w:rsidRDefault="00F764A6" w:rsidP="00E67146">
      <w:pPr>
        <w:rPr>
          <w:rFonts w:eastAsia="Calibri"/>
          <w:sz w:val="22"/>
          <w:szCs w:val="22"/>
          <w:lang w:val="en-US" w:eastAsia="en-US"/>
        </w:rPr>
      </w:pPr>
      <w:r w:rsidRPr="00E67146">
        <w:rPr>
          <w:rFonts w:eastAsia="Calibri"/>
          <w:sz w:val="22"/>
          <w:szCs w:val="22"/>
          <w:lang w:val="en-US" w:eastAsia="en-US"/>
        </w:rPr>
        <w:t>Htc: Hematocrit, MPV: Mean platelet volume,</w:t>
      </w:r>
      <w:r w:rsidRPr="00E67146">
        <w:rPr>
          <w:sz w:val="22"/>
          <w:szCs w:val="22"/>
          <w:lang w:val="en-US" w:eastAsia="tr-TR"/>
        </w:rPr>
        <w:t xml:space="preserve"> PDW: Platelet distribution width,</w:t>
      </w:r>
      <w:r w:rsidRPr="00E67146">
        <w:rPr>
          <w:rFonts w:eastAsia="Calibri"/>
          <w:sz w:val="22"/>
          <w:szCs w:val="22"/>
          <w:lang w:val="en-US" w:eastAsia="en-US"/>
        </w:rPr>
        <w:t xml:space="preserve"> </w:t>
      </w:r>
      <w:r w:rsidRPr="00E67146">
        <w:rPr>
          <w:sz w:val="22"/>
          <w:szCs w:val="22"/>
          <w:lang w:val="en-US" w:eastAsia="tr-TR"/>
        </w:rPr>
        <w:t>RDW: Red blood cell distribution width, BUN: Blood urea nitrogen,</w:t>
      </w:r>
      <w:r w:rsidRPr="00E67146">
        <w:rPr>
          <w:rFonts w:eastAsia="Calibri"/>
          <w:sz w:val="22"/>
          <w:szCs w:val="22"/>
          <w:lang w:val="en-US" w:eastAsia="en-US"/>
        </w:rPr>
        <w:t xml:space="preserve"> </w:t>
      </w:r>
      <w:r w:rsidRPr="00E67146">
        <w:rPr>
          <w:sz w:val="22"/>
          <w:szCs w:val="22"/>
          <w:lang w:val="en-US" w:eastAsia="tr-TR"/>
        </w:rPr>
        <w:t>PLR: Platelet to lymphocyte ratio,</w:t>
      </w:r>
      <w:r w:rsidRPr="00E67146">
        <w:rPr>
          <w:rFonts w:eastAsia="Calibri"/>
          <w:sz w:val="22"/>
          <w:szCs w:val="22"/>
          <w:lang w:val="en-US" w:eastAsia="en-US"/>
        </w:rPr>
        <w:t xml:space="preserve"> </w:t>
      </w:r>
      <w:r w:rsidRPr="00E67146">
        <w:rPr>
          <w:sz w:val="22"/>
          <w:szCs w:val="22"/>
          <w:lang w:val="en-US" w:eastAsia="tr-TR"/>
        </w:rPr>
        <w:t>NLR:</w:t>
      </w:r>
      <w:r w:rsidRPr="00E67146">
        <w:rPr>
          <w:rFonts w:eastAsia="Calibri"/>
          <w:sz w:val="22"/>
          <w:szCs w:val="22"/>
          <w:lang w:val="en-US" w:eastAsia="en-US"/>
        </w:rPr>
        <w:t xml:space="preserve"> </w:t>
      </w:r>
      <w:r w:rsidRPr="00E67146">
        <w:rPr>
          <w:sz w:val="22"/>
          <w:szCs w:val="22"/>
          <w:lang w:val="en-US" w:eastAsia="tr-TR"/>
        </w:rPr>
        <w:t xml:space="preserve">Neutrophil to lymphocyte ratio.  </w:t>
      </w:r>
      <w:r w:rsidRPr="00E67146">
        <w:rPr>
          <w:rFonts w:eastAsia="Calibri"/>
          <w:sz w:val="22"/>
          <w:szCs w:val="22"/>
          <w:lang w:val="en-US" w:eastAsia="en-US"/>
        </w:rPr>
        <w:t xml:space="preserve"> *Mann Whitney-U test</w:t>
      </w:r>
    </w:p>
    <w:p w14:paraId="04C7ABF7" w14:textId="77777777" w:rsidR="007B158D" w:rsidRDefault="007B158D" w:rsidP="00E67146">
      <w:pPr>
        <w:rPr>
          <w:rFonts w:eastAsia="Calibri"/>
          <w:b/>
          <w:sz w:val="22"/>
          <w:szCs w:val="22"/>
          <w:lang w:val="en-US" w:eastAsia="en-US"/>
        </w:rPr>
      </w:pPr>
    </w:p>
    <w:p w14:paraId="1AF0F0D6" w14:textId="77777777" w:rsidR="007B158D" w:rsidRDefault="007B158D" w:rsidP="00E67146">
      <w:pPr>
        <w:rPr>
          <w:rFonts w:eastAsia="Calibri"/>
          <w:b/>
          <w:sz w:val="22"/>
          <w:szCs w:val="22"/>
          <w:lang w:val="en-US" w:eastAsia="en-US"/>
        </w:rPr>
      </w:pPr>
    </w:p>
    <w:p w14:paraId="391E2991" w14:textId="77777777" w:rsidR="007B158D" w:rsidRDefault="007B158D" w:rsidP="00E67146">
      <w:pPr>
        <w:rPr>
          <w:rFonts w:eastAsia="Calibri"/>
          <w:b/>
          <w:sz w:val="22"/>
          <w:szCs w:val="22"/>
          <w:lang w:val="en-US" w:eastAsia="en-US"/>
        </w:rPr>
      </w:pPr>
    </w:p>
    <w:p w14:paraId="4B8D5AC8" w14:textId="77777777" w:rsidR="007B158D" w:rsidRDefault="007B158D" w:rsidP="00E67146">
      <w:pPr>
        <w:rPr>
          <w:rFonts w:eastAsia="Calibri"/>
          <w:b/>
          <w:sz w:val="22"/>
          <w:szCs w:val="22"/>
          <w:lang w:val="en-US" w:eastAsia="en-US"/>
        </w:rPr>
      </w:pPr>
    </w:p>
    <w:p w14:paraId="28C6481F" w14:textId="77777777" w:rsidR="007B158D" w:rsidRDefault="007B158D" w:rsidP="00E67146">
      <w:pPr>
        <w:rPr>
          <w:rFonts w:eastAsia="Calibri"/>
          <w:b/>
          <w:sz w:val="22"/>
          <w:szCs w:val="22"/>
          <w:lang w:val="en-US" w:eastAsia="en-US"/>
        </w:rPr>
      </w:pPr>
    </w:p>
    <w:p w14:paraId="23DDD301" w14:textId="77777777" w:rsidR="007B158D" w:rsidRDefault="007B158D" w:rsidP="00E67146">
      <w:pPr>
        <w:rPr>
          <w:rFonts w:eastAsia="Calibri"/>
          <w:b/>
          <w:sz w:val="22"/>
          <w:szCs w:val="22"/>
          <w:lang w:val="en-US" w:eastAsia="en-US"/>
        </w:rPr>
      </w:pPr>
    </w:p>
    <w:p w14:paraId="35696277" w14:textId="77777777" w:rsidR="007B158D" w:rsidRDefault="007B158D" w:rsidP="00E67146">
      <w:pPr>
        <w:rPr>
          <w:rFonts w:eastAsia="Calibri"/>
          <w:b/>
          <w:sz w:val="22"/>
          <w:szCs w:val="22"/>
          <w:lang w:val="en-US" w:eastAsia="en-US"/>
        </w:rPr>
      </w:pPr>
    </w:p>
    <w:p w14:paraId="5A6FF570" w14:textId="77777777" w:rsidR="007B158D" w:rsidRDefault="007B158D" w:rsidP="00E67146">
      <w:pPr>
        <w:rPr>
          <w:rFonts w:eastAsia="Calibri"/>
          <w:b/>
          <w:sz w:val="22"/>
          <w:szCs w:val="22"/>
          <w:lang w:val="en-US" w:eastAsia="en-US"/>
        </w:rPr>
      </w:pPr>
    </w:p>
    <w:p w14:paraId="646F9F93" w14:textId="26F32F72" w:rsidR="00F764A6" w:rsidRPr="00E67146" w:rsidRDefault="00F764A6" w:rsidP="00E67146">
      <w:pPr>
        <w:rPr>
          <w:rFonts w:eastAsia="Calibri"/>
          <w:sz w:val="22"/>
          <w:szCs w:val="22"/>
          <w:lang w:val="en-US" w:eastAsia="en-US"/>
        </w:rPr>
      </w:pPr>
      <w:r w:rsidRPr="00E67146">
        <w:rPr>
          <w:rFonts w:eastAsia="Calibri"/>
          <w:b/>
          <w:sz w:val="22"/>
          <w:szCs w:val="22"/>
          <w:lang w:val="en-US" w:eastAsia="en-US"/>
        </w:rPr>
        <w:t>Table 3.</w:t>
      </w:r>
      <w:r w:rsidRPr="00E67146">
        <w:rPr>
          <w:rFonts w:eastAsia="Calibri"/>
          <w:sz w:val="22"/>
          <w:szCs w:val="22"/>
          <w:lang w:val="en-US" w:eastAsia="en-US"/>
        </w:rPr>
        <w:t xml:space="preserve"> Operative characteristics of patients</w:t>
      </w:r>
    </w:p>
    <w:tbl>
      <w:tblPr>
        <w:tblW w:w="8267" w:type="dxa"/>
        <w:tblCellMar>
          <w:left w:w="70" w:type="dxa"/>
          <w:right w:w="70" w:type="dxa"/>
        </w:tblCellMar>
        <w:tblLook w:val="04A0" w:firstRow="1" w:lastRow="0" w:firstColumn="1" w:lastColumn="0" w:noHBand="0" w:noVBand="1"/>
      </w:tblPr>
      <w:tblGrid>
        <w:gridCol w:w="2764"/>
        <w:gridCol w:w="753"/>
        <w:gridCol w:w="1213"/>
        <w:gridCol w:w="831"/>
        <w:gridCol w:w="1213"/>
        <w:gridCol w:w="1493"/>
      </w:tblGrid>
      <w:tr w:rsidR="00CD4293" w:rsidRPr="00E67146" w14:paraId="6E29EE1E" w14:textId="77777777" w:rsidTr="00E04861">
        <w:trPr>
          <w:trHeight w:val="300"/>
        </w:trPr>
        <w:tc>
          <w:tcPr>
            <w:tcW w:w="2764" w:type="dxa"/>
            <w:tcBorders>
              <w:top w:val="single" w:sz="4" w:space="0" w:color="auto"/>
              <w:left w:val="nil"/>
              <w:bottom w:val="single" w:sz="4" w:space="0" w:color="auto"/>
              <w:right w:val="nil"/>
            </w:tcBorders>
            <w:shd w:val="clear" w:color="auto" w:fill="auto"/>
            <w:noWrap/>
            <w:vAlign w:val="bottom"/>
            <w:hideMark/>
          </w:tcPr>
          <w:p w14:paraId="2949ACEF" w14:textId="77777777" w:rsidR="00F764A6" w:rsidRPr="00E67146" w:rsidRDefault="00F764A6" w:rsidP="00E67146">
            <w:pPr>
              <w:rPr>
                <w:sz w:val="22"/>
                <w:szCs w:val="22"/>
                <w:lang w:val="en-US" w:eastAsia="tr-TR"/>
              </w:rPr>
            </w:pPr>
            <w:r w:rsidRPr="00E67146">
              <w:rPr>
                <w:sz w:val="22"/>
                <w:szCs w:val="22"/>
                <w:lang w:val="en-US" w:eastAsia="tr-TR"/>
              </w:rPr>
              <w:t> </w:t>
            </w:r>
          </w:p>
        </w:tc>
        <w:tc>
          <w:tcPr>
            <w:tcW w:w="1966" w:type="dxa"/>
            <w:gridSpan w:val="2"/>
            <w:tcBorders>
              <w:top w:val="single" w:sz="4" w:space="0" w:color="auto"/>
              <w:left w:val="nil"/>
              <w:bottom w:val="single" w:sz="4" w:space="0" w:color="auto"/>
              <w:right w:val="nil"/>
            </w:tcBorders>
            <w:shd w:val="clear" w:color="auto" w:fill="auto"/>
            <w:noWrap/>
            <w:vAlign w:val="bottom"/>
            <w:hideMark/>
          </w:tcPr>
          <w:p w14:paraId="0A7C2132" w14:textId="77777777" w:rsidR="00F764A6" w:rsidRPr="00E67146" w:rsidRDefault="00F764A6" w:rsidP="00E67146">
            <w:pPr>
              <w:rPr>
                <w:sz w:val="22"/>
                <w:szCs w:val="22"/>
                <w:lang w:val="en-US" w:eastAsia="tr-TR"/>
              </w:rPr>
            </w:pPr>
            <w:r w:rsidRPr="00E67146">
              <w:rPr>
                <w:sz w:val="22"/>
                <w:szCs w:val="22"/>
                <w:lang w:val="en-US" w:eastAsia="tr-TR"/>
              </w:rPr>
              <w:t>Discharge</w:t>
            </w:r>
          </w:p>
        </w:tc>
        <w:tc>
          <w:tcPr>
            <w:tcW w:w="2044" w:type="dxa"/>
            <w:gridSpan w:val="2"/>
            <w:tcBorders>
              <w:top w:val="single" w:sz="4" w:space="0" w:color="auto"/>
              <w:left w:val="nil"/>
              <w:bottom w:val="single" w:sz="4" w:space="0" w:color="auto"/>
              <w:right w:val="nil"/>
            </w:tcBorders>
            <w:shd w:val="clear" w:color="auto" w:fill="auto"/>
            <w:noWrap/>
            <w:vAlign w:val="bottom"/>
            <w:hideMark/>
          </w:tcPr>
          <w:p w14:paraId="571242DF" w14:textId="77777777" w:rsidR="00F764A6" w:rsidRPr="00E67146" w:rsidRDefault="00F764A6" w:rsidP="00E67146">
            <w:pPr>
              <w:rPr>
                <w:sz w:val="22"/>
                <w:szCs w:val="22"/>
                <w:lang w:val="en-US" w:eastAsia="tr-TR"/>
              </w:rPr>
            </w:pPr>
            <w:r w:rsidRPr="00E67146">
              <w:rPr>
                <w:sz w:val="22"/>
                <w:szCs w:val="22"/>
                <w:lang w:val="en-US" w:eastAsia="tr-TR"/>
              </w:rPr>
              <w:t>Exitus</w:t>
            </w:r>
          </w:p>
        </w:tc>
        <w:tc>
          <w:tcPr>
            <w:tcW w:w="1493" w:type="dxa"/>
            <w:tcBorders>
              <w:top w:val="single" w:sz="4" w:space="0" w:color="auto"/>
              <w:left w:val="nil"/>
              <w:bottom w:val="single" w:sz="4" w:space="0" w:color="auto"/>
              <w:right w:val="nil"/>
            </w:tcBorders>
            <w:shd w:val="clear" w:color="auto" w:fill="auto"/>
            <w:noWrap/>
            <w:vAlign w:val="bottom"/>
            <w:hideMark/>
          </w:tcPr>
          <w:p w14:paraId="729C3854" w14:textId="77777777" w:rsidR="00F764A6" w:rsidRPr="00E67146" w:rsidRDefault="00F764A6" w:rsidP="00E67146">
            <w:pPr>
              <w:rPr>
                <w:sz w:val="22"/>
                <w:szCs w:val="22"/>
                <w:lang w:val="en-US" w:eastAsia="tr-TR"/>
              </w:rPr>
            </w:pPr>
            <w:r w:rsidRPr="00E67146">
              <w:rPr>
                <w:sz w:val="22"/>
                <w:szCs w:val="22"/>
                <w:lang w:val="en-US" w:eastAsia="tr-TR"/>
              </w:rPr>
              <w:t xml:space="preserve">          p value*</w:t>
            </w:r>
          </w:p>
        </w:tc>
      </w:tr>
      <w:tr w:rsidR="00CD4293" w:rsidRPr="00E67146" w14:paraId="014F9012" w14:textId="77777777" w:rsidTr="00E04861">
        <w:trPr>
          <w:trHeight w:val="246"/>
        </w:trPr>
        <w:tc>
          <w:tcPr>
            <w:tcW w:w="2764" w:type="dxa"/>
            <w:tcBorders>
              <w:top w:val="nil"/>
              <w:left w:val="nil"/>
              <w:bottom w:val="nil"/>
              <w:right w:val="nil"/>
            </w:tcBorders>
            <w:shd w:val="clear" w:color="auto" w:fill="auto"/>
            <w:noWrap/>
            <w:vAlign w:val="bottom"/>
            <w:hideMark/>
          </w:tcPr>
          <w:p w14:paraId="59A0DBA0" w14:textId="77777777" w:rsidR="00F764A6" w:rsidRPr="00E67146" w:rsidRDefault="00F764A6" w:rsidP="00E67146">
            <w:pPr>
              <w:rPr>
                <w:sz w:val="22"/>
                <w:szCs w:val="22"/>
                <w:lang w:val="en-US" w:eastAsia="tr-TR"/>
              </w:rPr>
            </w:pPr>
          </w:p>
        </w:tc>
        <w:tc>
          <w:tcPr>
            <w:tcW w:w="753" w:type="dxa"/>
            <w:tcBorders>
              <w:top w:val="nil"/>
              <w:left w:val="nil"/>
              <w:bottom w:val="nil"/>
              <w:right w:val="nil"/>
            </w:tcBorders>
            <w:shd w:val="clear" w:color="auto" w:fill="auto"/>
            <w:noWrap/>
            <w:vAlign w:val="bottom"/>
            <w:hideMark/>
          </w:tcPr>
          <w:p w14:paraId="0B16642B" w14:textId="77777777" w:rsidR="00F764A6" w:rsidRPr="00E67146" w:rsidRDefault="00F764A6" w:rsidP="00E67146">
            <w:pPr>
              <w:rPr>
                <w:sz w:val="22"/>
                <w:szCs w:val="22"/>
                <w:lang w:val="en-US" w:eastAsia="tr-TR"/>
              </w:rPr>
            </w:pPr>
          </w:p>
        </w:tc>
        <w:tc>
          <w:tcPr>
            <w:tcW w:w="1213" w:type="dxa"/>
            <w:tcBorders>
              <w:top w:val="nil"/>
              <w:left w:val="nil"/>
              <w:bottom w:val="nil"/>
              <w:right w:val="nil"/>
            </w:tcBorders>
            <w:shd w:val="clear" w:color="auto" w:fill="auto"/>
            <w:noWrap/>
            <w:vAlign w:val="bottom"/>
            <w:hideMark/>
          </w:tcPr>
          <w:p w14:paraId="750D6D55" w14:textId="77777777" w:rsidR="00F764A6" w:rsidRPr="00E67146" w:rsidRDefault="00F764A6" w:rsidP="00E67146">
            <w:pPr>
              <w:rPr>
                <w:sz w:val="22"/>
                <w:szCs w:val="22"/>
                <w:lang w:val="en-US" w:eastAsia="tr-TR"/>
              </w:rPr>
            </w:pPr>
          </w:p>
        </w:tc>
        <w:tc>
          <w:tcPr>
            <w:tcW w:w="831" w:type="dxa"/>
            <w:tcBorders>
              <w:top w:val="nil"/>
              <w:left w:val="nil"/>
              <w:bottom w:val="nil"/>
              <w:right w:val="nil"/>
            </w:tcBorders>
            <w:shd w:val="clear" w:color="auto" w:fill="auto"/>
            <w:noWrap/>
            <w:vAlign w:val="bottom"/>
            <w:hideMark/>
          </w:tcPr>
          <w:p w14:paraId="1F283A0F" w14:textId="77777777" w:rsidR="00F764A6" w:rsidRPr="00E67146" w:rsidRDefault="00F764A6" w:rsidP="00E67146">
            <w:pPr>
              <w:rPr>
                <w:sz w:val="22"/>
                <w:szCs w:val="22"/>
                <w:lang w:val="en-US" w:eastAsia="tr-TR"/>
              </w:rPr>
            </w:pPr>
          </w:p>
        </w:tc>
        <w:tc>
          <w:tcPr>
            <w:tcW w:w="1213" w:type="dxa"/>
            <w:tcBorders>
              <w:top w:val="nil"/>
              <w:left w:val="nil"/>
              <w:bottom w:val="nil"/>
              <w:right w:val="nil"/>
            </w:tcBorders>
            <w:shd w:val="clear" w:color="auto" w:fill="auto"/>
            <w:noWrap/>
            <w:vAlign w:val="bottom"/>
            <w:hideMark/>
          </w:tcPr>
          <w:p w14:paraId="654825BE" w14:textId="77777777" w:rsidR="00F764A6" w:rsidRPr="00E67146" w:rsidRDefault="00F764A6" w:rsidP="00E67146">
            <w:pPr>
              <w:rPr>
                <w:sz w:val="22"/>
                <w:szCs w:val="22"/>
                <w:lang w:val="en-US" w:eastAsia="tr-TR"/>
              </w:rPr>
            </w:pPr>
          </w:p>
        </w:tc>
        <w:tc>
          <w:tcPr>
            <w:tcW w:w="1493" w:type="dxa"/>
            <w:tcBorders>
              <w:top w:val="nil"/>
              <w:left w:val="nil"/>
              <w:bottom w:val="nil"/>
              <w:right w:val="nil"/>
            </w:tcBorders>
            <w:shd w:val="clear" w:color="auto" w:fill="auto"/>
            <w:noWrap/>
            <w:vAlign w:val="bottom"/>
          </w:tcPr>
          <w:p w14:paraId="1BDCD121" w14:textId="77777777" w:rsidR="00F764A6" w:rsidRPr="00E67146" w:rsidRDefault="00F764A6" w:rsidP="00E67146">
            <w:pPr>
              <w:rPr>
                <w:sz w:val="22"/>
                <w:szCs w:val="22"/>
                <w:lang w:val="en-US" w:eastAsia="tr-TR"/>
              </w:rPr>
            </w:pPr>
          </w:p>
        </w:tc>
      </w:tr>
      <w:tr w:rsidR="00CD4293" w:rsidRPr="00E67146" w14:paraId="65A15449" w14:textId="77777777" w:rsidTr="00E04861">
        <w:trPr>
          <w:trHeight w:val="246"/>
        </w:trPr>
        <w:tc>
          <w:tcPr>
            <w:tcW w:w="2764" w:type="dxa"/>
            <w:tcBorders>
              <w:top w:val="nil"/>
              <w:left w:val="nil"/>
              <w:bottom w:val="nil"/>
              <w:right w:val="nil"/>
            </w:tcBorders>
            <w:shd w:val="clear" w:color="auto" w:fill="auto"/>
            <w:noWrap/>
            <w:vAlign w:val="bottom"/>
          </w:tcPr>
          <w:p w14:paraId="6456B50A" w14:textId="77777777" w:rsidR="00F764A6" w:rsidRPr="00E67146" w:rsidRDefault="00F764A6" w:rsidP="00E67146">
            <w:pPr>
              <w:rPr>
                <w:sz w:val="22"/>
                <w:szCs w:val="22"/>
                <w:lang w:val="en-US" w:eastAsia="tr-TR"/>
              </w:rPr>
            </w:pPr>
            <w:r w:rsidRPr="00E67146">
              <w:rPr>
                <w:sz w:val="22"/>
                <w:szCs w:val="22"/>
                <w:lang w:val="en-US" w:eastAsia="tr-TR"/>
              </w:rPr>
              <w:t>X-Clamp (m, Mean ± SD)</w:t>
            </w:r>
          </w:p>
        </w:tc>
        <w:tc>
          <w:tcPr>
            <w:tcW w:w="753" w:type="dxa"/>
            <w:tcBorders>
              <w:top w:val="nil"/>
              <w:left w:val="nil"/>
              <w:bottom w:val="nil"/>
              <w:right w:val="nil"/>
            </w:tcBorders>
            <w:shd w:val="clear" w:color="auto" w:fill="auto"/>
            <w:noWrap/>
            <w:vAlign w:val="bottom"/>
          </w:tcPr>
          <w:p w14:paraId="6D6C2ACE" w14:textId="77777777" w:rsidR="00F764A6" w:rsidRPr="00E67146" w:rsidRDefault="00F764A6" w:rsidP="00E67146">
            <w:pPr>
              <w:rPr>
                <w:sz w:val="22"/>
                <w:szCs w:val="22"/>
                <w:lang w:val="en-US" w:eastAsia="tr-TR"/>
              </w:rPr>
            </w:pPr>
            <w:r w:rsidRPr="00E67146">
              <w:rPr>
                <w:sz w:val="22"/>
                <w:szCs w:val="22"/>
                <w:lang w:val="en-US" w:eastAsia="tr-TR"/>
              </w:rPr>
              <w:t>65,53</w:t>
            </w:r>
          </w:p>
        </w:tc>
        <w:tc>
          <w:tcPr>
            <w:tcW w:w="1213" w:type="dxa"/>
            <w:tcBorders>
              <w:top w:val="nil"/>
              <w:left w:val="nil"/>
              <w:bottom w:val="nil"/>
              <w:right w:val="nil"/>
            </w:tcBorders>
            <w:shd w:val="clear" w:color="auto" w:fill="auto"/>
            <w:noWrap/>
            <w:vAlign w:val="bottom"/>
          </w:tcPr>
          <w:p w14:paraId="69B314E6" w14:textId="77777777" w:rsidR="00F764A6" w:rsidRPr="00E67146" w:rsidRDefault="00F764A6" w:rsidP="00E67146">
            <w:pPr>
              <w:rPr>
                <w:sz w:val="22"/>
                <w:szCs w:val="22"/>
                <w:lang w:val="en-US" w:eastAsia="tr-TR"/>
              </w:rPr>
            </w:pPr>
            <w:r w:rsidRPr="00E67146">
              <w:rPr>
                <w:sz w:val="22"/>
                <w:szCs w:val="22"/>
                <w:lang w:val="en-US" w:eastAsia="tr-TR"/>
              </w:rPr>
              <w:t>± 17,57</w:t>
            </w:r>
          </w:p>
        </w:tc>
        <w:tc>
          <w:tcPr>
            <w:tcW w:w="831" w:type="dxa"/>
            <w:tcBorders>
              <w:top w:val="nil"/>
              <w:left w:val="nil"/>
              <w:bottom w:val="nil"/>
              <w:right w:val="nil"/>
            </w:tcBorders>
            <w:shd w:val="clear" w:color="auto" w:fill="auto"/>
            <w:noWrap/>
            <w:vAlign w:val="bottom"/>
          </w:tcPr>
          <w:p w14:paraId="1635A355" w14:textId="77777777" w:rsidR="00F764A6" w:rsidRPr="00E67146" w:rsidRDefault="00F764A6" w:rsidP="00E67146">
            <w:pPr>
              <w:rPr>
                <w:sz w:val="22"/>
                <w:szCs w:val="22"/>
                <w:lang w:val="en-US" w:eastAsia="tr-TR"/>
              </w:rPr>
            </w:pPr>
            <w:r w:rsidRPr="00E67146">
              <w:rPr>
                <w:sz w:val="22"/>
                <w:szCs w:val="22"/>
                <w:lang w:val="en-US" w:eastAsia="tr-TR"/>
              </w:rPr>
              <w:t>84,68</w:t>
            </w:r>
          </w:p>
        </w:tc>
        <w:tc>
          <w:tcPr>
            <w:tcW w:w="1213" w:type="dxa"/>
            <w:tcBorders>
              <w:top w:val="nil"/>
              <w:left w:val="nil"/>
              <w:bottom w:val="nil"/>
              <w:right w:val="nil"/>
            </w:tcBorders>
            <w:shd w:val="clear" w:color="auto" w:fill="auto"/>
            <w:noWrap/>
            <w:vAlign w:val="bottom"/>
          </w:tcPr>
          <w:p w14:paraId="22C7BD50" w14:textId="77777777" w:rsidR="00F764A6" w:rsidRPr="00E67146" w:rsidRDefault="00F764A6" w:rsidP="00E67146">
            <w:pPr>
              <w:rPr>
                <w:sz w:val="22"/>
                <w:szCs w:val="22"/>
                <w:lang w:val="en-US" w:eastAsia="tr-TR"/>
              </w:rPr>
            </w:pPr>
            <w:r w:rsidRPr="00E67146">
              <w:rPr>
                <w:sz w:val="22"/>
                <w:szCs w:val="22"/>
                <w:lang w:val="en-US" w:eastAsia="tr-TR"/>
              </w:rPr>
              <w:t>± 25,02</w:t>
            </w:r>
          </w:p>
        </w:tc>
        <w:tc>
          <w:tcPr>
            <w:tcW w:w="1493" w:type="dxa"/>
            <w:tcBorders>
              <w:top w:val="nil"/>
              <w:left w:val="nil"/>
              <w:bottom w:val="nil"/>
              <w:right w:val="nil"/>
            </w:tcBorders>
            <w:shd w:val="clear" w:color="auto" w:fill="auto"/>
            <w:noWrap/>
            <w:vAlign w:val="bottom"/>
          </w:tcPr>
          <w:p w14:paraId="63B659D6" w14:textId="77777777" w:rsidR="00F764A6" w:rsidRPr="00E67146" w:rsidRDefault="00F764A6" w:rsidP="00E67146">
            <w:pPr>
              <w:rPr>
                <w:b/>
                <w:sz w:val="22"/>
                <w:szCs w:val="22"/>
                <w:lang w:val="en-US" w:eastAsia="tr-TR"/>
              </w:rPr>
            </w:pPr>
            <w:r w:rsidRPr="00E67146">
              <w:rPr>
                <w:b/>
                <w:sz w:val="22"/>
                <w:szCs w:val="22"/>
                <w:lang w:val="en-US" w:eastAsia="tr-TR"/>
              </w:rPr>
              <w:t>0,00</w:t>
            </w:r>
          </w:p>
        </w:tc>
      </w:tr>
      <w:tr w:rsidR="00CD4293" w:rsidRPr="00E67146" w14:paraId="37B31B68" w14:textId="77777777" w:rsidTr="00E04861">
        <w:trPr>
          <w:trHeight w:val="246"/>
        </w:trPr>
        <w:tc>
          <w:tcPr>
            <w:tcW w:w="2764" w:type="dxa"/>
            <w:tcBorders>
              <w:top w:val="nil"/>
              <w:left w:val="nil"/>
              <w:right w:val="nil"/>
            </w:tcBorders>
            <w:shd w:val="clear" w:color="auto" w:fill="auto"/>
            <w:noWrap/>
            <w:vAlign w:val="bottom"/>
          </w:tcPr>
          <w:p w14:paraId="792B63C9" w14:textId="77777777" w:rsidR="00F764A6" w:rsidRPr="00E67146" w:rsidRDefault="00F764A6" w:rsidP="00E67146">
            <w:pPr>
              <w:rPr>
                <w:sz w:val="22"/>
                <w:szCs w:val="22"/>
                <w:lang w:val="en-US" w:eastAsia="tr-TR"/>
              </w:rPr>
            </w:pPr>
            <w:r w:rsidRPr="00E67146">
              <w:rPr>
                <w:sz w:val="22"/>
                <w:szCs w:val="22"/>
                <w:lang w:val="en-US" w:eastAsia="tr-TR"/>
              </w:rPr>
              <w:lastRenderedPageBreak/>
              <w:t>TCA (m, Mean ± SD)</w:t>
            </w:r>
          </w:p>
        </w:tc>
        <w:tc>
          <w:tcPr>
            <w:tcW w:w="753" w:type="dxa"/>
            <w:tcBorders>
              <w:top w:val="nil"/>
              <w:left w:val="nil"/>
              <w:right w:val="nil"/>
            </w:tcBorders>
            <w:shd w:val="clear" w:color="auto" w:fill="auto"/>
            <w:noWrap/>
            <w:vAlign w:val="bottom"/>
          </w:tcPr>
          <w:p w14:paraId="10A00C1C" w14:textId="77777777" w:rsidR="00F764A6" w:rsidRPr="00E67146" w:rsidRDefault="00F764A6" w:rsidP="00E67146">
            <w:pPr>
              <w:rPr>
                <w:sz w:val="22"/>
                <w:szCs w:val="22"/>
                <w:lang w:val="en-US" w:eastAsia="tr-TR"/>
              </w:rPr>
            </w:pPr>
            <w:r w:rsidRPr="00E67146">
              <w:rPr>
                <w:sz w:val="22"/>
                <w:szCs w:val="22"/>
                <w:lang w:val="en-US" w:eastAsia="tr-TR"/>
              </w:rPr>
              <w:t>39,76</w:t>
            </w:r>
          </w:p>
        </w:tc>
        <w:tc>
          <w:tcPr>
            <w:tcW w:w="1213" w:type="dxa"/>
            <w:tcBorders>
              <w:top w:val="nil"/>
              <w:left w:val="nil"/>
              <w:right w:val="nil"/>
            </w:tcBorders>
            <w:shd w:val="clear" w:color="auto" w:fill="auto"/>
            <w:noWrap/>
            <w:vAlign w:val="bottom"/>
          </w:tcPr>
          <w:p w14:paraId="66FD4BD6" w14:textId="77777777" w:rsidR="00F764A6" w:rsidRPr="00E67146" w:rsidRDefault="00F764A6" w:rsidP="00E67146">
            <w:pPr>
              <w:rPr>
                <w:sz w:val="22"/>
                <w:szCs w:val="22"/>
                <w:lang w:val="en-US" w:eastAsia="tr-TR"/>
              </w:rPr>
            </w:pPr>
            <w:r w:rsidRPr="00E67146">
              <w:rPr>
                <w:sz w:val="22"/>
                <w:szCs w:val="22"/>
                <w:lang w:val="en-US" w:eastAsia="tr-TR"/>
              </w:rPr>
              <w:t>± 9,78</w:t>
            </w:r>
          </w:p>
        </w:tc>
        <w:tc>
          <w:tcPr>
            <w:tcW w:w="831" w:type="dxa"/>
            <w:tcBorders>
              <w:top w:val="nil"/>
              <w:left w:val="nil"/>
              <w:right w:val="nil"/>
            </w:tcBorders>
            <w:shd w:val="clear" w:color="auto" w:fill="auto"/>
            <w:noWrap/>
            <w:vAlign w:val="bottom"/>
          </w:tcPr>
          <w:p w14:paraId="1E533D64" w14:textId="77777777" w:rsidR="00F764A6" w:rsidRPr="00E67146" w:rsidRDefault="00F764A6" w:rsidP="00E67146">
            <w:pPr>
              <w:rPr>
                <w:sz w:val="22"/>
                <w:szCs w:val="22"/>
                <w:lang w:val="en-US" w:eastAsia="tr-TR"/>
              </w:rPr>
            </w:pPr>
            <w:r w:rsidRPr="00E67146">
              <w:rPr>
                <w:sz w:val="22"/>
                <w:szCs w:val="22"/>
                <w:lang w:val="en-US" w:eastAsia="tr-TR"/>
              </w:rPr>
              <w:t>50,63</w:t>
            </w:r>
          </w:p>
        </w:tc>
        <w:tc>
          <w:tcPr>
            <w:tcW w:w="1213" w:type="dxa"/>
            <w:tcBorders>
              <w:top w:val="nil"/>
              <w:left w:val="nil"/>
              <w:right w:val="nil"/>
            </w:tcBorders>
            <w:shd w:val="clear" w:color="auto" w:fill="auto"/>
            <w:noWrap/>
            <w:vAlign w:val="bottom"/>
          </w:tcPr>
          <w:p w14:paraId="7A66E756" w14:textId="77777777" w:rsidR="00F764A6" w:rsidRPr="00E67146" w:rsidRDefault="00F764A6" w:rsidP="00E67146">
            <w:pPr>
              <w:rPr>
                <w:sz w:val="22"/>
                <w:szCs w:val="22"/>
                <w:lang w:val="en-US" w:eastAsia="tr-TR"/>
              </w:rPr>
            </w:pPr>
            <w:r w:rsidRPr="00E67146">
              <w:rPr>
                <w:sz w:val="22"/>
                <w:szCs w:val="22"/>
                <w:lang w:val="en-US" w:eastAsia="tr-TR"/>
              </w:rPr>
              <w:t>± 10,34</w:t>
            </w:r>
          </w:p>
        </w:tc>
        <w:tc>
          <w:tcPr>
            <w:tcW w:w="1493" w:type="dxa"/>
            <w:tcBorders>
              <w:top w:val="nil"/>
              <w:left w:val="nil"/>
              <w:right w:val="nil"/>
            </w:tcBorders>
            <w:shd w:val="clear" w:color="auto" w:fill="auto"/>
            <w:noWrap/>
            <w:vAlign w:val="bottom"/>
          </w:tcPr>
          <w:p w14:paraId="58C5CF6B" w14:textId="77777777" w:rsidR="00F764A6" w:rsidRPr="00E67146" w:rsidRDefault="00F764A6" w:rsidP="00E67146">
            <w:pPr>
              <w:rPr>
                <w:b/>
                <w:sz w:val="22"/>
                <w:szCs w:val="22"/>
                <w:lang w:val="en-US" w:eastAsia="tr-TR"/>
              </w:rPr>
            </w:pPr>
            <w:r w:rsidRPr="00E67146">
              <w:rPr>
                <w:b/>
                <w:sz w:val="22"/>
                <w:szCs w:val="22"/>
                <w:lang w:val="en-US" w:eastAsia="tr-TR"/>
              </w:rPr>
              <w:t>0,00</w:t>
            </w:r>
          </w:p>
        </w:tc>
      </w:tr>
      <w:tr w:rsidR="00CD4293" w:rsidRPr="00E67146" w14:paraId="7F9C4CDB" w14:textId="77777777" w:rsidTr="00E04861">
        <w:trPr>
          <w:trHeight w:val="246"/>
        </w:trPr>
        <w:tc>
          <w:tcPr>
            <w:tcW w:w="2764" w:type="dxa"/>
            <w:tcBorders>
              <w:top w:val="nil"/>
              <w:left w:val="nil"/>
              <w:bottom w:val="single" w:sz="4" w:space="0" w:color="auto"/>
              <w:right w:val="nil"/>
            </w:tcBorders>
            <w:shd w:val="clear" w:color="auto" w:fill="auto"/>
            <w:noWrap/>
            <w:vAlign w:val="bottom"/>
          </w:tcPr>
          <w:p w14:paraId="6D2F2EF5" w14:textId="77777777" w:rsidR="00F764A6" w:rsidRPr="00E67146" w:rsidRDefault="00F764A6" w:rsidP="00E67146">
            <w:pPr>
              <w:rPr>
                <w:sz w:val="22"/>
                <w:szCs w:val="22"/>
                <w:lang w:val="en-US" w:eastAsia="tr-TR"/>
              </w:rPr>
            </w:pPr>
            <w:r w:rsidRPr="00E67146">
              <w:rPr>
                <w:sz w:val="22"/>
                <w:szCs w:val="22"/>
                <w:lang w:val="en-US" w:eastAsia="tr-TR"/>
              </w:rPr>
              <w:t>CPB (m, Mean ± SD)</w:t>
            </w:r>
          </w:p>
        </w:tc>
        <w:tc>
          <w:tcPr>
            <w:tcW w:w="753" w:type="dxa"/>
            <w:tcBorders>
              <w:top w:val="nil"/>
              <w:left w:val="nil"/>
              <w:bottom w:val="single" w:sz="4" w:space="0" w:color="auto"/>
              <w:right w:val="nil"/>
            </w:tcBorders>
            <w:shd w:val="clear" w:color="auto" w:fill="auto"/>
            <w:noWrap/>
            <w:vAlign w:val="bottom"/>
          </w:tcPr>
          <w:p w14:paraId="46296676" w14:textId="77777777" w:rsidR="00F764A6" w:rsidRPr="00E67146" w:rsidRDefault="00F764A6" w:rsidP="00E67146">
            <w:pPr>
              <w:rPr>
                <w:sz w:val="22"/>
                <w:szCs w:val="22"/>
                <w:lang w:val="en-US" w:eastAsia="tr-TR"/>
              </w:rPr>
            </w:pPr>
            <w:r w:rsidRPr="00E67146">
              <w:rPr>
                <w:sz w:val="22"/>
                <w:szCs w:val="22"/>
                <w:lang w:val="en-US" w:eastAsia="tr-TR"/>
              </w:rPr>
              <w:t>132,73</w:t>
            </w:r>
          </w:p>
        </w:tc>
        <w:tc>
          <w:tcPr>
            <w:tcW w:w="1213" w:type="dxa"/>
            <w:tcBorders>
              <w:top w:val="nil"/>
              <w:left w:val="nil"/>
              <w:bottom w:val="single" w:sz="4" w:space="0" w:color="auto"/>
              <w:right w:val="nil"/>
            </w:tcBorders>
            <w:shd w:val="clear" w:color="auto" w:fill="auto"/>
            <w:noWrap/>
            <w:vAlign w:val="bottom"/>
          </w:tcPr>
          <w:p w14:paraId="3D4CA7A4" w14:textId="77777777" w:rsidR="00F764A6" w:rsidRPr="00E67146" w:rsidRDefault="00F764A6" w:rsidP="00E67146">
            <w:pPr>
              <w:rPr>
                <w:sz w:val="22"/>
                <w:szCs w:val="22"/>
                <w:lang w:val="en-US" w:eastAsia="tr-TR"/>
              </w:rPr>
            </w:pPr>
            <w:r w:rsidRPr="00E67146">
              <w:rPr>
                <w:sz w:val="22"/>
                <w:szCs w:val="22"/>
                <w:lang w:val="en-US" w:eastAsia="tr-TR"/>
              </w:rPr>
              <w:t>± 29,13</w:t>
            </w:r>
          </w:p>
        </w:tc>
        <w:tc>
          <w:tcPr>
            <w:tcW w:w="831" w:type="dxa"/>
            <w:tcBorders>
              <w:top w:val="nil"/>
              <w:left w:val="nil"/>
              <w:bottom w:val="single" w:sz="4" w:space="0" w:color="auto"/>
              <w:right w:val="nil"/>
            </w:tcBorders>
            <w:shd w:val="clear" w:color="auto" w:fill="auto"/>
            <w:noWrap/>
            <w:vAlign w:val="bottom"/>
          </w:tcPr>
          <w:p w14:paraId="40C81233" w14:textId="77777777" w:rsidR="00F764A6" w:rsidRPr="00E67146" w:rsidRDefault="00F764A6" w:rsidP="00E67146">
            <w:pPr>
              <w:rPr>
                <w:sz w:val="22"/>
                <w:szCs w:val="22"/>
                <w:lang w:val="en-US" w:eastAsia="tr-TR"/>
              </w:rPr>
            </w:pPr>
            <w:r w:rsidRPr="00E67146">
              <w:rPr>
                <w:sz w:val="22"/>
                <w:szCs w:val="22"/>
                <w:lang w:val="en-US" w:eastAsia="tr-TR"/>
              </w:rPr>
              <w:t>144,40</w:t>
            </w:r>
          </w:p>
        </w:tc>
        <w:tc>
          <w:tcPr>
            <w:tcW w:w="1213" w:type="dxa"/>
            <w:tcBorders>
              <w:top w:val="nil"/>
              <w:left w:val="nil"/>
              <w:bottom w:val="single" w:sz="4" w:space="0" w:color="auto"/>
              <w:right w:val="nil"/>
            </w:tcBorders>
            <w:shd w:val="clear" w:color="auto" w:fill="auto"/>
            <w:noWrap/>
            <w:vAlign w:val="bottom"/>
          </w:tcPr>
          <w:p w14:paraId="566EFD47" w14:textId="77777777" w:rsidR="00F764A6" w:rsidRPr="00E67146" w:rsidRDefault="00F764A6" w:rsidP="00E67146">
            <w:pPr>
              <w:rPr>
                <w:sz w:val="22"/>
                <w:szCs w:val="22"/>
                <w:lang w:val="en-US" w:eastAsia="tr-TR"/>
              </w:rPr>
            </w:pPr>
            <w:r w:rsidRPr="00E67146">
              <w:rPr>
                <w:sz w:val="22"/>
                <w:szCs w:val="22"/>
                <w:lang w:val="en-US" w:eastAsia="tr-TR"/>
              </w:rPr>
              <w:t>± 38,24</w:t>
            </w:r>
          </w:p>
        </w:tc>
        <w:tc>
          <w:tcPr>
            <w:tcW w:w="1493" w:type="dxa"/>
            <w:tcBorders>
              <w:top w:val="nil"/>
              <w:left w:val="nil"/>
              <w:bottom w:val="single" w:sz="4" w:space="0" w:color="auto"/>
              <w:right w:val="nil"/>
            </w:tcBorders>
            <w:shd w:val="clear" w:color="auto" w:fill="auto"/>
            <w:noWrap/>
            <w:vAlign w:val="bottom"/>
          </w:tcPr>
          <w:p w14:paraId="7AF762F5" w14:textId="77777777" w:rsidR="00F764A6" w:rsidRPr="00E67146" w:rsidRDefault="00F764A6" w:rsidP="00E67146">
            <w:pPr>
              <w:rPr>
                <w:sz w:val="22"/>
                <w:szCs w:val="22"/>
                <w:lang w:val="en-US" w:eastAsia="tr-TR"/>
              </w:rPr>
            </w:pPr>
            <w:r w:rsidRPr="00E67146">
              <w:rPr>
                <w:sz w:val="22"/>
                <w:szCs w:val="22"/>
                <w:lang w:val="en-US" w:eastAsia="tr-TR"/>
              </w:rPr>
              <w:t>0,23</w:t>
            </w:r>
          </w:p>
        </w:tc>
      </w:tr>
    </w:tbl>
    <w:p w14:paraId="2A3D7781" w14:textId="77777777" w:rsidR="00F764A6" w:rsidRPr="00E67146" w:rsidRDefault="00F764A6" w:rsidP="00E67146">
      <w:pPr>
        <w:rPr>
          <w:rFonts w:eastAsia="Calibri"/>
          <w:sz w:val="22"/>
          <w:szCs w:val="22"/>
          <w:lang w:val="en-US" w:eastAsia="en-US"/>
        </w:rPr>
      </w:pPr>
      <w:r w:rsidRPr="00E67146">
        <w:rPr>
          <w:rFonts w:eastAsia="Calibri"/>
          <w:sz w:val="22"/>
          <w:szCs w:val="22"/>
          <w:lang w:val="en-US" w:eastAsia="en-US"/>
        </w:rPr>
        <w:t>X-Clamp: Cross clamp time, TCA: Total circulatory arrest time, CPB: Cardiopulmonary bypass time (minute), *Mann Whitney-U test.</w:t>
      </w:r>
    </w:p>
    <w:p w14:paraId="131E52C7" w14:textId="77777777" w:rsidR="00B329A5" w:rsidRPr="00E67146" w:rsidRDefault="00B329A5" w:rsidP="00E67146">
      <w:pPr>
        <w:rPr>
          <w:rFonts w:eastAsia="Calibri"/>
          <w:sz w:val="22"/>
          <w:szCs w:val="22"/>
          <w:lang w:val="en-US" w:eastAsia="en-US"/>
        </w:rPr>
      </w:pPr>
    </w:p>
    <w:p w14:paraId="0D5A57A4" w14:textId="77777777" w:rsidR="00DD7DF2" w:rsidRPr="00E67146" w:rsidRDefault="00DD7DF2" w:rsidP="00E67146">
      <w:pPr>
        <w:rPr>
          <w:b/>
          <w:sz w:val="22"/>
          <w:szCs w:val="22"/>
          <w:lang w:val="en-US"/>
        </w:rPr>
      </w:pPr>
    </w:p>
    <w:p w14:paraId="5DE0DCA8" w14:textId="77777777" w:rsidR="00DD7DF2" w:rsidRPr="00E67146" w:rsidRDefault="00DD7DF2" w:rsidP="00E67146">
      <w:pPr>
        <w:rPr>
          <w:b/>
          <w:sz w:val="22"/>
          <w:szCs w:val="22"/>
          <w:lang w:val="en-US"/>
        </w:rPr>
      </w:pPr>
    </w:p>
    <w:p w14:paraId="167E0E12" w14:textId="77777777" w:rsidR="00DD7DF2" w:rsidRPr="00E67146" w:rsidRDefault="00DD7DF2" w:rsidP="00E67146">
      <w:pPr>
        <w:rPr>
          <w:b/>
          <w:sz w:val="22"/>
          <w:szCs w:val="22"/>
          <w:lang w:val="en-US"/>
        </w:rPr>
      </w:pPr>
    </w:p>
    <w:p w14:paraId="7CEE97BC" w14:textId="77777777" w:rsidR="00DD7DF2" w:rsidRPr="00E67146" w:rsidRDefault="00DD7DF2" w:rsidP="00E67146">
      <w:pPr>
        <w:rPr>
          <w:b/>
          <w:sz w:val="22"/>
          <w:szCs w:val="22"/>
          <w:lang w:val="en-US"/>
        </w:rPr>
      </w:pPr>
    </w:p>
    <w:p w14:paraId="68400746" w14:textId="77777777" w:rsidR="00DD7DF2" w:rsidRPr="00E67146" w:rsidRDefault="00DD7DF2" w:rsidP="00E67146">
      <w:pPr>
        <w:rPr>
          <w:b/>
          <w:sz w:val="22"/>
          <w:szCs w:val="22"/>
          <w:lang w:val="en-US"/>
        </w:rPr>
      </w:pPr>
    </w:p>
    <w:p w14:paraId="7B63EB8E" w14:textId="77777777" w:rsidR="00DD7DF2" w:rsidRPr="00E67146" w:rsidRDefault="00DD7DF2" w:rsidP="00E67146">
      <w:pPr>
        <w:rPr>
          <w:b/>
          <w:sz w:val="22"/>
          <w:szCs w:val="22"/>
          <w:lang w:val="en-US"/>
        </w:rPr>
      </w:pPr>
    </w:p>
    <w:p w14:paraId="4350B2B4" w14:textId="77777777" w:rsidR="00DD7DF2" w:rsidRPr="00E67146" w:rsidRDefault="00DD7DF2" w:rsidP="00E67146">
      <w:pPr>
        <w:rPr>
          <w:b/>
          <w:sz w:val="22"/>
          <w:szCs w:val="22"/>
          <w:lang w:val="en-US"/>
        </w:rPr>
      </w:pPr>
    </w:p>
    <w:p w14:paraId="09E470A5" w14:textId="77777777" w:rsidR="00DD7DF2" w:rsidRPr="00E67146" w:rsidRDefault="00DD7DF2" w:rsidP="00E67146">
      <w:pPr>
        <w:rPr>
          <w:b/>
          <w:sz w:val="22"/>
          <w:szCs w:val="22"/>
          <w:lang w:val="en-US"/>
        </w:rPr>
      </w:pPr>
    </w:p>
    <w:p w14:paraId="1AB49655" w14:textId="77777777" w:rsidR="007B158D" w:rsidRDefault="007B158D" w:rsidP="00E67146">
      <w:pPr>
        <w:rPr>
          <w:b/>
          <w:sz w:val="22"/>
          <w:szCs w:val="22"/>
          <w:lang w:val="en-US"/>
        </w:rPr>
      </w:pPr>
    </w:p>
    <w:p w14:paraId="6F37E273" w14:textId="77777777" w:rsidR="007B158D" w:rsidRDefault="007B158D" w:rsidP="00E67146">
      <w:pPr>
        <w:rPr>
          <w:b/>
          <w:sz w:val="22"/>
          <w:szCs w:val="22"/>
          <w:lang w:val="en-US"/>
        </w:rPr>
      </w:pPr>
    </w:p>
    <w:p w14:paraId="2551086E" w14:textId="77777777" w:rsidR="007B158D" w:rsidRDefault="007B158D" w:rsidP="00E67146">
      <w:pPr>
        <w:rPr>
          <w:b/>
          <w:sz w:val="22"/>
          <w:szCs w:val="22"/>
          <w:lang w:val="en-US"/>
        </w:rPr>
      </w:pPr>
    </w:p>
    <w:p w14:paraId="669F9727" w14:textId="77777777" w:rsidR="007B158D" w:rsidRDefault="007B158D" w:rsidP="00E67146">
      <w:pPr>
        <w:rPr>
          <w:b/>
          <w:sz w:val="22"/>
          <w:szCs w:val="22"/>
          <w:lang w:val="en-US"/>
        </w:rPr>
      </w:pPr>
    </w:p>
    <w:p w14:paraId="47E0E251" w14:textId="77777777" w:rsidR="007B158D" w:rsidRDefault="007B158D" w:rsidP="00E67146">
      <w:pPr>
        <w:rPr>
          <w:b/>
          <w:sz w:val="22"/>
          <w:szCs w:val="22"/>
          <w:lang w:val="en-US"/>
        </w:rPr>
      </w:pPr>
    </w:p>
    <w:p w14:paraId="3FE49DB1" w14:textId="77777777" w:rsidR="007B158D" w:rsidRDefault="007B158D" w:rsidP="00E67146">
      <w:pPr>
        <w:rPr>
          <w:b/>
          <w:sz w:val="22"/>
          <w:szCs w:val="22"/>
          <w:lang w:val="en-US"/>
        </w:rPr>
      </w:pPr>
    </w:p>
    <w:p w14:paraId="6422919B" w14:textId="77777777" w:rsidR="007B158D" w:rsidRDefault="007B158D" w:rsidP="00E67146">
      <w:pPr>
        <w:rPr>
          <w:b/>
          <w:sz w:val="22"/>
          <w:szCs w:val="22"/>
          <w:lang w:val="en-US"/>
        </w:rPr>
      </w:pPr>
    </w:p>
    <w:p w14:paraId="2628770A" w14:textId="77777777" w:rsidR="007B158D" w:rsidRDefault="007B158D" w:rsidP="00E67146">
      <w:pPr>
        <w:rPr>
          <w:b/>
          <w:sz w:val="22"/>
          <w:szCs w:val="22"/>
          <w:lang w:val="en-US"/>
        </w:rPr>
      </w:pPr>
    </w:p>
    <w:p w14:paraId="2A439025" w14:textId="77777777" w:rsidR="007B158D" w:rsidRDefault="007B158D" w:rsidP="00E67146">
      <w:pPr>
        <w:rPr>
          <w:b/>
          <w:sz w:val="22"/>
          <w:szCs w:val="22"/>
          <w:lang w:val="en-US"/>
        </w:rPr>
      </w:pPr>
    </w:p>
    <w:p w14:paraId="4F619B62" w14:textId="796B73BA" w:rsidR="00C01519" w:rsidRPr="00E67146" w:rsidRDefault="00F764A6" w:rsidP="00E67146">
      <w:pPr>
        <w:rPr>
          <w:sz w:val="22"/>
          <w:szCs w:val="22"/>
          <w:lang w:val="en-US"/>
        </w:rPr>
      </w:pPr>
      <w:r w:rsidRPr="00E67146">
        <w:rPr>
          <w:b/>
          <w:sz w:val="22"/>
          <w:szCs w:val="22"/>
          <w:lang w:val="en-US"/>
        </w:rPr>
        <w:t>Figure 1.</w:t>
      </w:r>
      <w:r w:rsidRPr="00E67146">
        <w:rPr>
          <w:sz w:val="22"/>
          <w:szCs w:val="22"/>
          <w:lang w:val="en-US"/>
        </w:rPr>
        <w:t xml:space="preserve"> Receiver operating curve characteristics of intraoperative variables to predict mortality in the study groups.</w:t>
      </w:r>
      <w:r w:rsidR="00E67146">
        <w:rPr>
          <w:sz w:val="22"/>
          <w:szCs w:val="22"/>
          <w:lang w:val="en-US"/>
        </w:rPr>
        <w:t xml:space="preserve"> TCA: Total circulatory arrest time, X-clamp: Cross clamp time</w:t>
      </w:r>
    </w:p>
    <w:p w14:paraId="6E92DEF5" w14:textId="77777777" w:rsidR="00C01519" w:rsidRPr="00E67146" w:rsidRDefault="00B329A5" w:rsidP="00E67146">
      <w:pPr>
        <w:rPr>
          <w:sz w:val="22"/>
          <w:szCs w:val="22"/>
          <w:lang w:val="en-US"/>
        </w:rPr>
      </w:pPr>
      <w:r w:rsidRPr="00E67146">
        <w:rPr>
          <w:noProof/>
          <w:sz w:val="22"/>
          <w:szCs w:val="22"/>
          <w:lang w:val="en-US" w:eastAsia="en-US"/>
        </w:rPr>
        <w:lastRenderedPageBreak/>
        <w:drawing>
          <wp:inline distT="0" distB="0" distL="0" distR="0" wp14:anchorId="3C28E729" wp14:editId="0838DF52">
            <wp:extent cx="5396865" cy="4795124"/>
            <wp:effectExtent l="0" t="0" r="0" b="571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865" cy="4795124"/>
                    </a:xfrm>
                    <a:prstGeom prst="rect">
                      <a:avLst/>
                    </a:prstGeom>
                    <a:noFill/>
                    <a:ln>
                      <a:noFill/>
                    </a:ln>
                  </pic:spPr>
                </pic:pic>
              </a:graphicData>
            </a:graphic>
          </wp:inline>
        </w:drawing>
      </w:r>
    </w:p>
    <w:p w14:paraId="13804D79" w14:textId="77777777" w:rsidR="005E260C" w:rsidRPr="00E67146" w:rsidRDefault="005E260C" w:rsidP="00E67146">
      <w:pPr>
        <w:rPr>
          <w:sz w:val="22"/>
          <w:szCs w:val="22"/>
          <w:lang w:val="en-US"/>
        </w:rPr>
      </w:pPr>
    </w:p>
    <w:sectPr w:rsidR="005E260C" w:rsidRPr="00E67146" w:rsidSect="00074B81">
      <w:footerReference w:type="default" r:id="rId10"/>
      <w:pgSz w:w="11901" w:h="16840" w:code="9"/>
      <w:pgMar w:top="1418" w:right="1701" w:bottom="1418"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12"/>
    </wne:keymap>
    <wne:keymap wne:kcmPrimary="0632">
      <wne:acd wne:acdName="acd13"/>
    </wne:keymap>
    <wne:keymap wne:kcmPrimary="0633">
      <wne:acd wne:acdName="acd14"/>
    </wne:keymap>
    <wne:keymap wne:kcmPrimary="0634">
      <wne:acd wne:acdName="acd8"/>
    </wne:keymap>
    <wne:keymap wne:kcmPrimary="0641">
      <wne:acd wne:acdName="acd2"/>
    </wne:keymap>
    <wne:keymap wne:kcmPrimary="0642">
      <wne:acd wne:acdName="acd7"/>
    </wne:keymap>
    <wne:keymap wne:kcmPrimary="0643">
      <wne:acd wne:acdName="acd6"/>
    </wne:keymap>
    <wne:keymap wne:kcmPrimary="0645">
      <wne:acd wne:acdName="acd20"/>
    </wne:keymap>
    <wne:keymap wne:kcmPrimary="0646">
      <wne:acd wne:acdName="acd24"/>
    </wne:keymap>
    <wne:keymap wne:kcmPrimary="0649">
      <wne:acd wne:acdName="acd22"/>
    </wne:keymap>
    <wne:keymap wne:kcmPrimary="064A">
      <wne:acd wne:acdName="acd18"/>
    </wne:keymap>
    <wne:keymap wne:kcmPrimary="064B">
      <wne:acd wne:acdName="acd16"/>
    </wne:keymap>
    <wne:keymap wne:kcmPrimary="064C">
      <wne:acd wne:acdName="acd26"/>
    </wne:keymap>
    <wne:keymap wne:kcmPrimary="064E">
      <wne:acd wne:acdName="acd4"/>
    </wne:keymap>
    <wne:keymap wne:kcmPrimary="064F">
      <wne:acd wne:acdName="acd11"/>
    </wne:keymap>
    <wne:keymap wne:kcmPrimary="0650">
      <wne:acd wne:acdName="acd28"/>
    </wne:keymap>
    <wne:keymap wne:kcmPrimary="0651">
      <wne:acd wne:acdName="acd9"/>
    </wne:keymap>
    <wne:keymap wne:kcmPrimary="0652">
      <wne:acd wne:acdName="acd21"/>
    </wne:keymap>
    <wne:keymap wne:kcmPrimary="0653">
      <wne:acd wne:acdName="acd0"/>
    </wne:keymap>
    <wne:keymap wne:kcmPrimary="0654">
      <wne:acd wne:acdName="acd3"/>
    </wne:keymap>
    <wne:keymap wne:kcmPrimary="0655">
      <wne:acd wne:acdName="acd19"/>
    </wne:keymap>
    <wne:keymap wne:kcmPrimary="0657">
      <wne:acd wne:acdName="acd1"/>
    </wne:keymap>
    <wne:keymap wne:kcmPrimary="0658">
      <wne:acd wne:acdName="acd23"/>
    </wne:keymap>
    <wne:keymap wne:kcmPrimary="065A">
      <wne:acd wne:acdName="acd2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Manifest>
    <wne:toolbarData r:id="rId1"/>
  </wne:toolbars>
  <wne:acds>
    <wne:acd wne:argValue="AgBBAGIAcwB0AHIAYQBjAHQA" wne:acdName="acd0" wne:fciIndexBasedOn="0065"/>
    <wne:acd wne:argValue="AgBBAGMAawBuAG8AdwBsAGUAZABnAGUAbQBlAG4AdABzAA==" wne:acdName="acd1" wne:fciIndexBasedOn="0065"/>
    <wne:acd wne:argValue="AgBBAGYAZgBpAGwAaQBhAHQAaQBvAG4A" wne:acdName="acd2" wne:fciIndexBasedOn="0065"/>
    <wne:acd wne:argValue="AgBBAHIAdABpAGMAbABlACAAdABpAHQAbABlAA==" wne:acdName="acd3" wne:fciIndexBasedOn="0065"/>
    <wne:acd wne:argValue="AgBBAHUAdABoAG8AcgAgAG4AYQBtAGUAcwA=" wne:acdName="acd4" wne:fciIndexBasedOn="0065"/>
    <wne:acd wne:argValue="AgBIAGUAYQBkAGkAbgBnACAANAAgACsAIABQAGEAcgBhAGcAcgBhAHAAaAA=" wne:acdName="acd5" wne:fciIndexBasedOn="0065"/>
    <wne:acd wne:argValue="AgBDAG8AcgByAGUAcwBwAG8AbgBkAGUAbgBjAGUAIABkAGUAdABhAGkAbABzAA==" wne:acdName="acd6" wne:fciIndexBasedOn="0065"/>
    <wne:acd wne:argValue="AgBCAHUAbABsAGUAdABlAGQAIABsAGkAcwB0AA==" wne:acdName="acd7" wne:fciIndexBasedOn="0065"/>
    <wne:acd wne:argValue="AgBIAGUAYQBkAGkAbgBnACAANAAgACsAIABQAGEAcgBhAGcAcgBhAHAAaAA=" wne:acdName="acd8" wne:fciIndexBasedOn="0065"/>
    <wne:acd wne:argValue="AgBEAGkAcwBwAGwAYQB5AGUAZAAgAHEAdQBvAHQAYQB0AGkAbwBuAA==" wne:acdName="acd9" wne:fciIndexBasedOn="0065"/>
    <wne:acd wne:acdName="acd10" wne:fciIndexBasedOn="0065"/>
    <wne:acd wne:argValue="AgBGAG8AbwB0AG4AbwB0AGUAcwA=" wne:acdName="acd11" wne:fciIndexBasedOn="0065"/>
    <wne:acd wne:argValue="AQAAAAEA" wne:acdName="acd12" wne:fciIndexBasedOn="0065"/>
    <wne:acd wne:argValue="AQAAAAIA" wne:acdName="acd13" wne:fciIndexBasedOn="0065"/>
    <wne:acd wne:argValue="AQAAAAMA" wne:acdName="acd14" wne:fciIndexBasedOn="0065"/>
    <wne:acd wne:acdName="acd15" wne:fciIndexBasedOn="0065"/>
    <wne:acd wne:argValue="AgBLAGUAeQB3AG8AcgBkAHMA" wne:acdName="acd16" wne:fciIndexBasedOn="0065"/>
    <wne:acd wne:argValue="AgBOAHUAbQBiAGUAcgBlAGQAIABsAGkAcwB0AA==" wne:acdName="acd17" wne:fciIndexBasedOn="0065"/>
    <wne:acd wne:argValue="AgBTAHUAYgBqAGUAYwB0ACAAYwBvAGQAZQBzAA==" wne:acdName="acd18" wne:fciIndexBasedOn="0065"/>
    <wne:acd wne:argValue="AgBOAG8AdABlAHMAIABvAG4AIABjAG8AbgB0AHIAaQBiAHUAdABvAHIAcwA=" wne:acdName="acd19" wne:fciIndexBasedOn="0065"/>
    <wne:acd wne:argValue="AgBEAGkAcwBwAGwAYQB5AGUAZAAgAGUAcQB1AGEAdABpAG8AbgA=" wne:acdName="acd20" wne:fciIndexBasedOn="0065"/>
    <wne:acd wne:argValue="AgBSAGUAYwBlAGkAdgBlAGQAIABkAGEAdABlAHMA" wne:acdName="acd21" wne:fciIndexBasedOn="0065"/>
    <wne:acd wne:argValue="AgBUAGEAYgBsAGUAIAB0AGkAdABsAGUA" wne:acdName="acd22" wne:fciIndexBasedOn="0065"/>
    <wne:acd wne:argValue="AgBSAGUAZgBlAHIAZQBuAGMAZQBzAA==" wne:acdName="acd23" wne:fciIndexBasedOn="0065"/>
    <wne:acd wne:argValue="AgBGAGkAZwB1AHIAZQAgAGMAYQBwAHQAaQBvAG4A" wne:acdName="acd24" wne:fciIndexBasedOn="0065"/>
    <wne:acd wne:acdName="acd25" wne:fciIndexBasedOn="0065"/>
    <wne:acd wne:argValue="AgBOAHUAbQBiAGUAcgBlAGQAIABsAGkAcwB0AA==" wne:acdName="acd26" wne:fciIndexBasedOn="0065"/>
    <wne:acd wne:acdName="acd27" wne:fciIndexBasedOn="0065"/>
    <wne:acd wne:argValue="AgBQAGEAcgBhAGcAcgBhAHAAaAA=" wne:acdName="acd28" wne:fciIndexBasedOn="0065"/>
    <wne:acd wne:argValue="AgBOAGUAdwAgAHAAYQByAGEAZwByAGEAcABoAA==" wne:acdName="acd2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B19A1" w14:textId="77777777" w:rsidR="00CD1BBA" w:rsidRDefault="00CD1BBA" w:rsidP="00AF2C92">
      <w:r>
        <w:separator/>
      </w:r>
    </w:p>
  </w:endnote>
  <w:endnote w:type="continuationSeparator" w:id="0">
    <w:p w14:paraId="0824365A" w14:textId="77777777" w:rsidR="00CD1BBA" w:rsidRDefault="00CD1BBA"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1825266"/>
      <w:docPartObj>
        <w:docPartGallery w:val="Page Numbers (Bottom of Page)"/>
        <w:docPartUnique/>
      </w:docPartObj>
    </w:sdtPr>
    <w:sdtEndPr/>
    <w:sdtContent>
      <w:p w14:paraId="00D2524D" w14:textId="77777777" w:rsidR="005429E7" w:rsidRDefault="005429E7">
        <w:pPr>
          <w:pStyle w:val="AltBilgi"/>
          <w:jc w:val="center"/>
        </w:pPr>
        <w:r>
          <w:fldChar w:fldCharType="begin"/>
        </w:r>
        <w:r>
          <w:instrText>PAGE   \* MERGEFORMAT</w:instrText>
        </w:r>
        <w:r>
          <w:fldChar w:fldCharType="separate"/>
        </w:r>
        <w:r w:rsidR="00A851A1" w:rsidRPr="00A851A1">
          <w:rPr>
            <w:noProof/>
            <w:lang w:val="tr-TR"/>
          </w:rPr>
          <w:t>11</w:t>
        </w:r>
        <w:r>
          <w:fldChar w:fldCharType="end"/>
        </w:r>
      </w:p>
    </w:sdtContent>
  </w:sdt>
  <w:p w14:paraId="1FAC0940" w14:textId="77777777" w:rsidR="005429E7" w:rsidRDefault="005429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BEEA0" w14:textId="77777777" w:rsidR="00CD1BBA" w:rsidRDefault="00CD1BBA" w:rsidP="00AF2C92">
      <w:r>
        <w:separator/>
      </w:r>
    </w:p>
  </w:footnote>
  <w:footnote w:type="continuationSeparator" w:id="0">
    <w:p w14:paraId="18710ED2" w14:textId="77777777" w:rsidR="00CD1BBA" w:rsidRDefault="00CD1BBA"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zMDQxNDE2tTAwMTBW0lEKTi0uzszPAykwqgUAAdFpTCwAAAA="/>
  </w:docVars>
  <w:rsids>
    <w:rsidRoot w:val="00735F8B"/>
    <w:rsid w:val="00001899"/>
    <w:rsid w:val="000049AD"/>
    <w:rsid w:val="0000681B"/>
    <w:rsid w:val="000133C0"/>
    <w:rsid w:val="00014C4E"/>
    <w:rsid w:val="00017107"/>
    <w:rsid w:val="000202E2"/>
    <w:rsid w:val="00022441"/>
    <w:rsid w:val="0002261E"/>
    <w:rsid w:val="00024839"/>
    <w:rsid w:val="00026871"/>
    <w:rsid w:val="00031C7E"/>
    <w:rsid w:val="00037A98"/>
    <w:rsid w:val="000427FB"/>
    <w:rsid w:val="0004455E"/>
    <w:rsid w:val="00047CB5"/>
    <w:rsid w:val="00051FAA"/>
    <w:rsid w:val="000572A9"/>
    <w:rsid w:val="00061325"/>
    <w:rsid w:val="00067A89"/>
    <w:rsid w:val="000733AC"/>
    <w:rsid w:val="00074B81"/>
    <w:rsid w:val="00074D22"/>
    <w:rsid w:val="00075081"/>
    <w:rsid w:val="0007528A"/>
    <w:rsid w:val="000811AB"/>
    <w:rsid w:val="00083C5F"/>
    <w:rsid w:val="00083F3D"/>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554F"/>
    <w:rsid w:val="000D0DC5"/>
    <w:rsid w:val="000D15FF"/>
    <w:rsid w:val="000D28DF"/>
    <w:rsid w:val="000D488B"/>
    <w:rsid w:val="000D68DF"/>
    <w:rsid w:val="000E138D"/>
    <w:rsid w:val="000E1816"/>
    <w:rsid w:val="000E187A"/>
    <w:rsid w:val="000E2D61"/>
    <w:rsid w:val="000E450E"/>
    <w:rsid w:val="000E6259"/>
    <w:rsid w:val="000F0DC3"/>
    <w:rsid w:val="000F4677"/>
    <w:rsid w:val="000F5BE0"/>
    <w:rsid w:val="00100587"/>
    <w:rsid w:val="0010284E"/>
    <w:rsid w:val="00103122"/>
    <w:rsid w:val="0010336A"/>
    <w:rsid w:val="001050F1"/>
    <w:rsid w:val="00105AEA"/>
    <w:rsid w:val="00106DAF"/>
    <w:rsid w:val="001071A7"/>
    <w:rsid w:val="001075CA"/>
    <w:rsid w:val="0011266D"/>
    <w:rsid w:val="00114ABE"/>
    <w:rsid w:val="00116023"/>
    <w:rsid w:val="00134A51"/>
    <w:rsid w:val="00140727"/>
    <w:rsid w:val="00140776"/>
    <w:rsid w:val="00150B1B"/>
    <w:rsid w:val="00160628"/>
    <w:rsid w:val="00161344"/>
    <w:rsid w:val="00162195"/>
    <w:rsid w:val="0016322A"/>
    <w:rsid w:val="00163D47"/>
    <w:rsid w:val="0016432B"/>
    <w:rsid w:val="00165A21"/>
    <w:rsid w:val="001705CE"/>
    <w:rsid w:val="0017714B"/>
    <w:rsid w:val="001804DF"/>
    <w:rsid w:val="0018180E"/>
    <w:rsid w:val="00181BDC"/>
    <w:rsid w:val="00181DB0"/>
    <w:rsid w:val="001829E3"/>
    <w:rsid w:val="001924C0"/>
    <w:rsid w:val="0019731E"/>
    <w:rsid w:val="001A09FE"/>
    <w:rsid w:val="001A53CB"/>
    <w:rsid w:val="001A67C9"/>
    <w:rsid w:val="001A69DE"/>
    <w:rsid w:val="001A713C"/>
    <w:rsid w:val="001B1C7C"/>
    <w:rsid w:val="001B398F"/>
    <w:rsid w:val="001B46C6"/>
    <w:rsid w:val="001B4B48"/>
    <w:rsid w:val="001B4D1F"/>
    <w:rsid w:val="001B7681"/>
    <w:rsid w:val="001B7CAE"/>
    <w:rsid w:val="001C0772"/>
    <w:rsid w:val="001C0D4F"/>
    <w:rsid w:val="001C1BA3"/>
    <w:rsid w:val="001C1CE2"/>
    <w:rsid w:val="001C1DEC"/>
    <w:rsid w:val="001C5736"/>
    <w:rsid w:val="001D3E30"/>
    <w:rsid w:val="001D647F"/>
    <w:rsid w:val="001D6857"/>
    <w:rsid w:val="001D6BC5"/>
    <w:rsid w:val="001E0572"/>
    <w:rsid w:val="001E0A67"/>
    <w:rsid w:val="001E1028"/>
    <w:rsid w:val="001E14E2"/>
    <w:rsid w:val="001E6302"/>
    <w:rsid w:val="001E7DCB"/>
    <w:rsid w:val="001F3411"/>
    <w:rsid w:val="001F4287"/>
    <w:rsid w:val="001F4DBA"/>
    <w:rsid w:val="0020415E"/>
    <w:rsid w:val="00204FF4"/>
    <w:rsid w:val="00206EC0"/>
    <w:rsid w:val="0021056E"/>
    <w:rsid w:val="0021075D"/>
    <w:rsid w:val="0021165A"/>
    <w:rsid w:val="00211BC9"/>
    <w:rsid w:val="0021620C"/>
    <w:rsid w:val="00216E78"/>
    <w:rsid w:val="00217275"/>
    <w:rsid w:val="002212F7"/>
    <w:rsid w:val="0022628E"/>
    <w:rsid w:val="00236F4B"/>
    <w:rsid w:val="00242B0D"/>
    <w:rsid w:val="002467C6"/>
    <w:rsid w:val="0024692A"/>
    <w:rsid w:val="002519F4"/>
    <w:rsid w:val="00252BBA"/>
    <w:rsid w:val="00253123"/>
    <w:rsid w:val="002551C9"/>
    <w:rsid w:val="002615FC"/>
    <w:rsid w:val="00264001"/>
    <w:rsid w:val="00266354"/>
    <w:rsid w:val="00267A18"/>
    <w:rsid w:val="00273462"/>
    <w:rsid w:val="0027395B"/>
    <w:rsid w:val="00275854"/>
    <w:rsid w:val="002811E5"/>
    <w:rsid w:val="00283B41"/>
    <w:rsid w:val="00285F28"/>
    <w:rsid w:val="00286398"/>
    <w:rsid w:val="00295534"/>
    <w:rsid w:val="002A3C42"/>
    <w:rsid w:val="002A5D75"/>
    <w:rsid w:val="002B158B"/>
    <w:rsid w:val="002B1B1A"/>
    <w:rsid w:val="002B70EE"/>
    <w:rsid w:val="002B7228"/>
    <w:rsid w:val="002C53EE"/>
    <w:rsid w:val="002C552C"/>
    <w:rsid w:val="002C7F99"/>
    <w:rsid w:val="002D0018"/>
    <w:rsid w:val="002D24F7"/>
    <w:rsid w:val="002D2799"/>
    <w:rsid w:val="002D2CD7"/>
    <w:rsid w:val="002D4DDC"/>
    <w:rsid w:val="002D4F75"/>
    <w:rsid w:val="002D6493"/>
    <w:rsid w:val="002D7AB6"/>
    <w:rsid w:val="002D7E80"/>
    <w:rsid w:val="002E06D0"/>
    <w:rsid w:val="002E0B2A"/>
    <w:rsid w:val="002E3C27"/>
    <w:rsid w:val="002E403A"/>
    <w:rsid w:val="002E5DF6"/>
    <w:rsid w:val="002E6164"/>
    <w:rsid w:val="002E7F3A"/>
    <w:rsid w:val="002F29D7"/>
    <w:rsid w:val="002F44D4"/>
    <w:rsid w:val="002F4EDB"/>
    <w:rsid w:val="002F6054"/>
    <w:rsid w:val="00315713"/>
    <w:rsid w:val="0031686C"/>
    <w:rsid w:val="00316FE0"/>
    <w:rsid w:val="003204D2"/>
    <w:rsid w:val="003208CF"/>
    <w:rsid w:val="0032605E"/>
    <w:rsid w:val="003275D1"/>
    <w:rsid w:val="00330B2A"/>
    <w:rsid w:val="0033135F"/>
    <w:rsid w:val="00331E17"/>
    <w:rsid w:val="00333063"/>
    <w:rsid w:val="003408E3"/>
    <w:rsid w:val="00340EFB"/>
    <w:rsid w:val="00342250"/>
    <w:rsid w:val="00343480"/>
    <w:rsid w:val="00345E89"/>
    <w:rsid w:val="003522A1"/>
    <w:rsid w:val="0035254B"/>
    <w:rsid w:val="00353555"/>
    <w:rsid w:val="003565D4"/>
    <w:rsid w:val="00356995"/>
    <w:rsid w:val="003607FB"/>
    <w:rsid w:val="00360FD5"/>
    <w:rsid w:val="00361833"/>
    <w:rsid w:val="0036340D"/>
    <w:rsid w:val="003634A5"/>
    <w:rsid w:val="00366868"/>
    <w:rsid w:val="00367506"/>
    <w:rsid w:val="00370085"/>
    <w:rsid w:val="00370909"/>
    <w:rsid w:val="003744A7"/>
    <w:rsid w:val="00376235"/>
    <w:rsid w:val="00381FB6"/>
    <w:rsid w:val="003836D3"/>
    <w:rsid w:val="00383A52"/>
    <w:rsid w:val="00391652"/>
    <w:rsid w:val="0039507F"/>
    <w:rsid w:val="00397D6D"/>
    <w:rsid w:val="003A1260"/>
    <w:rsid w:val="003A295F"/>
    <w:rsid w:val="003A41DD"/>
    <w:rsid w:val="003A6F2A"/>
    <w:rsid w:val="003A7033"/>
    <w:rsid w:val="003B47FE"/>
    <w:rsid w:val="003B5673"/>
    <w:rsid w:val="003B62C9"/>
    <w:rsid w:val="003C405C"/>
    <w:rsid w:val="003C7176"/>
    <w:rsid w:val="003D0929"/>
    <w:rsid w:val="003D3313"/>
    <w:rsid w:val="003D4729"/>
    <w:rsid w:val="003D7DD6"/>
    <w:rsid w:val="003E5AAF"/>
    <w:rsid w:val="003E600D"/>
    <w:rsid w:val="003E64DF"/>
    <w:rsid w:val="003E6A5D"/>
    <w:rsid w:val="003F193A"/>
    <w:rsid w:val="003F4207"/>
    <w:rsid w:val="003F5C46"/>
    <w:rsid w:val="003F7CBB"/>
    <w:rsid w:val="003F7D34"/>
    <w:rsid w:val="00400FE4"/>
    <w:rsid w:val="00412C8E"/>
    <w:rsid w:val="0041518D"/>
    <w:rsid w:val="0042221D"/>
    <w:rsid w:val="00424447"/>
    <w:rsid w:val="00424DD3"/>
    <w:rsid w:val="004269C5"/>
    <w:rsid w:val="00435939"/>
    <w:rsid w:val="00437CC7"/>
    <w:rsid w:val="004414C2"/>
    <w:rsid w:val="00442B9C"/>
    <w:rsid w:val="00445EFA"/>
    <w:rsid w:val="00445F66"/>
    <w:rsid w:val="0044738A"/>
    <w:rsid w:val="004473D3"/>
    <w:rsid w:val="00452231"/>
    <w:rsid w:val="004565D7"/>
    <w:rsid w:val="00460C13"/>
    <w:rsid w:val="00463228"/>
    <w:rsid w:val="00463782"/>
    <w:rsid w:val="00464B1D"/>
    <w:rsid w:val="004667E0"/>
    <w:rsid w:val="0046760E"/>
    <w:rsid w:val="00470E10"/>
    <w:rsid w:val="00471FE5"/>
    <w:rsid w:val="00472DF7"/>
    <w:rsid w:val="004758DB"/>
    <w:rsid w:val="00477A97"/>
    <w:rsid w:val="00481343"/>
    <w:rsid w:val="0048549E"/>
    <w:rsid w:val="00493347"/>
    <w:rsid w:val="004953EF"/>
    <w:rsid w:val="00496092"/>
    <w:rsid w:val="00496F1D"/>
    <w:rsid w:val="004A08DB"/>
    <w:rsid w:val="004A25D0"/>
    <w:rsid w:val="004A2914"/>
    <w:rsid w:val="004A37E8"/>
    <w:rsid w:val="004A7549"/>
    <w:rsid w:val="004B09D4"/>
    <w:rsid w:val="004B309D"/>
    <w:rsid w:val="004B330A"/>
    <w:rsid w:val="004B7402"/>
    <w:rsid w:val="004B7C8E"/>
    <w:rsid w:val="004C3D3C"/>
    <w:rsid w:val="004C53A9"/>
    <w:rsid w:val="004C5F3D"/>
    <w:rsid w:val="004C73CF"/>
    <w:rsid w:val="004D0668"/>
    <w:rsid w:val="004D0EDC"/>
    <w:rsid w:val="004D1220"/>
    <w:rsid w:val="004D14B3"/>
    <w:rsid w:val="004D1529"/>
    <w:rsid w:val="004D2253"/>
    <w:rsid w:val="004D5514"/>
    <w:rsid w:val="004D56C3"/>
    <w:rsid w:val="004E0338"/>
    <w:rsid w:val="004E4FF3"/>
    <w:rsid w:val="004E56A8"/>
    <w:rsid w:val="004E56C2"/>
    <w:rsid w:val="004F0810"/>
    <w:rsid w:val="004F3B55"/>
    <w:rsid w:val="004F4E46"/>
    <w:rsid w:val="004F6B7D"/>
    <w:rsid w:val="004F75EB"/>
    <w:rsid w:val="005015F6"/>
    <w:rsid w:val="005030C4"/>
    <w:rsid w:val="005031C5"/>
    <w:rsid w:val="00504FDC"/>
    <w:rsid w:val="00505DE0"/>
    <w:rsid w:val="00510B05"/>
    <w:rsid w:val="005120CC"/>
    <w:rsid w:val="00512B7B"/>
    <w:rsid w:val="00514EA1"/>
    <w:rsid w:val="0051798B"/>
    <w:rsid w:val="00521676"/>
    <w:rsid w:val="00521F5A"/>
    <w:rsid w:val="00522AF1"/>
    <w:rsid w:val="00525E06"/>
    <w:rsid w:val="00526454"/>
    <w:rsid w:val="00531823"/>
    <w:rsid w:val="00534ECC"/>
    <w:rsid w:val="0053720D"/>
    <w:rsid w:val="00540EF5"/>
    <w:rsid w:val="00541BF3"/>
    <w:rsid w:val="00541CD3"/>
    <w:rsid w:val="005429E7"/>
    <w:rsid w:val="005476FA"/>
    <w:rsid w:val="00551BC6"/>
    <w:rsid w:val="0055595E"/>
    <w:rsid w:val="00557988"/>
    <w:rsid w:val="00562C49"/>
    <w:rsid w:val="00562DEF"/>
    <w:rsid w:val="0056321A"/>
    <w:rsid w:val="00563A35"/>
    <w:rsid w:val="00566596"/>
    <w:rsid w:val="00567F61"/>
    <w:rsid w:val="005741E9"/>
    <w:rsid w:val="005748CF"/>
    <w:rsid w:val="00575278"/>
    <w:rsid w:val="00577D5B"/>
    <w:rsid w:val="00584270"/>
    <w:rsid w:val="00584738"/>
    <w:rsid w:val="005920B0"/>
    <w:rsid w:val="0059380D"/>
    <w:rsid w:val="00595A8F"/>
    <w:rsid w:val="005977C2"/>
    <w:rsid w:val="00597BF2"/>
    <w:rsid w:val="005A20D9"/>
    <w:rsid w:val="005A663C"/>
    <w:rsid w:val="005B134E"/>
    <w:rsid w:val="005B2039"/>
    <w:rsid w:val="005B344F"/>
    <w:rsid w:val="005B3FBA"/>
    <w:rsid w:val="005B4A1D"/>
    <w:rsid w:val="005B674D"/>
    <w:rsid w:val="005C0CBE"/>
    <w:rsid w:val="005C136A"/>
    <w:rsid w:val="005C1FCF"/>
    <w:rsid w:val="005C5D69"/>
    <w:rsid w:val="005D02C1"/>
    <w:rsid w:val="005D1885"/>
    <w:rsid w:val="005D3D59"/>
    <w:rsid w:val="005D4180"/>
    <w:rsid w:val="005D4A38"/>
    <w:rsid w:val="005E260C"/>
    <w:rsid w:val="005E2EEA"/>
    <w:rsid w:val="005E3708"/>
    <w:rsid w:val="005E3CCD"/>
    <w:rsid w:val="005E3D6B"/>
    <w:rsid w:val="005E5B55"/>
    <w:rsid w:val="005E5E4A"/>
    <w:rsid w:val="005E693D"/>
    <w:rsid w:val="005E75BF"/>
    <w:rsid w:val="005F00E6"/>
    <w:rsid w:val="005F57BA"/>
    <w:rsid w:val="005F61E6"/>
    <w:rsid w:val="005F6C45"/>
    <w:rsid w:val="00605A69"/>
    <w:rsid w:val="0060608C"/>
    <w:rsid w:val="00606C54"/>
    <w:rsid w:val="00614375"/>
    <w:rsid w:val="00614FF7"/>
    <w:rsid w:val="00615B0A"/>
    <w:rsid w:val="006168CF"/>
    <w:rsid w:val="0062011B"/>
    <w:rsid w:val="00620893"/>
    <w:rsid w:val="006221C9"/>
    <w:rsid w:val="0062466A"/>
    <w:rsid w:val="00626DE0"/>
    <w:rsid w:val="00630901"/>
    <w:rsid w:val="00631F8E"/>
    <w:rsid w:val="00636EE9"/>
    <w:rsid w:val="00640950"/>
    <w:rsid w:val="00641AE7"/>
    <w:rsid w:val="00642629"/>
    <w:rsid w:val="0065070E"/>
    <w:rsid w:val="0065293D"/>
    <w:rsid w:val="00653AE2"/>
    <w:rsid w:val="00653EFC"/>
    <w:rsid w:val="00654021"/>
    <w:rsid w:val="00660167"/>
    <w:rsid w:val="00661045"/>
    <w:rsid w:val="00666DA8"/>
    <w:rsid w:val="00667B3B"/>
    <w:rsid w:val="00671057"/>
    <w:rsid w:val="00671341"/>
    <w:rsid w:val="00675AAF"/>
    <w:rsid w:val="0068031A"/>
    <w:rsid w:val="00681B2F"/>
    <w:rsid w:val="0068335F"/>
    <w:rsid w:val="00687217"/>
    <w:rsid w:val="00693302"/>
    <w:rsid w:val="00694906"/>
    <w:rsid w:val="0069640B"/>
    <w:rsid w:val="00697089"/>
    <w:rsid w:val="006A1B83"/>
    <w:rsid w:val="006A1BD1"/>
    <w:rsid w:val="006A21CD"/>
    <w:rsid w:val="006A22FB"/>
    <w:rsid w:val="006A2B8E"/>
    <w:rsid w:val="006A5918"/>
    <w:rsid w:val="006A6D8B"/>
    <w:rsid w:val="006B21B2"/>
    <w:rsid w:val="006B4A4A"/>
    <w:rsid w:val="006C19B2"/>
    <w:rsid w:val="006C5BB8"/>
    <w:rsid w:val="006C6936"/>
    <w:rsid w:val="006C7B01"/>
    <w:rsid w:val="006D0FE8"/>
    <w:rsid w:val="006D3FC5"/>
    <w:rsid w:val="006D4940"/>
    <w:rsid w:val="006D4B2B"/>
    <w:rsid w:val="006D4F3C"/>
    <w:rsid w:val="006D5C66"/>
    <w:rsid w:val="006E1B3C"/>
    <w:rsid w:val="006E23FB"/>
    <w:rsid w:val="006E325A"/>
    <w:rsid w:val="006E33EC"/>
    <w:rsid w:val="006E3802"/>
    <w:rsid w:val="006E6C02"/>
    <w:rsid w:val="006F0001"/>
    <w:rsid w:val="006F231A"/>
    <w:rsid w:val="006F6B55"/>
    <w:rsid w:val="006F788D"/>
    <w:rsid w:val="006F78E1"/>
    <w:rsid w:val="00701072"/>
    <w:rsid w:val="00702054"/>
    <w:rsid w:val="007035A4"/>
    <w:rsid w:val="00711799"/>
    <w:rsid w:val="00712B78"/>
    <w:rsid w:val="0071393B"/>
    <w:rsid w:val="00713EE2"/>
    <w:rsid w:val="00714513"/>
    <w:rsid w:val="007164B5"/>
    <w:rsid w:val="007177FC"/>
    <w:rsid w:val="00720C5E"/>
    <w:rsid w:val="00721701"/>
    <w:rsid w:val="00731835"/>
    <w:rsid w:val="0073225E"/>
    <w:rsid w:val="007341F8"/>
    <w:rsid w:val="00734372"/>
    <w:rsid w:val="00734EB8"/>
    <w:rsid w:val="00735F8B"/>
    <w:rsid w:val="00742D1F"/>
    <w:rsid w:val="00743EBA"/>
    <w:rsid w:val="00744C8E"/>
    <w:rsid w:val="0074707E"/>
    <w:rsid w:val="007516DC"/>
    <w:rsid w:val="00754B80"/>
    <w:rsid w:val="007567A7"/>
    <w:rsid w:val="00761918"/>
    <w:rsid w:val="00762F03"/>
    <w:rsid w:val="0076413B"/>
    <w:rsid w:val="007648AE"/>
    <w:rsid w:val="00764BF8"/>
    <w:rsid w:val="0076514D"/>
    <w:rsid w:val="00773BA3"/>
    <w:rsid w:val="00773D59"/>
    <w:rsid w:val="0077684C"/>
    <w:rsid w:val="0078085D"/>
    <w:rsid w:val="00781003"/>
    <w:rsid w:val="00787972"/>
    <w:rsid w:val="007904E5"/>
    <w:rsid w:val="007911FD"/>
    <w:rsid w:val="007934EF"/>
    <w:rsid w:val="00793930"/>
    <w:rsid w:val="00793DD1"/>
    <w:rsid w:val="00794FEC"/>
    <w:rsid w:val="007A003E"/>
    <w:rsid w:val="007A17E4"/>
    <w:rsid w:val="007A1965"/>
    <w:rsid w:val="007A2ED1"/>
    <w:rsid w:val="007A4BE6"/>
    <w:rsid w:val="007B0DC6"/>
    <w:rsid w:val="007B1094"/>
    <w:rsid w:val="007B158D"/>
    <w:rsid w:val="007B1762"/>
    <w:rsid w:val="007B3320"/>
    <w:rsid w:val="007C301F"/>
    <w:rsid w:val="007C4540"/>
    <w:rsid w:val="007C47AA"/>
    <w:rsid w:val="007C65AF"/>
    <w:rsid w:val="007D0777"/>
    <w:rsid w:val="007D135D"/>
    <w:rsid w:val="007D730F"/>
    <w:rsid w:val="007D7CD8"/>
    <w:rsid w:val="007E0C19"/>
    <w:rsid w:val="007E2B3A"/>
    <w:rsid w:val="007E3AA7"/>
    <w:rsid w:val="007F1C4D"/>
    <w:rsid w:val="007F737D"/>
    <w:rsid w:val="0080308E"/>
    <w:rsid w:val="00805303"/>
    <w:rsid w:val="00806705"/>
    <w:rsid w:val="00806738"/>
    <w:rsid w:val="00810477"/>
    <w:rsid w:val="008216D5"/>
    <w:rsid w:val="008249CE"/>
    <w:rsid w:val="00831A50"/>
    <w:rsid w:val="00831B3C"/>
    <w:rsid w:val="00831C89"/>
    <w:rsid w:val="00832114"/>
    <w:rsid w:val="00834C46"/>
    <w:rsid w:val="00835ACD"/>
    <w:rsid w:val="0084093E"/>
    <w:rsid w:val="00841CE1"/>
    <w:rsid w:val="0084610E"/>
    <w:rsid w:val="008473D8"/>
    <w:rsid w:val="0085212D"/>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27C"/>
    <w:rsid w:val="00893636"/>
    <w:rsid w:val="00893B94"/>
    <w:rsid w:val="00896E9D"/>
    <w:rsid w:val="00896F11"/>
    <w:rsid w:val="008A1049"/>
    <w:rsid w:val="008A1C98"/>
    <w:rsid w:val="008A322D"/>
    <w:rsid w:val="008A4D72"/>
    <w:rsid w:val="008A6285"/>
    <w:rsid w:val="008A63B2"/>
    <w:rsid w:val="008B345D"/>
    <w:rsid w:val="008B68FD"/>
    <w:rsid w:val="008C1FC2"/>
    <w:rsid w:val="008C2980"/>
    <w:rsid w:val="008C4DD6"/>
    <w:rsid w:val="008C5AFB"/>
    <w:rsid w:val="008D07FB"/>
    <w:rsid w:val="008D0C02"/>
    <w:rsid w:val="008D357D"/>
    <w:rsid w:val="008D3ADC"/>
    <w:rsid w:val="008D435A"/>
    <w:rsid w:val="008E387B"/>
    <w:rsid w:val="008E56C5"/>
    <w:rsid w:val="008E6087"/>
    <w:rsid w:val="008E6300"/>
    <w:rsid w:val="008E758D"/>
    <w:rsid w:val="008F10A7"/>
    <w:rsid w:val="008F755D"/>
    <w:rsid w:val="008F7A39"/>
    <w:rsid w:val="009021E8"/>
    <w:rsid w:val="00902860"/>
    <w:rsid w:val="00904677"/>
    <w:rsid w:val="00905EE2"/>
    <w:rsid w:val="00910929"/>
    <w:rsid w:val="00911440"/>
    <w:rsid w:val="00911712"/>
    <w:rsid w:val="00911B27"/>
    <w:rsid w:val="009170BE"/>
    <w:rsid w:val="00920B55"/>
    <w:rsid w:val="009235E3"/>
    <w:rsid w:val="009262C9"/>
    <w:rsid w:val="00930EB9"/>
    <w:rsid w:val="00933DC7"/>
    <w:rsid w:val="00934A65"/>
    <w:rsid w:val="009418F4"/>
    <w:rsid w:val="00942BBC"/>
    <w:rsid w:val="00944180"/>
    <w:rsid w:val="00944AA0"/>
    <w:rsid w:val="00947DA2"/>
    <w:rsid w:val="00951177"/>
    <w:rsid w:val="009673E8"/>
    <w:rsid w:val="009712EB"/>
    <w:rsid w:val="00974DB8"/>
    <w:rsid w:val="00980661"/>
    <w:rsid w:val="0098093B"/>
    <w:rsid w:val="00984FD9"/>
    <w:rsid w:val="009876D4"/>
    <w:rsid w:val="009914A5"/>
    <w:rsid w:val="0099548E"/>
    <w:rsid w:val="009960B1"/>
    <w:rsid w:val="00996456"/>
    <w:rsid w:val="00996A12"/>
    <w:rsid w:val="00997B0F"/>
    <w:rsid w:val="009A1CAD"/>
    <w:rsid w:val="009A3440"/>
    <w:rsid w:val="009A56AF"/>
    <w:rsid w:val="009A5832"/>
    <w:rsid w:val="009A6032"/>
    <w:rsid w:val="009A6838"/>
    <w:rsid w:val="009B24B5"/>
    <w:rsid w:val="009B4EBC"/>
    <w:rsid w:val="009B541D"/>
    <w:rsid w:val="009B5ABB"/>
    <w:rsid w:val="009B73CE"/>
    <w:rsid w:val="009C005C"/>
    <w:rsid w:val="009C2461"/>
    <w:rsid w:val="009C6FBB"/>
    <w:rsid w:val="009C6FE2"/>
    <w:rsid w:val="009C7674"/>
    <w:rsid w:val="009D004A"/>
    <w:rsid w:val="009D5880"/>
    <w:rsid w:val="009E1FD4"/>
    <w:rsid w:val="009E3B07"/>
    <w:rsid w:val="009E4ACC"/>
    <w:rsid w:val="009E51D1"/>
    <w:rsid w:val="009E5531"/>
    <w:rsid w:val="009F171E"/>
    <w:rsid w:val="009F289A"/>
    <w:rsid w:val="009F3D2F"/>
    <w:rsid w:val="009F7052"/>
    <w:rsid w:val="00A02668"/>
    <w:rsid w:val="00A02801"/>
    <w:rsid w:val="00A04384"/>
    <w:rsid w:val="00A06A39"/>
    <w:rsid w:val="00A07A1A"/>
    <w:rsid w:val="00A07F58"/>
    <w:rsid w:val="00A131CB"/>
    <w:rsid w:val="00A14847"/>
    <w:rsid w:val="00A16D6D"/>
    <w:rsid w:val="00A1724C"/>
    <w:rsid w:val="00A20882"/>
    <w:rsid w:val="00A20E5A"/>
    <w:rsid w:val="00A21383"/>
    <w:rsid w:val="00A2199F"/>
    <w:rsid w:val="00A21B31"/>
    <w:rsid w:val="00A2358B"/>
    <w:rsid w:val="00A2360E"/>
    <w:rsid w:val="00A26E0C"/>
    <w:rsid w:val="00A32FCB"/>
    <w:rsid w:val="00A34C25"/>
    <w:rsid w:val="00A3507D"/>
    <w:rsid w:val="00A3717A"/>
    <w:rsid w:val="00A378FE"/>
    <w:rsid w:val="00A4088C"/>
    <w:rsid w:val="00A43D99"/>
    <w:rsid w:val="00A4456B"/>
    <w:rsid w:val="00A448D4"/>
    <w:rsid w:val="00A452E0"/>
    <w:rsid w:val="00A51EA5"/>
    <w:rsid w:val="00A53742"/>
    <w:rsid w:val="00A53916"/>
    <w:rsid w:val="00A557A1"/>
    <w:rsid w:val="00A62B1F"/>
    <w:rsid w:val="00A63059"/>
    <w:rsid w:val="00A63AE3"/>
    <w:rsid w:val="00A651A4"/>
    <w:rsid w:val="00A67A97"/>
    <w:rsid w:val="00A71361"/>
    <w:rsid w:val="00A73EAA"/>
    <w:rsid w:val="00A746E2"/>
    <w:rsid w:val="00A81FF2"/>
    <w:rsid w:val="00A83904"/>
    <w:rsid w:val="00A84EDC"/>
    <w:rsid w:val="00A851A1"/>
    <w:rsid w:val="00A90A79"/>
    <w:rsid w:val="00A933DF"/>
    <w:rsid w:val="00A96B30"/>
    <w:rsid w:val="00AA5473"/>
    <w:rsid w:val="00AA59B5"/>
    <w:rsid w:val="00AA7777"/>
    <w:rsid w:val="00AA7B84"/>
    <w:rsid w:val="00AC0B4C"/>
    <w:rsid w:val="00AC1164"/>
    <w:rsid w:val="00AC2296"/>
    <w:rsid w:val="00AC2754"/>
    <w:rsid w:val="00AC48B0"/>
    <w:rsid w:val="00AC4ACD"/>
    <w:rsid w:val="00AC5DFB"/>
    <w:rsid w:val="00AD13DC"/>
    <w:rsid w:val="00AD6DE2"/>
    <w:rsid w:val="00AE0A40"/>
    <w:rsid w:val="00AE1355"/>
    <w:rsid w:val="00AE1ED4"/>
    <w:rsid w:val="00AE21E1"/>
    <w:rsid w:val="00AE2F8D"/>
    <w:rsid w:val="00AE3BAE"/>
    <w:rsid w:val="00AE46DE"/>
    <w:rsid w:val="00AE4D9B"/>
    <w:rsid w:val="00AE6A21"/>
    <w:rsid w:val="00AF1C8F"/>
    <w:rsid w:val="00AF2B68"/>
    <w:rsid w:val="00AF2C92"/>
    <w:rsid w:val="00AF38D3"/>
    <w:rsid w:val="00AF3EC1"/>
    <w:rsid w:val="00AF5025"/>
    <w:rsid w:val="00AF519F"/>
    <w:rsid w:val="00AF5387"/>
    <w:rsid w:val="00AF55F5"/>
    <w:rsid w:val="00AF7E86"/>
    <w:rsid w:val="00B024B9"/>
    <w:rsid w:val="00B0501C"/>
    <w:rsid w:val="00B077FA"/>
    <w:rsid w:val="00B127D7"/>
    <w:rsid w:val="00B13B0C"/>
    <w:rsid w:val="00B1453A"/>
    <w:rsid w:val="00B15B40"/>
    <w:rsid w:val="00B20F82"/>
    <w:rsid w:val="00B25BD5"/>
    <w:rsid w:val="00B26FAB"/>
    <w:rsid w:val="00B329A5"/>
    <w:rsid w:val="00B34079"/>
    <w:rsid w:val="00B3793A"/>
    <w:rsid w:val="00B401BA"/>
    <w:rsid w:val="00B407E4"/>
    <w:rsid w:val="00B420A1"/>
    <w:rsid w:val="00B425B6"/>
    <w:rsid w:val="00B42A72"/>
    <w:rsid w:val="00B441AE"/>
    <w:rsid w:val="00B45A65"/>
    <w:rsid w:val="00B45F33"/>
    <w:rsid w:val="00B469DE"/>
    <w:rsid w:val="00B46D50"/>
    <w:rsid w:val="00B53170"/>
    <w:rsid w:val="00B548B9"/>
    <w:rsid w:val="00B56DBE"/>
    <w:rsid w:val="00B62999"/>
    <w:rsid w:val="00B63BE3"/>
    <w:rsid w:val="00B64885"/>
    <w:rsid w:val="00B66810"/>
    <w:rsid w:val="00B72BE3"/>
    <w:rsid w:val="00B7311B"/>
    <w:rsid w:val="00B73B80"/>
    <w:rsid w:val="00B75CF5"/>
    <w:rsid w:val="00B770C7"/>
    <w:rsid w:val="00B80F26"/>
    <w:rsid w:val="00B822BD"/>
    <w:rsid w:val="00B842F4"/>
    <w:rsid w:val="00B91A7B"/>
    <w:rsid w:val="00B929DD"/>
    <w:rsid w:val="00B93AF6"/>
    <w:rsid w:val="00B95405"/>
    <w:rsid w:val="00B963F1"/>
    <w:rsid w:val="00BA020A"/>
    <w:rsid w:val="00BB02A4"/>
    <w:rsid w:val="00BB1270"/>
    <w:rsid w:val="00BB1E44"/>
    <w:rsid w:val="00BB5267"/>
    <w:rsid w:val="00BB52B8"/>
    <w:rsid w:val="00BB53AE"/>
    <w:rsid w:val="00BB55A0"/>
    <w:rsid w:val="00BB59D8"/>
    <w:rsid w:val="00BB7E69"/>
    <w:rsid w:val="00BC0E51"/>
    <w:rsid w:val="00BC3C1F"/>
    <w:rsid w:val="00BC7CE7"/>
    <w:rsid w:val="00BD295E"/>
    <w:rsid w:val="00BD4664"/>
    <w:rsid w:val="00BE1193"/>
    <w:rsid w:val="00BE1590"/>
    <w:rsid w:val="00BE2CB2"/>
    <w:rsid w:val="00BF4849"/>
    <w:rsid w:val="00BF4C52"/>
    <w:rsid w:val="00BF4EA7"/>
    <w:rsid w:val="00C00EDB"/>
    <w:rsid w:val="00C01519"/>
    <w:rsid w:val="00C02863"/>
    <w:rsid w:val="00C0383A"/>
    <w:rsid w:val="00C067FF"/>
    <w:rsid w:val="00C12862"/>
    <w:rsid w:val="00C13D28"/>
    <w:rsid w:val="00C14585"/>
    <w:rsid w:val="00C14A51"/>
    <w:rsid w:val="00C1646D"/>
    <w:rsid w:val="00C165A0"/>
    <w:rsid w:val="00C169F2"/>
    <w:rsid w:val="00C216CE"/>
    <w:rsid w:val="00C2184F"/>
    <w:rsid w:val="00C22A78"/>
    <w:rsid w:val="00C23C7E"/>
    <w:rsid w:val="00C246C5"/>
    <w:rsid w:val="00C25A82"/>
    <w:rsid w:val="00C27C49"/>
    <w:rsid w:val="00C30A2A"/>
    <w:rsid w:val="00C31086"/>
    <w:rsid w:val="00C33993"/>
    <w:rsid w:val="00C35D78"/>
    <w:rsid w:val="00C4069E"/>
    <w:rsid w:val="00C41ADC"/>
    <w:rsid w:val="00C44149"/>
    <w:rsid w:val="00C44410"/>
    <w:rsid w:val="00C44A15"/>
    <w:rsid w:val="00C4630A"/>
    <w:rsid w:val="00C523F0"/>
    <w:rsid w:val="00C526D2"/>
    <w:rsid w:val="00C52C68"/>
    <w:rsid w:val="00C53A91"/>
    <w:rsid w:val="00C5794E"/>
    <w:rsid w:val="00C60968"/>
    <w:rsid w:val="00C63D39"/>
    <w:rsid w:val="00C63EDD"/>
    <w:rsid w:val="00C658AA"/>
    <w:rsid w:val="00C65B36"/>
    <w:rsid w:val="00C7292E"/>
    <w:rsid w:val="00C74E88"/>
    <w:rsid w:val="00C80924"/>
    <w:rsid w:val="00C82740"/>
    <w:rsid w:val="00C8286B"/>
    <w:rsid w:val="00C947F8"/>
    <w:rsid w:val="00C9515F"/>
    <w:rsid w:val="00C963C5"/>
    <w:rsid w:val="00CA030C"/>
    <w:rsid w:val="00CA1F41"/>
    <w:rsid w:val="00CA32EE"/>
    <w:rsid w:val="00CA5771"/>
    <w:rsid w:val="00CA6A1A"/>
    <w:rsid w:val="00CC1E75"/>
    <w:rsid w:val="00CC2E0E"/>
    <w:rsid w:val="00CC361C"/>
    <w:rsid w:val="00CC474B"/>
    <w:rsid w:val="00CC5E26"/>
    <w:rsid w:val="00CC658C"/>
    <w:rsid w:val="00CC67BF"/>
    <w:rsid w:val="00CD0843"/>
    <w:rsid w:val="00CD1BBA"/>
    <w:rsid w:val="00CD4293"/>
    <w:rsid w:val="00CD5A78"/>
    <w:rsid w:val="00CD7345"/>
    <w:rsid w:val="00CE2710"/>
    <w:rsid w:val="00CE372E"/>
    <w:rsid w:val="00CF0A1B"/>
    <w:rsid w:val="00CF19F6"/>
    <w:rsid w:val="00CF2F4F"/>
    <w:rsid w:val="00CF4564"/>
    <w:rsid w:val="00CF536D"/>
    <w:rsid w:val="00D02E9D"/>
    <w:rsid w:val="00D10CB8"/>
    <w:rsid w:val="00D12806"/>
    <w:rsid w:val="00D12D44"/>
    <w:rsid w:val="00D15018"/>
    <w:rsid w:val="00D158AC"/>
    <w:rsid w:val="00D1694C"/>
    <w:rsid w:val="00D20F5E"/>
    <w:rsid w:val="00D23B76"/>
    <w:rsid w:val="00D24B4A"/>
    <w:rsid w:val="00D344A0"/>
    <w:rsid w:val="00D379A3"/>
    <w:rsid w:val="00D43801"/>
    <w:rsid w:val="00D45FF3"/>
    <w:rsid w:val="00D512CF"/>
    <w:rsid w:val="00D528B9"/>
    <w:rsid w:val="00D53186"/>
    <w:rsid w:val="00D542E7"/>
    <w:rsid w:val="00D5487D"/>
    <w:rsid w:val="00D60140"/>
    <w:rsid w:val="00D6024A"/>
    <w:rsid w:val="00D608B5"/>
    <w:rsid w:val="00D64739"/>
    <w:rsid w:val="00D71F99"/>
    <w:rsid w:val="00D73CA4"/>
    <w:rsid w:val="00D73D71"/>
    <w:rsid w:val="00D74396"/>
    <w:rsid w:val="00D7476C"/>
    <w:rsid w:val="00D80284"/>
    <w:rsid w:val="00D8045D"/>
    <w:rsid w:val="00D81F71"/>
    <w:rsid w:val="00D8642D"/>
    <w:rsid w:val="00D90A5E"/>
    <w:rsid w:val="00D91A68"/>
    <w:rsid w:val="00D94989"/>
    <w:rsid w:val="00D95A68"/>
    <w:rsid w:val="00DA17C7"/>
    <w:rsid w:val="00DA2CDA"/>
    <w:rsid w:val="00DA6A9A"/>
    <w:rsid w:val="00DB045E"/>
    <w:rsid w:val="00DB1EFD"/>
    <w:rsid w:val="00DB3EAF"/>
    <w:rsid w:val="00DB46C6"/>
    <w:rsid w:val="00DB7C31"/>
    <w:rsid w:val="00DC3203"/>
    <w:rsid w:val="00DC3C99"/>
    <w:rsid w:val="00DC52F5"/>
    <w:rsid w:val="00DC5FD0"/>
    <w:rsid w:val="00DD0354"/>
    <w:rsid w:val="00DD27D7"/>
    <w:rsid w:val="00DD2C6E"/>
    <w:rsid w:val="00DD3D86"/>
    <w:rsid w:val="00DD458C"/>
    <w:rsid w:val="00DD72E9"/>
    <w:rsid w:val="00DD7327"/>
    <w:rsid w:val="00DD7605"/>
    <w:rsid w:val="00DD7DF2"/>
    <w:rsid w:val="00DE2020"/>
    <w:rsid w:val="00DE3476"/>
    <w:rsid w:val="00DE7BEA"/>
    <w:rsid w:val="00DF5B84"/>
    <w:rsid w:val="00DF6D5B"/>
    <w:rsid w:val="00DF771B"/>
    <w:rsid w:val="00DF7A6D"/>
    <w:rsid w:val="00DF7EE2"/>
    <w:rsid w:val="00E01BAA"/>
    <w:rsid w:val="00E0282A"/>
    <w:rsid w:val="00E02F9B"/>
    <w:rsid w:val="00E07E14"/>
    <w:rsid w:val="00E14F94"/>
    <w:rsid w:val="00E17336"/>
    <w:rsid w:val="00E17D15"/>
    <w:rsid w:val="00E22B95"/>
    <w:rsid w:val="00E30331"/>
    <w:rsid w:val="00E30BB8"/>
    <w:rsid w:val="00E31F9C"/>
    <w:rsid w:val="00E3226D"/>
    <w:rsid w:val="00E40488"/>
    <w:rsid w:val="00E44986"/>
    <w:rsid w:val="00E50367"/>
    <w:rsid w:val="00E51ABA"/>
    <w:rsid w:val="00E524CB"/>
    <w:rsid w:val="00E62772"/>
    <w:rsid w:val="00E6324A"/>
    <w:rsid w:val="00E65456"/>
    <w:rsid w:val="00E65A91"/>
    <w:rsid w:val="00E66188"/>
    <w:rsid w:val="00E664FB"/>
    <w:rsid w:val="00E67146"/>
    <w:rsid w:val="00E672F0"/>
    <w:rsid w:val="00E70373"/>
    <w:rsid w:val="00E72AFA"/>
    <w:rsid w:val="00E72E40"/>
    <w:rsid w:val="00E73665"/>
    <w:rsid w:val="00E73999"/>
    <w:rsid w:val="00E73BDC"/>
    <w:rsid w:val="00E73E9E"/>
    <w:rsid w:val="00E81660"/>
    <w:rsid w:val="00E83244"/>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06A6"/>
    <w:rsid w:val="00ED1DE9"/>
    <w:rsid w:val="00ED23D4"/>
    <w:rsid w:val="00ED378B"/>
    <w:rsid w:val="00ED5E0B"/>
    <w:rsid w:val="00EE26D1"/>
    <w:rsid w:val="00EE37B6"/>
    <w:rsid w:val="00EF0F45"/>
    <w:rsid w:val="00EF15B3"/>
    <w:rsid w:val="00EF7463"/>
    <w:rsid w:val="00EF7971"/>
    <w:rsid w:val="00F002EF"/>
    <w:rsid w:val="00F01EE9"/>
    <w:rsid w:val="00F02F67"/>
    <w:rsid w:val="00F04900"/>
    <w:rsid w:val="00F065A4"/>
    <w:rsid w:val="00F126B9"/>
    <w:rsid w:val="00F12715"/>
    <w:rsid w:val="00F144D5"/>
    <w:rsid w:val="00F146F0"/>
    <w:rsid w:val="00F14EEF"/>
    <w:rsid w:val="00F15039"/>
    <w:rsid w:val="00F1639F"/>
    <w:rsid w:val="00F20FF3"/>
    <w:rsid w:val="00F2190B"/>
    <w:rsid w:val="00F228B5"/>
    <w:rsid w:val="00F2389C"/>
    <w:rsid w:val="00F25C67"/>
    <w:rsid w:val="00F30DFF"/>
    <w:rsid w:val="00F32B80"/>
    <w:rsid w:val="00F340EB"/>
    <w:rsid w:val="00F35285"/>
    <w:rsid w:val="00F43B9D"/>
    <w:rsid w:val="00F44D5E"/>
    <w:rsid w:val="00F46C19"/>
    <w:rsid w:val="00F53A35"/>
    <w:rsid w:val="00F5542E"/>
    <w:rsid w:val="00F55A3D"/>
    <w:rsid w:val="00F5744B"/>
    <w:rsid w:val="00F57CAB"/>
    <w:rsid w:val="00F61209"/>
    <w:rsid w:val="00F6259E"/>
    <w:rsid w:val="00F65DD4"/>
    <w:rsid w:val="00F672B2"/>
    <w:rsid w:val="00F744E8"/>
    <w:rsid w:val="00F764A6"/>
    <w:rsid w:val="00F83973"/>
    <w:rsid w:val="00F87FA3"/>
    <w:rsid w:val="00F90483"/>
    <w:rsid w:val="00F93D8C"/>
    <w:rsid w:val="00F954DC"/>
    <w:rsid w:val="00FA3102"/>
    <w:rsid w:val="00FA48D4"/>
    <w:rsid w:val="00FA54FA"/>
    <w:rsid w:val="00FA5A77"/>
    <w:rsid w:val="00FA6D39"/>
    <w:rsid w:val="00FB227E"/>
    <w:rsid w:val="00FB3D61"/>
    <w:rsid w:val="00FB44CE"/>
    <w:rsid w:val="00FB5009"/>
    <w:rsid w:val="00FB76AB"/>
    <w:rsid w:val="00FD03FE"/>
    <w:rsid w:val="00FD126E"/>
    <w:rsid w:val="00FD3C36"/>
    <w:rsid w:val="00FD4D81"/>
    <w:rsid w:val="00FD7498"/>
    <w:rsid w:val="00FD7596"/>
    <w:rsid w:val="00FD7FB3"/>
    <w:rsid w:val="00FE4713"/>
    <w:rsid w:val="00FE4CAF"/>
    <w:rsid w:val="00FF1F44"/>
    <w:rsid w:val="00FF225E"/>
    <w:rsid w:val="00FF672C"/>
    <w:rsid w:val="00FF6CE8"/>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2579E"/>
  <w15:docId w15:val="{3523B4FD-D75B-4AB3-8D8E-6E540C08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Balk1">
    <w:name w:val="heading 1"/>
    <w:basedOn w:val="Normal"/>
    <w:next w:val="Paragraph"/>
    <w:link w:val="Balk1Char"/>
    <w:qFormat/>
    <w:rsid w:val="00AE1ED4"/>
    <w:pPr>
      <w:keepNext/>
      <w:spacing w:before="360" w:after="60" w:line="360" w:lineRule="auto"/>
      <w:ind w:right="567"/>
      <w:contextualSpacing/>
      <w:outlineLvl w:val="0"/>
    </w:pPr>
    <w:rPr>
      <w:rFonts w:cs="Arial"/>
      <w:b/>
      <w:bCs/>
      <w:kern w:val="32"/>
      <w:szCs w:val="32"/>
    </w:rPr>
  </w:style>
  <w:style w:type="paragraph" w:styleId="Balk2">
    <w:name w:val="heading 2"/>
    <w:basedOn w:val="Normal"/>
    <w:next w:val="Paragraph"/>
    <w:link w:val="Balk2Char"/>
    <w:qFormat/>
    <w:rsid w:val="008D07FB"/>
    <w:pPr>
      <w:keepNext/>
      <w:spacing w:before="360" w:after="60" w:line="360" w:lineRule="auto"/>
      <w:ind w:right="567"/>
      <w:contextualSpacing/>
      <w:outlineLvl w:val="1"/>
    </w:pPr>
    <w:rPr>
      <w:rFonts w:cs="Arial"/>
      <w:b/>
      <w:bCs/>
      <w:i/>
      <w:iCs/>
      <w:szCs w:val="28"/>
    </w:rPr>
  </w:style>
  <w:style w:type="paragraph" w:styleId="Balk3">
    <w:name w:val="heading 3"/>
    <w:basedOn w:val="Normal"/>
    <w:next w:val="Paragraph"/>
    <w:link w:val="Balk3Char"/>
    <w:qFormat/>
    <w:rsid w:val="00DF7EE2"/>
    <w:pPr>
      <w:keepNext/>
      <w:spacing w:before="360" w:after="60" w:line="360" w:lineRule="auto"/>
      <w:ind w:right="567"/>
      <w:contextualSpacing/>
      <w:outlineLvl w:val="2"/>
    </w:pPr>
    <w:rPr>
      <w:rFonts w:cs="Arial"/>
      <w:bCs/>
      <w:i/>
      <w:szCs w:val="26"/>
    </w:rPr>
  </w:style>
  <w:style w:type="paragraph" w:styleId="Balk4">
    <w:name w:val="heading 4"/>
    <w:basedOn w:val="Paragraph"/>
    <w:next w:val="Newparagraph"/>
    <w:link w:val="Balk4Char"/>
    <w:rsid w:val="00F43B9D"/>
    <w:pPr>
      <w:spacing w:before="360"/>
      <w:outlineLvl w:val="3"/>
    </w:pPr>
    <w:rPr>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Girinti">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Balk2Char">
    <w:name w:val="Başlık 2 Char"/>
    <w:basedOn w:val="VarsaylanParagrafYazTipi"/>
    <w:link w:val="Balk2"/>
    <w:rsid w:val="008D07FB"/>
    <w:rPr>
      <w:rFonts w:cs="Arial"/>
      <w:b/>
      <w:bCs/>
      <w:i/>
      <w:iCs/>
      <w:sz w:val="24"/>
      <w:szCs w:val="28"/>
    </w:rPr>
  </w:style>
  <w:style w:type="character" w:customStyle="1" w:styleId="Balk1Char">
    <w:name w:val="Başlık 1 Char"/>
    <w:basedOn w:val="VarsaylanParagrafYazTipi"/>
    <w:link w:val="Balk1"/>
    <w:rsid w:val="00AE1ED4"/>
    <w:rPr>
      <w:rFonts w:cs="Arial"/>
      <w:b/>
      <w:bCs/>
      <w:kern w:val="32"/>
      <w:sz w:val="24"/>
      <w:szCs w:val="32"/>
    </w:rPr>
  </w:style>
  <w:style w:type="character" w:customStyle="1" w:styleId="Balk3Char">
    <w:name w:val="Başlık 3 Char"/>
    <w:basedOn w:val="VarsaylanParagrafYazTipi"/>
    <w:link w:val="Balk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DipnotMetni">
    <w:name w:val="footnote text"/>
    <w:basedOn w:val="Normal"/>
    <w:link w:val="DipnotMetniChar"/>
    <w:autoRedefine/>
    <w:rsid w:val="006C19B2"/>
    <w:pPr>
      <w:ind w:left="284" w:hanging="284"/>
    </w:pPr>
    <w:rPr>
      <w:sz w:val="22"/>
      <w:szCs w:val="20"/>
    </w:rPr>
  </w:style>
  <w:style w:type="character" w:customStyle="1" w:styleId="DipnotMetniChar">
    <w:name w:val="Dipnot Metni Char"/>
    <w:basedOn w:val="VarsaylanParagrafYazTipi"/>
    <w:link w:val="DipnotMetni"/>
    <w:rsid w:val="006C19B2"/>
    <w:rPr>
      <w:sz w:val="22"/>
    </w:rPr>
  </w:style>
  <w:style w:type="character" w:styleId="DipnotBavurusu">
    <w:name w:val="footnote reference"/>
    <w:basedOn w:val="VarsaylanParagrafYazTipi"/>
    <w:rsid w:val="00AF2C92"/>
    <w:rPr>
      <w:vertAlign w:val="superscript"/>
    </w:rPr>
  </w:style>
  <w:style w:type="paragraph" w:styleId="SonNotMetni">
    <w:name w:val="endnote text"/>
    <w:basedOn w:val="Normal"/>
    <w:link w:val="SonNotMetniChar"/>
    <w:autoRedefine/>
    <w:rsid w:val="006C19B2"/>
    <w:pPr>
      <w:ind w:left="284" w:hanging="284"/>
    </w:pPr>
    <w:rPr>
      <w:sz w:val="22"/>
      <w:szCs w:val="20"/>
    </w:rPr>
  </w:style>
  <w:style w:type="character" w:customStyle="1" w:styleId="SonNotMetniChar">
    <w:name w:val="Son Not Metni Char"/>
    <w:basedOn w:val="VarsaylanParagrafYazTipi"/>
    <w:link w:val="SonNotMetni"/>
    <w:rsid w:val="006C19B2"/>
    <w:rPr>
      <w:sz w:val="22"/>
    </w:rPr>
  </w:style>
  <w:style w:type="character" w:styleId="SonNotBavurusu">
    <w:name w:val="endnote reference"/>
    <w:basedOn w:val="VarsaylanParagrafYazTipi"/>
    <w:rsid w:val="00EC571B"/>
    <w:rPr>
      <w:vertAlign w:val="superscript"/>
    </w:rPr>
  </w:style>
  <w:style w:type="character" w:customStyle="1" w:styleId="Balk4Char">
    <w:name w:val="Başlık 4 Char"/>
    <w:basedOn w:val="VarsaylanParagrafYazTipi"/>
    <w:link w:val="Balk4"/>
    <w:rsid w:val="00F43B9D"/>
    <w:rPr>
      <w:bCs/>
      <w:sz w:val="24"/>
      <w:szCs w:val="28"/>
    </w:rPr>
  </w:style>
  <w:style w:type="paragraph" w:styleId="stBilgi">
    <w:name w:val="header"/>
    <w:basedOn w:val="Normal"/>
    <w:link w:val="stBilgiChar"/>
    <w:rsid w:val="003F193A"/>
    <w:pPr>
      <w:tabs>
        <w:tab w:val="center" w:pos="4320"/>
        <w:tab w:val="right" w:pos="8640"/>
      </w:tabs>
      <w:spacing w:after="120" w:line="240" w:lineRule="auto"/>
      <w:contextualSpacing/>
    </w:pPr>
  </w:style>
  <w:style w:type="character" w:customStyle="1" w:styleId="stBilgiChar">
    <w:name w:val="Üst Bilgi Char"/>
    <w:basedOn w:val="VarsaylanParagrafYazTipi"/>
    <w:link w:val="stBilgi"/>
    <w:rsid w:val="003F193A"/>
    <w:rPr>
      <w:rFonts w:eastAsia="Times New Roman"/>
      <w:sz w:val="24"/>
      <w:szCs w:val="24"/>
      <w:lang w:eastAsia="en-GB"/>
    </w:rPr>
  </w:style>
  <w:style w:type="paragraph" w:styleId="AltBilgi">
    <w:name w:val="footer"/>
    <w:basedOn w:val="Normal"/>
    <w:link w:val="AltBilgiChar"/>
    <w:uiPriority w:val="99"/>
    <w:rsid w:val="00AE6A21"/>
    <w:pPr>
      <w:tabs>
        <w:tab w:val="center" w:pos="4320"/>
        <w:tab w:val="right" w:pos="8640"/>
      </w:tabs>
      <w:spacing w:before="240" w:line="240" w:lineRule="auto"/>
      <w:contextualSpacing/>
    </w:pPr>
  </w:style>
  <w:style w:type="character" w:customStyle="1" w:styleId="AltBilgiChar">
    <w:name w:val="Alt Bilgi Char"/>
    <w:basedOn w:val="VarsaylanParagrafYazTipi"/>
    <w:link w:val="AltBilgi"/>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ref-journal">
    <w:name w:val="ref-journal"/>
    <w:basedOn w:val="VarsaylanParagrafYazTipi"/>
    <w:rsid w:val="00A62B1F"/>
  </w:style>
  <w:style w:type="character" w:customStyle="1" w:styleId="ref-vol">
    <w:name w:val="ref-vol"/>
    <w:basedOn w:val="VarsaylanParagrafYazTipi"/>
    <w:rsid w:val="00A62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331E9-62E1-4D37-9568-61F94095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13</Pages>
  <Words>10397</Words>
  <Characters>59269</Characters>
  <Application>Microsoft Office Word</Application>
  <DocSecurity>0</DocSecurity>
  <Lines>493</Lines>
  <Paragraphs>139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TF_Template_Word_Windows_2010</vt:lpstr>
      <vt:lpstr>TF_Template_Word_Mac_2008</vt:lpstr>
    </vt:vector>
  </TitlesOfParts>
  <Company>Informa Plc</Company>
  <LinksUpToDate>false</LinksUpToDate>
  <CharactersWithSpaces>69527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CASPER-PC</dc:creator>
  <cp:lastModifiedBy>SEL�M DURMAZ</cp:lastModifiedBy>
  <cp:revision>23</cp:revision>
  <cp:lastPrinted>2011-07-22T14:54:00Z</cp:lastPrinted>
  <dcterms:created xsi:type="dcterms:W3CDTF">2021-02-15T16:45:00Z</dcterms:created>
  <dcterms:modified xsi:type="dcterms:W3CDTF">2021-03-31T18:48:00Z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http://www.zotero.org/styles/journal-of-pharmacy-and-pharmacology</vt:lpwstr>
  </property>
  <property fmtid="{D5CDD505-2E9C-101B-9397-08002B2CF9AE}" pid="11" name="Mendeley Recent Style Name 4_1">
    <vt:lpwstr>Journal of Pharmacy and Pharmacology</vt:lpwstr>
  </property>
  <property fmtid="{D5CDD505-2E9C-101B-9397-08002B2CF9AE}" pid="12" name="Mendeley Recent Style Id 5_1">
    <vt:lpwstr>http://www.zotero.org/styles/mediterranean-journal-of-infection-microbes-and-antimicrobials</vt:lpwstr>
  </property>
  <property fmtid="{D5CDD505-2E9C-101B-9397-08002B2CF9AE}" pid="13" name="Mendeley Recent Style Name 5_1">
    <vt:lpwstr>Mediterranean Journal of Infection, Microbes and Antimicrobials</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http://www.zotero.org/styles/ulusal-travma-ve-acil-cerrahi-dergisi</vt:lpwstr>
  </property>
  <property fmtid="{D5CDD505-2E9C-101B-9397-08002B2CF9AE}" pid="19" name="Mendeley Recent Style Name 8_1">
    <vt:lpwstr>Ulusal Travma ve Acil Cerrahi Dergisi (Turkish Journal of Trauma &amp; Emergency Surgery)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1e702e38-85d5-3b42-8637-f17287a6ddc5</vt:lpwstr>
  </property>
  <property fmtid="{D5CDD505-2E9C-101B-9397-08002B2CF9AE}" pid="24" name="Mendeley Citation Style_1">
    <vt:lpwstr>http://www.zotero.org/styles/ulusal-travma-ve-acil-cerrahi-dergisi</vt:lpwstr>
  </property>
</Properties>
</file>