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58E" w:rsidRPr="004E4C0E" w:rsidRDefault="001B619B" w:rsidP="00A27852">
      <w:pPr>
        <w:widowControl/>
        <w:autoSpaceDE w:val="0"/>
        <w:autoSpaceDN w:val="0"/>
        <w:adjustRightInd w:val="0"/>
        <w:spacing w:line="360" w:lineRule="auto"/>
        <w:jc w:val="center"/>
        <w:rPr>
          <w:b/>
          <w:bCs/>
          <w:kern w:val="0"/>
          <w:sz w:val="20"/>
          <w:lang w:bidi="th-TH"/>
        </w:rPr>
      </w:pPr>
      <w:r w:rsidRPr="004E4C0E">
        <w:rPr>
          <w:b/>
          <w:bCs/>
          <w:kern w:val="0"/>
          <w:sz w:val="20"/>
          <w:lang w:bidi="th-TH"/>
        </w:rPr>
        <w:t>Derivation and validation of an exclusive pre-operative risk evaluation system in HIV-infected patients undergoing surgery</w:t>
      </w:r>
    </w:p>
    <w:p w:rsidR="0064358E" w:rsidRPr="004E4C0E" w:rsidRDefault="0064358E" w:rsidP="00A27852">
      <w:pPr>
        <w:widowControl/>
        <w:autoSpaceDE w:val="0"/>
        <w:autoSpaceDN w:val="0"/>
        <w:adjustRightInd w:val="0"/>
        <w:spacing w:line="360" w:lineRule="auto"/>
        <w:jc w:val="center"/>
        <w:rPr>
          <w:b/>
          <w:bCs/>
          <w:kern w:val="0"/>
          <w:sz w:val="20"/>
          <w:lang w:bidi="th-TH"/>
        </w:rPr>
      </w:pPr>
    </w:p>
    <w:p w:rsidR="0064358E" w:rsidRPr="004E4C0E" w:rsidRDefault="001B619B" w:rsidP="00A27852">
      <w:pPr>
        <w:widowControl/>
        <w:autoSpaceDE w:val="0"/>
        <w:autoSpaceDN w:val="0"/>
        <w:adjustRightInd w:val="0"/>
        <w:spacing w:line="360" w:lineRule="auto"/>
        <w:jc w:val="left"/>
        <w:rPr>
          <w:bCs/>
          <w:sz w:val="20"/>
        </w:rPr>
      </w:pPr>
      <w:proofErr w:type="spellStart"/>
      <w:r w:rsidRPr="004E4C0E">
        <w:rPr>
          <w:bCs/>
          <w:sz w:val="20"/>
        </w:rPr>
        <w:t>Baochi</w:t>
      </w:r>
      <w:proofErr w:type="spellEnd"/>
      <w:r w:rsidRPr="004E4C0E">
        <w:rPr>
          <w:bCs/>
          <w:sz w:val="20"/>
        </w:rPr>
        <w:t xml:space="preserve"> </w:t>
      </w:r>
      <w:proofErr w:type="spellStart"/>
      <w:r w:rsidRPr="004E4C0E">
        <w:rPr>
          <w:bCs/>
          <w:sz w:val="20"/>
        </w:rPr>
        <w:t>Liu</w:t>
      </w:r>
      <w:r w:rsidR="009B4B73" w:rsidRPr="004E4C0E">
        <w:rPr>
          <w:rFonts w:hint="eastAsia"/>
          <w:bCs/>
          <w:sz w:val="20"/>
          <w:vertAlign w:val="superscript"/>
        </w:rPr>
        <w:t>a</w:t>
      </w:r>
      <w:proofErr w:type="spellEnd"/>
      <w:r w:rsidRPr="004E4C0E">
        <w:rPr>
          <w:bCs/>
          <w:sz w:val="20"/>
          <w:vertAlign w:val="superscript"/>
        </w:rPr>
        <w:t>,*</w:t>
      </w:r>
      <w:r w:rsidR="00972308" w:rsidRPr="004E4C0E">
        <w:rPr>
          <w:rFonts w:hint="eastAsia"/>
          <w:bCs/>
          <w:sz w:val="20"/>
          <w:vertAlign w:val="superscript"/>
        </w:rPr>
        <w:t>#</w:t>
      </w:r>
      <w:r w:rsidRPr="004E4C0E">
        <w:rPr>
          <w:bCs/>
          <w:sz w:val="20"/>
        </w:rPr>
        <w:t xml:space="preserve">, </w:t>
      </w:r>
      <w:proofErr w:type="spellStart"/>
      <w:r w:rsidRPr="004E4C0E">
        <w:rPr>
          <w:bCs/>
          <w:sz w:val="20"/>
        </w:rPr>
        <w:t>Tienan</w:t>
      </w:r>
      <w:proofErr w:type="spellEnd"/>
      <w:r w:rsidRPr="004E4C0E">
        <w:rPr>
          <w:bCs/>
          <w:sz w:val="20"/>
        </w:rPr>
        <w:t xml:space="preserve"> </w:t>
      </w:r>
      <w:proofErr w:type="spellStart"/>
      <w:r w:rsidRPr="004E4C0E">
        <w:rPr>
          <w:bCs/>
          <w:sz w:val="20"/>
        </w:rPr>
        <w:t>Feng</w:t>
      </w:r>
      <w:r w:rsidR="009B4B73" w:rsidRPr="004E4C0E">
        <w:rPr>
          <w:rFonts w:hint="eastAsia"/>
          <w:bCs/>
          <w:sz w:val="20"/>
          <w:vertAlign w:val="superscript"/>
        </w:rPr>
        <w:t>b</w:t>
      </w:r>
      <w:proofErr w:type="spellEnd"/>
      <w:r w:rsidRPr="004E4C0E">
        <w:rPr>
          <w:bCs/>
          <w:sz w:val="20"/>
          <w:vertAlign w:val="superscript"/>
        </w:rPr>
        <w:t>,*</w:t>
      </w:r>
      <w:r w:rsidRPr="004E4C0E">
        <w:rPr>
          <w:bCs/>
          <w:sz w:val="20"/>
        </w:rPr>
        <w:t xml:space="preserve">, </w:t>
      </w:r>
      <w:proofErr w:type="spellStart"/>
      <w:r w:rsidRPr="004E4C0E">
        <w:rPr>
          <w:bCs/>
          <w:sz w:val="20"/>
        </w:rPr>
        <w:t>Xiuling</w:t>
      </w:r>
      <w:proofErr w:type="spellEnd"/>
      <w:r w:rsidRPr="004E4C0E">
        <w:rPr>
          <w:bCs/>
          <w:sz w:val="20"/>
        </w:rPr>
        <w:t xml:space="preserve"> </w:t>
      </w:r>
      <w:proofErr w:type="spellStart"/>
      <w:r w:rsidRPr="004E4C0E">
        <w:rPr>
          <w:bCs/>
          <w:sz w:val="20"/>
        </w:rPr>
        <w:t>Feng</w:t>
      </w:r>
      <w:r w:rsidR="009B4B73" w:rsidRPr="004E4C0E">
        <w:rPr>
          <w:rFonts w:hint="eastAsia"/>
          <w:bCs/>
          <w:sz w:val="20"/>
          <w:vertAlign w:val="superscript"/>
        </w:rPr>
        <w:t>c</w:t>
      </w:r>
      <w:proofErr w:type="spellEnd"/>
      <w:r w:rsidRPr="004E4C0E">
        <w:rPr>
          <w:bCs/>
          <w:sz w:val="20"/>
          <w:vertAlign w:val="superscript"/>
        </w:rPr>
        <w:t>,*</w:t>
      </w:r>
      <w:r w:rsidRPr="004E4C0E">
        <w:rPr>
          <w:bCs/>
          <w:sz w:val="20"/>
        </w:rPr>
        <w:t>,</w:t>
      </w:r>
      <w:r w:rsidR="00972308" w:rsidRPr="004E4C0E">
        <w:rPr>
          <w:rFonts w:hint="eastAsia"/>
          <w:bCs/>
          <w:sz w:val="20"/>
        </w:rPr>
        <w:t xml:space="preserve"> </w:t>
      </w:r>
      <w:proofErr w:type="spellStart"/>
      <w:r w:rsidRPr="004E4C0E">
        <w:rPr>
          <w:bCs/>
          <w:sz w:val="20"/>
        </w:rPr>
        <w:t>Xiaodong</w:t>
      </w:r>
      <w:proofErr w:type="spellEnd"/>
      <w:r w:rsidRPr="004E4C0E">
        <w:rPr>
          <w:bCs/>
          <w:sz w:val="20"/>
        </w:rPr>
        <w:t xml:space="preserve"> </w:t>
      </w:r>
      <w:proofErr w:type="spellStart"/>
      <w:r w:rsidRPr="004E4C0E">
        <w:rPr>
          <w:bCs/>
          <w:sz w:val="20"/>
        </w:rPr>
        <w:t>Chen</w:t>
      </w:r>
      <w:r w:rsidR="009B4B73" w:rsidRPr="004E4C0E">
        <w:rPr>
          <w:rFonts w:hint="eastAsia"/>
          <w:bCs/>
          <w:sz w:val="20"/>
          <w:vertAlign w:val="superscript"/>
        </w:rPr>
        <w:t>d</w:t>
      </w:r>
      <w:proofErr w:type="spellEnd"/>
      <w:r w:rsidRPr="004E4C0E">
        <w:rPr>
          <w:bCs/>
          <w:sz w:val="20"/>
        </w:rPr>
        <w:t xml:space="preserve">, Ying </w:t>
      </w:r>
      <w:proofErr w:type="spellStart"/>
      <w:r w:rsidRPr="004E4C0E">
        <w:rPr>
          <w:bCs/>
          <w:sz w:val="20"/>
        </w:rPr>
        <w:t>Wang</w:t>
      </w:r>
      <w:r w:rsidR="009B4B73" w:rsidRPr="004E4C0E">
        <w:rPr>
          <w:rFonts w:hint="eastAsia"/>
          <w:bCs/>
          <w:sz w:val="20"/>
          <w:vertAlign w:val="superscript"/>
        </w:rPr>
        <w:t>d</w:t>
      </w:r>
      <w:proofErr w:type="spellEnd"/>
      <w:r w:rsidRPr="004E4C0E">
        <w:rPr>
          <w:bCs/>
          <w:sz w:val="20"/>
        </w:rPr>
        <w:t>,</w:t>
      </w:r>
      <w:r w:rsidR="004E4AD3" w:rsidRPr="004E4C0E">
        <w:rPr>
          <w:rFonts w:hint="eastAsia"/>
          <w:bCs/>
          <w:sz w:val="20"/>
        </w:rPr>
        <w:t xml:space="preserve"> </w:t>
      </w:r>
      <w:proofErr w:type="spellStart"/>
      <w:r w:rsidRPr="004E4C0E">
        <w:rPr>
          <w:bCs/>
          <w:sz w:val="20"/>
        </w:rPr>
        <w:t>Yufang</w:t>
      </w:r>
      <w:proofErr w:type="spellEnd"/>
      <w:r w:rsidRPr="004E4C0E">
        <w:rPr>
          <w:bCs/>
          <w:sz w:val="20"/>
        </w:rPr>
        <w:t xml:space="preserve"> </w:t>
      </w:r>
      <w:proofErr w:type="spellStart"/>
      <w:r w:rsidRPr="004E4C0E">
        <w:rPr>
          <w:bCs/>
          <w:sz w:val="20"/>
        </w:rPr>
        <w:t>Shi</w:t>
      </w:r>
      <w:r w:rsidR="009B4B73" w:rsidRPr="004E4C0E">
        <w:rPr>
          <w:rFonts w:hint="eastAsia"/>
          <w:bCs/>
          <w:sz w:val="20"/>
          <w:vertAlign w:val="superscript"/>
        </w:rPr>
        <w:t>d</w:t>
      </w:r>
      <w:proofErr w:type="spellEnd"/>
      <w:r w:rsidRPr="004E4C0E">
        <w:rPr>
          <w:bCs/>
          <w:sz w:val="20"/>
          <w:vertAlign w:val="superscript"/>
        </w:rPr>
        <w:t>*</w:t>
      </w:r>
      <w:r w:rsidR="00972308" w:rsidRPr="004E4C0E">
        <w:rPr>
          <w:rFonts w:hint="eastAsia"/>
          <w:bCs/>
          <w:sz w:val="20"/>
          <w:vertAlign w:val="superscript"/>
        </w:rPr>
        <w:t>#</w:t>
      </w:r>
    </w:p>
    <w:p w:rsidR="0064358E" w:rsidRPr="004E4C0E" w:rsidRDefault="009B4B73" w:rsidP="00A27852">
      <w:pPr>
        <w:widowControl/>
        <w:autoSpaceDE w:val="0"/>
        <w:autoSpaceDN w:val="0"/>
        <w:adjustRightInd w:val="0"/>
        <w:spacing w:line="360" w:lineRule="auto"/>
        <w:jc w:val="left"/>
        <w:rPr>
          <w:bCs/>
          <w:sz w:val="20"/>
        </w:rPr>
      </w:pPr>
      <w:proofErr w:type="spellStart"/>
      <w:r w:rsidRPr="004E4C0E">
        <w:rPr>
          <w:rFonts w:hint="eastAsia"/>
          <w:bCs/>
          <w:sz w:val="20"/>
          <w:vertAlign w:val="superscript"/>
        </w:rPr>
        <w:t>a</w:t>
      </w:r>
      <w:r w:rsidR="001B619B" w:rsidRPr="004E4C0E">
        <w:rPr>
          <w:bCs/>
          <w:sz w:val="20"/>
        </w:rPr>
        <w:t>Department</w:t>
      </w:r>
      <w:proofErr w:type="spellEnd"/>
      <w:r w:rsidR="001B619B" w:rsidRPr="004E4C0E">
        <w:rPr>
          <w:bCs/>
          <w:sz w:val="20"/>
        </w:rPr>
        <w:t xml:space="preserve"> of Surgery, Shanghai Public Health Clinical Center Affiliated to </w:t>
      </w:r>
      <w:proofErr w:type="spellStart"/>
      <w:r w:rsidR="001B619B" w:rsidRPr="004E4C0E">
        <w:rPr>
          <w:bCs/>
          <w:sz w:val="20"/>
        </w:rPr>
        <w:t>Fudan</w:t>
      </w:r>
      <w:proofErr w:type="spellEnd"/>
      <w:r w:rsidR="001B619B" w:rsidRPr="004E4C0E">
        <w:rPr>
          <w:bCs/>
          <w:sz w:val="20"/>
        </w:rPr>
        <w:t xml:space="preserve"> University, </w:t>
      </w:r>
      <w:proofErr w:type="spellStart"/>
      <w:r w:rsidR="001B619B" w:rsidRPr="004E4C0E">
        <w:rPr>
          <w:bCs/>
          <w:sz w:val="20"/>
        </w:rPr>
        <w:t>Caolang</w:t>
      </w:r>
      <w:proofErr w:type="spellEnd"/>
      <w:r w:rsidR="001B619B" w:rsidRPr="004E4C0E">
        <w:rPr>
          <w:bCs/>
          <w:sz w:val="20"/>
        </w:rPr>
        <w:t xml:space="preserve"> Road No. 2901, Shanghai 201508, China</w:t>
      </w:r>
      <w:r w:rsidR="004E4AD3" w:rsidRPr="004E4C0E">
        <w:rPr>
          <w:rFonts w:hint="eastAsia"/>
          <w:bCs/>
          <w:sz w:val="20"/>
        </w:rPr>
        <w:t>.</w:t>
      </w:r>
    </w:p>
    <w:p w:rsidR="0064358E" w:rsidRPr="004E4C0E" w:rsidRDefault="009B4B73" w:rsidP="00A27852">
      <w:pPr>
        <w:widowControl/>
        <w:autoSpaceDE w:val="0"/>
        <w:autoSpaceDN w:val="0"/>
        <w:adjustRightInd w:val="0"/>
        <w:spacing w:line="360" w:lineRule="auto"/>
        <w:jc w:val="left"/>
        <w:rPr>
          <w:bCs/>
          <w:sz w:val="20"/>
        </w:rPr>
      </w:pPr>
      <w:proofErr w:type="spellStart"/>
      <w:proofErr w:type="gramStart"/>
      <w:r w:rsidRPr="004E4C0E">
        <w:rPr>
          <w:rFonts w:hint="eastAsia"/>
          <w:bCs/>
          <w:sz w:val="20"/>
          <w:vertAlign w:val="superscript"/>
        </w:rPr>
        <w:t>b</w:t>
      </w:r>
      <w:r w:rsidR="001B619B" w:rsidRPr="004E4C0E">
        <w:rPr>
          <w:sz w:val="20"/>
        </w:rPr>
        <w:t>Public</w:t>
      </w:r>
      <w:proofErr w:type="spellEnd"/>
      <w:proofErr w:type="gramEnd"/>
      <w:r w:rsidR="001B619B" w:rsidRPr="004E4C0E">
        <w:rPr>
          <w:sz w:val="20"/>
        </w:rPr>
        <w:t xml:space="preserve"> Health Experimental Center, Shanghai </w:t>
      </w:r>
      <w:proofErr w:type="spellStart"/>
      <w:r w:rsidR="001B619B" w:rsidRPr="004E4C0E">
        <w:rPr>
          <w:sz w:val="20"/>
        </w:rPr>
        <w:t>Jiaotong</w:t>
      </w:r>
      <w:proofErr w:type="spellEnd"/>
      <w:r w:rsidR="001B619B" w:rsidRPr="004E4C0E">
        <w:rPr>
          <w:sz w:val="20"/>
        </w:rPr>
        <w:t xml:space="preserve"> University, Shanghai 200025, China.</w:t>
      </w:r>
    </w:p>
    <w:p w:rsidR="0064358E" w:rsidRPr="004E4C0E" w:rsidRDefault="009B4B73" w:rsidP="00A27852">
      <w:pPr>
        <w:widowControl/>
        <w:autoSpaceDE w:val="0"/>
        <w:autoSpaceDN w:val="0"/>
        <w:adjustRightInd w:val="0"/>
        <w:spacing w:line="360" w:lineRule="auto"/>
        <w:jc w:val="left"/>
        <w:rPr>
          <w:bCs/>
          <w:sz w:val="20"/>
        </w:rPr>
      </w:pPr>
      <w:proofErr w:type="spellStart"/>
      <w:proofErr w:type="gramStart"/>
      <w:r w:rsidRPr="004E4C0E">
        <w:rPr>
          <w:rFonts w:hint="eastAsia"/>
          <w:bCs/>
          <w:sz w:val="20"/>
          <w:vertAlign w:val="superscript"/>
        </w:rPr>
        <w:t>c</w:t>
      </w:r>
      <w:r w:rsidR="001B619B" w:rsidRPr="004E4C0E">
        <w:rPr>
          <w:bCs/>
          <w:sz w:val="20"/>
        </w:rPr>
        <w:t>Department</w:t>
      </w:r>
      <w:proofErr w:type="spellEnd"/>
      <w:proofErr w:type="gramEnd"/>
      <w:r w:rsidR="001B619B" w:rsidRPr="004E4C0E">
        <w:rPr>
          <w:bCs/>
          <w:sz w:val="20"/>
        </w:rPr>
        <w:t xml:space="preserve"> of Surgery,</w:t>
      </w:r>
      <w:r w:rsidR="00502915" w:rsidRPr="004E4C0E">
        <w:rPr>
          <w:rFonts w:hint="eastAsia"/>
          <w:bCs/>
          <w:sz w:val="20"/>
        </w:rPr>
        <w:t xml:space="preserve"> </w:t>
      </w:r>
      <w:r w:rsidR="001B619B" w:rsidRPr="004E4C0E">
        <w:rPr>
          <w:bCs/>
          <w:sz w:val="20"/>
        </w:rPr>
        <w:t>Zhengzhou Sixth People Hospital,</w:t>
      </w:r>
      <w:r w:rsidR="004E4AD3" w:rsidRPr="004E4C0E">
        <w:rPr>
          <w:rFonts w:hint="eastAsia"/>
          <w:bCs/>
          <w:sz w:val="20"/>
        </w:rPr>
        <w:t xml:space="preserve"> </w:t>
      </w:r>
      <w:r w:rsidR="001B619B" w:rsidRPr="004E4C0E">
        <w:rPr>
          <w:bCs/>
          <w:sz w:val="20"/>
        </w:rPr>
        <w:t>Zhengzhou450052,</w:t>
      </w:r>
      <w:r w:rsidR="004E4AD3" w:rsidRPr="004E4C0E">
        <w:rPr>
          <w:rFonts w:hint="eastAsia"/>
          <w:bCs/>
          <w:sz w:val="20"/>
        </w:rPr>
        <w:t xml:space="preserve"> </w:t>
      </w:r>
      <w:r w:rsidR="001B619B" w:rsidRPr="004E4C0E">
        <w:rPr>
          <w:bCs/>
          <w:sz w:val="20"/>
        </w:rPr>
        <w:t>China</w:t>
      </w:r>
      <w:r w:rsidR="004E4AD3" w:rsidRPr="004E4C0E">
        <w:rPr>
          <w:rFonts w:hint="eastAsia"/>
          <w:bCs/>
          <w:sz w:val="20"/>
        </w:rPr>
        <w:t>.</w:t>
      </w:r>
    </w:p>
    <w:p w:rsidR="0064358E" w:rsidRPr="004E4C0E" w:rsidRDefault="009B4B73" w:rsidP="00A27852">
      <w:pPr>
        <w:widowControl/>
        <w:autoSpaceDE w:val="0"/>
        <w:autoSpaceDN w:val="0"/>
        <w:adjustRightInd w:val="0"/>
        <w:spacing w:line="360" w:lineRule="auto"/>
        <w:jc w:val="left"/>
        <w:rPr>
          <w:bCs/>
          <w:sz w:val="20"/>
        </w:rPr>
      </w:pPr>
      <w:proofErr w:type="spellStart"/>
      <w:proofErr w:type="gramStart"/>
      <w:r w:rsidRPr="004E4C0E">
        <w:rPr>
          <w:rFonts w:hint="eastAsia"/>
          <w:bCs/>
          <w:sz w:val="20"/>
          <w:vertAlign w:val="superscript"/>
        </w:rPr>
        <w:t>d</w:t>
      </w:r>
      <w:r w:rsidR="001B619B" w:rsidRPr="004E4C0E">
        <w:rPr>
          <w:bCs/>
          <w:sz w:val="20"/>
        </w:rPr>
        <w:t>Institute</w:t>
      </w:r>
      <w:proofErr w:type="spellEnd"/>
      <w:proofErr w:type="gramEnd"/>
      <w:r w:rsidR="001B619B" w:rsidRPr="004E4C0E">
        <w:rPr>
          <w:bCs/>
          <w:sz w:val="20"/>
        </w:rPr>
        <w:t xml:space="preserve"> of Health Sciences, South Chongqing Road No. 225, Shanghai 200025, China</w:t>
      </w:r>
      <w:r w:rsidR="004E4AD3" w:rsidRPr="004E4C0E">
        <w:rPr>
          <w:rFonts w:hint="eastAsia"/>
          <w:bCs/>
          <w:sz w:val="20"/>
        </w:rPr>
        <w:t>.</w:t>
      </w:r>
    </w:p>
    <w:p w:rsidR="0064358E" w:rsidRPr="004E4C0E" w:rsidRDefault="001B619B" w:rsidP="00A27852">
      <w:pPr>
        <w:widowControl/>
        <w:autoSpaceDE w:val="0"/>
        <w:autoSpaceDN w:val="0"/>
        <w:adjustRightInd w:val="0"/>
        <w:spacing w:line="360" w:lineRule="auto"/>
        <w:jc w:val="left"/>
        <w:rPr>
          <w:bCs/>
          <w:sz w:val="20"/>
        </w:rPr>
      </w:pPr>
      <w:r w:rsidRPr="004E4C0E">
        <w:rPr>
          <w:bCs/>
          <w:sz w:val="20"/>
          <w:vertAlign w:val="superscript"/>
        </w:rPr>
        <w:t>*</w:t>
      </w:r>
      <w:r w:rsidRPr="004E4C0E">
        <w:rPr>
          <w:bCs/>
          <w:sz w:val="20"/>
        </w:rPr>
        <w:t>These authors contribute equally to this work.</w:t>
      </w:r>
    </w:p>
    <w:p w:rsidR="00243204" w:rsidRPr="004E4C0E" w:rsidRDefault="004E4AD3" w:rsidP="00A27852">
      <w:pPr>
        <w:widowControl/>
        <w:autoSpaceDE w:val="0"/>
        <w:autoSpaceDN w:val="0"/>
        <w:adjustRightInd w:val="0"/>
        <w:spacing w:line="360" w:lineRule="auto"/>
        <w:jc w:val="left"/>
        <w:rPr>
          <w:bCs/>
          <w:sz w:val="20"/>
        </w:rPr>
      </w:pPr>
      <w:r w:rsidRPr="004E4C0E">
        <w:rPr>
          <w:rFonts w:hint="eastAsia"/>
          <w:bCs/>
          <w:sz w:val="20"/>
          <w:vertAlign w:val="superscript"/>
        </w:rPr>
        <w:t>#</w:t>
      </w:r>
      <w:proofErr w:type="gramStart"/>
      <w:r w:rsidR="001B619B" w:rsidRPr="004E4C0E">
        <w:rPr>
          <w:bCs/>
          <w:sz w:val="20"/>
        </w:rPr>
        <w:t>Corresponding</w:t>
      </w:r>
      <w:proofErr w:type="gramEnd"/>
      <w:r w:rsidR="001B619B" w:rsidRPr="004E4C0E">
        <w:rPr>
          <w:bCs/>
          <w:sz w:val="20"/>
        </w:rPr>
        <w:t xml:space="preserve"> authors: </w:t>
      </w:r>
      <w:proofErr w:type="spellStart"/>
      <w:r w:rsidR="001B619B" w:rsidRPr="004E4C0E">
        <w:rPr>
          <w:bCs/>
          <w:sz w:val="20"/>
        </w:rPr>
        <w:t>Baochi</w:t>
      </w:r>
      <w:proofErr w:type="spellEnd"/>
      <w:r w:rsidR="001B619B" w:rsidRPr="004E4C0E">
        <w:rPr>
          <w:bCs/>
          <w:sz w:val="20"/>
        </w:rPr>
        <w:t xml:space="preserve"> Liu, </w:t>
      </w:r>
    </w:p>
    <w:p w:rsidR="00243204" w:rsidRPr="004E4C0E" w:rsidRDefault="001B619B" w:rsidP="00A27852">
      <w:pPr>
        <w:widowControl/>
        <w:autoSpaceDE w:val="0"/>
        <w:autoSpaceDN w:val="0"/>
        <w:adjustRightInd w:val="0"/>
        <w:spacing w:line="360" w:lineRule="auto"/>
        <w:jc w:val="left"/>
        <w:rPr>
          <w:bCs/>
          <w:sz w:val="20"/>
        </w:rPr>
      </w:pPr>
      <w:r w:rsidRPr="004E4C0E">
        <w:rPr>
          <w:bCs/>
          <w:sz w:val="20"/>
        </w:rPr>
        <w:t xml:space="preserve">Telephone: </w:t>
      </w:r>
      <w:r w:rsidR="00643254" w:rsidRPr="004E4C0E">
        <w:rPr>
          <w:rFonts w:hint="eastAsia"/>
          <w:bCs/>
          <w:sz w:val="20"/>
        </w:rPr>
        <w:t>+</w:t>
      </w:r>
      <w:r w:rsidRPr="004E4C0E">
        <w:rPr>
          <w:bCs/>
          <w:sz w:val="20"/>
        </w:rPr>
        <w:t xml:space="preserve">86-15316673590, </w:t>
      </w:r>
    </w:p>
    <w:p w:rsidR="00243204" w:rsidRPr="004E4C0E" w:rsidRDefault="001B619B" w:rsidP="00243204">
      <w:pPr>
        <w:widowControl/>
        <w:autoSpaceDE w:val="0"/>
        <w:autoSpaceDN w:val="0"/>
        <w:adjustRightInd w:val="0"/>
        <w:spacing w:line="360" w:lineRule="auto"/>
        <w:jc w:val="left"/>
        <w:rPr>
          <w:bCs/>
          <w:sz w:val="20"/>
        </w:rPr>
      </w:pPr>
      <w:r w:rsidRPr="004E4C0E">
        <w:rPr>
          <w:bCs/>
          <w:sz w:val="20"/>
        </w:rPr>
        <w:t xml:space="preserve">Fax: </w:t>
      </w:r>
      <w:r w:rsidR="00643254" w:rsidRPr="004E4C0E">
        <w:rPr>
          <w:rFonts w:hint="eastAsia"/>
          <w:bCs/>
          <w:sz w:val="20"/>
        </w:rPr>
        <w:t>+</w:t>
      </w:r>
      <w:r w:rsidRPr="004E4C0E">
        <w:rPr>
          <w:bCs/>
          <w:sz w:val="20"/>
        </w:rPr>
        <w:t>86-21-65981193;</w:t>
      </w:r>
      <w:r w:rsidR="00243204" w:rsidRPr="004E4C0E">
        <w:rPr>
          <w:bCs/>
          <w:sz w:val="20"/>
        </w:rPr>
        <w:t xml:space="preserve"> </w:t>
      </w:r>
    </w:p>
    <w:p w:rsidR="00243204" w:rsidRPr="004E4C0E" w:rsidRDefault="00243204" w:rsidP="00243204">
      <w:pPr>
        <w:widowControl/>
        <w:autoSpaceDE w:val="0"/>
        <w:autoSpaceDN w:val="0"/>
        <w:adjustRightInd w:val="0"/>
        <w:spacing w:line="360" w:lineRule="auto"/>
        <w:jc w:val="left"/>
        <w:rPr>
          <w:bCs/>
          <w:sz w:val="20"/>
        </w:rPr>
      </w:pPr>
      <w:r w:rsidRPr="004E4C0E">
        <w:rPr>
          <w:bCs/>
          <w:sz w:val="20"/>
        </w:rPr>
        <w:t xml:space="preserve">Email: </w:t>
      </w:r>
      <w:hyperlink r:id="rId9" w:history="1">
        <w:r w:rsidRPr="004E4C0E">
          <w:rPr>
            <w:rStyle w:val="a9"/>
            <w:bCs/>
            <w:sz w:val="20"/>
          </w:rPr>
          <w:t>liubaochi@shaphc.org</w:t>
        </w:r>
      </w:hyperlink>
      <w:r w:rsidRPr="004E4C0E">
        <w:rPr>
          <w:bCs/>
          <w:sz w:val="20"/>
        </w:rPr>
        <w:t xml:space="preserve">, </w:t>
      </w:r>
    </w:p>
    <w:p w:rsidR="0064358E" w:rsidRPr="004E4C0E" w:rsidRDefault="0064358E" w:rsidP="00A27852">
      <w:pPr>
        <w:widowControl/>
        <w:autoSpaceDE w:val="0"/>
        <w:autoSpaceDN w:val="0"/>
        <w:adjustRightInd w:val="0"/>
        <w:spacing w:line="360" w:lineRule="auto"/>
        <w:jc w:val="left"/>
        <w:rPr>
          <w:bCs/>
          <w:sz w:val="20"/>
        </w:rPr>
      </w:pPr>
    </w:p>
    <w:p w:rsidR="00243204" w:rsidRPr="004E4C0E" w:rsidRDefault="00243204" w:rsidP="00A27852">
      <w:pPr>
        <w:autoSpaceDE w:val="0"/>
        <w:autoSpaceDN w:val="0"/>
        <w:adjustRightInd w:val="0"/>
        <w:spacing w:line="360" w:lineRule="auto"/>
        <w:jc w:val="left"/>
        <w:rPr>
          <w:kern w:val="0"/>
          <w:sz w:val="20"/>
        </w:rPr>
      </w:pPr>
      <w:r w:rsidRPr="004E4C0E">
        <w:rPr>
          <w:rFonts w:hint="eastAsia"/>
          <w:bCs/>
          <w:sz w:val="20"/>
          <w:vertAlign w:val="superscript"/>
        </w:rPr>
        <w:t>#</w:t>
      </w:r>
      <w:proofErr w:type="gramStart"/>
      <w:r w:rsidRPr="004E4C0E">
        <w:rPr>
          <w:bCs/>
          <w:sz w:val="20"/>
        </w:rPr>
        <w:t>Corresponding</w:t>
      </w:r>
      <w:proofErr w:type="gramEnd"/>
      <w:r w:rsidRPr="004E4C0E">
        <w:rPr>
          <w:bCs/>
          <w:sz w:val="20"/>
        </w:rPr>
        <w:t xml:space="preserve"> authors:</w:t>
      </w:r>
      <w:r w:rsidRPr="004E4C0E">
        <w:rPr>
          <w:rFonts w:hint="eastAsia"/>
          <w:bCs/>
          <w:sz w:val="20"/>
        </w:rPr>
        <w:t xml:space="preserve"> </w:t>
      </w:r>
      <w:proofErr w:type="spellStart"/>
      <w:r w:rsidR="001B619B" w:rsidRPr="004E4C0E">
        <w:rPr>
          <w:kern w:val="0"/>
          <w:sz w:val="20"/>
        </w:rPr>
        <w:t>YufangShi</w:t>
      </w:r>
      <w:proofErr w:type="spellEnd"/>
      <w:r w:rsidR="001B619B" w:rsidRPr="004E4C0E">
        <w:rPr>
          <w:kern w:val="0"/>
          <w:sz w:val="20"/>
        </w:rPr>
        <w:t>,</w:t>
      </w:r>
      <w:r w:rsidR="00972308" w:rsidRPr="004E4C0E">
        <w:rPr>
          <w:rFonts w:hint="eastAsia"/>
          <w:kern w:val="0"/>
          <w:sz w:val="20"/>
        </w:rPr>
        <w:t xml:space="preserve"> </w:t>
      </w:r>
      <w:r w:rsidR="001B619B" w:rsidRPr="004E4C0E">
        <w:rPr>
          <w:kern w:val="0"/>
          <w:sz w:val="20"/>
        </w:rPr>
        <w:t xml:space="preserve">Ph.D., </w:t>
      </w:r>
    </w:p>
    <w:p w:rsidR="0064358E" w:rsidRPr="004E4C0E" w:rsidRDefault="00243204" w:rsidP="00A27852">
      <w:pPr>
        <w:autoSpaceDE w:val="0"/>
        <w:autoSpaceDN w:val="0"/>
        <w:adjustRightInd w:val="0"/>
        <w:spacing w:line="360" w:lineRule="auto"/>
        <w:jc w:val="left"/>
        <w:rPr>
          <w:bCs/>
          <w:sz w:val="20"/>
        </w:rPr>
      </w:pPr>
      <w:proofErr w:type="gramStart"/>
      <w:r w:rsidRPr="004E4C0E">
        <w:rPr>
          <w:kern w:val="0"/>
          <w:sz w:val="20"/>
        </w:rPr>
        <w:t>M</w:t>
      </w:r>
      <w:r w:rsidRPr="004E4C0E">
        <w:rPr>
          <w:rFonts w:hint="eastAsia"/>
          <w:kern w:val="0"/>
          <w:sz w:val="20"/>
        </w:rPr>
        <w:t xml:space="preserve">ailing address: </w:t>
      </w:r>
      <w:r w:rsidR="001B619B" w:rsidRPr="004E4C0E">
        <w:rPr>
          <w:kern w:val="0"/>
          <w:sz w:val="20"/>
        </w:rPr>
        <w:t>Institute of Health</w:t>
      </w:r>
      <w:r w:rsidR="001B619B" w:rsidRPr="004E4C0E">
        <w:rPr>
          <w:rFonts w:hint="eastAsia"/>
          <w:kern w:val="0"/>
          <w:sz w:val="20"/>
        </w:rPr>
        <w:t xml:space="preserve"> </w:t>
      </w:r>
      <w:r w:rsidR="001B619B" w:rsidRPr="004E4C0E">
        <w:rPr>
          <w:kern w:val="0"/>
          <w:sz w:val="20"/>
        </w:rPr>
        <w:t>Sciences, Shanghai Institutes for</w:t>
      </w:r>
      <w:r w:rsidRPr="004E4C0E">
        <w:rPr>
          <w:rFonts w:hint="eastAsia"/>
          <w:kern w:val="0"/>
          <w:sz w:val="20"/>
        </w:rPr>
        <w:t xml:space="preserve"> </w:t>
      </w:r>
      <w:r w:rsidR="001B619B" w:rsidRPr="004E4C0E">
        <w:rPr>
          <w:kern w:val="0"/>
          <w:sz w:val="20"/>
        </w:rPr>
        <w:t>Biological Sciences, Chinese</w:t>
      </w:r>
      <w:r w:rsidR="001B619B" w:rsidRPr="004E4C0E">
        <w:rPr>
          <w:rFonts w:hint="eastAsia"/>
          <w:kern w:val="0"/>
          <w:sz w:val="20"/>
        </w:rPr>
        <w:t xml:space="preserve"> </w:t>
      </w:r>
      <w:r w:rsidR="001B619B" w:rsidRPr="004E4C0E">
        <w:rPr>
          <w:kern w:val="0"/>
          <w:sz w:val="20"/>
        </w:rPr>
        <w:t>Academy of Sciences/Shanghai</w:t>
      </w:r>
      <w:r w:rsidR="001B619B" w:rsidRPr="004E4C0E">
        <w:rPr>
          <w:rFonts w:hint="eastAsia"/>
          <w:kern w:val="0"/>
          <w:sz w:val="20"/>
        </w:rPr>
        <w:t xml:space="preserve"> </w:t>
      </w:r>
      <w:proofErr w:type="spellStart"/>
      <w:r w:rsidR="001B619B" w:rsidRPr="004E4C0E">
        <w:rPr>
          <w:kern w:val="0"/>
          <w:sz w:val="20"/>
        </w:rPr>
        <w:t>Jiaotong</w:t>
      </w:r>
      <w:proofErr w:type="spellEnd"/>
      <w:r w:rsidR="001B619B" w:rsidRPr="004E4C0E">
        <w:rPr>
          <w:kern w:val="0"/>
          <w:sz w:val="20"/>
        </w:rPr>
        <w:t xml:space="preserve"> University School of</w:t>
      </w:r>
      <w:r w:rsidR="001B619B" w:rsidRPr="004E4C0E">
        <w:rPr>
          <w:rFonts w:hint="eastAsia"/>
          <w:kern w:val="0"/>
          <w:sz w:val="20"/>
        </w:rPr>
        <w:t xml:space="preserve"> </w:t>
      </w:r>
      <w:r w:rsidR="001B619B" w:rsidRPr="004E4C0E">
        <w:rPr>
          <w:kern w:val="0"/>
          <w:sz w:val="20"/>
        </w:rPr>
        <w:t>Medicine 225 South Chongqing</w:t>
      </w:r>
      <w:r w:rsidR="001B619B" w:rsidRPr="004E4C0E">
        <w:rPr>
          <w:rFonts w:hint="eastAsia"/>
          <w:kern w:val="0"/>
          <w:sz w:val="20"/>
        </w:rPr>
        <w:t xml:space="preserve"> </w:t>
      </w:r>
      <w:r w:rsidR="001B619B" w:rsidRPr="004E4C0E">
        <w:rPr>
          <w:kern w:val="0"/>
          <w:sz w:val="20"/>
        </w:rPr>
        <w:t>Road, Shanghai, China 200025.</w:t>
      </w:r>
      <w:proofErr w:type="gramEnd"/>
    </w:p>
    <w:p w:rsidR="00243204" w:rsidRPr="004E4C0E" w:rsidRDefault="00243204" w:rsidP="00A27852">
      <w:pPr>
        <w:widowControl/>
        <w:autoSpaceDE w:val="0"/>
        <w:autoSpaceDN w:val="0"/>
        <w:adjustRightInd w:val="0"/>
        <w:spacing w:line="360" w:lineRule="auto"/>
        <w:jc w:val="left"/>
        <w:rPr>
          <w:kern w:val="0"/>
          <w:sz w:val="20"/>
        </w:rPr>
      </w:pPr>
      <w:r w:rsidRPr="004E4C0E">
        <w:rPr>
          <w:kern w:val="0"/>
          <w:sz w:val="20"/>
        </w:rPr>
        <w:t xml:space="preserve">Telephone: </w:t>
      </w:r>
      <w:r w:rsidR="00643254" w:rsidRPr="004E4C0E">
        <w:rPr>
          <w:rFonts w:hint="eastAsia"/>
          <w:kern w:val="0"/>
          <w:sz w:val="20"/>
        </w:rPr>
        <w:t>+</w:t>
      </w:r>
      <w:r w:rsidRPr="004E4C0E">
        <w:rPr>
          <w:kern w:val="0"/>
          <w:sz w:val="20"/>
        </w:rPr>
        <w:t>86-21-63848329;</w:t>
      </w:r>
      <w:r w:rsidRPr="004E4C0E">
        <w:rPr>
          <w:rFonts w:hint="eastAsia"/>
          <w:kern w:val="0"/>
          <w:sz w:val="20"/>
        </w:rPr>
        <w:t xml:space="preserve"> </w:t>
      </w:r>
    </w:p>
    <w:p w:rsidR="0064358E" w:rsidRPr="004E4C0E" w:rsidRDefault="00243204" w:rsidP="00A27852">
      <w:pPr>
        <w:widowControl/>
        <w:autoSpaceDE w:val="0"/>
        <w:autoSpaceDN w:val="0"/>
        <w:adjustRightInd w:val="0"/>
        <w:spacing w:line="360" w:lineRule="auto"/>
        <w:jc w:val="left"/>
        <w:rPr>
          <w:bCs/>
          <w:sz w:val="20"/>
        </w:rPr>
      </w:pPr>
      <w:r w:rsidRPr="004E4C0E">
        <w:rPr>
          <w:kern w:val="0"/>
          <w:sz w:val="20"/>
        </w:rPr>
        <w:t xml:space="preserve">Fax: </w:t>
      </w:r>
      <w:r w:rsidR="00643254" w:rsidRPr="004E4C0E">
        <w:rPr>
          <w:rFonts w:hint="eastAsia"/>
          <w:kern w:val="0"/>
          <w:sz w:val="20"/>
        </w:rPr>
        <w:t>+</w:t>
      </w:r>
      <w:r w:rsidRPr="004E4C0E">
        <w:rPr>
          <w:kern w:val="0"/>
          <w:sz w:val="20"/>
        </w:rPr>
        <w:t>86-21-63852655;</w:t>
      </w:r>
    </w:p>
    <w:p w:rsidR="00243204" w:rsidRPr="004E4C0E" w:rsidRDefault="00243204" w:rsidP="00243204">
      <w:pPr>
        <w:widowControl/>
        <w:autoSpaceDE w:val="0"/>
        <w:autoSpaceDN w:val="0"/>
        <w:adjustRightInd w:val="0"/>
        <w:spacing w:line="360" w:lineRule="auto"/>
        <w:jc w:val="left"/>
        <w:rPr>
          <w:kern w:val="0"/>
          <w:sz w:val="20"/>
        </w:rPr>
      </w:pPr>
      <w:r w:rsidRPr="004E4C0E">
        <w:rPr>
          <w:kern w:val="0"/>
          <w:sz w:val="20"/>
        </w:rPr>
        <w:t>Email:</w:t>
      </w:r>
      <w:hyperlink r:id="rId10" w:history="1">
        <w:r w:rsidRPr="004E4C0E">
          <w:rPr>
            <w:rStyle w:val="a9"/>
            <w:rFonts w:hint="eastAsia"/>
            <w:sz w:val="20"/>
          </w:rPr>
          <w:t xml:space="preserve"> </w:t>
        </w:r>
        <w:r w:rsidRPr="004E4C0E">
          <w:rPr>
            <w:rStyle w:val="a9"/>
            <w:kern w:val="0"/>
            <w:sz w:val="20"/>
          </w:rPr>
          <w:t>yufangshi@sibs.ac.cn</w:t>
        </w:r>
      </w:hyperlink>
      <w:r w:rsidRPr="004E4C0E">
        <w:rPr>
          <w:kern w:val="0"/>
          <w:sz w:val="20"/>
        </w:rPr>
        <w:t xml:space="preserve">, </w:t>
      </w:r>
    </w:p>
    <w:p w:rsidR="0064358E" w:rsidRPr="004E4C0E" w:rsidRDefault="0064358E" w:rsidP="00A27852">
      <w:pPr>
        <w:widowControl/>
        <w:autoSpaceDE w:val="0"/>
        <w:autoSpaceDN w:val="0"/>
        <w:adjustRightInd w:val="0"/>
        <w:spacing w:line="360" w:lineRule="auto"/>
        <w:jc w:val="left"/>
        <w:rPr>
          <w:bCs/>
          <w:sz w:val="20"/>
        </w:rPr>
      </w:pPr>
    </w:p>
    <w:p w:rsidR="0064358E" w:rsidRPr="004E4C0E" w:rsidRDefault="0064358E" w:rsidP="00A27852">
      <w:pPr>
        <w:widowControl/>
        <w:autoSpaceDE w:val="0"/>
        <w:autoSpaceDN w:val="0"/>
        <w:adjustRightInd w:val="0"/>
        <w:spacing w:line="360" w:lineRule="auto"/>
        <w:jc w:val="left"/>
        <w:rPr>
          <w:bCs/>
          <w:sz w:val="20"/>
        </w:rPr>
      </w:pPr>
    </w:p>
    <w:p w:rsidR="0064358E" w:rsidRPr="004E4C0E" w:rsidRDefault="001B619B" w:rsidP="00A27852">
      <w:pPr>
        <w:widowControl/>
        <w:autoSpaceDE w:val="0"/>
        <w:autoSpaceDN w:val="0"/>
        <w:adjustRightInd w:val="0"/>
        <w:spacing w:line="360" w:lineRule="auto"/>
        <w:rPr>
          <w:bCs/>
          <w:sz w:val="20"/>
        </w:rPr>
      </w:pPr>
      <w:r w:rsidRPr="004E4C0E">
        <w:rPr>
          <w:bCs/>
          <w:sz w:val="20"/>
        </w:rPr>
        <w:br w:type="page"/>
      </w:r>
    </w:p>
    <w:p w:rsidR="0064358E" w:rsidRPr="004E4C0E" w:rsidRDefault="00963C85" w:rsidP="00A27852">
      <w:pPr>
        <w:widowControl/>
        <w:autoSpaceDE w:val="0"/>
        <w:autoSpaceDN w:val="0"/>
        <w:adjustRightInd w:val="0"/>
        <w:spacing w:line="360" w:lineRule="auto"/>
        <w:rPr>
          <w:b/>
          <w:sz w:val="20"/>
        </w:rPr>
      </w:pPr>
      <w:r w:rsidRPr="004E4C0E">
        <w:rPr>
          <w:b/>
          <w:sz w:val="20"/>
        </w:rPr>
        <w:lastRenderedPageBreak/>
        <w:t>ABSTRACT</w:t>
      </w:r>
    </w:p>
    <w:p w:rsidR="0064358E" w:rsidRPr="004E4C0E" w:rsidRDefault="001B619B" w:rsidP="00A27852">
      <w:pPr>
        <w:widowControl/>
        <w:autoSpaceDE w:val="0"/>
        <w:autoSpaceDN w:val="0"/>
        <w:adjustRightInd w:val="0"/>
        <w:spacing w:line="360" w:lineRule="auto"/>
        <w:rPr>
          <w:kern w:val="0"/>
          <w:sz w:val="20"/>
        </w:rPr>
      </w:pPr>
      <w:r w:rsidRPr="004E4C0E">
        <w:rPr>
          <w:b/>
          <w:i/>
          <w:kern w:val="0"/>
          <w:sz w:val="20"/>
        </w:rPr>
        <w:t>Background</w:t>
      </w:r>
      <w:r w:rsidR="002D7AD0">
        <w:rPr>
          <w:rFonts w:hint="eastAsia"/>
          <w:b/>
          <w:i/>
          <w:kern w:val="0"/>
          <w:sz w:val="20"/>
        </w:rPr>
        <w:t>:</w:t>
      </w:r>
      <w:r w:rsidRPr="004E4C0E">
        <w:rPr>
          <w:rFonts w:hint="eastAsia"/>
          <w:b/>
          <w:i/>
          <w:kern w:val="0"/>
          <w:sz w:val="20"/>
        </w:rPr>
        <w:t xml:space="preserve"> </w:t>
      </w:r>
      <w:r w:rsidRPr="004E4C0E">
        <w:rPr>
          <w:kern w:val="0"/>
          <w:sz w:val="20"/>
        </w:rPr>
        <w:t xml:space="preserve">A broadly </w:t>
      </w:r>
      <w:bookmarkStart w:id="0" w:name="OLE_LINK21"/>
      <w:bookmarkStart w:id="1" w:name="OLE_LINK22"/>
      <w:r w:rsidRPr="004E4C0E">
        <w:rPr>
          <w:kern w:val="0"/>
          <w:sz w:val="20"/>
        </w:rPr>
        <w:t>applicable scoring tool for risk evaluation in HIV-infected</w:t>
      </w:r>
      <w:r w:rsidRPr="004E4C0E">
        <w:rPr>
          <w:rFonts w:hint="eastAsia"/>
          <w:kern w:val="0"/>
          <w:sz w:val="20"/>
        </w:rPr>
        <w:t xml:space="preserve"> </w:t>
      </w:r>
      <w:r w:rsidRPr="004E4C0E">
        <w:rPr>
          <w:kern w:val="0"/>
          <w:sz w:val="20"/>
        </w:rPr>
        <w:t xml:space="preserve">surgical patients </w:t>
      </w:r>
      <w:bookmarkStart w:id="2" w:name="OLE_LINK13"/>
      <w:bookmarkStart w:id="3" w:name="OLE_LINK14"/>
      <w:r w:rsidRPr="004E4C0E">
        <w:rPr>
          <w:kern w:val="0"/>
          <w:sz w:val="20"/>
        </w:rPr>
        <w:t>is imperative for</w:t>
      </w:r>
      <w:bookmarkEnd w:id="2"/>
      <w:bookmarkEnd w:id="3"/>
      <w:r w:rsidRPr="004E4C0E">
        <w:rPr>
          <w:kern w:val="0"/>
          <w:sz w:val="20"/>
        </w:rPr>
        <w:t xml:space="preserve"> improving outcomes and patient safety.</w:t>
      </w:r>
      <w:bookmarkEnd w:id="0"/>
      <w:bookmarkEnd w:id="1"/>
      <w:r w:rsidRPr="004E4C0E">
        <w:rPr>
          <w:kern w:val="0"/>
          <w:sz w:val="20"/>
        </w:rPr>
        <w:t xml:space="preserve"> Because sepsis has been considered as the major cause of mortality for HIV-infected post-surgical patients, the objective of this study was to develop a pre-operative risk stratification model that predicts the incidence of </w:t>
      </w:r>
      <w:r w:rsidRPr="004E4C0E">
        <w:rPr>
          <w:bCs/>
          <w:sz w:val="20"/>
        </w:rPr>
        <w:t xml:space="preserve">sepsis </w:t>
      </w:r>
      <w:r w:rsidRPr="004E4C0E">
        <w:rPr>
          <w:kern w:val="0"/>
          <w:sz w:val="20"/>
        </w:rPr>
        <w:t>after surgical operations in HIV-infected patients.</w:t>
      </w:r>
    </w:p>
    <w:p w:rsidR="0064358E" w:rsidRPr="004E4C0E" w:rsidRDefault="001B619B" w:rsidP="00A27852">
      <w:pPr>
        <w:widowControl/>
        <w:autoSpaceDE w:val="0"/>
        <w:autoSpaceDN w:val="0"/>
        <w:adjustRightInd w:val="0"/>
        <w:spacing w:line="360" w:lineRule="auto"/>
        <w:rPr>
          <w:b/>
          <w:i/>
          <w:kern w:val="0"/>
          <w:sz w:val="20"/>
        </w:rPr>
      </w:pPr>
      <w:r w:rsidRPr="004E4C0E">
        <w:rPr>
          <w:b/>
          <w:i/>
          <w:kern w:val="0"/>
          <w:sz w:val="20"/>
        </w:rPr>
        <w:t>Methods</w:t>
      </w:r>
      <w:r w:rsidR="002D7AD0">
        <w:rPr>
          <w:rFonts w:hint="eastAsia"/>
          <w:b/>
          <w:i/>
          <w:kern w:val="0"/>
          <w:sz w:val="20"/>
        </w:rPr>
        <w:t>:</w:t>
      </w:r>
      <w:r w:rsidRPr="004E4C0E">
        <w:rPr>
          <w:kern w:val="0"/>
          <w:sz w:val="20"/>
        </w:rPr>
        <w:t xml:space="preserve"> The scoring model was created by using inpatient databases, including 762 HIV-infected patients who underwent various surgical procedures from 2008 to 2014 in the Shanghai Public Health Clinical Center (SPHCC). A risk-point scale was developed with five variables for their predictive value of sepsis incidence using single and multi-factor logistical </w:t>
      </w:r>
      <w:bookmarkStart w:id="4" w:name="OLE_LINK6"/>
      <w:bookmarkStart w:id="5" w:name="OLE_LINK5"/>
      <w:r w:rsidRPr="004E4C0E">
        <w:rPr>
          <w:kern w:val="0"/>
          <w:sz w:val="20"/>
        </w:rPr>
        <w:t>regressions. This model was validated with a receiver operating characteristic (ROC) curve with a Zhengzhou Sixth People Hospital (ZSPH) dataset (182 HIV-infected cases)</w:t>
      </w:r>
      <w:bookmarkEnd w:id="4"/>
      <w:bookmarkEnd w:id="5"/>
      <w:r w:rsidRPr="004E4C0E">
        <w:rPr>
          <w:kern w:val="0"/>
          <w:sz w:val="20"/>
        </w:rPr>
        <w:t>.</w:t>
      </w:r>
    </w:p>
    <w:p w:rsidR="0064358E" w:rsidRPr="004E4C0E" w:rsidRDefault="001B619B" w:rsidP="00A27852">
      <w:pPr>
        <w:widowControl/>
        <w:autoSpaceDE w:val="0"/>
        <w:autoSpaceDN w:val="0"/>
        <w:adjustRightInd w:val="0"/>
        <w:spacing w:line="360" w:lineRule="auto"/>
        <w:rPr>
          <w:kern w:val="0"/>
          <w:sz w:val="20"/>
        </w:rPr>
      </w:pPr>
      <w:r w:rsidRPr="004E4C0E">
        <w:rPr>
          <w:b/>
          <w:i/>
          <w:kern w:val="0"/>
          <w:sz w:val="20"/>
        </w:rPr>
        <w:t>Results</w:t>
      </w:r>
      <w:bookmarkStart w:id="6" w:name="OLE_LINK4"/>
      <w:bookmarkStart w:id="7" w:name="OLE_LINK3"/>
      <w:r w:rsidR="002D7AD0">
        <w:rPr>
          <w:rFonts w:hint="eastAsia"/>
          <w:b/>
          <w:i/>
          <w:kern w:val="0"/>
          <w:sz w:val="20"/>
        </w:rPr>
        <w:t>:</w:t>
      </w:r>
      <w:r w:rsidRPr="004E4C0E">
        <w:rPr>
          <w:rFonts w:hint="eastAsia"/>
          <w:b/>
          <w:i/>
          <w:kern w:val="0"/>
          <w:sz w:val="20"/>
        </w:rPr>
        <w:t xml:space="preserve"> </w:t>
      </w:r>
      <w:r w:rsidRPr="004E4C0E">
        <w:rPr>
          <w:kern w:val="0"/>
          <w:sz w:val="20"/>
        </w:rPr>
        <w:t>Post-operative sepsis was identified in 256 patients in the SPHCC dataset. The average total scores of the sepsis group and the non-sepsis group were 7.22 and 11.62, respectively. Using the predictive model of multi-factor logistical regression, the sensitivity and specificity were 0.95 and 93.6, respectively. The area under curve (AUC) score was 0.98[0.97, 0.99]. The result was much larger than five single-factor predicting models.</w:t>
      </w:r>
      <w:bookmarkEnd w:id="6"/>
      <w:bookmarkEnd w:id="7"/>
      <w:r w:rsidRPr="004E4C0E">
        <w:rPr>
          <w:kern w:val="0"/>
          <w:sz w:val="20"/>
        </w:rPr>
        <w:t xml:space="preserve"> In the 30 days after surgery, 15 patients died, and the mortality rate was around 2% in SPHCC. Post-operative sepsis was identified in 41 patients in the ZSPH dataset, and four sepsis patients died in the 30 days following surgery. The mortality was also around 2% at ZSPH. The AUC score of the same model was 0.86[0.82, 0.93].  </w:t>
      </w:r>
    </w:p>
    <w:p w:rsidR="0064358E" w:rsidRPr="004E4C0E" w:rsidRDefault="001B619B" w:rsidP="00A27852">
      <w:pPr>
        <w:widowControl/>
        <w:autoSpaceDE w:val="0"/>
        <w:autoSpaceDN w:val="0"/>
        <w:adjustRightInd w:val="0"/>
        <w:spacing w:line="360" w:lineRule="auto"/>
        <w:rPr>
          <w:kern w:val="0"/>
          <w:sz w:val="20"/>
        </w:rPr>
      </w:pPr>
      <w:r w:rsidRPr="004E4C0E">
        <w:rPr>
          <w:b/>
          <w:i/>
          <w:kern w:val="0"/>
          <w:sz w:val="20"/>
        </w:rPr>
        <w:t>Conclusion</w:t>
      </w:r>
      <w:r w:rsidR="002D7AD0">
        <w:rPr>
          <w:rFonts w:hint="eastAsia"/>
          <w:b/>
          <w:i/>
          <w:kern w:val="0"/>
          <w:sz w:val="20"/>
        </w:rPr>
        <w:t>:</w:t>
      </w:r>
      <w:r w:rsidRPr="004E4C0E">
        <w:rPr>
          <w:rFonts w:hint="eastAsia"/>
          <w:b/>
          <w:i/>
          <w:kern w:val="0"/>
          <w:sz w:val="20"/>
        </w:rPr>
        <w:t xml:space="preserve"> </w:t>
      </w:r>
      <w:r w:rsidRPr="004E4C0E">
        <w:rPr>
          <w:kern w:val="0"/>
          <w:sz w:val="20"/>
        </w:rPr>
        <w:t>The risk scoring system with the predictive model has high predictive accuracy. This indicates that it can help surgeons evaluate the incidence and risk of post-surgical sepsis before surgical procedures on HIV-infected patients.</w:t>
      </w:r>
    </w:p>
    <w:p w:rsidR="00963C85" w:rsidRPr="004E4C0E" w:rsidRDefault="004E4AD3" w:rsidP="00A27852">
      <w:pPr>
        <w:widowControl/>
        <w:autoSpaceDE w:val="0"/>
        <w:autoSpaceDN w:val="0"/>
        <w:adjustRightInd w:val="0"/>
        <w:spacing w:line="360" w:lineRule="auto"/>
        <w:rPr>
          <w:kern w:val="0"/>
          <w:sz w:val="20"/>
        </w:rPr>
      </w:pPr>
      <w:r w:rsidRPr="004E4C0E">
        <w:rPr>
          <w:b/>
          <w:bCs/>
          <w:sz w:val="20"/>
        </w:rPr>
        <w:t>Keywords:</w:t>
      </w:r>
      <w:r w:rsidRPr="004E4C0E">
        <w:rPr>
          <w:bCs/>
          <w:sz w:val="20"/>
        </w:rPr>
        <w:t xml:space="preserve"> </w:t>
      </w:r>
      <w:r w:rsidRPr="004E4C0E">
        <w:rPr>
          <w:kern w:val="0"/>
          <w:sz w:val="20"/>
        </w:rPr>
        <w:t>Human immunodeficiency virus (HIV); post-operative sepsis; mortality; risk scoring system</w:t>
      </w:r>
      <w:bookmarkStart w:id="8" w:name="OLE_LINK2"/>
      <w:bookmarkStart w:id="9" w:name="OLE_LINK1"/>
    </w:p>
    <w:p w:rsidR="00963C85" w:rsidRPr="004E4C0E" w:rsidRDefault="00963C85" w:rsidP="00A27852">
      <w:pPr>
        <w:widowControl/>
        <w:autoSpaceDE w:val="0"/>
        <w:autoSpaceDN w:val="0"/>
        <w:adjustRightInd w:val="0"/>
        <w:spacing w:line="360" w:lineRule="auto"/>
        <w:rPr>
          <w:kern w:val="0"/>
          <w:sz w:val="20"/>
        </w:rPr>
      </w:pPr>
    </w:p>
    <w:p w:rsidR="00963C85" w:rsidRPr="004E4C0E" w:rsidRDefault="00963C85" w:rsidP="00A27852">
      <w:pPr>
        <w:widowControl/>
        <w:autoSpaceDE w:val="0"/>
        <w:autoSpaceDN w:val="0"/>
        <w:adjustRightInd w:val="0"/>
        <w:spacing w:line="360" w:lineRule="auto"/>
        <w:rPr>
          <w:kern w:val="0"/>
          <w:sz w:val="20"/>
        </w:rPr>
      </w:pPr>
    </w:p>
    <w:p w:rsidR="0064358E" w:rsidRPr="004E4C0E" w:rsidRDefault="00963C85" w:rsidP="00A27852">
      <w:pPr>
        <w:widowControl/>
        <w:autoSpaceDE w:val="0"/>
        <w:autoSpaceDN w:val="0"/>
        <w:adjustRightInd w:val="0"/>
        <w:spacing w:line="360" w:lineRule="auto"/>
        <w:rPr>
          <w:kern w:val="0"/>
          <w:sz w:val="20"/>
        </w:rPr>
      </w:pPr>
      <w:r w:rsidRPr="004E4C0E">
        <w:rPr>
          <w:b/>
          <w:kern w:val="0"/>
          <w:sz w:val="20"/>
        </w:rPr>
        <w:t>INTRODUCTION</w:t>
      </w:r>
    </w:p>
    <w:p w:rsidR="0064358E" w:rsidRPr="004E4C0E" w:rsidRDefault="001B619B" w:rsidP="002F3E9F">
      <w:pPr>
        <w:widowControl/>
        <w:shd w:val="clear" w:color="auto" w:fill="FFFFFF"/>
        <w:spacing w:line="360" w:lineRule="auto"/>
        <w:rPr>
          <w:kern w:val="0"/>
          <w:sz w:val="20"/>
        </w:rPr>
      </w:pPr>
      <w:r w:rsidRPr="004E4C0E">
        <w:rPr>
          <w:kern w:val="0"/>
          <w:sz w:val="20"/>
        </w:rPr>
        <w:t xml:space="preserve">The human immunodeficiency virus type 1 (HIV-1) infection is widely assumed to lead to progressive failure of the immune system (acquired immunodeficiency syndrome, AIDS) and to allow sepsis </w:t>
      </w:r>
      <w:r w:rsidRPr="004E4C0E">
        <w:rPr>
          <w:kern w:val="0"/>
          <w:sz w:val="20"/>
        </w:rPr>
        <w:lastRenderedPageBreak/>
        <w:t xml:space="preserve">caused by life-threatening </w:t>
      </w:r>
      <w:hyperlink r:id="rId11" w:tooltip="Opportunistic infection" w:history="1">
        <w:r w:rsidRPr="004E4C0E">
          <w:rPr>
            <w:kern w:val="0"/>
            <w:sz w:val="20"/>
          </w:rPr>
          <w:t>opportunistic infection</w:t>
        </w:r>
      </w:hyperlink>
      <w:r w:rsidRPr="004E4C0E">
        <w:rPr>
          <w:kern w:val="0"/>
          <w:sz w:val="20"/>
        </w:rPr>
        <w:t>s to occur in patients, especially those undergoing surgical operations</w:t>
      </w:r>
      <w:r w:rsidRPr="004E4C0E">
        <w:rPr>
          <w:kern w:val="0"/>
          <w:sz w:val="20"/>
        </w:rPr>
        <w:fldChar w:fldCharType="begin">
          <w:fldData xml:space="preserve">PEVuZE5vdGU+PENpdGU+PEF1dGhvcj5TZW1wcmluaTwvQXV0aG9yPjxZZWFyPjE5OTU8L1llYXI+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</w:fldData>
        </w:fldChar>
      </w:r>
      <w:r w:rsidR="00963C85" w:rsidRPr="004E4C0E">
        <w:rPr>
          <w:kern w:val="0"/>
          <w:sz w:val="20"/>
        </w:rPr>
        <w:instrText xml:space="preserve"> ADDIN EN.CITE </w:instrText>
      </w:r>
      <w:r w:rsidR="00963C85" w:rsidRPr="004E4C0E">
        <w:rPr>
          <w:kern w:val="0"/>
          <w:sz w:val="20"/>
        </w:rPr>
        <w:fldChar w:fldCharType="begin">
          <w:fldData xml:space="preserve">PEVuZE5vdGU+PENpdGU+PEF1dGhvcj5TZW1wcmluaTwvQXV0aG9yPjxZZWFyPjE5OTU8L1llYXI+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</w:fldData>
        </w:fldChar>
      </w:r>
      <w:r w:rsidR="00963C85" w:rsidRPr="004E4C0E">
        <w:rPr>
          <w:kern w:val="0"/>
          <w:sz w:val="20"/>
        </w:rPr>
        <w:instrText xml:space="preserve"> ADDIN EN.CITE.DATA </w:instrText>
      </w:r>
      <w:r w:rsidR="00963C85" w:rsidRPr="004E4C0E">
        <w:rPr>
          <w:kern w:val="0"/>
          <w:sz w:val="20"/>
        </w:rPr>
      </w:r>
      <w:r w:rsidR="00963C85" w:rsidRPr="004E4C0E">
        <w:rPr>
          <w:kern w:val="0"/>
          <w:sz w:val="20"/>
        </w:rPr>
        <w:fldChar w:fldCharType="end"/>
      </w:r>
      <w:r w:rsidRPr="004E4C0E">
        <w:rPr>
          <w:kern w:val="0"/>
          <w:sz w:val="20"/>
        </w:rPr>
      </w:r>
      <w:r w:rsidRPr="004E4C0E">
        <w:rPr>
          <w:kern w:val="0"/>
          <w:sz w:val="20"/>
        </w:rPr>
        <w:fldChar w:fldCharType="separate"/>
      </w:r>
      <w:r w:rsidR="00963C85" w:rsidRPr="004E4C0E">
        <w:rPr>
          <w:noProof/>
          <w:kern w:val="0"/>
          <w:sz w:val="20"/>
          <w:vertAlign w:val="superscript"/>
        </w:rPr>
        <w:t>[</w:t>
      </w:r>
      <w:hyperlink w:anchor="_ENREF_1" w:tooltip="Semprini, 1995 #1" w:history="1">
        <w:r w:rsidR="00963C85" w:rsidRPr="004E4C0E">
          <w:rPr>
            <w:noProof/>
            <w:kern w:val="0"/>
            <w:sz w:val="20"/>
            <w:vertAlign w:val="superscript"/>
          </w:rPr>
          <w:t>1-6</w:t>
        </w:r>
      </w:hyperlink>
      <w:r w:rsidR="00963C85" w:rsidRPr="004E4C0E">
        <w:rPr>
          <w:noProof/>
          <w:kern w:val="0"/>
          <w:sz w:val="20"/>
          <w:vertAlign w:val="superscript"/>
        </w:rPr>
        <w:t>]</w:t>
      </w:r>
      <w:r w:rsidRPr="004E4C0E">
        <w:rPr>
          <w:kern w:val="0"/>
          <w:sz w:val="20"/>
        </w:rPr>
        <w:fldChar w:fldCharType="end"/>
      </w:r>
      <w:r w:rsidRPr="004E4C0E">
        <w:rPr>
          <w:kern w:val="0"/>
          <w:sz w:val="20"/>
        </w:rPr>
        <w:t>. Sepsis is a systemic, deleterious host response to infection leading to severe acute organ dysfunction secondary to a documented or suspected infection. Severe sepsis is a major health care problem affecting millions of people around the world each year, killing one in four (and often</w:t>
      </w:r>
      <w:r w:rsidRPr="004E4C0E">
        <w:rPr>
          <w:rFonts w:hint="eastAsia"/>
          <w:kern w:val="0"/>
          <w:sz w:val="20"/>
        </w:rPr>
        <w:t xml:space="preserve"> </w:t>
      </w:r>
      <w:r w:rsidRPr="004E4C0E">
        <w:rPr>
          <w:kern w:val="0"/>
          <w:sz w:val="20"/>
        </w:rPr>
        <w:t>more), and increasing in incidence</w:t>
      </w:r>
      <w:r w:rsidRPr="004E4C0E">
        <w:rPr>
          <w:kern w:val="0"/>
          <w:sz w:val="20"/>
        </w:rPr>
        <w:fldChar w:fldCharType="begin">
          <w:fldData xml:space="preserve">PEVuZE5vdGU+PENpdGU+PEF1dGhvcj5EZWxsaW5nZXI8L0F1dGhvcj48WWVhcj4yMDEzPC9ZZWFy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==
</w:fldData>
        </w:fldChar>
      </w:r>
      <w:r w:rsidR="00963C85" w:rsidRPr="004E4C0E">
        <w:rPr>
          <w:kern w:val="0"/>
          <w:sz w:val="20"/>
        </w:rPr>
        <w:instrText xml:space="preserve"> ADDIN EN.CITE </w:instrText>
      </w:r>
      <w:r w:rsidR="00963C85" w:rsidRPr="004E4C0E">
        <w:rPr>
          <w:kern w:val="0"/>
          <w:sz w:val="20"/>
        </w:rPr>
        <w:fldChar w:fldCharType="begin">
          <w:fldData xml:space="preserve">PEVuZE5vdGU+PENpdGU+PEF1dGhvcj5EZWxsaW5nZXI8L0F1dGhvcj48WWVhcj4yMDEzPC9ZZWFy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==
</w:fldData>
        </w:fldChar>
      </w:r>
      <w:r w:rsidR="00963C85" w:rsidRPr="004E4C0E">
        <w:rPr>
          <w:kern w:val="0"/>
          <w:sz w:val="20"/>
        </w:rPr>
        <w:instrText xml:space="preserve"> ADDIN EN.CITE.DATA </w:instrText>
      </w:r>
      <w:r w:rsidR="00963C85" w:rsidRPr="004E4C0E">
        <w:rPr>
          <w:kern w:val="0"/>
          <w:sz w:val="20"/>
        </w:rPr>
      </w:r>
      <w:r w:rsidR="00963C85" w:rsidRPr="004E4C0E">
        <w:rPr>
          <w:kern w:val="0"/>
          <w:sz w:val="20"/>
        </w:rPr>
        <w:fldChar w:fldCharType="end"/>
      </w:r>
      <w:r w:rsidRPr="004E4C0E">
        <w:rPr>
          <w:kern w:val="0"/>
          <w:sz w:val="20"/>
        </w:rPr>
      </w:r>
      <w:r w:rsidRPr="004E4C0E">
        <w:rPr>
          <w:kern w:val="0"/>
          <w:sz w:val="20"/>
        </w:rPr>
        <w:fldChar w:fldCharType="separate"/>
      </w:r>
      <w:r w:rsidR="00963C85" w:rsidRPr="004E4C0E">
        <w:rPr>
          <w:noProof/>
          <w:kern w:val="0"/>
          <w:sz w:val="20"/>
          <w:vertAlign w:val="superscript"/>
        </w:rPr>
        <w:t>[</w:t>
      </w:r>
      <w:hyperlink w:anchor="_ENREF_7" w:tooltip="Dellinger, 2013 #29" w:history="1">
        <w:r w:rsidR="00963C85" w:rsidRPr="004E4C0E">
          <w:rPr>
            <w:noProof/>
            <w:kern w:val="0"/>
            <w:sz w:val="20"/>
            <w:vertAlign w:val="superscript"/>
          </w:rPr>
          <w:t>7-9</w:t>
        </w:r>
      </w:hyperlink>
      <w:r w:rsidR="00963C85" w:rsidRPr="004E4C0E">
        <w:rPr>
          <w:noProof/>
          <w:kern w:val="0"/>
          <w:sz w:val="20"/>
          <w:vertAlign w:val="superscript"/>
        </w:rPr>
        <w:t>]</w:t>
      </w:r>
      <w:r w:rsidRPr="004E4C0E">
        <w:rPr>
          <w:kern w:val="0"/>
          <w:sz w:val="20"/>
        </w:rPr>
        <w:fldChar w:fldCharType="end"/>
      </w:r>
      <w:r w:rsidRPr="004E4C0E">
        <w:rPr>
          <w:kern w:val="0"/>
          <w:sz w:val="20"/>
        </w:rPr>
        <w:t>. HIV-infected patients are related to a higher frequency of severe sepsis and death among patients admitted to the ICU</w:t>
      </w:r>
      <w:r w:rsidRPr="004E4C0E">
        <w:rPr>
          <w:kern w:val="0"/>
          <w:sz w:val="20"/>
        </w:rPr>
        <w:fldChar w:fldCharType="begin"/>
      </w:r>
      <w:r w:rsidR="00963C85" w:rsidRPr="004E4C0E">
        <w:rPr>
          <w:kern w:val="0"/>
          <w:sz w:val="20"/>
        </w:rPr>
        <w:instrText xml:space="preserve"> ADDIN EN.CITE &lt;EndNote&gt;&lt;Cite&gt;&lt;Author&gt;Medrano&lt;/Author&gt;&lt;Year&gt;2014&lt;/Year&gt;&lt;RecNum&gt;30&lt;/RecNum&gt;&lt;DisplayText&gt;&lt;style face="superscript"&gt;[10]&lt;/style&gt;&lt;/DisplayText&gt;&lt;record&gt;&lt;rec-number&gt;30&lt;/rec-number&gt;&lt;foreign-keys&gt;&lt;key app="EN" db-id="f5dzftewnaxtr3ert94p52dgx5s9t0efadrv"&gt;30&lt;/key&gt;&lt;/foreign-keys&gt;&lt;ref-type name="Journal Article"&gt;17&lt;/ref-type&gt;&lt;contributors&gt;&lt;authors&gt;&lt;author&gt;Medrano, José&lt;/author&gt;&lt;author&gt;Álvaro-Meca, Alejando&lt;/author&gt;&lt;author&gt;Boyer, Alexandre&lt;/author&gt;&lt;author&gt;Jiménez-Sousa, María A&lt;/author&gt;&lt;author&gt;Resino, Salvador&lt;/author&gt;&lt;/authors&gt;&lt;/contributors&gt;&lt;titles&gt;&lt;title&gt;Mortality of patients infected with HIV in the intensive care unit (2005 through 2010): significant role of chronic hepatitis C and severe sepsis&lt;/title&gt;&lt;secondary-title&gt;Critical Care&lt;/secondary-title&gt;&lt;/titles&gt;&lt;periodical&gt;&lt;full-title&gt;Critical Care&lt;/full-title&gt;&lt;/periodical&gt;&lt;pages&gt;475&lt;/pages&gt;&lt;volume&gt;18&lt;/volume&gt;&lt;number&gt;4&lt;/number&gt;&lt;dates&gt;&lt;year&gt;2014&lt;/year&gt;&lt;/dates&gt;&lt;isbn&gt;1364-8535&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10" w:tooltip="Medrano, 2014 #30" w:history="1">
        <w:r w:rsidR="00963C85" w:rsidRPr="004E4C0E">
          <w:rPr>
            <w:noProof/>
            <w:kern w:val="0"/>
            <w:sz w:val="20"/>
            <w:vertAlign w:val="superscript"/>
          </w:rPr>
          <w:t>10</w:t>
        </w:r>
      </w:hyperlink>
      <w:r w:rsidR="00963C85" w:rsidRPr="004E4C0E">
        <w:rPr>
          <w:noProof/>
          <w:kern w:val="0"/>
          <w:sz w:val="20"/>
          <w:vertAlign w:val="superscript"/>
        </w:rPr>
        <w:t>]</w:t>
      </w:r>
      <w:r w:rsidRPr="004E4C0E">
        <w:rPr>
          <w:kern w:val="0"/>
          <w:sz w:val="20"/>
        </w:rPr>
        <w:fldChar w:fldCharType="end"/>
      </w:r>
      <w:r w:rsidRPr="004E4C0E">
        <w:rPr>
          <w:kern w:val="0"/>
          <w:sz w:val="20"/>
        </w:rPr>
        <w:t xml:space="preserve">. </w:t>
      </w:r>
      <w:bookmarkStart w:id="10" w:name="OLE_LINK8"/>
      <w:bookmarkStart w:id="11" w:name="OLE_LINK7"/>
      <w:r w:rsidRPr="004E4C0E">
        <w:rPr>
          <w:kern w:val="0"/>
          <w:sz w:val="20"/>
        </w:rPr>
        <w:t>The unacceptably high mortality</w:t>
      </w:r>
      <w:bookmarkEnd w:id="10"/>
      <w:bookmarkEnd w:id="11"/>
      <w:r w:rsidRPr="004E4C0E">
        <w:rPr>
          <w:kern w:val="0"/>
          <w:sz w:val="20"/>
        </w:rPr>
        <w:t xml:space="preserve"> rates of 30%–50% for severe sepsis continue</w:t>
      </w:r>
      <w:r w:rsidRPr="004E4C0E">
        <w:rPr>
          <w:kern w:val="0"/>
          <w:sz w:val="20"/>
        </w:rPr>
        <w:fldChar w:fldCharType="begin"/>
      </w:r>
      <w:r w:rsidR="00963C85" w:rsidRPr="004E4C0E">
        <w:rPr>
          <w:kern w:val="0"/>
          <w:sz w:val="20"/>
        </w:rPr>
        <w:instrText xml:space="preserve"> ADDIN EN.CITE &lt;EndNote&gt;&lt;Cite&gt;&lt;Author&gt;Angus&lt;/Author&gt;&lt;Year&gt;2001&lt;/Year&gt;&lt;RecNum&gt;31&lt;/RecNum&gt;&lt;DisplayText&gt;&lt;style face="superscript"&gt;[9,10]&lt;/style&gt;&lt;/DisplayText&gt;&lt;record&gt;&lt;rec-number&gt;31&lt;/rec-number&gt;&lt;foreign-keys&gt;&lt;key app="EN" db-id="f5dzftewnaxtr3ert94p52dgx5s9t0efadrv"&gt;31&lt;/key&gt;&lt;/foreign-keys&gt;&lt;ref-type name="Journal Article"&gt;17&lt;/ref-type&gt;&lt;contributors&gt;&lt;authors&gt;&lt;author&gt;Angus, Derek C&lt;/author&gt;&lt;author&gt;Linde-Zwirble, Walter T&lt;/author&gt;&lt;author&gt;Lidicker, Jeffrey&lt;/author&gt;&lt;author&gt;Clermont, Gilles&lt;/author&gt;&lt;author&gt;Carcillo, Joseph&lt;/author&gt;&lt;author&gt;Pinsky, Michael R&lt;/author&gt;&lt;/authors&gt;&lt;/contributors&gt;&lt;titles&gt;&lt;title&gt;Epidemiology of severe sepsis in the United States: analysis of incidence, outcome, and associated costs of care&lt;/title&gt;&lt;secondary-title&gt;Critical care medicine&lt;/secondary-title&gt;&lt;/titles&gt;&lt;periodical&gt;&lt;full-title&gt;Critical care medicine&lt;/full-title&gt;&lt;/periodical&gt;&lt;pages&gt;1303-1310&lt;/pages&gt;&lt;volume&gt;29&lt;/volume&gt;&lt;number&gt;7&lt;/number&gt;&lt;dates&gt;&lt;year&gt;2001&lt;/year&gt;&lt;/dates&gt;&lt;isbn&gt;0090-3493&lt;/isbn&gt;&lt;urls&gt;&lt;/urls&gt;&lt;/record&gt;&lt;/Cite&gt;&lt;Cite&gt;&lt;Author&gt;Medrano&lt;/Author&gt;&lt;Year&gt;2014&lt;/Year&gt;&lt;RecNum&gt;30&lt;/RecNum&gt;&lt;record&gt;&lt;rec-number&gt;30&lt;/rec-number&gt;&lt;foreign-keys&gt;&lt;key app="EN" db-id="f5dzftewnaxtr3ert94p52dgx5s9t0efadrv"&gt;30&lt;/key&gt;&lt;/foreign-keys&gt;&lt;ref-type name="Journal Article"&gt;17&lt;/ref-type&gt;&lt;contributors&gt;&lt;authors&gt;&lt;author&gt;Medrano, José&lt;/author&gt;&lt;author&gt;Álvaro-Meca, Alejando&lt;/author&gt;&lt;author&gt;Boyer, Alexandre&lt;/author&gt;&lt;author&gt;Jiménez-Sousa, María A&lt;/author&gt;&lt;author&gt;Resino, Salvador&lt;/author&gt;&lt;/authors&gt;&lt;/contributors&gt;&lt;titles&gt;&lt;title&gt;Mortality of patients infected with HIV in the intensive care unit (2005 through 2010): significant role of chronic hepatitis C and severe sepsis&lt;/title&gt;&lt;secondary-title&gt;Critical Care&lt;/secondary-title&gt;&lt;/titles&gt;&lt;periodical&gt;&lt;full-title&gt;Critical Care&lt;/full-title&gt;&lt;/periodical&gt;&lt;pages&gt;475&lt;/pages&gt;&lt;volume&gt;18&lt;/volume&gt;&lt;number&gt;4&lt;/number&gt;&lt;dates&gt;&lt;year&gt;2014&lt;/year&gt;&lt;/dates&gt;&lt;isbn&gt;1364-8535&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9" w:tooltip="Angus, 2001 #27" w:history="1">
        <w:r w:rsidR="00963C85" w:rsidRPr="004E4C0E">
          <w:rPr>
            <w:noProof/>
            <w:kern w:val="0"/>
            <w:sz w:val="20"/>
            <w:vertAlign w:val="superscript"/>
          </w:rPr>
          <w:t>9</w:t>
        </w:r>
      </w:hyperlink>
      <w:r w:rsidR="00963C85" w:rsidRPr="004E4C0E">
        <w:rPr>
          <w:noProof/>
          <w:kern w:val="0"/>
          <w:sz w:val="20"/>
          <w:vertAlign w:val="superscript"/>
        </w:rPr>
        <w:t>,</w:t>
      </w:r>
      <w:hyperlink w:anchor="_ENREF_10" w:tooltip="Medrano, 2014 #30" w:history="1">
        <w:r w:rsidR="00963C85" w:rsidRPr="004E4C0E">
          <w:rPr>
            <w:noProof/>
            <w:kern w:val="0"/>
            <w:sz w:val="20"/>
            <w:vertAlign w:val="superscript"/>
          </w:rPr>
          <w:t>10</w:t>
        </w:r>
      </w:hyperlink>
      <w:r w:rsidR="00963C85" w:rsidRPr="004E4C0E">
        <w:rPr>
          <w:noProof/>
          <w:kern w:val="0"/>
          <w:sz w:val="20"/>
          <w:vertAlign w:val="superscript"/>
        </w:rPr>
        <w:t>]</w:t>
      </w:r>
      <w:r w:rsidRPr="004E4C0E">
        <w:rPr>
          <w:kern w:val="0"/>
          <w:sz w:val="20"/>
        </w:rPr>
        <w:fldChar w:fldCharType="end"/>
      </w:r>
      <w:r w:rsidRPr="004E4C0E">
        <w:rPr>
          <w:kern w:val="0"/>
          <w:sz w:val="20"/>
        </w:rPr>
        <w:t>, and it can be said that sepsis is a major determinant of outcome in HIV-infected patients</w:t>
      </w:r>
      <w:r w:rsidRPr="004E4C0E">
        <w:rPr>
          <w:kern w:val="0"/>
          <w:sz w:val="20"/>
        </w:rPr>
        <w:fldChar w:fldCharType="begin">
          <w:fldData xml:space="preserve">PEVuZE5vdGU+PENpdGU+PEF1dGhvcj5KYXBpYXNzw7o8L0F1dGhvcj48WWVhcj4yMDEwPC9ZZWFy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</w:fldData>
        </w:fldChar>
      </w:r>
      <w:r w:rsidR="00963C85" w:rsidRPr="004E4C0E">
        <w:rPr>
          <w:kern w:val="0"/>
          <w:sz w:val="20"/>
        </w:rPr>
        <w:instrText xml:space="preserve"> ADDIN EN.CITE </w:instrText>
      </w:r>
      <w:r w:rsidR="00963C85" w:rsidRPr="004E4C0E">
        <w:rPr>
          <w:kern w:val="0"/>
          <w:sz w:val="20"/>
        </w:rPr>
        <w:fldChar w:fldCharType="begin">
          <w:fldData xml:space="preserve">PEVuZE5vdGU+PENpdGU+PEF1dGhvcj5KYXBpYXNzw7o8L0F1dGhvcj48WWVhcj4yMDEwPC9ZZWFy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</w:fldData>
        </w:fldChar>
      </w:r>
      <w:r w:rsidR="00963C85" w:rsidRPr="004E4C0E">
        <w:rPr>
          <w:kern w:val="0"/>
          <w:sz w:val="20"/>
        </w:rPr>
        <w:instrText xml:space="preserve"> ADDIN EN.CITE.DATA </w:instrText>
      </w:r>
      <w:r w:rsidR="00963C85" w:rsidRPr="004E4C0E">
        <w:rPr>
          <w:kern w:val="0"/>
          <w:sz w:val="20"/>
        </w:rPr>
      </w:r>
      <w:r w:rsidR="00963C85" w:rsidRPr="004E4C0E">
        <w:rPr>
          <w:kern w:val="0"/>
          <w:sz w:val="20"/>
        </w:rPr>
        <w:fldChar w:fldCharType="end"/>
      </w:r>
      <w:r w:rsidRPr="004E4C0E">
        <w:rPr>
          <w:kern w:val="0"/>
          <w:sz w:val="20"/>
        </w:rPr>
      </w:r>
      <w:r w:rsidRPr="004E4C0E">
        <w:rPr>
          <w:kern w:val="0"/>
          <w:sz w:val="20"/>
        </w:rPr>
        <w:fldChar w:fldCharType="separate"/>
      </w:r>
      <w:r w:rsidR="00963C85" w:rsidRPr="004E4C0E">
        <w:rPr>
          <w:noProof/>
          <w:kern w:val="0"/>
          <w:sz w:val="20"/>
          <w:vertAlign w:val="superscript"/>
        </w:rPr>
        <w:t>[</w:t>
      </w:r>
      <w:hyperlink w:anchor="_ENREF_11" w:tooltip="Japiassú, 2010 #33" w:history="1">
        <w:r w:rsidR="00963C85" w:rsidRPr="004E4C0E">
          <w:rPr>
            <w:noProof/>
            <w:kern w:val="0"/>
            <w:sz w:val="20"/>
            <w:vertAlign w:val="superscript"/>
          </w:rPr>
          <w:t>11</w:t>
        </w:r>
      </w:hyperlink>
      <w:r w:rsidR="00963C85" w:rsidRPr="004E4C0E">
        <w:rPr>
          <w:noProof/>
          <w:kern w:val="0"/>
          <w:sz w:val="20"/>
          <w:vertAlign w:val="superscript"/>
        </w:rPr>
        <w:t>,</w:t>
      </w:r>
      <w:hyperlink w:anchor="_ENREF_12" w:tooltip="Jacob, 2009 #34" w:history="1">
        <w:r w:rsidR="00963C85" w:rsidRPr="004E4C0E">
          <w:rPr>
            <w:noProof/>
            <w:kern w:val="0"/>
            <w:sz w:val="20"/>
            <w:vertAlign w:val="superscript"/>
          </w:rPr>
          <w:t>12</w:t>
        </w:r>
      </w:hyperlink>
      <w:r w:rsidR="00963C85" w:rsidRPr="004E4C0E">
        <w:rPr>
          <w:noProof/>
          <w:kern w:val="0"/>
          <w:sz w:val="20"/>
          <w:vertAlign w:val="superscript"/>
        </w:rPr>
        <w:t>]</w:t>
      </w:r>
      <w:r w:rsidRPr="004E4C0E">
        <w:rPr>
          <w:kern w:val="0"/>
          <w:sz w:val="20"/>
        </w:rPr>
        <w:fldChar w:fldCharType="end"/>
      </w:r>
      <w:r w:rsidRPr="004E4C0E">
        <w:rPr>
          <w:kern w:val="0"/>
          <w:sz w:val="20"/>
        </w:rPr>
        <w:t xml:space="preserve">. </w:t>
      </w:r>
      <w:bookmarkEnd w:id="8"/>
      <w:bookmarkEnd w:id="9"/>
      <w:r w:rsidRPr="004E4C0E">
        <w:rPr>
          <w:kern w:val="0"/>
          <w:sz w:val="20"/>
        </w:rPr>
        <w:t>Therefore, an exclusive and applicable scoring tool for the evaluation of the development of post-operative sepsis is imperative for improving post-operative outcomes in HIV-infected patients.</w:t>
      </w:r>
    </w:p>
    <w:p w:rsidR="0064358E" w:rsidRPr="004E4C0E" w:rsidRDefault="001B619B" w:rsidP="002F3E9F">
      <w:pPr>
        <w:widowControl/>
        <w:autoSpaceDE w:val="0"/>
        <w:autoSpaceDN w:val="0"/>
        <w:adjustRightInd w:val="0"/>
        <w:spacing w:line="360" w:lineRule="auto"/>
        <w:rPr>
          <w:kern w:val="0"/>
          <w:sz w:val="20"/>
        </w:rPr>
      </w:pPr>
      <w:r w:rsidRPr="004E4C0E">
        <w:rPr>
          <w:kern w:val="0"/>
          <w:sz w:val="20"/>
        </w:rPr>
        <w:t>In this study, we developed a novel pre-operative risk scoring model comprising five variable indicators, including CD4</w:t>
      </w:r>
      <w:r w:rsidRPr="004E4C0E">
        <w:rPr>
          <w:kern w:val="0"/>
          <w:sz w:val="20"/>
          <w:vertAlign w:val="superscript"/>
        </w:rPr>
        <w:t xml:space="preserve">+ </w:t>
      </w:r>
      <w:r w:rsidRPr="004E4C0E">
        <w:rPr>
          <w:kern w:val="0"/>
          <w:sz w:val="20"/>
        </w:rPr>
        <w:t>T cell count, the incision grade used in surgical operations, the surgical grade, the opportunistic infection,</w:t>
      </w:r>
      <w:r w:rsidRPr="004E4C0E">
        <w:rPr>
          <w:rFonts w:hint="eastAsia"/>
          <w:kern w:val="0"/>
          <w:sz w:val="20"/>
        </w:rPr>
        <w:t xml:space="preserve"> </w:t>
      </w:r>
      <w:r w:rsidRPr="004E4C0E">
        <w:rPr>
          <w:kern w:val="0"/>
          <w:sz w:val="20"/>
        </w:rPr>
        <w:t>and the organ function. To establish the scoring system model, a database of 762 HIV-infected patients in the Shanghai Public Health Clinical Center (SPHCC) was employed. These patients underwent various surgical procedures in the past six years (from 2008 to 2014) for reasons of infection (43.09%), dysfunction (27.77%), tumor (21.67%), and trauma (7.47%). In the SPHCC dataset, 256 patients had post-operative sepsis. The average total scores of the sepsis group and the non-sepsis group were 7.22 and 11.62, respectively. Using the predicting model of multi-factor logistical regression, the sensitivity and specificity were 0.95 and 93.6. The area under curve (AUC) score was 0.98[0.97, 0.99]. The result, which was much larger than five single-factor predicting models, was validated with a receiver operating characteristic (ROC) curve using a Zhengzhou Sixth People Hospital (ZSPH) dataset of 182 HIV-infected cases with similar reasons for surgery. Post-operative sepsis was identified in 41 patients in the ZSPH dataset. The AUC score of the same model was 0.86[0.82, 0.93], which indicates that this surgical risk scoring model is effective.</w:t>
      </w:r>
    </w:p>
    <w:p w:rsidR="00963C85" w:rsidRPr="004E4C0E" w:rsidRDefault="001B619B" w:rsidP="002F3E9F">
      <w:pPr>
        <w:widowControl/>
        <w:shd w:val="clear" w:color="auto" w:fill="FFFFFF"/>
        <w:spacing w:line="360" w:lineRule="auto"/>
        <w:rPr>
          <w:kern w:val="0"/>
          <w:sz w:val="20"/>
        </w:rPr>
      </w:pPr>
      <w:r w:rsidRPr="004E4C0E">
        <w:rPr>
          <w:kern w:val="0"/>
          <w:sz w:val="20"/>
        </w:rPr>
        <w:t xml:space="preserve">Based on the evaluation indicators, three </w:t>
      </w:r>
      <w:r w:rsidRPr="004E4C0E">
        <w:rPr>
          <w:rFonts w:hint="eastAsia"/>
          <w:kern w:val="0"/>
          <w:sz w:val="20"/>
        </w:rPr>
        <w:t>schemes</w:t>
      </w:r>
      <w:r w:rsidRPr="004E4C0E">
        <w:rPr>
          <w:kern w:val="0"/>
          <w:sz w:val="20"/>
        </w:rPr>
        <w:t xml:space="preserve"> were proposed and then compared according to the results of calculations. This process helped us confirm the best one with sufficient evidence.</w:t>
      </w:r>
    </w:p>
    <w:p w:rsidR="00963C85" w:rsidRPr="004E4C0E" w:rsidRDefault="00963C85" w:rsidP="00A27852">
      <w:pPr>
        <w:widowControl/>
        <w:shd w:val="clear" w:color="auto" w:fill="FFFFFF"/>
        <w:spacing w:line="360" w:lineRule="auto"/>
        <w:rPr>
          <w:kern w:val="0"/>
          <w:sz w:val="20"/>
        </w:rPr>
      </w:pPr>
      <w:r w:rsidRPr="004E4C0E">
        <w:rPr>
          <w:b/>
          <w:kern w:val="0"/>
          <w:sz w:val="20"/>
        </w:rPr>
        <w:t>METHODS</w:t>
      </w:r>
    </w:p>
    <w:p w:rsidR="0064358E" w:rsidRPr="004E4C0E" w:rsidRDefault="001B619B" w:rsidP="00A27852">
      <w:pPr>
        <w:widowControl/>
        <w:shd w:val="clear" w:color="auto" w:fill="FFFFFF"/>
        <w:spacing w:line="360" w:lineRule="auto"/>
        <w:rPr>
          <w:kern w:val="0"/>
          <w:sz w:val="20"/>
        </w:rPr>
      </w:pPr>
      <w:r w:rsidRPr="004E4C0E">
        <w:rPr>
          <w:b/>
          <w:kern w:val="0"/>
          <w:sz w:val="20"/>
        </w:rPr>
        <w:t>Study Design</w:t>
      </w:r>
    </w:p>
    <w:p w:rsidR="0064358E" w:rsidRDefault="001B619B" w:rsidP="00A27852">
      <w:pPr>
        <w:widowControl/>
        <w:shd w:val="clear" w:color="auto" w:fill="FFFFFF"/>
        <w:spacing w:line="360" w:lineRule="auto"/>
        <w:ind w:firstLineChars="200" w:firstLine="400"/>
        <w:rPr>
          <w:rFonts w:hint="eastAsia"/>
          <w:kern w:val="0"/>
          <w:sz w:val="20"/>
        </w:rPr>
      </w:pPr>
      <w:r w:rsidRPr="004E4C0E">
        <w:rPr>
          <w:kern w:val="0"/>
          <w:sz w:val="20"/>
        </w:rPr>
        <w:t xml:space="preserve">This study was conducted at the SPHCC special center for the treatment of major communicable diseases in Shanghai, China. Clinical documents were retrieved for the date range of January 2010 to </w:t>
      </w:r>
      <w:r w:rsidRPr="004E4C0E">
        <w:rPr>
          <w:kern w:val="0"/>
          <w:sz w:val="20"/>
        </w:rPr>
        <w:lastRenderedPageBreak/>
        <w:t>December 2014 of 762 patients with a diagnosis of HIV infection and having various surgical procedures to build the predictive model. The clinical documents of 182 patients with the same condition and circumstances from January 2013 to December 2014 at Zhengzhou Sixth People Hospital (HSPH) were collected to evaluate the model. All patients were required to undergo routine laboratory examinations before surgery. The 2001 SCCM/ESICM/ACCP/ATS/SIS international sepsis definition was used as a reference</w:t>
      </w:r>
      <w:r w:rsidRPr="004E4C0E">
        <w:rPr>
          <w:kern w:val="0"/>
          <w:sz w:val="20"/>
        </w:rPr>
        <w:fldChar w:fldCharType="begin"/>
      </w:r>
      <w:r w:rsidR="00963C85" w:rsidRPr="004E4C0E">
        <w:rPr>
          <w:kern w:val="0"/>
          <w:sz w:val="20"/>
        </w:rPr>
        <w:instrText xml:space="preserve"> ADDIN EN.CITE &lt;EndNote&gt;&lt;Cite&gt;&lt;Author&gt;Levy&lt;/Author&gt;&lt;Year&gt;2003&lt;/Year&gt;&lt;RecNum&gt;35&lt;/RecNum&gt;&lt;DisplayText&gt;&lt;style face="superscript"&gt;[13]&lt;/style&gt;&lt;/DisplayText&gt;&lt;record&gt;&lt;rec-number&gt;35&lt;/rec-number&gt;&lt;foreign-keys&gt;&lt;key app="EN" db-id="f5dzftewnaxtr3ert94p52dgx5s9t0efadrv"&gt;35&lt;/key&gt;&lt;/foreign-keys&gt;&lt;ref-type name="Journal Article"&gt;17&lt;/ref-type&gt;&lt;contributors&gt;&lt;authors&gt;&lt;author&gt;Levy, Mitchell M&lt;/author&gt;&lt;author&gt;Fink, Mitchell P&lt;/author&gt;&lt;author&gt;Marshall, John C&lt;/author&gt;&lt;author&gt;Abraham, Edward&lt;/author&gt;&lt;author&gt;Angus, Derek&lt;/author&gt;&lt;author&gt;Cook, Deborah&lt;/author&gt;&lt;author&gt;Cohen, Jonathan&lt;/author&gt;&lt;author&gt;Opal, Steven M&lt;/author&gt;&lt;author&gt;Vincent, Jean-Louis&lt;/author&gt;&lt;author&gt;Ramsay, Graham&lt;/author&gt;&lt;/authors&gt;&lt;/contributors&gt;&lt;titles&gt;&lt;title&gt;2001 sccm/esicm/accp/ats/sis international sepsis definitions conference&lt;/title&gt;&lt;secondary-title&gt;Intensive care medicine&lt;/secondary-title&gt;&lt;/titles&gt;&lt;periodical&gt;&lt;full-title&gt;Intensive care medicine&lt;/full-title&gt;&lt;/periodical&gt;&lt;pages&gt;530-538&lt;/pages&gt;&lt;volume&gt;29&lt;/volume&gt;&lt;number&gt;4&lt;/number&gt;&lt;dates&gt;&lt;year&gt;2003&lt;/year&gt;&lt;/dates&gt;&lt;isbn&gt;0342-4642&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13" w:tooltip="Levy, 2003 #35" w:history="1">
        <w:r w:rsidR="00963C85" w:rsidRPr="004E4C0E">
          <w:rPr>
            <w:noProof/>
            <w:kern w:val="0"/>
            <w:sz w:val="20"/>
            <w:vertAlign w:val="superscript"/>
          </w:rPr>
          <w:t>13</w:t>
        </w:r>
      </w:hyperlink>
      <w:r w:rsidR="00963C85" w:rsidRPr="004E4C0E">
        <w:rPr>
          <w:noProof/>
          <w:kern w:val="0"/>
          <w:sz w:val="20"/>
          <w:vertAlign w:val="superscript"/>
        </w:rPr>
        <w:t>]</w:t>
      </w:r>
      <w:r w:rsidRPr="004E4C0E">
        <w:rPr>
          <w:kern w:val="0"/>
          <w:sz w:val="20"/>
        </w:rPr>
        <w:fldChar w:fldCharType="end"/>
      </w:r>
      <w:r w:rsidRPr="004E4C0E">
        <w:rPr>
          <w:kern w:val="0"/>
          <w:sz w:val="20"/>
        </w:rPr>
        <w:t>. In the SPHCC dataset, the ratio of females to males was around 1:7.4. The age range was from 10 to 74, and the median was 47.2. In the dataset of ZSPH, the ratio of females to males was 1:3, and the age range was 6 to 81, with the median being 45. The risk scoring system graded levels of CD4+ T</w:t>
      </w:r>
      <w:r w:rsidRPr="004E4C0E">
        <w:rPr>
          <w:rFonts w:hint="eastAsia"/>
          <w:kern w:val="0"/>
          <w:sz w:val="20"/>
        </w:rPr>
        <w:t xml:space="preserve"> </w:t>
      </w:r>
      <w:r w:rsidRPr="004E4C0E">
        <w:rPr>
          <w:kern w:val="0"/>
          <w:sz w:val="20"/>
        </w:rPr>
        <w:t>cell counts, incision, surgical grade, opportunistic infection, and organ function into numerical scales of 1</w:t>
      </w:r>
      <w:r w:rsidR="00357439">
        <w:rPr>
          <w:rFonts w:hint="eastAsia"/>
          <w:kern w:val="0"/>
          <w:sz w:val="20"/>
        </w:rPr>
        <w:t>-</w:t>
      </w:r>
      <w:r w:rsidRPr="004E4C0E">
        <w:rPr>
          <w:kern w:val="0"/>
          <w:sz w:val="20"/>
        </w:rPr>
        <w:t>4. The basis of the grading system is listed in Table 1.</w:t>
      </w:r>
    </w:p>
    <w:p w:rsidR="00D27B47" w:rsidRPr="004E4C0E" w:rsidRDefault="00D27B47" w:rsidP="00D27B47">
      <w:pPr>
        <w:widowControl/>
        <w:shd w:val="clear" w:color="auto" w:fill="FFFFFF"/>
        <w:spacing w:line="360" w:lineRule="auto"/>
        <w:ind w:firstLine="468"/>
        <w:jc w:val="left"/>
        <w:rPr>
          <w:kern w:val="0"/>
          <w:sz w:val="20"/>
        </w:rPr>
      </w:pPr>
      <w:proofErr w:type="gramStart"/>
      <w:r w:rsidRPr="004E4C0E">
        <w:rPr>
          <w:kern w:val="0"/>
          <w:sz w:val="20"/>
        </w:rPr>
        <w:t>Table 1.</w:t>
      </w:r>
      <w:proofErr w:type="gramEnd"/>
      <w:r w:rsidRPr="004E4C0E">
        <w:rPr>
          <w:rFonts w:hint="eastAsia"/>
          <w:kern w:val="0"/>
          <w:sz w:val="20"/>
        </w:rPr>
        <w:t xml:space="preserve"> </w:t>
      </w:r>
      <w:r w:rsidRPr="004E4C0E">
        <w:rPr>
          <w:kern w:val="0"/>
          <w:sz w:val="20"/>
        </w:rPr>
        <w:t>Basis of risk evaluation</w:t>
      </w:r>
    </w:p>
    <w:tbl>
      <w:tblPr>
        <w:tblW w:w="7355" w:type="dxa"/>
        <w:jc w:val="center"/>
        <w:tblBorders>
          <w:top w:val="single" w:sz="4" w:space="0" w:color="auto"/>
          <w:bottom w:val="single" w:sz="4" w:space="0" w:color="auto"/>
        </w:tblBorders>
        <w:tblLayout w:type="fixed"/>
        <w:tblLook w:val="04A0" w:firstRow="1" w:lastRow="0" w:firstColumn="1" w:lastColumn="0" w:noHBand="0" w:noVBand="1"/>
      </w:tblPr>
      <w:tblGrid>
        <w:gridCol w:w="2393"/>
        <w:gridCol w:w="925"/>
        <w:gridCol w:w="1904"/>
        <w:gridCol w:w="1085"/>
        <w:gridCol w:w="1048"/>
      </w:tblGrid>
      <w:tr w:rsidR="00D27B47" w:rsidRPr="004E4C0E" w:rsidTr="00DB162E">
        <w:trPr>
          <w:jc w:val="center"/>
        </w:trPr>
        <w:tc>
          <w:tcPr>
            <w:tcW w:w="2393" w:type="dxa"/>
            <w:tcBorders>
              <w:top w:val="single" w:sz="4" w:space="0" w:color="auto"/>
              <w:bottom w:val="single" w:sz="4" w:space="0" w:color="auto"/>
            </w:tcBorders>
            <w:vAlign w:val="center"/>
          </w:tcPr>
          <w:p w:rsidR="00D27B47" w:rsidRPr="004E4C0E" w:rsidRDefault="00D27B47" w:rsidP="00DB162E">
            <w:pPr>
              <w:widowControl/>
              <w:spacing w:line="360" w:lineRule="auto"/>
              <w:jc w:val="left"/>
              <w:rPr>
                <w:kern w:val="0"/>
                <w:sz w:val="20"/>
              </w:rPr>
            </w:pPr>
          </w:p>
        </w:tc>
        <w:tc>
          <w:tcPr>
            <w:tcW w:w="925" w:type="dxa"/>
            <w:tcBorders>
              <w:top w:val="single" w:sz="4" w:space="0" w:color="auto"/>
              <w:bottom w:val="single" w:sz="4" w:space="0" w:color="auto"/>
            </w:tcBorders>
            <w:vAlign w:val="center"/>
          </w:tcPr>
          <w:p w:rsidR="00D27B47" w:rsidRPr="004E4C0E" w:rsidRDefault="00D27B47" w:rsidP="00DB162E">
            <w:pPr>
              <w:widowControl/>
              <w:spacing w:line="360" w:lineRule="auto"/>
              <w:jc w:val="left"/>
              <w:rPr>
                <w:kern w:val="0"/>
                <w:sz w:val="20"/>
              </w:rPr>
            </w:pPr>
            <w:r w:rsidRPr="004E4C0E">
              <w:rPr>
                <w:kern w:val="0"/>
                <w:sz w:val="20"/>
              </w:rPr>
              <w:t>1</w:t>
            </w:r>
          </w:p>
        </w:tc>
        <w:tc>
          <w:tcPr>
            <w:tcW w:w="1904" w:type="dxa"/>
            <w:tcBorders>
              <w:top w:val="single" w:sz="4" w:space="0" w:color="auto"/>
              <w:bottom w:val="single" w:sz="4" w:space="0" w:color="auto"/>
            </w:tcBorders>
            <w:vAlign w:val="center"/>
          </w:tcPr>
          <w:p w:rsidR="00D27B47" w:rsidRPr="004E4C0E" w:rsidRDefault="00D27B47" w:rsidP="00DB162E">
            <w:pPr>
              <w:widowControl/>
              <w:spacing w:line="360" w:lineRule="auto"/>
              <w:jc w:val="left"/>
              <w:rPr>
                <w:kern w:val="0"/>
                <w:sz w:val="20"/>
              </w:rPr>
            </w:pPr>
            <w:r w:rsidRPr="004E4C0E">
              <w:rPr>
                <w:kern w:val="0"/>
                <w:sz w:val="20"/>
              </w:rPr>
              <w:t>2</w:t>
            </w:r>
          </w:p>
        </w:tc>
        <w:tc>
          <w:tcPr>
            <w:tcW w:w="1085" w:type="dxa"/>
            <w:tcBorders>
              <w:top w:val="single" w:sz="4" w:space="0" w:color="auto"/>
              <w:bottom w:val="single" w:sz="4" w:space="0" w:color="auto"/>
            </w:tcBorders>
            <w:vAlign w:val="center"/>
          </w:tcPr>
          <w:p w:rsidR="00D27B47" w:rsidRPr="004E4C0E" w:rsidRDefault="00D27B47" w:rsidP="00DB162E">
            <w:pPr>
              <w:widowControl/>
              <w:spacing w:line="360" w:lineRule="auto"/>
              <w:jc w:val="left"/>
              <w:rPr>
                <w:kern w:val="0"/>
                <w:sz w:val="20"/>
              </w:rPr>
            </w:pPr>
            <w:r w:rsidRPr="004E4C0E">
              <w:rPr>
                <w:kern w:val="0"/>
                <w:sz w:val="20"/>
              </w:rPr>
              <w:t>3</w:t>
            </w:r>
          </w:p>
        </w:tc>
        <w:tc>
          <w:tcPr>
            <w:tcW w:w="1048" w:type="dxa"/>
            <w:tcBorders>
              <w:top w:val="single" w:sz="4" w:space="0" w:color="auto"/>
              <w:bottom w:val="single" w:sz="4" w:space="0" w:color="auto"/>
            </w:tcBorders>
            <w:vAlign w:val="center"/>
          </w:tcPr>
          <w:p w:rsidR="00D27B47" w:rsidRPr="004E4C0E" w:rsidRDefault="00D27B47" w:rsidP="00DB162E">
            <w:pPr>
              <w:widowControl/>
              <w:spacing w:line="360" w:lineRule="auto"/>
              <w:jc w:val="left"/>
              <w:rPr>
                <w:kern w:val="0"/>
                <w:sz w:val="20"/>
              </w:rPr>
            </w:pPr>
            <w:r w:rsidRPr="004E4C0E">
              <w:rPr>
                <w:kern w:val="0"/>
                <w:sz w:val="20"/>
              </w:rPr>
              <w:t>4</w:t>
            </w:r>
          </w:p>
        </w:tc>
      </w:tr>
      <w:tr w:rsidR="00D27B47" w:rsidRPr="004E4C0E" w:rsidTr="00DB162E">
        <w:trPr>
          <w:jc w:val="center"/>
        </w:trPr>
        <w:tc>
          <w:tcPr>
            <w:tcW w:w="2393" w:type="dxa"/>
            <w:tcBorders>
              <w:top w:val="single" w:sz="4" w:space="0" w:color="auto"/>
            </w:tcBorders>
            <w:vAlign w:val="center"/>
          </w:tcPr>
          <w:p w:rsidR="00D27B47" w:rsidRPr="004E4C0E" w:rsidRDefault="00D27B47" w:rsidP="00DB162E">
            <w:pPr>
              <w:widowControl/>
              <w:spacing w:line="360" w:lineRule="auto"/>
              <w:jc w:val="left"/>
              <w:rPr>
                <w:kern w:val="0"/>
                <w:sz w:val="20"/>
              </w:rPr>
            </w:pPr>
            <w:r w:rsidRPr="004E4C0E">
              <w:rPr>
                <w:kern w:val="0"/>
                <w:sz w:val="20"/>
              </w:rPr>
              <w:t>CD4</w:t>
            </w:r>
            <w:r w:rsidRPr="004E4C0E">
              <w:rPr>
                <w:rFonts w:hint="eastAsia"/>
                <w:kern w:val="0"/>
                <w:sz w:val="20"/>
              </w:rPr>
              <w:t xml:space="preserve"> </w:t>
            </w:r>
            <w:r w:rsidRPr="004E4C0E">
              <w:rPr>
                <w:kern w:val="0"/>
                <w:sz w:val="20"/>
              </w:rPr>
              <w:t>(</w:t>
            </w:r>
            <w:r w:rsidRPr="004E4C0E">
              <w:rPr>
                <w:sz w:val="20"/>
              </w:rPr>
              <w:t>cells/µl</w:t>
            </w:r>
            <w:r w:rsidRPr="004E4C0E">
              <w:rPr>
                <w:kern w:val="0"/>
                <w:sz w:val="20"/>
              </w:rPr>
              <w:t>)</w:t>
            </w:r>
          </w:p>
        </w:tc>
        <w:tc>
          <w:tcPr>
            <w:tcW w:w="925" w:type="dxa"/>
            <w:tcBorders>
              <w:top w:val="single" w:sz="4" w:space="0" w:color="auto"/>
            </w:tcBorders>
            <w:vAlign w:val="center"/>
          </w:tcPr>
          <w:p w:rsidR="00D27B47" w:rsidRPr="004E4C0E" w:rsidRDefault="00D27B47" w:rsidP="00DB162E">
            <w:pPr>
              <w:widowControl/>
              <w:spacing w:line="360" w:lineRule="auto"/>
              <w:jc w:val="left"/>
              <w:rPr>
                <w:kern w:val="0"/>
                <w:sz w:val="20"/>
              </w:rPr>
            </w:pPr>
            <w:r w:rsidRPr="004E4C0E">
              <w:rPr>
                <w:color w:val="000000"/>
                <w:kern w:val="0"/>
                <w:sz w:val="20"/>
              </w:rPr>
              <w:t>&gt;350</w:t>
            </w:r>
          </w:p>
        </w:tc>
        <w:tc>
          <w:tcPr>
            <w:tcW w:w="1904" w:type="dxa"/>
            <w:tcBorders>
              <w:top w:val="single" w:sz="4" w:space="0" w:color="auto"/>
            </w:tcBorders>
            <w:vAlign w:val="center"/>
          </w:tcPr>
          <w:p w:rsidR="00D27B47" w:rsidRPr="004E4C0E" w:rsidRDefault="00D27B47" w:rsidP="00DB162E">
            <w:pPr>
              <w:widowControl/>
              <w:spacing w:line="360" w:lineRule="auto"/>
              <w:jc w:val="left"/>
              <w:rPr>
                <w:kern w:val="0"/>
                <w:sz w:val="20"/>
              </w:rPr>
            </w:pPr>
            <w:r w:rsidRPr="004E4C0E">
              <w:rPr>
                <w:color w:val="000000"/>
                <w:kern w:val="0"/>
                <w:sz w:val="20"/>
              </w:rPr>
              <w:t>(350, 200</w:t>
            </w:r>
            <w:r w:rsidRPr="004E4C0E">
              <w:rPr>
                <w:kern w:val="0"/>
                <w:sz w:val="20"/>
              </w:rPr>
              <w:t>]</w:t>
            </w:r>
            <w:r w:rsidRPr="004E4C0E">
              <w:rPr>
                <w:kern w:val="0"/>
                <w:sz w:val="20"/>
                <w:vertAlign w:val="superscript"/>
              </w:rPr>
              <w:t>1</w:t>
            </w:r>
          </w:p>
        </w:tc>
        <w:tc>
          <w:tcPr>
            <w:tcW w:w="1085" w:type="dxa"/>
            <w:tcBorders>
              <w:top w:val="single" w:sz="4" w:space="0" w:color="auto"/>
            </w:tcBorders>
            <w:vAlign w:val="center"/>
          </w:tcPr>
          <w:p w:rsidR="00D27B47" w:rsidRPr="004E4C0E" w:rsidRDefault="00D27B47" w:rsidP="00DB162E">
            <w:pPr>
              <w:widowControl/>
              <w:spacing w:line="360" w:lineRule="auto"/>
              <w:jc w:val="left"/>
              <w:rPr>
                <w:kern w:val="0"/>
                <w:sz w:val="20"/>
              </w:rPr>
            </w:pPr>
            <w:r w:rsidRPr="004E4C0E">
              <w:rPr>
                <w:color w:val="000000"/>
                <w:kern w:val="0"/>
                <w:sz w:val="20"/>
              </w:rPr>
              <w:t>(200, 50</w:t>
            </w:r>
            <w:r w:rsidRPr="004E4C0E">
              <w:rPr>
                <w:kern w:val="0"/>
                <w:sz w:val="20"/>
              </w:rPr>
              <w:t>]</w:t>
            </w:r>
          </w:p>
        </w:tc>
        <w:tc>
          <w:tcPr>
            <w:tcW w:w="1048" w:type="dxa"/>
            <w:tcBorders>
              <w:top w:val="single" w:sz="4" w:space="0" w:color="auto"/>
            </w:tcBorders>
            <w:vAlign w:val="center"/>
          </w:tcPr>
          <w:p w:rsidR="00D27B47" w:rsidRPr="004E4C0E" w:rsidRDefault="00D27B47" w:rsidP="00DB162E">
            <w:pPr>
              <w:widowControl/>
              <w:spacing w:line="360" w:lineRule="auto"/>
              <w:jc w:val="left"/>
              <w:rPr>
                <w:kern w:val="0"/>
                <w:sz w:val="20"/>
              </w:rPr>
            </w:pPr>
            <w:r w:rsidRPr="004E4C0E">
              <w:rPr>
                <w:color w:val="000000"/>
                <w:kern w:val="0"/>
                <w:sz w:val="20"/>
              </w:rPr>
              <w:t>&lt;50</w:t>
            </w:r>
          </w:p>
        </w:tc>
      </w:tr>
      <w:tr w:rsidR="00D27B47" w:rsidRPr="004E4C0E" w:rsidTr="00DB162E">
        <w:trPr>
          <w:jc w:val="center"/>
        </w:trPr>
        <w:tc>
          <w:tcPr>
            <w:tcW w:w="2393"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Incision</w:t>
            </w:r>
          </w:p>
        </w:tc>
        <w:tc>
          <w:tcPr>
            <w:tcW w:w="925" w:type="dxa"/>
            <w:vAlign w:val="center"/>
          </w:tcPr>
          <w:p w:rsidR="00D27B47" w:rsidRPr="004E4C0E" w:rsidRDefault="00D27B47" w:rsidP="00DB162E">
            <w:pPr>
              <w:widowControl/>
              <w:spacing w:line="360" w:lineRule="auto"/>
              <w:jc w:val="left"/>
              <w:rPr>
                <w:kern w:val="0"/>
                <w:sz w:val="20"/>
              </w:rPr>
            </w:pPr>
            <w:r w:rsidRPr="004E4C0E">
              <w:rPr>
                <w:kern w:val="0"/>
                <w:sz w:val="20"/>
              </w:rPr>
              <w:t>Clean</w:t>
            </w:r>
          </w:p>
        </w:tc>
        <w:tc>
          <w:tcPr>
            <w:tcW w:w="1904" w:type="dxa"/>
            <w:vAlign w:val="center"/>
          </w:tcPr>
          <w:p w:rsidR="00D27B47" w:rsidRPr="004E4C0E" w:rsidRDefault="00D27B47" w:rsidP="00DB162E">
            <w:pPr>
              <w:widowControl/>
              <w:spacing w:line="360" w:lineRule="auto"/>
              <w:jc w:val="left"/>
              <w:rPr>
                <w:kern w:val="0"/>
                <w:sz w:val="20"/>
              </w:rPr>
            </w:pPr>
            <w:r w:rsidRPr="004E4C0E">
              <w:rPr>
                <w:kern w:val="0"/>
                <w:sz w:val="20"/>
              </w:rPr>
              <w:t>(Clean, Pollution)</w:t>
            </w:r>
          </w:p>
        </w:tc>
        <w:tc>
          <w:tcPr>
            <w:tcW w:w="1085" w:type="dxa"/>
            <w:vAlign w:val="center"/>
          </w:tcPr>
          <w:p w:rsidR="00D27B47" w:rsidRPr="004E4C0E" w:rsidRDefault="00D27B47" w:rsidP="00DB162E">
            <w:pPr>
              <w:widowControl/>
              <w:spacing w:line="360" w:lineRule="auto"/>
              <w:jc w:val="left"/>
              <w:rPr>
                <w:kern w:val="0"/>
                <w:sz w:val="20"/>
              </w:rPr>
            </w:pPr>
            <w:r w:rsidRPr="004E4C0E">
              <w:rPr>
                <w:kern w:val="0"/>
                <w:sz w:val="20"/>
              </w:rPr>
              <w:t>Pollution</w:t>
            </w:r>
          </w:p>
        </w:tc>
        <w:tc>
          <w:tcPr>
            <w:tcW w:w="1048" w:type="dxa"/>
            <w:vAlign w:val="center"/>
          </w:tcPr>
          <w:p w:rsidR="00D27B47" w:rsidRPr="004E4C0E" w:rsidRDefault="00D27B47" w:rsidP="00DB162E">
            <w:pPr>
              <w:widowControl/>
              <w:spacing w:line="360" w:lineRule="auto"/>
              <w:jc w:val="left"/>
              <w:rPr>
                <w:kern w:val="0"/>
                <w:sz w:val="20"/>
              </w:rPr>
            </w:pPr>
            <w:r w:rsidRPr="004E4C0E">
              <w:rPr>
                <w:kern w:val="0"/>
                <w:sz w:val="20"/>
              </w:rPr>
              <w:t>Infection</w:t>
            </w:r>
          </w:p>
        </w:tc>
      </w:tr>
      <w:tr w:rsidR="00D27B47" w:rsidRPr="004E4C0E" w:rsidTr="00DB162E">
        <w:trPr>
          <w:jc w:val="center"/>
        </w:trPr>
        <w:tc>
          <w:tcPr>
            <w:tcW w:w="2393"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Surgical grade</w:t>
            </w:r>
          </w:p>
        </w:tc>
        <w:tc>
          <w:tcPr>
            <w:tcW w:w="925" w:type="dxa"/>
            <w:vAlign w:val="center"/>
          </w:tcPr>
          <w:p w:rsidR="00D27B47" w:rsidRPr="004E4C0E" w:rsidRDefault="00D27B47" w:rsidP="00DB162E">
            <w:pPr>
              <w:widowControl/>
              <w:spacing w:line="360" w:lineRule="auto"/>
              <w:jc w:val="left"/>
              <w:rPr>
                <w:kern w:val="0"/>
                <w:sz w:val="20"/>
              </w:rPr>
            </w:pPr>
            <w:r w:rsidRPr="004E4C0E">
              <w:rPr>
                <w:kern w:val="0"/>
                <w:sz w:val="20"/>
              </w:rPr>
              <w:fldChar w:fldCharType="begin"/>
            </w:r>
            <w:r w:rsidRPr="004E4C0E">
              <w:rPr>
                <w:kern w:val="0"/>
                <w:sz w:val="20"/>
              </w:rPr>
              <w:instrText xml:space="preserve"> = 1 \* ROMAN </w:instrText>
            </w:r>
            <w:r w:rsidRPr="004E4C0E">
              <w:rPr>
                <w:kern w:val="0"/>
                <w:sz w:val="20"/>
              </w:rPr>
              <w:fldChar w:fldCharType="separate"/>
            </w:r>
            <w:r w:rsidRPr="004E4C0E">
              <w:rPr>
                <w:kern w:val="0"/>
                <w:sz w:val="20"/>
              </w:rPr>
              <w:t>I</w:t>
            </w:r>
            <w:r w:rsidRPr="004E4C0E">
              <w:rPr>
                <w:kern w:val="0"/>
                <w:sz w:val="20"/>
              </w:rPr>
              <w:fldChar w:fldCharType="end"/>
            </w:r>
          </w:p>
        </w:tc>
        <w:tc>
          <w:tcPr>
            <w:tcW w:w="1904" w:type="dxa"/>
            <w:vAlign w:val="center"/>
          </w:tcPr>
          <w:p w:rsidR="00D27B47" w:rsidRPr="004E4C0E" w:rsidRDefault="00D27B47" w:rsidP="00DB162E">
            <w:pPr>
              <w:widowControl/>
              <w:spacing w:line="360" w:lineRule="auto"/>
              <w:jc w:val="left"/>
              <w:rPr>
                <w:kern w:val="0"/>
                <w:sz w:val="20"/>
              </w:rPr>
            </w:pPr>
            <w:r w:rsidRPr="004E4C0E">
              <w:rPr>
                <w:kern w:val="0"/>
                <w:sz w:val="20"/>
              </w:rPr>
              <w:fldChar w:fldCharType="begin"/>
            </w:r>
            <w:r w:rsidRPr="004E4C0E">
              <w:rPr>
                <w:kern w:val="0"/>
                <w:sz w:val="20"/>
              </w:rPr>
              <w:instrText xml:space="preserve"> = 2 \* ROMAN </w:instrText>
            </w:r>
            <w:r w:rsidRPr="004E4C0E">
              <w:rPr>
                <w:kern w:val="0"/>
                <w:sz w:val="20"/>
              </w:rPr>
              <w:fldChar w:fldCharType="separate"/>
            </w:r>
            <w:r w:rsidRPr="004E4C0E">
              <w:rPr>
                <w:kern w:val="0"/>
                <w:sz w:val="20"/>
              </w:rPr>
              <w:t>II</w:t>
            </w:r>
            <w:r w:rsidRPr="004E4C0E">
              <w:rPr>
                <w:kern w:val="0"/>
                <w:sz w:val="20"/>
              </w:rPr>
              <w:fldChar w:fldCharType="end"/>
            </w:r>
          </w:p>
        </w:tc>
        <w:tc>
          <w:tcPr>
            <w:tcW w:w="1085" w:type="dxa"/>
            <w:vAlign w:val="center"/>
          </w:tcPr>
          <w:p w:rsidR="00D27B47" w:rsidRPr="004E4C0E" w:rsidRDefault="00D27B47" w:rsidP="00DB162E">
            <w:pPr>
              <w:widowControl/>
              <w:spacing w:line="360" w:lineRule="auto"/>
              <w:jc w:val="left"/>
              <w:rPr>
                <w:kern w:val="0"/>
                <w:sz w:val="20"/>
              </w:rPr>
            </w:pPr>
            <w:r w:rsidRPr="004E4C0E">
              <w:rPr>
                <w:kern w:val="0"/>
                <w:sz w:val="20"/>
              </w:rPr>
              <w:fldChar w:fldCharType="begin"/>
            </w:r>
            <w:r w:rsidRPr="004E4C0E">
              <w:rPr>
                <w:kern w:val="0"/>
                <w:sz w:val="20"/>
              </w:rPr>
              <w:instrText xml:space="preserve"> = 3 \* ROMAN </w:instrText>
            </w:r>
            <w:r w:rsidRPr="004E4C0E">
              <w:rPr>
                <w:kern w:val="0"/>
                <w:sz w:val="20"/>
              </w:rPr>
              <w:fldChar w:fldCharType="separate"/>
            </w:r>
            <w:r w:rsidRPr="004E4C0E">
              <w:rPr>
                <w:kern w:val="0"/>
                <w:sz w:val="20"/>
              </w:rPr>
              <w:t>III</w:t>
            </w:r>
            <w:r w:rsidRPr="004E4C0E">
              <w:rPr>
                <w:kern w:val="0"/>
                <w:sz w:val="20"/>
              </w:rPr>
              <w:fldChar w:fldCharType="end"/>
            </w:r>
          </w:p>
        </w:tc>
        <w:tc>
          <w:tcPr>
            <w:tcW w:w="1048" w:type="dxa"/>
            <w:vAlign w:val="center"/>
          </w:tcPr>
          <w:p w:rsidR="00D27B47" w:rsidRPr="004E4C0E" w:rsidRDefault="00D27B47" w:rsidP="00DB162E">
            <w:pPr>
              <w:widowControl/>
              <w:spacing w:line="360" w:lineRule="auto"/>
              <w:jc w:val="left"/>
              <w:rPr>
                <w:kern w:val="0"/>
                <w:sz w:val="20"/>
              </w:rPr>
            </w:pPr>
            <w:r w:rsidRPr="004E4C0E">
              <w:rPr>
                <w:kern w:val="0"/>
                <w:sz w:val="20"/>
              </w:rPr>
              <w:fldChar w:fldCharType="begin"/>
            </w:r>
            <w:r w:rsidRPr="004E4C0E">
              <w:rPr>
                <w:kern w:val="0"/>
                <w:sz w:val="20"/>
              </w:rPr>
              <w:instrText xml:space="preserve"> = 4 \* ROMAN </w:instrText>
            </w:r>
            <w:r w:rsidRPr="004E4C0E">
              <w:rPr>
                <w:kern w:val="0"/>
                <w:sz w:val="20"/>
              </w:rPr>
              <w:fldChar w:fldCharType="separate"/>
            </w:r>
            <w:r w:rsidRPr="004E4C0E">
              <w:rPr>
                <w:kern w:val="0"/>
                <w:sz w:val="20"/>
              </w:rPr>
              <w:t>IV</w:t>
            </w:r>
            <w:r w:rsidRPr="004E4C0E">
              <w:rPr>
                <w:kern w:val="0"/>
                <w:sz w:val="20"/>
              </w:rPr>
              <w:fldChar w:fldCharType="end"/>
            </w:r>
          </w:p>
        </w:tc>
      </w:tr>
      <w:tr w:rsidR="00D27B47" w:rsidRPr="004E4C0E" w:rsidTr="00DB162E">
        <w:trPr>
          <w:jc w:val="center"/>
        </w:trPr>
        <w:tc>
          <w:tcPr>
            <w:tcW w:w="2393"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Opportunistic infection</w:t>
            </w:r>
          </w:p>
        </w:tc>
        <w:tc>
          <w:tcPr>
            <w:tcW w:w="925"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None</w:t>
            </w:r>
          </w:p>
        </w:tc>
        <w:tc>
          <w:tcPr>
            <w:tcW w:w="1904"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Experienced</w:t>
            </w:r>
          </w:p>
        </w:tc>
        <w:tc>
          <w:tcPr>
            <w:tcW w:w="1085" w:type="dxa"/>
            <w:vAlign w:val="center"/>
          </w:tcPr>
          <w:p w:rsidR="00D27B47" w:rsidRPr="004E4C0E" w:rsidRDefault="00D27B47" w:rsidP="00DB162E">
            <w:pPr>
              <w:widowControl/>
              <w:spacing w:line="360" w:lineRule="auto"/>
              <w:jc w:val="left"/>
              <w:rPr>
                <w:color w:val="000000"/>
                <w:kern w:val="0"/>
                <w:sz w:val="20"/>
              </w:rPr>
            </w:pPr>
            <w:r w:rsidRPr="004E4C0E">
              <w:rPr>
                <w:color w:val="000000"/>
                <w:kern w:val="0"/>
                <w:sz w:val="20"/>
              </w:rPr>
              <w:t>Mild</w:t>
            </w:r>
          </w:p>
        </w:tc>
        <w:tc>
          <w:tcPr>
            <w:tcW w:w="1048"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Serious</w:t>
            </w:r>
          </w:p>
        </w:tc>
      </w:tr>
      <w:tr w:rsidR="00D27B47" w:rsidRPr="004E4C0E" w:rsidTr="00DB162E">
        <w:trPr>
          <w:jc w:val="center"/>
        </w:trPr>
        <w:tc>
          <w:tcPr>
            <w:tcW w:w="2393" w:type="dxa"/>
            <w:vAlign w:val="center"/>
          </w:tcPr>
          <w:p w:rsidR="00D27B47" w:rsidRPr="004E4C0E" w:rsidRDefault="00D27B47" w:rsidP="00DB162E">
            <w:pPr>
              <w:widowControl/>
              <w:spacing w:line="360" w:lineRule="auto"/>
              <w:jc w:val="left"/>
              <w:rPr>
                <w:kern w:val="0"/>
                <w:sz w:val="20"/>
              </w:rPr>
            </w:pPr>
            <w:r w:rsidRPr="004E4C0E">
              <w:rPr>
                <w:kern w:val="0"/>
                <w:sz w:val="20"/>
              </w:rPr>
              <w:t>Organ function</w:t>
            </w:r>
          </w:p>
        </w:tc>
        <w:tc>
          <w:tcPr>
            <w:tcW w:w="925"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Normal</w:t>
            </w:r>
          </w:p>
        </w:tc>
        <w:tc>
          <w:tcPr>
            <w:tcW w:w="1904" w:type="dxa"/>
            <w:vAlign w:val="center"/>
          </w:tcPr>
          <w:p w:rsidR="00D27B47" w:rsidRPr="004E4C0E" w:rsidRDefault="00D27B47" w:rsidP="00DB162E">
            <w:pPr>
              <w:widowControl/>
              <w:spacing w:line="360" w:lineRule="auto"/>
              <w:jc w:val="left"/>
              <w:rPr>
                <w:kern w:val="0"/>
                <w:sz w:val="20"/>
              </w:rPr>
            </w:pPr>
            <w:r w:rsidRPr="004E4C0E">
              <w:rPr>
                <w:color w:val="000000"/>
                <w:kern w:val="0"/>
                <w:sz w:val="20"/>
              </w:rPr>
              <w:t>Abnormal</w:t>
            </w:r>
          </w:p>
        </w:tc>
        <w:tc>
          <w:tcPr>
            <w:tcW w:w="1085" w:type="dxa"/>
          </w:tcPr>
          <w:p w:rsidR="00D27B47" w:rsidRPr="004E4C0E" w:rsidRDefault="00D27B47" w:rsidP="00DB162E">
            <w:pPr>
              <w:widowControl/>
              <w:spacing w:line="360" w:lineRule="auto"/>
              <w:jc w:val="left"/>
              <w:rPr>
                <w:kern w:val="0"/>
                <w:sz w:val="20"/>
              </w:rPr>
            </w:pPr>
            <w:r w:rsidRPr="004E4C0E">
              <w:rPr>
                <w:sz w:val="20"/>
              </w:rPr>
              <w:t>Mild</w:t>
            </w:r>
          </w:p>
        </w:tc>
        <w:tc>
          <w:tcPr>
            <w:tcW w:w="1048" w:type="dxa"/>
          </w:tcPr>
          <w:p w:rsidR="00D27B47" w:rsidRPr="004E4C0E" w:rsidRDefault="00D27B47" w:rsidP="00DB162E">
            <w:pPr>
              <w:widowControl/>
              <w:spacing w:line="360" w:lineRule="auto"/>
              <w:jc w:val="left"/>
              <w:rPr>
                <w:kern w:val="0"/>
                <w:sz w:val="20"/>
              </w:rPr>
            </w:pPr>
            <w:r w:rsidRPr="004E4C0E">
              <w:rPr>
                <w:sz w:val="20"/>
              </w:rPr>
              <w:t>Serious</w:t>
            </w:r>
          </w:p>
        </w:tc>
      </w:tr>
    </w:tbl>
    <w:p w:rsidR="00D27B47" w:rsidRPr="004E4C0E" w:rsidRDefault="00D27B47" w:rsidP="00D27B47">
      <w:pPr>
        <w:widowControl/>
        <w:shd w:val="clear" w:color="auto" w:fill="FFFFFF"/>
        <w:spacing w:line="360" w:lineRule="auto"/>
        <w:ind w:firstLineChars="200" w:firstLine="400"/>
        <w:rPr>
          <w:kern w:val="0"/>
          <w:sz w:val="20"/>
        </w:rPr>
      </w:pPr>
      <w:r w:rsidRPr="004E4C0E">
        <w:rPr>
          <w:kern w:val="0"/>
          <w:sz w:val="20"/>
        </w:rPr>
        <w:t>1“(” or “)” means not including the meaning of “=”, while “[” or “]” means including the meaning of “=”.</w:t>
      </w:r>
    </w:p>
    <w:p w:rsidR="0064358E" w:rsidRPr="004E4C0E" w:rsidRDefault="001B619B" w:rsidP="00A27852">
      <w:pPr>
        <w:widowControl/>
        <w:shd w:val="clear" w:color="auto" w:fill="FFFFFF"/>
        <w:spacing w:line="360" w:lineRule="auto"/>
        <w:rPr>
          <w:b/>
          <w:kern w:val="0"/>
          <w:sz w:val="20"/>
        </w:rPr>
      </w:pPr>
      <w:r w:rsidRPr="004E4C0E">
        <w:rPr>
          <w:b/>
          <w:kern w:val="0"/>
          <w:sz w:val="20"/>
        </w:rPr>
        <w:t>Statistical Analysis</w:t>
      </w:r>
    </w:p>
    <w:p w:rsidR="00963C85" w:rsidRPr="004E4C0E" w:rsidRDefault="001B619B" w:rsidP="00A27852">
      <w:pPr>
        <w:widowControl/>
        <w:shd w:val="clear" w:color="auto" w:fill="FFFFFF"/>
        <w:spacing w:line="360" w:lineRule="auto"/>
        <w:ind w:firstLineChars="200" w:firstLine="400"/>
        <w:rPr>
          <w:kern w:val="0"/>
          <w:sz w:val="20"/>
        </w:rPr>
      </w:pPr>
      <w:r w:rsidRPr="004E4C0E">
        <w:rPr>
          <w:kern w:val="0"/>
          <w:sz w:val="20"/>
        </w:rPr>
        <w:t>All data were analyzed using SPSS 17.0 (SPSS, Chicago, IL, USA). Descriptive statistics were represented as mean ± standard deviation when the datasets were of normal distribution. Otherwise, the descriptions were represented as median [95% CI low, 95% CI up]. Demographic and available laboratory data were compared in a single-factor analysis according to the sepsis status. Categorical data were compared using the Chi-square test or the Fisher’s test. Measurement data were compared with an independent t-test sample, ANOVA, or the rank-sum test when the datasets did not comply with the normal distribution. The binary logistic regression was used to construct the predicting model. In this regression, the positive condition (sepsis status) was marked with 1, and the negative was marked with 0. The logistic regression was set as a predictive model whose performance was evaluated by a ROC curve. Statistical significance was set at p &lt;0.05.</w:t>
      </w:r>
    </w:p>
    <w:p w:rsidR="0064358E" w:rsidRPr="004E4C0E" w:rsidRDefault="001B619B" w:rsidP="00A27852">
      <w:pPr>
        <w:widowControl/>
        <w:shd w:val="clear" w:color="auto" w:fill="FFFFFF"/>
        <w:spacing w:line="360" w:lineRule="auto"/>
        <w:rPr>
          <w:kern w:val="0"/>
          <w:sz w:val="20"/>
        </w:rPr>
      </w:pPr>
      <w:r w:rsidRPr="004E4C0E">
        <w:rPr>
          <w:b/>
          <w:kern w:val="0"/>
          <w:sz w:val="20"/>
        </w:rPr>
        <w:lastRenderedPageBreak/>
        <w:t>Ethical Review and Approval</w:t>
      </w:r>
    </w:p>
    <w:p w:rsidR="0064358E" w:rsidRPr="004E4C0E" w:rsidRDefault="001B619B" w:rsidP="003E098D">
      <w:pPr>
        <w:widowControl/>
        <w:shd w:val="clear" w:color="auto" w:fill="FFFFFF"/>
        <w:spacing w:line="360" w:lineRule="auto"/>
        <w:rPr>
          <w:kern w:val="0"/>
          <w:sz w:val="20"/>
        </w:rPr>
      </w:pPr>
      <w:r w:rsidRPr="004E4C0E">
        <w:rPr>
          <w:kern w:val="0"/>
          <w:sz w:val="20"/>
        </w:rPr>
        <w:t xml:space="preserve">The community surveys were conducted and approved by the ethical committees of Shanghai Public Health Clinical Center Affiliated to </w:t>
      </w:r>
      <w:proofErr w:type="spellStart"/>
      <w:r w:rsidRPr="004E4C0E">
        <w:rPr>
          <w:kern w:val="0"/>
          <w:sz w:val="20"/>
        </w:rPr>
        <w:t>Fudan</w:t>
      </w:r>
      <w:proofErr w:type="spellEnd"/>
      <w:r w:rsidRPr="004E4C0E">
        <w:rPr>
          <w:kern w:val="0"/>
          <w:sz w:val="20"/>
        </w:rPr>
        <w:t xml:space="preserve"> University.</w:t>
      </w:r>
      <w:r w:rsidRPr="004E4C0E">
        <w:rPr>
          <w:rFonts w:hint="eastAsia"/>
          <w:kern w:val="0"/>
          <w:sz w:val="20"/>
        </w:rPr>
        <w:t xml:space="preserve"> </w:t>
      </w:r>
      <w:r w:rsidRPr="004E4C0E">
        <w:rPr>
          <w:kern w:val="0"/>
          <w:sz w:val="20"/>
        </w:rPr>
        <w:t xml:space="preserve">All received records were </w:t>
      </w:r>
      <w:proofErr w:type="spellStart"/>
      <w:r w:rsidRPr="004E4C0E">
        <w:rPr>
          <w:kern w:val="0"/>
          <w:sz w:val="20"/>
        </w:rPr>
        <w:t>anonymized</w:t>
      </w:r>
      <w:proofErr w:type="spellEnd"/>
      <w:r w:rsidRPr="004E4C0E">
        <w:rPr>
          <w:kern w:val="0"/>
          <w:sz w:val="20"/>
        </w:rPr>
        <w:t xml:space="preserve"> and could not be linked to individual patients. The methods that were carried out in this study were in accordance with the approved guidelines.</w:t>
      </w:r>
    </w:p>
    <w:p w:rsidR="0064358E" w:rsidRPr="004E4C0E" w:rsidRDefault="0064358E" w:rsidP="00A27852">
      <w:pPr>
        <w:widowControl/>
        <w:shd w:val="clear" w:color="auto" w:fill="FFFFFF"/>
        <w:spacing w:line="360" w:lineRule="auto"/>
        <w:rPr>
          <w:b/>
          <w:kern w:val="0"/>
          <w:sz w:val="20"/>
        </w:rPr>
      </w:pPr>
    </w:p>
    <w:p w:rsidR="0064358E" w:rsidRPr="004E4C0E" w:rsidRDefault="00963C85" w:rsidP="00A27852">
      <w:pPr>
        <w:widowControl/>
        <w:shd w:val="clear" w:color="auto" w:fill="FFFFFF"/>
        <w:spacing w:line="360" w:lineRule="auto"/>
        <w:rPr>
          <w:b/>
          <w:kern w:val="0"/>
          <w:sz w:val="20"/>
        </w:rPr>
      </w:pPr>
      <w:r w:rsidRPr="004E4C0E">
        <w:rPr>
          <w:b/>
          <w:kern w:val="0"/>
          <w:sz w:val="20"/>
        </w:rPr>
        <w:t>RESULTS</w:t>
      </w:r>
    </w:p>
    <w:p w:rsidR="0042310B" w:rsidRDefault="001B619B" w:rsidP="00DC6B66">
      <w:pPr>
        <w:widowControl/>
        <w:shd w:val="clear" w:color="auto" w:fill="FFFFFF"/>
        <w:spacing w:line="360" w:lineRule="auto"/>
        <w:rPr>
          <w:rFonts w:hint="eastAsia"/>
          <w:kern w:val="0"/>
          <w:sz w:val="20"/>
        </w:rPr>
      </w:pPr>
      <w:r w:rsidRPr="004E4C0E">
        <w:rPr>
          <w:kern w:val="0"/>
          <w:sz w:val="20"/>
        </w:rPr>
        <w:t xml:space="preserve">The incidence of </w:t>
      </w:r>
      <w:bookmarkStart w:id="12" w:name="OLE_LINK16"/>
      <w:bookmarkStart w:id="13" w:name="OLE_LINK15"/>
      <w:r w:rsidRPr="004E4C0E">
        <w:rPr>
          <w:kern w:val="0"/>
          <w:sz w:val="20"/>
        </w:rPr>
        <w:t>post-operation sepsis</w:t>
      </w:r>
      <w:bookmarkEnd w:id="12"/>
      <w:bookmarkEnd w:id="13"/>
      <w:r w:rsidRPr="004E4C0E">
        <w:rPr>
          <w:kern w:val="0"/>
          <w:sz w:val="20"/>
        </w:rPr>
        <w:t xml:space="preserve"> in the SPHCC dataset from 2010 to 2014 was 34%. In the 30 days after surgery, 15 sepsis patients died, making the mortality around 2%. The evaluation indicators of the two groups are listed in Table 2. Using the rank-sum test, the indicators of the two groups were significantly different. From the results of the Z value, in addition to the sum of the five indicators, the differences of opportunistic infection and organ function were greater than other indicators.</w:t>
      </w:r>
    </w:p>
    <w:p w:rsidR="00D27B47" w:rsidRPr="004E4C0E" w:rsidRDefault="00D27B47" w:rsidP="00D27B47">
      <w:pPr>
        <w:widowControl/>
        <w:shd w:val="clear" w:color="auto" w:fill="FFFFFF"/>
        <w:spacing w:line="360" w:lineRule="auto"/>
        <w:jc w:val="left"/>
        <w:rPr>
          <w:kern w:val="0"/>
          <w:sz w:val="20"/>
        </w:rPr>
      </w:pPr>
      <w:proofErr w:type="gramStart"/>
      <w:r w:rsidRPr="004E4C0E">
        <w:rPr>
          <w:kern w:val="0"/>
          <w:sz w:val="20"/>
        </w:rPr>
        <w:t>Table 2.</w:t>
      </w:r>
      <w:proofErr w:type="gramEnd"/>
      <w:r w:rsidRPr="004E4C0E">
        <w:rPr>
          <w:kern w:val="0"/>
          <w:sz w:val="20"/>
        </w:rPr>
        <w:t xml:space="preserve"> Comparison between non-sepsis and sepsis groups</w:t>
      </w:r>
    </w:p>
    <w:tbl>
      <w:tblPr>
        <w:tblW w:w="10908" w:type="dxa"/>
        <w:tblBorders>
          <w:top w:val="single" w:sz="4" w:space="0" w:color="auto"/>
          <w:bottom w:val="single" w:sz="4" w:space="0" w:color="auto"/>
        </w:tblBorders>
        <w:tblLayout w:type="fixed"/>
        <w:tblLook w:val="04A0" w:firstRow="1" w:lastRow="0" w:firstColumn="1" w:lastColumn="0" w:noHBand="0" w:noVBand="1"/>
      </w:tblPr>
      <w:tblGrid>
        <w:gridCol w:w="2242"/>
        <w:gridCol w:w="1575"/>
        <w:gridCol w:w="1275"/>
        <w:gridCol w:w="1825"/>
        <w:gridCol w:w="1263"/>
        <w:gridCol w:w="862"/>
        <w:gridCol w:w="1866"/>
      </w:tblGrid>
      <w:tr w:rsidR="00D27B47" w:rsidRPr="004E4C0E" w:rsidTr="00DB162E">
        <w:trPr>
          <w:trHeight w:val="300"/>
        </w:trPr>
        <w:tc>
          <w:tcPr>
            <w:tcW w:w="2242" w:type="dxa"/>
            <w:tcBorders>
              <w:top w:val="single" w:sz="4" w:space="0" w:color="auto"/>
              <w:bottom w:val="nil"/>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p>
        </w:tc>
        <w:tc>
          <w:tcPr>
            <w:tcW w:w="2850" w:type="dxa"/>
            <w:gridSpan w:val="2"/>
            <w:tcBorders>
              <w:top w:val="single" w:sz="4" w:space="0" w:color="auto"/>
              <w:bottom w:val="nil"/>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non-sepsis</w:t>
            </w:r>
          </w:p>
        </w:tc>
        <w:tc>
          <w:tcPr>
            <w:tcW w:w="3088" w:type="dxa"/>
            <w:gridSpan w:val="2"/>
            <w:tcBorders>
              <w:top w:val="single" w:sz="4" w:space="0" w:color="auto"/>
              <w:bottom w:val="nil"/>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sepsis</w:t>
            </w:r>
          </w:p>
        </w:tc>
        <w:tc>
          <w:tcPr>
            <w:tcW w:w="862" w:type="dxa"/>
            <w:tcBorders>
              <w:top w:val="single" w:sz="4" w:space="0" w:color="auto"/>
              <w:bottom w:val="nil"/>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p>
        </w:tc>
        <w:tc>
          <w:tcPr>
            <w:tcW w:w="1866" w:type="dxa"/>
            <w:tcBorders>
              <w:top w:val="single" w:sz="4" w:space="0" w:color="auto"/>
              <w:bottom w:val="nil"/>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p>
        </w:tc>
      </w:tr>
      <w:tr w:rsidR="00D27B47" w:rsidRPr="004E4C0E" w:rsidTr="00DB162E">
        <w:trPr>
          <w:trHeight w:val="330"/>
        </w:trPr>
        <w:tc>
          <w:tcPr>
            <w:tcW w:w="2242"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Indicators</w:t>
            </w:r>
          </w:p>
        </w:tc>
        <w:tc>
          <w:tcPr>
            <w:tcW w:w="1575"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color w:val="000000"/>
                <w:kern w:val="0"/>
                <w:sz w:val="20"/>
              </w:rPr>
            </w:pPr>
            <w:r w:rsidRPr="004E4C0E">
              <w:rPr>
                <w:color w:val="000000"/>
                <w:kern w:val="0"/>
                <w:sz w:val="20"/>
              </w:rPr>
              <w:t>Description</w:t>
            </w:r>
          </w:p>
        </w:tc>
        <w:tc>
          <w:tcPr>
            <w:tcW w:w="1275"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Mean Rank</w:t>
            </w:r>
          </w:p>
        </w:tc>
        <w:tc>
          <w:tcPr>
            <w:tcW w:w="1825"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Description</w:t>
            </w:r>
          </w:p>
        </w:tc>
        <w:tc>
          <w:tcPr>
            <w:tcW w:w="1263"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Mean Rank</w:t>
            </w:r>
          </w:p>
        </w:tc>
        <w:tc>
          <w:tcPr>
            <w:tcW w:w="862"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Z value</w:t>
            </w:r>
          </w:p>
        </w:tc>
        <w:tc>
          <w:tcPr>
            <w:tcW w:w="1866" w:type="dxa"/>
            <w:tcBorders>
              <w:top w:val="nil"/>
              <w:bottom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P value</w:t>
            </w:r>
          </w:p>
        </w:tc>
      </w:tr>
      <w:tr w:rsidR="00D27B47" w:rsidRPr="004E4C0E" w:rsidTr="00DB162E">
        <w:trPr>
          <w:trHeight w:val="300"/>
        </w:trPr>
        <w:tc>
          <w:tcPr>
            <w:tcW w:w="2242"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kern w:val="0"/>
                <w:sz w:val="20"/>
              </w:rPr>
              <w:t>CD4 Level</w:t>
            </w:r>
          </w:p>
        </w:tc>
        <w:tc>
          <w:tcPr>
            <w:tcW w:w="1575"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1.81[3.11, 0.50]</w:t>
            </w:r>
          </w:p>
        </w:tc>
        <w:tc>
          <w:tcPr>
            <w:tcW w:w="1275"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322.73</w:t>
            </w:r>
          </w:p>
        </w:tc>
        <w:tc>
          <w:tcPr>
            <w:tcW w:w="1825"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2.64[4.06, 1.23]</w:t>
            </w:r>
          </w:p>
        </w:tc>
        <w:tc>
          <w:tcPr>
            <w:tcW w:w="1263"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501.10</w:t>
            </w:r>
          </w:p>
        </w:tc>
        <w:tc>
          <w:tcPr>
            <w:tcW w:w="862" w:type="dxa"/>
            <w:tcBorders>
              <w:top w:val="single" w:sz="4" w:space="0" w:color="auto"/>
            </w:tcBorders>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11.05</w:t>
            </w:r>
          </w:p>
        </w:tc>
        <w:tc>
          <w:tcPr>
            <w:tcW w:w="1866" w:type="dxa"/>
            <w:tcBorders>
              <w:top w:val="single" w:sz="4" w:space="0" w:color="auto"/>
            </w:tcBorders>
            <w:shd w:val="clear" w:color="auto" w:fill="auto"/>
            <w:vAlign w:val="center"/>
          </w:tcPr>
          <w:p w:rsidR="00D27B47" w:rsidRPr="004E4C0E" w:rsidRDefault="00D27B47" w:rsidP="00DB162E">
            <w:pPr>
              <w:widowControl/>
              <w:spacing w:line="360" w:lineRule="auto"/>
              <w:jc w:val="left"/>
              <w:rPr>
                <w:color w:val="000000"/>
                <w:kern w:val="0"/>
                <w:sz w:val="20"/>
              </w:rPr>
            </w:pPr>
            <w:r w:rsidRPr="004E4C0E">
              <w:rPr>
                <w:color w:val="000000"/>
                <w:kern w:val="0"/>
                <w:sz w:val="20"/>
              </w:rPr>
              <w:t>&lt;.001</w:t>
            </w:r>
          </w:p>
        </w:tc>
      </w:tr>
      <w:tr w:rsidR="00D27B47" w:rsidRPr="004E4C0E" w:rsidTr="00DB162E">
        <w:trPr>
          <w:trHeight w:val="300"/>
        </w:trPr>
        <w:tc>
          <w:tcPr>
            <w:tcW w:w="224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color w:val="000000"/>
                <w:kern w:val="0"/>
                <w:sz w:val="20"/>
              </w:rPr>
              <w:t>Incision</w:t>
            </w:r>
          </w:p>
        </w:tc>
        <w:tc>
          <w:tcPr>
            <w:tcW w:w="15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1.69[2.53, 0.86]</w:t>
            </w:r>
          </w:p>
        </w:tc>
        <w:tc>
          <w:tcPr>
            <w:tcW w:w="12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328.95</w:t>
            </w:r>
          </w:p>
        </w:tc>
        <w:tc>
          <w:tcPr>
            <w:tcW w:w="1825" w:type="dxa"/>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2.27[3.38, 1.17]</w:t>
            </w:r>
          </w:p>
        </w:tc>
        <w:tc>
          <w:tcPr>
            <w:tcW w:w="1263"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488.76</w:t>
            </w:r>
          </w:p>
        </w:tc>
        <w:tc>
          <w:tcPr>
            <w:tcW w:w="86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10.62</w:t>
            </w:r>
          </w:p>
        </w:tc>
        <w:tc>
          <w:tcPr>
            <w:tcW w:w="1866" w:type="dxa"/>
            <w:shd w:val="clear" w:color="auto" w:fill="auto"/>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&lt;.001</w:t>
            </w:r>
          </w:p>
        </w:tc>
      </w:tr>
      <w:tr w:rsidR="00D27B47" w:rsidRPr="004E4C0E" w:rsidTr="00DB162E">
        <w:trPr>
          <w:trHeight w:val="300"/>
        </w:trPr>
        <w:tc>
          <w:tcPr>
            <w:tcW w:w="224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color w:val="000000"/>
                <w:kern w:val="0"/>
                <w:sz w:val="20"/>
              </w:rPr>
              <w:t>Surgical grade</w:t>
            </w:r>
          </w:p>
        </w:tc>
        <w:tc>
          <w:tcPr>
            <w:tcW w:w="15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1.51[2.58, 0.45]</w:t>
            </w:r>
          </w:p>
        </w:tc>
        <w:tc>
          <w:tcPr>
            <w:tcW w:w="12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328.34</w:t>
            </w:r>
          </w:p>
        </w:tc>
        <w:tc>
          <w:tcPr>
            <w:tcW w:w="1825" w:type="dxa"/>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2.16[3.39, 0.93]</w:t>
            </w:r>
          </w:p>
        </w:tc>
        <w:tc>
          <w:tcPr>
            <w:tcW w:w="1263"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489.98</w:t>
            </w:r>
          </w:p>
        </w:tc>
        <w:tc>
          <w:tcPr>
            <w:tcW w:w="86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10.38</w:t>
            </w:r>
          </w:p>
        </w:tc>
        <w:tc>
          <w:tcPr>
            <w:tcW w:w="1866" w:type="dxa"/>
            <w:shd w:val="clear" w:color="auto" w:fill="auto"/>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&lt;.001</w:t>
            </w:r>
          </w:p>
        </w:tc>
      </w:tr>
      <w:tr w:rsidR="00D27B47" w:rsidRPr="004E4C0E" w:rsidTr="00DB162E">
        <w:trPr>
          <w:trHeight w:val="300"/>
        </w:trPr>
        <w:tc>
          <w:tcPr>
            <w:tcW w:w="224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color w:val="000000"/>
                <w:kern w:val="0"/>
                <w:sz w:val="20"/>
              </w:rPr>
              <w:t>Opportunistic infection</w:t>
            </w:r>
          </w:p>
        </w:tc>
        <w:tc>
          <w:tcPr>
            <w:tcW w:w="15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1.15[1.71, 0.60]</w:t>
            </w:r>
          </w:p>
        </w:tc>
        <w:tc>
          <w:tcPr>
            <w:tcW w:w="12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269.39</w:t>
            </w:r>
          </w:p>
        </w:tc>
        <w:tc>
          <w:tcPr>
            <w:tcW w:w="1825" w:type="dxa"/>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2.52[3.46, 1.57]</w:t>
            </w:r>
          </w:p>
        </w:tc>
        <w:tc>
          <w:tcPr>
            <w:tcW w:w="1263"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605.03</w:t>
            </w:r>
          </w:p>
        </w:tc>
        <w:tc>
          <w:tcPr>
            <w:tcW w:w="86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22.41</w:t>
            </w:r>
          </w:p>
        </w:tc>
        <w:tc>
          <w:tcPr>
            <w:tcW w:w="1866" w:type="dxa"/>
            <w:shd w:val="clear" w:color="auto" w:fill="auto"/>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&lt;.001</w:t>
            </w:r>
          </w:p>
        </w:tc>
      </w:tr>
      <w:tr w:rsidR="00D27B47" w:rsidRPr="004E4C0E" w:rsidTr="00DB162E">
        <w:trPr>
          <w:trHeight w:val="300"/>
        </w:trPr>
        <w:tc>
          <w:tcPr>
            <w:tcW w:w="224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kern w:val="0"/>
                <w:sz w:val="20"/>
              </w:rPr>
              <w:t>Organ function</w:t>
            </w:r>
          </w:p>
        </w:tc>
        <w:tc>
          <w:tcPr>
            <w:tcW w:w="15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1.06[1.45, 0.67]</w:t>
            </w:r>
          </w:p>
        </w:tc>
        <w:tc>
          <w:tcPr>
            <w:tcW w:w="12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274.91</w:t>
            </w:r>
          </w:p>
        </w:tc>
        <w:tc>
          <w:tcPr>
            <w:tcW w:w="1825" w:type="dxa"/>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2.04[2.80, 1.27]</w:t>
            </w:r>
          </w:p>
        </w:tc>
        <w:tc>
          <w:tcPr>
            <w:tcW w:w="1263"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592.18</w:t>
            </w:r>
          </w:p>
        </w:tc>
        <w:tc>
          <w:tcPr>
            <w:tcW w:w="86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22.70</w:t>
            </w:r>
          </w:p>
        </w:tc>
        <w:tc>
          <w:tcPr>
            <w:tcW w:w="1866" w:type="dxa"/>
            <w:shd w:val="clear" w:color="auto" w:fill="auto"/>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&lt;.001</w:t>
            </w:r>
          </w:p>
        </w:tc>
      </w:tr>
      <w:tr w:rsidR="00D27B47" w:rsidRPr="004E4C0E" w:rsidTr="00DB162E">
        <w:trPr>
          <w:trHeight w:val="450"/>
        </w:trPr>
        <w:tc>
          <w:tcPr>
            <w:tcW w:w="224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kern w:val="0"/>
                <w:sz w:val="20"/>
              </w:rPr>
              <w:t>Sum</w:t>
            </w:r>
          </w:p>
        </w:tc>
        <w:tc>
          <w:tcPr>
            <w:tcW w:w="15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7.22[9.31, 5.13]</w:t>
            </w:r>
          </w:p>
        </w:tc>
        <w:tc>
          <w:tcPr>
            <w:tcW w:w="1275"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306.71</w:t>
            </w:r>
          </w:p>
        </w:tc>
        <w:tc>
          <w:tcPr>
            <w:tcW w:w="1825" w:type="dxa"/>
            <w:shd w:val="clear" w:color="auto" w:fill="auto"/>
            <w:vAlign w:val="center"/>
          </w:tcPr>
          <w:p w:rsidR="00D27B47" w:rsidRPr="004E4C0E" w:rsidRDefault="00D27B47" w:rsidP="00DB162E">
            <w:pPr>
              <w:widowControl/>
              <w:spacing w:line="360" w:lineRule="auto"/>
              <w:jc w:val="left"/>
              <w:rPr>
                <w:rFonts w:eastAsia="Times New Roman"/>
                <w:color w:val="000000"/>
                <w:kern w:val="0"/>
                <w:sz w:val="20"/>
              </w:rPr>
            </w:pPr>
            <w:r w:rsidRPr="004E4C0E">
              <w:rPr>
                <w:rFonts w:eastAsia="Times New Roman"/>
                <w:color w:val="000000"/>
                <w:kern w:val="0"/>
                <w:sz w:val="20"/>
              </w:rPr>
              <w:t>11.62[14.10, 9.15]</w:t>
            </w:r>
          </w:p>
        </w:tc>
        <w:tc>
          <w:tcPr>
            <w:tcW w:w="1263"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646.01</w:t>
            </w:r>
          </w:p>
        </w:tc>
        <w:tc>
          <w:tcPr>
            <w:tcW w:w="862" w:type="dxa"/>
            <w:shd w:val="clear" w:color="auto" w:fill="auto"/>
            <w:vAlign w:val="center"/>
          </w:tcPr>
          <w:p w:rsidR="00D27B47" w:rsidRPr="004E4C0E" w:rsidRDefault="00D27B47" w:rsidP="00DB162E">
            <w:pPr>
              <w:widowControl/>
              <w:spacing w:line="360" w:lineRule="auto"/>
              <w:jc w:val="left"/>
              <w:rPr>
                <w:rFonts w:eastAsia="MingLiU"/>
                <w:color w:val="000000"/>
                <w:kern w:val="0"/>
                <w:sz w:val="20"/>
              </w:rPr>
            </w:pPr>
            <w:r w:rsidRPr="004E4C0E">
              <w:rPr>
                <w:rFonts w:eastAsia="MingLiU"/>
                <w:color w:val="000000"/>
                <w:kern w:val="0"/>
                <w:sz w:val="20"/>
              </w:rPr>
              <w:t>19.25</w:t>
            </w:r>
          </w:p>
        </w:tc>
        <w:tc>
          <w:tcPr>
            <w:tcW w:w="1866" w:type="dxa"/>
            <w:shd w:val="clear" w:color="auto" w:fill="auto"/>
          </w:tcPr>
          <w:p w:rsidR="00D27B47" w:rsidRPr="004E4C0E" w:rsidRDefault="00D27B47" w:rsidP="00DB162E">
            <w:pPr>
              <w:widowControl/>
              <w:spacing w:line="360" w:lineRule="auto"/>
              <w:jc w:val="left"/>
              <w:rPr>
                <w:rFonts w:eastAsia="Times New Roman"/>
                <w:color w:val="000000"/>
                <w:kern w:val="0"/>
                <w:sz w:val="20"/>
              </w:rPr>
            </w:pPr>
            <w:r w:rsidRPr="004E4C0E">
              <w:rPr>
                <w:color w:val="000000"/>
                <w:kern w:val="0"/>
                <w:sz w:val="20"/>
              </w:rPr>
              <w:t>&lt;.001</w:t>
            </w:r>
          </w:p>
        </w:tc>
      </w:tr>
    </w:tbl>
    <w:p w:rsidR="00D27B47" w:rsidRDefault="00D27B47" w:rsidP="00D27B47">
      <w:pPr>
        <w:widowControl/>
        <w:shd w:val="clear" w:color="auto" w:fill="FFFFFF"/>
        <w:spacing w:line="360" w:lineRule="auto"/>
        <w:jc w:val="left"/>
        <w:rPr>
          <w:rFonts w:hint="eastAsia"/>
          <w:kern w:val="0"/>
          <w:sz w:val="20"/>
        </w:rPr>
      </w:pPr>
    </w:p>
    <w:p w:rsidR="00D27B47" w:rsidRPr="004E4C0E" w:rsidRDefault="00D27B47" w:rsidP="00D27B47">
      <w:pPr>
        <w:widowControl/>
        <w:shd w:val="clear" w:color="auto" w:fill="FFFFFF"/>
        <w:spacing w:line="360" w:lineRule="auto"/>
        <w:jc w:val="left"/>
        <w:rPr>
          <w:kern w:val="0"/>
          <w:sz w:val="20"/>
        </w:rPr>
      </w:pPr>
      <w:proofErr w:type="gramStart"/>
      <w:r w:rsidRPr="004E4C0E">
        <w:rPr>
          <w:kern w:val="0"/>
          <w:sz w:val="20"/>
        </w:rPr>
        <w:t>Table 3.</w:t>
      </w:r>
      <w:proofErr w:type="gramEnd"/>
      <w:r w:rsidRPr="004E4C0E">
        <w:rPr>
          <w:kern w:val="0"/>
          <w:sz w:val="20"/>
        </w:rPr>
        <w:t xml:space="preserve"> Results of single-factor logistic regression</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3230"/>
        <w:gridCol w:w="1831"/>
        <w:gridCol w:w="1820"/>
        <w:gridCol w:w="1641"/>
      </w:tblGrid>
      <w:tr w:rsidR="00D27B47" w:rsidRPr="004E4C0E" w:rsidTr="00DB162E">
        <w:trPr>
          <w:trHeight w:val="315"/>
        </w:trPr>
        <w:tc>
          <w:tcPr>
            <w:tcW w:w="3230" w:type="dxa"/>
            <w:tcBorders>
              <w:top w:val="single" w:sz="4" w:space="0" w:color="auto"/>
              <w:bottom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Indicators</w:t>
            </w:r>
          </w:p>
        </w:tc>
        <w:tc>
          <w:tcPr>
            <w:tcW w:w="1831" w:type="dxa"/>
            <w:tcBorders>
              <w:top w:val="single" w:sz="4" w:space="0" w:color="auto"/>
              <w:bottom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sensitivity</w:t>
            </w:r>
          </w:p>
        </w:tc>
        <w:tc>
          <w:tcPr>
            <w:tcW w:w="1820" w:type="dxa"/>
            <w:tcBorders>
              <w:top w:val="single" w:sz="4" w:space="0" w:color="auto"/>
              <w:bottom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specificity</w:t>
            </w:r>
          </w:p>
        </w:tc>
        <w:tc>
          <w:tcPr>
            <w:tcW w:w="1641" w:type="dxa"/>
            <w:tcBorders>
              <w:top w:val="single" w:sz="4" w:space="0" w:color="auto"/>
              <w:bottom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accuracy</w:t>
            </w:r>
          </w:p>
        </w:tc>
      </w:tr>
      <w:tr w:rsidR="00D27B47" w:rsidRPr="004E4C0E" w:rsidTr="00DB162E">
        <w:trPr>
          <w:trHeight w:val="300"/>
        </w:trPr>
        <w:tc>
          <w:tcPr>
            <w:tcW w:w="3230" w:type="dxa"/>
            <w:tcBorders>
              <w:top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kern w:val="0"/>
                <w:sz w:val="20"/>
              </w:rPr>
              <w:t>CD4(</w:t>
            </w:r>
            <w:r w:rsidRPr="004E4C0E">
              <w:rPr>
                <w:sz w:val="20"/>
              </w:rPr>
              <w:t>cells/µl</w:t>
            </w:r>
            <w:r w:rsidRPr="004E4C0E">
              <w:rPr>
                <w:kern w:val="0"/>
                <w:sz w:val="20"/>
              </w:rPr>
              <w:t>)</w:t>
            </w:r>
          </w:p>
        </w:tc>
        <w:tc>
          <w:tcPr>
            <w:tcW w:w="1831" w:type="dxa"/>
            <w:tcBorders>
              <w:top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78.1</w:t>
            </w:r>
          </w:p>
        </w:tc>
        <w:tc>
          <w:tcPr>
            <w:tcW w:w="1820" w:type="dxa"/>
            <w:tcBorders>
              <w:top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60.2</w:t>
            </w:r>
          </w:p>
        </w:tc>
        <w:tc>
          <w:tcPr>
            <w:tcW w:w="1641" w:type="dxa"/>
            <w:tcBorders>
              <w:top w:val="single" w:sz="4" w:space="0" w:color="auto"/>
            </w:tcBorders>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72.1</w:t>
            </w:r>
          </w:p>
        </w:tc>
      </w:tr>
      <w:tr w:rsidR="00D27B47" w:rsidRPr="004E4C0E" w:rsidTr="00DB162E">
        <w:trPr>
          <w:trHeight w:val="300"/>
        </w:trPr>
        <w:tc>
          <w:tcPr>
            <w:tcW w:w="323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color w:val="000000"/>
                <w:kern w:val="0"/>
                <w:sz w:val="20"/>
              </w:rPr>
              <w:t>Incision</w:t>
            </w:r>
          </w:p>
        </w:tc>
        <w:tc>
          <w:tcPr>
            <w:tcW w:w="183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95.3</w:t>
            </w:r>
          </w:p>
        </w:tc>
        <w:tc>
          <w:tcPr>
            <w:tcW w:w="182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35.9</w:t>
            </w:r>
          </w:p>
        </w:tc>
        <w:tc>
          <w:tcPr>
            <w:tcW w:w="164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75.4</w:t>
            </w:r>
          </w:p>
        </w:tc>
      </w:tr>
      <w:tr w:rsidR="00D27B47" w:rsidRPr="004E4C0E" w:rsidTr="00DB162E">
        <w:trPr>
          <w:trHeight w:val="87"/>
        </w:trPr>
        <w:tc>
          <w:tcPr>
            <w:tcW w:w="323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color w:val="000000"/>
                <w:kern w:val="0"/>
                <w:sz w:val="20"/>
              </w:rPr>
              <w:t>Surgical grade</w:t>
            </w:r>
          </w:p>
        </w:tc>
        <w:tc>
          <w:tcPr>
            <w:tcW w:w="183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87.8</w:t>
            </w:r>
          </w:p>
        </w:tc>
        <w:tc>
          <w:tcPr>
            <w:tcW w:w="182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37.9</w:t>
            </w:r>
          </w:p>
        </w:tc>
        <w:tc>
          <w:tcPr>
            <w:tcW w:w="164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71.1</w:t>
            </w:r>
          </w:p>
        </w:tc>
      </w:tr>
      <w:tr w:rsidR="00D27B47" w:rsidRPr="004E4C0E" w:rsidTr="00DB162E">
        <w:trPr>
          <w:trHeight w:val="369"/>
        </w:trPr>
        <w:tc>
          <w:tcPr>
            <w:tcW w:w="323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color w:val="000000"/>
                <w:kern w:val="0"/>
                <w:sz w:val="20"/>
              </w:rPr>
              <w:t>Opportunistic infection</w:t>
            </w:r>
          </w:p>
        </w:tc>
        <w:tc>
          <w:tcPr>
            <w:tcW w:w="1831" w:type="dxa"/>
            <w:shd w:val="clear" w:color="auto" w:fill="auto"/>
            <w:vAlign w:val="center"/>
          </w:tcPr>
          <w:p w:rsidR="00D27B47" w:rsidRPr="004E4C0E" w:rsidRDefault="00D27B47" w:rsidP="00DB162E">
            <w:pPr>
              <w:widowControl/>
              <w:adjustRightInd w:val="0"/>
              <w:snapToGrid w:val="0"/>
              <w:spacing w:line="360" w:lineRule="auto"/>
              <w:jc w:val="left"/>
              <w:rPr>
                <w:color w:val="000000"/>
                <w:kern w:val="0"/>
                <w:sz w:val="20"/>
              </w:rPr>
            </w:pPr>
            <w:r w:rsidRPr="004E4C0E">
              <w:rPr>
                <w:rFonts w:eastAsia="Times New Roman"/>
                <w:color w:val="000000"/>
                <w:kern w:val="0"/>
                <w:sz w:val="20"/>
              </w:rPr>
              <w:t>85</w:t>
            </w:r>
            <w:r w:rsidRPr="004E4C0E">
              <w:rPr>
                <w:color w:val="000000"/>
                <w:kern w:val="0"/>
                <w:sz w:val="20"/>
              </w:rPr>
              <w:t>.0</w:t>
            </w:r>
          </w:p>
        </w:tc>
        <w:tc>
          <w:tcPr>
            <w:tcW w:w="182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95.3</w:t>
            </w:r>
          </w:p>
        </w:tc>
        <w:tc>
          <w:tcPr>
            <w:tcW w:w="164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88.5</w:t>
            </w:r>
          </w:p>
        </w:tc>
      </w:tr>
      <w:tr w:rsidR="00D27B47" w:rsidRPr="004E4C0E" w:rsidTr="00DB162E">
        <w:trPr>
          <w:trHeight w:val="480"/>
        </w:trPr>
        <w:tc>
          <w:tcPr>
            <w:tcW w:w="323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kern w:val="0"/>
                <w:sz w:val="20"/>
              </w:rPr>
              <w:t>Organ function</w:t>
            </w:r>
          </w:p>
        </w:tc>
        <w:tc>
          <w:tcPr>
            <w:tcW w:w="183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94.1</w:t>
            </w:r>
          </w:p>
        </w:tc>
        <w:tc>
          <w:tcPr>
            <w:tcW w:w="182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88.7</w:t>
            </w:r>
          </w:p>
        </w:tc>
        <w:tc>
          <w:tcPr>
            <w:tcW w:w="1641" w:type="dxa"/>
            <w:shd w:val="clear" w:color="auto" w:fill="auto"/>
            <w:vAlign w:val="center"/>
          </w:tcPr>
          <w:p w:rsidR="00D27B47" w:rsidRPr="004E4C0E" w:rsidRDefault="00D27B47" w:rsidP="00DB162E">
            <w:pPr>
              <w:widowControl/>
              <w:adjustRightInd w:val="0"/>
              <w:snapToGrid w:val="0"/>
              <w:spacing w:line="360" w:lineRule="auto"/>
              <w:jc w:val="left"/>
              <w:rPr>
                <w:color w:val="000000"/>
                <w:kern w:val="0"/>
                <w:sz w:val="20"/>
              </w:rPr>
            </w:pPr>
            <w:r w:rsidRPr="004E4C0E">
              <w:rPr>
                <w:rFonts w:eastAsia="Times New Roman"/>
                <w:color w:val="000000"/>
                <w:kern w:val="0"/>
                <w:sz w:val="20"/>
              </w:rPr>
              <w:t>92.3</w:t>
            </w:r>
          </w:p>
        </w:tc>
      </w:tr>
      <w:tr w:rsidR="00D27B47" w:rsidRPr="004E4C0E" w:rsidTr="00DB162E">
        <w:trPr>
          <w:trHeight w:val="315"/>
        </w:trPr>
        <w:tc>
          <w:tcPr>
            <w:tcW w:w="323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kern w:val="0"/>
                <w:sz w:val="20"/>
              </w:rPr>
              <w:t>Sum</w:t>
            </w:r>
          </w:p>
        </w:tc>
        <w:tc>
          <w:tcPr>
            <w:tcW w:w="183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95.1</w:t>
            </w:r>
          </w:p>
        </w:tc>
        <w:tc>
          <w:tcPr>
            <w:tcW w:w="1820"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89.8</w:t>
            </w:r>
          </w:p>
        </w:tc>
        <w:tc>
          <w:tcPr>
            <w:tcW w:w="1641" w:type="dxa"/>
            <w:shd w:val="clear" w:color="auto" w:fill="auto"/>
            <w:vAlign w:val="center"/>
          </w:tcPr>
          <w:p w:rsidR="00D27B47" w:rsidRPr="004E4C0E" w:rsidRDefault="00D27B47" w:rsidP="00DB162E">
            <w:pPr>
              <w:widowControl/>
              <w:adjustRightInd w:val="0"/>
              <w:snapToGrid w:val="0"/>
              <w:spacing w:line="360" w:lineRule="auto"/>
              <w:jc w:val="left"/>
              <w:rPr>
                <w:rFonts w:eastAsia="Times New Roman"/>
                <w:color w:val="000000"/>
                <w:kern w:val="0"/>
                <w:sz w:val="20"/>
              </w:rPr>
            </w:pPr>
            <w:r w:rsidRPr="004E4C0E">
              <w:rPr>
                <w:rFonts w:eastAsia="Times New Roman"/>
                <w:color w:val="000000"/>
                <w:kern w:val="0"/>
                <w:sz w:val="20"/>
              </w:rPr>
              <w:t>93.3</w:t>
            </w:r>
          </w:p>
        </w:tc>
      </w:tr>
    </w:tbl>
    <w:p w:rsidR="00D27B47" w:rsidRPr="004E4C0E" w:rsidRDefault="00D27B47" w:rsidP="00D27B47">
      <w:pPr>
        <w:widowControl/>
        <w:shd w:val="clear" w:color="auto" w:fill="FFFFFF"/>
        <w:spacing w:line="360" w:lineRule="auto"/>
        <w:ind w:firstLineChars="200" w:firstLine="400"/>
        <w:rPr>
          <w:kern w:val="0"/>
          <w:sz w:val="20"/>
        </w:rPr>
      </w:pPr>
    </w:p>
    <w:p w:rsidR="0064358E" w:rsidRPr="004E4C0E" w:rsidRDefault="001B619B" w:rsidP="003E098D">
      <w:pPr>
        <w:widowControl/>
        <w:shd w:val="clear" w:color="auto" w:fill="FFFFFF"/>
        <w:spacing w:line="360" w:lineRule="auto"/>
        <w:jc w:val="left"/>
        <w:rPr>
          <w:kern w:val="0"/>
          <w:sz w:val="20"/>
        </w:rPr>
      </w:pPr>
      <w:r w:rsidRPr="004E4C0E">
        <w:rPr>
          <w:kern w:val="0"/>
          <w:sz w:val="20"/>
        </w:rPr>
        <w:lastRenderedPageBreak/>
        <w:t>Next, we used single-factor logistic regression to construct the risk prediction system. Among the six models, the sum model had the best performance.</w:t>
      </w:r>
    </w:p>
    <w:p w:rsidR="0064358E" w:rsidRPr="004E4C0E" w:rsidRDefault="001B619B" w:rsidP="003E098D">
      <w:pPr>
        <w:widowControl/>
        <w:shd w:val="clear" w:color="auto" w:fill="FFFFFF"/>
        <w:spacing w:line="360" w:lineRule="auto"/>
        <w:rPr>
          <w:kern w:val="0"/>
          <w:sz w:val="20"/>
        </w:rPr>
      </w:pPr>
      <w:r w:rsidRPr="004E4C0E">
        <w:rPr>
          <w:kern w:val="0"/>
          <w:sz w:val="20"/>
        </w:rPr>
        <w:t>The results in Table 4 were calculated using multi-factor logistic regression. The indicators were categorical. The first grade of each indicator was set as the reference. Because there were no patients with a serious organ failure condition, we had no data of grade 4 for organ failure. Except for the levels of CD4+ T cell count, the odds ratio (OR) of other grades to the first grade were generally elevated along with an increase of scoring. When the levels of incision and opportunistic infection were at grade 4, the OR of sepsis incidence was very high. In our institution, all patients with grade 4 incision or grade 4 opportunistic infection developed sepsis. When the level of CD4+ T cell count reached</w:t>
      </w:r>
      <w:r w:rsidRPr="004E4C0E">
        <w:rPr>
          <w:rFonts w:hint="eastAsia"/>
          <w:kern w:val="0"/>
          <w:sz w:val="20"/>
        </w:rPr>
        <w:t xml:space="preserve"> </w:t>
      </w:r>
      <w:r w:rsidRPr="004E4C0E">
        <w:rPr>
          <w:kern w:val="0"/>
          <w:sz w:val="20"/>
        </w:rPr>
        <w:t>grade 4, the incidence of post-operative sepsis was 70.15%. The incidence of surgical grade 4 was 85.71%. Patients whose organ function was scored at grade 4 were not allowed to have surgery. When organ function was scored at grade 3, the incidence was 92%. The performance of the predictive model using multi-factor logistic regression is described in Figure 1. Except for the specificity, it performed better than other models and had greater sensitivity, specificity, and accuracy. Therefore, this model may help offer valuable information to evaluate the risk of post-surgical sepsis among HIV-infected patients before surgery. According to Figure 1, the model can be used to work out the cutoff value (CV), CV = Z</w:t>
      </w:r>
      <w:proofErr w:type="gramStart"/>
      <w:r w:rsidR="00D841F9">
        <w:rPr>
          <w:kern w:val="0"/>
          <w:sz w:val="20"/>
        </w:rPr>
        <w:t>/</w:t>
      </w:r>
      <w:r w:rsidRPr="004E4C0E">
        <w:rPr>
          <w:kern w:val="0"/>
          <w:sz w:val="20"/>
        </w:rPr>
        <w:t>(</w:t>
      </w:r>
      <w:proofErr w:type="gramEnd"/>
      <w:r w:rsidRPr="004E4C0E">
        <w:rPr>
          <w:kern w:val="0"/>
          <w:sz w:val="20"/>
        </w:rPr>
        <w:t xml:space="preserve">1+Z), where Z = 0.68*CD4 </w:t>
      </w:r>
      <w:r w:rsidR="00963C85" w:rsidRPr="004E4C0E">
        <w:rPr>
          <w:rFonts w:hint="eastAsia"/>
          <w:kern w:val="0"/>
          <w:sz w:val="20"/>
        </w:rPr>
        <w:t>+</w:t>
      </w:r>
      <w:r w:rsidRPr="004E4C0E">
        <w:rPr>
          <w:kern w:val="0"/>
          <w:sz w:val="20"/>
        </w:rPr>
        <w:t xml:space="preserve">1.89*Incision </w:t>
      </w:r>
      <w:r w:rsidR="00963C85" w:rsidRPr="004E4C0E">
        <w:rPr>
          <w:rFonts w:hint="eastAsia"/>
          <w:kern w:val="0"/>
          <w:sz w:val="20"/>
        </w:rPr>
        <w:t>+</w:t>
      </w:r>
      <w:r w:rsidRPr="004E4C0E">
        <w:rPr>
          <w:kern w:val="0"/>
          <w:sz w:val="20"/>
        </w:rPr>
        <w:t>0.86*</w:t>
      </w:r>
      <w:proofErr w:type="spellStart"/>
      <w:r w:rsidRPr="004E4C0E">
        <w:rPr>
          <w:kern w:val="0"/>
          <w:sz w:val="20"/>
        </w:rPr>
        <w:t>Surgical_grade</w:t>
      </w:r>
      <w:proofErr w:type="spellEnd"/>
      <w:r w:rsidRPr="004E4C0E">
        <w:rPr>
          <w:kern w:val="0"/>
          <w:sz w:val="20"/>
        </w:rPr>
        <w:t xml:space="preserve"> </w:t>
      </w:r>
      <w:r w:rsidR="00963C85" w:rsidRPr="004E4C0E">
        <w:rPr>
          <w:rFonts w:hint="eastAsia"/>
          <w:kern w:val="0"/>
          <w:sz w:val="20"/>
        </w:rPr>
        <w:t>+</w:t>
      </w:r>
      <w:r w:rsidRPr="004E4C0E">
        <w:rPr>
          <w:kern w:val="0"/>
          <w:sz w:val="20"/>
        </w:rPr>
        <w:t>2.36*</w:t>
      </w:r>
      <w:proofErr w:type="spellStart"/>
      <w:r w:rsidRPr="004E4C0E">
        <w:rPr>
          <w:kern w:val="0"/>
          <w:sz w:val="20"/>
        </w:rPr>
        <w:t>Opportunistic_infection</w:t>
      </w:r>
      <w:proofErr w:type="spellEnd"/>
      <w:r w:rsidRPr="004E4C0E">
        <w:rPr>
          <w:kern w:val="0"/>
          <w:sz w:val="20"/>
        </w:rPr>
        <w:t xml:space="preserve"> + 2.06*Organ_function</w:t>
      </w:r>
      <w:r w:rsidR="00963C85" w:rsidRPr="004E4C0E">
        <w:rPr>
          <w:rFonts w:hint="eastAsia"/>
          <w:kern w:val="0"/>
          <w:sz w:val="20"/>
        </w:rPr>
        <w:t>-</w:t>
      </w:r>
      <w:r w:rsidRPr="004E4C0E">
        <w:rPr>
          <w:kern w:val="0"/>
          <w:sz w:val="20"/>
        </w:rPr>
        <w:t>14.64. When CV&lt;0.4, the probability of developing post-operative sepsis was very low. When CV was in the interval between 0.4 and 0.6, the probability of developing post-operativ</w:t>
      </w:r>
      <w:r w:rsidR="00D841F9">
        <w:rPr>
          <w:kern w:val="0"/>
          <w:sz w:val="20"/>
        </w:rPr>
        <w:t>e sepsis was uncertain. With CV</w:t>
      </w:r>
      <w:r w:rsidRPr="004E4C0E">
        <w:rPr>
          <w:kern w:val="0"/>
          <w:sz w:val="20"/>
        </w:rPr>
        <w:t>&gt;0.6, the risk of developing post-operative sepsis was very high. During the perioperative period, medical staff need</w:t>
      </w:r>
      <w:r w:rsidR="008F1E62" w:rsidRPr="004E4C0E">
        <w:rPr>
          <w:rFonts w:hint="eastAsia"/>
          <w:kern w:val="0"/>
          <w:sz w:val="20"/>
        </w:rPr>
        <w:t>s</w:t>
      </w:r>
      <w:r w:rsidRPr="004E4C0E">
        <w:rPr>
          <w:kern w:val="0"/>
          <w:sz w:val="20"/>
        </w:rPr>
        <w:t xml:space="preserve"> to pay more attention to reducing the grade. For example, ART could be employed to increase CD4+ T cell counts, prevent opportunistic infections, and also decrease the operation grade.</w:t>
      </w:r>
    </w:p>
    <w:p w:rsidR="0042310B" w:rsidRDefault="001B619B" w:rsidP="00DC6B66">
      <w:pPr>
        <w:widowControl/>
        <w:shd w:val="clear" w:color="auto" w:fill="FFFFFF"/>
        <w:spacing w:line="360" w:lineRule="auto"/>
        <w:rPr>
          <w:rFonts w:hint="eastAsia"/>
          <w:kern w:val="0"/>
          <w:sz w:val="20"/>
        </w:rPr>
      </w:pPr>
      <w:r w:rsidRPr="004E4C0E">
        <w:rPr>
          <w:kern w:val="0"/>
          <w:sz w:val="20"/>
        </w:rPr>
        <w:t xml:space="preserve">The model was validated by the dataset from ZSPH, and the results are depicted in Figure 2. Compared to the training dataset, values for sensitivity, specificity, and accuracy were lower, </w:t>
      </w:r>
      <w:bookmarkStart w:id="14" w:name="OLE_LINK17"/>
      <w:bookmarkStart w:id="15" w:name="OLE_LINK18"/>
      <w:r w:rsidRPr="004E4C0E">
        <w:rPr>
          <w:kern w:val="0"/>
          <w:sz w:val="20"/>
        </w:rPr>
        <w:t xml:space="preserve">but the performance was still </w:t>
      </w:r>
      <w:bookmarkEnd w:id="14"/>
      <w:bookmarkEnd w:id="15"/>
      <w:r w:rsidRPr="004E4C0E">
        <w:rPr>
          <w:kern w:val="0"/>
          <w:sz w:val="20"/>
        </w:rPr>
        <w:t>significant. The</w:t>
      </w:r>
      <w:r w:rsidRPr="004E4C0E">
        <w:rPr>
          <w:rFonts w:hint="eastAsia"/>
          <w:kern w:val="0"/>
          <w:sz w:val="20"/>
        </w:rPr>
        <w:t xml:space="preserve"> </w:t>
      </w:r>
      <w:r w:rsidRPr="004E4C0E">
        <w:rPr>
          <w:kern w:val="0"/>
          <w:sz w:val="20"/>
        </w:rPr>
        <w:t>positive</w:t>
      </w:r>
      <w:r w:rsidRPr="004E4C0E">
        <w:rPr>
          <w:rFonts w:hint="eastAsia"/>
          <w:kern w:val="0"/>
          <w:sz w:val="20"/>
        </w:rPr>
        <w:t xml:space="preserve"> </w:t>
      </w:r>
      <w:r w:rsidRPr="004E4C0E">
        <w:rPr>
          <w:kern w:val="0"/>
          <w:sz w:val="20"/>
        </w:rPr>
        <w:t>result</w:t>
      </w:r>
      <w:r w:rsidRPr="004E4C0E">
        <w:rPr>
          <w:rFonts w:hint="eastAsia"/>
          <w:kern w:val="0"/>
          <w:sz w:val="20"/>
        </w:rPr>
        <w:t xml:space="preserve">s </w:t>
      </w:r>
      <w:r w:rsidRPr="004E4C0E">
        <w:rPr>
          <w:kern w:val="0"/>
          <w:sz w:val="20"/>
        </w:rPr>
        <w:t>given by the model indicate that the possibility of developing post-operative sepsis</w:t>
      </w:r>
      <w:r w:rsidRPr="004E4C0E">
        <w:rPr>
          <w:rFonts w:hint="eastAsia"/>
          <w:kern w:val="0"/>
          <w:sz w:val="20"/>
        </w:rPr>
        <w:t xml:space="preserve"> </w:t>
      </w:r>
      <w:r w:rsidRPr="004E4C0E">
        <w:rPr>
          <w:kern w:val="0"/>
          <w:sz w:val="20"/>
        </w:rPr>
        <w:t>was at least 81%. In addition, the negative results predicted that the possibility of developing post-operative sepsis was not higher than 22%.</w:t>
      </w:r>
    </w:p>
    <w:p w:rsidR="000B2D38" w:rsidRPr="004E4C0E" w:rsidRDefault="000B2D38" w:rsidP="000B2D38">
      <w:pPr>
        <w:pStyle w:val="ac"/>
        <w:adjustRightInd w:val="0"/>
        <w:snapToGrid w:val="0"/>
        <w:spacing w:line="360" w:lineRule="auto"/>
        <w:ind w:firstLineChars="0" w:firstLine="0"/>
        <w:jc w:val="left"/>
        <w:rPr>
          <w:rFonts w:ascii="Times New Roman" w:hAnsi="Times New Roman"/>
          <w:kern w:val="0"/>
          <w:sz w:val="20"/>
          <w:szCs w:val="20"/>
        </w:rPr>
      </w:pPr>
      <w:proofErr w:type="gramStart"/>
      <w:r w:rsidRPr="004E4C0E">
        <w:rPr>
          <w:rFonts w:ascii="Times New Roman" w:hAnsi="Times New Roman"/>
          <w:kern w:val="0"/>
          <w:sz w:val="20"/>
          <w:szCs w:val="20"/>
        </w:rPr>
        <w:t>Table 4.</w:t>
      </w:r>
      <w:proofErr w:type="gramEnd"/>
      <w:r w:rsidRPr="004E4C0E">
        <w:rPr>
          <w:rFonts w:ascii="Times New Roman" w:hAnsi="Times New Roman"/>
          <w:kern w:val="0"/>
          <w:sz w:val="20"/>
          <w:szCs w:val="20"/>
        </w:rPr>
        <w:t xml:space="preserve"> Results of multi-grade factors logistic regression</w:t>
      </w:r>
    </w:p>
    <w:tbl>
      <w:tblPr>
        <w:tblW w:w="8522" w:type="dxa"/>
        <w:jc w:val="center"/>
        <w:tblBorders>
          <w:top w:val="single" w:sz="4" w:space="0" w:color="000000"/>
          <w:bottom w:val="single" w:sz="4" w:space="0" w:color="000000"/>
        </w:tblBorders>
        <w:tblLayout w:type="fixed"/>
        <w:tblLook w:val="04A0" w:firstRow="1" w:lastRow="0" w:firstColumn="1" w:lastColumn="0" w:noHBand="0" w:noVBand="1"/>
      </w:tblPr>
      <w:tblGrid>
        <w:gridCol w:w="3267"/>
        <w:gridCol w:w="1428"/>
        <w:gridCol w:w="1410"/>
        <w:gridCol w:w="1009"/>
        <w:gridCol w:w="1408"/>
      </w:tblGrid>
      <w:tr w:rsidR="000B2D38" w:rsidRPr="004E4C0E" w:rsidTr="00DB162E">
        <w:trPr>
          <w:trHeight w:val="315"/>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r w:rsidRPr="004E4C0E">
              <w:rPr>
                <w:rFonts w:eastAsia="PMingLiU"/>
                <w:bCs/>
                <w:color w:val="000000"/>
                <w:kern w:val="0"/>
                <w:sz w:val="20"/>
              </w:rPr>
              <w:t>Indicator</w:t>
            </w:r>
          </w:p>
        </w:tc>
        <w:tc>
          <w:tcPr>
            <w:tcW w:w="1428"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r w:rsidRPr="004E4C0E">
              <w:rPr>
                <w:rFonts w:eastAsia="PMingLiU"/>
                <w:bCs/>
                <w:color w:val="000000"/>
                <w:kern w:val="0"/>
                <w:sz w:val="20"/>
              </w:rPr>
              <w:t>Grade</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log(OR)</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S.E.</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P value</w:t>
            </w:r>
          </w:p>
        </w:tc>
      </w:tr>
      <w:tr w:rsidR="000B2D38" w:rsidRPr="004E4C0E" w:rsidTr="00DB162E">
        <w:trPr>
          <w:trHeight w:val="315"/>
          <w:jc w:val="center"/>
        </w:trPr>
        <w:tc>
          <w:tcPr>
            <w:tcW w:w="3267" w:type="dxa"/>
            <w:shd w:val="clear" w:color="auto" w:fill="auto"/>
            <w:vAlign w:val="center"/>
          </w:tcPr>
          <w:p w:rsidR="000B2D38" w:rsidRPr="004E4C0E" w:rsidRDefault="000B2D38" w:rsidP="00DB162E">
            <w:pPr>
              <w:widowControl/>
              <w:spacing w:line="360" w:lineRule="auto"/>
              <w:jc w:val="left"/>
              <w:rPr>
                <w:rFonts w:eastAsiaTheme="minorEastAsia"/>
                <w:color w:val="000000"/>
                <w:kern w:val="0"/>
                <w:sz w:val="20"/>
              </w:rPr>
            </w:pPr>
            <w:r w:rsidRPr="004E4C0E">
              <w:rPr>
                <w:rFonts w:eastAsia="MingLiU"/>
                <w:color w:val="000000"/>
                <w:kern w:val="0"/>
                <w:sz w:val="20"/>
              </w:rPr>
              <w:lastRenderedPageBreak/>
              <w:t>CD4</w:t>
            </w:r>
            <w:r w:rsidRPr="004E4C0E">
              <w:rPr>
                <w:rFonts w:eastAsiaTheme="minorEastAsia"/>
                <w:color w:val="000000"/>
                <w:kern w:val="0"/>
                <w:sz w:val="20"/>
              </w:rPr>
              <w:t>+T cell counts</w:t>
            </w: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1</w:t>
            </w:r>
          </w:p>
        </w:tc>
        <w:tc>
          <w:tcPr>
            <w:tcW w:w="1410"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009"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2</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0.88</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0.46</w:t>
            </w:r>
          </w:p>
        </w:tc>
        <w:tc>
          <w:tcPr>
            <w:tcW w:w="1408" w:type="dxa"/>
            <w:shd w:val="clear" w:color="auto" w:fill="auto"/>
            <w:vAlign w:val="center"/>
          </w:tcPr>
          <w:p w:rsidR="000B2D38" w:rsidRPr="004E4C0E" w:rsidRDefault="000B2D38" w:rsidP="00DB162E">
            <w:pPr>
              <w:widowControl/>
              <w:spacing w:line="360" w:lineRule="auto"/>
              <w:jc w:val="left"/>
              <w:rPr>
                <w:color w:val="000000"/>
                <w:kern w:val="0"/>
                <w:sz w:val="20"/>
              </w:rPr>
            </w:pPr>
            <w:r w:rsidRPr="004E4C0E">
              <w:rPr>
                <w:rFonts w:eastAsia="MingLiU"/>
                <w:color w:val="000000"/>
                <w:kern w:val="0"/>
                <w:sz w:val="20"/>
              </w:rPr>
              <w:t>0.05</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3</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1.77</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0.47</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4</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1.60</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0.70</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0.02</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Incision</w:t>
            </w:r>
          </w:p>
        </w:tc>
        <w:tc>
          <w:tcPr>
            <w:tcW w:w="1428" w:type="dxa"/>
            <w:shd w:val="clear" w:color="000000" w:fill="FFFFFF"/>
            <w:vAlign w:val="center"/>
          </w:tcPr>
          <w:p w:rsidR="000B2D38" w:rsidRPr="004E4C0E" w:rsidRDefault="000B2D38" w:rsidP="00DB162E">
            <w:pPr>
              <w:widowControl/>
              <w:spacing w:line="360" w:lineRule="auto"/>
              <w:jc w:val="left"/>
              <w:rPr>
                <w:color w:val="000000"/>
                <w:kern w:val="0"/>
                <w:sz w:val="20"/>
              </w:rPr>
            </w:pPr>
            <w:r w:rsidRPr="004E4C0E">
              <w:rPr>
                <w:color w:val="000000"/>
                <w:kern w:val="0"/>
                <w:sz w:val="20"/>
              </w:rPr>
              <w:t>1</w:t>
            </w:r>
          </w:p>
        </w:tc>
        <w:tc>
          <w:tcPr>
            <w:tcW w:w="1410" w:type="dxa"/>
            <w:shd w:val="clear" w:color="auto" w:fill="auto"/>
            <w:vAlign w:val="center"/>
          </w:tcPr>
          <w:p w:rsidR="000B2D38" w:rsidRPr="004E4C0E" w:rsidRDefault="000B2D38" w:rsidP="00DB162E">
            <w:pPr>
              <w:widowControl/>
              <w:spacing w:line="360" w:lineRule="auto"/>
              <w:jc w:val="left"/>
              <w:rPr>
                <w:rFonts w:eastAsia="Times New Roman"/>
                <w:kern w:val="0"/>
                <w:sz w:val="20"/>
              </w:rPr>
            </w:pPr>
          </w:p>
        </w:tc>
        <w:tc>
          <w:tcPr>
            <w:tcW w:w="1009" w:type="dxa"/>
            <w:shd w:val="clear" w:color="auto" w:fill="auto"/>
            <w:vAlign w:val="center"/>
          </w:tcPr>
          <w:p w:rsidR="000B2D38" w:rsidRPr="004E4C0E" w:rsidRDefault="000B2D38" w:rsidP="00DB162E">
            <w:pPr>
              <w:widowControl/>
              <w:spacing w:line="360" w:lineRule="auto"/>
              <w:jc w:val="left"/>
              <w:rPr>
                <w:rFonts w:eastAsia="Times New Roman"/>
                <w:kern w:val="0"/>
                <w:sz w:val="20"/>
              </w:rPr>
            </w:pP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2</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1.46</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0.47</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3</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3.81</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0.63</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4</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22.61</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0.98</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480"/>
          <w:jc w:val="center"/>
        </w:trPr>
        <w:tc>
          <w:tcPr>
            <w:tcW w:w="3267" w:type="dxa"/>
            <w:shd w:val="clear" w:color="auto" w:fill="auto"/>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Surgical grade</w:t>
            </w:r>
          </w:p>
        </w:tc>
        <w:tc>
          <w:tcPr>
            <w:tcW w:w="1428" w:type="dxa"/>
            <w:shd w:val="clear" w:color="000000" w:fill="FFFFFF"/>
            <w:vAlign w:val="center"/>
          </w:tcPr>
          <w:p w:rsidR="000B2D38" w:rsidRPr="004E4C0E" w:rsidRDefault="000B2D38" w:rsidP="00DB162E">
            <w:pPr>
              <w:widowControl/>
              <w:spacing w:line="360" w:lineRule="auto"/>
              <w:jc w:val="left"/>
              <w:rPr>
                <w:color w:val="000000"/>
                <w:kern w:val="0"/>
                <w:sz w:val="20"/>
              </w:rPr>
            </w:pPr>
            <w:r w:rsidRPr="004E4C0E">
              <w:rPr>
                <w:color w:val="000000"/>
                <w:kern w:val="0"/>
                <w:sz w:val="20"/>
              </w:rPr>
              <w:t>1</w:t>
            </w:r>
          </w:p>
        </w:tc>
        <w:tc>
          <w:tcPr>
            <w:tcW w:w="1410"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009"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2</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1.27</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0.43</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3</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1.63</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0.48</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4</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3.62</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1.92</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0.06</w:t>
            </w:r>
          </w:p>
        </w:tc>
      </w:tr>
      <w:tr w:rsidR="000B2D38" w:rsidRPr="004E4C0E" w:rsidTr="00DB162E">
        <w:trPr>
          <w:trHeight w:val="720"/>
          <w:jc w:val="center"/>
        </w:trPr>
        <w:tc>
          <w:tcPr>
            <w:tcW w:w="3267" w:type="dxa"/>
            <w:shd w:val="clear" w:color="auto" w:fill="auto"/>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Opportunistic infection</w:t>
            </w:r>
          </w:p>
        </w:tc>
        <w:tc>
          <w:tcPr>
            <w:tcW w:w="1428" w:type="dxa"/>
            <w:shd w:val="clear" w:color="000000" w:fill="FFFFFF"/>
            <w:vAlign w:val="center"/>
          </w:tcPr>
          <w:p w:rsidR="000B2D38" w:rsidRPr="004E4C0E" w:rsidRDefault="000B2D38" w:rsidP="00DB162E">
            <w:pPr>
              <w:widowControl/>
              <w:spacing w:line="360" w:lineRule="auto"/>
              <w:jc w:val="left"/>
              <w:rPr>
                <w:color w:val="000000"/>
                <w:kern w:val="0"/>
                <w:sz w:val="20"/>
              </w:rPr>
            </w:pPr>
            <w:r w:rsidRPr="004E4C0E">
              <w:rPr>
                <w:color w:val="000000"/>
                <w:kern w:val="0"/>
                <w:sz w:val="20"/>
              </w:rPr>
              <w:t>1</w:t>
            </w:r>
          </w:p>
        </w:tc>
        <w:tc>
          <w:tcPr>
            <w:tcW w:w="1410"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009"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2</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2.17</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0.44</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3</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4.92</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0.87</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4</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21.24</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2.31</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480"/>
          <w:jc w:val="center"/>
        </w:trPr>
        <w:tc>
          <w:tcPr>
            <w:tcW w:w="3267" w:type="dxa"/>
            <w:shd w:val="clear" w:color="auto" w:fill="auto"/>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Organ function</w:t>
            </w:r>
          </w:p>
        </w:tc>
        <w:tc>
          <w:tcPr>
            <w:tcW w:w="1428" w:type="dxa"/>
            <w:shd w:val="clear" w:color="000000" w:fill="FFFFFF"/>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w:t>
            </w:r>
          </w:p>
        </w:tc>
        <w:tc>
          <w:tcPr>
            <w:tcW w:w="1410"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009" w:type="dxa"/>
            <w:shd w:val="clear" w:color="auto" w:fill="auto"/>
            <w:vAlign w:val="center"/>
          </w:tcPr>
          <w:p w:rsidR="000B2D38" w:rsidRPr="004E4C0E" w:rsidRDefault="000B2D38" w:rsidP="00DB162E">
            <w:pPr>
              <w:widowControl/>
              <w:spacing w:line="360" w:lineRule="auto"/>
              <w:jc w:val="left"/>
              <w:rPr>
                <w:rFonts w:eastAsia="Times New Roman"/>
                <w:kern w:val="0"/>
                <w:sz w:val="20"/>
              </w:rPr>
            </w:pPr>
            <w:r w:rsidRPr="004E4C0E">
              <w:rPr>
                <w:rFonts w:eastAsia="Times New Roman"/>
                <w:kern w:val="0"/>
                <w:sz w:val="20"/>
              </w:rPr>
              <w:t>1.00</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2</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2.14</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0.42</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3</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3.73</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1.25</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r w:rsidR="000B2D38" w:rsidRPr="004E4C0E" w:rsidTr="00DB162E">
        <w:trPr>
          <w:trHeight w:val="300"/>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heme="minorEastAsia"/>
                <w:color w:val="000000"/>
                <w:kern w:val="0"/>
                <w:sz w:val="20"/>
              </w:rPr>
              <w:t>4</w:t>
            </w:r>
          </w:p>
        </w:tc>
        <w:tc>
          <w:tcPr>
            <w:tcW w:w="1410"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p>
        </w:tc>
      </w:tr>
      <w:tr w:rsidR="000B2D38" w:rsidRPr="004E4C0E" w:rsidTr="00DB162E">
        <w:trPr>
          <w:trHeight w:val="315"/>
          <w:jc w:val="center"/>
        </w:trPr>
        <w:tc>
          <w:tcPr>
            <w:tcW w:w="3267" w:type="dxa"/>
            <w:shd w:val="clear" w:color="auto" w:fill="auto"/>
            <w:vAlign w:val="center"/>
          </w:tcPr>
          <w:p w:rsidR="000B2D38" w:rsidRPr="004E4C0E" w:rsidRDefault="000B2D38" w:rsidP="00DB162E">
            <w:pPr>
              <w:widowControl/>
              <w:spacing w:line="360" w:lineRule="auto"/>
              <w:jc w:val="left"/>
              <w:rPr>
                <w:rFonts w:eastAsia="PMingLiU"/>
                <w:b/>
                <w:bCs/>
                <w:color w:val="000000"/>
                <w:kern w:val="0"/>
                <w:sz w:val="20"/>
              </w:rPr>
            </w:pPr>
          </w:p>
        </w:tc>
        <w:tc>
          <w:tcPr>
            <w:tcW w:w="1428" w:type="dxa"/>
            <w:shd w:val="clear" w:color="000000" w:fill="FFFFFF"/>
            <w:vAlign w:val="center"/>
          </w:tcPr>
          <w:p w:rsidR="000B2D38" w:rsidRPr="004E4C0E" w:rsidRDefault="000B2D38" w:rsidP="00DB162E">
            <w:pPr>
              <w:widowControl/>
              <w:spacing w:line="360" w:lineRule="auto"/>
              <w:jc w:val="left"/>
              <w:rPr>
                <w:rFonts w:eastAsia="Times New Roman"/>
                <w:color w:val="000000"/>
                <w:kern w:val="0"/>
                <w:sz w:val="20"/>
              </w:rPr>
            </w:pPr>
            <w:r w:rsidRPr="004E4C0E">
              <w:rPr>
                <w:rFonts w:eastAsia="Times New Roman"/>
                <w:color w:val="000000"/>
                <w:kern w:val="0"/>
                <w:sz w:val="20"/>
              </w:rPr>
              <w:t>Constant</w:t>
            </w:r>
          </w:p>
        </w:tc>
        <w:tc>
          <w:tcPr>
            <w:tcW w:w="1410" w:type="dxa"/>
            <w:shd w:val="clear" w:color="auto" w:fill="auto"/>
            <w:vAlign w:val="center"/>
          </w:tcPr>
          <w:p w:rsidR="000B2D38" w:rsidRPr="004E4C0E" w:rsidRDefault="000B2D38" w:rsidP="00DB162E">
            <w:pPr>
              <w:widowControl/>
              <w:spacing w:line="360" w:lineRule="auto"/>
              <w:jc w:val="left"/>
              <w:rPr>
                <w:color w:val="000000"/>
                <w:kern w:val="0"/>
                <w:sz w:val="20"/>
              </w:rPr>
            </w:pPr>
            <w:r w:rsidRPr="004E4C0E">
              <w:rPr>
                <w:color w:val="000000"/>
                <w:kern w:val="0"/>
                <w:sz w:val="20"/>
              </w:rPr>
              <w:t>-6.72</w:t>
            </w:r>
          </w:p>
        </w:tc>
        <w:tc>
          <w:tcPr>
            <w:tcW w:w="1009"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0.69</w:t>
            </w:r>
          </w:p>
        </w:tc>
        <w:tc>
          <w:tcPr>
            <w:tcW w:w="1408" w:type="dxa"/>
            <w:shd w:val="clear" w:color="auto" w:fill="auto"/>
            <w:vAlign w:val="center"/>
          </w:tcPr>
          <w:p w:rsidR="000B2D38" w:rsidRPr="004E4C0E" w:rsidRDefault="000B2D38" w:rsidP="00DB162E">
            <w:pPr>
              <w:widowControl/>
              <w:spacing w:line="360" w:lineRule="auto"/>
              <w:jc w:val="left"/>
              <w:rPr>
                <w:rFonts w:eastAsia="MingLiU"/>
                <w:color w:val="000000"/>
                <w:kern w:val="0"/>
                <w:sz w:val="20"/>
              </w:rPr>
            </w:pPr>
            <w:r w:rsidRPr="004E4C0E">
              <w:rPr>
                <w:rFonts w:eastAsia="MingLiU"/>
                <w:color w:val="000000"/>
                <w:kern w:val="0"/>
                <w:sz w:val="20"/>
              </w:rPr>
              <w:t>0.00</w:t>
            </w:r>
          </w:p>
        </w:tc>
      </w:tr>
    </w:tbl>
    <w:p w:rsidR="000B2D38" w:rsidRPr="004E4C0E" w:rsidRDefault="000B2D38" w:rsidP="000B2D38">
      <w:pPr>
        <w:tabs>
          <w:tab w:val="left" w:pos="3132"/>
        </w:tabs>
        <w:adjustRightInd w:val="0"/>
        <w:snapToGrid w:val="0"/>
        <w:spacing w:line="360" w:lineRule="auto"/>
        <w:jc w:val="left"/>
        <w:rPr>
          <w:kern w:val="0"/>
          <w:sz w:val="20"/>
        </w:rPr>
      </w:pPr>
    </w:p>
    <w:p w:rsidR="000B2D38" w:rsidRPr="004E4C0E" w:rsidRDefault="000B2D38" w:rsidP="000B2D38">
      <w:pPr>
        <w:tabs>
          <w:tab w:val="left" w:pos="3132"/>
        </w:tabs>
        <w:adjustRightInd w:val="0"/>
        <w:snapToGrid w:val="0"/>
        <w:spacing w:line="360" w:lineRule="auto"/>
        <w:jc w:val="left"/>
        <w:rPr>
          <w:kern w:val="0"/>
          <w:sz w:val="20"/>
        </w:rPr>
      </w:pPr>
      <w:r w:rsidRPr="004E4C0E">
        <w:rPr>
          <w:noProof/>
          <w:kern w:val="0"/>
          <w:sz w:val="20"/>
        </w:rPr>
        <w:drawing>
          <wp:inline distT="0" distB="0" distL="0" distR="0" wp14:anchorId="66B9A9B7" wp14:editId="7BB0D0EE">
            <wp:extent cx="3688859" cy="2016000"/>
            <wp:effectExtent l="0" t="0" r="0" b="0"/>
            <wp:docPr id="1" name="图片 1" descr="D:\20-期刊\3-CSRC-第二期\2-润色后\4 润色后-艾滋病患者手术\Figure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期刊\3-CSRC-第二期\2-润色后\4 润色后-艾滋病患者手术\Figures\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859" cy="2016000"/>
                    </a:xfrm>
                    <a:prstGeom prst="rect">
                      <a:avLst/>
                    </a:prstGeom>
                    <a:noFill/>
                    <a:ln>
                      <a:noFill/>
                    </a:ln>
                  </pic:spPr>
                </pic:pic>
              </a:graphicData>
            </a:graphic>
          </wp:inline>
        </w:drawing>
      </w:r>
    </w:p>
    <w:p w:rsidR="000B2D38" w:rsidRPr="004E4C0E" w:rsidRDefault="000B2D38" w:rsidP="000B2D38">
      <w:pPr>
        <w:pStyle w:val="ac"/>
        <w:tabs>
          <w:tab w:val="left" w:pos="3132"/>
        </w:tabs>
        <w:adjustRightInd w:val="0"/>
        <w:snapToGrid w:val="0"/>
        <w:spacing w:line="360" w:lineRule="auto"/>
        <w:ind w:firstLineChars="0" w:firstLine="0"/>
        <w:jc w:val="left"/>
        <w:rPr>
          <w:rFonts w:ascii="Times New Roman" w:hAnsi="Times New Roman"/>
          <w:kern w:val="0"/>
          <w:sz w:val="20"/>
          <w:szCs w:val="20"/>
        </w:rPr>
      </w:pPr>
      <w:proofErr w:type="gramStart"/>
      <w:r w:rsidRPr="004E4C0E">
        <w:rPr>
          <w:rFonts w:ascii="Times New Roman" w:hAnsi="Times New Roman"/>
          <w:kern w:val="0"/>
          <w:sz w:val="20"/>
          <w:szCs w:val="20"/>
        </w:rPr>
        <w:lastRenderedPageBreak/>
        <w:t>Figure 1.</w:t>
      </w:r>
      <w:proofErr w:type="gramEnd"/>
      <w:r w:rsidRPr="004E4C0E">
        <w:rPr>
          <w:rFonts w:ascii="Times New Roman" w:hAnsi="Times New Roman"/>
          <w:kern w:val="0"/>
          <w:sz w:val="20"/>
          <w:szCs w:val="20"/>
        </w:rPr>
        <w:t xml:space="preserve"> Performance of the multi-factors Predicting model using training data set (SPHCC)</w:t>
      </w:r>
    </w:p>
    <w:p w:rsidR="000B2D38" w:rsidRPr="004E4C0E" w:rsidRDefault="000B2D38" w:rsidP="000B2D38">
      <w:pPr>
        <w:tabs>
          <w:tab w:val="left" w:pos="3132"/>
        </w:tabs>
        <w:adjustRightInd w:val="0"/>
        <w:snapToGrid w:val="0"/>
        <w:spacing w:line="360" w:lineRule="auto"/>
        <w:jc w:val="left"/>
        <w:rPr>
          <w:kern w:val="0"/>
          <w:sz w:val="20"/>
        </w:rPr>
      </w:pPr>
    </w:p>
    <w:p w:rsidR="000B2D38" w:rsidRPr="004E4C0E" w:rsidRDefault="000B2D38" w:rsidP="000B2D38">
      <w:pPr>
        <w:tabs>
          <w:tab w:val="left" w:pos="3132"/>
        </w:tabs>
        <w:adjustRightInd w:val="0"/>
        <w:snapToGrid w:val="0"/>
        <w:spacing w:line="360" w:lineRule="auto"/>
        <w:jc w:val="left"/>
        <w:rPr>
          <w:kern w:val="0"/>
          <w:sz w:val="20"/>
        </w:rPr>
      </w:pPr>
    </w:p>
    <w:p w:rsidR="000B2D38" w:rsidRPr="004E4C0E" w:rsidRDefault="000B2D38" w:rsidP="000B2D38">
      <w:pPr>
        <w:tabs>
          <w:tab w:val="left" w:pos="3132"/>
        </w:tabs>
        <w:adjustRightInd w:val="0"/>
        <w:snapToGrid w:val="0"/>
        <w:spacing w:line="360" w:lineRule="auto"/>
        <w:jc w:val="left"/>
        <w:rPr>
          <w:kern w:val="0"/>
          <w:sz w:val="20"/>
        </w:rPr>
      </w:pPr>
      <w:r w:rsidRPr="004E4C0E">
        <w:rPr>
          <w:noProof/>
          <w:kern w:val="0"/>
          <w:sz w:val="20"/>
        </w:rPr>
        <w:drawing>
          <wp:inline distT="0" distB="0" distL="0" distR="0" wp14:anchorId="494C398A" wp14:editId="0C483F5F">
            <wp:extent cx="3404453" cy="2988000"/>
            <wp:effectExtent l="0" t="0" r="0" b="0"/>
            <wp:docPr id="3" name="图片 3" descr="D:\20-期刊\3-CSRC-第二期\2-润色后\4 润色后-艾滋病患者手术\Figure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期刊\3-CSRC-第二期\2-润色后\4 润色后-艾滋病患者手术\Figures\Figur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4453" cy="2988000"/>
                    </a:xfrm>
                    <a:prstGeom prst="rect">
                      <a:avLst/>
                    </a:prstGeom>
                    <a:noFill/>
                    <a:ln>
                      <a:noFill/>
                    </a:ln>
                  </pic:spPr>
                </pic:pic>
              </a:graphicData>
            </a:graphic>
          </wp:inline>
        </w:drawing>
      </w:r>
    </w:p>
    <w:p w:rsidR="000B2D38" w:rsidRPr="004E4C0E" w:rsidRDefault="000B2D38" w:rsidP="000B2D38">
      <w:pPr>
        <w:pStyle w:val="ac"/>
        <w:tabs>
          <w:tab w:val="left" w:pos="3132"/>
        </w:tabs>
        <w:adjustRightInd w:val="0"/>
        <w:snapToGrid w:val="0"/>
        <w:spacing w:line="360" w:lineRule="auto"/>
        <w:ind w:firstLineChars="0" w:firstLine="0"/>
        <w:jc w:val="left"/>
        <w:rPr>
          <w:rFonts w:ascii="Times New Roman" w:hAnsi="Times New Roman"/>
          <w:kern w:val="0"/>
          <w:sz w:val="20"/>
          <w:szCs w:val="20"/>
        </w:rPr>
      </w:pPr>
      <w:proofErr w:type="gramStart"/>
      <w:r w:rsidRPr="004E4C0E">
        <w:rPr>
          <w:rFonts w:ascii="Times New Roman" w:hAnsi="Times New Roman"/>
          <w:kern w:val="0"/>
          <w:sz w:val="20"/>
          <w:szCs w:val="20"/>
        </w:rPr>
        <w:t>Figure 2.</w:t>
      </w:r>
      <w:proofErr w:type="gramEnd"/>
      <w:r w:rsidRPr="004E4C0E">
        <w:rPr>
          <w:rFonts w:ascii="Times New Roman" w:hAnsi="Times New Roman"/>
          <w:kern w:val="0"/>
          <w:sz w:val="20"/>
          <w:szCs w:val="20"/>
        </w:rPr>
        <w:t xml:space="preserve"> Performance of the Predicting model using the test dataset</w:t>
      </w:r>
    </w:p>
    <w:p w:rsidR="000B2D38" w:rsidRPr="000B2D38" w:rsidRDefault="000B2D38" w:rsidP="00DC6B66">
      <w:pPr>
        <w:widowControl/>
        <w:shd w:val="clear" w:color="auto" w:fill="FFFFFF"/>
        <w:spacing w:line="360" w:lineRule="auto"/>
        <w:rPr>
          <w:rFonts w:hint="eastAsia"/>
          <w:kern w:val="0"/>
          <w:sz w:val="20"/>
        </w:rPr>
      </w:pPr>
    </w:p>
    <w:p w:rsidR="0064358E" w:rsidRPr="004E4C0E" w:rsidRDefault="00963C85" w:rsidP="00A27852">
      <w:pPr>
        <w:widowControl/>
        <w:shd w:val="clear" w:color="auto" w:fill="FFFFFF"/>
        <w:spacing w:line="360" w:lineRule="auto"/>
        <w:rPr>
          <w:b/>
          <w:bCs/>
          <w:kern w:val="0"/>
          <w:sz w:val="20"/>
        </w:rPr>
      </w:pPr>
      <w:r w:rsidRPr="004E4C0E">
        <w:rPr>
          <w:b/>
          <w:bCs/>
          <w:kern w:val="0"/>
          <w:sz w:val="20"/>
        </w:rPr>
        <w:t>DISCUSSION</w:t>
      </w:r>
      <w:r w:rsidR="001B619B" w:rsidRPr="004E4C0E">
        <w:rPr>
          <w:b/>
          <w:bCs/>
          <w:kern w:val="0"/>
          <w:sz w:val="20"/>
        </w:rPr>
        <w:t xml:space="preserve"> </w:t>
      </w:r>
    </w:p>
    <w:p w:rsidR="0064358E" w:rsidRPr="004E4C0E" w:rsidRDefault="001B619B" w:rsidP="003E098D">
      <w:pPr>
        <w:widowControl/>
        <w:shd w:val="clear" w:color="auto" w:fill="FFFFFF"/>
        <w:spacing w:line="360" w:lineRule="auto"/>
        <w:rPr>
          <w:kern w:val="0"/>
          <w:sz w:val="20"/>
        </w:rPr>
      </w:pPr>
      <w:r w:rsidRPr="004E4C0E">
        <w:rPr>
          <w:kern w:val="0"/>
          <w:sz w:val="20"/>
        </w:rPr>
        <w:t>There are much more life-threatening issues for HIV-infected patients than for ordinary patients in the recovery period after surgery</w:t>
      </w:r>
      <w:r w:rsidRPr="004E4C0E">
        <w:rPr>
          <w:kern w:val="0"/>
          <w:sz w:val="20"/>
        </w:rPr>
        <w:fldChar w:fldCharType="begin"/>
      </w:r>
      <w:r w:rsidR="00963C85" w:rsidRPr="004E4C0E">
        <w:rPr>
          <w:kern w:val="0"/>
          <w:sz w:val="20"/>
        </w:rPr>
        <w:instrText xml:space="preserve"> ADDIN EN.CITE &lt;EndNote&gt;&lt;Cite&gt;&lt;Author&gt;Su&lt;/Author&gt;&lt;Year&gt;2013&lt;/Year&gt;&lt;RecNum&gt;32&lt;/RecNum&gt;&lt;DisplayText&gt;&lt;style face="superscript"&gt;[14]&lt;/style&gt;&lt;/DisplayText&gt;&lt;record&gt;&lt;rec-number&gt;32&lt;/rec-number&gt;&lt;foreign-keys&gt;&lt;key app="EN" db-id="f5dzftewnaxtr3ert94p52dgx5s9t0efadrv"&gt;32&lt;/key&gt;&lt;/foreign-keys&gt;&lt;ref-type name="Journal Article"&gt;17&lt;/ref-type&gt;&lt;contributors&gt;&lt;authors&gt;&lt;author&gt;Su, Jinsong&lt;/author&gt;&lt;author&gt;Tsun, Andy&lt;/author&gt;&lt;author&gt;Zhang, Lei&lt;/author&gt;&lt;author&gt;Xia, Xianjun&lt;/author&gt;&lt;author&gt;Li, Bin&lt;/author&gt;&lt;author&gt;Guo, Ruizhang&lt;/author&gt;&lt;author&gt;Liu, Baochi&lt;/author&gt;&lt;/authors&gt;&lt;/contributors&gt;&lt;titles&gt;&lt;title&gt;Preoperative risk factors influencing the incidence of postoperative sepsis in human immunodeficiency virus-infected patients: a retrospective cohort study&lt;/title&gt;&lt;secondary-title&gt;World journal of surgery&lt;/secondary-title&gt;&lt;/titles&gt;&lt;periodical&gt;&lt;full-title&gt;World journal of surgery&lt;/full-title&gt;&lt;/periodical&gt;&lt;pages&gt;774-779&lt;/pages&gt;&lt;volume&gt;37&lt;/volume&gt;&lt;number&gt;4&lt;/number&gt;&lt;dates&gt;&lt;year&gt;2013&lt;/year&gt;&lt;/dates&gt;&lt;isbn&gt;0364-2313&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14" w:tooltip="Su, 2013 #32" w:history="1">
        <w:r w:rsidR="00963C85" w:rsidRPr="004E4C0E">
          <w:rPr>
            <w:noProof/>
            <w:kern w:val="0"/>
            <w:sz w:val="20"/>
            <w:vertAlign w:val="superscript"/>
          </w:rPr>
          <w:t>14</w:t>
        </w:r>
      </w:hyperlink>
      <w:r w:rsidR="00963C85" w:rsidRPr="004E4C0E">
        <w:rPr>
          <w:noProof/>
          <w:kern w:val="0"/>
          <w:sz w:val="20"/>
          <w:vertAlign w:val="superscript"/>
        </w:rPr>
        <w:t>]</w:t>
      </w:r>
      <w:r w:rsidRPr="004E4C0E">
        <w:rPr>
          <w:kern w:val="0"/>
          <w:sz w:val="20"/>
        </w:rPr>
        <w:fldChar w:fldCharType="end"/>
      </w:r>
      <w:r w:rsidRPr="004E4C0E">
        <w:rPr>
          <w:kern w:val="0"/>
          <w:sz w:val="20"/>
        </w:rPr>
        <w:t xml:space="preserve">. Based on our long-time clinical experience, we employed CD4+ T cell counts </w:t>
      </w:r>
      <w:r w:rsidRPr="004E4C0E">
        <w:rPr>
          <w:kern w:val="0"/>
          <w:sz w:val="20"/>
        </w:rPr>
        <w:fldChar w:fldCharType="begin"/>
      </w:r>
      <w:r w:rsidR="00963C85" w:rsidRPr="004E4C0E">
        <w:rPr>
          <w:kern w:val="0"/>
          <w:sz w:val="20"/>
        </w:rPr>
        <w:instrText xml:space="preserve"> ADDIN EN.CITE &lt;EndNote&gt;&lt;Cite&gt;&lt;Author&gt;Deneve&lt;/Author&gt;&lt;Year&gt;2010&lt;/Year&gt;&lt;RecNum&gt;7&lt;/RecNum&gt;&lt;DisplayText&gt;&lt;style face="superscript"&gt;[15,16]&lt;/style&gt;&lt;/DisplayText&gt;&lt;record&gt;&lt;rec-number&gt;7&lt;/rec-number&gt;&lt;foreign-keys&gt;&lt;key app="EN" db-id="2vefpas0hzdxslevws8ppas4dw5f5920aat0"&gt;7&lt;/key&gt;&lt;/foreign-keys&gt;&lt;ref-type name="Journal Article"&gt;17&lt;/ref-type&gt;&lt;contributors&gt;&lt;authors&gt;&lt;author&gt;Deneve, Jeremiah L&lt;/author&gt;&lt;author&gt;Shantha, Jessica G&lt;/author&gt;&lt;author&gt;Page, Andrew J&lt;/author&gt;&lt;author&gt;Wyrzykowski, Amy D&lt;/author&gt;&lt;author&gt;Rozycki, Grace S&lt;/author&gt;&lt;author&gt;Feliciano, David V&lt;/author&gt;&lt;/authors&gt;&lt;/contributors&gt;&lt;titles&gt;&lt;title&gt;CD4 count is predictive of outcome in HIV-positive patients undergoing abdominal operations&lt;/title&gt;&lt;secondary-title&gt;The American Journal of Surgery&lt;/secondary-title&gt;&lt;/titles&gt;&lt;periodical&gt;&lt;full-title&gt;The American Journal of Surgery&lt;/full-title&gt;&lt;/periodical&gt;&lt;pages&gt;694-700&lt;/pages&gt;&lt;volume&gt;200&lt;/volume&gt;&lt;number&gt;6&lt;/number&gt;&lt;dates&gt;&lt;year&gt;2010&lt;/year&gt;&lt;/dates&gt;&lt;isbn&gt;0002-9610&lt;/isbn&gt;&lt;urls&gt;&lt;/urls&gt;&lt;/record&gt;&lt;/Cite&gt;&lt;Cite&gt;&lt;Author&gt;King Jr&lt;/Author&gt;&lt;Year&gt;2015&lt;/Year&gt;&lt;RecNum&gt;43&lt;/RecNum&gt;&lt;record&gt;&lt;rec-number&gt;43&lt;/rec-number&gt;&lt;foreign-keys&gt;&lt;key app="EN" db-id="f5dzftewnaxtr3ert94p52dgx5s9t0efadrv"&gt;43&lt;/key&gt;&lt;/foreign-keys&gt;&lt;ref-type name="Journal Article"&gt;17&lt;/ref-type&gt;&lt;contributors&gt;&lt;authors&gt;&lt;author&gt;King Jr, Joseph T&lt;/author&gt;&lt;author&gt;Perkal, Melissa F&lt;/author&gt;&lt;author&gt;Rosenthal, Ronnie A&lt;/author&gt;&lt;author&gt;Gordon, Adam J&lt;/author&gt;&lt;author&gt;Crystal, Stephen&lt;/author&gt;&lt;author&gt;Rodriguez-Barradas, Maria C&lt;/author&gt;&lt;author&gt;Butt, Adeel A&lt;/author&gt;&lt;author&gt;Gibert, Cynthia L&lt;/author&gt;&lt;author&gt;Rimland, David&lt;/author&gt;&lt;author&gt;Simberkoff, Michael S&lt;/author&gt;&lt;/authors&gt;&lt;/contributors&gt;&lt;titles&gt;&lt;title&gt;Thirty-Day Postoperative Mortality Among Individuals With HIV Infection Receiving Antiretroviral Therapy and Procedure-Matched, Uninfected Comparators&lt;/title&gt;&lt;secondary-title&gt;JAMA surgery&lt;/secondary-title&gt;&lt;/titles&gt;&lt;periodical&gt;&lt;full-title&gt;JAMA surgery&lt;/full-title&gt;&lt;/periodical&gt;&lt;dates&gt;&lt;year&gt;2015&lt;/year&gt;&lt;/dates&gt;&lt;isbn&gt;2168-6254&lt;/isbn&gt;&lt;urls&gt;&lt;/urls&gt;&lt;/record&gt;&lt;/Cite&gt;&lt;/EndNote&gt;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15" w:tooltip="Deneve, 2010 #7" w:history="1">
        <w:r w:rsidR="00963C85" w:rsidRPr="004E4C0E">
          <w:rPr>
            <w:noProof/>
            <w:kern w:val="0"/>
            <w:sz w:val="20"/>
            <w:vertAlign w:val="superscript"/>
          </w:rPr>
          <w:t>15</w:t>
        </w:r>
      </w:hyperlink>
      <w:r w:rsidR="00963C85" w:rsidRPr="004E4C0E">
        <w:rPr>
          <w:noProof/>
          <w:kern w:val="0"/>
          <w:sz w:val="20"/>
          <w:vertAlign w:val="superscript"/>
        </w:rPr>
        <w:t>,</w:t>
      </w:r>
      <w:hyperlink w:anchor="_ENREF_16" w:tooltip="King Jr, 2015 #43" w:history="1">
        <w:r w:rsidR="00963C85" w:rsidRPr="004E4C0E">
          <w:rPr>
            <w:noProof/>
            <w:kern w:val="0"/>
            <w:sz w:val="20"/>
            <w:vertAlign w:val="superscript"/>
          </w:rPr>
          <w:t>16</w:t>
        </w:r>
      </w:hyperlink>
      <w:r w:rsidR="00963C85" w:rsidRPr="004E4C0E">
        <w:rPr>
          <w:noProof/>
          <w:kern w:val="0"/>
          <w:sz w:val="20"/>
          <w:vertAlign w:val="superscript"/>
        </w:rPr>
        <w:t>]</w:t>
      </w:r>
      <w:r w:rsidRPr="004E4C0E">
        <w:rPr>
          <w:kern w:val="0"/>
          <w:sz w:val="20"/>
        </w:rPr>
        <w:fldChar w:fldCharType="end"/>
      </w:r>
      <w:r w:rsidRPr="004E4C0E">
        <w:rPr>
          <w:kern w:val="0"/>
          <w:sz w:val="20"/>
        </w:rPr>
        <w:t>, the level of incision, surgical grade, opportunistic infection, and organ function as indicators of post-operative sepsis and graded them into 4 levels.</w:t>
      </w:r>
    </w:p>
    <w:p w:rsidR="0064358E" w:rsidRPr="004E4C0E" w:rsidRDefault="001B619B" w:rsidP="003E098D">
      <w:pPr>
        <w:widowControl/>
        <w:shd w:val="clear" w:color="auto" w:fill="FFFFFF"/>
        <w:spacing w:line="360" w:lineRule="auto"/>
        <w:rPr>
          <w:sz w:val="20"/>
        </w:rPr>
      </w:pPr>
      <w:r w:rsidRPr="004E4C0E">
        <w:rPr>
          <w:kern w:val="0"/>
          <w:sz w:val="20"/>
        </w:rPr>
        <w:t xml:space="preserve">When CD4+ T cell counts were </w:t>
      </w:r>
      <w:proofErr w:type="gramStart"/>
      <w:r w:rsidRPr="004E4C0E">
        <w:rPr>
          <w:kern w:val="0"/>
          <w:sz w:val="20"/>
        </w:rPr>
        <w:t xml:space="preserve">above </w:t>
      </w:r>
      <w:r w:rsidRPr="004E4C0E">
        <w:rPr>
          <w:color w:val="000000"/>
          <w:kern w:val="0"/>
          <w:sz w:val="20"/>
        </w:rPr>
        <w:t xml:space="preserve">350 </w:t>
      </w:r>
      <w:r w:rsidRPr="004E4C0E">
        <w:rPr>
          <w:sz w:val="20"/>
        </w:rPr>
        <w:t>cells/µl,</w:t>
      </w:r>
      <w:proofErr w:type="gramEnd"/>
      <w:r w:rsidRPr="004E4C0E">
        <w:rPr>
          <w:sz w:val="20"/>
        </w:rPr>
        <w:t xml:space="preserve"> the patient’s immune system could still execute its normal function, so we gave this condition a score of 1 under CD4. As</w:t>
      </w:r>
      <w:r w:rsidRPr="004E4C0E">
        <w:rPr>
          <w:rFonts w:hint="eastAsia"/>
          <w:sz w:val="20"/>
        </w:rPr>
        <w:t xml:space="preserve"> </w:t>
      </w:r>
      <w:r w:rsidRPr="004E4C0E">
        <w:rPr>
          <w:sz w:val="20"/>
        </w:rPr>
        <w:t>the population of CD4+ T cells</w:t>
      </w:r>
      <w:r w:rsidRPr="004E4C0E">
        <w:rPr>
          <w:rFonts w:hint="eastAsia"/>
          <w:sz w:val="20"/>
        </w:rPr>
        <w:t xml:space="preserve"> </w:t>
      </w:r>
      <w:r w:rsidRPr="004E4C0E">
        <w:rPr>
          <w:sz w:val="20"/>
        </w:rPr>
        <w:t xml:space="preserve">descended, the immune system became vulnerable. We set the split points at </w:t>
      </w:r>
      <w:r w:rsidRPr="004E4C0E">
        <w:rPr>
          <w:color w:val="000000"/>
          <w:kern w:val="0"/>
          <w:sz w:val="20"/>
        </w:rPr>
        <w:t>350,</w:t>
      </w:r>
      <w:r w:rsidRPr="004E4C0E">
        <w:rPr>
          <w:sz w:val="20"/>
        </w:rPr>
        <w:t xml:space="preserve"> 200, and 50 and gave corresponding scores from 2 to 4, respectively. The incision was also classified into a system of four scores according to its seriousness. A clear incision was given 1 point. If the incision had clear contamination, it was given 2 points. With contamination and infection, 3 and 4 points were given, respectively. The score of surgical grade was calculated according to complications of the surgery. From simple to complex circumstances, it was given from scores of 1 to 4, accordingly. Opportunistic infection was classified with a score of 4. With regard to its seriousness, opportunistic infections included no possibility of infections, unobserved historical infections, infections with low probabilities, </w:t>
      </w:r>
      <w:r w:rsidRPr="004E4C0E">
        <w:rPr>
          <w:sz w:val="20"/>
        </w:rPr>
        <w:lastRenderedPageBreak/>
        <w:t xml:space="preserve">and obvious signs of infection before surgery, corresponding to 1 to 4 points. The score of </w:t>
      </w:r>
      <w:r w:rsidRPr="004E4C0E">
        <w:rPr>
          <w:kern w:val="0"/>
          <w:sz w:val="20"/>
        </w:rPr>
        <w:t>organ function was calculated from the comprehensive</w:t>
      </w:r>
      <w:r w:rsidRPr="004E4C0E">
        <w:rPr>
          <w:rFonts w:hint="eastAsia"/>
          <w:kern w:val="0"/>
          <w:sz w:val="20"/>
        </w:rPr>
        <w:t xml:space="preserve"> </w:t>
      </w:r>
      <w:r w:rsidRPr="004E4C0E">
        <w:rPr>
          <w:sz w:val="20"/>
        </w:rPr>
        <w:t>preoperative examination, including heart, lungs, liver, kidneys, etc., with statuses of normal, abnormality without symptoms, abnormality with slight symptoms, and obvious symptoms of abnormality before surgery, corresponding to scores of 1 to 4. The surgical risks could be fully evaluated by this scoring system, which had considered comprehensive factors in all parts.</w:t>
      </w:r>
    </w:p>
    <w:p w:rsidR="0064358E" w:rsidRPr="004E4C0E" w:rsidRDefault="001B619B" w:rsidP="003E098D">
      <w:pPr>
        <w:widowControl/>
        <w:shd w:val="clear" w:color="auto" w:fill="FFFFFF"/>
        <w:spacing w:line="360" w:lineRule="auto"/>
        <w:rPr>
          <w:sz w:val="20"/>
        </w:rPr>
      </w:pPr>
      <w:r w:rsidRPr="004E4C0E">
        <w:rPr>
          <w:sz w:val="20"/>
        </w:rPr>
        <w:t>The indicators had different weights in this system. The weight of CD4+ T cell count and</w:t>
      </w:r>
      <w:r w:rsidRPr="004E4C0E">
        <w:rPr>
          <w:rFonts w:hint="eastAsia"/>
          <w:sz w:val="20"/>
        </w:rPr>
        <w:t xml:space="preserve"> </w:t>
      </w:r>
      <w:r w:rsidRPr="004E4C0E">
        <w:rPr>
          <w:sz w:val="20"/>
        </w:rPr>
        <w:t>surgical grade were the lowest, meaning that</w:t>
      </w:r>
      <w:r w:rsidRPr="004E4C0E">
        <w:rPr>
          <w:rFonts w:hint="eastAsia"/>
          <w:sz w:val="20"/>
        </w:rPr>
        <w:t xml:space="preserve"> t</w:t>
      </w:r>
      <w:r w:rsidRPr="004E4C0E">
        <w:rPr>
          <w:sz w:val="20"/>
        </w:rPr>
        <w:t>he link between post-operative sepsis and CD4+ T cell counts was weak, and the link with the surgical grade was also weak, which corresponds with results in other studies</w:t>
      </w:r>
      <w:r w:rsidRPr="004E4C0E">
        <w:rPr>
          <w:sz w:val="20"/>
        </w:rPr>
        <w:fldChar w:fldCharType="begin"/>
      </w:r>
      <w:r w:rsidR="00963C85" w:rsidRPr="004E4C0E">
        <w:rPr>
          <w:sz w:val="20"/>
        </w:rPr>
        <w:instrText xml:space="preserve"> ADDIN EN.CITE &lt;EndNote&gt;&lt;Cite&gt;&lt;Author&gt;Čačala&lt;/Author&gt;&lt;Year&gt;2006&lt;/Year&gt;&lt;RecNum&gt;37&lt;/RecNum&gt;&lt;DisplayText&gt;&lt;style face="superscript"&gt;[17]&lt;/style&gt;&lt;/DisplayText&gt;&lt;record&gt;&lt;rec-number&gt;37&lt;/rec-number&gt;&lt;foreign-keys&gt;&lt;key app="EN" db-id="f5dzftewnaxtr3ert94p52dgx5s9t0efadrv"&gt;37&lt;/key&gt;&lt;/foreign-keys&gt;&lt;ref-type name="Journal Article"&gt;17&lt;/ref-type&gt;&lt;contributors&gt;&lt;authors&gt;&lt;author&gt;Čačala, SR&lt;/author&gt;&lt;author&gt;Mafana, E&lt;/author&gt;&lt;author&gt;Thomson, SR&lt;/author&gt;&lt;author&gt;Smith, A&lt;/author&gt;&lt;/authors&gt;&lt;/contributors&gt;&lt;titles&gt;&lt;title&gt;Prevalence of HIV status and CD4 counts in a surgical cohort: their relationship to clinical outcome&lt;/title&gt;&lt;secondary-title&gt;Annals of the Royal College of Surgeons of England&lt;/secondary-title&gt;&lt;/titles&gt;&lt;periodical&gt;&lt;full-title&gt;Annals of the Royal College of Surgeons of England&lt;/full-title&gt;&lt;/periodical&gt;&lt;pages&gt;46&lt;/pages&gt;&lt;volume&gt;88&lt;/volume&gt;&lt;number&gt;1&lt;/number&gt;&lt;dates&gt;&lt;year&gt;2006&lt;/year&gt;&lt;/dates&gt;&lt;urls&gt;&lt;/urls&gt;&lt;/record&gt;&lt;/Cite&gt;&lt;/EndNote&gt;</w:instrText>
      </w:r>
      <w:r w:rsidRPr="004E4C0E">
        <w:rPr>
          <w:sz w:val="20"/>
        </w:rPr>
        <w:fldChar w:fldCharType="separate"/>
      </w:r>
      <w:r w:rsidR="00963C85" w:rsidRPr="004E4C0E">
        <w:rPr>
          <w:noProof/>
          <w:sz w:val="20"/>
          <w:vertAlign w:val="superscript"/>
        </w:rPr>
        <w:t>[</w:t>
      </w:r>
      <w:hyperlink w:anchor="_ENREF_17" w:tooltip="Čačala, 2006 #37" w:history="1">
        <w:r w:rsidR="00963C85" w:rsidRPr="004E4C0E">
          <w:rPr>
            <w:noProof/>
            <w:sz w:val="20"/>
            <w:vertAlign w:val="superscript"/>
          </w:rPr>
          <w:t>17</w:t>
        </w:r>
      </w:hyperlink>
      <w:r w:rsidR="00963C85" w:rsidRPr="004E4C0E">
        <w:rPr>
          <w:noProof/>
          <w:sz w:val="20"/>
          <w:vertAlign w:val="superscript"/>
        </w:rPr>
        <w:t>]</w:t>
      </w:r>
      <w:r w:rsidRPr="004E4C0E">
        <w:rPr>
          <w:sz w:val="20"/>
        </w:rPr>
        <w:fldChar w:fldCharType="end"/>
      </w:r>
      <w:r w:rsidRPr="004E4C0E">
        <w:rPr>
          <w:sz w:val="20"/>
        </w:rPr>
        <w:t>. The incision was a more important factor needing to be considered before surgery. Among these indicators, the grades of opportunistic infection and organ function were more critical. Small variations of scores from these two indicators could make a great impact on the total surgical risk.</w:t>
      </w:r>
    </w:p>
    <w:p w:rsidR="0064358E" w:rsidRPr="004E4C0E" w:rsidRDefault="001B619B" w:rsidP="003E098D">
      <w:pPr>
        <w:widowControl/>
        <w:shd w:val="clear" w:color="auto" w:fill="FFFFFF"/>
        <w:spacing w:line="360" w:lineRule="auto"/>
        <w:rPr>
          <w:kern w:val="0"/>
          <w:sz w:val="20"/>
        </w:rPr>
      </w:pPr>
      <w:r w:rsidRPr="004E4C0E">
        <w:rPr>
          <w:kern w:val="0"/>
          <w:sz w:val="20"/>
        </w:rPr>
        <w:t>It was reported that the infection and complication rate of HIV-infected patients after surgery was about 55%, and approximately 30% of those patients died following surgery</w:t>
      </w:r>
      <w:r w:rsidRPr="004E4C0E">
        <w:rPr>
          <w:kern w:val="0"/>
          <w:sz w:val="20"/>
        </w:rPr>
        <w:fldChar w:fldCharType="begin"/>
      </w:r>
      <w:r w:rsidR="00963C85" w:rsidRPr="004E4C0E">
        <w:rPr>
          <w:kern w:val="0"/>
          <w:sz w:val="20"/>
        </w:rPr>
        <w:instrText xml:space="preserve"> ADDIN EN.CITE &lt;EndNote&gt;&lt;Cite&gt;&lt;Author&gt;Kedir&lt;/Author&gt;&lt;Year&gt;2008&lt;/Year&gt;&lt;RecNum&gt;11&lt;/RecNum&gt;&lt;DisplayText&gt;&lt;style face="superscript"&gt;[18]&lt;/style&gt;&lt;/DisplayText&gt;&lt;record&gt;&lt;rec-number&gt;11&lt;/rec-number&gt;&lt;foreign-keys&gt;&lt;key app="EN" db-id="2vefpas0hzdxslevws8ppas4dw5f5920aat0"&gt;11&lt;/key&gt;&lt;/foreign-keys&gt;&lt;ref-type name="Journal Article"&gt;17&lt;/ref-type&gt;&lt;contributors&gt;&lt;authors&gt;&lt;author&gt;Kedir, M&lt;/author&gt;&lt;/authors&gt;&lt;/contributors&gt;&lt;titles&gt;&lt;title&gt;Seroprevalence, pattern and outcome of HIV/AIDS among surgical patients at Gondar University Hospital&lt;/title&gt;&lt;secondary-title&gt;Ethiopian medical journal&lt;/secondary-title&gt;&lt;/titles&gt;&lt;periodical&gt;&lt;full-title&gt;Ethiopian medical journal&lt;/full-title&gt;&lt;/periodical&gt;&lt;pages&gt;15-18&lt;/pages&gt;&lt;volume&gt;46&lt;/volume&gt;&lt;number&gt;1&lt;/number&gt;&lt;dates&gt;&lt;year&gt;2008&lt;/year&gt;&lt;/dates&gt;&lt;isbn&gt;0014-1755&lt;/isbn&gt;&lt;urls&gt;&lt;/urls&gt;&lt;/record&gt;&lt;/Cite&gt;&lt;/EndNote&gt;</w:instrText>
      </w:r>
      <w:r w:rsidRPr="004E4C0E">
        <w:rPr>
          <w:kern w:val="0"/>
          <w:sz w:val="20"/>
        </w:rPr>
        <w:fldChar w:fldCharType="separate"/>
      </w:r>
      <w:r w:rsidR="00963C85" w:rsidRPr="004E4C0E">
        <w:rPr>
          <w:noProof/>
          <w:kern w:val="0"/>
          <w:sz w:val="20"/>
          <w:vertAlign w:val="superscript"/>
        </w:rPr>
        <w:t>[</w:t>
      </w:r>
      <w:hyperlink w:anchor="_ENREF_18" w:tooltip="Kedir, 2008 #11" w:history="1">
        <w:r w:rsidR="00963C85" w:rsidRPr="004E4C0E">
          <w:rPr>
            <w:noProof/>
            <w:kern w:val="0"/>
            <w:sz w:val="20"/>
            <w:vertAlign w:val="superscript"/>
          </w:rPr>
          <w:t>18</w:t>
        </w:r>
      </w:hyperlink>
      <w:r w:rsidR="00963C85" w:rsidRPr="004E4C0E">
        <w:rPr>
          <w:noProof/>
          <w:kern w:val="0"/>
          <w:sz w:val="20"/>
          <w:vertAlign w:val="superscript"/>
        </w:rPr>
        <w:t>]</w:t>
      </w:r>
      <w:r w:rsidRPr="004E4C0E">
        <w:rPr>
          <w:kern w:val="0"/>
          <w:sz w:val="20"/>
        </w:rPr>
        <w:fldChar w:fldCharType="end"/>
      </w:r>
      <w:r w:rsidRPr="004E4C0E">
        <w:rPr>
          <w:kern w:val="0"/>
          <w:sz w:val="20"/>
        </w:rPr>
        <w:t>. In our institution, the sepsis incidence was about 40%, and the mortality was less than 2%. Among our patients, the average sum of</w:t>
      </w:r>
      <w:r w:rsidRPr="004E4C0E">
        <w:rPr>
          <w:rFonts w:hint="eastAsia"/>
          <w:kern w:val="0"/>
          <w:sz w:val="20"/>
        </w:rPr>
        <w:t xml:space="preserve"> </w:t>
      </w:r>
      <w:r w:rsidRPr="004E4C0E">
        <w:rPr>
          <w:kern w:val="0"/>
          <w:sz w:val="20"/>
        </w:rPr>
        <w:t>five indicator scores in non-sepsis and sepsis groups were 7.22 and 11.65, respectively. When the cutoff value was set at 9.5, the sensitivity and the specificity were 0.91 and 0.95, approaching the performance of the logistical predictive model. Therefore, this method can be used as a reference for other groups who intended to perform similar treatments.</w:t>
      </w:r>
    </w:p>
    <w:p w:rsidR="0064358E" w:rsidRPr="004E4C0E" w:rsidRDefault="001B619B" w:rsidP="003E098D">
      <w:pPr>
        <w:widowControl/>
        <w:shd w:val="clear" w:color="auto" w:fill="FFFFFF"/>
        <w:spacing w:line="360" w:lineRule="auto"/>
        <w:rPr>
          <w:sz w:val="20"/>
        </w:rPr>
      </w:pPr>
      <w:r w:rsidRPr="004E4C0E">
        <w:rPr>
          <w:kern w:val="0"/>
          <w:sz w:val="20"/>
        </w:rPr>
        <w:t>In our institution, 15 patients, most of whom had highly complicated surgeries, died from sepsis w</w:t>
      </w:r>
      <w:r w:rsidRPr="004E4C0E">
        <w:rPr>
          <w:rFonts w:hint="eastAsia"/>
          <w:kern w:val="0"/>
          <w:sz w:val="20"/>
        </w:rPr>
        <w:t>i</w:t>
      </w:r>
      <w:r w:rsidRPr="004E4C0E">
        <w:rPr>
          <w:kern w:val="0"/>
          <w:sz w:val="20"/>
        </w:rPr>
        <w:t>thin 30 days of surgery.</w:t>
      </w:r>
    </w:p>
    <w:p w:rsidR="0064358E" w:rsidRPr="004E4C0E" w:rsidRDefault="001B619B" w:rsidP="003E098D">
      <w:pPr>
        <w:widowControl/>
        <w:shd w:val="clear" w:color="auto" w:fill="FFFFFF"/>
        <w:spacing w:line="360" w:lineRule="auto"/>
        <w:rPr>
          <w:sz w:val="20"/>
        </w:rPr>
      </w:pPr>
      <w:r w:rsidRPr="004E4C0E">
        <w:rPr>
          <w:sz w:val="20"/>
        </w:rPr>
        <w:t xml:space="preserve">Because of their particular requirements, HIV-infected patients should be treated in special hospitals. In China, nearly all HIV-infected patients are treated and have surgeries performed in specialized hospitals for epidemic disease. However, there are not enough specialty surgeons to carry out all types of operations. In Europe, Africa, and America, the majority of HIV-infected patients have surgeries performed in general hospitals. Though there are comprehensive disciplines, medical personnel in general hospitals may have insufficient experience in the treatment of HIV-infected patients so that the patients may experience many post-operative complications. Therefore, it is essential to build a platform to resolve this problem. Based on the situation of our institution, patients with CD4+ T cell counts </w:t>
      </w:r>
      <w:proofErr w:type="gramStart"/>
      <w:r w:rsidRPr="004E4C0E">
        <w:rPr>
          <w:sz w:val="20"/>
        </w:rPr>
        <w:t>above 350 cells/µl</w:t>
      </w:r>
      <w:proofErr w:type="gramEnd"/>
      <w:r w:rsidRPr="004E4C0E">
        <w:rPr>
          <w:sz w:val="20"/>
        </w:rPr>
        <w:t xml:space="preserve"> can be treated in general hospitals because they have little difference from </w:t>
      </w:r>
      <w:r w:rsidRPr="004E4C0E">
        <w:rPr>
          <w:sz w:val="20"/>
        </w:rPr>
        <w:lastRenderedPageBreak/>
        <w:t xml:space="preserve">normal patients in terms of sepsis incidence. When the CD4+ T cell count is </w:t>
      </w:r>
      <w:proofErr w:type="gramStart"/>
      <w:r w:rsidRPr="004E4C0E">
        <w:rPr>
          <w:sz w:val="20"/>
        </w:rPr>
        <w:t>below 200 cells/µl,</w:t>
      </w:r>
      <w:proofErr w:type="gramEnd"/>
      <w:r w:rsidRPr="004E4C0E">
        <w:rPr>
          <w:sz w:val="20"/>
        </w:rPr>
        <w:t xml:space="preserve"> it is suggested that the patients be treated in specialized hospitals. These patients were prone to opportunistic infections and had higher chances of developing sepsis. During the perioperative period, antiviral, anti-tuberculosis, antifungal, and other similar treatments are essential, and these treatments require the involvement of experienced clinicians. When CD4+ T cell count is between 200 cells/µl and 350 cells/µl, the patient should be treated with antiviral treatments. After the virus load decreases significantly, the patient could undergo surgery in either general or specialized hospitals.</w:t>
      </w:r>
    </w:p>
    <w:p w:rsidR="0064358E" w:rsidRPr="004E4C0E" w:rsidRDefault="001B619B" w:rsidP="003E098D">
      <w:pPr>
        <w:widowControl/>
        <w:shd w:val="clear" w:color="auto" w:fill="FFFFFF"/>
        <w:spacing w:line="360" w:lineRule="auto"/>
        <w:rPr>
          <w:sz w:val="20"/>
        </w:rPr>
      </w:pPr>
      <w:r w:rsidRPr="004E4C0E">
        <w:rPr>
          <w:sz w:val="20"/>
        </w:rPr>
        <w:t xml:space="preserve">Surgery for HIV-infected patients requires not only the routine preoperative preparation and post-operative treatments but also the prevention of infectious diseases and treatments with antiviral, anti-tuberculosis, and antifungal treatments </w:t>
      </w:r>
      <w:r w:rsidRPr="004E4C0E">
        <w:rPr>
          <w:sz w:val="20"/>
        </w:rPr>
        <w:fldChar w:fldCharType="begin"/>
      </w:r>
      <w:r w:rsidR="00963C85" w:rsidRPr="004E4C0E">
        <w:rPr>
          <w:sz w:val="20"/>
        </w:rPr>
        <w:instrText xml:space="preserve"> ADDIN EN.CITE &lt;EndNote&gt;&lt;Cite&gt;&lt;Author&gt;Liu&lt;/Author&gt;&lt;Year&gt;2012&lt;/Year&gt;&lt;RecNum&gt;9&lt;/RecNum&gt;&lt;DisplayText&gt;&lt;style face="superscript"&gt;[19,20]&lt;/style&gt;&lt;/DisplayText&gt;&lt;record&gt;&lt;rec-number&gt;9&lt;/rec-number&gt;&lt;foreign-keys&gt;&lt;key app="EN" db-id="2vefpas0hzdxslevws8ppas4dw5f5920aat0"&gt;9&lt;/key&gt;&lt;/foreign-keys&gt;&lt;ref-type name="Journal Article"&gt;17&lt;/ref-type&gt;&lt;contributors&gt;&lt;authors&gt;&lt;author&gt;Liu, Baochi&lt;/author&gt;&lt;author&gt;Zhang, Lei&lt;/author&gt;&lt;author&gt;Guo, Ruizhang&lt;/author&gt;&lt;author&gt;Su, Jinsong&lt;/author&gt;&lt;author&gt;Li, Lei&lt;/author&gt;&lt;author&gt;Si, Yanhui&lt;/author&gt;&lt;/authors&gt;&lt;/contributors&gt;&lt;titles&gt;&lt;title&gt;Anti-infective treatment in HIV-infected patients during perioperative period&lt;/title&gt;&lt;secondary-title&gt;AIDS Res Ther&lt;/secondary-title&gt;&lt;/titles&gt;&lt;periodical&gt;&lt;full-title&gt;AIDS Res Ther&lt;/full-title&gt;&lt;/periodical&gt;&lt;pages&gt;36&lt;/pages&gt;&lt;volume&gt;9&lt;/volume&gt;&lt;number&gt;1&lt;/number&gt;&lt;dates&gt;&lt;year&gt;2012&lt;/year&gt;&lt;/dates&gt;&lt;urls&gt;&lt;/urls&gt;&lt;/record&gt;&lt;/Cite&gt;&lt;Cite&gt;&lt;Author&gt;Zhang&lt;/Author&gt;&lt;Year&gt;2012&lt;/Year&gt;&lt;RecNum&gt;42&lt;/RecNum&gt;&lt;record&gt;&lt;rec-number&gt;42&lt;/rec-number&gt;&lt;foreign-keys&gt;&lt;key app="EN" db-id="f5dzftewnaxtr3ert94p52dgx5s9t0efadrv"&gt;42&lt;/key&gt;&lt;/foreign-keys&gt;&lt;ref-type name="Journal Article"&gt;17&lt;/ref-type&gt;&lt;contributors&gt;&lt;authors&gt;&lt;author&gt;Zhang, Lei&lt;/author&gt;&lt;author&gt;Liu, Bao-Chi&lt;/author&gt;&lt;author&gt;Zhang, Xiao-Yan&lt;/author&gt;&lt;author&gt;Li, Lei&lt;/author&gt;&lt;author&gt;Xia, Xian-Jun&lt;/author&gt;&lt;author&gt;Guo, Rui-Zhang&lt;/author&gt;&lt;/authors&gt;&lt;/contributors&gt;&lt;titles&gt;&lt;title&gt;Prevention and treatment of surgical site infection in HIV-infected patients&lt;/title&gt;&lt;secondary-title&gt;BMC infectious diseases&lt;/secondary-title&gt;&lt;/titles&gt;&lt;periodical&gt;&lt;full-title&gt;BMC infectious diseases&lt;/full-title&gt;&lt;/periodical&gt;&lt;pages&gt;115&lt;/pages&gt;&lt;volume&gt;12&lt;/volume&gt;&lt;number&gt;1&lt;/number&gt;&lt;dates&gt;&lt;year&gt;2012&lt;/year&gt;&lt;/dates&gt;&lt;isbn&gt;1471-2334&lt;/isbn&gt;&lt;urls&gt;&lt;/urls&gt;&lt;/record&gt;&lt;/Cite&gt;&lt;/EndNote&gt;</w:instrText>
      </w:r>
      <w:r w:rsidRPr="004E4C0E">
        <w:rPr>
          <w:sz w:val="20"/>
        </w:rPr>
        <w:fldChar w:fldCharType="separate"/>
      </w:r>
      <w:r w:rsidR="00963C85" w:rsidRPr="004E4C0E">
        <w:rPr>
          <w:noProof/>
          <w:sz w:val="20"/>
          <w:vertAlign w:val="superscript"/>
        </w:rPr>
        <w:t>[</w:t>
      </w:r>
      <w:hyperlink w:anchor="_ENREF_19" w:tooltip="Liu, 2012 #9" w:history="1">
        <w:r w:rsidR="00963C85" w:rsidRPr="004E4C0E">
          <w:rPr>
            <w:noProof/>
            <w:sz w:val="20"/>
            <w:vertAlign w:val="superscript"/>
          </w:rPr>
          <w:t>19</w:t>
        </w:r>
      </w:hyperlink>
      <w:r w:rsidR="00963C85" w:rsidRPr="004E4C0E">
        <w:rPr>
          <w:noProof/>
          <w:sz w:val="20"/>
          <w:vertAlign w:val="superscript"/>
        </w:rPr>
        <w:t>,</w:t>
      </w:r>
      <w:hyperlink w:anchor="_ENREF_20" w:tooltip="Zhang, 2012 #42" w:history="1">
        <w:r w:rsidR="00963C85" w:rsidRPr="004E4C0E">
          <w:rPr>
            <w:noProof/>
            <w:sz w:val="20"/>
            <w:vertAlign w:val="superscript"/>
          </w:rPr>
          <w:t>20</w:t>
        </w:r>
      </w:hyperlink>
      <w:r w:rsidR="00963C85" w:rsidRPr="004E4C0E">
        <w:rPr>
          <w:noProof/>
          <w:sz w:val="20"/>
          <w:vertAlign w:val="superscript"/>
        </w:rPr>
        <w:t>]</w:t>
      </w:r>
      <w:r w:rsidRPr="004E4C0E">
        <w:rPr>
          <w:sz w:val="20"/>
        </w:rPr>
        <w:fldChar w:fldCharType="end"/>
      </w:r>
      <w:r w:rsidRPr="004E4C0E">
        <w:rPr>
          <w:sz w:val="20"/>
        </w:rPr>
        <w:t>. Currently, AIDS has become a chronic infectious disease that can be managed</w:t>
      </w:r>
      <w:r w:rsidR="002378EF" w:rsidRPr="004E4C0E">
        <w:rPr>
          <w:rFonts w:hint="eastAsia"/>
          <w:sz w:val="20"/>
        </w:rPr>
        <w:t xml:space="preserve"> </w:t>
      </w:r>
      <w:r w:rsidRPr="004E4C0E">
        <w:rPr>
          <w:sz w:val="20"/>
        </w:rPr>
        <w:fldChar w:fldCharType="begin"/>
      </w:r>
      <w:r w:rsidR="00963C85" w:rsidRPr="004E4C0E">
        <w:rPr>
          <w:sz w:val="20"/>
        </w:rPr>
        <w:instrText xml:space="preserve"> ADDIN EN.CITE &lt;EndNote&gt;&lt;Cite&gt;&lt;Author&gt;Chirch&lt;/Author&gt;&lt;Year&gt;2014&lt;/Year&gt;&lt;RecNum&gt;39&lt;/RecNum&gt;&lt;DisplayText&gt;&lt;style face="superscript"&gt;[21,22]&lt;/style&gt;&lt;/DisplayText&gt;&lt;record&gt;&lt;rec-number&gt;39&lt;/rec-number&gt;&lt;foreign-keys&gt;&lt;key app="EN" db-id="f5dzftewnaxtr3ert94p52dgx5s9t0efadrv"&gt;39&lt;/key&gt;&lt;/foreign-keys&gt;&lt;ref-type name="Journal Article"&gt;17&lt;/ref-type&gt;&lt;contributors&gt;&lt;authors&gt;&lt;author&gt;Chirch, Lisa M&lt;/author&gt;&lt;author&gt;Hasham, Mohamed&lt;/author&gt;&lt;author&gt;Kuchel, George A&lt;/author&gt;&lt;/authors&gt;&lt;/contributors&gt;&lt;titles&gt;&lt;title&gt;HIV and aging: a clinical journey from Koch&amp;apos;s postulate to the chronic disease model and the contribution of geriatric syndromes&lt;/title&gt;&lt;secondary-title&gt;Current Opinion in HIV and AIDS&lt;/secondary-title&gt;&lt;/titles&gt;&lt;periodical&gt;&lt;full-title&gt;Current Opinion in HIV and AIDS&lt;/full-title&gt;&lt;/periodical&gt;&lt;pages&gt;405-411&lt;/pages&gt;&lt;volume&gt;9&lt;/volume&gt;&lt;number&gt;4&lt;/number&gt;&lt;dates&gt;&lt;year&gt;2014&lt;/year&gt;&lt;/dates&gt;&lt;isbn&gt;1746-630X&lt;/isbn&gt;&lt;urls&gt;&lt;/urls&gt;&lt;/record&gt;&lt;/Cite&gt;&lt;Cite&gt;&lt;Author&gt;Baker&lt;/Author&gt;&lt;Year&gt;2014&lt;/Year&gt;&lt;RecNum&gt;38&lt;/RecNum&gt;&lt;record&gt;&lt;rec-number&gt;38&lt;/rec-number&gt;&lt;foreign-keys&gt;&lt;key app="EN" db-id="f5dzftewnaxtr3ert94p52dgx5s9t0efadrv"&gt;38&lt;/key&gt;&lt;/foreign-keys&gt;&lt;ref-type name="Journal Article"&gt;17&lt;/ref-type&gt;&lt;contributors&gt;&lt;authors&gt;&lt;author&gt;Baker, David&lt;/author&gt;&lt;author&gt;Pell, Cathy&lt;/author&gt;&lt;author&gt;Donovan, Basil&lt;/author&gt;&lt;/authors&gt;&lt;/contributors&gt;&lt;titles&gt;&lt;title&gt;HIV as a chronic disease: optimising outcomes&lt;/title&gt;&lt;secondary-title&gt;Medicine Today&lt;/secondary-title&gt;&lt;/titles&gt;&lt;periodical&gt;&lt;full-title&gt;Medicine Today&lt;/full-title&gt;&lt;/periodical&gt;&lt;pages&gt;16-26&lt;/pages&gt;&lt;volume&gt;15&lt;/volume&gt;&lt;number&gt;2&lt;/number&gt;&lt;dates&gt;&lt;year&gt;2014&lt;/year&gt;&lt;/dates&gt;&lt;urls&gt;&lt;/urls&gt;&lt;/record&gt;&lt;/Cite&gt;&lt;/EndNote&gt;</w:instrText>
      </w:r>
      <w:r w:rsidRPr="004E4C0E">
        <w:rPr>
          <w:sz w:val="20"/>
        </w:rPr>
        <w:fldChar w:fldCharType="separate"/>
      </w:r>
      <w:r w:rsidR="00963C85" w:rsidRPr="004E4C0E">
        <w:rPr>
          <w:noProof/>
          <w:sz w:val="20"/>
          <w:vertAlign w:val="superscript"/>
        </w:rPr>
        <w:t>[</w:t>
      </w:r>
      <w:hyperlink w:anchor="_ENREF_21" w:tooltip="Chirch, 2014 #39" w:history="1">
        <w:r w:rsidR="00963C85" w:rsidRPr="004E4C0E">
          <w:rPr>
            <w:noProof/>
            <w:sz w:val="20"/>
            <w:vertAlign w:val="superscript"/>
          </w:rPr>
          <w:t>21</w:t>
        </w:r>
      </w:hyperlink>
      <w:r w:rsidR="00963C85" w:rsidRPr="004E4C0E">
        <w:rPr>
          <w:noProof/>
          <w:sz w:val="20"/>
          <w:vertAlign w:val="superscript"/>
        </w:rPr>
        <w:t>,</w:t>
      </w:r>
      <w:hyperlink w:anchor="_ENREF_22" w:tooltip="Baker, 2014 #38" w:history="1">
        <w:r w:rsidR="00963C85" w:rsidRPr="004E4C0E">
          <w:rPr>
            <w:noProof/>
            <w:sz w:val="20"/>
            <w:vertAlign w:val="superscript"/>
          </w:rPr>
          <w:t>22</w:t>
        </w:r>
      </w:hyperlink>
      <w:r w:rsidR="00963C85" w:rsidRPr="004E4C0E">
        <w:rPr>
          <w:noProof/>
          <w:sz w:val="20"/>
          <w:vertAlign w:val="superscript"/>
        </w:rPr>
        <w:t>]</w:t>
      </w:r>
      <w:r w:rsidRPr="004E4C0E">
        <w:rPr>
          <w:sz w:val="20"/>
        </w:rPr>
        <w:fldChar w:fldCharType="end"/>
      </w:r>
      <w:r w:rsidRPr="004E4C0E">
        <w:rPr>
          <w:sz w:val="20"/>
        </w:rPr>
        <w:t>. Though there are no</w:t>
      </w:r>
      <w:r w:rsidRPr="004E4C0E">
        <w:rPr>
          <w:rFonts w:hint="eastAsia"/>
          <w:sz w:val="20"/>
        </w:rPr>
        <w:t xml:space="preserve"> </w:t>
      </w:r>
      <w:r w:rsidRPr="004E4C0E">
        <w:rPr>
          <w:sz w:val="20"/>
        </w:rPr>
        <w:t>drugs or preventive vaccines for HIV, AIDS can be dealt with in cases where the person is exposed to HIV accidentally by using emergency treatments such as anti-retroviral preventive treatment</w:t>
      </w:r>
      <w:r w:rsidR="002378EF" w:rsidRPr="004E4C0E">
        <w:rPr>
          <w:rFonts w:hint="eastAsia"/>
          <w:sz w:val="20"/>
        </w:rPr>
        <w:t xml:space="preserve"> </w:t>
      </w:r>
      <w:r w:rsidRPr="004E4C0E">
        <w:rPr>
          <w:sz w:val="20"/>
        </w:rPr>
        <w:fldChar w:fldCharType="begin"/>
      </w:r>
      <w:r w:rsidR="00963C85" w:rsidRPr="004E4C0E">
        <w:rPr>
          <w:sz w:val="20"/>
        </w:rPr>
        <w:instrText xml:space="preserve"> ADDIN EN.CITE &lt;EndNote&gt;&lt;Cite&gt;&lt;Author&gt;Cohen&lt;/Author&gt;&lt;Year&gt;2011&lt;/Year&gt;&lt;RecNum&gt;40&lt;/RecNum&gt;&lt;DisplayText&gt;&lt;style face="superscript"&gt;[23]&lt;/style&gt;&lt;/DisplayText&gt;&lt;record&gt;&lt;rec-number&gt;40&lt;/rec-number&gt;&lt;foreign-keys&gt;&lt;key app="EN" db-id="f5dzftewnaxtr3ert94p52dgx5s9t0efadrv"&gt;40&lt;/key&gt;&lt;/foreign-keys&gt;&lt;ref-type name="Journal Article"&gt;17&lt;/ref-type&gt;&lt;contributors&gt;&lt;authors&gt;&lt;author&gt;Cohen, Myron S&lt;/author&gt;&lt;author&gt;Chen, Ying Q&lt;/author&gt;&lt;author&gt;McCauley, Marybeth&lt;/author&gt;&lt;author&gt;Gamble, Theresa&lt;/author&gt;&lt;author&gt;Hosseinipour, Mina C&lt;/author&gt;&lt;author&gt;Kumarasamy, Nagalingeswaran&lt;/author&gt;&lt;author&gt;Hakim, James G&lt;/author&gt;&lt;author&gt;Kumwenda, Johnstone&lt;/author&gt;&lt;author&gt;Grinsztejn, Beatriz&lt;/author&gt;&lt;author&gt;Pilotto, Jose HS&lt;/author&gt;&lt;/authors&gt;&lt;/contributors&gt;&lt;titles&gt;&lt;title&gt;Prevention of HIV-1 infection with early antiretroviral therapy&lt;/title&gt;&lt;secondary-title&gt;New England journal of medicine&lt;/secondary-title&gt;&lt;/titles&gt;&lt;periodical&gt;&lt;full-title&gt;New England journal of medicine&lt;/full-title&gt;&lt;/periodical&gt;&lt;pages&gt;493-505&lt;/pages&gt;&lt;volume&gt;365&lt;/volume&gt;&lt;number&gt;6&lt;/number&gt;&lt;dates&gt;&lt;year&gt;2011&lt;/year&gt;&lt;/dates&gt;&lt;isbn&gt;0028-4793&lt;/isbn&gt;&lt;urls&gt;&lt;/urls&gt;&lt;/record&gt;&lt;/Cite&gt;&lt;/EndNote&gt;</w:instrText>
      </w:r>
      <w:r w:rsidRPr="004E4C0E">
        <w:rPr>
          <w:sz w:val="20"/>
        </w:rPr>
        <w:fldChar w:fldCharType="separate"/>
      </w:r>
      <w:r w:rsidR="00963C85" w:rsidRPr="004E4C0E">
        <w:rPr>
          <w:noProof/>
          <w:sz w:val="20"/>
          <w:vertAlign w:val="superscript"/>
        </w:rPr>
        <w:t>[</w:t>
      </w:r>
      <w:hyperlink w:anchor="_ENREF_23" w:tooltip="Cohen, 2011 #40" w:history="1">
        <w:r w:rsidR="00963C85" w:rsidRPr="004E4C0E">
          <w:rPr>
            <w:noProof/>
            <w:sz w:val="20"/>
            <w:vertAlign w:val="superscript"/>
          </w:rPr>
          <w:t>23</w:t>
        </w:r>
      </w:hyperlink>
      <w:r w:rsidR="00963C85" w:rsidRPr="004E4C0E">
        <w:rPr>
          <w:noProof/>
          <w:sz w:val="20"/>
          <w:vertAlign w:val="superscript"/>
        </w:rPr>
        <w:t>]</w:t>
      </w:r>
      <w:r w:rsidRPr="004E4C0E">
        <w:rPr>
          <w:sz w:val="20"/>
        </w:rPr>
        <w:fldChar w:fldCharType="end"/>
      </w:r>
      <w:r w:rsidRPr="004E4C0E">
        <w:rPr>
          <w:sz w:val="20"/>
        </w:rPr>
        <w:t xml:space="preserve">. Therefore, with essential </w:t>
      </w:r>
      <w:r w:rsidR="002378EF" w:rsidRPr="004E4C0E">
        <w:rPr>
          <w:sz w:val="20"/>
        </w:rPr>
        <w:t xml:space="preserve">prevention </w:t>
      </w:r>
      <w:r w:rsidRPr="004E4C0E">
        <w:rPr>
          <w:sz w:val="20"/>
        </w:rPr>
        <w:fldChar w:fldCharType="begin">
          <w:fldData xml:space="preserve">PEVuZE5vdGU+PENpdGU+PEF1dGhvcj5Jc2xhbTwvQXV0aG9yPjxZZWFyPjIwMTQ8L1llYXI+PFJl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</w:fldData>
        </w:fldChar>
      </w:r>
      <w:r w:rsidR="00963C85" w:rsidRPr="004E4C0E">
        <w:rPr>
          <w:sz w:val="20"/>
        </w:rPr>
        <w:instrText xml:space="preserve"> ADDIN EN.CITE </w:instrText>
      </w:r>
      <w:r w:rsidR="00963C85" w:rsidRPr="004E4C0E">
        <w:rPr>
          <w:sz w:val="20"/>
        </w:rPr>
        <w:fldChar w:fldCharType="begin">
          <w:fldData xml:space="preserve">PEVuZE5vdGU+PENpdGU+PEF1dGhvcj5Jc2xhbTwvQXV0aG9yPjxZZWFyPjIwMTQ8L1llYXI+PFJl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</w:fldData>
        </w:fldChar>
      </w:r>
      <w:r w:rsidR="00963C85" w:rsidRPr="004E4C0E">
        <w:rPr>
          <w:sz w:val="20"/>
        </w:rPr>
        <w:instrText xml:space="preserve"> ADDIN EN.CITE.DATA </w:instrText>
      </w:r>
      <w:r w:rsidR="00963C85" w:rsidRPr="004E4C0E">
        <w:rPr>
          <w:sz w:val="20"/>
        </w:rPr>
      </w:r>
      <w:r w:rsidR="00963C85" w:rsidRPr="004E4C0E">
        <w:rPr>
          <w:sz w:val="20"/>
        </w:rPr>
        <w:fldChar w:fldCharType="end"/>
      </w:r>
      <w:r w:rsidRPr="004E4C0E">
        <w:rPr>
          <w:sz w:val="20"/>
        </w:rPr>
      </w:r>
      <w:r w:rsidRPr="004E4C0E">
        <w:rPr>
          <w:sz w:val="20"/>
        </w:rPr>
        <w:fldChar w:fldCharType="separate"/>
      </w:r>
      <w:r w:rsidR="00963C85" w:rsidRPr="004E4C0E">
        <w:rPr>
          <w:noProof/>
          <w:sz w:val="20"/>
          <w:vertAlign w:val="superscript"/>
        </w:rPr>
        <w:t>[</w:t>
      </w:r>
      <w:hyperlink w:anchor="_ENREF_20" w:tooltip="Zhang, 2012 #42" w:history="1">
        <w:r w:rsidR="00963C85" w:rsidRPr="004E4C0E">
          <w:rPr>
            <w:noProof/>
            <w:sz w:val="20"/>
            <w:vertAlign w:val="superscript"/>
          </w:rPr>
          <w:t>20</w:t>
        </w:r>
      </w:hyperlink>
      <w:r w:rsidR="00963C85" w:rsidRPr="004E4C0E">
        <w:rPr>
          <w:noProof/>
          <w:sz w:val="20"/>
          <w:vertAlign w:val="superscript"/>
        </w:rPr>
        <w:t>,</w:t>
      </w:r>
      <w:hyperlink w:anchor="_ENREF_24" w:tooltip="Islam, 2014 #44" w:history="1">
        <w:r w:rsidR="00963C85" w:rsidRPr="004E4C0E">
          <w:rPr>
            <w:noProof/>
            <w:sz w:val="20"/>
            <w:vertAlign w:val="superscript"/>
          </w:rPr>
          <w:t>24</w:t>
        </w:r>
      </w:hyperlink>
      <w:r w:rsidR="00963C85" w:rsidRPr="004E4C0E">
        <w:rPr>
          <w:noProof/>
          <w:sz w:val="20"/>
          <w:vertAlign w:val="superscript"/>
        </w:rPr>
        <w:t>,</w:t>
      </w:r>
      <w:hyperlink w:anchor="_ENREF_25" w:tooltip="Leow, 2012 #41" w:history="1">
        <w:r w:rsidR="00963C85" w:rsidRPr="004E4C0E">
          <w:rPr>
            <w:noProof/>
            <w:sz w:val="20"/>
            <w:vertAlign w:val="superscript"/>
          </w:rPr>
          <w:t>25</w:t>
        </w:r>
      </w:hyperlink>
      <w:r w:rsidR="00963C85" w:rsidRPr="004E4C0E">
        <w:rPr>
          <w:noProof/>
          <w:sz w:val="20"/>
          <w:vertAlign w:val="superscript"/>
        </w:rPr>
        <w:t>]</w:t>
      </w:r>
      <w:r w:rsidRPr="004E4C0E">
        <w:rPr>
          <w:sz w:val="20"/>
        </w:rPr>
        <w:fldChar w:fldCharType="end"/>
      </w:r>
      <w:r w:rsidRPr="004E4C0E">
        <w:rPr>
          <w:sz w:val="20"/>
        </w:rPr>
        <w:t>, it is not necessary to show excessive fear of HIV. When medical staff, especially</w:t>
      </w:r>
      <w:r w:rsidR="007F1EC7" w:rsidRPr="004E4C0E">
        <w:rPr>
          <w:rFonts w:hint="eastAsia"/>
          <w:sz w:val="20"/>
        </w:rPr>
        <w:t xml:space="preserve"> which are</w:t>
      </w:r>
      <w:r w:rsidRPr="004E4C0E">
        <w:rPr>
          <w:sz w:val="20"/>
        </w:rPr>
        <w:t xml:space="preserve"> in the emergency room of general hospitals, meet the HIV-infected patient with a low CD4+ T cell count, they can refer to the infectious clinician for consultation, which can help the patient to recover during the perioperative period.</w:t>
      </w:r>
    </w:p>
    <w:p w:rsidR="0064358E" w:rsidRPr="004E4C0E" w:rsidRDefault="001B619B" w:rsidP="003E098D">
      <w:pPr>
        <w:widowControl/>
        <w:shd w:val="clear" w:color="auto" w:fill="FFFFFF"/>
        <w:spacing w:line="360" w:lineRule="auto"/>
        <w:rPr>
          <w:kern w:val="0"/>
          <w:sz w:val="20"/>
        </w:rPr>
      </w:pPr>
      <w:r w:rsidRPr="004E4C0E">
        <w:rPr>
          <w:kern w:val="0"/>
          <w:sz w:val="20"/>
        </w:rPr>
        <w:t>So far, there is not enough research on positive outcomes of post-surgical sepsis in immune dysfunction patients. A risk scoring system</w:t>
      </w:r>
      <w:r w:rsidRPr="004E4C0E">
        <w:rPr>
          <w:rFonts w:hint="eastAsia"/>
          <w:kern w:val="0"/>
          <w:sz w:val="20"/>
        </w:rPr>
        <w:t xml:space="preserve"> </w:t>
      </w:r>
      <w:r w:rsidRPr="004E4C0E">
        <w:rPr>
          <w:kern w:val="0"/>
          <w:sz w:val="20"/>
        </w:rPr>
        <w:t>for evaluating the conditions for positive surgical sepsis outcomes has not only scientific value but also extensive and profound social significance. The model proposed in this study would serve as a reference with great accuracy.</w:t>
      </w:r>
      <w:r w:rsidRPr="004E4C0E">
        <w:rPr>
          <w:rFonts w:hint="eastAsia"/>
          <w:kern w:val="0"/>
          <w:sz w:val="20"/>
        </w:rPr>
        <w:t xml:space="preserve"> </w:t>
      </w:r>
      <w:r w:rsidRPr="004E4C0E">
        <w:rPr>
          <w:kern w:val="0"/>
          <w:sz w:val="20"/>
        </w:rPr>
        <w:t>Future studies could include determination of more indicators that can be added to achieve even better accuracy.</w:t>
      </w:r>
    </w:p>
    <w:p w:rsidR="00816FF6" w:rsidRPr="004E4C0E" w:rsidRDefault="002870CA" w:rsidP="00A27852">
      <w:pPr>
        <w:widowControl/>
        <w:autoSpaceDE w:val="0"/>
        <w:autoSpaceDN w:val="0"/>
        <w:adjustRightInd w:val="0"/>
        <w:spacing w:line="360" w:lineRule="auto"/>
        <w:jc w:val="left"/>
        <w:rPr>
          <w:b/>
          <w:kern w:val="0"/>
          <w:sz w:val="20"/>
        </w:rPr>
      </w:pPr>
      <w:r w:rsidRPr="004E4C0E">
        <w:rPr>
          <w:b/>
          <w:sz w:val="20"/>
        </w:rPr>
        <w:t>ACKNOWLEDGEMENTS</w:t>
      </w:r>
      <w:r w:rsidR="001B619B" w:rsidRPr="004E4C0E">
        <w:rPr>
          <w:rFonts w:hint="eastAsia"/>
          <w:b/>
          <w:kern w:val="0"/>
          <w:sz w:val="20"/>
        </w:rPr>
        <w:t xml:space="preserve"> </w:t>
      </w:r>
    </w:p>
    <w:p w:rsidR="0064358E" w:rsidRPr="004E4C0E" w:rsidRDefault="001B619B" w:rsidP="00A27852">
      <w:pPr>
        <w:widowControl/>
        <w:autoSpaceDE w:val="0"/>
        <w:autoSpaceDN w:val="0"/>
        <w:adjustRightInd w:val="0"/>
        <w:spacing w:line="360" w:lineRule="auto"/>
        <w:jc w:val="left"/>
        <w:rPr>
          <w:rFonts w:eastAsia="Arial Unicode MS"/>
          <w:kern w:val="0"/>
          <w:sz w:val="20"/>
        </w:rPr>
      </w:pPr>
      <w:r w:rsidRPr="004E4C0E">
        <w:rPr>
          <w:rFonts w:eastAsia="Arial Unicode MS"/>
          <w:kern w:val="0"/>
          <w:sz w:val="20"/>
        </w:rPr>
        <w:t>This work was supported by the National “Eleventh Five” Infectious Disease Special Foundation</w:t>
      </w:r>
      <w:r w:rsidR="002870CA" w:rsidRPr="004E4C0E">
        <w:rPr>
          <w:rFonts w:eastAsia="Arial Unicode MS" w:hint="eastAsia"/>
          <w:kern w:val="0"/>
          <w:sz w:val="20"/>
        </w:rPr>
        <w:t xml:space="preserve"> </w:t>
      </w:r>
      <w:r w:rsidRPr="004E4C0E">
        <w:rPr>
          <w:rFonts w:eastAsia="Arial Unicode MS"/>
          <w:kern w:val="0"/>
          <w:sz w:val="20"/>
        </w:rPr>
        <w:t>(</w:t>
      </w:r>
      <w:r w:rsidRPr="004E4C0E">
        <w:rPr>
          <w:rFonts w:eastAsia="Arial Unicode MS"/>
          <w:color w:val="000000"/>
          <w:sz w:val="20"/>
        </w:rPr>
        <w:t>2008ZX10001-008)</w:t>
      </w:r>
      <w:r w:rsidRPr="004E4C0E">
        <w:rPr>
          <w:rFonts w:eastAsia="Arial Unicode MS"/>
          <w:kern w:val="0"/>
          <w:sz w:val="20"/>
        </w:rPr>
        <w:t>.</w:t>
      </w:r>
    </w:p>
    <w:p w:rsidR="002870CA" w:rsidRPr="004E4C0E" w:rsidRDefault="002870CA" w:rsidP="00A27852">
      <w:pPr>
        <w:pStyle w:val="1"/>
        <w:spacing w:line="360" w:lineRule="auto"/>
        <w:ind w:rightChars="-200" w:right="-420" w:firstLineChars="0" w:firstLine="0"/>
        <w:rPr>
          <w:rFonts w:ascii="Times New Roman" w:hAnsi="Times New Roman" w:cs="Times New Roman"/>
          <w:b/>
          <w:sz w:val="20"/>
          <w:szCs w:val="20"/>
        </w:rPr>
      </w:pPr>
      <w:r w:rsidRPr="004E4C0E">
        <w:rPr>
          <w:rFonts w:ascii="Times New Roman" w:hAnsi="Times New Roman" w:cs="Times New Roman"/>
          <w:b/>
          <w:sz w:val="20"/>
          <w:szCs w:val="20"/>
        </w:rPr>
        <w:t>CONFLICT OF INTEREST</w:t>
      </w:r>
    </w:p>
    <w:p w:rsidR="0064358E" w:rsidRPr="004E4C0E" w:rsidRDefault="001B619B" w:rsidP="00A27852">
      <w:pPr>
        <w:widowControl/>
        <w:autoSpaceDE w:val="0"/>
        <w:autoSpaceDN w:val="0"/>
        <w:adjustRightInd w:val="0"/>
        <w:spacing w:line="360" w:lineRule="auto"/>
        <w:jc w:val="left"/>
        <w:rPr>
          <w:kern w:val="0"/>
          <w:sz w:val="20"/>
        </w:rPr>
      </w:pPr>
      <w:r w:rsidRPr="004E4C0E">
        <w:rPr>
          <w:kern w:val="0"/>
          <w:sz w:val="20"/>
        </w:rPr>
        <w:t>Con</w:t>
      </w:r>
      <w:r w:rsidRPr="004E4C0E">
        <w:rPr>
          <w:rFonts w:eastAsia="AdvOT1ef757c0+fb"/>
          <w:kern w:val="0"/>
          <w:sz w:val="20"/>
        </w:rPr>
        <w:t>fl</w:t>
      </w:r>
      <w:r w:rsidRPr="004E4C0E">
        <w:rPr>
          <w:kern w:val="0"/>
          <w:sz w:val="20"/>
        </w:rPr>
        <w:t>icts that the editors consider relevant to the content of the manuscript have been disclosed.</w:t>
      </w:r>
    </w:p>
    <w:p w:rsidR="0064358E" w:rsidRPr="004E4C0E" w:rsidRDefault="0064358E" w:rsidP="00A27852">
      <w:pPr>
        <w:spacing w:line="360" w:lineRule="auto"/>
        <w:jc w:val="left"/>
        <w:rPr>
          <w:sz w:val="20"/>
        </w:rPr>
      </w:pPr>
    </w:p>
    <w:p w:rsidR="0064358E" w:rsidRPr="004E4C0E" w:rsidRDefault="002870CA" w:rsidP="00A27852">
      <w:pPr>
        <w:spacing w:line="360" w:lineRule="auto"/>
        <w:jc w:val="left"/>
        <w:rPr>
          <w:rFonts w:ascii="Arial" w:hAnsi="Arial" w:cs="Arial"/>
          <w:kern w:val="0"/>
          <w:sz w:val="20"/>
          <w:lang w:bidi="th-TH"/>
        </w:rPr>
      </w:pPr>
      <w:r w:rsidRPr="004E4C0E">
        <w:rPr>
          <w:b/>
          <w:bCs/>
          <w:sz w:val="20"/>
        </w:rPr>
        <w:t>REFERENCES</w:t>
      </w:r>
    </w:p>
    <w:p w:rsidR="00963C85" w:rsidRPr="004E4C0E" w:rsidRDefault="001B619B" w:rsidP="00A27852">
      <w:pPr>
        <w:pStyle w:val="EndNoteBibliography"/>
        <w:spacing w:line="360" w:lineRule="auto"/>
        <w:ind w:left="720" w:hanging="720"/>
        <w:rPr>
          <w:noProof/>
        </w:rPr>
      </w:pPr>
      <w:r w:rsidRPr="004E4C0E">
        <w:rPr>
          <w:rStyle w:val="referencetext1"/>
          <w:rFonts w:ascii="Arial" w:hAnsi="Arial" w:cs="Arial"/>
          <w:kern w:val="0"/>
          <w:lang w:bidi="th-TH"/>
        </w:rPr>
        <w:fldChar w:fldCharType="begin"/>
      </w:r>
      <w:r w:rsidRPr="004E4C0E">
        <w:rPr>
          <w:rStyle w:val="referencetext1"/>
          <w:rFonts w:ascii="Arial" w:hAnsi="Arial" w:cs="Arial"/>
          <w:kern w:val="0"/>
          <w:lang w:bidi="th-TH"/>
        </w:rPr>
        <w:instrText xml:space="preserve"> ADDIN EN.REFLIST </w:instrText>
      </w:r>
      <w:r w:rsidRPr="004E4C0E">
        <w:rPr>
          <w:rStyle w:val="referencetext1"/>
          <w:rFonts w:ascii="Arial" w:hAnsi="Arial" w:cs="Arial"/>
          <w:kern w:val="0"/>
          <w:lang w:bidi="th-TH"/>
        </w:rPr>
        <w:fldChar w:fldCharType="separate"/>
      </w:r>
      <w:bookmarkStart w:id="16" w:name="_ENREF_1"/>
      <w:r w:rsidR="00963C85" w:rsidRPr="004E4C0E">
        <w:rPr>
          <w:noProof/>
        </w:rPr>
        <w:t>1.</w:t>
      </w:r>
      <w:r w:rsidR="00963C85" w:rsidRPr="004E4C0E">
        <w:rPr>
          <w:noProof/>
        </w:rPr>
        <w:tab/>
        <w:t xml:space="preserve">Semprini, A. E., Castagna, C., Ravizza, M., Fiore, S., Savasi, V., Muggiasca, M. L., Grossi, E., </w:t>
      </w:r>
      <w:r w:rsidR="00963C85" w:rsidRPr="004E4C0E">
        <w:rPr>
          <w:noProof/>
        </w:rPr>
        <w:lastRenderedPageBreak/>
        <w:t xml:space="preserve">Guerra, B., Tibaldi, C., and Scaravelli, G. (1995) The incidence of complications after caesarean section in 156 HIV-positive women. </w:t>
      </w:r>
      <w:r w:rsidR="00963C85" w:rsidRPr="004E4C0E">
        <w:rPr>
          <w:i/>
          <w:noProof/>
        </w:rPr>
        <w:t>Aids</w:t>
      </w:r>
      <w:r w:rsidR="00963C85" w:rsidRPr="004E4C0E">
        <w:rPr>
          <w:noProof/>
        </w:rPr>
        <w:t xml:space="preserve"> </w:t>
      </w:r>
      <w:r w:rsidR="00963C85" w:rsidRPr="004E4C0E">
        <w:rPr>
          <w:b/>
          <w:noProof/>
        </w:rPr>
        <w:t>9</w:t>
      </w:r>
      <w:r w:rsidR="00963C85" w:rsidRPr="004E4C0E">
        <w:rPr>
          <w:noProof/>
        </w:rPr>
        <w:t>, 913-918</w:t>
      </w:r>
      <w:bookmarkEnd w:id="16"/>
    </w:p>
    <w:p w:rsidR="00963C85" w:rsidRPr="004E4C0E" w:rsidRDefault="00963C85" w:rsidP="00A27852">
      <w:pPr>
        <w:pStyle w:val="EndNoteBibliography"/>
        <w:spacing w:line="360" w:lineRule="auto"/>
        <w:ind w:left="720" w:hanging="720"/>
        <w:rPr>
          <w:noProof/>
        </w:rPr>
      </w:pPr>
      <w:bookmarkStart w:id="17" w:name="_ENREF_2"/>
      <w:r w:rsidRPr="004E4C0E">
        <w:rPr>
          <w:noProof/>
        </w:rPr>
        <w:t>2.</w:t>
      </w:r>
      <w:r w:rsidRPr="004E4C0E">
        <w:rPr>
          <w:noProof/>
        </w:rPr>
        <w:tab/>
        <w:t xml:space="preserve">Liu, B.-c., Zhang, L., Su, J.-s., Tsun, A., and Li, B. (2014) Treatment of postoperative infectious complications in patients with human immunodeficiency virus infection. </w:t>
      </w:r>
      <w:r w:rsidRPr="004E4C0E">
        <w:rPr>
          <w:i/>
          <w:noProof/>
        </w:rPr>
        <w:t>World journal of emergency medicine</w:t>
      </w:r>
      <w:r w:rsidRPr="004E4C0E">
        <w:rPr>
          <w:noProof/>
        </w:rPr>
        <w:t xml:space="preserve"> </w:t>
      </w:r>
      <w:r w:rsidRPr="004E4C0E">
        <w:rPr>
          <w:b/>
          <w:noProof/>
        </w:rPr>
        <w:t>5</w:t>
      </w:r>
      <w:r w:rsidRPr="004E4C0E">
        <w:rPr>
          <w:noProof/>
        </w:rPr>
        <w:t>, 103</w:t>
      </w:r>
      <w:bookmarkEnd w:id="17"/>
    </w:p>
    <w:p w:rsidR="00963C85" w:rsidRPr="004E4C0E" w:rsidRDefault="00963C85" w:rsidP="00A27852">
      <w:pPr>
        <w:pStyle w:val="EndNoteBibliography"/>
        <w:spacing w:line="360" w:lineRule="auto"/>
        <w:ind w:left="720" w:hanging="720"/>
        <w:rPr>
          <w:noProof/>
        </w:rPr>
      </w:pPr>
      <w:bookmarkStart w:id="18" w:name="_ENREF_3"/>
      <w:r w:rsidRPr="004E4C0E">
        <w:rPr>
          <w:noProof/>
        </w:rPr>
        <w:t>3.</w:t>
      </w:r>
      <w:r w:rsidRPr="004E4C0E">
        <w:rPr>
          <w:noProof/>
        </w:rPr>
        <w:tab/>
        <w:t xml:space="preserve">Donzé, J. D., Ridker, P. M., Finlayson, S. R., and Bates, D. W. (2014) Impact of sepsis on risk of postoperative arterial and venous thromboses: large prospective cohort study. </w:t>
      </w:r>
      <w:r w:rsidRPr="004E4C0E">
        <w:rPr>
          <w:i/>
          <w:noProof/>
        </w:rPr>
        <w:t>BMJ</w:t>
      </w:r>
      <w:r w:rsidRPr="004E4C0E">
        <w:rPr>
          <w:noProof/>
        </w:rPr>
        <w:t xml:space="preserve"> </w:t>
      </w:r>
      <w:r w:rsidRPr="004E4C0E">
        <w:rPr>
          <w:b/>
          <w:noProof/>
        </w:rPr>
        <w:t>349</w:t>
      </w:r>
      <w:r w:rsidRPr="004E4C0E">
        <w:rPr>
          <w:noProof/>
        </w:rPr>
        <w:t>, g5334</w:t>
      </w:r>
      <w:bookmarkEnd w:id="18"/>
    </w:p>
    <w:p w:rsidR="00963C85" w:rsidRPr="004E4C0E" w:rsidRDefault="00963C85" w:rsidP="00A27852">
      <w:pPr>
        <w:pStyle w:val="EndNoteBibliography"/>
        <w:spacing w:line="360" w:lineRule="auto"/>
        <w:ind w:left="720" w:hanging="720"/>
        <w:rPr>
          <w:noProof/>
        </w:rPr>
      </w:pPr>
      <w:bookmarkStart w:id="19" w:name="_ENREF_4"/>
      <w:r w:rsidRPr="004E4C0E">
        <w:rPr>
          <w:noProof/>
        </w:rPr>
        <w:t>4.</w:t>
      </w:r>
      <w:r w:rsidRPr="004E4C0E">
        <w:rPr>
          <w:noProof/>
        </w:rPr>
        <w:tab/>
        <w:t xml:space="preserve">Lafaurie, M., Dolivo, M., Porcher, R., Rudant, J., Madelaine, I., and Molina, J.-M. (2005) Treatment of facial lipoatrophy with intradermal injections of polylactic acid in HIV-infected patients. </w:t>
      </w:r>
      <w:r w:rsidRPr="004E4C0E">
        <w:rPr>
          <w:i/>
          <w:noProof/>
        </w:rPr>
        <w:t>JAIDS Journal of Acquired Immune Deficiency Syndromes</w:t>
      </w:r>
      <w:r w:rsidRPr="004E4C0E">
        <w:rPr>
          <w:noProof/>
        </w:rPr>
        <w:t xml:space="preserve"> </w:t>
      </w:r>
      <w:r w:rsidRPr="004E4C0E">
        <w:rPr>
          <w:b/>
          <w:noProof/>
        </w:rPr>
        <w:t>38</w:t>
      </w:r>
      <w:r w:rsidRPr="004E4C0E">
        <w:rPr>
          <w:noProof/>
        </w:rPr>
        <w:t>, 393-398</w:t>
      </w:r>
      <w:bookmarkEnd w:id="19"/>
    </w:p>
    <w:p w:rsidR="00963C85" w:rsidRPr="004E4C0E" w:rsidRDefault="00963C85" w:rsidP="00A27852">
      <w:pPr>
        <w:pStyle w:val="EndNoteBibliography"/>
        <w:spacing w:line="360" w:lineRule="auto"/>
        <w:ind w:left="720" w:hanging="720"/>
        <w:rPr>
          <w:noProof/>
        </w:rPr>
      </w:pPr>
      <w:bookmarkStart w:id="20" w:name="_ENREF_5"/>
      <w:r w:rsidRPr="004E4C0E">
        <w:rPr>
          <w:noProof/>
        </w:rPr>
        <w:t>5.</w:t>
      </w:r>
      <w:r w:rsidRPr="004E4C0E">
        <w:rPr>
          <w:noProof/>
        </w:rPr>
        <w:tab/>
        <w:t xml:space="preserve">Weiss, E. G., and Wexner, S. D. (1995) Surgery for anal lesions in HIV-infected patients. </w:t>
      </w:r>
      <w:r w:rsidRPr="004E4C0E">
        <w:rPr>
          <w:i/>
          <w:noProof/>
        </w:rPr>
        <w:t>Annals of medicine</w:t>
      </w:r>
      <w:r w:rsidRPr="004E4C0E">
        <w:rPr>
          <w:noProof/>
        </w:rPr>
        <w:t xml:space="preserve"> </w:t>
      </w:r>
      <w:r w:rsidRPr="004E4C0E">
        <w:rPr>
          <w:b/>
          <w:noProof/>
        </w:rPr>
        <w:t>27</w:t>
      </w:r>
      <w:r w:rsidRPr="004E4C0E">
        <w:rPr>
          <w:noProof/>
        </w:rPr>
        <w:t>, 467-475</w:t>
      </w:r>
      <w:bookmarkEnd w:id="20"/>
    </w:p>
    <w:p w:rsidR="00963C85" w:rsidRPr="004E4C0E" w:rsidRDefault="00963C85" w:rsidP="00A27852">
      <w:pPr>
        <w:pStyle w:val="EndNoteBibliography"/>
        <w:spacing w:line="360" w:lineRule="auto"/>
        <w:ind w:left="720" w:hanging="720"/>
        <w:rPr>
          <w:noProof/>
        </w:rPr>
      </w:pPr>
      <w:bookmarkStart w:id="21" w:name="_ENREF_6"/>
      <w:r w:rsidRPr="004E4C0E">
        <w:rPr>
          <w:noProof/>
        </w:rPr>
        <w:t>6.</w:t>
      </w:r>
      <w:r w:rsidRPr="004E4C0E">
        <w:rPr>
          <w:noProof/>
        </w:rPr>
        <w:tab/>
        <w:t xml:space="preserve">Stock, P. G., Barin, B., Murphy, B., Hanto, D., Diego, J. M., Light, J., Davis, C., Blumberg, E., Simon, D., and Subramanian, A. (2010) Outcomes of kidney transplantation in HIV-infected recipients. </w:t>
      </w:r>
      <w:r w:rsidRPr="004E4C0E">
        <w:rPr>
          <w:i/>
          <w:noProof/>
        </w:rPr>
        <w:t>New England Journal of Medicine</w:t>
      </w:r>
      <w:r w:rsidRPr="004E4C0E">
        <w:rPr>
          <w:noProof/>
        </w:rPr>
        <w:t xml:space="preserve"> </w:t>
      </w:r>
      <w:r w:rsidRPr="004E4C0E">
        <w:rPr>
          <w:b/>
          <w:noProof/>
        </w:rPr>
        <w:t>363</w:t>
      </w:r>
      <w:r w:rsidRPr="004E4C0E">
        <w:rPr>
          <w:noProof/>
        </w:rPr>
        <w:t>, 2004-2014</w:t>
      </w:r>
      <w:bookmarkEnd w:id="21"/>
    </w:p>
    <w:p w:rsidR="00963C85" w:rsidRPr="004E4C0E" w:rsidRDefault="00963C85" w:rsidP="00A27852">
      <w:pPr>
        <w:pStyle w:val="EndNoteBibliography"/>
        <w:spacing w:line="360" w:lineRule="auto"/>
        <w:ind w:left="720" w:hanging="720"/>
        <w:rPr>
          <w:noProof/>
        </w:rPr>
      </w:pPr>
      <w:bookmarkStart w:id="22" w:name="_ENREF_7"/>
      <w:r w:rsidRPr="004E4C0E">
        <w:rPr>
          <w:noProof/>
        </w:rPr>
        <w:t>7.</w:t>
      </w:r>
      <w:r w:rsidRPr="004E4C0E">
        <w:rPr>
          <w:noProof/>
        </w:rPr>
        <w:tab/>
        <w:t xml:space="preserve">Dellinger, R. P., Levy, M. M., Rhodes, A., Annane, D., Gerlach, H., Opal, S. M., Sevransky, J. E., Sprung, C. L., Douglas, I. S., and Jaeschke, R. (2013) Surviving Sepsis Campaign: international guidelines for management of severe sepsis and septic shock, 2012. </w:t>
      </w:r>
      <w:r w:rsidRPr="004E4C0E">
        <w:rPr>
          <w:i/>
          <w:noProof/>
        </w:rPr>
        <w:t>Intensive care medicine</w:t>
      </w:r>
      <w:r w:rsidRPr="004E4C0E">
        <w:rPr>
          <w:noProof/>
        </w:rPr>
        <w:t xml:space="preserve"> </w:t>
      </w:r>
      <w:r w:rsidRPr="004E4C0E">
        <w:rPr>
          <w:b/>
          <w:noProof/>
        </w:rPr>
        <w:t>39</w:t>
      </w:r>
      <w:r w:rsidRPr="004E4C0E">
        <w:rPr>
          <w:noProof/>
        </w:rPr>
        <w:t>, 165-228</w:t>
      </w:r>
      <w:bookmarkEnd w:id="22"/>
    </w:p>
    <w:p w:rsidR="00963C85" w:rsidRPr="004E4C0E" w:rsidRDefault="00963C85" w:rsidP="00A27852">
      <w:pPr>
        <w:pStyle w:val="EndNoteBibliography"/>
        <w:spacing w:line="360" w:lineRule="auto"/>
        <w:ind w:left="720" w:hanging="720"/>
        <w:rPr>
          <w:noProof/>
        </w:rPr>
      </w:pPr>
      <w:bookmarkStart w:id="23" w:name="_ENREF_8"/>
      <w:r w:rsidRPr="004E4C0E">
        <w:rPr>
          <w:noProof/>
        </w:rPr>
        <w:t>8.</w:t>
      </w:r>
      <w:r w:rsidRPr="004E4C0E">
        <w:rPr>
          <w:noProof/>
        </w:rPr>
        <w:tab/>
        <w:t xml:space="preserve">Dombrovskiy, V. Y., Martin, A. A., Sunderram, J., and Paz, H. L. (2007) Rapid increase in hospitalization and mortality rates for severe sepsis in the United States: A trend analysis from 1993 to 2003*. </w:t>
      </w:r>
      <w:r w:rsidRPr="004E4C0E">
        <w:rPr>
          <w:i/>
          <w:noProof/>
        </w:rPr>
        <w:t>Critical care medicine</w:t>
      </w:r>
      <w:r w:rsidRPr="004E4C0E">
        <w:rPr>
          <w:noProof/>
        </w:rPr>
        <w:t xml:space="preserve"> </w:t>
      </w:r>
      <w:r w:rsidRPr="004E4C0E">
        <w:rPr>
          <w:b/>
          <w:noProof/>
        </w:rPr>
        <w:t>35</w:t>
      </w:r>
      <w:r w:rsidRPr="004E4C0E">
        <w:rPr>
          <w:noProof/>
        </w:rPr>
        <w:t>, 1244-1250</w:t>
      </w:r>
      <w:bookmarkEnd w:id="23"/>
    </w:p>
    <w:p w:rsidR="00963C85" w:rsidRPr="004E4C0E" w:rsidRDefault="00963C85" w:rsidP="00A27852">
      <w:pPr>
        <w:pStyle w:val="EndNoteBibliography"/>
        <w:spacing w:line="360" w:lineRule="auto"/>
        <w:ind w:left="720" w:hanging="720"/>
        <w:rPr>
          <w:noProof/>
        </w:rPr>
      </w:pPr>
      <w:bookmarkStart w:id="24" w:name="_ENREF_9"/>
      <w:r w:rsidRPr="004E4C0E">
        <w:rPr>
          <w:noProof/>
        </w:rPr>
        <w:t>9.</w:t>
      </w:r>
      <w:r w:rsidRPr="004E4C0E">
        <w:rPr>
          <w:noProof/>
        </w:rPr>
        <w:tab/>
        <w:t xml:space="preserve">Angus, D. C., Linde-Zwirble, W. T., Lidicker, J., Clermont, G., Carcillo, J., and Pinsky, M. R. (2001) Epidemiology of severe sepsis in the United States: analysis of incidence, outcome, and associated costs of care. </w:t>
      </w:r>
      <w:r w:rsidRPr="004E4C0E">
        <w:rPr>
          <w:i/>
          <w:noProof/>
        </w:rPr>
        <w:t>Critical care medicine</w:t>
      </w:r>
      <w:r w:rsidRPr="004E4C0E">
        <w:rPr>
          <w:noProof/>
        </w:rPr>
        <w:t xml:space="preserve"> </w:t>
      </w:r>
      <w:r w:rsidRPr="004E4C0E">
        <w:rPr>
          <w:b/>
          <w:noProof/>
        </w:rPr>
        <w:t>29</w:t>
      </w:r>
      <w:r w:rsidRPr="004E4C0E">
        <w:rPr>
          <w:noProof/>
        </w:rPr>
        <w:t>, 1303-1310</w:t>
      </w:r>
      <w:bookmarkEnd w:id="24"/>
    </w:p>
    <w:p w:rsidR="00963C85" w:rsidRPr="004E4C0E" w:rsidRDefault="00963C85" w:rsidP="00A27852">
      <w:pPr>
        <w:pStyle w:val="EndNoteBibliography"/>
        <w:spacing w:line="360" w:lineRule="auto"/>
        <w:ind w:left="720" w:hanging="720"/>
        <w:rPr>
          <w:noProof/>
        </w:rPr>
      </w:pPr>
      <w:bookmarkStart w:id="25" w:name="_ENREF_10"/>
      <w:r w:rsidRPr="004E4C0E">
        <w:rPr>
          <w:noProof/>
        </w:rPr>
        <w:t>10.</w:t>
      </w:r>
      <w:r w:rsidRPr="004E4C0E">
        <w:rPr>
          <w:noProof/>
        </w:rPr>
        <w:tab/>
        <w:t xml:space="preserve">Medrano, J., Álvaro-Meca, A., Boyer, A., Jiménez-Sousa, M. A., and Resino, S. (2014) Mortality of patients infected with HIV in the intensive care unit (2005 through 2010): significant role of chronic hepatitis C and severe sepsis. </w:t>
      </w:r>
      <w:r w:rsidRPr="004E4C0E">
        <w:rPr>
          <w:i/>
          <w:noProof/>
        </w:rPr>
        <w:t>Critical Care</w:t>
      </w:r>
      <w:r w:rsidRPr="004E4C0E">
        <w:rPr>
          <w:noProof/>
        </w:rPr>
        <w:t xml:space="preserve"> </w:t>
      </w:r>
      <w:r w:rsidRPr="004E4C0E">
        <w:rPr>
          <w:b/>
          <w:noProof/>
        </w:rPr>
        <w:t>18</w:t>
      </w:r>
      <w:r w:rsidRPr="004E4C0E">
        <w:rPr>
          <w:noProof/>
        </w:rPr>
        <w:t>, 475</w:t>
      </w:r>
      <w:bookmarkEnd w:id="25"/>
    </w:p>
    <w:p w:rsidR="00963C85" w:rsidRPr="004E4C0E" w:rsidRDefault="00963C85" w:rsidP="00A27852">
      <w:pPr>
        <w:pStyle w:val="EndNoteBibliography"/>
        <w:spacing w:line="360" w:lineRule="auto"/>
        <w:ind w:left="720" w:hanging="720"/>
        <w:rPr>
          <w:noProof/>
        </w:rPr>
      </w:pPr>
      <w:bookmarkStart w:id="26" w:name="_ENREF_11"/>
      <w:r w:rsidRPr="004E4C0E">
        <w:rPr>
          <w:noProof/>
        </w:rPr>
        <w:t>11.</w:t>
      </w:r>
      <w:r w:rsidRPr="004E4C0E">
        <w:rPr>
          <w:noProof/>
        </w:rPr>
        <w:tab/>
        <w:t xml:space="preserve">Japiassú, A. M., Amâncio, R. T., Mesquita, E. C., Medeiros, D. M., Bernal, H. B., Nunes, E. P., </w:t>
      </w:r>
      <w:r w:rsidRPr="004E4C0E">
        <w:rPr>
          <w:noProof/>
        </w:rPr>
        <w:lastRenderedPageBreak/>
        <w:t xml:space="preserve">Luz, P. M., Grinsztejn, B., and Bozza, F. A. (2010) Sepsis is a major determinant of outcome in critically ill HIV/AIDS patients. </w:t>
      </w:r>
      <w:r w:rsidRPr="004E4C0E">
        <w:rPr>
          <w:i/>
          <w:noProof/>
        </w:rPr>
        <w:t>Crit Care</w:t>
      </w:r>
      <w:r w:rsidRPr="004E4C0E">
        <w:rPr>
          <w:noProof/>
        </w:rPr>
        <w:t xml:space="preserve"> </w:t>
      </w:r>
      <w:r w:rsidRPr="004E4C0E">
        <w:rPr>
          <w:b/>
          <w:noProof/>
        </w:rPr>
        <w:t>14</w:t>
      </w:r>
      <w:r w:rsidRPr="004E4C0E">
        <w:rPr>
          <w:noProof/>
        </w:rPr>
        <w:t>, R152</w:t>
      </w:r>
      <w:bookmarkEnd w:id="26"/>
    </w:p>
    <w:p w:rsidR="00963C85" w:rsidRPr="004E4C0E" w:rsidRDefault="00963C85" w:rsidP="00A27852">
      <w:pPr>
        <w:pStyle w:val="EndNoteBibliography"/>
        <w:spacing w:line="360" w:lineRule="auto"/>
        <w:ind w:left="720" w:hanging="720"/>
        <w:rPr>
          <w:noProof/>
        </w:rPr>
      </w:pPr>
      <w:bookmarkStart w:id="27" w:name="_ENREF_12"/>
      <w:r w:rsidRPr="004E4C0E">
        <w:rPr>
          <w:noProof/>
        </w:rPr>
        <w:t>12.</w:t>
      </w:r>
      <w:r w:rsidRPr="004E4C0E">
        <w:rPr>
          <w:noProof/>
        </w:rPr>
        <w:tab/>
        <w:t xml:space="preserve">Jacob, S. T., Moore, C. C., Banura, P., Pinkerton, R., Meya, D., Opendi, P., Reynolds, S. J., Kenya-Mugisha, N., Mayanja-Kizza, H., and Scheld, W. M. (2009) Severe sepsis in two Ugandan hospitals: a prospective observational study of management and outcomes in a predominantly HIV-1 infected population. </w:t>
      </w:r>
      <w:r w:rsidRPr="004E4C0E">
        <w:rPr>
          <w:i/>
          <w:noProof/>
        </w:rPr>
        <w:t>PLoS One</w:t>
      </w:r>
      <w:r w:rsidRPr="004E4C0E">
        <w:rPr>
          <w:noProof/>
        </w:rPr>
        <w:t xml:space="preserve"> </w:t>
      </w:r>
      <w:r w:rsidRPr="004E4C0E">
        <w:rPr>
          <w:b/>
          <w:noProof/>
        </w:rPr>
        <w:t>4</w:t>
      </w:r>
      <w:r w:rsidRPr="004E4C0E">
        <w:rPr>
          <w:noProof/>
        </w:rPr>
        <w:t>, e7782</w:t>
      </w:r>
      <w:bookmarkEnd w:id="27"/>
    </w:p>
    <w:p w:rsidR="00963C85" w:rsidRPr="004E4C0E" w:rsidRDefault="00963C85" w:rsidP="00A27852">
      <w:pPr>
        <w:pStyle w:val="EndNoteBibliography"/>
        <w:spacing w:line="360" w:lineRule="auto"/>
        <w:ind w:left="720" w:hanging="720"/>
        <w:rPr>
          <w:noProof/>
        </w:rPr>
      </w:pPr>
      <w:bookmarkStart w:id="28" w:name="_ENREF_13"/>
      <w:r w:rsidRPr="004E4C0E">
        <w:rPr>
          <w:noProof/>
        </w:rPr>
        <w:t>13.</w:t>
      </w:r>
      <w:r w:rsidRPr="004E4C0E">
        <w:rPr>
          <w:noProof/>
        </w:rPr>
        <w:tab/>
        <w:t xml:space="preserve">Levy, M. M., Fink, M. P., Marshall, J. C., Abraham, E., Angus, D., Cook, D., Cohen, J., Opal, S. M., Vincent, J.-L., and Ramsay, G. (2003) 2001 sccm/esicm/accp/ats/sis international sepsis definitions conference. </w:t>
      </w:r>
      <w:r w:rsidRPr="004E4C0E">
        <w:rPr>
          <w:i/>
          <w:noProof/>
        </w:rPr>
        <w:t>Intensive care medicine</w:t>
      </w:r>
      <w:r w:rsidRPr="004E4C0E">
        <w:rPr>
          <w:noProof/>
        </w:rPr>
        <w:t xml:space="preserve"> </w:t>
      </w:r>
      <w:r w:rsidRPr="004E4C0E">
        <w:rPr>
          <w:b/>
          <w:noProof/>
        </w:rPr>
        <w:t>29</w:t>
      </w:r>
      <w:r w:rsidRPr="004E4C0E">
        <w:rPr>
          <w:noProof/>
        </w:rPr>
        <w:t>, 530-538</w:t>
      </w:r>
      <w:bookmarkEnd w:id="28"/>
    </w:p>
    <w:p w:rsidR="00963C85" w:rsidRPr="004E4C0E" w:rsidRDefault="00963C85" w:rsidP="00A27852">
      <w:pPr>
        <w:pStyle w:val="EndNoteBibliography"/>
        <w:spacing w:line="360" w:lineRule="auto"/>
        <w:ind w:left="720" w:hanging="720"/>
        <w:rPr>
          <w:noProof/>
        </w:rPr>
      </w:pPr>
      <w:bookmarkStart w:id="29" w:name="_ENREF_14"/>
      <w:r w:rsidRPr="004E4C0E">
        <w:rPr>
          <w:noProof/>
        </w:rPr>
        <w:t>14.</w:t>
      </w:r>
      <w:r w:rsidRPr="004E4C0E">
        <w:rPr>
          <w:noProof/>
        </w:rPr>
        <w:tab/>
        <w:t xml:space="preserve">Su, J., Tsun, A., Zhang, L., Xia, X., Li, B., Guo, R., and Liu, B. (2013) Preoperative risk factors influencing the incidence of postoperative sepsis in human immunodeficiency virus-infected patients: a retrospective cohort study. </w:t>
      </w:r>
      <w:r w:rsidRPr="004E4C0E">
        <w:rPr>
          <w:i/>
          <w:noProof/>
        </w:rPr>
        <w:t>World journal of surgery</w:t>
      </w:r>
      <w:r w:rsidRPr="004E4C0E">
        <w:rPr>
          <w:noProof/>
        </w:rPr>
        <w:t xml:space="preserve"> </w:t>
      </w:r>
      <w:r w:rsidRPr="004E4C0E">
        <w:rPr>
          <w:b/>
          <w:noProof/>
        </w:rPr>
        <w:t>37</w:t>
      </w:r>
      <w:r w:rsidRPr="004E4C0E">
        <w:rPr>
          <w:noProof/>
        </w:rPr>
        <w:t>, 774-779</w:t>
      </w:r>
      <w:bookmarkEnd w:id="29"/>
    </w:p>
    <w:p w:rsidR="00963C85" w:rsidRPr="004E4C0E" w:rsidRDefault="00963C85" w:rsidP="00A27852">
      <w:pPr>
        <w:pStyle w:val="EndNoteBibliography"/>
        <w:spacing w:line="360" w:lineRule="auto"/>
        <w:ind w:left="720" w:hanging="720"/>
        <w:rPr>
          <w:noProof/>
        </w:rPr>
      </w:pPr>
      <w:bookmarkStart w:id="30" w:name="_ENREF_15"/>
      <w:r w:rsidRPr="004E4C0E">
        <w:rPr>
          <w:noProof/>
        </w:rPr>
        <w:t>15.</w:t>
      </w:r>
      <w:r w:rsidRPr="004E4C0E">
        <w:rPr>
          <w:noProof/>
        </w:rPr>
        <w:tab/>
        <w:t xml:space="preserve">Deneve, J. L., Shantha, J. G., Page, A. J., Wyrzykowski, A. D., Rozycki, G. S., and Feliciano, D. V. (2010) CD4 count is predictive of outcome in HIV-positive patients undergoing abdominal operations. </w:t>
      </w:r>
      <w:r w:rsidRPr="004E4C0E">
        <w:rPr>
          <w:i/>
          <w:noProof/>
        </w:rPr>
        <w:t>The American Journal of Surgery</w:t>
      </w:r>
      <w:r w:rsidRPr="004E4C0E">
        <w:rPr>
          <w:noProof/>
        </w:rPr>
        <w:t xml:space="preserve"> </w:t>
      </w:r>
      <w:r w:rsidRPr="004E4C0E">
        <w:rPr>
          <w:b/>
          <w:noProof/>
        </w:rPr>
        <w:t>200</w:t>
      </w:r>
      <w:r w:rsidRPr="004E4C0E">
        <w:rPr>
          <w:noProof/>
        </w:rPr>
        <w:t>, 694-700</w:t>
      </w:r>
      <w:bookmarkEnd w:id="30"/>
    </w:p>
    <w:p w:rsidR="00963C85" w:rsidRPr="004E4C0E" w:rsidRDefault="00963C85" w:rsidP="00A27852">
      <w:pPr>
        <w:pStyle w:val="EndNoteBibliography"/>
        <w:spacing w:line="360" w:lineRule="auto"/>
        <w:ind w:left="720" w:hanging="720"/>
        <w:rPr>
          <w:noProof/>
        </w:rPr>
      </w:pPr>
      <w:bookmarkStart w:id="31" w:name="_ENREF_16"/>
      <w:r w:rsidRPr="004E4C0E">
        <w:rPr>
          <w:noProof/>
        </w:rPr>
        <w:t>16.</w:t>
      </w:r>
      <w:r w:rsidRPr="004E4C0E">
        <w:rPr>
          <w:noProof/>
        </w:rPr>
        <w:tab/>
        <w:t xml:space="preserve">King Jr, J. T., Perkal, M. F., Rosenthal, R. A., Gordon, A. J., Crystal, S., Rodriguez-Barradas, M. C., Butt, A. A., Gibert, C. L., Rimland, D., and Simberkoff, M. S. (2015) Thirty-Day Postoperative Mortality Among Individuals With HIV Infection Receiving Antiretroviral Therapy and Procedure-Matched, Uninfected Comparators. </w:t>
      </w:r>
      <w:r w:rsidRPr="004E4C0E">
        <w:rPr>
          <w:i/>
          <w:noProof/>
        </w:rPr>
        <w:t>JAMA surgery</w:t>
      </w:r>
      <w:r w:rsidRPr="004E4C0E">
        <w:rPr>
          <w:noProof/>
        </w:rPr>
        <w:t xml:space="preserve"> </w:t>
      </w:r>
      <w:bookmarkEnd w:id="31"/>
    </w:p>
    <w:p w:rsidR="00963C85" w:rsidRPr="004E4C0E" w:rsidRDefault="00963C85" w:rsidP="00A27852">
      <w:pPr>
        <w:pStyle w:val="EndNoteBibliography"/>
        <w:spacing w:line="360" w:lineRule="auto"/>
        <w:ind w:left="720" w:hanging="720"/>
        <w:rPr>
          <w:noProof/>
        </w:rPr>
      </w:pPr>
      <w:bookmarkStart w:id="32" w:name="_ENREF_17"/>
      <w:r w:rsidRPr="004E4C0E">
        <w:rPr>
          <w:noProof/>
        </w:rPr>
        <w:t>17.</w:t>
      </w:r>
      <w:r w:rsidRPr="004E4C0E">
        <w:rPr>
          <w:noProof/>
        </w:rPr>
        <w:tab/>
        <w:t xml:space="preserve">Čačala, S., Mafana, E., Thomson, S., and Smith, A. (2006) Prevalence of HIV status and CD4 counts in a surgical cohort: their relationship to clinical outcome. </w:t>
      </w:r>
      <w:r w:rsidRPr="004E4C0E">
        <w:rPr>
          <w:i/>
          <w:noProof/>
        </w:rPr>
        <w:t>Annals of the Royal College of Surgeons of England</w:t>
      </w:r>
      <w:r w:rsidRPr="004E4C0E">
        <w:rPr>
          <w:noProof/>
        </w:rPr>
        <w:t xml:space="preserve"> </w:t>
      </w:r>
      <w:r w:rsidRPr="004E4C0E">
        <w:rPr>
          <w:b/>
          <w:noProof/>
        </w:rPr>
        <w:t>88</w:t>
      </w:r>
      <w:r w:rsidRPr="004E4C0E">
        <w:rPr>
          <w:noProof/>
        </w:rPr>
        <w:t>, 46</w:t>
      </w:r>
      <w:bookmarkEnd w:id="32"/>
    </w:p>
    <w:p w:rsidR="00963C85" w:rsidRPr="004E4C0E" w:rsidRDefault="00963C85" w:rsidP="00A27852">
      <w:pPr>
        <w:pStyle w:val="EndNoteBibliography"/>
        <w:spacing w:line="360" w:lineRule="auto"/>
        <w:ind w:left="720" w:hanging="720"/>
        <w:rPr>
          <w:noProof/>
        </w:rPr>
      </w:pPr>
      <w:bookmarkStart w:id="33" w:name="_ENREF_18"/>
      <w:r w:rsidRPr="004E4C0E">
        <w:rPr>
          <w:noProof/>
        </w:rPr>
        <w:t>18.</w:t>
      </w:r>
      <w:r w:rsidRPr="004E4C0E">
        <w:rPr>
          <w:noProof/>
        </w:rPr>
        <w:tab/>
        <w:t xml:space="preserve">Kedir, M. (2008) Seroprevalence, pattern and outcome of HIV/AIDS among surgical patients at Gondar University Hospital. </w:t>
      </w:r>
      <w:r w:rsidRPr="004E4C0E">
        <w:rPr>
          <w:i/>
          <w:noProof/>
        </w:rPr>
        <w:t>Ethiopian medical journal</w:t>
      </w:r>
      <w:r w:rsidRPr="004E4C0E">
        <w:rPr>
          <w:noProof/>
        </w:rPr>
        <w:t xml:space="preserve"> </w:t>
      </w:r>
      <w:r w:rsidRPr="004E4C0E">
        <w:rPr>
          <w:b/>
          <w:noProof/>
        </w:rPr>
        <w:t>46</w:t>
      </w:r>
      <w:r w:rsidRPr="004E4C0E">
        <w:rPr>
          <w:noProof/>
        </w:rPr>
        <w:t>, 15-18</w:t>
      </w:r>
      <w:bookmarkEnd w:id="33"/>
    </w:p>
    <w:p w:rsidR="00963C85" w:rsidRPr="004E4C0E" w:rsidRDefault="00963C85" w:rsidP="00A27852">
      <w:pPr>
        <w:pStyle w:val="EndNoteBibliography"/>
        <w:spacing w:line="360" w:lineRule="auto"/>
        <w:ind w:left="720" w:hanging="720"/>
        <w:rPr>
          <w:noProof/>
        </w:rPr>
      </w:pPr>
      <w:bookmarkStart w:id="34" w:name="_ENREF_19"/>
      <w:r w:rsidRPr="004E4C0E">
        <w:rPr>
          <w:noProof/>
        </w:rPr>
        <w:t>19.</w:t>
      </w:r>
      <w:r w:rsidRPr="004E4C0E">
        <w:rPr>
          <w:noProof/>
        </w:rPr>
        <w:tab/>
        <w:t xml:space="preserve">Liu, B., Zhang, L., Guo, R., Su, J., Li, L., and Si, Y. (2012) Anti-infective treatment in HIV-infected patients during perioperative period. </w:t>
      </w:r>
      <w:r w:rsidRPr="004E4C0E">
        <w:rPr>
          <w:i/>
          <w:noProof/>
        </w:rPr>
        <w:t>AIDS Res Ther</w:t>
      </w:r>
      <w:r w:rsidRPr="004E4C0E">
        <w:rPr>
          <w:noProof/>
        </w:rPr>
        <w:t xml:space="preserve"> </w:t>
      </w:r>
      <w:r w:rsidRPr="004E4C0E">
        <w:rPr>
          <w:b/>
          <w:noProof/>
        </w:rPr>
        <w:t>9</w:t>
      </w:r>
      <w:r w:rsidRPr="004E4C0E">
        <w:rPr>
          <w:noProof/>
        </w:rPr>
        <w:t>, 36</w:t>
      </w:r>
      <w:bookmarkEnd w:id="34"/>
    </w:p>
    <w:p w:rsidR="00963C85" w:rsidRPr="004E4C0E" w:rsidRDefault="00963C85" w:rsidP="00A27852">
      <w:pPr>
        <w:pStyle w:val="EndNoteBibliography"/>
        <w:spacing w:line="360" w:lineRule="auto"/>
        <w:ind w:left="720" w:hanging="720"/>
        <w:rPr>
          <w:noProof/>
        </w:rPr>
      </w:pPr>
      <w:bookmarkStart w:id="35" w:name="_ENREF_20"/>
      <w:r w:rsidRPr="004E4C0E">
        <w:rPr>
          <w:noProof/>
        </w:rPr>
        <w:t>20.</w:t>
      </w:r>
      <w:r w:rsidRPr="004E4C0E">
        <w:rPr>
          <w:noProof/>
        </w:rPr>
        <w:tab/>
        <w:t xml:space="preserve">Zhang, L., Liu, B.-C., Zhang, X.-Y., Li, L., Xia, X.-J., and Guo, R.-Z. (2012) Prevention and treatment of surgical site infection in HIV-infected patients. </w:t>
      </w:r>
      <w:r w:rsidRPr="004E4C0E">
        <w:rPr>
          <w:i/>
          <w:noProof/>
        </w:rPr>
        <w:t>BMC infectious diseases</w:t>
      </w:r>
      <w:r w:rsidRPr="004E4C0E">
        <w:rPr>
          <w:noProof/>
        </w:rPr>
        <w:t xml:space="preserve"> </w:t>
      </w:r>
      <w:r w:rsidRPr="004E4C0E">
        <w:rPr>
          <w:b/>
          <w:noProof/>
        </w:rPr>
        <w:t>12</w:t>
      </w:r>
      <w:r w:rsidRPr="004E4C0E">
        <w:rPr>
          <w:noProof/>
        </w:rPr>
        <w:t>, 115</w:t>
      </w:r>
      <w:bookmarkEnd w:id="35"/>
    </w:p>
    <w:p w:rsidR="00963C85" w:rsidRPr="004E4C0E" w:rsidRDefault="00963C85" w:rsidP="00A27852">
      <w:pPr>
        <w:pStyle w:val="EndNoteBibliography"/>
        <w:spacing w:line="360" w:lineRule="auto"/>
        <w:ind w:left="720" w:hanging="720"/>
        <w:rPr>
          <w:noProof/>
        </w:rPr>
      </w:pPr>
      <w:bookmarkStart w:id="36" w:name="_ENREF_21"/>
      <w:r w:rsidRPr="004E4C0E">
        <w:rPr>
          <w:noProof/>
        </w:rPr>
        <w:t>21.</w:t>
      </w:r>
      <w:r w:rsidRPr="004E4C0E">
        <w:rPr>
          <w:noProof/>
        </w:rPr>
        <w:tab/>
        <w:t xml:space="preserve">Chirch, L. M., Hasham, M., and Kuchel, G. A. (2014) HIV and aging: a clinical journey from Koch's postulate to the chronic disease model and the contribution of geriatric syndromes. </w:t>
      </w:r>
      <w:r w:rsidRPr="004E4C0E">
        <w:rPr>
          <w:i/>
          <w:noProof/>
        </w:rPr>
        <w:lastRenderedPageBreak/>
        <w:t>Current Opinion in HIV and AIDS</w:t>
      </w:r>
      <w:r w:rsidRPr="004E4C0E">
        <w:rPr>
          <w:noProof/>
        </w:rPr>
        <w:t xml:space="preserve"> </w:t>
      </w:r>
      <w:r w:rsidRPr="004E4C0E">
        <w:rPr>
          <w:b/>
          <w:noProof/>
        </w:rPr>
        <w:t>9</w:t>
      </w:r>
      <w:r w:rsidRPr="004E4C0E">
        <w:rPr>
          <w:noProof/>
        </w:rPr>
        <w:t>, 405-411</w:t>
      </w:r>
      <w:bookmarkEnd w:id="36"/>
    </w:p>
    <w:p w:rsidR="00963C85" w:rsidRPr="004E4C0E" w:rsidRDefault="00963C85" w:rsidP="00A27852">
      <w:pPr>
        <w:pStyle w:val="EndNoteBibliography"/>
        <w:spacing w:line="360" w:lineRule="auto"/>
        <w:ind w:left="720" w:hanging="720"/>
        <w:rPr>
          <w:noProof/>
        </w:rPr>
      </w:pPr>
      <w:bookmarkStart w:id="37" w:name="_ENREF_22"/>
      <w:r w:rsidRPr="004E4C0E">
        <w:rPr>
          <w:noProof/>
        </w:rPr>
        <w:t>22.</w:t>
      </w:r>
      <w:r w:rsidRPr="004E4C0E">
        <w:rPr>
          <w:noProof/>
        </w:rPr>
        <w:tab/>
        <w:t xml:space="preserve">Baker, D., Pell, C., and Donovan, B. (2014) HIV as a chronic disease: optimising outcomes. </w:t>
      </w:r>
      <w:r w:rsidRPr="004E4C0E">
        <w:rPr>
          <w:i/>
          <w:noProof/>
        </w:rPr>
        <w:t>Medicine Today</w:t>
      </w:r>
      <w:r w:rsidRPr="004E4C0E">
        <w:rPr>
          <w:noProof/>
        </w:rPr>
        <w:t xml:space="preserve"> </w:t>
      </w:r>
      <w:r w:rsidRPr="004E4C0E">
        <w:rPr>
          <w:b/>
          <w:noProof/>
        </w:rPr>
        <w:t>15</w:t>
      </w:r>
      <w:r w:rsidRPr="004E4C0E">
        <w:rPr>
          <w:noProof/>
        </w:rPr>
        <w:t>, 16-26</w:t>
      </w:r>
      <w:bookmarkEnd w:id="37"/>
    </w:p>
    <w:p w:rsidR="00963C85" w:rsidRPr="004E4C0E" w:rsidRDefault="00963C85" w:rsidP="00A27852">
      <w:pPr>
        <w:pStyle w:val="EndNoteBibliography"/>
        <w:spacing w:line="360" w:lineRule="auto"/>
        <w:ind w:left="720" w:hanging="720"/>
        <w:rPr>
          <w:noProof/>
        </w:rPr>
      </w:pPr>
      <w:bookmarkStart w:id="38" w:name="_ENREF_23"/>
      <w:r w:rsidRPr="004E4C0E">
        <w:rPr>
          <w:noProof/>
        </w:rPr>
        <w:t>23.</w:t>
      </w:r>
      <w:r w:rsidRPr="004E4C0E">
        <w:rPr>
          <w:noProof/>
        </w:rPr>
        <w:tab/>
        <w:t xml:space="preserve">Cohen, M. S., Chen, Y. Q., McCauley, M., Gamble, T., Hosseinipour, M. C., Kumarasamy, N., Hakim, J. G., Kumwenda, J., Grinsztejn, B., and Pilotto, J. H. (2011) Prevention of HIV-1 infection with early antiretroviral therapy. </w:t>
      </w:r>
      <w:r w:rsidRPr="004E4C0E">
        <w:rPr>
          <w:i/>
          <w:noProof/>
        </w:rPr>
        <w:t>New England journal of medicine</w:t>
      </w:r>
      <w:r w:rsidRPr="004E4C0E">
        <w:rPr>
          <w:noProof/>
        </w:rPr>
        <w:t xml:space="preserve"> </w:t>
      </w:r>
      <w:r w:rsidRPr="004E4C0E">
        <w:rPr>
          <w:b/>
          <w:noProof/>
        </w:rPr>
        <w:t>365</w:t>
      </w:r>
      <w:r w:rsidRPr="004E4C0E">
        <w:rPr>
          <w:noProof/>
        </w:rPr>
        <w:t>, 493-505</w:t>
      </w:r>
      <w:bookmarkEnd w:id="38"/>
    </w:p>
    <w:p w:rsidR="00963C85" w:rsidRPr="004E4C0E" w:rsidRDefault="00963C85" w:rsidP="00A27852">
      <w:pPr>
        <w:pStyle w:val="EndNoteBibliography"/>
        <w:spacing w:line="360" w:lineRule="auto"/>
        <w:ind w:left="720" w:hanging="720"/>
        <w:rPr>
          <w:noProof/>
        </w:rPr>
      </w:pPr>
      <w:bookmarkStart w:id="39" w:name="_ENREF_24"/>
      <w:r w:rsidRPr="004E4C0E">
        <w:rPr>
          <w:noProof/>
        </w:rPr>
        <w:t>24.</w:t>
      </w:r>
      <w:r w:rsidRPr="004E4C0E">
        <w:rPr>
          <w:noProof/>
        </w:rPr>
        <w:tab/>
        <w:t xml:space="preserve">Islam, J., Clarke, D. L., and Thomson, S. R. (2014) Lessons from emergency laparotomy for abdominal tuberculosis in the HIV/AIDS era. </w:t>
      </w:r>
      <w:r w:rsidRPr="004E4C0E">
        <w:rPr>
          <w:i/>
          <w:noProof/>
        </w:rPr>
        <w:t>South African Journal of Surgery</w:t>
      </w:r>
      <w:r w:rsidRPr="004E4C0E">
        <w:rPr>
          <w:noProof/>
        </w:rPr>
        <w:t xml:space="preserve"> </w:t>
      </w:r>
      <w:r w:rsidRPr="004E4C0E">
        <w:rPr>
          <w:b/>
          <w:noProof/>
        </w:rPr>
        <w:t>52</w:t>
      </w:r>
      <w:r w:rsidRPr="004E4C0E">
        <w:rPr>
          <w:noProof/>
        </w:rPr>
        <w:t>, 10-12</w:t>
      </w:r>
      <w:bookmarkEnd w:id="39"/>
    </w:p>
    <w:p w:rsidR="00963C85" w:rsidRPr="004E4C0E" w:rsidRDefault="00963C85" w:rsidP="00A27852">
      <w:pPr>
        <w:pStyle w:val="EndNoteBibliography"/>
        <w:spacing w:line="360" w:lineRule="auto"/>
        <w:ind w:left="720" w:hanging="720"/>
        <w:rPr>
          <w:noProof/>
        </w:rPr>
      </w:pPr>
      <w:bookmarkStart w:id="40" w:name="_ENREF_25"/>
      <w:r w:rsidRPr="004E4C0E">
        <w:rPr>
          <w:noProof/>
        </w:rPr>
        <w:t>25.</w:t>
      </w:r>
      <w:r w:rsidRPr="004E4C0E">
        <w:rPr>
          <w:noProof/>
        </w:rPr>
        <w:tab/>
        <w:t xml:space="preserve">Leow, J. </w:t>
      </w:r>
      <w:r w:rsidRPr="004E4C0E">
        <w:rPr>
          <w:rFonts w:hint="eastAsia"/>
          <w:noProof/>
        </w:rPr>
        <w:t>J., Groen, R. S., Bae, J. Y., Adisa, C. A., Kingham, T. P., and Kushner, A. L. (2012) Scarcity of healthcare worker protection in eight low</w:t>
      </w:r>
      <w:r w:rsidRPr="004E4C0E">
        <w:rPr>
          <w:rFonts w:hint="eastAsia"/>
          <w:noProof/>
        </w:rPr>
        <w:t>‐</w:t>
      </w:r>
      <w:r w:rsidRPr="004E4C0E">
        <w:rPr>
          <w:rFonts w:hint="eastAsia"/>
          <w:noProof/>
        </w:rPr>
        <w:t>and middle</w:t>
      </w:r>
      <w:r w:rsidRPr="004E4C0E">
        <w:rPr>
          <w:rFonts w:hint="eastAsia"/>
          <w:noProof/>
        </w:rPr>
        <w:t>‐</w:t>
      </w:r>
      <w:r w:rsidRPr="004E4C0E">
        <w:rPr>
          <w:rFonts w:hint="eastAsia"/>
          <w:noProof/>
        </w:rPr>
        <w:t xml:space="preserve">income countries: surgery and the risk of HIV and other bloodborne pathogens. </w:t>
      </w:r>
      <w:r w:rsidRPr="004E4C0E">
        <w:rPr>
          <w:rFonts w:hint="eastAsia"/>
          <w:i/>
          <w:noProof/>
        </w:rPr>
        <w:t>Tropical Medicine &amp; Intern</w:t>
      </w:r>
      <w:r w:rsidRPr="004E4C0E">
        <w:rPr>
          <w:i/>
          <w:noProof/>
        </w:rPr>
        <w:t>ational Health</w:t>
      </w:r>
      <w:r w:rsidRPr="004E4C0E">
        <w:rPr>
          <w:noProof/>
        </w:rPr>
        <w:t xml:space="preserve"> </w:t>
      </w:r>
      <w:r w:rsidRPr="004E4C0E">
        <w:rPr>
          <w:b/>
          <w:noProof/>
        </w:rPr>
        <w:t>17</w:t>
      </w:r>
      <w:r w:rsidRPr="004E4C0E">
        <w:rPr>
          <w:noProof/>
        </w:rPr>
        <w:t>, 397-401</w:t>
      </w:r>
      <w:bookmarkEnd w:id="40"/>
    </w:p>
    <w:p w:rsidR="0064358E" w:rsidRPr="006E3117" w:rsidRDefault="001B619B" w:rsidP="00606628">
      <w:pPr>
        <w:spacing w:line="360" w:lineRule="auto"/>
        <w:ind w:left="400" w:hangingChars="200" w:hanging="400"/>
        <w:jc w:val="left"/>
        <w:rPr>
          <w:rStyle w:val="referencetext1"/>
          <w:kern w:val="0"/>
          <w:sz w:val="20"/>
          <w:lang w:bidi="th-TH"/>
        </w:rPr>
      </w:pPr>
      <w:r w:rsidRPr="004E4C0E">
        <w:rPr>
          <w:rStyle w:val="referencetext1"/>
          <w:rFonts w:ascii="Arial" w:hAnsi="Arial" w:cs="Arial"/>
          <w:kern w:val="0"/>
          <w:sz w:val="20"/>
          <w:lang w:bidi="th-TH"/>
        </w:rPr>
        <w:fldChar w:fldCharType="end"/>
      </w:r>
      <w:bookmarkStart w:id="41" w:name="_GoBack"/>
      <w:bookmarkEnd w:id="41"/>
    </w:p>
    <w:p w:rsidR="0064358E" w:rsidRPr="006E3117" w:rsidRDefault="0064358E" w:rsidP="00A27852">
      <w:pPr>
        <w:spacing w:line="360" w:lineRule="auto"/>
        <w:jc w:val="left"/>
        <w:rPr>
          <w:rStyle w:val="referencetext1"/>
          <w:kern w:val="0"/>
          <w:sz w:val="20"/>
          <w:lang w:bidi="th-TH"/>
        </w:rPr>
      </w:pPr>
    </w:p>
    <w:sectPr w:rsidR="0064358E" w:rsidRPr="006E3117">
      <w:head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CD" w:rsidRDefault="00E851CD">
      <w:r>
        <w:separator/>
      </w:r>
    </w:p>
  </w:endnote>
  <w:endnote w:type="continuationSeparator" w:id="0">
    <w:p w:rsidR="00E851CD" w:rsidRDefault="00E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OT1ef757c0+fb">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CD" w:rsidRDefault="00E851CD">
      <w:r>
        <w:separator/>
      </w:r>
    </w:p>
  </w:footnote>
  <w:footnote w:type="continuationSeparator" w:id="0">
    <w:p w:rsidR="00E851CD" w:rsidRDefault="00E8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8E" w:rsidRDefault="001B619B">
    <w:pPr>
      <w:pStyle w:val="a7"/>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 Biological Chem Copy copy Cop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841F9"/>
    <w:rsid w:val="00001552"/>
    <w:rsid w:val="0000258C"/>
    <w:rsid w:val="0000408F"/>
    <w:rsid w:val="000047D7"/>
    <w:rsid w:val="00004D0B"/>
    <w:rsid w:val="0000524C"/>
    <w:rsid w:val="0000589D"/>
    <w:rsid w:val="00007A72"/>
    <w:rsid w:val="000123F4"/>
    <w:rsid w:val="000125FC"/>
    <w:rsid w:val="000176AF"/>
    <w:rsid w:val="000200D1"/>
    <w:rsid w:val="000203BB"/>
    <w:rsid w:val="00021279"/>
    <w:rsid w:val="000216CD"/>
    <w:rsid w:val="000237A1"/>
    <w:rsid w:val="00024532"/>
    <w:rsid w:val="00025C35"/>
    <w:rsid w:val="00026AD6"/>
    <w:rsid w:val="000367BD"/>
    <w:rsid w:val="00037113"/>
    <w:rsid w:val="00040B63"/>
    <w:rsid w:val="00042846"/>
    <w:rsid w:val="00051505"/>
    <w:rsid w:val="00056316"/>
    <w:rsid w:val="00056E01"/>
    <w:rsid w:val="00060207"/>
    <w:rsid w:val="000610A8"/>
    <w:rsid w:val="00063893"/>
    <w:rsid w:val="00064831"/>
    <w:rsid w:val="00064B01"/>
    <w:rsid w:val="000663D3"/>
    <w:rsid w:val="00090E11"/>
    <w:rsid w:val="00095356"/>
    <w:rsid w:val="000961DC"/>
    <w:rsid w:val="000970A5"/>
    <w:rsid w:val="00097650"/>
    <w:rsid w:val="000A03EE"/>
    <w:rsid w:val="000A325E"/>
    <w:rsid w:val="000B15E1"/>
    <w:rsid w:val="000B29F0"/>
    <w:rsid w:val="000B2D38"/>
    <w:rsid w:val="000B439B"/>
    <w:rsid w:val="000B4A50"/>
    <w:rsid w:val="000B59AF"/>
    <w:rsid w:val="000B670A"/>
    <w:rsid w:val="000C1E4E"/>
    <w:rsid w:val="000C228F"/>
    <w:rsid w:val="000C2E38"/>
    <w:rsid w:val="000C3C16"/>
    <w:rsid w:val="000C519F"/>
    <w:rsid w:val="000D454E"/>
    <w:rsid w:val="000D69EF"/>
    <w:rsid w:val="000E6398"/>
    <w:rsid w:val="000E71FD"/>
    <w:rsid w:val="000E76B4"/>
    <w:rsid w:val="000E78C9"/>
    <w:rsid w:val="000F7E52"/>
    <w:rsid w:val="001004F4"/>
    <w:rsid w:val="00101648"/>
    <w:rsid w:val="00107B0F"/>
    <w:rsid w:val="00107DBA"/>
    <w:rsid w:val="00110406"/>
    <w:rsid w:val="001179D1"/>
    <w:rsid w:val="00124477"/>
    <w:rsid w:val="001254F0"/>
    <w:rsid w:val="00136747"/>
    <w:rsid w:val="001432B5"/>
    <w:rsid w:val="00146677"/>
    <w:rsid w:val="00146936"/>
    <w:rsid w:val="0014770F"/>
    <w:rsid w:val="00153374"/>
    <w:rsid w:val="00155D44"/>
    <w:rsid w:val="001573A9"/>
    <w:rsid w:val="00163384"/>
    <w:rsid w:val="00164A53"/>
    <w:rsid w:val="001654ED"/>
    <w:rsid w:val="00171433"/>
    <w:rsid w:val="00176E78"/>
    <w:rsid w:val="0018018D"/>
    <w:rsid w:val="00184B0E"/>
    <w:rsid w:val="00192CA9"/>
    <w:rsid w:val="001932B7"/>
    <w:rsid w:val="00194B54"/>
    <w:rsid w:val="001A6841"/>
    <w:rsid w:val="001A7F6F"/>
    <w:rsid w:val="001B3C22"/>
    <w:rsid w:val="001B619B"/>
    <w:rsid w:val="001B65F9"/>
    <w:rsid w:val="001B669A"/>
    <w:rsid w:val="001C4926"/>
    <w:rsid w:val="001C5315"/>
    <w:rsid w:val="001C729E"/>
    <w:rsid w:val="001D0B55"/>
    <w:rsid w:val="001D2098"/>
    <w:rsid w:val="001D4057"/>
    <w:rsid w:val="001D4317"/>
    <w:rsid w:val="001D61C4"/>
    <w:rsid w:val="001E070D"/>
    <w:rsid w:val="001E0F71"/>
    <w:rsid w:val="001E40F4"/>
    <w:rsid w:val="001E426B"/>
    <w:rsid w:val="001E60CF"/>
    <w:rsid w:val="001F44C4"/>
    <w:rsid w:val="001F77DA"/>
    <w:rsid w:val="00202432"/>
    <w:rsid w:val="002033F9"/>
    <w:rsid w:val="00207374"/>
    <w:rsid w:val="002101CE"/>
    <w:rsid w:val="002117D9"/>
    <w:rsid w:val="00214242"/>
    <w:rsid w:val="002159A6"/>
    <w:rsid w:val="00216332"/>
    <w:rsid w:val="0022222C"/>
    <w:rsid w:val="00223B8E"/>
    <w:rsid w:val="002245EF"/>
    <w:rsid w:val="0023144B"/>
    <w:rsid w:val="00233E11"/>
    <w:rsid w:val="002378EF"/>
    <w:rsid w:val="00240D7B"/>
    <w:rsid w:val="00243204"/>
    <w:rsid w:val="0025111A"/>
    <w:rsid w:val="00251606"/>
    <w:rsid w:val="002524C1"/>
    <w:rsid w:val="00261031"/>
    <w:rsid w:val="00265423"/>
    <w:rsid w:val="00267F46"/>
    <w:rsid w:val="00271085"/>
    <w:rsid w:val="002724D3"/>
    <w:rsid w:val="002724F9"/>
    <w:rsid w:val="002758A6"/>
    <w:rsid w:val="00276692"/>
    <w:rsid w:val="00277CA3"/>
    <w:rsid w:val="002870CA"/>
    <w:rsid w:val="00293377"/>
    <w:rsid w:val="00293A82"/>
    <w:rsid w:val="00293BE3"/>
    <w:rsid w:val="00295E35"/>
    <w:rsid w:val="002A1C97"/>
    <w:rsid w:val="002B09EC"/>
    <w:rsid w:val="002B0DB8"/>
    <w:rsid w:val="002B2463"/>
    <w:rsid w:val="002B69A8"/>
    <w:rsid w:val="002C16D4"/>
    <w:rsid w:val="002C4259"/>
    <w:rsid w:val="002D7AD0"/>
    <w:rsid w:val="002E00C6"/>
    <w:rsid w:val="002E6FD8"/>
    <w:rsid w:val="002F3DE8"/>
    <w:rsid w:val="002F3E9F"/>
    <w:rsid w:val="002F6668"/>
    <w:rsid w:val="00301396"/>
    <w:rsid w:val="00303B61"/>
    <w:rsid w:val="0030526A"/>
    <w:rsid w:val="00311C91"/>
    <w:rsid w:val="003120D8"/>
    <w:rsid w:val="0031415C"/>
    <w:rsid w:val="00315961"/>
    <w:rsid w:val="00315F32"/>
    <w:rsid w:val="003216E0"/>
    <w:rsid w:val="003271AD"/>
    <w:rsid w:val="003327F3"/>
    <w:rsid w:val="00335021"/>
    <w:rsid w:val="003459E0"/>
    <w:rsid w:val="0035093C"/>
    <w:rsid w:val="00351AFD"/>
    <w:rsid w:val="00354E35"/>
    <w:rsid w:val="00354FEB"/>
    <w:rsid w:val="0035672D"/>
    <w:rsid w:val="00357439"/>
    <w:rsid w:val="003604C2"/>
    <w:rsid w:val="00362C38"/>
    <w:rsid w:val="00362FDB"/>
    <w:rsid w:val="00363484"/>
    <w:rsid w:val="00363994"/>
    <w:rsid w:val="0036526E"/>
    <w:rsid w:val="0036647D"/>
    <w:rsid w:val="00366DCF"/>
    <w:rsid w:val="00366E56"/>
    <w:rsid w:val="00370EFC"/>
    <w:rsid w:val="003717E3"/>
    <w:rsid w:val="0037511C"/>
    <w:rsid w:val="00392FF9"/>
    <w:rsid w:val="003A19D0"/>
    <w:rsid w:val="003A4FFD"/>
    <w:rsid w:val="003A6DC5"/>
    <w:rsid w:val="003B1A9C"/>
    <w:rsid w:val="003B5163"/>
    <w:rsid w:val="003B7E41"/>
    <w:rsid w:val="003C13FC"/>
    <w:rsid w:val="003C5A5D"/>
    <w:rsid w:val="003C758C"/>
    <w:rsid w:val="003D0794"/>
    <w:rsid w:val="003D6F7C"/>
    <w:rsid w:val="003D7D14"/>
    <w:rsid w:val="003E098D"/>
    <w:rsid w:val="003E50B1"/>
    <w:rsid w:val="003E6DA7"/>
    <w:rsid w:val="003F142B"/>
    <w:rsid w:val="003F5135"/>
    <w:rsid w:val="00402D18"/>
    <w:rsid w:val="00413556"/>
    <w:rsid w:val="0041412A"/>
    <w:rsid w:val="00416429"/>
    <w:rsid w:val="0042310B"/>
    <w:rsid w:val="00426425"/>
    <w:rsid w:val="00430ED9"/>
    <w:rsid w:val="004317E3"/>
    <w:rsid w:val="00431BC8"/>
    <w:rsid w:val="00434941"/>
    <w:rsid w:val="0043502B"/>
    <w:rsid w:val="004362F4"/>
    <w:rsid w:val="00437D52"/>
    <w:rsid w:val="00444224"/>
    <w:rsid w:val="004503BA"/>
    <w:rsid w:val="0045304A"/>
    <w:rsid w:val="00454665"/>
    <w:rsid w:val="00456B70"/>
    <w:rsid w:val="00456FEA"/>
    <w:rsid w:val="00460C17"/>
    <w:rsid w:val="00465486"/>
    <w:rsid w:val="00471475"/>
    <w:rsid w:val="00475169"/>
    <w:rsid w:val="00480DB5"/>
    <w:rsid w:val="00481005"/>
    <w:rsid w:val="00482228"/>
    <w:rsid w:val="00483995"/>
    <w:rsid w:val="00485BB9"/>
    <w:rsid w:val="004877A9"/>
    <w:rsid w:val="00492893"/>
    <w:rsid w:val="00494FEF"/>
    <w:rsid w:val="00496329"/>
    <w:rsid w:val="004A2838"/>
    <w:rsid w:val="004A5B87"/>
    <w:rsid w:val="004A5C04"/>
    <w:rsid w:val="004A6033"/>
    <w:rsid w:val="004A6355"/>
    <w:rsid w:val="004B17BE"/>
    <w:rsid w:val="004B390C"/>
    <w:rsid w:val="004B5D2F"/>
    <w:rsid w:val="004C0047"/>
    <w:rsid w:val="004C1BE2"/>
    <w:rsid w:val="004C4232"/>
    <w:rsid w:val="004C6058"/>
    <w:rsid w:val="004C7851"/>
    <w:rsid w:val="004D05B0"/>
    <w:rsid w:val="004D1684"/>
    <w:rsid w:val="004D6924"/>
    <w:rsid w:val="004E2211"/>
    <w:rsid w:val="004E4AD3"/>
    <w:rsid w:val="004E4C0E"/>
    <w:rsid w:val="004F0159"/>
    <w:rsid w:val="004F088E"/>
    <w:rsid w:val="004F717E"/>
    <w:rsid w:val="00500B66"/>
    <w:rsid w:val="00502915"/>
    <w:rsid w:val="00505764"/>
    <w:rsid w:val="005118C5"/>
    <w:rsid w:val="005134FB"/>
    <w:rsid w:val="005145C0"/>
    <w:rsid w:val="005176E4"/>
    <w:rsid w:val="0052082B"/>
    <w:rsid w:val="0052207A"/>
    <w:rsid w:val="0052531E"/>
    <w:rsid w:val="00527597"/>
    <w:rsid w:val="005304E4"/>
    <w:rsid w:val="00533730"/>
    <w:rsid w:val="005347AE"/>
    <w:rsid w:val="00534BE7"/>
    <w:rsid w:val="00536118"/>
    <w:rsid w:val="005459B8"/>
    <w:rsid w:val="00551504"/>
    <w:rsid w:val="00552307"/>
    <w:rsid w:val="00561B65"/>
    <w:rsid w:val="005661C1"/>
    <w:rsid w:val="00567321"/>
    <w:rsid w:val="005745F6"/>
    <w:rsid w:val="00577BD1"/>
    <w:rsid w:val="005812BB"/>
    <w:rsid w:val="00581B1C"/>
    <w:rsid w:val="00582FE5"/>
    <w:rsid w:val="005841B6"/>
    <w:rsid w:val="0058449A"/>
    <w:rsid w:val="00590B43"/>
    <w:rsid w:val="00590CFE"/>
    <w:rsid w:val="00592C83"/>
    <w:rsid w:val="005A05E8"/>
    <w:rsid w:val="005A0946"/>
    <w:rsid w:val="005A0EB4"/>
    <w:rsid w:val="005A466A"/>
    <w:rsid w:val="005A5D3E"/>
    <w:rsid w:val="005A66EC"/>
    <w:rsid w:val="005B2223"/>
    <w:rsid w:val="005B258D"/>
    <w:rsid w:val="005B5A51"/>
    <w:rsid w:val="005B708F"/>
    <w:rsid w:val="005C21AD"/>
    <w:rsid w:val="005C2739"/>
    <w:rsid w:val="005C3BA7"/>
    <w:rsid w:val="005C4A96"/>
    <w:rsid w:val="005D0F77"/>
    <w:rsid w:val="005D23E9"/>
    <w:rsid w:val="005D4E9A"/>
    <w:rsid w:val="005D7A54"/>
    <w:rsid w:val="005E2FE9"/>
    <w:rsid w:val="005E7076"/>
    <w:rsid w:val="00600347"/>
    <w:rsid w:val="006016F0"/>
    <w:rsid w:val="00601B23"/>
    <w:rsid w:val="0060373F"/>
    <w:rsid w:val="00606628"/>
    <w:rsid w:val="00611066"/>
    <w:rsid w:val="006154F3"/>
    <w:rsid w:val="0062145A"/>
    <w:rsid w:val="00625F64"/>
    <w:rsid w:val="00626C5F"/>
    <w:rsid w:val="00627315"/>
    <w:rsid w:val="00630BDC"/>
    <w:rsid w:val="006329C4"/>
    <w:rsid w:val="00640B39"/>
    <w:rsid w:val="00643254"/>
    <w:rsid w:val="006432BD"/>
    <w:rsid w:val="0064358E"/>
    <w:rsid w:val="00644870"/>
    <w:rsid w:val="0064650A"/>
    <w:rsid w:val="006532E6"/>
    <w:rsid w:val="0065342D"/>
    <w:rsid w:val="00654AFB"/>
    <w:rsid w:val="00662E74"/>
    <w:rsid w:val="00664318"/>
    <w:rsid w:val="00665963"/>
    <w:rsid w:val="0066691B"/>
    <w:rsid w:val="0067071A"/>
    <w:rsid w:val="00671942"/>
    <w:rsid w:val="006800FA"/>
    <w:rsid w:val="00682724"/>
    <w:rsid w:val="00682866"/>
    <w:rsid w:val="006971F4"/>
    <w:rsid w:val="006A1124"/>
    <w:rsid w:val="006A1746"/>
    <w:rsid w:val="006A76B9"/>
    <w:rsid w:val="006B7D14"/>
    <w:rsid w:val="006C0146"/>
    <w:rsid w:val="006C0D94"/>
    <w:rsid w:val="006C0FC8"/>
    <w:rsid w:val="006C2C32"/>
    <w:rsid w:val="006C4E98"/>
    <w:rsid w:val="006D13EF"/>
    <w:rsid w:val="006D3291"/>
    <w:rsid w:val="006D34F4"/>
    <w:rsid w:val="006D46AB"/>
    <w:rsid w:val="006E3117"/>
    <w:rsid w:val="006E56E5"/>
    <w:rsid w:val="006E57AA"/>
    <w:rsid w:val="006E5CDE"/>
    <w:rsid w:val="006E6080"/>
    <w:rsid w:val="006E7EDF"/>
    <w:rsid w:val="006F1186"/>
    <w:rsid w:val="006F2866"/>
    <w:rsid w:val="006F7A2E"/>
    <w:rsid w:val="007013DC"/>
    <w:rsid w:val="00706CEA"/>
    <w:rsid w:val="00707B9A"/>
    <w:rsid w:val="007100DE"/>
    <w:rsid w:val="00710C23"/>
    <w:rsid w:val="00710F8E"/>
    <w:rsid w:val="0071344E"/>
    <w:rsid w:val="0071586D"/>
    <w:rsid w:val="0071706B"/>
    <w:rsid w:val="00717CBB"/>
    <w:rsid w:val="0072245F"/>
    <w:rsid w:val="0072770B"/>
    <w:rsid w:val="0073025C"/>
    <w:rsid w:val="007314EA"/>
    <w:rsid w:val="007320F0"/>
    <w:rsid w:val="00740490"/>
    <w:rsid w:val="007418C3"/>
    <w:rsid w:val="007425F1"/>
    <w:rsid w:val="007445D5"/>
    <w:rsid w:val="00750806"/>
    <w:rsid w:val="00762ECD"/>
    <w:rsid w:val="00764507"/>
    <w:rsid w:val="00764660"/>
    <w:rsid w:val="007649D6"/>
    <w:rsid w:val="00765B49"/>
    <w:rsid w:val="00766465"/>
    <w:rsid w:val="00767D67"/>
    <w:rsid w:val="00772E09"/>
    <w:rsid w:val="007732DF"/>
    <w:rsid w:val="00773973"/>
    <w:rsid w:val="00775064"/>
    <w:rsid w:val="0077548E"/>
    <w:rsid w:val="00780CAD"/>
    <w:rsid w:val="00784E3F"/>
    <w:rsid w:val="007867AB"/>
    <w:rsid w:val="00792FD7"/>
    <w:rsid w:val="007A36BB"/>
    <w:rsid w:val="007A498D"/>
    <w:rsid w:val="007A4DBE"/>
    <w:rsid w:val="007A4E67"/>
    <w:rsid w:val="007B5E95"/>
    <w:rsid w:val="007C21DA"/>
    <w:rsid w:val="007C382F"/>
    <w:rsid w:val="007C6D3A"/>
    <w:rsid w:val="007C7DC6"/>
    <w:rsid w:val="007D055F"/>
    <w:rsid w:val="007D31E6"/>
    <w:rsid w:val="007D34F0"/>
    <w:rsid w:val="007D4040"/>
    <w:rsid w:val="007D7347"/>
    <w:rsid w:val="007E0DB1"/>
    <w:rsid w:val="007E2163"/>
    <w:rsid w:val="007E3D64"/>
    <w:rsid w:val="007F03D1"/>
    <w:rsid w:val="007F0A4A"/>
    <w:rsid w:val="007F1EC7"/>
    <w:rsid w:val="007F27C1"/>
    <w:rsid w:val="007F2BD2"/>
    <w:rsid w:val="007F5B77"/>
    <w:rsid w:val="007F65E6"/>
    <w:rsid w:val="00804146"/>
    <w:rsid w:val="0080757D"/>
    <w:rsid w:val="00807D9F"/>
    <w:rsid w:val="0081297B"/>
    <w:rsid w:val="00816FF6"/>
    <w:rsid w:val="0081799B"/>
    <w:rsid w:val="00822F8C"/>
    <w:rsid w:val="00826184"/>
    <w:rsid w:val="00834C8B"/>
    <w:rsid w:val="008358BB"/>
    <w:rsid w:val="00835CFC"/>
    <w:rsid w:val="008367D2"/>
    <w:rsid w:val="00840AAD"/>
    <w:rsid w:val="00851DD3"/>
    <w:rsid w:val="00852EA3"/>
    <w:rsid w:val="00854F7E"/>
    <w:rsid w:val="00856112"/>
    <w:rsid w:val="00863030"/>
    <w:rsid w:val="00864177"/>
    <w:rsid w:val="00866EA7"/>
    <w:rsid w:val="00870E8F"/>
    <w:rsid w:val="008711B7"/>
    <w:rsid w:val="00871804"/>
    <w:rsid w:val="00871C09"/>
    <w:rsid w:val="0087329D"/>
    <w:rsid w:val="00873427"/>
    <w:rsid w:val="0087400A"/>
    <w:rsid w:val="00882347"/>
    <w:rsid w:val="00883570"/>
    <w:rsid w:val="008877C0"/>
    <w:rsid w:val="00892E79"/>
    <w:rsid w:val="008954A1"/>
    <w:rsid w:val="008976D5"/>
    <w:rsid w:val="00897CFC"/>
    <w:rsid w:val="008A09CA"/>
    <w:rsid w:val="008A36DC"/>
    <w:rsid w:val="008A489E"/>
    <w:rsid w:val="008A585D"/>
    <w:rsid w:val="008B1DF7"/>
    <w:rsid w:val="008B66C4"/>
    <w:rsid w:val="008B6A15"/>
    <w:rsid w:val="008B6F29"/>
    <w:rsid w:val="008B77BA"/>
    <w:rsid w:val="008C2460"/>
    <w:rsid w:val="008C7C99"/>
    <w:rsid w:val="008D0B85"/>
    <w:rsid w:val="008D1230"/>
    <w:rsid w:val="008D2654"/>
    <w:rsid w:val="008D2B5E"/>
    <w:rsid w:val="008D4734"/>
    <w:rsid w:val="008E3EA5"/>
    <w:rsid w:val="008E42F6"/>
    <w:rsid w:val="008E50EE"/>
    <w:rsid w:val="008E5536"/>
    <w:rsid w:val="008E769A"/>
    <w:rsid w:val="008F098F"/>
    <w:rsid w:val="008F1E62"/>
    <w:rsid w:val="008F5864"/>
    <w:rsid w:val="008F66E9"/>
    <w:rsid w:val="0090093C"/>
    <w:rsid w:val="0090620B"/>
    <w:rsid w:val="00907184"/>
    <w:rsid w:val="00910911"/>
    <w:rsid w:val="00916691"/>
    <w:rsid w:val="009219C5"/>
    <w:rsid w:val="00926E0D"/>
    <w:rsid w:val="00927B0D"/>
    <w:rsid w:val="009427BF"/>
    <w:rsid w:val="00945134"/>
    <w:rsid w:val="00946D97"/>
    <w:rsid w:val="00950C4D"/>
    <w:rsid w:val="00950E51"/>
    <w:rsid w:val="00951B17"/>
    <w:rsid w:val="0095594A"/>
    <w:rsid w:val="009574B7"/>
    <w:rsid w:val="00962C22"/>
    <w:rsid w:val="00963C85"/>
    <w:rsid w:val="00966482"/>
    <w:rsid w:val="00966846"/>
    <w:rsid w:val="0097106F"/>
    <w:rsid w:val="0097160D"/>
    <w:rsid w:val="00972308"/>
    <w:rsid w:val="00977B5E"/>
    <w:rsid w:val="00981937"/>
    <w:rsid w:val="00985A9F"/>
    <w:rsid w:val="00986313"/>
    <w:rsid w:val="009907F9"/>
    <w:rsid w:val="00990D55"/>
    <w:rsid w:val="009918A3"/>
    <w:rsid w:val="00991CEA"/>
    <w:rsid w:val="00992A41"/>
    <w:rsid w:val="00993BB9"/>
    <w:rsid w:val="00995BB7"/>
    <w:rsid w:val="009A0D2A"/>
    <w:rsid w:val="009A2CA7"/>
    <w:rsid w:val="009A54E2"/>
    <w:rsid w:val="009A5C54"/>
    <w:rsid w:val="009B0893"/>
    <w:rsid w:val="009B4B73"/>
    <w:rsid w:val="009C4F50"/>
    <w:rsid w:val="009C7BA9"/>
    <w:rsid w:val="009D05BE"/>
    <w:rsid w:val="009D0A4B"/>
    <w:rsid w:val="009D589E"/>
    <w:rsid w:val="009E00F1"/>
    <w:rsid w:val="009E1220"/>
    <w:rsid w:val="009E1D9D"/>
    <w:rsid w:val="00A03D48"/>
    <w:rsid w:val="00A04A1F"/>
    <w:rsid w:val="00A06449"/>
    <w:rsid w:val="00A0774D"/>
    <w:rsid w:val="00A11DD4"/>
    <w:rsid w:val="00A12762"/>
    <w:rsid w:val="00A12DC3"/>
    <w:rsid w:val="00A12EEB"/>
    <w:rsid w:val="00A177CF"/>
    <w:rsid w:val="00A21C18"/>
    <w:rsid w:val="00A23C2B"/>
    <w:rsid w:val="00A25FF0"/>
    <w:rsid w:val="00A27852"/>
    <w:rsid w:val="00A27E31"/>
    <w:rsid w:val="00A30F82"/>
    <w:rsid w:val="00A32340"/>
    <w:rsid w:val="00A333D1"/>
    <w:rsid w:val="00A35A30"/>
    <w:rsid w:val="00A35B65"/>
    <w:rsid w:val="00A36315"/>
    <w:rsid w:val="00A3676F"/>
    <w:rsid w:val="00A37C9A"/>
    <w:rsid w:val="00A40E79"/>
    <w:rsid w:val="00A41873"/>
    <w:rsid w:val="00A41901"/>
    <w:rsid w:val="00A46FF2"/>
    <w:rsid w:val="00A47895"/>
    <w:rsid w:val="00A5230D"/>
    <w:rsid w:val="00A54D6A"/>
    <w:rsid w:val="00A5724E"/>
    <w:rsid w:val="00A604D7"/>
    <w:rsid w:val="00A63D41"/>
    <w:rsid w:val="00A65897"/>
    <w:rsid w:val="00A65FE7"/>
    <w:rsid w:val="00A733F3"/>
    <w:rsid w:val="00A8034D"/>
    <w:rsid w:val="00A80970"/>
    <w:rsid w:val="00A83144"/>
    <w:rsid w:val="00A841F9"/>
    <w:rsid w:val="00A8461A"/>
    <w:rsid w:val="00A84FCF"/>
    <w:rsid w:val="00A850C7"/>
    <w:rsid w:val="00A909BA"/>
    <w:rsid w:val="00A911CD"/>
    <w:rsid w:val="00A96A3A"/>
    <w:rsid w:val="00AA0BFF"/>
    <w:rsid w:val="00AA1E0F"/>
    <w:rsid w:val="00AA4E85"/>
    <w:rsid w:val="00AA5C01"/>
    <w:rsid w:val="00AB111B"/>
    <w:rsid w:val="00AC09AC"/>
    <w:rsid w:val="00AC0AF9"/>
    <w:rsid w:val="00AC14E2"/>
    <w:rsid w:val="00AC5C48"/>
    <w:rsid w:val="00AC7F27"/>
    <w:rsid w:val="00AD73BB"/>
    <w:rsid w:val="00AD751E"/>
    <w:rsid w:val="00AF09EF"/>
    <w:rsid w:val="00AF4306"/>
    <w:rsid w:val="00AF46FE"/>
    <w:rsid w:val="00AF5FEC"/>
    <w:rsid w:val="00B00D2B"/>
    <w:rsid w:val="00B034FF"/>
    <w:rsid w:val="00B05E23"/>
    <w:rsid w:val="00B06FED"/>
    <w:rsid w:val="00B11905"/>
    <w:rsid w:val="00B12AF8"/>
    <w:rsid w:val="00B13F79"/>
    <w:rsid w:val="00B15394"/>
    <w:rsid w:val="00B16D2A"/>
    <w:rsid w:val="00B22259"/>
    <w:rsid w:val="00B2512A"/>
    <w:rsid w:val="00B3032D"/>
    <w:rsid w:val="00B30669"/>
    <w:rsid w:val="00B343A9"/>
    <w:rsid w:val="00B40514"/>
    <w:rsid w:val="00B42563"/>
    <w:rsid w:val="00B42791"/>
    <w:rsid w:val="00B42EA3"/>
    <w:rsid w:val="00B45BE1"/>
    <w:rsid w:val="00B51DD1"/>
    <w:rsid w:val="00B54C16"/>
    <w:rsid w:val="00B54C54"/>
    <w:rsid w:val="00B57A7B"/>
    <w:rsid w:val="00B60DF9"/>
    <w:rsid w:val="00B65F72"/>
    <w:rsid w:val="00B706A1"/>
    <w:rsid w:val="00B712C2"/>
    <w:rsid w:val="00B73588"/>
    <w:rsid w:val="00B77E0A"/>
    <w:rsid w:val="00B803C8"/>
    <w:rsid w:val="00B83370"/>
    <w:rsid w:val="00B869BE"/>
    <w:rsid w:val="00B87577"/>
    <w:rsid w:val="00B95145"/>
    <w:rsid w:val="00BA437E"/>
    <w:rsid w:val="00BA4713"/>
    <w:rsid w:val="00BA5834"/>
    <w:rsid w:val="00BA5D02"/>
    <w:rsid w:val="00BA60FF"/>
    <w:rsid w:val="00BB1766"/>
    <w:rsid w:val="00BB41AD"/>
    <w:rsid w:val="00BC3CC1"/>
    <w:rsid w:val="00BC3D60"/>
    <w:rsid w:val="00BC4E64"/>
    <w:rsid w:val="00BD0D7E"/>
    <w:rsid w:val="00BD10D8"/>
    <w:rsid w:val="00BD1C0B"/>
    <w:rsid w:val="00BD3EBC"/>
    <w:rsid w:val="00BD5A86"/>
    <w:rsid w:val="00BD5EF7"/>
    <w:rsid w:val="00BD60BF"/>
    <w:rsid w:val="00BD65E8"/>
    <w:rsid w:val="00BD6A2A"/>
    <w:rsid w:val="00BD7F80"/>
    <w:rsid w:val="00BE62A6"/>
    <w:rsid w:val="00BF29FE"/>
    <w:rsid w:val="00BF3538"/>
    <w:rsid w:val="00BF6785"/>
    <w:rsid w:val="00BF746D"/>
    <w:rsid w:val="00BF76B8"/>
    <w:rsid w:val="00BF7CD8"/>
    <w:rsid w:val="00C009CA"/>
    <w:rsid w:val="00C02975"/>
    <w:rsid w:val="00C25640"/>
    <w:rsid w:val="00C31F6E"/>
    <w:rsid w:val="00C37A83"/>
    <w:rsid w:val="00C40179"/>
    <w:rsid w:val="00C401AF"/>
    <w:rsid w:val="00C408D5"/>
    <w:rsid w:val="00C41607"/>
    <w:rsid w:val="00C419A9"/>
    <w:rsid w:val="00C43C0F"/>
    <w:rsid w:val="00C45797"/>
    <w:rsid w:val="00C47251"/>
    <w:rsid w:val="00C47869"/>
    <w:rsid w:val="00C50A5A"/>
    <w:rsid w:val="00C567D7"/>
    <w:rsid w:val="00C63C8F"/>
    <w:rsid w:val="00C64CBF"/>
    <w:rsid w:val="00C65263"/>
    <w:rsid w:val="00C652B4"/>
    <w:rsid w:val="00C72869"/>
    <w:rsid w:val="00C739E6"/>
    <w:rsid w:val="00C7439D"/>
    <w:rsid w:val="00C7575B"/>
    <w:rsid w:val="00C75F00"/>
    <w:rsid w:val="00C7737C"/>
    <w:rsid w:val="00C808BC"/>
    <w:rsid w:val="00C847D7"/>
    <w:rsid w:val="00C8547D"/>
    <w:rsid w:val="00C9049D"/>
    <w:rsid w:val="00C90658"/>
    <w:rsid w:val="00C93B21"/>
    <w:rsid w:val="00C94D54"/>
    <w:rsid w:val="00C95ACE"/>
    <w:rsid w:val="00CA4C1F"/>
    <w:rsid w:val="00CA4EFD"/>
    <w:rsid w:val="00CA6BCD"/>
    <w:rsid w:val="00CB237E"/>
    <w:rsid w:val="00CB2D1A"/>
    <w:rsid w:val="00CB4279"/>
    <w:rsid w:val="00CB7BFA"/>
    <w:rsid w:val="00CC48B0"/>
    <w:rsid w:val="00CC6007"/>
    <w:rsid w:val="00CD0AC1"/>
    <w:rsid w:val="00CD0CF1"/>
    <w:rsid w:val="00CD2011"/>
    <w:rsid w:val="00CD213B"/>
    <w:rsid w:val="00CD26E0"/>
    <w:rsid w:val="00CD38F1"/>
    <w:rsid w:val="00CD4D6A"/>
    <w:rsid w:val="00CD706A"/>
    <w:rsid w:val="00CD7367"/>
    <w:rsid w:val="00CD78B1"/>
    <w:rsid w:val="00CE42AB"/>
    <w:rsid w:val="00CE4A4F"/>
    <w:rsid w:val="00CE6CF7"/>
    <w:rsid w:val="00CF1DE4"/>
    <w:rsid w:val="00CF4568"/>
    <w:rsid w:val="00CF52C5"/>
    <w:rsid w:val="00D00626"/>
    <w:rsid w:val="00D008A6"/>
    <w:rsid w:val="00D018F1"/>
    <w:rsid w:val="00D026EB"/>
    <w:rsid w:val="00D02EC7"/>
    <w:rsid w:val="00D039EE"/>
    <w:rsid w:val="00D041A6"/>
    <w:rsid w:val="00D154E2"/>
    <w:rsid w:val="00D1623C"/>
    <w:rsid w:val="00D236F8"/>
    <w:rsid w:val="00D2576A"/>
    <w:rsid w:val="00D2635F"/>
    <w:rsid w:val="00D27B47"/>
    <w:rsid w:val="00D309D0"/>
    <w:rsid w:val="00D34467"/>
    <w:rsid w:val="00D358C3"/>
    <w:rsid w:val="00D35D20"/>
    <w:rsid w:val="00D3673C"/>
    <w:rsid w:val="00D37F65"/>
    <w:rsid w:val="00D41105"/>
    <w:rsid w:val="00D413D3"/>
    <w:rsid w:val="00D43C5F"/>
    <w:rsid w:val="00D45855"/>
    <w:rsid w:val="00D45BAF"/>
    <w:rsid w:val="00D47160"/>
    <w:rsid w:val="00D477CD"/>
    <w:rsid w:val="00D5036E"/>
    <w:rsid w:val="00D52E22"/>
    <w:rsid w:val="00D53C3D"/>
    <w:rsid w:val="00D53ECA"/>
    <w:rsid w:val="00D60CEB"/>
    <w:rsid w:val="00D6275E"/>
    <w:rsid w:val="00D655CA"/>
    <w:rsid w:val="00D670C5"/>
    <w:rsid w:val="00D674BB"/>
    <w:rsid w:val="00D73040"/>
    <w:rsid w:val="00D736B3"/>
    <w:rsid w:val="00D73F4F"/>
    <w:rsid w:val="00D75109"/>
    <w:rsid w:val="00D832B9"/>
    <w:rsid w:val="00D841F9"/>
    <w:rsid w:val="00D86C02"/>
    <w:rsid w:val="00D93528"/>
    <w:rsid w:val="00D93C4A"/>
    <w:rsid w:val="00D9410B"/>
    <w:rsid w:val="00D94A88"/>
    <w:rsid w:val="00D957D9"/>
    <w:rsid w:val="00D96506"/>
    <w:rsid w:val="00DA04A9"/>
    <w:rsid w:val="00DA56F8"/>
    <w:rsid w:val="00DA70C9"/>
    <w:rsid w:val="00DA74C7"/>
    <w:rsid w:val="00DB0693"/>
    <w:rsid w:val="00DB1617"/>
    <w:rsid w:val="00DB5713"/>
    <w:rsid w:val="00DC10BD"/>
    <w:rsid w:val="00DC4159"/>
    <w:rsid w:val="00DC601D"/>
    <w:rsid w:val="00DC6B66"/>
    <w:rsid w:val="00DC757E"/>
    <w:rsid w:val="00DD4B93"/>
    <w:rsid w:val="00DD5AFD"/>
    <w:rsid w:val="00DE012E"/>
    <w:rsid w:val="00DE1322"/>
    <w:rsid w:val="00DE2FC0"/>
    <w:rsid w:val="00DE4599"/>
    <w:rsid w:val="00DF0C7D"/>
    <w:rsid w:val="00DF5D63"/>
    <w:rsid w:val="00DF7C52"/>
    <w:rsid w:val="00E003B1"/>
    <w:rsid w:val="00E01189"/>
    <w:rsid w:val="00E0275C"/>
    <w:rsid w:val="00E04E69"/>
    <w:rsid w:val="00E112F3"/>
    <w:rsid w:val="00E12A27"/>
    <w:rsid w:val="00E2444B"/>
    <w:rsid w:val="00E24D65"/>
    <w:rsid w:val="00E24FF5"/>
    <w:rsid w:val="00E27B68"/>
    <w:rsid w:val="00E3443C"/>
    <w:rsid w:val="00E36598"/>
    <w:rsid w:val="00E374DE"/>
    <w:rsid w:val="00E3778F"/>
    <w:rsid w:val="00E404D1"/>
    <w:rsid w:val="00E42C48"/>
    <w:rsid w:val="00E45CBF"/>
    <w:rsid w:val="00E51D1C"/>
    <w:rsid w:val="00E51D6B"/>
    <w:rsid w:val="00E52AAA"/>
    <w:rsid w:val="00E53DBF"/>
    <w:rsid w:val="00E56C38"/>
    <w:rsid w:val="00E57F96"/>
    <w:rsid w:val="00E61644"/>
    <w:rsid w:val="00E62742"/>
    <w:rsid w:val="00E6323D"/>
    <w:rsid w:val="00E64325"/>
    <w:rsid w:val="00E70A5E"/>
    <w:rsid w:val="00E851CD"/>
    <w:rsid w:val="00E85287"/>
    <w:rsid w:val="00E856FD"/>
    <w:rsid w:val="00E86BEA"/>
    <w:rsid w:val="00E930CF"/>
    <w:rsid w:val="00E9603C"/>
    <w:rsid w:val="00E96EC8"/>
    <w:rsid w:val="00EA7701"/>
    <w:rsid w:val="00EB582E"/>
    <w:rsid w:val="00EB7CF1"/>
    <w:rsid w:val="00EC309C"/>
    <w:rsid w:val="00EC57DE"/>
    <w:rsid w:val="00EC68F3"/>
    <w:rsid w:val="00EC736A"/>
    <w:rsid w:val="00ED031D"/>
    <w:rsid w:val="00ED1198"/>
    <w:rsid w:val="00ED13FB"/>
    <w:rsid w:val="00ED270E"/>
    <w:rsid w:val="00ED35AE"/>
    <w:rsid w:val="00ED52A7"/>
    <w:rsid w:val="00ED7906"/>
    <w:rsid w:val="00EE0B77"/>
    <w:rsid w:val="00EE1E04"/>
    <w:rsid w:val="00EE4F42"/>
    <w:rsid w:val="00EE532C"/>
    <w:rsid w:val="00EE72BB"/>
    <w:rsid w:val="00EE73BC"/>
    <w:rsid w:val="00EE749B"/>
    <w:rsid w:val="00EE7C7B"/>
    <w:rsid w:val="00EF067B"/>
    <w:rsid w:val="00EF1836"/>
    <w:rsid w:val="00EF20A1"/>
    <w:rsid w:val="00F03E34"/>
    <w:rsid w:val="00F059EE"/>
    <w:rsid w:val="00F06637"/>
    <w:rsid w:val="00F15605"/>
    <w:rsid w:val="00F15AF1"/>
    <w:rsid w:val="00F15E1D"/>
    <w:rsid w:val="00F15F16"/>
    <w:rsid w:val="00F15F4B"/>
    <w:rsid w:val="00F16D19"/>
    <w:rsid w:val="00F257A9"/>
    <w:rsid w:val="00F27F8D"/>
    <w:rsid w:val="00F328C8"/>
    <w:rsid w:val="00F329D0"/>
    <w:rsid w:val="00F33CAB"/>
    <w:rsid w:val="00F400FF"/>
    <w:rsid w:val="00F4029E"/>
    <w:rsid w:val="00F46560"/>
    <w:rsid w:val="00F478C6"/>
    <w:rsid w:val="00F50B48"/>
    <w:rsid w:val="00F523CB"/>
    <w:rsid w:val="00F526E9"/>
    <w:rsid w:val="00F53A14"/>
    <w:rsid w:val="00F624B4"/>
    <w:rsid w:val="00F6395C"/>
    <w:rsid w:val="00F66A38"/>
    <w:rsid w:val="00F70427"/>
    <w:rsid w:val="00F717FD"/>
    <w:rsid w:val="00F71CBB"/>
    <w:rsid w:val="00F725BF"/>
    <w:rsid w:val="00F74CAB"/>
    <w:rsid w:val="00F765D6"/>
    <w:rsid w:val="00F7762C"/>
    <w:rsid w:val="00F838B6"/>
    <w:rsid w:val="00F84DA0"/>
    <w:rsid w:val="00F8764B"/>
    <w:rsid w:val="00F947FF"/>
    <w:rsid w:val="00F975D8"/>
    <w:rsid w:val="00F97E75"/>
    <w:rsid w:val="00FA356A"/>
    <w:rsid w:val="00FA5240"/>
    <w:rsid w:val="00FA713B"/>
    <w:rsid w:val="00FA7C85"/>
    <w:rsid w:val="00FB0469"/>
    <w:rsid w:val="00FB2BBA"/>
    <w:rsid w:val="00FB4941"/>
    <w:rsid w:val="00FC087D"/>
    <w:rsid w:val="00FC3BD9"/>
    <w:rsid w:val="00FC7420"/>
    <w:rsid w:val="00FD072E"/>
    <w:rsid w:val="00FD4047"/>
    <w:rsid w:val="00FD6396"/>
    <w:rsid w:val="00FE4ECB"/>
    <w:rsid w:val="00FF0B15"/>
    <w:rsid w:val="00FF39E2"/>
    <w:rsid w:val="098F4C31"/>
    <w:rsid w:val="160C132A"/>
    <w:rsid w:val="1E584C6D"/>
    <w:rsid w:val="2F9E7C37"/>
    <w:rsid w:val="2FDB3F09"/>
    <w:rsid w:val="30205544"/>
    <w:rsid w:val="33E559E6"/>
    <w:rsid w:val="35C63717"/>
    <w:rsid w:val="36057182"/>
    <w:rsid w:val="36D20E52"/>
    <w:rsid w:val="43190EB2"/>
    <w:rsid w:val="49802369"/>
    <w:rsid w:val="52BA5F46"/>
    <w:rsid w:val="57424397"/>
    <w:rsid w:val="579A0B3A"/>
    <w:rsid w:val="60860FFF"/>
    <w:rsid w:val="623B1E12"/>
    <w:rsid w:val="6FC86908"/>
    <w:rsid w:val="70610650"/>
    <w:rsid w:val="70822B4E"/>
    <w:rsid w:val="71CC31BC"/>
    <w:rsid w:val="74587059"/>
    <w:rsid w:val="796369A2"/>
    <w:rsid w:val="7E3B59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iPriority="0" w:unhideWhenUsed="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rFonts w:ascii="宋体"/>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21"/>
      <w:szCs w:val="21"/>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New">
    <w:name w:val="要点 New New"/>
    <w:qFormat/>
    <w:rPr>
      <w:b/>
      <w:bCs/>
    </w:rPr>
  </w:style>
  <w:style w:type="character" w:customStyle="1" w:styleId="New">
    <w:name w:val="要点 New"/>
    <w:qFormat/>
    <w:rPr>
      <w:b/>
      <w:bCs/>
    </w:rPr>
  </w:style>
  <w:style w:type="character" w:customStyle="1" w:styleId="referencetext1">
    <w:name w:val="referencetext1"/>
    <w:qFormat/>
  </w:style>
  <w:style w:type="character" w:customStyle="1" w:styleId="simjour">
    <w:name w:val="simjour"/>
    <w:basedOn w:val="a0"/>
    <w:qFormat/>
  </w:style>
  <w:style w:type="character" w:customStyle="1" w:styleId="NewNew0">
    <w:name w:val="超链接 New New"/>
    <w:qFormat/>
    <w:rPr>
      <w:color w:val="0000FF"/>
      <w:u w:val="single"/>
    </w:rPr>
  </w:style>
  <w:style w:type="character" w:customStyle="1" w:styleId="longtext1">
    <w:name w:val="long_text1"/>
    <w:qFormat/>
    <w:rPr>
      <w:sz w:val="18"/>
      <w:szCs w:val="18"/>
    </w:rPr>
  </w:style>
  <w:style w:type="character" w:customStyle="1" w:styleId="New0">
    <w:name w:val="超链接 New"/>
    <w:qFormat/>
    <w:rPr>
      <w:color w:val="0000FF"/>
      <w:u w:val="single"/>
    </w:rPr>
  </w:style>
  <w:style w:type="character" w:customStyle="1" w:styleId="NewNewNew">
    <w:name w:val="要点 New New New"/>
    <w:qFormat/>
    <w:rPr>
      <w:b/>
      <w:bCs/>
    </w:rPr>
  </w:style>
  <w:style w:type="paragraph" w:customStyle="1" w:styleId="New1">
    <w:name w:val="页眉 New"/>
    <w:basedOn w:val="New2"/>
    <w:qFormat/>
    <w:pPr>
      <w:pBdr>
        <w:bottom w:val="single" w:sz="6" w:space="1" w:color="auto"/>
      </w:pBdr>
      <w:tabs>
        <w:tab w:val="center" w:pos="4153"/>
        <w:tab w:val="right" w:pos="8306"/>
      </w:tabs>
      <w:snapToGrid w:val="0"/>
      <w:jc w:val="center"/>
    </w:pPr>
    <w:rPr>
      <w:sz w:val="18"/>
      <w:szCs w:val="18"/>
    </w:rPr>
  </w:style>
  <w:style w:type="paragraph" w:customStyle="1" w:styleId="New2">
    <w:name w:val="正文 New"/>
    <w:qFormat/>
    <w:pPr>
      <w:widowControl w:val="0"/>
      <w:jc w:val="both"/>
    </w:pPr>
    <w:rPr>
      <w:kern w:val="2"/>
      <w:sz w:val="21"/>
      <w:szCs w:val="24"/>
    </w:rPr>
  </w:style>
  <w:style w:type="paragraph" w:customStyle="1" w:styleId="NewNewNewNewNewNewNewNewNewNewNewNewNewNewNewNewNewNewNew">
    <w:name w:val="正文 New New New New New New New New New New New New New New New New New New New"/>
    <w:qFormat/>
    <w:pPr>
      <w:widowControl w:val="0"/>
      <w:jc w:val="both"/>
    </w:pPr>
    <w:rPr>
      <w:kern w:val="2"/>
      <w:sz w:val="21"/>
      <w:szCs w:val="24"/>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
    <w:name w:val="正文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NewNewNew0">
    <w:name w:val="正文 New New New"/>
    <w:qFormat/>
    <w:pPr>
      <w:widowControl w:val="0"/>
      <w:jc w:val="both"/>
    </w:pPr>
    <w:rPr>
      <w:kern w:val="2"/>
      <w:sz w:val="21"/>
      <w:szCs w:val="24"/>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kern w:val="2"/>
      <w:sz w:val="21"/>
      <w:szCs w:val="24"/>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0">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1">
    <w:name w:val="页脚 New New"/>
    <w:basedOn w:val="NewNew2"/>
    <w:qFormat/>
    <w:pPr>
      <w:tabs>
        <w:tab w:val="center" w:pos="4153"/>
        <w:tab w:val="right" w:pos="8306"/>
      </w:tabs>
      <w:snapToGrid w:val="0"/>
      <w:jc w:val="left"/>
    </w:pPr>
    <w:rPr>
      <w:sz w:val="18"/>
      <w:szCs w:val="18"/>
    </w:rPr>
  </w:style>
  <w:style w:type="paragraph" w:customStyle="1" w:styleId="NewNew2">
    <w:name w:val="正文 New New"/>
    <w:qFormat/>
    <w:pPr>
      <w:widowControl w:val="0"/>
      <w:jc w:val="both"/>
    </w:pPr>
    <w:rPr>
      <w:kern w:val="2"/>
      <w:sz w:val="21"/>
      <w:szCs w:val="24"/>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
    <w:name w:val="页脚 New New New New New"/>
    <w:basedOn w:val="NewNewNewNewNew0"/>
    <w:qFormat/>
    <w:pPr>
      <w:tabs>
        <w:tab w:val="center" w:pos="4153"/>
        <w:tab w:val="right" w:pos="8306"/>
      </w:tabs>
      <w:snapToGrid w:val="0"/>
      <w:jc w:val="left"/>
    </w:pPr>
    <w:rPr>
      <w:sz w:val="18"/>
      <w:szCs w:val="18"/>
    </w:rPr>
  </w:style>
  <w:style w:type="paragraph" w:customStyle="1" w:styleId="NewNewNewNewNew0">
    <w:name w:val="正文 New New New New New"/>
    <w:qFormat/>
    <w:pPr>
      <w:widowControl w:val="0"/>
      <w:jc w:val="both"/>
    </w:pPr>
    <w:rPr>
      <w:kern w:val="2"/>
      <w:sz w:val="21"/>
      <w:szCs w:val="24"/>
    </w:rPr>
  </w:style>
  <w:style w:type="paragraph" w:customStyle="1" w:styleId="NewNewNewNewNewNewNewNewNewNewNewNewNewNewNewNewNewNewNewNewNewNewNewNewNewNew0">
    <w:name w:val="页眉 New New New New New New New New New New New New New New New New New New New New New New New New New New"/>
    <w:basedOn w:val="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NewNewNewNewNewNewNew">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pPr>
      <w:widowControl w:val="0"/>
      <w:jc w:val="both"/>
    </w:pPr>
    <w:rPr>
      <w:kern w:val="2"/>
      <w:sz w:val="21"/>
      <w:szCs w:val="24"/>
    </w:rPr>
  </w:style>
  <w:style w:type="paragraph" w:customStyle="1" w:styleId="NewNewNewNewNewNewNewNewNewNew">
    <w:name w:val="页脚 New New New New New New New New New New"/>
    <w:basedOn w:val="NewNewNewNewNewNewNewNewNewNew0"/>
    <w:qFormat/>
    <w:pPr>
      <w:tabs>
        <w:tab w:val="center" w:pos="4153"/>
        <w:tab w:val="right" w:pos="8306"/>
      </w:tabs>
      <w:snapToGrid w:val="0"/>
      <w:jc w:val="left"/>
    </w:pPr>
    <w:rPr>
      <w:sz w:val="18"/>
      <w:szCs w:val="18"/>
    </w:rPr>
  </w:style>
  <w:style w:type="paragraph" w:customStyle="1" w:styleId="NewNewNewNewNewNewNewNewNewNew0">
    <w:name w:val="正文 New New New New New New New New New New"/>
    <w:qFormat/>
    <w:pPr>
      <w:widowControl w:val="0"/>
      <w:jc w:val="both"/>
    </w:pPr>
    <w:rPr>
      <w:kern w:val="2"/>
      <w:sz w:val="21"/>
      <w:szCs w:val="24"/>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
    <w:name w:val="页脚 New New New New New New New New New New New New New New"/>
    <w:basedOn w:val="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New3">
    <w:name w:val="页脚 New"/>
    <w:basedOn w:val="New2"/>
    <w:qFormat/>
    <w:pPr>
      <w:tabs>
        <w:tab w:val="center" w:pos="4153"/>
        <w:tab w:val="right" w:pos="8306"/>
      </w:tabs>
      <w:snapToGrid w:val="0"/>
      <w:jc w:val="left"/>
    </w:pPr>
    <w:rPr>
      <w:sz w:val="18"/>
      <w:szCs w:val="18"/>
    </w:rPr>
  </w:style>
  <w:style w:type="paragraph" w:customStyle="1" w:styleId="NewNewNew2">
    <w:name w:val="页脚 New New New"/>
    <w:basedOn w:val="NewNewNew0"/>
    <w:qFormat/>
    <w:pPr>
      <w:tabs>
        <w:tab w:val="center" w:pos="4153"/>
        <w:tab w:val="right" w:pos="8306"/>
      </w:tabs>
      <w:snapToGrid w:val="0"/>
      <w:jc w:val="left"/>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qFormat/>
    <w:pPr>
      <w:tabs>
        <w:tab w:val="center" w:pos="4153"/>
        <w:tab w:val="right" w:pos="8306"/>
      </w:tabs>
      <w:snapToGrid w:val="0"/>
      <w:jc w:val="left"/>
    </w:pPr>
    <w:rPr>
      <w:sz w:val="18"/>
      <w:szCs w:val="18"/>
    </w:rPr>
  </w:style>
  <w:style w:type="paragraph" w:customStyle="1" w:styleId="NewNewNewNewNewNewNew0">
    <w:name w:val="正文 New New New New New New New"/>
    <w:qFormat/>
    <w:pPr>
      <w:widowControl w:val="0"/>
      <w:jc w:val="both"/>
    </w:pPr>
    <w:rPr>
      <w:kern w:val="2"/>
      <w:sz w:val="21"/>
      <w:szCs w:val="24"/>
    </w:rPr>
  </w:style>
  <w:style w:type="paragraph" w:customStyle="1" w:styleId="NewNewNewNewNewNewNewNewNewNew1">
    <w:name w:val="页眉 New New New New New New New New New New"/>
    <w:basedOn w:val="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页眉 New New New New New New New New New New New New New New"/>
    <w:basedOn w:val="NewNewNewNewNewNewNewNewNewNewNewNewNewNew1"/>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NewNew0">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脚 New New New New New New New New New New New New New New New New"/>
    <w:basedOn w:val="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New">
    <w:name w:val="页眉 New New New New New New New New New New New New New New New New New New New New New New New New New New New"/>
    <w:basedOn w:val="New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0">
    <w:name w:val="正文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0">
    <w:name w:val="页脚 New New New New New New New New New New New"/>
    <w:basedOn w:val="NewNewNewNewNewNewNewNewNewNewNew"/>
    <w:qFormat/>
    <w:pPr>
      <w:tabs>
        <w:tab w:val="center" w:pos="4153"/>
        <w:tab w:val="right" w:pos="8306"/>
      </w:tabs>
      <w:snapToGrid w:val="0"/>
      <w:jc w:val="left"/>
    </w:pPr>
    <w:rPr>
      <w:sz w:val="18"/>
      <w:szCs w:val="18"/>
    </w:rPr>
  </w:style>
  <w:style w:type="paragraph" w:customStyle="1" w:styleId="NewNewNewNewNewNewNewNewNewNewNewNewNew1">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
    <w:name w:val="页脚 New New New New"/>
    <w:basedOn w:val="NewNewNewNew0"/>
    <w:qFormat/>
    <w:pPr>
      <w:tabs>
        <w:tab w:val="center" w:pos="4153"/>
        <w:tab w:val="right" w:pos="8306"/>
      </w:tabs>
      <w:snapToGrid w:val="0"/>
      <w:jc w:val="left"/>
    </w:pPr>
    <w:rPr>
      <w:sz w:val="18"/>
      <w:szCs w:val="18"/>
    </w:rPr>
  </w:style>
  <w:style w:type="paragraph" w:customStyle="1" w:styleId="NewNewNewNew0">
    <w:name w:val="正文 New New New New"/>
    <w:qFormat/>
    <w:pPr>
      <w:widowControl w:val="0"/>
      <w:jc w:val="both"/>
    </w:pPr>
    <w:rPr>
      <w:kern w:val="2"/>
      <w:sz w:val="21"/>
      <w:szCs w:val="24"/>
    </w:rPr>
  </w:style>
  <w:style w:type="paragraph" w:customStyle="1" w:styleId="NewNewNewNewNewNew">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0">
    <w:name w:val="正文 New New New New New New"/>
    <w:qFormat/>
    <w:pPr>
      <w:widowControl w:val="0"/>
      <w:jc w:val="both"/>
    </w:pPr>
    <w:rPr>
      <w:kern w:val="2"/>
      <w:sz w:val="21"/>
      <w:szCs w:val="24"/>
    </w:rPr>
  </w:style>
  <w:style w:type="paragraph" w:customStyle="1" w:styleId="NewNewNewNewNewNewNew1">
    <w:name w:val="页眉 New New New New New New New"/>
    <w:basedOn w:val="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1">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0">
    <w:name w:val="页眉 New New New New New New New New New New New New New New New New New New New New New New New New New New New New"/>
    <w:basedOn w:val="New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页脚 New New New New New New New New New New New New New New New"/>
    <w:basedOn w:val="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NewNewNewNew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3">
    <w:name w:val="页眉 New New"/>
    <w:basedOn w:val="NewNew2"/>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1">
    <w:name w:val="页眉 New New New New New New New New New New New"/>
    <w:basedOn w:val="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页眉 New New New New New New New New New New New New New New New New"/>
    <w:basedOn w:val="NewNewNewNewNewNewNewNewNewNewNewNewNewNewNewNew1"/>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正文 New New New New New New New New New New New New New New New New"/>
    <w:qFormat/>
    <w:pPr>
      <w:widowControl w:val="0"/>
      <w:jc w:val="both"/>
    </w:pPr>
    <w:rPr>
      <w:kern w:val="2"/>
      <w:sz w:val="21"/>
      <w:szCs w:val="24"/>
    </w:rPr>
  </w:style>
  <w:style w:type="paragraph" w:customStyle="1" w:styleId="NewNewNewNew1">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页眉 New New New New New New New New New New New New New New New"/>
    <w:basedOn w:val="NewNewNewNewNewNewNewNewNewNewNewNewNewNewNew1"/>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正文 New New New New New New New New New New New New New New New"/>
    <w:qFormat/>
    <w:pPr>
      <w:widowControl w:val="0"/>
      <w:jc w:val="both"/>
    </w:pPr>
    <w:rPr>
      <w:kern w:val="2"/>
      <w:sz w:val="21"/>
      <w:szCs w:val="24"/>
    </w:rPr>
  </w:style>
  <w:style w:type="paragraph" w:customStyle="1" w:styleId="NewNewNewNewNewNewNewNewNewNewNewNewNewNewNewNewNewNew1">
    <w:name w:val="页脚 New New New New New New New New New New New New New New New New New New"/>
    <w:basedOn w:val="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1">
    <w:name w:val="页脚 New New New New New New New New New New New New New New New New New New New"/>
    <w:basedOn w:val="NewNewNewNewNewNew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0">
    <w:name w:val="页眉 New New New New New New New New New New New New New New New New New New New New New New New New New"/>
    <w:basedOn w:val="NewNew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34"/>
    <w:qFormat/>
    <w:pPr>
      <w:ind w:firstLineChars="200" w:firstLine="420"/>
    </w:pPr>
    <w:rPr>
      <w:rFonts w:ascii="Calibri" w:hAnsi="Calibri"/>
      <w:szCs w:val="22"/>
    </w:rPr>
  </w:style>
  <w:style w:type="character" w:customStyle="1" w:styleId="def">
    <w:name w:val="def"/>
    <w:basedOn w:val="a0"/>
    <w:qFormat/>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批注框文本 Char"/>
    <w:link w:val="a5"/>
    <w:uiPriority w:val="99"/>
    <w:semiHidden/>
    <w:qFormat/>
    <w:rPr>
      <w:rFonts w:ascii="宋体"/>
      <w:kern w:val="2"/>
      <w:sz w:val="18"/>
      <w:szCs w:val="18"/>
    </w:rPr>
  </w:style>
  <w:style w:type="character" w:customStyle="1" w:styleId="2Char">
    <w:name w:val="标题 2 Char"/>
    <w:basedOn w:val="a0"/>
    <w:link w:val="2"/>
    <w:uiPriority w:val="9"/>
    <w:qFormat/>
    <w:rPr>
      <w:rFonts w:ascii="宋体" w:hAnsi="宋体" w:cs="宋体"/>
      <w:b/>
      <w:bCs/>
      <w:sz w:val="36"/>
      <w:szCs w:val="36"/>
    </w:rPr>
  </w:style>
  <w:style w:type="character" w:customStyle="1" w:styleId="keyword">
    <w:name w:val="keyword"/>
    <w:basedOn w:val="a0"/>
    <w:qFormat/>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kern w:val="2"/>
    </w:rPr>
  </w:style>
  <w:style w:type="paragraph" w:customStyle="1" w:styleId="EndNoteBibliography">
    <w:name w:val="EndNote Bibliography"/>
    <w:basedOn w:val="a"/>
    <w:link w:val="EndNoteBibliographyChar"/>
    <w:qFormat/>
    <w:pPr>
      <w:jc w:val="left"/>
    </w:pPr>
    <w:rPr>
      <w:sz w:val="20"/>
    </w:rPr>
  </w:style>
  <w:style w:type="character" w:customStyle="1" w:styleId="EndNoteBibliographyChar">
    <w:name w:val="EndNote Bibliography Char"/>
    <w:basedOn w:val="a0"/>
    <w:link w:val="EndNoteBibliography"/>
    <w:qFormat/>
    <w:rPr>
      <w:kern w:val="2"/>
    </w:r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 w:type="paragraph" w:customStyle="1" w:styleId="1">
    <w:name w:val="列出段落1"/>
    <w:basedOn w:val="a"/>
    <w:uiPriority w:val="34"/>
    <w:qFormat/>
    <w:rsid w:val="002870CA"/>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Opportunistic_infec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yufangshi@sibs.ac.cn" TargetMode="External"/><Relationship Id="rId4" Type="http://schemas.microsoft.com/office/2007/relationships/stylesWithEffects" Target="stylesWithEffects.xml"/><Relationship Id="rId9" Type="http://schemas.openxmlformats.org/officeDocument/2006/relationships/hyperlink" Target="mailto:liubaochi@shaphc.or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1D44E-C1B2-4892-B25D-1B14C88D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6111</Words>
  <Characters>34837</Characters>
  <Application>Microsoft Office Word</Application>
  <DocSecurity>0</DocSecurity>
  <Lines>290</Lines>
  <Paragraphs>81</Paragraphs>
  <ScaleCrop>false</ScaleCrop>
  <Company>IHS</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分组</dc:title>
  <dc:creator>zhanglei</dc:creator>
  <cp:lastModifiedBy>Windows 用户</cp:lastModifiedBy>
  <cp:revision>97</cp:revision>
  <dcterms:created xsi:type="dcterms:W3CDTF">2015-04-20T04:13:00Z</dcterms:created>
  <dcterms:modified xsi:type="dcterms:W3CDTF">2018-03-22T02:49:00Z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