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4"/>
        </w:rPr>
      </w:pPr>
      <w:r>
        <w:rPr>
          <w:rFonts w:ascii="Times New Roman" w:cs="Times New Roman" w:hAnsi="Times New Roman"/>
          <w:b/>
          <w:sz w:val="28"/>
          <w:szCs w:val="24"/>
        </w:rPr>
        <w:t xml:space="preserve">Research Manuscript: </w:t>
      </w:r>
      <w:r>
        <w:rPr>
          <w:rFonts w:ascii="Times New Roman" w:cs="Times New Roman" w:hAnsi="Times New Roman"/>
          <w:b/>
          <w:bCs/>
          <w:sz w:val="28"/>
          <w:szCs w:val="28"/>
        </w:rPr>
        <w:t>Assessment of the care of acute pain among trauma patients in the largest tertiary hospital in Addis Ababa, Ethiopia: A prospective observational study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vertAlign w:val="superscript"/>
        </w:rPr>
      </w:pPr>
      <w:r>
        <w:rPr>
          <w:rFonts w:ascii="Times New Roman" w:cs="Times New Roman" w:hAnsi="Times New Roman"/>
          <w:sz w:val="24"/>
          <w:szCs w:val="24"/>
        </w:rPr>
        <w:t>Dr. Segni Kejela</w:t>
      </w:r>
      <w:r>
        <w:rPr>
          <w:rFonts w:ascii="Times New Roman" w:cs="Times New Roman" w:hAnsi="Times New Roman"/>
          <w:sz w:val="24"/>
          <w:szCs w:val="24"/>
          <w:vertAlign w:val="superscript"/>
        </w:rPr>
        <w:t>1*</w:t>
      </w:r>
      <w:r>
        <w:rPr>
          <w:rFonts w:ascii="Times New Roman" w:cs="Times New Roman" w:hAnsi="Times New Roman"/>
          <w:sz w:val="24"/>
          <w:szCs w:val="24"/>
          <w:vertAlign w:val="superscript"/>
        </w:rPr>
        <w:t xml:space="preserve"> </w:t>
      </w:r>
    </w:p>
    <w:p>
      <w:pPr>
        <w:pStyle w:val="style0"/>
        <w:rPr>
          <w:rFonts w:ascii="Times New Roman" w:cs="Times New Roman" w:hAnsi="Times New Roman"/>
          <w:sz w:val="26"/>
          <w:szCs w:val="26"/>
        </w:rPr>
      </w:pPr>
      <w:r>
        <w:rPr>
          <w:rFonts w:ascii="Times New Roman" w:cs="Times New Roman" w:hAnsi="Times New Roman"/>
          <w:sz w:val="26"/>
          <w:szCs w:val="26"/>
        </w:rPr>
        <w:t>Email: segnikejo@gmail.com</w:t>
      </w:r>
    </w:p>
    <w:p>
      <w:pPr>
        <w:pStyle w:val="style0"/>
        <w:rPr>
          <w:rFonts w:ascii="Times New Roman" w:cs="Times New Roman" w:hAnsi="Times New Roman"/>
          <w:sz w:val="24"/>
          <w:szCs w:val="24"/>
        </w:rPr>
      </w:pPr>
      <w:r>
        <w:rPr>
          <w:rFonts w:ascii="Times New Roman" w:cs="Times New Roman" w:hAnsi="Times New Roman"/>
          <w:sz w:val="24"/>
          <w:szCs w:val="24"/>
        </w:rPr>
        <w:t>Dr. Nebyou Seyoum</w:t>
      </w:r>
      <w:r>
        <w:rPr>
          <w:rFonts w:ascii="Times New Roman" w:cs="Times New Roman" w:hAnsi="Times New Roman"/>
          <w:sz w:val="24"/>
          <w:szCs w:val="24"/>
          <w:vertAlign w:val="superscript"/>
        </w:rPr>
        <w:t>1</w:t>
      </w:r>
    </w:p>
    <w:p>
      <w:pPr>
        <w:pStyle w:val="style0"/>
        <w:rPr>
          <w:rFonts w:ascii="Times New Roman" w:cs="Times New Roman" w:hAnsi="Times New Roman"/>
          <w:sz w:val="26"/>
          <w:szCs w:val="24"/>
        </w:rPr>
      </w:pPr>
      <w:r>
        <w:rPr>
          <w:rFonts w:ascii="Times New Roman" w:cs="Times New Roman" w:hAnsi="Times New Roman"/>
          <w:sz w:val="26"/>
          <w:szCs w:val="24"/>
        </w:rPr>
        <w:t>Email: nebyouss@yahoo.com</w:t>
      </w:r>
    </w:p>
    <w:p>
      <w:pPr>
        <w:pStyle w:val="style0"/>
        <w:rPr>
          <w:rFonts w:ascii="Times New Roman" w:cs="Times New Roman" w:hAnsi="Times New Roman"/>
          <w:sz w:val="24"/>
          <w:szCs w:val="24"/>
        </w:rPr>
      </w:pPr>
      <w:r>
        <w:rPr>
          <w:rFonts w:ascii="Times New Roman" w:cs="Times New Roman" w:hAnsi="Times New Roman"/>
          <w:sz w:val="24"/>
          <w:szCs w:val="24"/>
        </w:rPr>
        <w:t>1: Department of surgery, Tikur Anbessa Specialized Hospital, Addis Ababa University, College of Health Sciences, Ethiopia</w:t>
      </w:r>
    </w:p>
    <w:p>
      <w:pPr>
        <w:pStyle w:val="style0"/>
        <w:rPr>
          <w:rFonts w:ascii="Times New Roman" w:cs="Times New Roman" w:hAnsi="Times New Roman"/>
          <w:sz w:val="24"/>
          <w:szCs w:val="24"/>
        </w:rPr>
      </w:pPr>
      <w:r>
        <w:rPr>
          <w:rFonts w:ascii="Times New Roman" w:cs="Times New Roman" w:hAnsi="Times New Roman"/>
          <w:sz w:val="24"/>
          <w:szCs w:val="24"/>
        </w:rPr>
        <w:t>*: corresponding author</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Authorship</w:t>
      </w:r>
    </w:p>
    <w:p>
      <w:pPr>
        <w:pStyle w:val="style0"/>
        <w:jc w:val="both"/>
        <w:rPr>
          <w:rFonts w:ascii="Times New Roman" w:cs="Times New Roman" w:hAnsi="Times New Roman"/>
          <w:sz w:val="24"/>
          <w:szCs w:val="24"/>
        </w:rPr>
      </w:pPr>
      <w:r>
        <w:rPr>
          <w:rFonts w:ascii="Times New Roman" w:cs="Times New Roman" w:hAnsi="Times New Roman"/>
          <w:sz w:val="24"/>
          <w:szCs w:val="24"/>
        </w:rPr>
        <w:t>Segni Kejela conceptualized and developed the proposal and made the data collection formats for the data collector and participated in writing the discussion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Nebyou Seyoum edited the proposal and the data collection format. As well participated heavily in the manuscript generation. </w:t>
      </w:r>
    </w:p>
    <w:p>
      <w:pPr>
        <w:pStyle w:val="style0"/>
        <w:jc w:val="both"/>
        <w:rPr>
          <w:rFonts w:ascii="Times New Roman" w:cs="Times New Roman" w:hAnsi="Times New Roman"/>
          <w:b/>
          <w:sz w:val="24"/>
          <w:szCs w:val="24"/>
        </w:rPr>
      </w:pPr>
      <w:r>
        <w:rPr>
          <w:rFonts w:ascii="Times New Roman" w:cs="Times New Roman" w:hAnsi="Times New Roman"/>
          <w:b/>
          <w:sz w:val="24"/>
          <w:szCs w:val="24"/>
        </w:rPr>
        <w:br w:type="column"/>
      </w:r>
      <w:r>
        <w:rPr>
          <w:rFonts w:ascii="Times New Roman" w:cs="Times New Roman" w:hAnsi="Times New Roman"/>
          <w:b/>
          <w:sz w:val="24"/>
          <w:szCs w:val="24"/>
        </w:rPr>
        <w:t>Abstract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Background</w:t>
      </w:r>
      <w:r>
        <w:rPr>
          <w:rFonts w:ascii="Times New Roman" w:cs="Times New Roman" w:hAnsi="Times New Roman"/>
          <w:sz w:val="24"/>
          <w:szCs w:val="24"/>
        </w:rPr>
        <w:t xml:space="preserve">: Trauma and pain are heavily intertwined. It is a link between the event of trauma and chronic pain as well as Posttraumatic stress disorder and in fact, was linked to an increase in morbidity and mortality. </w:t>
      </w:r>
    </w:p>
    <w:p>
      <w:pPr>
        <w:pStyle w:val="style0"/>
        <w:jc w:val="both"/>
        <w:rPr>
          <w:rFonts w:ascii="Times New Roman" w:cs="Times New Roman" w:hAnsi="Times New Roman"/>
          <w:sz w:val="24"/>
          <w:szCs w:val="24"/>
        </w:rPr>
      </w:pPr>
      <w:r>
        <w:rPr>
          <w:rFonts w:ascii="Times New Roman" w:cs="Times New Roman" w:hAnsi="Times New Roman"/>
          <w:b/>
          <w:sz w:val="24"/>
          <w:szCs w:val="24"/>
        </w:rPr>
        <w:t>Methods</w:t>
      </w:r>
      <w:r>
        <w:rPr>
          <w:rFonts w:ascii="Times New Roman" w:cs="Times New Roman" w:hAnsi="Times New Roman"/>
          <w:sz w:val="24"/>
          <w:szCs w:val="24"/>
        </w:rPr>
        <w:t>: This is an institution based provider and patient blinded observational study on consecutive patients treated at the emergency department with no prior pain management at peripheral hospital presenting within 24 hou</w:t>
      </w:r>
      <w:r>
        <w:rPr>
          <w:rFonts w:ascii="Times New Roman" w:cs="Times New Roman" w:hAnsi="Times New Roman"/>
          <w:sz w:val="24"/>
          <w:szCs w:val="24"/>
        </w:rPr>
        <w:t>rs of the traumatic event over 3</w:t>
      </w:r>
      <w:r>
        <w:rPr>
          <w:rFonts w:ascii="Times New Roman" w:cs="Times New Roman" w:hAnsi="Times New Roman"/>
          <w:sz w:val="24"/>
          <w:szCs w:val="24"/>
        </w:rPr>
        <w:t xml:space="preserve"> months.</w:t>
      </w:r>
    </w:p>
    <w:p>
      <w:pPr>
        <w:pStyle w:val="style0"/>
        <w:jc w:val="both"/>
        <w:rPr>
          <w:rFonts w:ascii="Times New Roman" w:cs="Times New Roman" w:hAnsi="Times New Roman"/>
          <w:sz w:val="24"/>
          <w:szCs w:val="24"/>
        </w:rPr>
      </w:pPr>
      <w:r>
        <w:rPr>
          <w:rFonts w:ascii="Times New Roman" w:cs="Times New Roman" w:hAnsi="Times New Roman"/>
          <w:b/>
          <w:sz w:val="24"/>
          <w:szCs w:val="24"/>
        </w:rPr>
        <w:t>Results</w:t>
      </w:r>
      <w:r>
        <w:rPr>
          <w:rFonts w:ascii="Times New Roman" w:cs="Times New Roman" w:hAnsi="Times New Roman"/>
          <w:sz w:val="24"/>
          <w:szCs w:val="24"/>
        </w:rPr>
        <w:t>: A total of 74 patients were evaluated with pain scoring at 0%. The researcher provided pain scoring showed a severe subjective pain score of 79.7% and a severe functional activity score of 59.5%. Analgesia was provided in 55.4±35.3 minutes and all patients received Diclofenac or Tramadol and all patients who received Diclofenac were in the severe pain group. Satisfactory pain reduction after analgesia for patients initially complaining severe pain, designated as WHO ladder III patients was at 28.8%, for moderate pain as determined with presumed WHO ladder II designation was at 54.6% and for mild at 66.7% when scoring was based on subjective pain score in post-analgesia course with the difference being statistically significant(p-value: 0.05). 40% of patients discharged to the home received no analgesia after the first dose provided upon presentation.</w:t>
      </w:r>
    </w:p>
    <w:p>
      <w:pPr>
        <w:pStyle w:val="style0"/>
        <w:jc w:val="both"/>
        <w:rPr>
          <w:rFonts w:ascii="Times New Roman" w:cs="Times New Roman" w:hAnsi="Times New Roman"/>
          <w:sz w:val="24"/>
          <w:szCs w:val="24"/>
        </w:rPr>
      </w:pPr>
      <w:r>
        <w:rPr>
          <w:rFonts w:ascii="Times New Roman" w:cs="Times New Roman" w:hAnsi="Times New Roman"/>
          <w:b/>
          <w:sz w:val="24"/>
          <w:szCs w:val="24"/>
        </w:rPr>
        <w:t>Conclusion</w:t>
      </w:r>
      <w:r>
        <w:rPr>
          <w:rFonts w:ascii="Times New Roman" w:cs="Times New Roman" w:hAnsi="Times New Roman"/>
          <w:sz w:val="24"/>
          <w:szCs w:val="24"/>
        </w:rPr>
        <w:t xml:space="preserve">: Pain scoring was non-existent during the study course.. The poor rate of utilization of combination analgesia and Opioid utilization has led to unsatisfactory pain outcomes in patients evaluated and followed for 24 hours after presentation.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Acute trauma, Analgesics, Pain scoring, Narcotics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Background</w:t>
      </w:r>
    </w:p>
    <w:p>
      <w:pPr>
        <w:pStyle w:val="style0"/>
        <w:jc w:val="both"/>
        <w:rPr>
          <w:rFonts w:ascii="Times New Roman" w:cs="Times New Roman" w:hAnsi="Times New Roman"/>
          <w:sz w:val="24"/>
          <w:szCs w:val="24"/>
        </w:rPr>
      </w:pPr>
      <w:r>
        <w:rPr>
          <w:rFonts w:ascii="Times New Roman" w:cs="Times New Roman" w:hAnsi="Times New Roman"/>
          <w:sz w:val="24"/>
          <w:szCs w:val="24"/>
        </w:rPr>
        <w:t>Trauma is a global burden with a reported 973 million injuries needing a certain level of medical attention, 4.8 million trauma-related deaths, and DALY of 247.6 million life-years in total in 2013 alone.[1] Furthermore, in 2014 WHO report on the global burden of trauma, it is reported that trauma-related deaths share 9% of the total death toll worldwide [2] Age group predominantly affected are the younger, productive part of the population with</w:t>
      </w:r>
      <w:r>
        <w:rPr>
          <w:rFonts w:ascii="Times New Roman" w:cs="Times New Roman" w:hAnsi="Times New Roman"/>
          <w:sz w:val="24"/>
          <w:szCs w:val="24"/>
        </w:rPr>
        <w:t xml:space="preserve"> median age bein</w:t>
      </w:r>
      <w:r>
        <w:rPr>
          <w:rFonts w:ascii="Times New Roman" w:cs="Times New Roman" w:hAnsi="Times New Roman"/>
          <w:sz w:val="24"/>
          <w:szCs w:val="24"/>
        </w:rPr>
        <w:t xml:space="preserve"> 30</w:t>
      </w:r>
      <w:r>
        <w:rPr>
          <w:rFonts w:ascii="Times New Roman" w:cs="Times New Roman" w:hAnsi="Times New Roman"/>
          <w:sz w:val="24"/>
          <w:szCs w:val="24"/>
        </w:rPr>
        <w:t xml:space="preserve"> years</w:t>
      </w:r>
      <w:r>
        <w:rPr>
          <w:rFonts w:ascii="Times New Roman" w:cs="Times New Roman" w:hAnsi="Times New Roman"/>
          <w:sz w:val="24"/>
          <w:szCs w:val="24"/>
        </w:rPr>
        <w:t>, mean age of 33+/-11 years and 75% of the victims lie in the age group of 15-45 years of age [3,4]. Ethiopian experience is somewhat simil</w:t>
      </w:r>
      <w:r>
        <w:rPr>
          <w:rFonts w:ascii="Times New Roman" w:cs="Times New Roman" w:hAnsi="Times New Roman"/>
          <w:sz w:val="24"/>
          <w:szCs w:val="24"/>
        </w:rPr>
        <w:t>ar to the global trend</w:t>
      </w:r>
      <w:r>
        <w:rPr>
          <w:rFonts w:ascii="Times New Roman" w:cs="Times New Roman" w:hAnsi="Times New Roman"/>
          <w:sz w:val="24"/>
          <w:szCs w:val="24"/>
        </w:rPr>
        <w:t>. The age of 30 years being the median with the mean distribution of 35+/-13.5years in one study conducted in the capital of Ethiopia, Addis Ababa [5].</w:t>
      </w:r>
    </w:p>
    <w:p>
      <w:pPr>
        <w:pStyle w:val="style0"/>
        <w:jc w:val="both"/>
        <w:rPr>
          <w:rFonts w:ascii="Times New Roman" w:cs="Times New Roman" w:hAnsi="Times New Roman"/>
          <w:sz w:val="24"/>
          <w:szCs w:val="24"/>
        </w:rPr>
      </w:pPr>
      <w:r>
        <w:rPr>
          <w:rFonts w:ascii="Times New Roman" w:cs="Times New Roman" w:hAnsi="Times New Roman"/>
          <w:sz w:val="24"/>
          <w:szCs w:val="24"/>
        </w:rPr>
        <w:t>Trauma and pain are heavily intertwined. This can be evidenced by studies on the prevalence of pain upon admission and discharge among trauma patients showing a prevalence of 91% on admission and 86% on discharge</w:t>
      </w:r>
      <w:r>
        <w:rPr>
          <w:rFonts w:ascii="Times New Roman" w:cs="Times New Roman" w:hAnsi="Times New Roman"/>
          <w:sz w:val="24"/>
          <w:szCs w:val="24"/>
        </w:rPr>
        <w:t xml:space="preserve"> </w:t>
      </w:r>
      <w:r>
        <w:rPr>
          <w:rFonts w:ascii="Times New Roman" w:cs="Times New Roman" w:hAnsi="Times New Roman"/>
          <w:sz w:val="24"/>
          <w:szCs w:val="24"/>
        </w:rPr>
        <w:t>[6</w:t>
      </w:r>
      <w:r>
        <w:rPr>
          <w:rFonts w:ascii="Times New Roman" w:cs="Times New Roman" w:hAnsi="Times New Roman"/>
          <w:sz w:val="24"/>
          <w:szCs w:val="24"/>
        </w:rPr>
        <w:t>].</w:t>
      </w:r>
      <w:r>
        <w:rPr>
          <w:rFonts w:ascii="Times New Roman" w:cs="Times New Roman" w:hAnsi="Times New Roman"/>
          <w:sz w:val="24"/>
          <w:szCs w:val="24"/>
        </w:rPr>
        <w:t xml:space="preserve"> The relationship between trauma and pain goes beyond the emergency rooms and surgical wards to the chronic possibly lifelong complaint. One large scale study done in the USA on over 3000 patients with major trauma reported that one year after trauma, 62.7% of the patients complained pain on the site of injury with pain severity in the moderate range (5.5 in the 10 point pain score scale) [7].  </w:t>
      </w:r>
    </w:p>
    <w:p>
      <w:pPr>
        <w:pStyle w:val="style0"/>
        <w:jc w:val="both"/>
        <w:rPr>
          <w:rFonts w:ascii="Times New Roman" w:cs="Times New Roman" w:hAnsi="Times New Roman"/>
          <w:sz w:val="24"/>
          <w:szCs w:val="24"/>
        </w:rPr>
      </w:pPr>
      <w:r>
        <w:rPr>
          <w:rFonts w:ascii="Times New Roman" w:cs="Times New Roman" w:hAnsi="Times New Roman"/>
          <w:sz w:val="24"/>
          <w:szCs w:val="24"/>
        </w:rPr>
        <w:t>Pain in trauma patients potentiates the stress response which increases tachycardia, oxygen consumption, hypercoagulation, and immunosuppression with alteration of the physiologic response to the likes of ventilation all ending up prolonging and outlasting the recovery time. [8]  Consequently, management of pain in trauma patients have had a positive impact on patient outcomes beyond the psychological relief with an overall decrement in morbidity and mortality.[9] Yet, adequate and organized pain management in trauma patients hasn't always been practiced in many trauma centers, and especially so in developing countries [10]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Ethiopia, a study in trauma and as well in pain is not deep-rooted and quite scarce in the literature. So, </w:t>
      </w:r>
      <w:r>
        <w:rPr>
          <w:rFonts w:ascii="Times New Roman" w:cs="Times New Roman" w:hAnsi="Times New Roman"/>
          <w:sz w:val="24"/>
          <w:szCs w:val="24"/>
        </w:rPr>
        <w:t>this study is aimed at determining the adequacy of pain management among acute trauma patients in the emergency department at a level III hospital and assesses the practice of evaluation for pain,</w:t>
      </w:r>
      <w:r>
        <w:rPr>
          <w:rFonts w:ascii="Times New Roman" w:cs="Times New Roman" w:hAnsi="Times New Roman"/>
          <w:sz w:val="24"/>
          <w:szCs w:val="24"/>
        </w:rPr>
        <w:t xml:space="preserve"> organized pain care and follow-</w:t>
      </w:r>
      <w:r>
        <w:rPr>
          <w:rFonts w:ascii="Times New Roman" w:cs="Times New Roman" w:hAnsi="Times New Roman"/>
          <w:sz w:val="24"/>
          <w:szCs w:val="24"/>
        </w:rPr>
        <w:t>up of patients in pain, and possible changes in the management of pain based on reevaluation by treating team.</w:t>
      </w:r>
    </w:p>
    <w:p>
      <w:pPr>
        <w:pStyle w:val="style0"/>
        <w:jc w:val="both"/>
        <w:rPr>
          <w:rFonts w:ascii="Times New Roman" w:cs="Times New Roman" w:hAnsi="Times New Roman"/>
          <w:b/>
          <w:sz w:val="24"/>
          <w:szCs w:val="24"/>
        </w:rPr>
      </w:pPr>
      <w:r>
        <w:rPr>
          <w:rFonts w:ascii="Times New Roman" w:cs="Times New Roman" w:hAnsi="Times New Roman"/>
          <w:b/>
          <w:sz w:val="24"/>
          <w:szCs w:val="24"/>
        </w:rPr>
        <w:t>Methods</w:t>
      </w:r>
    </w:p>
    <w:p>
      <w:pPr>
        <w:pStyle w:val="style0"/>
        <w:jc w:val="both"/>
        <w:rPr>
          <w:rFonts w:ascii="Times New Roman" w:cs="Times New Roman" w:hAnsi="Times New Roman"/>
          <w:b/>
          <w:sz w:val="24"/>
          <w:szCs w:val="24"/>
        </w:rPr>
      </w:pPr>
      <w:r>
        <w:rPr>
          <w:rFonts w:ascii="Times New Roman" w:cs="Times New Roman" w:hAnsi="Times New Roman"/>
          <w:b/>
          <w:sz w:val="24"/>
          <w:szCs w:val="24"/>
        </w:rPr>
        <w:t>Study design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study is a facility-based observational study with data gathered from the patients and their charts over 3 months.  The survey design was aimed at providing descriptive data of the acute pain care among trauma patients in the mentioned Hospital with a follow-up period of 24 hours for every patient or until discharge with each observation commencing from the patient </w:t>
      </w:r>
      <w:r>
        <w:rPr>
          <w:rFonts w:ascii="Times New Roman" w:cs="Times New Roman" w:hAnsi="Times New Roman"/>
          <w:sz w:val="24"/>
          <w:szCs w:val="24"/>
        </w:rPr>
        <w:t xml:space="preserve">presentation. It is a blinded study (both the patient and the treating team were no notified of the study to avoid observational bias). </w:t>
      </w:r>
    </w:p>
    <w:p>
      <w:pPr>
        <w:pStyle w:val="style0"/>
        <w:jc w:val="both"/>
        <w:rPr>
          <w:rFonts w:ascii="Times New Roman" w:cs="Times New Roman" w:hAnsi="Times New Roman"/>
          <w:b/>
          <w:sz w:val="24"/>
          <w:szCs w:val="24"/>
        </w:rPr>
      </w:pPr>
      <w:r>
        <w:rPr>
          <w:rFonts w:ascii="Times New Roman" w:cs="Times New Roman" w:hAnsi="Times New Roman"/>
          <w:b/>
          <w:sz w:val="24"/>
          <w:szCs w:val="24"/>
        </w:rPr>
        <w:t>Study setting</w:t>
      </w:r>
    </w:p>
    <w:p>
      <w:pPr>
        <w:pStyle w:val="style0"/>
        <w:jc w:val="both"/>
        <w:rPr>
          <w:rFonts w:ascii="Times New Roman" w:cs="Times New Roman" w:hAnsi="Times New Roman"/>
          <w:sz w:val="24"/>
          <w:szCs w:val="24"/>
        </w:rPr>
      </w:pPr>
      <w:r>
        <w:rPr>
          <w:rFonts w:ascii="Times New Roman" w:cs="Times New Roman" w:hAnsi="Times New Roman"/>
          <w:sz w:val="24"/>
          <w:szCs w:val="24"/>
        </w:rPr>
        <w:t>Tikur Anbessa specialized Hospital</w:t>
      </w:r>
      <w:r>
        <w:rPr>
          <w:rFonts w:ascii="Times New Roman" w:cs="Times New Roman" w:hAnsi="Times New Roman"/>
          <w:sz w:val="24"/>
          <w:szCs w:val="24"/>
        </w:rPr>
        <w:t xml:space="preserve"> is the</w:t>
      </w:r>
      <w:r>
        <w:rPr>
          <w:rFonts w:ascii="Times New Roman" w:cs="Times New Roman" w:hAnsi="Times New Roman"/>
          <w:sz w:val="24"/>
          <w:szCs w:val="24"/>
        </w:rPr>
        <w:t xml:space="preserve"> largest </w:t>
      </w:r>
      <w:r>
        <w:rPr>
          <w:rFonts w:ascii="Times New Roman" w:cs="Times New Roman" w:hAnsi="Times New Roman"/>
          <w:sz w:val="24"/>
          <w:szCs w:val="24"/>
        </w:rPr>
        <w:t xml:space="preserve">and is the busiest </w:t>
      </w:r>
      <w:r>
        <w:rPr>
          <w:rFonts w:ascii="Times New Roman" w:cs="Times New Roman" w:hAnsi="Times New Roman"/>
          <w:sz w:val="24"/>
          <w:szCs w:val="24"/>
        </w:rPr>
        <w:t>public hospitals in Ethiopia</w:t>
      </w:r>
      <w:r>
        <w:rPr>
          <w:rFonts w:ascii="Times New Roman" w:cs="Times New Roman" w:hAnsi="Times New Roman"/>
          <w:sz w:val="24"/>
          <w:szCs w:val="24"/>
        </w:rPr>
        <w:t xml:space="preserve">. </w:t>
      </w:r>
      <w:r>
        <w:rPr>
          <w:rFonts w:ascii="Times New Roman" w:cs="Times New Roman" w:hAnsi="Times New Roman"/>
          <w:sz w:val="24"/>
          <w:szCs w:val="24"/>
        </w:rPr>
        <w:t>It serve</w:t>
      </w:r>
      <w:r>
        <w:rPr>
          <w:rFonts w:ascii="Times New Roman" w:cs="Times New Roman" w:hAnsi="Times New Roman"/>
          <w:sz w:val="24"/>
          <w:szCs w:val="24"/>
        </w:rPr>
        <w:t>s</w:t>
      </w:r>
      <w:r>
        <w:rPr>
          <w:rFonts w:ascii="Times New Roman" w:cs="Times New Roman" w:hAnsi="Times New Roman"/>
          <w:sz w:val="24"/>
          <w:szCs w:val="24"/>
        </w:rPr>
        <w:t xml:space="preserve"> close to 5</w:t>
      </w:r>
      <w:r>
        <w:rPr>
          <w:rFonts w:ascii="Times New Roman" w:cs="Times New Roman" w:hAnsi="Times New Roman"/>
          <w:sz w:val="24"/>
          <w:szCs w:val="24"/>
        </w:rPr>
        <w:t>00,000 patients a year with 24 hours</w:t>
      </w:r>
      <w:r>
        <w:rPr>
          <w:rFonts w:ascii="Times New Roman" w:cs="Times New Roman" w:hAnsi="Times New Roman"/>
          <w:sz w:val="24"/>
          <w:szCs w:val="24"/>
        </w:rPr>
        <w:t>,</w:t>
      </w:r>
      <w:r>
        <w:rPr>
          <w:rFonts w:ascii="Times New Roman" w:cs="Times New Roman" w:hAnsi="Times New Roman"/>
          <w:sz w:val="24"/>
          <w:szCs w:val="24"/>
        </w:rPr>
        <w:t xml:space="preserve"> 7 days a week emergency services provided alongside elective and emergency multidisciplinary surgical services</w:t>
      </w:r>
      <w:r>
        <w:rPr>
          <w:rFonts w:ascii="Times New Roman" w:cs="Times New Roman" w:hAnsi="Times New Roman"/>
          <w:sz w:val="24"/>
          <w:szCs w:val="24"/>
        </w:rPr>
        <w:t xml:space="preserve"> at a level III designation</w:t>
      </w:r>
      <w:r>
        <w:rPr>
          <w:rFonts w:ascii="Times New Roman" w:cs="Times New Roman" w:hAnsi="Times New Roman"/>
          <w:sz w:val="24"/>
          <w:szCs w:val="24"/>
        </w:rPr>
        <w:t xml:space="preserve">. </w:t>
      </w:r>
      <w:r>
        <w:rPr>
          <w:rFonts w:ascii="Times New Roman" w:cs="Times New Roman" w:hAnsi="Times New Roman"/>
          <w:sz w:val="24"/>
          <w:szCs w:val="24"/>
        </w:rPr>
        <w:t>Data collection lasted</w:t>
      </w:r>
      <w:r>
        <w:rPr>
          <w:rFonts w:ascii="Times New Roman" w:cs="Times New Roman" w:hAnsi="Times New Roman"/>
          <w:sz w:val="24"/>
          <w:szCs w:val="24"/>
        </w:rPr>
        <w:t xml:space="preserve"> for</w:t>
      </w:r>
      <w:r>
        <w:rPr>
          <w:rFonts w:ascii="Times New Roman" w:cs="Times New Roman" w:hAnsi="Times New Roman"/>
          <w:sz w:val="24"/>
          <w:szCs w:val="24"/>
        </w:rPr>
        <w:t xml:space="preserve"> 3 months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Study participants</w:t>
      </w:r>
    </w:p>
    <w:p>
      <w:pPr>
        <w:pStyle w:val="style0"/>
        <w:jc w:val="both"/>
        <w:rPr>
          <w:rFonts w:ascii="Times New Roman" w:cs="Times New Roman" w:hAnsi="Times New Roman"/>
          <w:sz w:val="24"/>
          <w:szCs w:val="24"/>
        </w:rPr>
      </w:pPr>
      <w:r>
        <w:rPr>
          <w:rFonts w:ascii="Times New Roman" w:cs="Times New Roman" w:hAnsi="Times New Roman"/>
          <w:sz w:val="24"/>
          <w:szCs w:val="24"/>
        </w:rPr>
        <w:t>All patients treated for trauma, alive, dead, admitted, observed, discharged, or ref</w:t>
      </w:r>
      <w:r>
        <w:rPr>
          <w:rFonts w:ascii="Times New Roman" w:cs="Times New Roman" w:hAnsi="Times New Roman"/>
          <w:sz w:val="24"/>
          <w:szCs w:val="24"/>
        </w:rPr>
        <w:t xml:space="preserve">erred were </w:t>
      </w:r>
      <w:r>
        <w:rPr>
          <w:rFonts w:ascii="Times New Roman" w:cs="Times New Roman" w:hAnsi="Times New Roman"/>
          <w:sz w:val="24"/>
          <w:szCs w:val="24"/>
        </w:rPr>
        <w:t>evaluated with survey format as long as they present within 24 hours of trauma and no analgesia prov</w:t>
      </w:r>
      <w:r>
        <w:rPr>
          <w:rFonts w:ascii="Times New Roman" w:cs="Times New Roman" w:hAnsi="Times New Roman"/>
          <w:sz w:val="24"/>
          <w:szCs w:val="24"/>
        </w:rPr>
        <w:t xml:space="preserve">ided at the referring hospital. </w:t>
      </w:r>
    </w:p>
    <w:p>
      <w:pPr>
        <w:pStyle w:val="style0"/>
        <w:jc w:val="both"/>
        <w:rPr>
          <w:rFonts w:ascii="Times New Roman" w:cs="Times New Roman" w:hAnsi="Times New Roman"/>
          <w:b/>
          <w:sz w:val="24"/>
          <w:szCs w:val="24"/>
        </w:rPr>
      </w:pPr>
      <w:r>
        <w:rPr>
          <w:rFonts w:ascii="Times New Roman" w:cs="Times New Roman" w:hAnsi="Times New Roman"/>
          <w:b/>
          <w:sz w:val="24"/>
          <w:szCs w:val="24"/>
        </w:rPr>
        <w:t>Inclusion criteria</w:t>
      </w:r>
    </w:p>
    <w:p>
      <w:pPr>
        <w:pStyle w:val="style0"/>
        <w:jc w:val="both"/>
        <w:rPr>
          <w:rFonts w:ascii="Times New Roman" w:cs="Times New Roman" w:hAnsi="Times New Roman"/>
          <w:sz w:val="24"/>
          <w:szCs w:val="24"/>
        </w:rPr>
      </w:pPr>
      <w:r>
        <w:rPr>
          <w:rFonts w:ascii="Times New Roman" w:cs="Times New Roman" w:hAnsi="Times New Roman"/>
          <w:sz w:val="24"/>
          <w:szCs w:val="24"/>
        </w:rPr>
        <w:t>All trauma patients presented within 24 hours of trauma and treated at Tikur Anbessa Specialized Hospital, eme</w:t>
      </w:r>
      <w:r>
        <w:rPr>
          <w:rFonts w:ascii="Times New Roman" w:cs="Times New Roman" w:hAnsi="Times New Roman"/>
          <w:sz w:val="24"/>
          <w:szCs w:val="24"/>
        </w:rPr>
        <w:t>rgency department in the 3</w:t>
      </w:r>
      <w:r>
        <w:rPr>
          <w:rFonts w:ascii="Times New Roman" w:cs="Times New Roman" w:hAnsi="Times New Roman"/>
          <w:sz w:val="24"/>
          <w:szCs w:val="24"/>
        </w:rPr>
        <w:t xml:space="preserve"> consecutive months</w:t>
      </w:r>
      <w:r>
        <w:rPr>
          <w:rFonts w:ascii="Times New Roman" w:cs="Times New Roman" w:hAnsi="Times New Roman"/>
          <w:sz w:val="24"/>
          <w:szCs w:val="24"/>
        </w:rPr>
        <w:t xml:space="preserve"> </w:t>
      </w:r>
      <w:r>
        <w:rPr>
          <w:rFonts w:ascii="Times New Roman" w:cs="Times New Roman" w:hAnsi="Times New Roman"/>
          <w:sz w:val="24"/>
          <w:szCs w:val="24"/>
        </w:rPr>
        <w:t>of 2020.</w:t>
      </w:r>
    </w:p>
    <w:p>
      <w:pPr>
        <w:pStyle w:val="style0"/>
        <w:jc w:val="both"/>
        <w:rPr>
          <w:rFonts w:ascii="Times New Roman" w:cs="Times New Roman" w:hAnsi="Times New Roman"/>
          <w:b/>
          <w:sz w:val="24"/>
          <w:szCs w:val="24"/>
        </w:rPr>
      </w:pPr>
      <w:r>
        <w:rPr>
          <w:rFonts w:ascii="Times New Roman" w:cs="Times New Roman" w:hAnsi="Times New Roman"/>
          <w:b/>
          <w:sz w:val="24"/>
          <w:szCs w:val="24"/>
        </w:rPr>
        <w:t>Exclusion criteria</w:t>
      </w:r>
    </w:p>
    <w:p>
      <w:pPr>
        <w:pStyle w:val="style0"/>
        <w:jc w:val="both"/>
        <w:rPr>
          <w:rFonts w:ascii="Times New Roman" w:cs="Times New Roman" w:hAnsi="Times New Roman"/>
          <w:sz w:val="24"/>
          <w:szCs w:val="24"/>
        </w:rPr>
      </w:pPr>
      <w:r>
        <w:rPr>
          <w:rFonts w:ascii="Times New Roman" w:cs="Times New Roman" w:hAnsi="Times New Roman"/>
          <w:sz w:val="24"/>
          <w:szCs w:val="24"/>
        </w:rPr>
        <w:t>Patients presented more than 24 hours, post-incident. And those segments of trauma patients who had been treated with analgesic at periphery Hospitals or any health facilities</w:t>
      </w:r>
    </w:p>
    <w:p>
      <w:pPr>
        <w:pStyle w:val="style0"/>
        <w:jc w:val="both"/>
        <w:rPr>
          <w:rFonts w:ascii="Times New Roman" w:cs="Times New Roman" w:hAnsi="Times New Roman"/>
          <w:b/>
          <w:sz w:val="24"/>
          <w:szCs w:val="24"/>
        </w:rPr>
      </w:pPr>
      <w:r>
        <w:rPr>
          <w:rFonts w:ascii="Times New Roman" w:cs="Times New Roman" w:hAnsi="Times New Roman"/>
          <w:b/>
          <w:sz w:val="24"/>
          <w:szCs w:val="24"/>
        </w:rPr>
        <w:t>Study variables</w:t>
      </w:r>
    </w:p>
    <w:p>
      <w:pPr>
        <w:pStyle w:val="style0"/>
        <w:jc w:val="both"/>
        <w:rPr>
          <w:rFonts w:ascii="Times New Roman" w:cs="Times New Roman" w:hAnsi="Times New Roman"/>
          <w:b/>
          <w:sz w:val="24"/>
          <w:szCs w:val="24"/>
        </w:rPr>
      </w:pPr>
      <w:r>
        <w:rPr>
          <w:rFonts w:ascii="Times New Roman" w:cs="Times New Roman" w:hAnsi="Times New Roman"/>
          <w:b/>
          <w:sz w:val="24"/>
          <w:szCs w:val="24"/>
        </w:rPr>
        <w:t>Independent Variables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Age, sex, occupation, region, time of arrival (day/night), </w:t>
      </w:r>
      <w:r>
        <w:rPr>
          <w:rFonts w:ascii="Times New Roman" w:cs="Times New Roman" w:hAnsi="Times New Roman"/>
          <w:sz w:val="24"/>
          <w:szCs w:val="24"/>
        </w:rPr>
        <w:t>Duration of trauma from the presentation</w:t>
      </w:r>
      <w:r>
        <w:rPr>
          <w:rFonts w:ascii="Times New Roman" w:cs="Times New Roman" w:hAnsi="Times New Roman"/>
          <w:sz w:val="24"/>
          <w:szCs w:val="24"/>
        </w:rPr>
        <w:t>, trauma anatomic site, mechanism of injury, the outcome of trauma</w:t>
      </w:r>
      <w:r>
        <w:rPr>
          <w:rFonts w:ascii="Times New Roman" w:cs="Times New Roman" w:hAnsi="Times New Roman"/>
          <w:sz w:val="24"/>
          <w:szCs w:val="24"/>
        </w:rPr>
        <w:t xml:space="preserve">, level of training of evaluating physician </w:t>
      </w:r>
    </w:p>
    <w:p>
      <w:pPr>
        <w:pStyle w:val="style0"/>
        <w:jc w:val="both"/>
        <w:rPr>
          <w:rFonts w:ascii="Times New Roman" w:cs="Times New Roman" w:hAnsi="Times New Roman"/>
          <w:b/>
          <w:sz w:val="24"/>
          <w:szCs w:val="24"/>
        </w:rPr>
      </w:pPr>
      <w:r>
        <w:rPr>
          <w:rFonts w:ascii="Times New Roman" w:cs="Times New Roman" w:hAnsi="Times New Roman"/>
          <w:b/>
          <w:sz w:val="24"/>
          <w:szCs w:val="24"/>
        </w:rPr>
        <w:t>Dependent variables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Pain scoring documentation, type of analgesic given and dose, delay of analgesic from presentation in hours, pain rescoring after analgesia, interval between analgesia, change in analgesics. </w:t>
      </w:r>
    </w:p>
    <w:p>
      <w:pPr>
        <w:pStyle w:val="style0"/>
        <w:jc w:val="both"/>
        <w:rPr>
          <w:rFonts w:ascii="Times New Roman" w:cs="Times New Roman" w:hAnsi="Times New Roman"/>
          <w:b/>
          <w:sz w:val="24"/>
          <w:szCs w:val="24"/>
        </w:rPr>
      </w:pPr>
      <w:r>
        <w:rPr>
          <w:rFonts w:ascii="Times New Roman" w:cs="Times New Roman" w:hAnsi="Times New Roman"/>
          <w:b/>
          <w:sz w:val="24"/>
          <w:szCs w:val="24"/>
        </w:rPr>
        <w:t>Ethical consideration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Before data collection, Ethical clearance will be obtained from the Research Ethics Committee of Faculty of Medicine, AAU </w:t>
      </w:r>
      <w:r>
        <w:rPr>
          <w:rFonts w:ascii="Times New Roman" w:cs="Times New Roman" w:hAnsi="Times New Roman"/>
          <w:sz w:val="24"/>
          <w:szCs w:val="24"/>
        </w:rPr>
        <w:t xml:space="preserve">at the department of surgery level. </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Operational definition</w:t>
      </w:r>
    </w:p>
    <w:p>
      <w:pPr>
        <w:pStyle w:val="style0"/>
        <w:jc w:val="both"/>
        <w:rPr>
          <w:rFonts w:ascii="Times New Roman" w:cs="Times New Roman" w:hAnsi="Times New Roman"/>
          <w:sz w:val="24"/>
          <w:szCs w:val="24"/>
        </w:rPr>
      </w:pPr>
      <w:r>
        <w:rPr>
          <w:rFonts w:ascii="Times New Roman" w:cs="Times New Roman" w:hAnsi="Times New Roman"/>
          <w:sz w:val="24"/>
          <w:szCs w:val="24"/>
        </w:rPr>
        <w:t>Trauma patients: a segment of emergency patients presented with physical injury after inflicted insult to body part from external physical force.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Acute pain: Pain of the subject of study from incident to 24 hours post-trauma. </w:t>
      </w:r>
    </w:p>
    <w:p>
      <w:pPr>
        <w:pStyle w:val="style0"/>
        <w:jc w:val="both"/>
        <w:rPr>
          <w:rFonts w:ascii="Times New Roman" w:cs="Times New Roman" w:hAnsi="Times New Roman"/>
          <w:sz w:val="24"/>
          <w:szCs w:val="24"/>
        </w:rPr>
      </w:pPr>
      <w:r>
        <w:rPr>
          <w:rFonts w:ascii="Times New Roman" w:cs="Times New Roman" w:hAnsi="Times New Roman"/>
          <w:sz w:val="24"/>
          <w:szCs w:val="24"/>
        </w:rPr>
        <w:t>Pain score: The score determining the severity of experienced pain by the patient.</w:t>
      </w:r>
    </w:p>
    <w:p>
      <w:pPr>
        <w:pStyle w:val="style0"/>
        <w:jc w:val="both"/>
        <w:rPr>
          <w:rFonts w:ascii="Times New Roman" w:cs="Times New Roman" w:hAnsi="Times New Roman"/>
          <w:sz w:val="24"/>
          <w:szCs w:val="24"/>
        </w:rPr>
      </w:pPr>
      <w:r>
        <w:rPr>
          <w:rFonts w:ascii="Times New Roman" w:cs="Times New Roman" w:hAnsi="Times New Roman"/>
          <w:sz w:val="24"/>
          <w:szCs w:val="24"/>
        </w:rPr>
        <w:t>Functional activity score(FAS): a form of pain scoring using the functional parameters of the extent of activity restricted by the location of the body affected (this includes deep breathing, coughing in the case of chest injury and standing and walking for limb injuries)</w:t>
      </w:r>
    </w:p>
    <w:p>
      <w:pPr>
        <w:pStyle w:val="style0"/>
        <w:jc w:val="both"/>
        <w:rPr>
          <w:rFonts w:ascii="Times New Roman" w:cs="Times New Roman" w:hAnsi="Times New Roman"/>
          <w:sz w:val="24"/>
          <w:szCs w:val="24"/>
        </w:rPr>
      </w:pPr>
      <w:r>
        <w:rPr>
          <w:rFonts w:ascii="Times New Roman" w:cs="Times New Roman" w:hAnsi="Times New Roman"/>
          <w:sz w:val="24"/>
          <w:szCs w:val="24"/>
        </w:rPr>
        <w:t>In the FAS, there are 3 ranges of injury-related pain:</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A – No limitation meaning the patient’s activity is unrestricted by pain </w:t>
      </w:r>
    </w:p>
    <w:p>
      <w:pPr>
        <w:pStyle w:val="style0"/>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B – Mild/moderate limitation means the patient’s activity is mild to moderately restricted by pain </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C - Severe limitation means the patient ability to perform the activity is severely limited by pain</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Subjective pain score: it’s a type of pain intensity scoring where the patient is asked to describe his/her pain as mild, moderate or severe based on subjective experience</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Analgesics: any pharmacologic agent given with the intent of relieving pain. </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Penetrating injury: a type of trauma inflicted on a patient with resulting in a breach in the skin or mucus membrane of the patient</w:t>
      </w:r>
    </w:p>
    <w:p>
      <w:pPr>
        <w:pStyle w:val="style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Blunt trauma: a type of trauma inflicted on a patient with resultant damage to soft tissue or internal organs with no injury to the skin or mucus membrane </w:t>
      </w:r>
    </w:p>
    <w:p>
      <w:pPr>
        <w:pStyle w:val="style0"/>
        <w:rPr>
          <w:rFonts w:ascii="Times New Roman" w:cs="Times New Roman" w:hAnsi="Times New Roman"/>
          <w:b/>
          <w:sz w:val="24"/>
          <w:szCs w:val="24"/>
        </w:rPr>
      </w:pPr>
      <w:r>
        <w:rPr>
          <w:rFonts w:ascii="Times New Roman" w:cs="Times New Roman" w:hAnsi="Times New Roman"/>
          <w:b/>
          <w:sz w:val="24"/>
          <w:szCs w:val="24"/>
        </w:rPr>
        <w:t>Results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study, 74 consecutive patients fulfilling all the strict inclusion criteria were analyzed. 57(77%) of patients were males, 55(74.3%) of the patients were under the age of 45 years and only 3(4.1%) were above the age of 60. More than half, 41(55.4%) of the trauma victims are married, and close to half, 36(48.6%) were from the Addis Ababa and followed by Oromia as the second most common area of patient presentation. Only 13(17.8%) of the patients had a college education and the same amount of participants were uneducated (defined as not attending primary school). Most patients were categorized as private employees 19(26%), students 13(17.8%), and farmers 12(16.4%). </w:t>
      </w:r>
      <w:r>
        <w:rPr>
          <w:rFonts w:ascii="Times New Roman" w:cs="Times New Roman" w:hAnsi="Times New Roman"/>
          <w:sz w:val="24"/>
          <w:szCs w:val="24"/>
        </w:rPr>
        <w:t xml:space="preserve">The time of presentation after trauma in hours has ranged from 1-24 hours with a mean of 9.19±7.62 hours. </w:t>
      </w:r>
      <w:r>
        <w:rPr>
          <w:rFonts w:ascii="Times New Roman" w:cs="Times New Roman" w:hAnsi="Times New Roman"/>
          <w:sz w:val="24"/>
          <w:szCs w:val="24"/>
        </w:rPr>
        <w:t>The socio-demographic status of the study participants is further elucidated in Table 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66(89.2%) of patients were primarily evaluated by interns and 72(97.3) of patients were evaluated by residents either primarily or following interns evaluation. Orthopedic residents were involved in evaluation in 48(64.9%) of the cases, general surgery residents in 13(17.6%), </w:t>
      </w:r>
      <w:r>
        <w:rPr>
          <w:rFonts w:ascii="Times New Roman" w:cs="Times New Roman" w:hAnsi="Times New Roman"/>
          <w:sz w:val="24"/>
          <w:szCs w:val="24"/>
        </w:rPr>
        <w:t>Emergency residents in 8(10.8%), and Neurosurgery residents in 3(4.1%). Regarding residents year on training, 27(36.5%), 23(31.1%), 20(27.8%), and 2(2.8%) patients were evaluated by first, second, third, and fourth-year residents respectively.</w:t>
      </w:r>
    </w:p>
    <w:p>
      <w:pPr>
        <w:pStyle w:val="style0"/>
        <w:jc w:val="both"/>
        <w:rPr>
          <w:rFonts w:ascii="Times New Roman" w:cs="Times New Roman" w:hAnsi="Times New Roman"/>
          <w:sz w:val="24"/>
          <w:szCs w:val="24"/>
        </w:rPr>
      </w:pPr>
      <w:r>
        <w:rPr>
          <w:rFonts w:ascii="Times New Roman" w:cs="Times New Roman" w:hAnsi="Times New Roman"/>
          <w:sz w:val="24"/>
          <w:szCs w:val="24"/>
        </w:rPr>
        <w:t>Regarding the trauma mechanisms and circumstances, blunt trauma was the most common mechanism, 66(89.2%). From the Blunt trauma population, 27(40.9%) were injured by pedestrian versus motor vehicle type accidents. In this study, 4 patients had gunshot injury and no stab injury was reported. On the primary survey, no patient with compromised airway was found to be part of the study but 4(5.5%) patients had either labored or gasping type of breathing with 2 patients presenting with hypotension and 6 patients with GCS of 13 or 12. Patients with tachycardia (HR&gt;100 beats/min) were 29(39.2%) at presentation. The most common site of injury was extremities with fracture or dislocation reported in 59(79.7%) of patients, followed by pelvic injury in 23(31.1%) patients and traumatic brain injury in 16(21.6%) of patients studied. Only 6(8.1%) of patients had an alcohol intake history on presentation and 50(67.9%) of patients presented on day time. Most patients, 51(68.9%) were kept at emergency for observation and investigation, while 15(20.3%) were discharged home after evaluation within 24 hours of presentation. (Table 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No patient had any pain score recorded on the chart upon initial evaluation and on follow up evaluation as well. </w:t>
      </w:r>
      <w:r>
        <w:rPr>
          <w:rFonts w:ascii="Times New Roman" w:cs="Times New Roman" w:hAnsi="Times New Roman"/>
          <w:sz w:val="24"/>
          <w:szCs w:val="24"/>
        </w:rPr>
        <w:t>Researcher-provided p</w:t>
      </w:r>
      <w:r>
        <w:rPr>
          <w:rFonts w:ascii="Times New Roman" w:cs="Times New Roman" w:hAnsi="Times New Roman"/>
          <w:sz w:val="24"/>
          <w:szCs w:val="24"/>
        </w:rPr>
        <w:t>re-analgesia score based on subjective pain score showed 59(79.7%) of patients in severe pain range, 13(17.6%) in moderate, and 2(2.7%) in the mild pain range. And based on Functional activity score, severe pain was recorded in 44(59.5%) of the patients while moderate/mild and no pain was recorded in 18(24.3%) and 12(16.2%) patients respectively. (Figure 1 and 2)</w:t>
      </w:r>
    </w:p>
    <w:p>
      <w:pPr>
        <w:pStyle w:val="style0"/>
        <w:jc w:val="both"/>
        <w:rPr>
          <w:rFonts w:ascii="Times New Roman" w:cs="Times New Roman" w:hAnsi="Times New Roman"/>
          <w:sz w:val="24"/>
          <w:szCs w:val="24"/>
        </w:rPr>
      </w:pPr>
      <w:r>
        <w:rPr>
          <w:rFonts w:ascii="Times New Roman" w:cs="Times New Roman" w:hAnsi="Times New Roman"/>
          <w:sz w:val="24"/>
          <w:szCs w:val="24"/>
        </w:rPr>
        <w:t>The need and type of analgesia needed were determined by the researchers based on the pain score and stratified based on the WHO trauma pain management ladder as I, II, or III. For prediction purposes, both functional activity scores and subjective pain scores were utilized and the more severe score of the</w:t>
      </w:r>
      <w:r>
        <w:rPr>
          <w:rFonts w:ascii="Times New Roman" w:cs="Times New Roman" w:hAnsi="Times New Roman"/>
          <w:sz w:val="24"/>
          <w:szCs w:val="24"/>
        </w:rPr>
        <w:t xml:space="preserve"> two was used for designation of the WHO ladder</w:t>
      </w:r>
      <w:r>
        <w:rPr>
          <w:rFonts w:ascii="Times New Roman" w:cs="Times New Roman" w:hAnsi="Times New Roman"/>
          <w:sz w:val="24"/>
          <w:szCs w:val="24"/>
        </w:rPr>
        <w:t>. Based on this, 60(81.1%) of patients were initially categorized to WHO ladder III, 11(14.9%) to WHO ladder II, and 3(4.1%) to WHO ladder I.</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All patients were provided with Analgesia and all were in the WHO ladder I and II. Utilized drugs were Tramadol 50mg IV/IM in 65 patients and Diclofenac 75mg IM in 9(12.2%) patients. No patient had a combination of </w:t>
      </w:r>
      <w:r>
        <w:rPr>
          <w:rFonts w:ascii="Times New Roman" w:cs="Times New Roman" w:hAnsi="Times New Roman"/>
          <w:sz w:val="24"/>
          <w:szCs w:val="24"/>
        </w:rPr>
        <w:t>analgesics</w:t>
      </w:r>
      <w:r>
        <w:rPr>
          <w:rFonts w:ascii="Times New Roman" w:cs="Times New Roman" w:hAnsi="Times New Roman"/>
          <w:sz w:val="24"/>
          <w:szCs w:val="24"/>
        </w:rPr>
        <w:t>. All patients provided with Diclofenac (WHO ladder I medication) had severe pain. Time from presentation to analgesia ranged from 20 minutes to 240 minutes with mean 55.4±35.3 minutes.</w:t>
      </w:r>
      <w:r>
        <w:rPr>
          <w:rFonts w:ascii="Times New Roman" w:cs="Times New Roman" w:hAnsi="Times New Roman"/>
          <w:sz w:val="24"/>
          <w:szCs w:val="24"/>
        </w:rPr>
        <w:t xml:space="preserve"> At 60 minutes after presentation, 3(100%) of patients with predicted WHO ladder I, 10(90.9%) of WHO ladder II and 54(90%) of WHO ladder III have received the first dose of analgesia. No difference between predicted WHO ladder(as a measure of severity of pain) and time of analgesia provision on logistic regression</w:t>
      </w:r>
      <w:r>
        <w:rPr>
          <w:rFonts w:ascii="Times New Roman" w:cs="Times New Roman" w:hAnsi="Times New Roman"/>
          <w:sz w:val="24"/>
          <w:szCs w:val="24"/>
        </w:rPr>
        <w:t xml:space="preserve"> (p-value: 0.639)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Response to analgesia was tried to be retrieved from patients' chart documentation and no patient had pain level scoring after analgesia was provided. The data collector provided pain scoring was done at 114.3±59.7 minutes after the first dose of analgesia. Using subjective pain score parameters 3(4.1%), 57(77%) and 14(18.9%) had severe moderate and mild pain respectively. And considering functional activity scoring 39(52.7%), 21(28.4%) and 14(18.9%) had severe, Mild/Moderate and no pain respectively. Based on satisfaction based stratification (residual moderate or severe pain of subjective pain score and severe pain of functional activity score scored as unsatisfactory), 50(67.6%) of patients had unsatisfactory</w:t>
      </w:r>
      <w:r>
        <w:rPr>
          <w:rFonts w:ascii="Times New Roman" w:cs="Times New Roman" w:hAnsi="Times New Roman"/>
          <w:sz w:val="24"/>
          <w:szCs w:val="24"/>
        </w:rPr>
        <w:t xml:space="preserve"> pain response</w:t>
      </w:r>
      <w:r>
        <w:rPr>
          <w:rFonts w:ascii="Times New Roman" w:cs="Times New Roman" w:hAnsi="Times New Roman"/>
          <w:sz w:val="24"/>
          <w:szCs w:val="24"/>
        </w:rPr>
        <w:t xml:space="preserve"> based on functional activity score and 49(66.2%) of patients had unsatisfactory </w:t>
      </w:r>
      <w:r>
        <w:rPr>
          <w:rFonts w:ascii="Times New Roman" w:cs="Times New Roman" w:hAnsi="Times New Roman"/>
          <w:sz w:val="24"/>
          <w:szCs w:val="24"/>
        </w:rPr>
        <w:t xml:space="preserve">score </w:t>
      </w:r>
      <w:r>
        <w:rPr>
          <w:rFonts w:ascii="Times New Roman" w:cs="Times New Roman" w:hAnsi="Times New Roman"/>
          <w:sz w:val="24"/>
          <w:szCs w:val="24"/>
        </w:rPr>
        <w:t>based on subjective pain score. (Figure 1 and 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Correlation between predicted pre-analgesia WHO ladder and satisfaction based on post-analgesia subjective pain score satisfaction rate showed unsatisfactory pain response in 43 out of 60 (71.2%) of patients stratified to WHO ladder III and 5 of 11 (45.4%) of WHO ladder II patients. The same </w:t>
      </w:r>
      <w:r>
        <w:rPr>
          <w:rFonts w:ascii="Times New Roman" w:cs="Times New Roman" w:hAnsi="Times New Roman"/>
          <w:sz w:val="24"/>
          <w:szCs w:val="24"/>
        </w:rPr>
        <w:t xml:space="preserve">pre-analgesia </w:t>
      </w:r>
      <w:r>
        <w:rPr>
          <w:rFonts w:ascii="Times New Roman" w:cs="Times New Roman" w:hAnsi="Times New Roman"/>
          <w:sz w:val="24"/>
          <w:szCs w:val="24"/>
        </w:rPr>
        <w:t xml:space="preserve">WHO ladder prediction correlated with post-analgesia functional activity score based satisfaction, 44 of 60 (73.3%) patients stratified to WHO ladder III had unsatisfactory pain response and 5 of 11 (45.4%) patients stratified to WHO ladder II had unsatisfactory pain outcome. </w:t>
      </w:r>
      <w:r>
        <w:rPr>
          <w:rFonts w:ascii="Times New Roman" w:cs="Times New Roman" w:hAnsi="Times New Roman"/>
          <w:sz w:val="24"/>
          <w:szCs w:val="24"/>
        </w:rPr>
        <w:t xml:space="preserve">This difference was statistically significant in logistic regression model analysis, with a p-value of 0.05 and 0.04 respectively. </w:t>
      </w:r>
      <w:r>
        <w:rPr>
          <w:rFonts w:ascii="Times New Roman" w:cs="Times New Roman" w:hAnsi="Times New Roman"/>
          <w:sz w:val="24"/>
          <w:szCs w:val="24"/>
        </w:rPr>
        <w:t>(Table 3</w:t>
      </w:r>
      <w:r>
        <w:rPr>
          <w:rFonts w:ascii="Times New Roman" w:cs="Times New Roman" w:hAnsi="Times New Roman"/>
          <w:sz w:val="24"/>
          <w:szCs w:val="24"/>
        </w:rPr>
        <w:t>, Figure 3</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Comparing the level of training of residents with the level of satisfactory pain </w:t>
      </w:r>
      <w:r>
        <w:rPr>
          <w:rFonts w:ascii="Times New Roman" w:cs="Times New Roman" w:hAnsi="Times New Roman"/>
          <w:sz w:val="24"/>
          <w:szCs w:val="24"/>
        </w:rPr>
        <w:t>response</w:t>
      </w:r>
      <w:r>
        <w:rPr>
          <w:rFonts w:ascii="Times New Roman" w:cs="Times New Roman" w:hAnsi="Times New Roman"/>
          <w:sz w:val="24"/>
          <w:szCs w:val="24"/>
        </w:rPr>
        <w:t xml:space="preserve"> post analgesia, 34 of 50 patients</w:t>
      </w:r>
      <w:r>
        <w:rPr>
          <w:rFonts w:ascii="Times New Roman" w:cs="Times New Roman" w:hAnsi="Times New Roman"/>
          <w:sz w:val="24"/>
          <w:szCs w:val="24"/>
        </w:rPr>
        <w:t xml:space="preserve"> (68%)</w:t>
      </w:r>
      <w:r>
        <w:rPr>
          <w:rFonts w:ascii="Times New Roman" w:cs="Times New Roman" w:hAnsi="Times New Roman"/>
          <w:sz w:val="24"/>
          <w:szCs w:val="24"/>
        </w:rPr>
        <w:t xml:space="preserve"> treated by junior residents (first and the second year) and 15 of 22 patients</w:t>
      </w:r>
      <w:r>
        <w:rPr>
          <w:rFonts w:ascii="Times New Roman" w:cs="Times New Roman" w:hAnsi="Times New Roman"/>
          <w:sz w:val="24"/>
          <w:szCs w:val="24"/>
        </w:rPr>
        <w:t xml:space="preserve"> (68.2%)</w:t>
      </w:r>
      <w:r>
        <w:rPr>
          <w:rFonts w:ascii="Times New Roman" w:cs="Times New Roman" w:hAnsi="Times New Roman"/>
          <w:sz w:val="24"/>
          <w:szCs w:val="24"/>
        </w:rPr>
        <w:t xml:space="preserve"> treated by senior residents had unsatisfactory pain score post analgesia with the difference between the two not being statistically significant (p-value: 0.98)</w:t>
      </w:r>
      <w:r>
        <w:rPr>
          <w:rFonts w:ascii="Times New Roman" w:cs="Times New Roman" w:hAnsi="Times New Roman"/>
          <w:sz w:val="24"/>
          <w:szCs w:val="24"/>
        </w:rPr>
        <w:t xml:space="preserve">. </w:t>
      </w:r>
      <w:r>
        <w:rPr>
          <w:rFonts w:ascii="Times New Roman" w:cs="Times New Roman" w:hAnsi="Times New Roman"/>
          <w:sz w:val="24"/>
          <w:szCs w:val="24"/>
        </w:rPr>
        <w:t xml:space="preserve">Comparing fields of residency, the group was classified into orthopedics and all other specialties included in the study (Neurosurgery, Emergency medicine, and General surgery) because of the high numerical proportion of </w:t>
      </w:r>
      <w:r>
        <w:rPr>
          <w:rFonts w:ascii="Times New Roman" w:cs="Times New Roman" w:hAnsi="Times New Roman"/>
          <w:sz w:val="24"/>
          <w:szCs w:val="24"/>
        </w:rPr>
        <w:t xml:space="preserve">patients evaluated by </w:t>
      </w:r>
      <w:r>
        <w:rPr>
          <w:rFonts w:ascii="Times New Roman" w:cs="Times New Roman" w:hAnsi="Times New Roman"/>
          <w:sz w:val="24"/>
          <w:szCs w:val="24"/>
        </w:rPr>
        <w:t>orthopedics residents</w:t>
      </w:r>
      <w:r>
        <w:rPr>
          <w:rFonts w:ascii="Times New Roman" w:cs="Times New Roman" w:hAnsi="Times New Roman"/>
          <w:sz w:val="24"/>
          <w:szCs w:val="24"/>
        </w:rPr>
        <w:t>, was done</w:t>
      </w:r>
      <w:r>
        <w:rPr>
          <w:rFonts w:ascii="Times New Roman" w:cs="Times New Roman" w:hAnsi="Times New Roman"/>
          <w:sz w:val="24"/>
          <w:szCs w:val="24"/>
        </w:rPr>
        <w:t xml:space="preserve">. In this regard, </w:t>
      </w:r>
      <w:r>
        <w:rPr>
          <w:rFonts w:ascii="Times New Roman" w:cs="Times New Roman" w:hAnsi="Times New Roman"/>
          <w:sz w:val="24"/>
          <w:szCs w:val="24"/>
        </w:rPr>
        <w:t xml:space="preserve">patients evaluate by </w:t>
      </w:r>
      <w:r>
        <w:rPr>
          <w:rFonts w:ascii="Times New Roman" w:cs="Times New Roman" w:hAnsi="Times New Roman"/>
          <w:sz w:val="24"/>
          <w:szCs w:val="24"/>
        </w:rPr>
        <w:t xml:space="preserve">orthopedic residents had unsatisfactory post analgesia pain scores in 31 out of 48 patients (65.6%) and </w:t>
      </w:r>
      <w:r>
        <w:rPr>
          <w:rFonts w:ascii="Times New Roman" w:cs="Times New Roman" w:hAnsi="Times New Roman"/>
          <w:sz w:val="24"/>
          <w:szCs w:val="24"/>
        </w:rPr>
        <w:t xml:space="preserve">for patients treated by </w:t>
      </w:r>
      <w:r>
        <w:rPr>
          <w:rFonts w:ascii="Times New Roman" w:cs="Times New Roman" w:hAnsi="Times New Roman"/>
          <w:sz w:val="24"/>
          <w:szCs w:val="24"/>
        </w:rPr>
        <w:t xml:space="preserve">all the other 3 fields of residency, 18 out of 24 (75%) patients had unsatisfactory post analgesia pain outcome. </w:t>
      </w:r>
      <w:r>
        <w:rPr>
          <w:rFonts w:ascii="Times New Roman" w:cs="Times New Roman" w:hAnsi="Times New Roman"/>
          <w:sz w:val="24"/>
          <w:szCs w:val="24"/>
        </w:rPr>
        <w:t xml:space="preserve">The difference wasn't statistically significant (p-value: 0.374).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Within 24 hours follow up (including those discharged home before 24 hours was reached), 14 </w:t>
      </w:r>
      <w:r>
        <w:rPr>
          <w:rFonts w:ascii="Times New Roman" w:cs="Times New Roman" w:hAnsi="Times New Roman"/>
          <w:sz w:val="24"/>
          <w:szCs w:val="24"/>
        </w:rPr>
        <w:t xml:space="preserve">(18.9%) </w:t>
      </w:r>
      <w:r>
        <w:rPr>
          <w:rFonts w:ascii="Times New Roman" w:cs="Times New Roman" w:hAnsi="Times New Roman"/>
          <w:sz w:val="24"/>
          <w:szCs w:val="24"/>
        </w:rPr>
        <w:t>pat</w:t>
      </w:r>
      <w:r>
        <w:rPr>
          <w:rFonts w:ascii="Times New Roman" w:cs="Times New Roman" w:hAnsi="Times New Roman"/>
          <w:sz w:val="24"/>
          <w:szCs w:val="24"/>
        </w:rPr>
        <w:t>ients had a change of analgesics</w:t>
      </w:r>
      <w:r>
        <w:rPr>
          <w:rFonts w:ascii="Times New Roman" w:cs="Times New Roman" w:hAnsi="Times New Roman"/>
          <w:sz w:val="24"/>
          <w:szCs w:val="24"/>
        </w:rPr>
        <w:t xml:space="preserve">. 5(6.75%) patients initially on Diclofenac and with unsatisfactory pain response had been up-regulated to Tramadol, while one patient with satisfactory pain response with Diclofenac was up-regulated to </w:t>
      </w:r>
      <w:r>
        <w:rPr>
          <w:rFonts w:ascii="Times New Roman" w:cs="Times New Roman" w:hAnsi="Times New Roman"/>
          <w:sz w:val="24"/>
          <w:szCs w:val="24"/>
        </w:rPr>
        <w:t>Tramadol</w:t>
      </w:r>
      <w:r>
        <w:rPr>
          <w:rFonts w:ascii="Times New Roman" w:cs="Times New Roman" w:hAnsi="Times New Roman"/>
          <w:sz w:val="24"/>
          <w:szCs w:val="24"/>
        </w:rPr>
        <w:t>. 4 patients (2 Diclofena</w:t>
      </w:r>
      <w:r>
        <w:rPr>
          <w:rFonts w:ascii="Times New Roman" w:cs="Times New Roman" w:hAnsi="Times New Roman"/>
          <w:sz w:val="24"/>
          <w:szCs w:val="24"/>
        </w:rPr>
        <w:t>c</w:t>
      </w:r>
      <w:r>
        <w:rPr>
          <w:rFonts w:ascii="Times New Roman" w:cs="Times New Roman" w:hAnsi="Times New Roman"/>
          <w:sz w:val="24"/>
          <w:szCs w:val="24"/>
        </w:rPr>
        <w:t xml:space="preserve"> and 2 Tramadol) with unsatisfactory pain response after initial dose were withdrawn while 3 patients initially on Tramadol </w:t>
      </w:r>
      <w:r>
        <w:rPr>
          <w:rFonts w:ascii="Times New Roman" w:cs="Times New Roman" w:hAnsi="Times New Roman"/>
          <w:sz w:val="24"/>
          <w:szCs w:val="24"/>
        </w:rPr>
        <w:t xml:space="preserve">with satisfactory pain response were withdrawn with a total withdrawal rate of 9.4%. </w:t>
      </w:r>
      <w:r>
        <w:rPr>
          <w:rFonts w:ascii="Times New Roman" w:cs="Times New Roman" w:hAnsi="Times New Roman"/>
          <w:sz w:val="24"/>
          <w:szCs w:val="24"/>
        </w:rPr>
        <w:t xml:space="preserve">One additional patient initially on Tramadol with unsatisfactory pain response was down-regulated to Diclofenac. </w:t>
      </w:r>
      <w:r>
        <w:rPr>
          <w:rFonts w:ascii="Times New Roman" w:cs="Times New Roman" w:hAnsi="Times New Roman"/>
          <w:sz w:val="24"/>
          <w:szCs w:val="24"/>
        </w:rPr>
        <w:t xml:space="preserve">All patients kept at ER, admitted to wards, referred, and underwent emergency procedures were continued on Tramadol. 6 of 15 patients (40%) </w:t>
      </w:r>
      <w:r>
        <w:rPr>
          <w:rFonts w:ascii="Times New Roman" w:cs="Times New Roman" w:hAnsi="Times New Roman"/>
          <w:sz w:val="24"/>
          <w:szCs w:val="24"/>
        </w:rPr>
        <w:t>were sent home without analgesics</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b/>
          <w:sz w:val="24"/>
          <w:szCs w:val="24"/>
        </w:rPr>
        <w:t>Discussion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study's finding of male predominance and a higher </w:t>
      </w:r>
      <w:r>
        <w:rPr>
          <w:rFonts w:ascii="Times New Roman" w:cs="Times New Roman" w:hAnsi="Times New Roman"/>
          <w:sz w:val="24"/>
          <w:szCs w:val="24"/>
        </w:rPr>
        <w:t xml:space="preserve">proportion of </w:t>
      </w:r>
      <w:r>
        <w:rPr>
          <w:rFonts w:ascii="Times New Roman" w:cs="Times New Roman" w:hAnsi="Times New Roman"/>
          <w:sz w:val="24"/>
          <w:szCs w:val="24"/>
        </w:rPr>
        <w:t>younger age, less than 45 years, is neither surprising nor peculiar as this is commonplace in both national and international studies done elsewhere.</w:t>
      </w:r>
      <w:r>
        <w:rPr>
          <w:rFonts w:ascii="Times New Roman" w:cs="Times New Roman" w:hAnsi="Times New Roman"/>
          <w:sz w:val="24"/>
          <w:szCs w:val="24"/>
        </w:rPr>
        <w:t xml:space="preserve"> [11-14] </w:t>
      </w:r>
      <w:r>
        <w:rPr>
          <w:rFonts w:ascii="Times New Roman" w:cs="Times New Roman" w:hAnsi="Times New Roman"/>
          <w:sz w:val="24"/>
          <w:szCs w:val="24"/>
        </w:rPr>
        <w:t xml:space="preserve">Socio-demographic factors like lack of higher education is a reflection of the country's status rather than any trauma-related predilection. </w:t>
      </w:r>
      <w:r>
        <w:rPr>
          <w:rFonts w:ascii="Times New Roman" w:cs="Times New Roman" w:hAnsi="Times New Roman"/>
          <w:sz w:val="24"/>
          <w:szCs w:val="24"/>
        </w:rPr>
        <w:t xml:space="preserve">[15] </w:t>
      </w:r>
      <w:r>
        <w:rPr>
          <w:rFonts w:ascii="Times New Roman" w:cs="Times New Roman" w:hAnsi="Times New Roman"/>
          <w:sz w:val="24"/>
          <w:szCs w:val="24"/>
        </w:rPr>
        <w:t xml:space="preserve">The vast majority of patients, 1 out of 10, had been primarily evaluated by interns. This in itself may not be a major challenge in trauma patient pain management as almost all of them were also evaluated by residents of different specialties and different levels of training. But the striking finding is the poor involvement of emergency medicine residents in the evaluation of the patients, which might </w:t>
      </w:r>
      <w:r>
        <w:rPr>
          <w:rFonts w:ascii="Times New Roman" w:cs="Times New Roman" w:hAnsi="Times New Roman"/>
          <w:sz w:val="24"/>
          <w:szCs w:val="24"/>
        </w:rPr>
        <w:t>lead one to hypothesize</w:t>
      </w:r>
      <w:r>
        <w:rPr>
          <w:rFonts w:ascii="Times New Roman" w:cs="Times New Roman" w:hAnsi="Times New Roman"/>
          <w:sz w:val="24"/>
          <w:szCs w:val="24"/>
        </w:rPr>
        <w:t xml:space="preserve"> their absence as a potential </w:t>
      </w:r>
      <w:r>
        <w:rPr>
          <w:rFonts w:ascii="Times New Roman" w:cs="Times New Roman" w:hAnsi="Times New Roman"/>
          <w:sz w:val="24"/>
          <w:szCs w:val="24"/>
        </w:rPr>
        <w:t xml:space="preserve">reason for </w:t>
      </w:r>
      <w:r>
        <w:rPr>
          <w:rFonts w:ascii="Times New Roman" w:cs="Times New Roman" w:hAnsi="Times New Roman"/>
          <w:sz w:val="24"/>
          <w:szCs w:val="24"/>
        </w:rPr>
        <w:t xml:space="preserve">poor holistic patient care including </w:t>
      </w:r>
      <w:r>
        <w:rPr>
          <w:rFonts w:ascii="Times New Roman" w:cs="Times New Roman" w:hAnsi="Times New Roman"/>
          <w:sz w:val="24"/>
          <w:szCs w:val="24"/>
        </w:rPr>
        <w:t xml:space="preserve">proper </w:t>
      </w:r>
      <w:r>
        <w:rPr>
          <w:rFonts w:ascii="Times New Roman" w:cs="Times New Roman" w:hAnsi="Times New Roman"/>
          <w:sz w:val="24"/>
          <w:szCs w:val="24"/>
        </w:rPr>
        <w:t xml:space="preserve">pain management. Regardless, </w:t>
      </w:r>
      <w:r>
        <w:rPr>
          <w:rFonts w:ascii="Times New Roman" w:cs="Times New Roman" w:hAnsi="Times New Roman"/>
          <w:sz w:val="24"/>
          <w:szCs w:val="24"/>
        </w:rPr>
        <w:t xml:space="preserve">as evidenced by one recent publication addressing knowledge and perception of residents on pain management showed poor medical school curricular structure </w:t>
      </w:r>
      <w:r>
        <w:rPr>
          <w:rFonts w:ascii="Times New Roman" w:cs="Times New Roman" w:hAnsi="Times New Roman"/>
          <w:sz w:val="24"/>
          <w:szCs w:val="24"/>
        </w:rPr>
        <w:t>in teaching proper pain management service,</w:t>
      </w:r>
      <w:r>
        <w:rPr>
          <w:rFonts w:ascii="Times New Roman" w:cs="Times New Roman" w:hAnsi="Times New Roman"/>
          <w:sz w:val="24"/>
          <w:szCs w:val="24"/>
        </w:rPr>
        <w:t xml:space="preserve"> one may suspect this to be the case in most setups as well</w:t>
      </w:r>
      <w:r>
        <w:rPr>
          <w:rFonts w:ascii="Times New Roman" w:cs="Times New Roman" w:hAnsi="Times New Roman"/>
          <w:sz w:val="24"/>
          <w:szCs w:val="24"/>
        </w:rPr>
        <w:t xml:space="preserve"> including countries with low and middle income</w:t>
      </w:r>
      <w:r>
        <w:rPr>
          <w:rFonts w:ascii="Times New Roman" w:cs="Times New Roman" w:hAnsi="Times New Roman"/>
          <w:sz w:val="24"/>
          <w:szCs w:val="24"/>
        </w:rPr>
        <w:t>. [16]</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The prevalence of blunt trauma over penetrating and the prevalence of motor vehicle-related injuries are both national and international. [17-19]</w:t>
      </w:r>
      <w:r>
        <w:rPr>
          <w:rFonts w:ascii="Times New Roman" w:cs="Times New Roman" w:hAnsi="Times New Roman"/>
          <w:sz w:val="24"/>
          <w:szCs w:val="24"/>
        </w:rPr>
        <w:t xml:space="preserve"> </w:t>
      </w:r>
      <w:r>
        <w:rPr>
          <w:rFonts w:ascii="Times New Roman" w:cs="Times New Roman" w:hAnsi="Times New Roman"/>
          <w:sz w:val="24"/>
          <w:szCs w:val="24"/>
        </w:rPr>
        <w:t xml:space="preserve">A more peculiar finding is that pedestrian road traffic accidents are more prevalent than motor vehicle collisions which are particularly more common in national publications. [20] Moderate Traumatic brain injury and alcohol intoxication at presentation was low (8.1% and 10.8% respectively)  and had been included in all analysis of pain. Fractures of extremities and pelvis were the most common anatomic site of injury followed by trauma to the head. The predominance of orthopedic and head trauma is fairly familiar both in </w:t>
      </w:r>
      <w:r>
        <w:rPr>
          <w:rFonts w:ascii="Times New Roman" w:cs="Times New Roman" w:hAnsi="Times New Roman"/>
          <w:sz w:val="24"/>
          <w:szCs w:val="24"/>
        </w:rPr>
        <w:t>civilian and combat casualty patients. [21</w:t>
      </w:r>
      <w:r>
        <w:rPr>
          <w:rFonts w:ascii="Times New Roman" w:cs="Times New Roman" w:hAnsi="Times New Roman"/>
          <w:sz w:val="24"/>
          <w:szCs w:val="24"/>
        </w:rPr>
        <w:t>,22</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Burn patients were not included in the study because the institution doesn’t provide any burn care.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The time of patient presentation post-trauma was a bit more than 9 hours on average. This is a significant delay in executing life-saving measures and definitive trauma care</w:t>
      </w:r>
      <w:r>
        <w:rPr>
          <w:rFonts w:ascii="Times New Roman" w:cs="Times New Roman" w:hAnsi="Times New Roman"/>
          <w:sz w:val="24"/>
          <w:szCs w:val="24"/>
        </w:rPr>
        <w:t>. Also one must consider that patients with trauma had been in pain for an average of 9 hours before consideration for analgesia was made and this has lasting implications in the long term physical health and psychological outcome of the patients</w:t>
      </w:r>
      <w:r>
        <w:rPr>
          <w:rFonts w:ascii="Times New Roman" w:cs="Times New Roman" w:hAnsi="Times New Roman"/>
          <w:sz w:val="24"/>
          <w:szCs w:val="24"/>
        </w:rPr>
        <w:t xml:space="preserve"> with an increased rate of chronic pain, depression, and PTSD</w:t>
      </w:r>
      <w:r>
        <w:rPr>
          <w:rFonts w:ascii="Times New Roman" w:cs="Times New Roman" w:hAnsi="Times New Roman"/>
          <w:sz w:val="24"/>
          <w:szCs w:val="24"/>
        </w:rPr>
        <w:t>.[</w:t>
      </w:r>
      <w:r>
        <w:rPr>
          <w:rFonts w:ascii="Times New Roman" w:cs="Times New Roman" w:hAnsi="Times New Roman"/>
          <w:sz w:val="24"/>
          <w:szCs w:val="24"/>
        </w:rPr>
        <w:t>23,24,25]</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Pre-analgesia pain scoring was not performed for any consecutive trauma patients evaluated in this study by the treating team. This is staggeringly low compared to study from developed countries as evidenced by Silka et al, which reported a pain scoring rate of 73%</w:t>
      </w:r>
      <w:r>
        <w:rPr>
          <w:rFonts w:ascii="Times New Roman" w:cs="Times New Roman" w:hAnsi="Times New Roman"/>
          <w:sz w:val="24"/>
          <w:szCs w:val="24"/>
        </w:rPr>
        <w:t>. [26</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Using data collectors pain pre-analgesia pain scoring showed severe pain in close to 60% and 80% with SPS and FAS scoring systems respectively.</w:t>
      </w:r>
      <w:r>
        <w:rPr>
          <w:rFonts w:ascii="Times New Roman" w:cs="Times New Roman" w:hAnsi="Times New Roman"/>
          <w:sz w:val="24"/>
          <w:szCs w:val="24"/>
        </w:rPr>
        <w:t xml:space="preserve"> </w:t>
      </w:r>
      <w:r>
        <w:rPr>
          <w:rFonts w:ascii="Times New Roman" w:cs="Times New Roman" w:hAnsi="Times New Roman"/>
          <w:sz w:val="24"/>
          <w:szCs w:val="24"/>
        </w:rPr>
        <w:t>It is expected to attain a higher proportion of patients with severe acut</w:t>
      </w:r>
      <w:r>
        <w:rPr>
          <w:rFonts w:ascii="Times New Roman" w:cs="Times New Roman" w:hAnsi="Times New Roman"/>
          <w:sz w:val="24"/>
          <w:szCs w:val="24"/>
        </w:rPr>
        <w:t>e pain in the trauma population. [27</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WHO ladder was predicted based on both </w:t>
      </w:r>
      <w:r>
        <w:rPr>
          <w:rFonts w:ascii="Times New Roman" w:cs="Times New Roman" w:hAnsi="Times New Roman"/>
          <w:sz w:val="24"/>
          <w:szCs w:val="24"/>
        </w:rPr>
        <w:t xml:space="preserve">SPS </w:t>
      </w:r>
      <w:r>
        <w:rPr>
          <w:rFonts w:ascii="Times New Roman" w:cs="Times New Roman" w:hAnsi="Times New Roman"/>
          <w:sz w:val="24"/>
          <w:szCs w:val="24"/>
        </w:rPr>
        <w:t>and FAS scores, with a more severe score used to predict the type of analgesia needed. The WHO ladder predicted for more than 80% of the patients was ladder III</w:t>
      </w:r>
      <w:r>
        <w:rPr>
          <w:rFonts w:ascii="Times New Roman" w:cs="Times New Roman" w:hAnsi="Times New Roman"/>
          <w:sz w:val="24"/>
          <w:szCs w:val="24"/>
        </w:rPr>
        <w:t xml:space="preserve"> </w:t>
      </w:r>
      <w:r>
        <w:rPr>
          <w:rFonts w:ascii="Times New Roman" w:cs="Times New Roman" w:hAnsi="Times New Roman"/>
          <w:sz w:val="24"/>
          <w:szCs w:val="24"/>
        </w:rPr>
        <w:t xml:space="preserve">(strong </w:t>
      </w:r>
      <w:r>
        <w:rPr>
          <w:rFonts w:ascii="Times New Roman" w:cs="Times New Roman" w:hAnsi="Times New Roman"/>
          <w:sz w:val="24"/>
          <w:szCs w:val="24"/>
        </w:rPr>
        <w:t>Opioid</w:t>
      </w:r>
      <w:r>
        <w:rPr>
          <w:rFonts w:ascii="Times New Roman" w:cs="Times New Roman" w:hAnsi="Times New Roman"/>
          <w:sz w:val="24"/>
          <w:szCs w:val="24"/>
        </w:rPr>
        <w:t>)</w:t>
      </w:r>
      <w:r>
        <w:rPr>
          <w:rFonts w:ascii="Times New Roman" w:cs="Times New Roman" w:hAnsi="Times New Roman"/>
          <w:sz w:val="24"/>
          <w:szCs w:val="24"/>
        </w:rPr>
        <w:t xml:space="preserve"> based on the WHO trauma pain management ladder.</w:t>
      </w:r>
      <w:r>
        <w:rPr>
          <w:rFonts w:ascii="Times New Roman" w:cs="Times New Roman" w:hAnsi="Times New Roman"/>
          <w:sz w:val="24"/>
          <w:szCs w:val="24"/>
        </w:rPr>
        <w:t xml:space="preserve"> [28</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Every patient was provided with analgesia with </w:t>
      </w:r>
      <w:r>
        <w:rPr>
          <w:rFonts w:ascii="Times New Roman" w:cs="Times New Roman" w:hAnsi="Times New Roman"/>
          <w:sz w:val="24"/>
          <w:szCs w:val="24"/>
        </w:rPr>
        <w:t xml:space="preserve">a mean time of the door to needle of 55 minutes. This value is not </w:t>
      </w:r>
      <w:r>
        <w:rPr>
          <w:rFonts w:ascii="Times New Roman" w:cs="Times New Roman" w:hAnsi="Times New Roman"/>
          <w:sz w:val="24"/>
          <w:szCs w:val="24"/>
        </w:rPr>
        <w:t>a disappointing one compared to studies from low-income countries, as in the case of Ouagadougou which showed analgesia time from time of presentation of 75 minutes. [10]</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All analgesia provided were from the WH</w:t>
      </w:r>
      <w:r>
        <w:rPr>
          <w:rFonts w:ascii="Times New Roman" w:cs="Times New Roman" w:hAnsi="Times New Roman"/>
          <w:sz w:val="24"/>
          <w:szCs w:val="24"/>
        </w:rPr>
        <w:t>O ladder I, D</w:t>
      </w:r>
      <w:r>
        <w:rPr>
          <w:rFonts w:ascii="Times New Roman" w:cs="Times New Roman" w:hAnsi="Times New Roman"/>
          <w:sz w:val="24"/>
          <w:szCs w:val="24"/>
        </w:rPr>
        <w:t>iclofenac, and WHO ladder II, Tramadol. These were provided regardless of the level of pain reported by the patients as evidenced by the fact that all patients provided with Diclofenac</w:t>
      </w:r>
      <w:r>
        <w:rPr>
          <w:rFonts w:ascii="Times New Roman" w:cs="Times New Roman" w:hAnsi="Times New Roman"/>
          <w:sz w:val="24"/>
          <w:szCs w:val="24"/>
        </w:rPr>
        <w:t xml:space="preserve"> were in the severe pain group</w:t>
      </w:r>
      <w:r>
        <w:rPr>
          <w:rFonts w:ascii="Times New Roman" w:cs="Times New Roman" w:hAnsi="Times New Roman"/>
          <w:sz w:val="24"/>
          <w:szCs w:val="24"/>
        </w:rPr>
        <w:t xml:space="preserve"> and were predicted to receive WHO ladder III analgesics. With the failure in treating team to perform reevaluation and scoring of pain level, researcher-performed pain rescoring showed more than close to three-quarters of patients in predicted WHO ladder III during pre-analgesia evaluation had unsatisfactory improvement in pain status compared to close to half in predicted WHO ladder II and only a third in WHO ladder I group based on both FAS and SPS</w:t>
      </w:r>
      <w:r>
        <w:rPr>
          <w:rFonts w:ascii="Times New Roman" w:cs="Times New Roman" w:hAnsi="Times New Roman"/>
          <w:sz w:val="24"/>
          <w:szCs w:val="24"/>
        </w:rPr>
        <w:t xml:space="preserve"> with the difference being statistically significant</w:t>
      </w:r>
      <w:r>
        <w:rPr>
          <w:rFonts w:ascii="Times New Roman" w:cs="Times New Roman" w:hAnsi="Times New Roman"/>
          <w:sz w:val="24"/>
          <w:szCs w:val="24"/>
        </w:rPr>
        <w:t xml:space="preserve">. </w:t>
      </w:r>
      <w:r>
        <w:rPr>
          <w:rFonts w:ascii="Times New Roman" w:cs="Times New Roman" w:hAnsi="Times New Roman"/>
          <w:sz w:val="24"/>
          <w:szCs w:val="24"/>
        </w:rPr>
        <w:t>This depicted the need for pain scoring before analgesia and adherence to the regimens in the respective groups for the assigned ladder category to achieve proper analgesia for every individual patient contrary to an arbitrary assignment of different analgesics as per the discretion of the treating physician.</w:t>
      </w:r>
    </w:p>
    <w:p>
      <w:pPr>
        <w:pStyle w:val="style0"/>
        <w:jc w:val="both"/>
        <w:rPr>
          <w:rFonts w:ascii="Times New Roman" w:cs="Times New Roman" w:hAnsi="Times New Roman"/>
          <w:sz w:val="24"/>
          <w:szCs w:val="24"/>
        </w:rPr>
      </w:pPr>
      <w:r>
        <w:rPr>
          <w:rFonts w:ascii="Times New Roman" w:cs="Times New Roman" w:hAnsi="Times New Roman"/>
          <w:sz w:val="24"/>
          <w:szCs w:val="24"/>
        </w:rPr>
        <w:t>In this study, no difference in the level of training in residency was found regarding the primary outcome of satisfactory pain control in acute trauma patients evaluated in this study</w:t>
      </w:r>
      <w:r>
        <w:rPr>
          <w:rFonts w:ascii="Times New Roman" w:cs="Times New Roman" w:hAnsi="Times New Roman"/>
          <w:sz w:val="24"/>
          <w:szCs w:val="24"/>
        </w:rPr>
        <w:t xml:space="preserve"> with both groups having two-third unsatisfactory post analgesia pain scores. </w:t>
      </w:r>
      <w:r>
        <w:rPr>
          <w:rFonts w:ascii="Times New Roman" w:cs="Times New Roman" w:hAnsi="Times New Roman"/>
          <w:sz w:val="24"/>
          <w:szCs w:val="24"/>
        </w:rPr>
        <w:t xml:space="preserve">This may imply that the delivery of comprehensive management of acute pain in trauma patients has not been addressed in any level of the training of the residents and curricular deficit of this subject matter may have played a pivotal role. </w:t>
      </w:r>
      <w:r>
        <w:rPr>
          <w:rFonts w:ascii="Times New Roman" w:cs="Times New Roman" w:hAnsi="Times New Roman"/>
          <w:sz w:val="24"/>
          <w:szCs w:val="24"/>
        </w:rPr>
        <w:t>Similarly, orthopedic surgery residents (the specialty with the highest number of patients evaluated) had a 65.6 percent rate of unsatisfactory SPS outcome compared to other specialties with a 75% unsatisfactory SPS score but the difference is not statistically significant</w:t>
      </w:r>
      <w:r>
        <w:rPr>
          <w:rFonts w:ascii="Times New Roman" w:cs="Times New Roman" w:hAnsi="Times New Roman"/>
          <w:sz w:val="24"/>
          <w:szCs w:val="24"/>
        </w:rPr>
        <w:t xml:space="preserve"> meaning a lack of proper acute pain management transcends departmental boundary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Regarding </w:t>
      </w:r>
      <w:r>
        <w:rPr>
          <w:rFonts w:ascii="Times New Roman" w:cs="Times New Roman" w:hAnsi="Times New Roman"/>
          <w:sz w:val="24"/>
          <w:szCs w:val="24"/>
        </w:rPr>
        <w:t>ongoing pain management beyond the first dose of analgesia</w:t>
      </w:r>
      <w:r>
        <w:rPr>
          <w:rFonts w:ascii="Times New Roman" w:cs="Times New Roman" w:hAnsi="Times New Roman"/>
          <w:sz w:val="24"/>
          <w:szCs w:val="24"/>
        </w:rPr>
        <w:t xml:space="preserve">, within 24 hours 14 of 74 patients had a change in the regimen. 4(5.4%) patients requiring up-regulation were withdrawn from the medications instead while 3 patients requiring maintenance with initial satisfactory response were also withdrawn. And one patient with Diclofenac with satisfactory response requiring maintenance with the same class regimen was up-regulated to Tramadol. </w:t>
      </w:r>
      <w:r>
        <w:rPr>
          <w:rFonts w:ascii="Times New Roman" w:cs="Times New Roman" w:hAnsi="Times New Roman"/>
          <w:sz w:val="24"/>
          <w:szCs w:val="24"/>
        </w:rPr>
        <w:t xml:space="preserve">This outcome evidenced </w:t>
      </w:r>
      <w:r>
        <w:rPr>
          <w:rFonts w:ascii="Times New Roman" w:cs="Times New Roman" w:hAnsi="Times New Roman"/>
          <w:sz w:val="24"/>
          <w:szCs w:val="24"/>
        </w:rPr>
        <w:t>that pain management wasn’t dependent on patient response to analgesia, but rather the discretion of the physician and even probably, the specific environment of the day.</w:t>
      </w:r>
      <w:r>
        <w:rPr>
          <w:rFonts w:ascii="Times New Roman" w:cs="Times New Roman" w:hAnsi="Times New Roman"/>
          <w:sz w:val="24"/>
          <w:szCs w:val="24"/>
        </w:rPr>
        <w:t xml:space="preserve"> A more worrying outcome is </w:t>
      </w:r>
      <w:r>
        <w:rPr>
          <w:rFonts w:ascii="Times New Roman" w:cs="Times New Roman" w:hAnsi="Times New Roman"/>
          <w:sz w:val="24"/>
          <w:szCs w:val="24"/>
        </w:rPr>
        <w:t xml:space="preserve">the fact that 40% of patients discharged to home were sent home with no analgesia. </w:t>
      </w:r>
      <w:r>
        <w:rPr>
          <w:rFonts w:ascii="Times New Roman" w:cs="Times New Roman" w:hAnsi="Times New Roman"/>
          <w:sz w:val="24"/>
          <w:szCs w:val="24"/>
        </w:rPr>
        <w:t xml:space="preserve">As one study from the Netherlands showed, two-thirds of patients discharged from the emergency department with musculoskeletal origin pain had moderate to severe pain. This has shown the need for maintained analgesia for patients being discharged after acute trauma.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b/>
          <w:sz w:val="24"/>
          <w:szCs w:val="24"/>
        </w:rPr>
        <w:t>Conclusion</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The concept of acute pain management is certainly not new but the practice seems quite variable across centers and countries. The institution of interest, in one of the low-income countries </w:t>
      </w:r>
      <w:r>
        <w:rPr>
          <w:rFonts w:ascii="Times New Roman" w:cs="Times New Roman" w:hAnsi="Times New Roman"/>
          <w:sz w:val="24"/>
          <w:szCs w:val="24"/>
        </w:rPr>
        <w:t>studied here, showed non-existent pain scoring practice, disorganized analgesia provision, and poor pain care for discharged patients. In addition, in groups managed with some sort of analgesia, no combination of any sort was provided, no strong opioid was prescribed and as a result, more than two-thirds of patients with severe pain weren't treated to the level the pain was satisfactorily manageable for the patients to handle. Based on all these findings, one must recommend curricular inclusion of both acute and chronic pain management, guideline-based pain management protocols, and provision of proper analgesia with monitoring of their proper and controlled utilization in addition to utilization and availability of pain management experts and teams.</w:t>
      </w:r>
    </w:p>
    <w:p>
      <w:pPr>
        <w:pStyle w:val="style0"/>
        <w:rPr/>
      </w:pPr>
    </w:p>
    <w:p>
      <w:pPr>
        <w:pStyle w:val="style0"/>
        <w:rPr>
          <w:rFonts w:ascii="Times New Roman" w:cs="Times New Roman" w:hAnsi="Times New Roman"/>
          <w:b/>
          <w:sz w:val="24"/>
          <w:szCs w:val="24"/>
        </w:rPr>
      </w:pPr>
      <w:r>
        <w:br w:type="column"/>
      </w:r>
      <w:r>
        <w:rPr>
          <w:rFonts w:ascii="Times New Roman" w:cs="Times New Roman" w:hAnsi="Times New Roman"/>
          <w:b/>
          <w:sz w:val="24"/>
          <w:szCs w:val="24"/>
        </w:rPr>
        <w:t>Abbreviations</w:t>
      </w:r>
    </w:p>
    <w:p>
      <w:pPr>
        <w:pStyle w:val="style0"/>
        <w:rPr>
          <w:rFonts w:ascii="Times New Roman" w:cs="Times New Roman" w:hAnsi="Times New Roman"/>
          <w:sz w:val="24"/>
          <w:szCs w:val="24"/>
        </w:rPr>
      </w:pPr>
      <w:r>
        <w:rPr>
          <w:rFonts w:ascii="Times New Roman" w:cs="Times New Roman" w:hAnsi="Times New Roman"/>
          <w:sz w:val="24"/>
          <w:szCs w:val="24"/>
        </w:rPr>
        <w:t>DALY: Disability Adjusted Life Years</w:t>
      </w:r>
    </w:p>
    <w:p>
      <w:pPr>
        <w:pStyle w:val="style0"/>
        <w:rPr>
          <w:rFonts w:ascii="Times New Roman" w:cs="Times New Roman" w:hAnsi="Times New Roman"/>
          <w:sz w:val="24"/>
          <w:szCs w:val="24"/>
        </w:rPr>
      </w:pPr>
      <w:r>
        <w:rPr>
          <w:rFonts w:ascii="Times New Roman" w:cs="Times New Roman" w:hAnsi="Times New Roman"/>
          <w:sz w:val="24"/>
          <w:szCs w:val="24"/>
        </w:rPr>
        <w:t>FAS: Functional Activity Score</w:t>
      </w:r>
    </w:p>
    <w:p>
      <w:pPr>
        <w:pStyle w:val="style0"/>
        <w:rPr>
          <w:rFonts w:ascii="Times New Roman" w:cs="Times New Roman" w:hAnsi="Times New Roman"/>
          <w:sz w:val="24"/>
          <w:szCs w:val="24"/>
        </w:rPr>
      </w:pPr>
      <w:r>
        <w:rPr>
          <w:rFonts w:ascii="Times New Roman" w:cs="Times New Roman" w:hAnsi="Times New Roman"/>
          <w:sz w:val="24"/>
          <w:szCs w:val="24"/>
        </w:rPr>
        <w:t>GCS: Glasgow Coma Scale</w:t>
      </w:r>
    </w:p>
    <w:p>
      <w:pPr>
        <w:pStyle w:val="style0"/>
        <w:rPr>
          <w:rFonts w:ascii="Times New Roman" w:cs="Times New Roman" w:hAnsi="Times New Roman"/>
          <w:sz w:val="24"/>
          <w:szCs w:val="24"/>
        </w:rPr>
      </w:pPr>
      <w:r>
        <w:rPr>
          <w:rFonts w:ascii="Times New Roman" w:cs="Times New Roman" w:hAnsi="Times New Roman"/>
          <w:sz w:val="24"/>
          <w:szCs w:val="24"/>
        </w:rPr>
        <w:t>PTSD: Post-traumatic Stress Disorder</w:t>
      </w:r>
    </w:p>
    <w:p>
      <w:pPr>
        <w:pStyle w:val="style0"/>
        <w:rPr>
          <w:rFonts w:ascii="Times New Roman" w:cs="Times New Roman" w:hAnsi="Times New Roman"/>
          <w:sz w:val="24"/>
          <w:szCs w:val="24"/>
        </w:rPr>
      </w:pPr>
      <w:r>
        <w:rPr>
          <w:rFonts w:ascii="Times New Roman" w:cs="Times New Roman" w:hAnsi="Times New Roman"/>
          <w:sz w:val="24"/>
          <w:szCs w:val="24"/>
        </w:rPr>
        <w:t>SPS: Subjective Pain Score</w:t>
      </w:r>
    </w:p>
    <w:p>
      <w:pPr>
        <w:pStyle w:val="style0"/>
        <w:rPr>
          <w:rFonts w:ascii="Times New Roman" w:cs="Times New Roman" w:hAnsi="Times New Roman"/>
          <w:sz w:val="24"/>
          <w:szCs w:val="24"/>
        </w:rPr>
      </w:pPr>
      <w:r>
        <w:rPr>
          <w:rFonts w:ascii="Times New Roman" w:cs="Times New Roman" w:hAnsi="Times New Roman"/>
          <w:sz w:val="24"/>
          <w:szCs w:val="24"/>
        </w:rPr>
        <w:t>USA: United States of America</w:t>
      </w:r>
    </w:p>
    <w:p>
      <w:pPr>
        <w:pStyle w:val="style0"/>
        <w:rPr>
          <w:rFonts w:ascii="Times New Roman" w:cs="Times New Roman" w:hAnsi="Times New Roman"/>
          <w:b/>
          <w:sz w:val="24"/>
          <w:szCs w:val="24"/>
        </w:rPr>
      </w:pPr>
      <w:r>
        <w:rPr>
          <w:rFonts w:ascii="Times New Roman" w:cs="Times New Roman" w:hAnsi="Times New Roman"/>
          <w:sz w:val="24"/>
          <w:szCs w:val="24"/>
        </w:rPr>
        <w:t>WHO: World Health Organization</w:t>
      </w:r>
      <w:r>
        <w:rPr>
          <w:rFonts w:ascii="Times New Roman" w:cs="Times New Roman" w:hAnsi="Times New Roman"/>
          <w:b/>
          <w:sz w:val="24"/>
          <w:szCs w:val="24"/>
        </w:rPr>
        <w:br w:type="column"/>
      </w:r>
      <w:r>
        <w:rPr>
          <w:rFonts w:ascii="Times New Roman" w:cs="Times New Roman" w:hAnsi="Times New Roman"/>
          <w:b/>
          <w:sz w:val="24"/>
          <w:szCs w:val="24"/>
        </w:rPr>
        <w:t>Acknowledgments</w:t>
      </w:r>
    </w:p>
    <w:p>
      <w:pPr>
        <w:pStyle w:val="style0"/>
        <w:tabs>
          <w:tab w:val="left" w:leader="none" w:pos="3885"/>
        </w:tabs>
        <w:jc w:val="both"/>
        <w:rPr>
          <w:rFonts w:ascii="Times New Roman" w:cs="Times New Roman" w:hAnsi="Times New Roman"/>
          <w:sz w:val="24"/>
          <w:szCs w:val="24"/>
        </w:rPr>
      </w:pPr>
      <w:r>
        <w:rPr>
          <w:rFonts w:ascii="Times New Roman" w:cs="Times New Roman" w:hAnsi="Times New Roman"/>
          <w:sz w:val="24"/>
          <w:szCs w:val="24"/>
        </w:rPr>
        <w:t>We would like to thank Dr. Hywet Engida, head of the Department of Emergency medicine at Tikur Anbessa specialized hospital for her advisory work on this manuscript from the proposal to the finalization.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br w:type="column"/>
      </w:r>
      <w:r>
        <w:rPr>
          <w:rFonts w:ascii="Times New Roman" w:cs="Times New Roman" w:hAnsi="Times New Roman"/>
          <w:b/>
          <w:sz w:val="24"/>
          <w:szCs w:val="24"/>
        </w:rPr>
        <w:t>References</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Haagsma</w:t>
      </w:r>
      <w:r>
        <w:rPr>
          <w:rFonts w:ascii="Times New Roman" w:cs="Times New Roman" w:hAnsi="Times New Roman"/>
          <w:sz w:val="24"/>
          <w:szCs w:val="24"/>
        </w:rPr>
        <w:t xml:space="preserve"> JA</w:t>
      </w:r>
      <w:r>
        <w:rPr>
          <w:rFonts w:ascii="Times New Roman" w:cs="Times New Roman" w:hAnsi="Times New Roman"/>
          <w:sz w:val="24"/>
          <w:szCs w:val="24"/>
        </w:rPr>
        <w:t>, Graetz</w:t>
      </w:r>
      <w:r>
        <w:rPr>
          <w:rFonts w:ascii="Times New Roman" w:cs="Times New Roman" w:hAnsi="Times New Roman"/>
          <w:sz w:val="24"/>
          <w:szCs w:val="24"/>
        </w:rPr>
        <w:t xml:space="preserve"> N</w:t>
      </w:r>
      <w:r>
        <w:rPr>
          <w:rFonts w:ascii="Times New Roman" w:cs="Times New Roman" w:hAnsi="Times New Roman"/>
          <w:sz w:val="24"/>
          <w:szCs w:val="24"/>
        </w:rPr>
        <w:t>, Bolliger</w:t>
      </w:r>
      <w:r>
        <w:rPr>
          <w:rFonts w:ascii="Times New Roman" w:cs="Times New Roman" w:hAnsi="Times New Roman"/>
          <w:sz w:val="24"/>
          <w:szCs w:val="24"/>
        </w:rPr>
        <w:t xml:space="preserve"> I</w:t>
      </w:r>
      <w:r>
        <w:rPr>
          <w:rFonts w:ascii="Times New Roman" w:cs="Times New Roman" w:hAnsi="Times New Roman"/>
          <w:sz w:val="24"/>
          <w:szCs w:val="24"/>
        </w:rPr>
        <w:t>, Naghavi</w:t>
      </w:r>
      <w:r>
        <w:rPr>
          <w:rFonts w:ascii="Times New Roman" w:cs="Times New Roman" w:hAnsi="Times New Roman"/>
          <w:sz w:val="24"/>
          <w:szCs w:val="24"/>
        </w:rPr>
        <w:t xml:space="preserve"> M</w:t>
      </w:r>
      <w:r>
        <w:rPr>
          <w:rFonts w:ascii="Times New Roman" w:cs="Times New Roman" w:hAnsi="Times New Roman"/>
          <w:sz w:val="24"/>
          <w:szCs w:val="24"/>
        </w:rPr>
        <w:t>, Higashi</w:t>
      </w:r>
      <w:r>
        <w:rPr>
          <w:rFonts w:ascii="Times New Roman" w:cs="Times New Roman" w:hAnsi="Times New Roman"/>
          <w:sz w:val="24"/>
          <w:szCs w:val="24"/>
        </w:rPr>
        <w:t xml:space="preserve"> H</w:t>
      </w:r>
      <w:r>
        <w:rPr>
          <w:rFonts w:ascii="Times New Roman" w:cs="Times New Roman" w:hAnsi="Times New Roman"/>
          <w:sz w:val="24"/>
          <w:szCs w:val="24"/>
        </w:rPr>
        <w:t>, Mullany</w:t>
      </w:r>
      <w:r>
        <w:rPr>
          <w:rFonts w:ascii="Times New Roman" w:cs="Times New Roman" w:hAnsi="Times New Roman"/>
          <w:sz w:val="24"/>
          <w:szCs w:val="24"/>
        </w:rPr>
        <w:t xml:space="preserve"> EC</w:t>
      </w:r>
      <w:r>
        <w:rPr>
          <w:rFonts w:ascii="Times New Roman" w:cs="Times New Roman" w:hAnsi="Times New Roman"/>
          <w:sz w:val="24"/>
          <w:szCs w:val="24"/>
        </w:rPr>
        <w:t>, et al: The global burden of injury: incidence, mortality, disability-adjusted life years and time trends from the Global Burden of Disease study 2013: Inj Prev 2016;22:3–18</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Injuries and Violence: The Facts. 2014: 2</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Bolandparzvaz</w:t>
      </w:r>
      <w:r>
        <w:rPr>
          <w:rFonts w:ascii="Times New Roman" w:cs="Times New Roman" w:hAnsi="Times New Roman"/>
          <w:sz w:val="24"/>
          <w:szCs w:val="24"/>
        </w:rPr>
        <w:t xml:space="preserve"> S</w:t>
      </w:r>
      <w:r>
        <w:rPr>
          <w:rFonts w:ascii="Times New Roman" w:cs="Times New Roman" w:hAnsi="Times New Roman"/>
          <w:sz w:val="24"/>
          <w:szCs w:val="24"/>
        </w:rPr>
        <w:t>, Yadollahi</w:t>
      </w:r>
      <w:r>
        <w:rPr>
          <w:rFonts w:ascii="Times New Roman" w:cs="Times New Roman" w:hAnsi="Times New Roman"/>
          <w:sz w:val="24"/>
          <w:szCs w:val="24"/>
        </w:rPr>
        <w:t xml:space="preserve"> M</w:t>
      </w:r>
      <w:r>
        <w:rPr>
          <w:rFonts w:ascii="Times New Roman" w:cs="Times New Roman" w:hAnsi="Times New Roman"/>
          <w:sz w:val="24"/>
          <w:szCs w:val="24"/>
        </w:rPr>
        <w:t>, Abbasi</w:t>
      </w:r>
      <w:r>
        <w:rPr>
          <w:rFonts w:ascii="Times New Roman" w:cs="Times New Roman" w:hAnsi="Times New Roman"/>
          <w:sz w:val="24"/>
          <w:szCs w:val="24"/>
        </w:rPr>
        <w:t xml:space="preserve"> HR</w:t>
      </w:r>
      <w:r>
        <w:rPr>
          <w:rFonts w:ascii="Times New Roman" w:cs="Times New Roman" w:hAnsi="Times New Roman"/>
          <w:sz w:val="24"/>
          <w:szCs w:val="24"/>
        </w:rPr>
        <w:t>, Anvar</w:t>
      </w:r>
      <w:r>
        <w:rPr>
          <w:rFonts w:ascii="Times New Roman" w:cs="Times New Roman" w:hAnsi="Times New Roman"/>
          <w:sz w:val="24"/>
          <w:szCs w:val="24"/>
        </w:rPr>
        <w:t xml:space="preserve"> M</w:t>
      </w:r>
      <w:r>
        <w:rPr>
          <w:rFonts w:ascii="Times New Roman" w:cs="Times New Roman" w:hAnsi="Times New Roman"/>
          <w:sz w:val="24"/>
          <w:szCs w:val="24"/>
        </w:rPr>
        <w:t>: injury patterns among age and gender groups of trauma patients in southern Iran; medicine(Beltimore). 2017 oct;96(41)e7812</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Fazel</w:t>
      </w:r>
      <w:r>
        <w:rPr>
          <w:rFonts w:ascii="Times New Roman" w:cs="Times New Roman" w:hAnsi="Times New Roman"/>
          <w:sz w:val="24"/>
          <w:szCs w:val="24"/>
        </w:rPr>
        <w:t xml:space="preserve"> RM</w:t>
      </w:r>
      <w:r>
        <w:rPr>
          <w:rFonts w:ascii="Times New Roman" w:cs="Times New Roman" w:hAnsi="Times New Roman"/>
          <w:sz w:val="24"/>
          <w:szCs w:val="24"/>
        </w:rPr>
        <w:t>, Fakharian</w:t>
      </w:r>
      <w:r>
        <w:rPr>
          <w:rFonts w:ascii="Times New Roman" w:cs="Times New Roman" w:hAnsi="Times New Roman"/>
          <w:sz w:val="24"/>
          <w:szCs w:val="24"/>
        </w:rPr>
        <w:t xml:space="preserve"> E</w:t>
      </w:r>
      <w:r>
        <w:rPr>
          <w:rFonts w:ascii="Times New Roman" w:cs="Times New Roman" w:hAnsi="Times New Roman"/>
          <w:sz w:val="24"/>
          <w:szCs w:val="24"/>
        </w:rPr>
        <w:t>, Mahdian</w:t>
      </w:r>
      <w:r>
        <w:rPr>
          <w:rFonts w:ascii="Times New Roman" w:cs="Times New Roman" w:hAnsi="Times New Roman"/>
          <w:sz w:val="24"/>
          <w:szCs w:val="24"/>
        </w:rPr>
        <w:t xml:space="preserve"> M</w:t>
      </w:r>
      <w:r>
        <w:rPr>
          <w:rFonts w:ascii="Times New Roman" w:cs="Times New Roman" w:hAnsi="Times New Roman"/>
          <w:sz w:val="24"/>
          <w:szCs w:val="24"/>
        </w:rPr>
        <w:t>, Mohammadzadeh</w:t>
      </w:r>
      <w:r>
        <w:rPr>
          <w:rFonts w:ascii="Times New Roman" w:cs="Times New Roman" w:hAnsi="Times New Roman"/>
          <w:sz w:val="24"/>
          <w:szCs w:val="24"/>
        </w:rPr>
        <w:t xml:space="preserve"> M</w:t>
      </w:r>
      <w:r>
        <w:rPr>
          <w:rFonts w:ascii="Times New Roman" w:cs="Times New Roman" w:hAnsi="Times New Roman"/>
          <w:sz w:val="24"/>
          <w:szCs w:val="24"/>
        </w:rPr>
        <w:t>, Ladan Salehfard</w:t>
      </w:r>
      <w:r>
        <w:rPr>
          <w:rFonts w:ascii="Times New Roman" w:cs="Times New Roman" w:hAnsi="Times New Roman"/>
          <w:sz w:val="24"/>
          <w:szCs w:val="24"/>
        </w:rPr>
        <w:t>,</w:t>
      </w:r>
      <w:r>
        <w:rPr>
          <w:rFonts w:ascii="Times New Roman" w:cs="Times New Roman" w:hAnsi="Times New Roman"/>
          <w:sz w:val="24"/>
          <w:szCs w:val="24"/>
        </w:rPr>
        <w:t xml:space="preserve"> Ramezani</w:t>
      </w:r>
      <w:r>
        <w:rPr>
          <w:rFonts w:ascii="Times New Roman" w:cs="Times New Roman" w:hAnsi="Times New Roman"/>
          <w:sz w:val="24"/>
          <w:szCs w:val="24"/>
        </w:rPr>
        <w:t xml:space="preserve"> M</w:t>
      </w:r>
      <w:r>
        <w:rPr>
          <w:rFonts w:ascii="Times New Roman" w:cs="Times New Roman" w:hAnsi="Times New Roman"/>
          <w:sz w:val="24"/>
          <w:szCs w:val="24"/>
        </w:rPr>
        <w:t>: Demographic Profiles of Adult trauma During a 5 year period (2007-2011) in Kashan, IR Iran; Arch trauma Res. 2012 summer; 1(2):63-66</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Gemechu T, Tinsae M, Ashenafi S, Rodriguez VM, Lori A, Collins M, et al: Most common causes of natural and injury-related deaths in Addis Ababa Ethiopia: Pathol Res Pract. 2009; 205(9):608-614</w:t>
      </w:r>
    </w:p>
    <w:p>
      <w:pPr>
        <w:pStyle w:val="style179"/>
        <w:numPr>
          <w:ilvl w:val="0"/>
          <w:numId w:val="1"/>
        </w:numPr>
        <w:jc w:val="both"/>
        <w:rPr>
          <w:rStyle w:val="style4100"/>
          <w:rFonts w:ascii="Times New Roman" w:cs="Times New Roman" w:hAnsi="Times New Roman"/>
          <w:sz w:val="24"/>
          <w:szCs w:val="24"/>
        </w:rPr>
      </w:pPr>
      <w:r>
        <w:rPr>
          <w:rStyle w:val="style4100"/>
          <w:rFonts w:ascii="Times New Roman" w:cs="Times New Roman" w:hAnsi="Times New Roman"/>
          <w:sz w:val="24"/>
          <w:szCs w:val="24"/>
        </w:rPr>
        <w:t>Berben SA, Meijs TH, van Dongen RT, van Vugt AB, Vloet LC, Mintjes-de Groot JJ, et al. Pain prevalence and pain relief in trauma patients in the Accident &amp; Emergency department. Injury. 2008; 39: 578-585</w:t>
      </w:r>
    </w:p>
    <w:p>
      <w:pPr>
        <w:pStyle w:val="style179"/>
        <w:numPr>
          <w:ilvl w:val="0"/>
          <w:numId w:val="1"/>
        </w:numPr>
        <w:autoSpaceDE w:val="false"/>
        <w:autoSpaceDN w:val="false"/>
        <w:adjustRightInd w:val="false"/>
        <w:spacing w:after="0"/>
        <w:jc w:val="both"/>
        <w:rPr>
          <w:rFonts w:ascii="Times New Roman" w:cs="Times New Roman" w:hAnsi="Times New Roman"/>
          <w:bCs/>
          <w:color w:val="292526"/>
          <w:sz w:val="24"/>
          <w:szCs w:val="24"/>
        </w:rPr>
      </w:pPr>
      <w:r>
        <w:rPr>
          <w:rFonts w:ascii="Times New Roman" w:cs="Times New Roman" w:hAnsi="Times New Roman"/>
          <w:iCs/>
          <w:color w:val="292526"/>
          <w:sz w:val="24"/>
          <w:szCs w:val="24"/>
        </w:rPr>
        <w:t>Rivara</w:t>
      </w:r>
      <w:r>
        <w:rPr>
          <w:rFonts w:ascii="Times New Roman" w:cs="Times New Roman" w:hAnsi="Times New Roman"/>
          <w:iCs/>
          <w:color w:val="292526"/>
          <w:sz w:val="24"/>
          <w:szCs w:val="24"/>
        </w:rPr>
        <w:t xml:space="preserve"> FP</w:t>
      </w:r>
      <w:r>
        <w:rPr>
          <w:rFonts w:ascii="Times New Roman" w:cs="Times New Roman" w:hAnsi="Times New Roman"/>
          <w:iCs/>
          <w:color w:val="292526"/>
          <w:sz w:val="24"/>
          <w:szCs w:val="24"/>
        </w:rPr>
        <w:t>, MacKenzie</w:t>
      </w:r>
      <w:r>
        <w:rPr>
          <w:rFonts w:ascii="Times New Roman" w:cs="Times New Roman" w:hAnsi="Times New Roman"/>
          <w:iCs/>
          <w:color w:val="292526"/>
          <w:sz w:val="24"/>
          <w:szCs w:val="24"/>
        </w:rPr>
        <w:t xml:space="preserve"> EJ,</w:t>
      </w:r>
      <w:r>
        <w:rPr>
          <w:rFonts w:ascii="Times New Roman" w:cs="Times New Roman" w:hAnsi="Times New Roman"/>
          <w:iCs/>
          <w:color w:val="292526"/>
          <w:sz w:val="24"/>
          <w:szCs w:val="24"/>
        </w:rPr>
        <w:t xml:space="preserve"> Jurkovich</w:t>
      </w:r>
      <w:r>
        <w:rPr>
          <w:rFonts w:ascii="Times New Roman" w:cs="Times New Roman" w:hAnsi="Times New Roman"/>
          <w:iCs/>
          <w:color w:val="292526"/>
          <w:sz w:val="24"/>
          <w:szCs w:val="24"/>
        </w:rPr>
        <w:t xml:space="preserve"> GJ</w:t>
      </w:r>
      <w:r>
        <w:rPr>
          <w:rFonts w:ascii="Times New Roman" w:cs="Times New Roman" w:hAnsi="Times New Roman"/>
          <w:iCs/>
          <w:color w:val="292526"/>
          <w:sz w:val="24"/>
          <w:szCs w:val="24"/>
        </w:rPr>
        <w:t>, Nathens</w:t>
      </w:r>
      <w:r>
        <w:rPr>
          <w:rFonts w:ascii="Times New Roman" w:cs="Times New Roman" w:hAnsi="Times New Roman"/>
          <w:iCs/>
          <w:color w:val="292526"/>
          <w:sz w:val="24"/>
          <w:szCs w:val="24"/>
        </w:rPr>
        <w:t xml:space="preserve"> AB, MD, Wang J, Scharfstein DO</w:t>
      </w:r>
      <w:r>
        <w:rPr>
          <w:rFonts w:ascii="Times New Roman" w:cs="Times New Roman" w:hAnsi="Times New Roman"/>
          <w:iCs/>
          <w:color w:val="292526"/>
          <w:sz w:val="24"/>
          <w:szCs w:val="24"/>
        </w:rPr>
        <w:t xml:space="preserve">; </w:t>
      </w:r>
      <w:r>
        <w:rPr>
          <w:rFonts w:ascii="Times New Roman" w:cs="Times New Roman" w:hAnsi="Times New Roman"/>
          <w:bCs/>
          <w:color w:val="292526"/>
          <w:sz w:val="24"/>
          <w:szCs w:val="24"/>
        </w:rPr>
        <w:t xml:space="preserve">Prevalence of Pain in Patients 1 Year After Major Trauma: </w:t>
      </w:r>
      <w:r>
        <w:rPr>
          <w:rFonts w:ascii="Times New Roman" w:cs="Times New Roman" w:hAnsi="Times New Roman"/>
          <w:iCs/>
          <w:color w:val="292526"/>
          <w:sz w:val="24"/>
          <w:szCs w:val="24"/>
        </w:rPr>
        <w:t>Arch Surg. 2008;143(3):282-28</w:t>
      </w:r>
      <w:r>
        <w:rPr>
          <w:rFonts w:ascii="Times New Roman" w:cs="Times New Roman" w:hAnsi="Times New Roman"/>
          <w:iCs/>
          <w:color w:val="292526"/>
          <w:sz w:val="24"/>
          <w:szCs w:val="24"/>
        </w:rPr>
        <w:t>6</w:t>
      </w:r>
    </w:p>
    <w:p>
      <w:pPr>
        <w:pStyle w:val="style179"/>
        <w:numPr>
          <w:ilvl w:val="0"/>
          <w:numId w:val="1"/>
        </w:numPr>
        <w:autoSpaceDE w:val="false"/>
        <w:autoSpaceDN w:val="false"/>
        <w:adjustRightInd w:val="false"/>
        <w:spacing w:after="0"/>
        <w:jc w:val="both"/>
        <w:rPr>
          <w:rFonts w:ascii="Times New Roman" w:cs="Times New Roman" w:hAnsi="Times New Roman"/>
          <w:bCs/>
          <w:color w:val="292526"/>
          <w:sz w:val="24"/>
          <w:szCs w:val="24"/>
        </w:rPr>
      </w:pPr>
      <w:r>
        <w:rPr>
          <w:rFonts w:ascii="Times New Roman" w:cs="Times New Roman" w:hAnsi="Times New Roman"/>
          <w:iCs/>
          <w:color w:val="292526"/>
          <w:sz w:val="24"/>
          <w:szCs w:val="24"/>
        </w:rPr>
        <w:t>Heddrich R, Ness T: Analgesic for trauma and burn: critical care clinical journal 1999;15:167-184</w:t>
      </w:r>
    </w:p>
    <w:p>
      <w:pPr>
        <w:pStyle w:val="style179"/>
        <w:numPr>
          <w:ilvl w:val="0"/>
          <w:numId w:val="1"/>
        </w:numPr>
        <w:autoSpaceDE w:val="false"/>
        <w:autoSpaceDN w:val="false"/>
        <w:adjustRightInd w:val="false"/>
        <w:spacing w:after="0"/>
        <w:jc w:val="both"/>
        <w:rPr>
          <w:rFonts w:ascii="Times New Roman" w:cs="Times New Roman" w:hAnsi="Times New Roman"/>
          <w:bCs/>
          <w:color w:val="292526"/>
          <w:sz w:val="24"/>
          <w:szCs w:val="24"/>
        </w:rPr>
      </w:pPr>
      <w:r>
        <w:rPr>
          <w:rFonts w:ascii="Times New Roman" w:cs="Times New Roman" w:hAnsi="Times New Roman"/>
          <w:iCs/>
          <w:color w:val="000000"/>
          <w:sz w:val="24"/>
          <w:szCs w:val="24"/>
        </w:rPr>
        <w:t>Ahmadi</w:t>
      </w:r>
      <w:r>
        <w:rPr>
          <w:rFonts w:ascii="Times New Roman" w:cs="Times New Roman" w:hAnsi="Times New Roman"/>
          <w:iCs/>
          <w:color w:val="000000"/>
          <w:sz w:val="24"/>
          <w:szCs w:val="24"/>
        </w:rPr>
        <w:t xml:space="preserve"> A</w:t>
      </w:r>
      <w:r>
        <w:rPr>
          <w:rFonts w:ascii="Times New Roman" w:cs="Times New Roman" w:hAnsi="Times New Roman"/>
          <w:iCs/>
          <w:color w:val="000000"/>
          <w:sz w:val="24"/>
          <w:szCs w:val="24"/>
        </w:rPr>
        <w:t>, Hejazi</w:t>
      </w:r>
      <w:r>
        <w:rPr>
          <w:rFonts w:ascii="Times New Roman" w:cs="Times New Roman" w:hAnsi="Times New Roman"/>
          <w:iCs/>
          <w:color w:val="000000"/>
          <w:sz w:val="24"/>
          <w:szCs w:val="24"/>
        </w:rPr>
        <w:t xml:space="preserve"> SB</w:t>
      </w:r>
      <w:r>
        <w:rPr>
          <w:rFonts w:ascii="Times New Roman" w:cs="Times New Roman" w:hAnsi="Times New Roman"/>
          <w:iCs/>
          <w:color w:val="000000"/>
          <w:sz w:val="24"/>
          <w:szCs w:val="24"/>
        </w:rPr>
        <w:t>, Zadie</w:t>
      </w:r>
      <w:r>
        <w:rPr>
          <w:rFonts w:ascii="Times New Roman" w:cs="Times New Roman" w:hAnsi="Times New Roman"/>
          <w:iCs/>
          <w:color w:val="000000"/>
          <w:sz w:val="24"/>
          <w:szCs w:val="24"/>
        </w:rPr>
        <w:t xml:space="preserve"> ZH</w:t>
      </w:r>
      <w:r>
        <w:rPr>
          <w:rFonts w:ascii="Times New Roman" w:cs="Times New Roman" w:hAnsi="Times New Roman"/>
          <w:iCs/>
          <w:color w:val="000000"/>
          <w:sz w:val="24"/>
          <w:szCs w:val="24"/>
        </w:rPr>
        <w:t>, Euasobhon</w:t>
      </w:r>
      <w:r>
        <w:rPr>
          <w:rFonts w:ascii="Times New Roman" w:cs="Times New Roman" w:hAnsi="Times New Roman"/>
          <w:iCs/>
          <w:color w:val="000000"/>
          <w:sz w:val="24"/>
          <w:szCs w:val="24"/>
        </w:rPr>
        <w:t xml:space="preserve"> P</w:t>
      </w:r>
      <w:r>
        <w:rPr>
          <w:rFonts w:ascii="Times New Roman" w:cs="Times New Roman" w:hAnsi="Times New Roman"/>
          <w:iCs/>
          <w:color w:val="000000"/>
          <w:sz w:val="24"/>
          <w:szCs w:val="24"/>
        </w:rPr>
        <w:t>, Ketumarn</w:t>
      </w:r>
      <w:r>
        <w:rPr>
          <w:rFonts w:ascii="Times New Roman" w:cs="Times New Roman" w:hAnsi="Times New Roman"/>
          <w:iCs/>
          <w:color w:val="000000"/>
          <w:sz w:val="24"/>
          <w:szCs w:val="24"/>
        </w:rPr>
        <w:t xml:space="preserve"> P</w:t>
      </w:r>
      <w:r>
        <w:rPr>
          <w:rFonts w:ascii="Times New Roman" w:cs="Times New Roman" w:hAnsi="Times New Roman"/>
          <w:iCs/>
          <w:color w:val="000000"/>
          <w:sz w:val="24"/>
          <w:szCs w:val="24"/>
        </w:rPr>
        <w:t xml:space="preserve">, Karbasfrushan </w:t>
      </w:r>
      <w:r>
        <w:rPr>
          <w:rFonts w:ascii="Times New Roman" w:cs="Times New Roman" w:hAnsi="Times New Roman"/>
          <w:iCs/>
          <w:color w:val="000000"/>
          <w:sz w:val="24"/>
          <w:szCs w:val="24"/>
        </w:rPr>
        <w:t>A</w:t>
      </w:r>
      <w:r>
        <w:rPr>
          <w:rFonts w:ascii="Times New Roman" w:cs="Times New Roman" w:hAnsi="Times New Roman"/>
          <w:iCs/>
          <w:color w:val="000000"/>
          <w:sz w:val="24"/>
          <w:szCs w:val="24"/>
        </w:rPr>
        <w:t>,</w:t>
      </w:r>
      <w:r>
        <w:rPr>
          <w:rFonts w:ascii="Times New Roman" w:cs="Times New Roman" w:hAnsi="Times New Roman"/>
          <w:iCs/>
          <w:color w:val="000000"/>
          <w:sz w:val="24"/>
          <w:szCs w:val="24"/>
        </w:rPr>
        <w:t xml:space="preserve"> et al</w:t>
      </w:r>
      <w:r>
        <w:rPr>
          <w:rFonts w:ascii="Times New Roman" w:cs="Times New Roman" w:hAnsi="Times New Roman"/>
          <w:iCs/>
          <w:color w:val="000000"/>
          <w:sz w:val="24"/>
          <w:szCs w:val="24"/>
        </w:rPr>
        <w:t>:</w:t>
      </w:r>
      <w:r>
        <w:rPr>
          <w:rFonts w:ascii="Times New Roman" w:cs="Times New Roman" w:hAnsi="Times New Roman"/>
          <w:iCs/>
          <w:color w:val="000000"/>
          <w:sz w:val="24"/>
          <w:szCs w:val="24"/>
        </w:rPr>
        <w:t xml:space="preserve"> </w:t>
      </w:r>
      <w:r>
        <w:rPr>
          <w:rFonts w:ascii="Times New Roman" w:cs="Times New Roman" w:hAnsi="Times New Roman"/>
          <w:iCs/>
          <w:color w:val="000000"/>
          <w:sz w:val="24"/>
          <w:szCs w:val="24"/>
        </w:rPr>
        <w:t>Pain management in trauma: A review study: journal of injury and violence:2016; 8(2):89-98</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iCs/>
          <w:color w:val="000000"/>
          <w:sz w:val="24"/>
          <w:szCs w:val="24"/>
        </w:rPr>
        <w:t>Kabore RA, Ki KB, Traore AI, Compaore S, Bougouma CT, et al. (2013) Assessment of the Care of Acute Pain at the Trauma Center of Oua</w:t>
      </w:r>
      <w:r>
        <w:rPr>
          <w:rFonts w:ascii="Times New Roman" w:cs="Times New Roman" w:hAnsi="Times New Roman"/>
          <w:iCs/>
          <w:color w:val="000000"/>
          <w:sz w:val="24"/>
          <w:szCs w:val="24"/>
        </w:rPr>
        <w:t/>
      </w:r>
      <w:r>
        <w:rPr>
          <w:rFonts w:ascii="Times New Roman" w:cs="Times New Roman" w:hAnsi="Times New Roman"/>
          <w:iCs/>
          <w:color w:val="000000"/>
          <w:sz w:val="24"/>
          <w:szCs w:val="24"/>
        </w:rPr>
        <w:t>gadougou. Int J Clin Anesthesiol 1(3): 1016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Ayele TA, Zeleke BM, Tessema GA, Melak MF: Magnitude and patterns of injuries among patients in Gondar University Hospital, northern Ethiopia: an institutional-based study:</w:t>
      </w:r>
      <w:r>
        <w:t xml:space="preserve"> </w:t>
      </w:r>
      <w:r>
        <w:rPr>
          <w:rFonts w:ascii="Times New Roman" w:cs="Times New Roman" w:hAnsi="Times New Roman"/>
          <w:sz w:val="24"/>
          <w:szCs w:val="24"/>
        </w:rPr>
        <w:t>Open Access Surgery 2017:10 25–31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Gebremichael M, Guta M, Gedefaw M, Bekele A, Shiferaw F, Gelibo T, et al: Prevalence and determinants of road traffic injuries in Ethiopia: Based on the 2015 STEPS survey findings: Ethiop. J. Health Dev. 2017;31(Special Issue):340-347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Byun CS, Park IH, Oh JH, Bae KS, Lee KH, Lee E. Epidemiology of Trauma patients and analysis of 268 mortality cases: trends of a single center in Korea. Yonsei Med J 2015; 56(1): 220-226</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Moodley NB, Aldous C, Clarke DL. An audit of trauma related mortality in a provincial capital in South Africa. S. Afri.J. Surg 2014; 52(4): 101-104</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Ethiopian Public Health Institute (EPHI) [Ethiopia] and ICF. 2019. Ethiopia Mini Demographic and Health Survey 2019: Key indicators. Rockville, Maryland, USA: EPHI and ICF</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Garcia J, Ohanisian L, Sidley A, Ferris A, Luck G, Basich G: Resident knowledge and perception of pain management. Cureus 11(11): e6107. DOI 10.7759/cureus.6107</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Li Q, Alonge O, Lawhorn C, Ambaw Y, Kumar S, Jacobs T, et al. (2018) Child injuries in Ethiopia: A review of the current situation with projections. PLoS ONE 13(3): e0194692. </w:t>
      </w:r>
      <w:r>
        <w:rPr/>
        <w:fldChar w:fldCharType="begin"/>
      </w:r>
      <w:r>
        <w:instrText xml:space="preserve"> HYPERLINK "https://doi.org/10.1371/journal.pone.0194692" </w:instrText>
      </w:r>
      <w:r>
        <w:rPr/>
        <w:fldChar w:fldCharType="separate"/>
      </w:r>
      <w:r>
        <w:rPr>
          <w:rStyle w:val="style85"/>
          <w:rFonts w:ascii="Times New Roman" w:cs="Times New Roman" w:hAnsi="Times New Roman"/>
          <w:sz w:val="24"/>
          <w:szCs w:val="24"/>
        </w:rPr>
        <w:t>https://doi.org/10.1371/journal.pone.0194692</w:t>
      </w:r>
      <w:r>
        <w:rPr/>
        <w:fldChar w:fldCharType="end"/>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Dimaggio C, Ayoung-Chee P, Shinseki M, Wilson C, Marshall G, Lee DC: Traumatic Injury in the United States: In-Patient Epidemiology 2000-2011: Injury. 2016 July ; 47(7): 1393–1403. doi:10.1016/j.injury.2016.04.002.</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Negussie A, Getie A, Manaye E, Tekle T. BMC Emergency Medicine (2018) 18:14. </w:t>
      </w:r>
      <w:r>
        <w:rPr/>
        <w:fldChar w:fldCharType="begin"/>
      </w:r>
      <w:r>
        <w:instrText xml:space="preserve"> HYPERLINK "https://doi.org/10.1186/s12873-018-0165-6" </w:instrText>
      </w:r>
      <w:r>
        <w:rPr/>
        <w:fldChar w:fldCharType="separate"/>
      </w:r>
      <w:r>
        <w:rPr>
          <w:rStyle w:val="style85"/>
          <w:rFonts w:ascii="Times New Roman" w:cs="Times New Roman" w:hAnsi="Times New Roman"/>
          <w:sz w:val="24"/>
          <w:szCs w:val="24"/>
        </w:rPr>
        <w:t>https://doi.org/10.1186/s12873-018-0165-6</w:t>
      </w:r>
      <w:r>
        <w:rPr/>
        <w:fldChar w:fldCharType="end"/>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Abegaz T. Magnitude of road traffic accident related injuries and fatalities in Ethiopia. PLoS One. 2019; 14(1): doi: 10.1371/journal.pone.0202240</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Janak JC, Mazuchowski EL, Kotwal RS, Stockinger ZT, Howard JT, Butler FK. Patterns of anatomic injury in critically injured combat casualties: A network analysis: Scientific reports; 9(13767). </w:t>
      </w:r>
      <w:r>
        <w:rPr/>
        <w:fldChar w:fldCharType="begin"/>
      </w:r>
      <w:r>
        <w:instrText xml:space="preserve"> HYPERLINK "https://doi.org/10.1038/s41598-019-50272-3" </w:instrText>
      </w:r>
      <w:r>
        <w:rPr/>
        <w:fldChar w:fldCharType="separate"/>
      </w:r>
      <w:r>
        <w:rPr>
          <w:rStyle w:val="style85"/>
          <w:rFonts w:ascii="Times New Roman" w:cs="Times New Roman" w:hAnsi="Times New Roman"/>
          <w:sz w:val="24"/>
          <w:szCs w:val="24"/>
        </w:rPr>
        <w:t>https://doi.org/10.1038/s41598-019-50272-3</w:t>
      </w:r>
      <w:r>
        <w:rPr/>
        <w:fldChar w:fldCharType="end"/>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Pan RH, Chang NT, Chu D, Hsu KF, Hsu YN, Hsu JC. Epidemiology of orthopedic fractures and other injuries among inpatients admitted due to traffic accidents: A 10-Year Nationwide survey in Taiwan: The scientific world journal; 2014. 2013: </w:t>
      </w:r>
      <w:r>
        <w:rPr/>
        <w:fldChar w:fldCharType="begin"/>
      </w:r>
      <w:r>
        <w:instrText xml:space="preserve"> HYPERLINK "http://dx.doi.org/10.1155/2014/637872" </w:instrText>
      </w:r>
      <w:r>
        <w:rPr/>
        <w:fldChar w:fldCharType="separate"/>
      </w:r>
      <w:r>
        <w:rPr>
          <w:rStyle w:val="style85"/>
          <w:rFonts w:ascii="Times New Roman" w:cs="Times New Roman" w:hAnsi="Times New Roman"/>
          <w:sz w:val="24"/>
          <w:szCs w:val="24"/>
        </w:rPr>
        <w:t>http://dx.doi.org/10.1155/2014/637872</w:t>
      </w:r>
      <w:r>
        <w:rPr/>
        <w:fldChar w:fldCharType="end"/>
      </w:r>
      <w:r>
        <w:rPr>
          <w:rFonts w:ascii="Times New Roman" w:cs="Times New Roman" w:hAnsi="Times New Roman"/>
          <w:sz w:val="24"/>
          <w:szCs w:val="24"/>
        </w:rPr>
        <w:t xml:space="preserve"> </w:t>
      </w:r>
    </w:p>
    <w:p>
      <w:pPr>
        <w:pStyle w:val="style179"/>
        <w:numPr>
          <w:ilvl w:val="0"/>
          <w:numId w:val="1"/>
        </w:numPr>
        <w:autoSpaceDE w:val="false"/>
        <w:autoSpaceDN w:val="false"/>
        <w:adjustRightInd w:val="false"/>
        <w:spacing w:after="0"/>
        <w:jc w:val="both"/>
        <w:rPr>
          <w:rStyle w:val="style4100"/>
          <w:rFonts w:ascii="Times New Roman" w:cs="Times New Roman" w:hAnsi="Times New Roman"/>
          <w:sz w:val="24"/>
          <w:szCs w:val="24"/>
        </w:rPr>
      </w:pPr>
      <w:r>
        <w:rPr>
          <w:rStyle w:val="style4100"/>
          <w:rFonts w:ascii="Times New Roman" w:cs="Times New Roman" w:hAnsi="Times New Roman"/>
          <w:sz w:val="24"/>
          <w:szCs w:val="24"/>
        </w:rPr>
        <w:t>Katz</w:t>
      </w:r>
      <w:r>
        <w:rPr>
          <w:rStyle w:val="style4100"/>
          <w:rFonts w:ascii="Times New Roman" w:cs="Times New Roman" w:hAnsi="Times New Roman"/>
          <w:sz w:val="24"/>
          <w:szCs w:val="24"/>
        </w:rPr>
        <w:t xml:space="preserve"> J, </w:t>
      </w:r>
      <w:r>
        <w:rPr>
          <w:rStyle w:val="style4100"/>
          <w:rFonts w:ascii="Times New Roman" w:cs="Times New Roman" w:hAnsi="Times New Roman"/>
          <w:sz w:val="24"/>
          <w:szCs w:val="24"/>
        </w:rPr>
        <w:t>Jackson</w:t>
      </w:r>
      <w:r>
        <w:rPr>
          <w:rStyle w:val="style4100"/>
          <w:rFonts w:ascii="Times New Roman" w:cs="Times New Roman" w:hAnsi="Times New Roman"/>
          <w:sz w:val="24"/>
          <w:szCs w:val="24"/>
        </w:rPr>
        <w:t xml:space="preserve"> M</w:t>
      </w:r>
      <w:r>
        <w:rPr>
          <w:rStyle w:val="style4100"/>
          <w:rFonts w:ascii="Times New Roman" w:cs="Times New Roman" w:hAnsi="Times New Roman"/>
          <w:sz w:val="24"/>
          <w:szCs w:val="24"/>
        </w:rPr>
        <w:t>, Kavanagh</w:t>
      </w:r>
      <w:r>
        <w:rPr>
          <w:rStyle w:val="style4100"/>
          <w:rFonts w:ascii="Times New Roman" w:cs="Times New Roman" w:hAnsi="Times New Roman"/>
          <w:sz w:val="24"/>
          <w:szCs w:val="24"/>
        </w:rPr>
        <w:t xml:space="preserve"> BP</w:t>
      </w:r>
      <w:r>
        <w:rPr>
          <w:rStyle w:val="style4100"/>
          <w:rFonts w:ascii="Times New Roman" w:cs="Times New Roman" w:hAnsi="Times New Roman"/>
          <w:sz w:val="24"/>
          <w:szCs w:val="24"/>
        </w:rPr>
        <w:t>, Sandler</w:t>
      </w:r>
      <w:r>
        <w:rPr>
          <w:rStyle w:val="style4100"/>
          <w:rFonts w:ascii="Times New Roman" w:cs="Times New Roman" w:hAnsi="Times New Roman"/>
          <w:sz w:val="24"/>
          <w:szCs w:val="24"/>
        </w:rPr>
        <w:t xml:space="preserve"> AN</w:t>
      </w:r>
      <w:r>
        <w:rPr>
          <w:rStyle w:val="style4100"/>
          <w:rFonts w:ascii="Times New Roman" w:cs="Times New Roman" w:hAnsi="Times New Roman"/>
          <w:sz w:val="24"/>
          <w:szCs w:val="24"/>
        </w:rPr>
        <w:t>: Acute pain after thoracic surgery predicts long term post-thoracotomy pain: The clinical journal of pain. 1996: 12(1), 50-55</w:t>
      </w:r>
    </w:p>
    <w:p>
      <w:pPr>
        <w:pStyle w:val="style179"/>
        <w:numPr>
          <w:ilvl w:val="0"/>
          <w:numId w:val="1"/>
        </w:numPr>
        <w:autoSpaceDE w:val="false"/>
        <w:autoSpaceDN w:val="false"/>
        <w:adjustRightInd w:val="false"/>
        <w:spacing w:after="0"/>
        <w:jc w:val="both"/>
        <w:rPr>
          <w:rStyle w:val="style4100"/>
          <w:rFonts w:ascii="Times New Roman" w:cs="Times New Roman" w:hAnsi="Times New Roman"/>
          <w:sz w:val="24"/>
          <w:szCs w:val="24"/>
        </w:rPr>
      </w:pPr>
      <w:r>
        <w:rPr>
          <w:rStyle w:val="style4100"/>
          <w:rFonts w:ascii="Times New Roman" w:cs="Times New Roman" w:hAnsi="Times New Roman"/>
          <w:sz w:val="24"/>
          <w:szCs w:val="24"/>
        </w:rPr>
        <w:t>Norman</w:t>
      </w:r>
      <w:r>
        <w:rPr>
          <w:rStyle w:val="style4100"/>
          <w:rFonts w:ascii="Times New Roman" w:cs="Times New Roman" w:hAnsi="Times New Roman"/>
          <w:sz w:val="24"/>
          <w:szCs w:val="24"/>
        </w:rPr>
        <w:t xml:space="preserve"> SB</w:t>
      </w:r>
      <w:r>
        <w:rPr>
          <w:rStyle w:val="style4100"/>
          <w:rFonts w:ascii="Times New Roman" w:cs="Times New Roman" w:hAnsi="Times New Roman"/>
          <w:sz w:val="24"/>
          <w:szCs w:val="24"/>
        </w:rPr>
        <w:t>, Stein</w:t>
      </w:r>
      <w:r>
        <w:rPr>
          <w:rStyle w:val="style4100"/>
          <w:rFonts w:ascii="Times New Roman" w:cs="Times New Roman" w:hAnsi="Times New Roman"/>
          <w:sz w:val="24"/>
          <w:szCs w:val="24"/>
        </w:rPr>
        <w:t xml:space="preserve"> MB</w:t>
      </w:r>
      <w:r>
        <w:rPr>
          <w:rStyle w:val="style4100"/>
          <w:rFonts w:ascii="Times New Roman" w:cs="Times New Roman" w:hAnsi="Times New Roman"/>
          <w:sz w:val="24"/>
          <w:szCs w:val="24"/>
        </w:rPr>
        <w:t>, Dimsdale</w:t>
      </w:r>
      <w:r>
        <w:rPr>
          <w:rStyle w:val="style4100"/>
          <w:rFonts w:ascii="Times New Roman" w:cs="Times New Roman" w:hAnsi="Times New Roman"/>
          <w:sz w:val="24"/>
          <w:szCs w:val="24"/>
        </w:rPr>
        <w:t xml:space="preserve"> JE</w:t>
      </w:r>
      <w:r>
        <w:rPr>
          <w:rStyle w:val="style4100"/>
          <w:rFonts w:ascii="Times New Roman" w:cs="Times New Roman" w:hAnsi="Times New Roman"/>
          <w:sz w:val="24"/>
          <w:szCs w:val="24"/>
        </w:rPr>
        <w:t>, Hoyt</w:t>
      </w:r>
      <w:r>
        <w:rPr>
          <w:rStyle w:val="style4100"/>
          <w:rFonts w:ascii="Times New Roman" w:cs="Times New Roman" w:hAnsi="Times New Roman"/>
          <w:sz w:val="24"/>
          <w:szCs w:val="24"/>
        </w:rPr>
        <w:t xml:space="preserve"> DB</w:t>
      </w:r>
      <w:r>
        <w:rPr>
          <w:rStyle w:val="style4100"/>
          <w:rFonts w:ascii="Times New Roman" w:cs="Times New Roman" w:hAnsi="Times New Roman"/>
          <w:sz w:val="24"/>
          <w:szCs w:val="24"/>
        </w:rPr>
        <w:t>: pain in the aftermath of trauma is a risk factor for post traumatic stress disorder. 2008:38(4): 533-542</w:t>
      </w:r>
    </w:p>
    <w:p>
      <w:pPr>
        <w:pStyle w:val="style179"/>
        <w:numPr>
          <w:ilvl w:val="0"/>
          <w:numId w:val="1"/>
        </w:numPr>
        <w:autoSpaceDE w:val="false"/>
        <w:autoSpaceDN w:val="false"/>
        <w:adjustRightInd w:val="false"/>
        <w:spacing w:after="0"/>
        <w:jc w:val="both"/>
        <w:rPr>
          <w:rFonts w:ascii="Times New Roman" w:cs="Times New Roman" w:hAnsi="Times New Roman"/>
          <w:color w:val="000000"/>
          <w:sz w:val="24"/>
          <w:szCs w:val="24"/>
        </w:rPr>
      </w:pPr>
      <w:r>
        <w:rPr>
          <w:rStyle w:val="style4100"/>
          <w:rFonts w:ascii="Times New Roman" w:cs="Times New Roman" w:hAnsi="Times New Roman"/>
          <w:sz w:val="24"/>
          <w:szCs w:val="24"/>
        </w:rPr>
        <w:t>Saxe</w:t>
      </w:r>
      <w:r>
        <w:rPr>
          <w:rStyle w:val="style4100"/>
          <w:rFonts w:ascii="Times New Roman" w:cs="Times New Roman" w:hAnsi="Times New Roman"/>
          <w:sz w:val="24"/>
          <w:szCs w:val="24"/>
        </w:rPr>
        <w:t xml:space="preserve"> G</w:t>
      </w:r>
      <w:r>
        <w:rPr>
          <w:rStyle w:val="style4100"/>
          <w:rFonts w:ascii="Times New Roman" w:cs="Times New Roman" w:hAnsi="Times New Roman"/>
          <w:sz w:val="24"/>
          <w:szCs w:val="24"/>
        </w:rPr>
        <w:t>, Stoddard</w:t>
      </w:r>
      <w:r>
        <w:rPr>
          <w:rStyle w:val="style4100"/>
          <w:rFonts w:ascii="Times New Roman" w:cs="Times New Roman" w:hAnsi="Times New Roman"/>
          <w:sz w:val="24"/>
          <w:szCs w:val="24"/>
        </w:rPr>
        <w:t xml:space="preserve"> F</w:t>
      </w:r>
      <w:r>
        <w:rPr>
          <w:rStyle w:val="style4100"/>
          <w:rFonts w:ascii="Times New Roman" w:cs="Times New Roman" w:hAnsi="Times New Roman"/>
          <w:sz w:val="24"/>
          <w:szCs w:val="24"/>
        </w:rPr>
        <w:t>, Courtney</w:t>
      </w:r>
      <w:r>
        <w:rPr>
          <w:rStyle w:val="style4100"/>
          <w:rFonts w:ascii="Times New Roman" w:cs="Times New Roman" w:hAnsi="Times New Roman"/>
          <w:sz w:val="24"/>
          <w:szCs w:val="24"/>
        </w:rPr>
        <w:t xml:space="preserve"> D</w:t>
      </w:r>
      <w:r>
        <w:rPr>
          <w:rStyle w:val="style4100"/>
          <w:rFonts w:ascii="Times New Roman" w:cs="Times New Roman" w:hAnsi="Times New Roman"/>
          <w:sz w:val="24"/>
          <w:szCs w:val="24"/>
        </w:rPr>
        <w:t>, Cunningham</w:t>
      </w:r>
      <w:r>
        <w:rPr>
          <w:rStyle w:val="style4100"/>
          <w:rFonts w:ascii="Times New Roman" w:cs="Times New Roman" w:hAnsi="Times New Roman"/>
          <w:sz w:val="24"/>
          <w:szCs w:val="24"/>
        </w:rPr>
        <w:t xml:space="preserve"> K</w:t>
      </w:r>
      <w:r>
        <w:rPr>
          <w:rStyle w:val="style4100"/>
          <w:rFonts w:ascii="Times New Roman" w:cs="Times New Roman" w:hAnsi="Times New Roman"/>
          <w:sz w:val="24"/>
          <w:szCs w:val="24"/>
        </w:rPr>
        <w:t>, Chawla</w:t>
      </w:r>
      <w:r>
        <w:rPr>
          <w:rStyle w:val="style4100"/>
          <w:rFonts w:ascii="Times New Roman" w:cs="Times New Roman" w:hAnsi="Times New Roman"/>
          <w:sz w:val="24"/>
          <w:szCs w:val="24"/>
        </w:rPr>
        <w:t xml:space="preserve"> N, </w:t>
      </w:r>
      <w:r>
        <w:rPr>
          <w:rStyle w:val="style4100"/>
          <w:rFonts w:ascii="Times New Roman" w:cs="Times New Roman" w:hAnsi="Times New Roman"/>
          <w:sz w:val="24"/>
          <w:szCs w:val="24"/>
        </w:rPr>
        <w:t>Sheridan</w:t>
      </w:r>
      <w:r>
        <w:rPr>
          <w:rStyle w:val="style4100"/>
          <w:rFonts w:ascii="Times New Roman" w:cs="Times New Roman" w:hAnsi="Times New Roman"/>
          <w:sz w:val="24"/>
          <w:szCs w:val="24"/>
        </w:rPr>
        <w:t xml:space="preserve"> R</w:t>
      </w:r>
      <w:r>
        <w:rPr>
          <w:rStyle w:val="style4100"/>
          <w:rFonts w:ascii="Times New Roman" w:cs="Times New Roman" w:hAnsi="Times New Roman"/>
          <w:sz w:val="24"/>
          <w:szCs w:val="24"/>
        </w:rPr>
        <w:t xml:space="preserve">, </w:t>
      </w:r>
      <w:r>
        <w:rPr>
          <w:rStyle w:val="style4100"/>
          <w:rFonts w:ascii="Times New Roman" w:cs="Times New Roman" w:hAnsi="Times New Roman"/>
          <w:sz w:val="24"/>
          <w:szCs w:val="24"/>
        </w:rPr>
        <w:t>et al</w:t>
      </w:r>
      <w:r>
        <w:rPr>
          <w:rStyle w:val="style4100"/>
          <w:rFonts w:ascii="Times New Roman" w:cs="Times New Roman" w:hAnsi="Times New Roman"/>
          <w:sz w:val="24"/>
          <w:szCs w:val="24"/>
        </w:rPr>
        <w:t>: Relationship between acute morphine and the course of PTSD in children with burns: journal of American academy of child and adolescent psychiatry. 2001: 40(8): 915-921</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Silka PA, Roth MM, Moreno G, Merrill L, Geilderman JM. Pain scores improve analgesia administration pattern for trauma patients in the Emergency department: Acad Emerg Med. 2004. 11(3); 264-270</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Hisamuddin N, Rahman NA, Ananthanosamy C. The display effects of patients’ self-assessment on traumatic acute pain on the proportion and timing of analgesics administration in the emergency department. International journal of emergency medicine. 2014;7(36); doi:10.1186|s12245-014-0036-1</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Ahmadi A, Bazargan-Hejazi S, Zadie ZH, Euasobhon P, Ketumarn P, Karbasfrushan A. Pain management in trauma: A review study: J Inj Violence Res. 2016; 8(2):89-98</w:t>
      </w: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pPr>
      <w:r>
        <w:rPr>
          <w:rFonts w:ascii="Times New Roman" w:cs="Times New Roman" w:hAnsi="Times New Roman" w:hint="eastAsia"/>
          <w:b/>
          <w:sz w:val="24"/>
          <w:szCs w:val="24"/>
        </w:rPr>
        <w:t>Figure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1:</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Subjective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pain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score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before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after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p>
    <w:p>
      <w:pPr>
        <w:pStyle w:val="style0"/>
        <w:rPr/>
      </w:pPr>
      <w:r>
        <w:rPr>
          <w:rFonts w:ascii="Times New Roman" w:cs="Times New Roman" w:hAnsi="Times New Roman" w:hint="eastAsia"/>
          <w:b/>
          <w:noProof/>
          <w:sz w:val="24"/>
          <w:szCs w:val="24"/>
        </w:rPr>
        <w:drawing>
          <wp:inline distT="0" distB="0" distL="0" distR="0">
            <wp:extent cx="5943600" cy="3353308"/>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5943600" cy="3353308"/>
                    </a:xfrm>
                    <a:prstGeom prst="rect">
                      <a:avLst/>
                    </a:prstGeom>
                  </pic:spPr>
                </pic:pic>
              </a:graphicData>
            </a:graphic>
          </wp:inline>
        </w:drawing>
      </w:r>
    </w:p>
    <w:p>
      <w:pPr>
        <w:pStyle w:val="style0"/>
        <w:rPr/>
      </w:pPr>
    </w:p>
    <w:p>
      <w:pPr>
        <w:pStyle w:val="style0"/>
        <w:rPr/>
      </w:pPr>
      <w:r>
        <w:rPr>
          <w:rFonts w:ascii="Times New Roman" w:cs="Times New Roman" w:hAnsi="Times New Roman" w:hint="eastAsia"/>
          <w:b/>
          <w:sz w:val="24"/>
          <w:szCs w:val="24"/>
        </w:rPr>
        <w:t>Figure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2:</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Functional</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activity</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score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before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after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p>
    <w:p>
      <w:pPr>
        <w:pStyle w:val="style0"/>
        <w:rPr/>
      </w:pPr>
      <w:r>
        <w:rPr>
          <w:rFonts w:ascii="Times New Roman" w:cs="Times New Roman" w:hAnsi="Times New Roman" w:hint="eastAsia"/>
          <w:b/>
          <w:noProof/>
          <w:sz w:val="24"/>
          <w:szCs w:val="24"/>
        </w:rPr>
        <w:drawing>
          <wp:inline distT="0" distB="0" distL="0" distR="0">
            <wp:extent cx="5943600" cy="3608196"/>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5943600" cy="3608196"/>
                    </a:xfrm>
                    <a:prstGeom prst="rect">
                      <a:avLst/>
                    </a:prstGeom>
                  </pic:spPr>
                </pic:pic>
              </a:graphicData>
            </a:graphic>
          </wp:inline>
        </w:drawing>
      </w:r>
    </w:p>
    <w:p>
      <w:pPr>
        <w:pStyle w:val="style0"/>
        <w:tabs>
          <w:tab w:val="left" w:leader="none" w:pos="7980"/>
        </w:tabs>
        <w:rPr/>
      </w:pPr>
      <w:r>
        <w:rPr>
          <w:rFonts w:ascii="Times New Roman" w:cs="Times New Roman" w:hAnsi="Times New Roman" w:hint="eastAsia"/>
          <w:b/>
          <w:sz w:val="24"/>
          <w:szCs w:val="24"/>
        </w:rPr>
        <w:t>Figure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3:</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Correlation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between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predicted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level</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expressed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based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WHO</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ladder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post</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SPS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FAS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score</w:t>
      </w:r>
    </w:p>
    <w:p>
      <w:pPr>
        <w:pStyle w:val="style0"/>
        <w:tabs>
          <w:tab w:val="left" w:leader="none" w:pos="7980"/>
        </w:tabs>
        <w:rPr/>
      </w:pPr>
      <w:r>
        <w:rPr>
          <w:rFonts w:ascii="Times New Roman" w:cs="Times New Roman" w:hAnsi="Times New Roman" w:hint="eastAsia"/>
          <w:b/>
          <w:noProof/>
          <w:sz w:val="24"/>
          <w:szCs w:val="24"/>
        </w:rPr>
        <w:drawing>
          <wp:inline distT="0" distB="0" distL="0" distR="0">
            <wp:extent cx="5863335" cy="3357371"/>
            <wp:effectExtent l="0" t="0" r="0"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extLst>
                        <a:ext uri="{28A0092B-C50C-407E-A947-70E740481C1C}">
                          <a14:useLocalDpi xmlns:a14="http://schemas.microsoft.com/office/drawing/2010/main" val="0"/>
                        </a:ext>
                      </a:extLst>
                    </a:blip>
                    <a:srcRect l="0" t="0" r="0" b="0"/>
                    <a:stretch>
                      <a:fillRect/>
                    </a:stretch>
                  </pic:blipFill>
                  <pic:spPr>
                    <a:xfrm>
                      <a:off x="0" y="0"/>
                      <a:ext cx="5863335" cy="3357371"/>
                    </a:xfrm>
                    <a:prstGeom prst="rect">
                      <a:avLst/>
                    </a:prstGeom>
                  </pic:spPr>
                </pic:pic>
              </a:graphicData>
            </a:graphic>
          </wp:inline>
        </w:drawing>
      </w:r>
    </w:p>
    <w:p>
      <w:pPr>
        <w:pStyle w:val="style0"/>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tabs>
          <w:tab w:val="left" w:leader="none" w:pos="3220"/>
        </w:tabs>
        <w:rPr/>
      </w:pPr>
      <w:r>
        <w:rPr>
          <w:rFonts w:ascii="Times New Roman" w:cs="Times New Roman" w:hAnsi="Times New Roman" w:hint="eastAsia"/>
          <w:b/>
          <w:sz w:val="24"/>
          <w:szCs w:val="24"/>
        </w:rPr>
        <w:t>Table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1:</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Socio-demographic</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factors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of</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the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study</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subjects</w:t>
      </w:r>
    </w:p>
    <w:tbl>
      <w:tblPr>
        <w:jc w:val="left"/>
        <w:tblInd w:w="0" w:type="dxa"/>
        <w:tblLayout w:type="fixed"/>
        <w:tblCellMar>
          <w:top w:w="0" w:type="dxa"/>
          <w:left w:w="108" w:type="dxa"/>
          <w:bottom w:w="0" w:type="dxa"/>
          <w:right w:w="108" w:type="dxa"/>
        </w:tblCellMar>
      </w:tblPr>
      <w:tblGrid>
        <w:gridCol w:w="828"/>
        <w:gridCol w:w="3960"/>
        <w:gridCol w:w="2394"/>
        <w:gridCol w:w="2393"/>
      </w:tblGrid>
      <w:tr>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No.</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Category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Number</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Percentage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Sex</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Male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57</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77.0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Female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23.0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Age(years)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13-18</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12.2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19-30</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39.2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31-45</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23.0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46-60</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21.6</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&gt;60</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Marital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status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Single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44.6</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Married</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55.4</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Region</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Oromia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Addis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Ababa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48.6</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Amhara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Afar</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5.4</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Gambella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1.4</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Educational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status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Uneducated</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Completed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primary</w:t>
            </w:r>
            <w:r>
              <w:rPr>
                <w:rFonts w:ascii="Times New Roman" w:cs="Times New Roman" w:hAnsi="Times New Roman" w:hint="eastAsia"/>
                <w:sz w:val="24"/>
                <w:szCs w:val="24"/>
              </w:rPr>
              <w:t xml:space="preserve"> </w:t>
            </w:r>
            <w:r>
              <w:rPr>
                <w:rFonts w:ascii="Times New Roman" w:cs="Times New Roman" w:hAnsi="Times New Roman" w:hint="eastAsia"/>
                <w:sz w:val="24"/>
                <w:szCs w:val="24"/>
              </w:rPr>
              <w:t>school</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31.5</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Completed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10</w:t>
            </w:r>
            <w:r>
              <w:rPr>
                <w:rFonts w:ascii="Times New Roman" w:cs="Times New Roman" w:hAnsi="Times New Roman" w:hint="eastAsia"/>
                <w:sz w:val="24"/>
                <w:szCs w:val="24"/>
                <w:vertAlign w:val="superscript"/>
              </w:rPr>
              <w:t>th</w:t>
            </w:r>
            <w:r>
              <w:rPr>
                <w:rFonts w:ascii="Times New Roman" w:cs="Times New Roman" w:hAnsi="Times New Roman" w:hint="eastAsia"/>
                <w:sz w:val="24"/>
                <w:szCs w:val="24"/>
              </w:rPr>
              <w:t xml:space="preserve"> </w:t>
            </w:r>
            <w:r>
              <w:rPr>
                <w:rFonts w:ascii="Times New Roman" w:cs="Times New Roman" w:hAnsi="Times New Roman" w:hint="eastAsia"/>
                <w:sz w:val="24"/>
                <w:szCs w:val="24"/>
              </w:rPr>
              <w:t>grade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Completed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12</w:t>
            </w:r>
            <w:r>
              <w:rPr>
                <w:rFonts w:ascii="Times New Roman" w:cs="Times New Roman" w:hAnsi="Times New Roman" w:hint="eastAsia"/>
                <w:sz w:val="24"/>
                <w:szCs w:val="24"/>
                <w:vertAlign w:val="superscript"/>
              </w:rPr>
              <w:t>th</w:t>
            </w:r>
            <w:r>
              <w:rPr>
                <w:rFonts w:ascii="Times New Roman" w:cs="Times New Roman" w:hAnsi="Times New Roman" w:hint="eastAsia"/>
                <w:sz w:val="24"/>
                <w:szCs w:val="24"/>
              </w:rPr>
              <w:t xml:space="preserve"> </w:t>
            </w:r>
            <w:r>
              <w:rPr>
                <w:rFonts w:ascii="Times New Roman" w:cs="Times New Roman" w:hAnsi="Times New Roman" w:hint="eastAsia"/>
                <w:sz w:val="24"/>
                <w:szCs w:val="24"/>
              </w:rPr>
              <w:t>grade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15.1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Completed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college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Occupation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Farmer</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16.4</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Civil</w:t>
            </w:r>
            <w:r>
              <w:rPr>
                <w:rFonts w:ascii="Times New Roman" w:cs="Times New Roman" w:hAnsi="Times New Roman" w:hint="eastAsia"/>
                <w:sz w:val="24"/>
                <w:szCs w:val="24"/>
              </w:rPr>
              <w:t xml:space="preserve"> </w:t>
            </w:r>
            <w:r>
              <w:rPr>
                <w:rFonts w:ascii="Times New Roman" w:cs="Times New Roman" w:hAnsi="Times New Roman" w:hint="eastAsia"/>
                <w:sz w:val="24"/>
                <w:szCs w:val="24"/>
              </w:rPr>
              <w:t>servant</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8</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Private</w:t>
            </w:r>
            <w:r>
              <w:rPr>
                <w:rFonts w:ascii="Times New Roman" w:cs="Times New Roman" w:hAnsi="Times New Roman" w:hint="eastAsia"/>
                <w:sz w:val="24"/>
                <w:szCs w:val="24"/>
              </w:rPr>
              <w:t xml:space="preserve"> </w:t>
            </w:r>
            <w:r>
              <w:rPr>
                <w:rFonts w:ascii="Times New Roman" w:cs="Times New Roman" w:hAnsi="Times New Roman" w:hint="eastAsia"/>
                <w:sz w:val="24"/>
                <w:szCs w:val="24"/>
              </w:rPr>
              <w:t>employee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26.0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House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wife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12.3</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Student</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Construction</w:t>
            </w:r>
            <w:r>
              <w:rPr>
                <w:rFonts w:ascii="Times New Roman" w:cs="Times New Roman" w:hAnsi="Times New Roman" w:hint="eastAsia"/>
                <w:sz w:val="24"/>
                <w:szCs w:val="24"/>
              </w:rPr>
              <w:t xml:space="preserve"> </w:t>
            </w:r>
            <w:r>
              <w:rPr>
                <w:rFonts w:ascii="Times New Roman" w:cs="Times New Roman" w:hAnsi="Times New Roman" w:hint="eastAsia"/>
                <w:sz w:val="24"/>
                <w:szCs w:val="24"/>
              </w:rPr>
              <w:t>worker</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2.7</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Unemployed</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10</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13.7</w:t>
            </w:r>
          </w:p>
        </w:tc>
      </w:tr>
    </w:tbl>
    <w:p>
      <w:pPr>
        <w:pStyle w:val="style0"/>
        <w:jc w:val="both"/>
        <w:rPr/>
      </w:pPr>
    </w:p>
    <w:p>
      <w:pPr>
        <w:pStyle w:val="style0"/>
        <w:rPr/>
      </w:pPr>
    </w:p>
    <w:p>
      <w:pPr>
        <w:pStyle w:val="style0"/>
        <w:rPr/>
      </w:pPr>
    </w:p>
    <w:p>
      <w:pPr>
        <w:pStyle w:val="style0"/>
        <w:rPr/>
      </w:pPr>
    </w:p>
    <w:p>
      <w:pPr>
        <w:pStyle w:val="style0"/>
        <w:rPr/>
      </w:pPr>
      <w:r>
        <w:rPr>
          <w:rFonts w:ascii="Times New Roman" w:cs="Times New Roman" w:hAnsi="Times New Roman" w:hint="eastAsia"/>
          <w:b/>
          <w:sz w:val="24"/>
          <w:szCs w:val="24"/>
        </w:rPr>
        <w:t>Table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2:</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Trauma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mechanisms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of</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the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study</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subjects</w:t>
      </w:r>
    </w:p>
    <w:tbl>
      <w:tblPr>
        <w:jc w:val="left"/>
        <w:tblInd w:w="0" w:type="dxa"/>
        <w:tblLayout w:type="fixed"/>
        <w:tblCellMar>
          <w:top w:w="0" w:type="dxa"/>
          <w:left w:w="108" w:type="dxa"/>
          <w:bottom w:w="0" w:type="dxa"/>
          <w:right w:w="108" w:type="dxa"/>
        </w:tblCellMar>
      </w:tblPr>
      <w:tblGrid>
        <w:gridCol w:w="828"/>
        <w:gridCol w:w="3960"/>
        <w:gridCol w:w="2394"/>
        <w:gridCol w:w="2393"/>
      </w:tblGrid>
      <w:tr>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No.</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Category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Number</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Percentage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Trauma</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mechanism</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Blunt</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89.2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Penetrating</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8</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10.8</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Blunt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trauma</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mechanisms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Motor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vehicle</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collision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21.2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Pedestrian</w:t>
            </w:r>
            <w:r>
              <w:rPr>
                <w:rFonts w:ascii="Times New Roman" w:cs="Times New Roman" w:hAnsi="Times New Roman" w:hint="eastAsia"/>
                <w:sz w:val="24"/>
                <w:szCs w:val="24"/>
              </w:rPr>
              <w:t xml:space="preserve"> </w:t>
            </w:r>
            <w:r>
              <w:rPr>
                <w:rFonts w:ascii="Times New Roman" w:cs="Times New Roman" w:hAnsi="Times New Roman" w:hint="eastAsia"/>
                <w:sz w:val="24"/>
                <w:szCs w:val="24"/>
              </w:rPr>
              <w:t>versus</w:t>
            </w:r>
            <w:r>
              <w:rPr>
                <w:rFonts w:ascii="Times New Roman" w:cs="Times New Roman" w:hAnsi="Times New Roman" w:hint="eastAsia"/>
                <w:sz w:val="24"/>
                <w:szCs w:val="24"/>
              </w:rPr>
              <w:t xml:space="preserve"> </w:t>
            </w:r>
            <w:r>
              <w:rPr>
                <w:rFonts w:ascii="Times New Roman" w:cs="Times New Roman" w:hAnsi="Times New Roman" w:hint="eastAsia"/>
                <w:sz w:val="24"/>
                <w:szCs w:val="24"/>
              </w:rPr>
              <w:t>motor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vehicle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27</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40.9</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Assault</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16.7</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Falling</w:t>
            </w:r>
            <w:r>
              <w:rPr>
                <w:rFonts w:ascii="Times New Roman" w:cs="Times New Roman" w:hAnsi="Times New Roman" w:hint="eastAsia"/>
                <w:sz w:val="24"/>
                <w:szCs w:val="24"/>
              </w:rPr>
              <w:t xml:space="preserve"> </w:t>
            </w:r>
            <w:r>
              <w:rPr>
                <w:rFonts w:ascii="Times New Roman" w:cs="Times New Roman" w:hAnsi="Times New Roman" w:hint="eastAsia"/>
                <w:sz w:val="24"/>
                <w:szCs w:val="24"/>
              </w:rPr>
              <w:t>down</w:t>
            </w:r>
            <w:r>
              <w:rPr>
                <w:rFonts w:ascii="Times New Roman" w:cs="Times New Roman" w:hAnsi="Times New Roman" w:hint="eastAsia"/>
                <w:sz w:val="24"/>
                <w:szCs w:val="24"/>
              </w:rPr>
              <w:t xml:space="preserve"> </w:t>
            </w:r>
            <w:r>
              <w:rPr>
                <w:rFonts w:ascii="Times New Roman" w:cs="Times New Roman" w:hAnsi="Times New Roman" w:hint="eastAsia"/>
                <w:sz w:val="24"/>
                <w:szCs w:val="24"/>
              </w:rPr>
              <w:t>accident</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18.2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Other</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Penetrating</w:t>
            </w:r>
            <w:r>
              <w:rPr>
                <w:rFonts w:ascii="Times New Roman" w:cs="Times New Roman" w:hAnsi="Times New Roman" w:hint="eastAsia"/>
                <w:sz w:val="24"/>
                <w:szCs w:val="24"/>
              </w:rPr>
              <w:t xml:space="preserve"> </w:t>
            </w:r>
            <w:r>
              <w:rPr>
                <w:rFonts w:ascii="Times New Roman" w:cs="Times New Roman" w:hAnsi="Times New Roman" w:hint="eastAsia"/>
                <w:sz w:val="24"/>
                <w:szCs w:val="24"/>
              </w:rPr>
              <w:t>trauma</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mechanisms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Gunshot</w:t>
            </w:r>
            <w:r>
              <w:rPr>
                <w:rFonts w:ascii="Times New Roman" w:cs="Times New Roman" w:hAnsi="Times New Roman" w:hint="eastAsia"/>
                <w:sz w:val="24"/>
                <w:szCs w:val="24"/>
              </w:rPr>
              <w:t xml:space="preserve"> </w:t>
            </w:r>
            <w:r>
              <w:rPr>
                <w:rFonts w:ascii="Times New Roman" w:cs="Times New Roman" w:hAnsi="Times New Roman" w:hint="eastAsia"/>
                <w:sz w:val="24"/>
                <w:szCs w:val="24"/>
              </w:rPr>
              <w:t>wound</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57.1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Other</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42.9</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Stab</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Primary</w:t>
            </w:r>
            <w:r>
              <w:rPr>
                <w:rFonts w:ascii="Times New Roman" w:cs="Times New Roman" w:hAnsi="Times New Roman" w:hint="eastAsia"/>
                <w:sz w:val="24"/>
                <w:szCs w:val="24"/>
              </w:rPr>
              <w:t xml:space="preserve"> </w:t>
            </w:r>
            <w:r>
              <w:rPr>
                <w:rFonts w:ascii="Times New Roman" w:cs="Times New Roman" w:hAnsi="Times New Roman" w:hint="eastAsia"/>
                <w:sz w:val="24"/>
                <w:szCs w:val="24"/>
              </w:rPr>
              <w:t>assessment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vital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signs</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Intact</w:t>
            </w:r>
            <w:r>
              <w:rPr>
                <w:rFonts w:ascii="Times New Roman" w:cs="Times New Roman" w:hAnsi="Times New Roman" w:hint="eastAsia"/>
                <w:sz w:val="24"/>
                <w:szCs w:val="24"/>
              </w:rPr>
              <w:t xml:space="preserve"> </w:t>
            </w:r>
            <w:r>
              <w:rPr>
                <w:rFonts w:ascii="Times New Roman" w:cs="Times New Roman" w:hAnsi="Times New Roman" w:hint="eastAsia"/>
                <w:sz w:val="24"/>
                <w:szCs w:val="24"/>
              </w:rPr>
              <w:t>airway</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74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100</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Labored/gasping</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5.5</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Hypotension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2.7</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GCS</w:t>
            </w:r>
            <w:r>
              <w:rPr>
                <w:rFonts w:ascii="Times New Roman" w:cs="Times New Roman" w:hAnsi="Times New Roman" w:hint="eastAsia"/>
                <w:sz w:val="24"/>
                <w:szCs w:val="24"/>
              </w:rPr>
              <w:t xml:space="preserve"> </w:t>
            </w:r>
            <w:r>
              <w:rPr>
                <w:rFonts w:ascii="Times New Roman" w:cs="Times New Roman" w:hAnsi="Times New Roman" w:hint="eastAsia"/>
                <w:sz w:val="24"/>
                <w:szCs w:val="24"/>
              </w:rPr>
              <w:t>12</w:t>
            </w:r>
            <w:r>
              <w:rPr>
                <w:rFonts w:ascii="Times New Roman" w:cs="Times New Roman" w:hAnsi="Times New Roman" w:hint="eastAsia"/>
                <w:sz w:val="24"/>
                <w:szCs w:val="24"/>
              </w:rPr>
              <w:t xml:space="preserve"> </w:t>
            </w:r>
            <w:r>
              <w:rPr>
                <w:rFonts w:ascii="Times New Roman" w:cs="Times New Roman" w:hAnsi="Times New Roman" w:hint="eastAsia"/>
                <w:sz w:val="24"/>
                <w:szCs w:val="24"/>
              </w:rPr>
              <w:t>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13</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8.1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HR&gt;100/min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39.2</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Anatomic</w:t>
            </w:r>
            <w:r>
              <w:rPr>
                <w:rFonts w:ascii="Times New Roman" w:cs="Times New Roman" w:hAnsi="Times New Roman" w:hint="eastAsia"/>
                <w:sz w:val="24"/>
                <w:szCs w:val="24"/>
              </w:rPr>
              <w:t xml:space="preserve"> </w:t>
            </w:r>
            <w:r>
              <w:rPr>
                <w:rFonts w:ascii="Times New Roman" w:cs="Times New Roman" w:hAnsi="Times New Roman" w:hint="eastAsia"/>
                <w:sz w:val="24"/>
                <w:szCs w:val="24"/>
              </w:rPr>
              <w:t>site</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trauma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Head</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21.6</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Face/Neck</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10</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13.5</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Chest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Abdominal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1.4</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Pelvic</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Extremity</w:t>
            </w:r>
            <w:r>
              <w:rPr>
                <w:rFonts w:ascii="Times New Roman" w:cs="Times New Roman" w:hAnsi="Times New Roman" w:hint="eastAsia"/>
                <w:sz w:val="24"/>
                <w:szCs w:val="24"/>
              </w:rPr>
              <w:t xml:space="preserve"> </w:t>
            </w:r>
            <w:r>
              <w:rPr>
                <w:rFonts w:ascii="Times New Roman" w:cs="Times New Roman" w:hAnsi="Times New Roman" w:hint="eastAsia"/>
                <w:sz w:val="24"/>
                <w:szCs w:val="24"/>
              </w:rPr>
              <w:t>fracture/dislocation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59</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79.7</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Penetrating</w:t>
            </w:r>
            <w:r>
              <w:rPr>
                <w:rFonts w:ascii="Times New Roman" w:cs="Times New Roman" w:hAnsi="Times New Roman" w:hint="eastAsia"/>
                <w:sz w:val="24"/>
                <w:szCs w:val="24"/>
              </w:rPr>
              <w:t xml:space="preserve"> </w:t>
            </w:r>
            <w:r>
              <w:rPr>
                <w:rFonts w:ascii="Times New Roman" w:cs="Times New Roman" w:hAnsi="Times New Roman" w:hint="eastAsia"/>
                <w:sz w:val="24"/>
                <w:szCs w:val="24"/>
              </w:rPr>
              <w:t>extremity</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injury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Alcohol</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medication</w:t>
            </w:r>
            <w:r>
              <w:rPr>
                <w:rFonts w:ascii="Times New Roman" w:cs="Times New Roman" w:hAnsi="Times New Roman" w:hint="eastAsia"/>
                <w:sz w:val="24"/>
                <w:szCs w:val="24"/>
              </w:rPr>
              <w:t xml:space="preserve"> </w:t>
            </w:r>
            <w:r>
              <w:rPr>
                <w:rFonts w:ascii="Times New Roman" w:cs="Times New Roman" w:hAnsi="Times New Roman" w:hint="eastAsia"/>
                <w:sz w:val="24"/>
                <w:szCs w:val="24"/>
              </w:rPr>
              <w:t>history</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Alcohol</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intoxication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8.1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Medication</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prior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to</w:t>
            </w:r>
            <w:r>
              <w:rPr>
                <w:rFonts w:ascii="Times New Roman" w:cs="Times New Roman" w:hAnsi="Times New Roman" w:hint="eastAsia"/>
                <w:sz w:val="24"/>
                <w:szCs w:val="24"/>
              </w:rPr>
              <w:t xml:space="preserve"> </w:t>
            </w:r>
            <w:r>
              <w:rPr>
                <w:rFonts w:ascii="Times New Roman" w:cs="Times New Roman" w:hAnsi="Times New Roman" w:hint="eastAsia"/>
                <w:sz w:val="24"/>
                <w:szCs w:val="24"/>
              </w:rPr>
              <w:t>trauma</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2.7</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7</w:t>
            </w: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24</w:t>
            </w:r>
            <w:r>
              <w:rPr>
                <w:rFonts w:ascii="Times New Roman" w:cs="Times New Roman" w:hAnsi="Times New Roman" w:hint="eastAsia"/>
                <w:sz w:val="24"/>
                <w:szCs w:val="24"/>
              </w:rPr>
              <w:t xml:space="preserve"> </w:t>
            </w:r>
            <w:r>
              <w:rPr>
                <w:rFonts w:ascii="Times New Roman" w:cs="Times New Roman" w:hAnsi="Times New Roman" w:hint="eastAsia"/>
                <w:sz w:val="24"/>
                <w:szCs w:val="24"/>
              </w:rPr>
              <w:t>hours</w:t>
            </w:r>
            <w:r>
              <w:rPr>
                <w:rFonts w:ascii="Times New Roman" w:cs="Times New Roman" w:hAnsi="Times New Roman" w:hint="eastAsia"/>
                <w:sz w:val="24"/>
                <w:szCs w:val="24"/>
              </w:rPr>
              <w:t xml:space="preserve"> </w:t>
            </w:r>
            <w:r>
              <w:rPr>
                <w:rFonts w:ascii="Times New Roman" w:cs="Times New Roman" w:hAnsi="Times New Roman" w:hint="eastAsia"/>
                <w:sz w:val="24"/>
                <w:szCs w:val="24"/>
              </w:rPr>
              <w:t>disposition</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Kept</w:t>
            </w:r>
            <w:r>
              <w:rPr>
                <w:rFonts w:ascii="Times New Roman" w:cs="Times New Roman" w:hAnsi="Times New Roman" w:hint="eastAsia"/>
                <w:sz w:val="24"/>
                <w:szCs w:val="24"/>
              </w:rPr>
              <w:t xml:space="preserve"> </w:t>
            </w:r>
            <w:r>
              <w:rPr>
                <w:rFonts w:ascii="Times New Roman" w:cs="Times New Roman" w:hAnsi="Times New Roman" w:hint="eastAsia"/>
                <w:sz w:val="24"/>
                <w:szCs w:val="24"/>
              </w:rPr>
              <w:t>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Emergency</w:t>
            </w:r>
            <w:r>
              <w:rPr>
                <w:rFonts w:ascii="Times New Roman" w:cs="Times New Roman" w:hAnsi="Times New Roman" w:hint="eastAsia"/>
                <w:sz w:val="24"/>
                <w:szCs w:val="24"/>
              </w:rPr>
              <w:t xml:space="preserve"> </w:t>
            </w:r>
            <w:r>
              <w:rPr>
                <w:rFonts w:ascii="Times New Roman" w:cs="Times New Roman" w:hAnsi="Times New Roman" w:hint="eastAsia"/>
                <w:sz w:val="24"/>
                <w:szCs w:val="24"/>
              </w:rPr>
              <w:t>for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observation</w:t>
            </w:r>
            <w:r>
              <w:rPr>
                <w:rFonts w:ascii="Times New Roman" w:cs="Times New Roman" w:hAnsi="Times New Roman" w:hint="eastAsi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68.9</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Discharge</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15</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20.3</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Emergency</w:t>
            </w:r>
            <w:r>
              <w:rPr>
                <w:rFonts w:ascii="Times New Roman" w:cs="Times New Roman" w:hAnsi="Times New Roman" w:hint="eastAsia"/>
                <w:sz w:val="24"/>
                <w:szCs w:val="24"/>
              </w:rPr>
              <w:t xml:space="preserve"> </w:t>
            </w:r>
            <w:r>
              <w:rPr>
                <w:rFonts w:ascii="Times New Roman" w:cs="Times New Roman" w:hAnsi="Times New Roman" w:hint="eastAsia"/>
                <w:sz w:val="24"/>
                <w:szCs w:val="24"/>
              </w:rPr>
              <w:t>surgery</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Admitted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to</w:t>
            </w:r>
            <w:r>
              <w:rPr>
                <w:rFonts w:ascii="Times New Roman" w:cs="Times New Roman" w:hAnsi="Times New Roman" w:hint="eastAsia"/>
                <w:sz w:val="24"/>
                <w:szCs w:val="24"/>
              </w:rPr>
              <w:t xml:space="preserve"> </w:t>
            </w:r>
            <w:r>
              <w:rPr>
                <w:rFonts w:ascii="Times New Roman" w:cs="Times New Roman" w:hAnsi="Times New Roman" w:hint="eastAsia"/>
                <w:sz w:val="24"/>
                <w:szCs w:val="24"/>
              </w:rPr>
              <w:t>wards</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4.1</w:t>
            </w:r>
          </w:p>
        </w:tc>
      </w:tr>
      <w:tr>
        <w:tblPrEx/>
        <w:trPr>
          <w:cantSplit w:val="false"/>
          <w:tblHeader w:val="false"/>
          <w:jc w:val="left"/>
        </w:trPr>
        <w:tc>
          <w:tcPr>
            <w:tcW w:w="82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9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Referred</w:t>
            </w:r>
          </w:p>
        </w:tc>
        <w:tc>
          <w:tcPr>
            <w:tcW w:w="239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239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1.4</w:t>
            </w:r>
          </w:p>
        </w:tc>
      </w:tr>
    </w:tbl>
    <w:p>
      <w:pPr>
        <w:pStyle w:val="style0"/>
        <w:rPr/>
      </w:pPr>
    </w:p>
    <w:p>
      <w:pPr>
        <w:pStyle w:val="style0"/>
        <w:rPr/>
      </w:pPr>
      <w:r>
        <w:rPr>
          <w:rFonts w:ascii="Times New Roman" w:cs="Times New Roman" w:hAnsi="Times New Roman" w:hint="eastAsia"/>
          <w:b/>
          <w:sz w:val="24"/>
        </w:rPr>
        <w:t>Table</w:t>
      </w:r>
      <w:r>
        <w:rPr>
          <w:rFonts w:ascii="Times New Roman" w:cs="Times New Roman" w:hAnsi="Times New Roman" w:hint="eastAsia"/>
          <w:b/>
          <w:sz w:val="24"/>
        </w:rPr>
        <w:t xml:space="preserve"> </w:t>
      </w:r>
      <w:r>
        <w:rPr>
          <w:rFonts w:ascii="Times New Roman" w:cs="Times New Roman" w:hAnsi="Times New Roman" w:hint="eastAsia"/>
          <w:b/>
          <w:sz w:val="24"/>
        </w:rPr>
        <w:t>3:</w:t>
      </w:r>
      <w:r>
        <w:rPr>
          <w:rFonts w:ascii="Times New Roman" w:cs="Times New Roman" w:hAnsi="Times New Roman" w:hint="eastAsia"/>
          <w:b/>
          <w:sz w:val="24"/>
        </w:rPr>
        <w:t xml:space="preserve"> </w:t>
      </w:r>
      <w:r>
        <w:rPr>
          <w:rFonts w:ascii="Times New Roman" w:cs="Times New Roman" w:hAnsi="Times New Roman" w:hint="eastAsia"/>
          <w:b/>
          <w:sz w:val="24"/>
          <w:szCs w:val="24"/>
        </w:rPr>
        <w:t>Correlation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between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Predicted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WHO</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ladder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Type</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of</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provided,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SPS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based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satisfaction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FAS</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based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satisfaction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of</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patients</w:t>
      </w:r>
    </w:p>
    <w:tbl>
      <w:tblPr>
        <w:jc w:val="left"/>
        <w:tblInd w:w="0" w:type="dxa"/>
        <w:tblLayout w:type="fixed"/>
        <w:tblCellMar>
          <w:top w:w="0" w:type="dxa"/>
          <w:left w:w="108" w:type="dxa"/>
          <w:bottom w:w="0" w:type="dxa"/>
          <w:right w:w="108" w:type="dxa"/>
        </w:tblCellMar>
      </w:tblPr>
      <w:tblGrid>
        <w:gridCol w:w="558"/>
        <w:gridCol w:w="3060"/>
        <w:gridCol w:w="1440"/>
        <w:gridCol w:w="1980"/>
        <w:gridCol w:w="1890"/>
        <w:gridCol w:w="1170"/>
      </w:tblGrid>
      <w:tr>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5310" w:type="dxa"/>
            <w:gridSpan w:val="3"/>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Predicted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WHO</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ladder</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analgesia</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based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on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pain</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score</w:t>
            </w:r>
            <w:r>
              <w:rPr>
                <w:rFonts w:ascii="Times New Roman" w:cs="Times New Roman" w:hAnsi="Times New Roman" w:hint="eastAsia"/>
                <w:b/>
                <w:sz w:val="24"/>
                <w:szCs w:val="24"/>
              </w:rPr>
              <w:t xml:space="preserve"> </w:t>
            </w:r>
          </w:p>
        </w:tc>
        <w:tc>
          <w:tcPr>
            <w:tcW w:w="1170" w:type="dxa"/>
            <w:vMerge w:val="restart"/>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p>
            <w:pPr>
              <w:pStyle w:val="style0"/>
              <w:spacing w:after="0" w:lineRule="auto" w:line="240"/>
              <w:rPr/>
            </w:pPr>
          </w:p>
          <w:p>
            <w:pPr>
              <w:pStyle w:val="style0"/>
              <w:spacing w:after="0" w:lineRule="auto" w:line="240"/>
              <w:rPr/>
            </w:pPr>
            <w:r>
              <w:rPr>
                <w:rFonts w:ascii="Times New Roman" w:cs="Times New Roman" w:hAnsi="Times New Roman" w:hint="eastAsia"/>
                <w:sz w:val="24"/>
                <w:szCs w:val="24"/>
              </w:rPr>
              <w:t>P</w:t>
            </w:r>
            <w:r>
              <w:rPr>
                <w:rFonts w:ascii="Times New Roman" w:cs="Times New Roman" w:hAnsi="Times New Roman" w:hint="eastAsia"/>
                <w:sz w:val="24"/>
                <w:szCs w:val="24"/>
              </w:rPr>
              <w:t xml:space="preserve"> </w:t>
            </w:r>
            <w:r>
              <w:rPr>
                <w:rFonts w:ascii="Times New Roman" w:cs="Times New Roman" w:hAnsi="Times New Roman" w:hint="eastAsia"/>
                <w:sz w:val="24"/>
                <w:szCs w:val="24"/>
              </w:rPr>
              <w:t>value</w:t>
            </w: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No</w:t>
            </w: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b/>
                <w:sz w:val="24"/>
                <w:szCs w:val="24"/>
              </w:rPr>
              <w:t>Categories</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0"/>
                <w:szCs w:val="20"/>
              </w:rPr>
              <w:t>WHO</w:t>
            </w:r>
            <w:r>
              <w:rPr>
                <w:rFonts w:ascii="Times New Roman" w:cs="Times New Roman" w:hAnsi="Times New Roman" w:hint="eastAsia"/>
                <w:sz w:val="20"/>
                <w:szCs w:val="20"/>
              </w:rPr>
              <w:t xml:space="preserve"> </w:t>
            </w:r>
            <w:r>
              <w:rPr>
                <w:rFonts w:ascii="Times New Roman" w:cs="Times New Roman" w:hAnsi="Times New Roman" w:hint="eastAsia"/>
                <w:sz w:val="20"/>
                <w:szCs w:val="20"/>
              </w:rPr>
              <w:t>ladder</w:t>
            </w:r>
            <w:r>
              <w:rPr>
                <w:rFonts w:ascii="Times New Roman" w:cs="Times New Roman" w:hAnsi="Times New Roman" w:hint="eastAsia"/>
                <w:sz w:val="20"/>
                <w:szCs w:val="20"/>
              </w:rPr>
              <w:t xml:space="preserve"> </w:t>
            </w:r>
            <w:r>
              <w:rPr>
                <w:rFonts w:ascii="Times New Roman" w:cs="Times New Roman" w:hAnsi="Times New Roman" w:hint="eastAsia"/>
                <w:sz w:val="20"/>
                <w:szCs w:val="20"/>
              </w:rPr>
              <w:t>I(%)</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0"/>
                <w:szCs w:val="20"/>
              </w:rPr>
              <w:t>WHO</w:t>
            </w:r>
            <w:r>
              <w:rPr>
                <w:rFonts w:ascii="Times New Roman" w:cs="Times New Roman" w:hAnsi="Times New Roman" w:hint="eastAsia"/>
                <w:sz w:val="20"/>
                <w:szCs w:val="20"/>
              </w:rPr>
              <w:t xml:space="preserve"> </w:t>
            </w:r>
            <w:r>
              <w:rPr>
                <w:rFonts w:ascii="Times New Roman" w:cs="Times New Roman" w:hAnsi="Times New Roman" w:hint="eastAsia"/>
                <w:sz w:val="20"/>
                <w:szCs w:val="20"/>
              </w:rPr>
              <w:t>ladder</w:t>
            </w:r>
            <w:r>
              <w:rPr>
                <w:rFonts w:ascii="Times New Roman" w:cs="Times New Roman" w:hAnsi="Times New Roman" w:hint="eastAsia"/>
                <w:sz w:val="20"/>
                <w:szCs w:val="20"/>
              </w:rPr>
              <w:t xml:space="preserve"> </w:t>
            </w:r>
            <w:r>
              <w:rPr>
                <w:rFonts w:ascii="Times New Roman" w:cs="Times New Roman" w:hAnsi="Times New Roman" w:hint="eastAsia"/>
                <w:sz w:val="20"/>
                <w:szCs w:val="20"/>
              </w:rPr>
              <w:t>II(%)</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0"/>
                <w:szCs w:val="20"/>
              </w:rPr>
              <w:t>WHO</w:t>
            </w:r>
            <w:r>
              <w:rPr>
                <w:rFonts w:ascii="Times New Roman" w:cs="Times New Roman" w:hAnsi="Times New Roman" w:hint="eastAsia"/>
                <w:sz w:val="20"/>
                <w:szCs w:val="20"/>
              </w:rPr>
              <w:t xml:space="preserve"> </w:t>
            </w:r>
            <w:r>
              <w:rPr>
                <w:rFonts w:ascii="Times New Roman" w:cs="Times New Roman" w:hAnsi="Times New Roman" w:hint="eastAsia"/>
                <w:sz w:val="20"/>
                <w:szCs w:val="20"/>
              </w:rPr>
              <w:t>ladder</w:t>
            </w:r>
            <w:r>
              <w:rPr>
                <w:rFonts w:ascii="Times New Roman" w:cs="Times New Roman" w:hAnsi="Times New Roman" w:hint="eastAsia"/>
                <w:sz w:val="20"/>
                <w:szCs w:val="20"/>
              </w:rPr>
              <w:t xml:space="preserve"> </w:t>
            </w:r>
            <w:r>
              <w:rPr>
                <w:rFonts w:ascii="Times New Roman" w:cs="Times New Roman" w:hAnsi="Times New Roman" w:hint="eastAsia"/>
                <w:sz w:val="20"/>
                <w:szCs w:val="20"/>
              </w:rPr>
              <w:t>III</w:t>
            </w:r>
            <w:r>
              <w:rPr>
                <w:rFonts w:ascii="Times New Roman" w:cs="Times New Roman" w:hAnsi="Times New Roman" w:hint="eastAsia"/>
                <w:sz w:val="20"/>
                <w:szCs w:val="20"/>
              </w:rPr>
              <w:t xml:space="preserve"> </w:t>
            </w:r>
            <w:r>
              <w:rPr>
                <w:rFonts w:ascii="Times New Roman" w:cs="Times New Roman" w:hAnsi="Times New Roman" w:hint="eastAsia"/>
                <w:sz w:val="20"/>
                <w:szCs w:val="20"/>
              </w:rPr>
              <w:t>(%)</w:t>
            </w:r>
          </w:p>
        </w:tc>
        <w:tc>
          <w:tcPr>
            <w:tcW w:w="1170" w:type="dxa"/>
            <w:vMerge w:val="continue"/>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w:t>
            </w: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Analgesia</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provided</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Diclofenac</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0(0)</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0(0)</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9(15.0)</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Tramadol</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3(100)</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11(100)</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51(85.0)</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Total</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3(100)</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11(100)</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60(100)</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0.998</w:t>
            </w: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w:t>
            </w: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SPS</w:t>
            </w:r>
            <w:r>
              <w:rPr>
                <w:rFonts w:ascii="Times New Roman" w:cs="Times New Roman" w:hAnsi="Times New Roman" w:hint="eastAsia"/>
                <w:sz w:val="24"/>
                <w:szCs w:val="24"/>
              </w:rPr>
              <w:t xml:space="preserve"> </w:t>
            </w:r>
            <w:r>
              <w:rPr>
                <w:rFonts w:ascii="Times New Roman" w:cs="Times New Roman" w:hAnsi="Times New Roman" w:hint="eastAsia"/>
                <w:sz w:val="24"/>
                <w:szCs w:val="24"/>
              </w:rPr>
              <w:t>based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satisfaction</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Unsatisfactory(moderate/severe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pain)</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1(33.3)</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5(45.4)</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43(71.2)</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Satisfactory(mild/none)</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2(66.7)</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6(54.6)</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17(28.8)</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Total</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3(100)</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11(100)</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60(100)</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0.05</w:t>
            </w: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3</w:t>
            </w: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FAS</w:t>
            </w:r>
            <w:r>
              <w:rPr>
                <w:rFonts w:ascii="Times New Roman" w:cs="Times New Roman" w:hAnsi="Times New Roman" w:hint="eastAsia"/>
                <w:sz w:val="24"/>
                <w:szCs w:val="24"/>
              </w:rPr>
              <w:t xml:space="preserve"> </w:t>
            </w:r>
            <w:r>
              <w:rPr>
                <w:rFonts w:ascii="Times New Roman" w:cs="Times New Roman" w:hAnsi="Times New Roman" w:hint="eastAsia"/>
                <w:sz w:val="24"/>
                <w:szCs w:val="24"/>
              </w:rPr>
              <w:t>based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satisfaction</w:t>
            </w:r>
            <w:r>
              <w:rPr>
                <w:rFonts w:ascii="Times New Roman" w:cs="Times New Roman" w:hAnsi="Times New Roman" w:hint="eastAsia"/>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Unsatisfactory(severe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pain)</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1(33.3)</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5(45.4)</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44(73.3)</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r>
      <w:tr>
        <w:tblPrEx/>
        <w:trPr>
          <w:cantSplit w:val="false"/>
          <w:tblHeader w:val="false"/>
          <w:jc w:val="left"/>
        </w:trPr>
        <w:tc>
          <w:tcPr>
            <w:tcW w:w="558"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p>
        </w:tc>
        <w:tc>
          <w:tcPr>
            <w:tcW w:w="306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Satisfactory(mild/none)</w:t>
            </w:r>
          </w:p>
        </w:tc>
        <w:tc>
          <w:tcPr>
            <w:tcW w:w="144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2(66.7)</w:t>
            </w:r>
          </w:p>
        </w:tc>
        <w:tc>
          <w:tcPr>
            <w:tcW w:w="19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6(54.6)</w:t>
            </w:r>
          </w:p>
        </w:tc>
        <w:tc>
          <w:tcPr>
            <w:tcW w:w="189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16(26.7)</w:t>
            </w:r>
          </w:p>
        </w:tc>
        <w:tc>
          <w:tcPr>
            <w:tcW w:w="117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pPr>
            <w:r>
              <w:rPr>
                <w:rFonts w:ascii="Times New Roman" w:cs="Times New Roman" w:hAnsi="Times New Roman" w:hint="eastAsia"/>
                <w:sz w:val="24"/>
                <w:szCs w:val="24"/>
              </w:rPr>
              <w:t>0.04</w:t>
            </w:r>
          </w:p>
        </w:tc>
      </w:tr>
    </w:tbl>
    <w:p>
      <w:pPr>
        <w:pStyle w:val="style0"/>
        <w:rPr/>
      </w:pPr>
    </w:p>
    <w:p>
      <w:pPr>
        <w:pStyle w:val="style0"/>
        <w:rPr/>
      </w:pPr>
    </w:p>
    <w:p>
      <w:pPr>
        <w:pStyle w:val="style0"/>
        <w:rPr/>
      </w:pPr>
    </w:p>
    <w:p>
      <w:pPr>
        <w:pStyle w:val="style0"/>
        <w:rPr/>
      </w:pPr>
    </w:p>
    <w:bookmarkStart w:id="0" w:name="_GoBack"/>
    <w:bookmarkEnd w:id="0"/>
    <w:p>
      <w:pPr>
        <w:pStyle w:val="style0"/>
        <w:rPr/>
      </w:pPr>
    </w:p>
    <w:p>
      <w:pPr>
        <w:pStyle w:val="style0"/>
        <w:tabs>
          <w:tab w:val="left" w:leader="none" w:pos="3220"/>
        </w:tabs>
        <w:rPr/>
      </w:pPr>
    </w:p>
    <w:p>
      <w:pPr>
        <w:pStyle w:val="style0"/>
        <w:jc w:val="both"/>
        <w:rPr>
          <w:rFonts w:ascii="Times New Roman" w:cs="Times New Roman" w:hAnsi="Times New Roman"/>
          <w:b/>
          <w:sz w:val="24"/>
          <w:szCs w:val="24"/>
        </w:rPr>
      </w:pPr>
    </w:p>
    <w:sectPr>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EE3718"/>
    <w:lvl w:ilvl="0" w:tplc="DA82312A">
      <w:start w:val="1"/>
      <w:numFmt w:val="decimal"/>
      <w:lvlText w:val="%1."/>
      <w:lvlJc w:val="left"/>
      <w:pPr>
        <w:ind w:left="720" w:hanging="360"/>
      </w:pPr>
    </w:lvl>
    <w:lvl w:ilvl="1" w:tplc="A74A4FF0">
      <w:start w:val="1"/>
      <w:numFmt w:val="lowerLetter"/>
      <w:lvlText w:val="%2."/>
      <w:lvlJc w:val="left"/>
      <w:pPr>
        <w:ind w:left="1440" w:hanging="360"/>
      </w:pPr>
    </w:lvl>
    <w:lvl w:ilvl="2" w:tplc="36F240EA" w:tentative="1">
      <w:start w:val="1"/>
      <w:numFmt w:val="lowerRoman"/>
      <w:lvlText w:val="%3."/>
      <w:lvlJc w:val="right"/>
      <w:pPr>
        <w:ind w:left="2160" w:hanging="180"/>
      </w:pPr>
    </w:lvl>
    <w:lvl w:ilvl="3" w:tplc="E35E4F66" w:tentative="1">
      <w:start w:val="1"/>
      <w:numFmt w:val="decimal"/>
      <w:lvlText w:val="%4."/>
      <w:lvlJc w:val="left"/>
      <w:pPr>
        <w:ind w:left="2880" w:hanging="360"/>
      </w:pPr>
    </w:lvl>
    <w:lvl w:ilvl="4" w:tplc="8CCA832E" w:tentative="1">
      <w:start w:val="1"/>
      <w:numFmt w:val="lowerLetter"/>
      <w:lvlText w:val="%5."/>
      <w:lvlJc w:val="left"/>
      <w:pPr>
        <w:ind w:left="3600" w:hanging="360"/>
      </w:pPr>
    </w:lvl>
    <w:lvl w:ilvl="5" w:tplc="F3A49816" w:tentative="1">
      <w:start w:val="1"/>
      <w:numFmt w:val="lowerRoman"/>
      <w:lvlText w:val="%6."/>
      <w:lvlJc w:val="right"/>
      <w:pPr>
        <w:ind w:left="4320" w:hanging="180"/>
      </w:pPr>
    </w:lvl>
    <w:lvl w:ilvl="6" w:tplc="33524506" w:tentative="1">
      <w:start w:val="1"/>
      <w:numFmt w:val="decimal"/>
      <w:lvlText w:val="%7."/>
      <w:lvlJc w:val="left"/>
      <w:pPr>
        <w:ind w:left="5040" w:hanging="360"/>
      </w:pPr>
    </w:lvl>
    <w:lvl w:ilvl="7" w:tplc="75D60386" w:tentative="1">
      <w:start w:val="1"/>
      <w:numFmt w:val="lowerLetter"/>
      <w:lvlText w:val="%8."/>
      <w:lvlJc w:val="left"/>
      <w:pPr>
        <w:ind w:left="5760" w:hanging="360"/>
      </w:pPr>
    </w:lvl>
    <w:lvl w:ilvl="8" w:tplc="99583774" w:tentative="1">
      <w:start w:val="1"/>
      <w:numFmt w:val="lowerRoman"/>
      <w:lvlText w:val="%9."/>
      <w:lvlJc w:val="right"/>
      <w:pPr>
        <w:ind w:left="6480" w:hanging="180"/>
      </w:pPr>
    </w:lvl>
  </w:abstractNum>
  <w:abstractNum w:abstractNumId="1">
    <w:nsid w:val="00000001"/>
    <w:multiLevelType w:val="hybridMultilevel"/>
    <w:tmpl w:val="2CA07528"/>
    <w:lvl w:ilvl="0" w:tplc="ECE0FC64">
      <w:start w:val="1"/>
      <w:numFmt w:val="decimal"/>
      <w:lvlText w:val="%1."/>
      <w:lvlJc w:val="left"/>
      <w:pPr>
        <w:ind w:left="720" w:hanging="360"/>
      </w:pPr>
    </w:lvl>
    <w:lvl w:ilvl="1" w:tplc="4F9C8C56" w:tentative="1">
      <w:start w:val="1"/>
      <w:numFmt w:val="lowerLetter"/>
      <w:lvlText w:val="%2."/>
      <w:lvlJc w:val="left"/>
      <w:pPr>
        <w:ind w:left="1440" w:hanging="360"/>
      </w:pPr>
    </w:lvl>
    <w:lvl w:ilvl="2" w:tplc="5100E212" w:tentative="1">
      <w:start w:val="1"/>
      <w:numFmt w:val="lowerRoman"/>
      <w:lvlText w:val="%3."/>
      <w:lvlJc w:val="right"/>
      <w:pPr>
        <w:ind w:left="2160" w:hanging="180"/>
      </w:pPr>
    </w:lvl>
    <w:lvl w:ilvl="3" w:tplc="5E4268B4" w:tentative="1">
      <w:start w:val="1"/>
      <w:numFmt w:val="decimal"/>
      <w:lvlText w:val="%4."/>
      <w:lvlJc w:val="left"/>
      <w:pPr>
        <w:ind w:left="2880" w:hanging="360"/>
      </w:pPr>
    </w:lvl>
    <w:lvl w:ilvl="4" w:tplc="4A26F63A" w:tentative="1">
      <w:start w:val="1"/>
      <w:numFmt w:val="lowerLetter"/>
      <w:lvlText w:val="%5."/>
      <w:lvlJc w:val="left"/>
      <w:pPr>
        <w:ind w:left="3600" w:hanging="360"/>
      </w:pPr>
    </w:lvl>
    <w:lvl w:ilvl="5" w:tplc="A2062C30" w:tentative="1">
      <w:start w:val="1"/>
      <w:numFmt w:val="lowerRoman"/>
      <w:lvlText w:val="%6."/>
      <w:lvlJc w:val="right"/>
      <w:pPr>
        <w:ind w:left="4320" w:hanging="180"/>
      </w:pPr>
    </w:lvl>
    <w:lvl w:ilvl="6" w:tplc="7C264F50" w:tentative="1">
      <w:start w:val="1"/>
      <w:numFmt w:val="decimal"/>
      <w:lvlText w:val="%7."/>
      <w:lvlJc w:val="left"/>
      <w:pPr>
        <w:ind w:left="5040" w:hanging="360"/>
      </w:pPr>
    </w:lvl>
    <w:lvl w:ilvl="7" w:tplc="2342EB68" w:tentative="1">
      <w:start w:val="1"/>
      <w:numFmt w:val="lowerLetter"/>
      <w:lvlText w:val="%8."/>
      <w:lvlJc w:val="left"/>
      <w:pPr>
        <w:ind w:left="5760" w:hanging="360"/>
      </w:pPr>
    </w:lvl>
    <w:lvl w:ilvl="8" w:tplc="A68E29C8" w:tentative="1">
      <w:start w:val="1"/>
      <w:numFmt w:val="lowerRoman"/>
      <w:lvlText w:val="%9."/>
      <w:lvlJc w:val="right"/>
      <w:pPr>
        <w:ind w:left="6480" w:hanging="180"/>
      </w:pPr>
    </w:lvl>
  </w:abstractNum>
  <w:abstractNum w:abstractNumId="2">
    <w:nsid w:val="00000002"/>
    <w:multiLevelType w:val="hybridMultilevel"/>
    <w:tmpl w:val="4FD882A6"/>
    <w:lvl w:ilvl="0" w:tplc="BF328C48">
      <w:start w:val="1"/>
      <w:numFmt w:val="decimal"/>
      <w:lvlText w:val="%1."/>
      <w:lvlJc w:val="left"/>
      <w:pPr>
        <w:ind w:left="720" w:hanging="360"/>
      </w:pPr>
      <w:rPr>
        <w:rFonts w:ascii="Calibri" w:cs="宋体" w:eastAsia="Calibri" w:hAnsi="Calibri"/>
      </w:rPr>
    </w:lvl>
    <w:lvl w:ilvl="1" w:tplc="39EA2628" w:tentative="1">
      <w:start w:val="1"/>
      <w:numFmt w:val="lowerLetter"/>
      <w:lvlText w:val="%2."/>
      <w:lvlJc w:val="left"/>
      <w:pPr>
        <w:ind w:left="1440" w:hanging="360"/>
      </w:pPr>
    </w:lvl>
    <w:lvl w:ilvl="2" w:tplc="53F44BD8" w:tentative="1">
      <w:start w:val="1"/>
      <w:numFmt w:val="lowerRoman"/>
      <w:lvlText w:val="%3."/>
      <w:lvlJc w:val="right"/>
      <w:pPr>
        <w:ind w:left="2160" w:hanging="180"/>
      </w:pPr>
    </w:lvl>
    <w:lvl w:ilvl="3" w:tplc="1F30E7C4" w:tentative="1">
      <w:start w:val="1"/>
      <w:numFmt w:val="decimal"/>
      <w:lvlText w:val="%4."/>
      <w:lvlJc w:val="left"/>
      <w:pPr>
        <w:ind w:left="2880" w:hanging="360"/>
      </w:pPr>
    </w:lvl>
    <w:lvl w:ilvl="4" w:tplc="EFAC547A" w:tentative="1">
      <w:start w:val="1"/>
      <w:numFmt w:val="lowerLetter"/>
      <w:lvlText w:val="%5."/>
      <w:lvlJc w:val="left"/>
      <w:pPr>
        <w:ind w:left="3600" w:hanging="360"/>
      </w:pPr>
    </w:lvl>
    <w:lvl w:ilvl="5" w:tplc="23CE003E" w:tentative="1">
      <w:start w:val="1"/>
      <w:numFmt w:val="lowerRoman"/>
      <w:lvlText w:val="%6."/>
      <w:lvlJc w:val="right"/>
      <w:pPr>
        <w:ind w:left="4320" w:hanging="180"/>
      </w:pPr>
    </w:lvl>
    <w:lvl w:ilvl="6" w:tplc="BACA51D0" w:tentative="1">
      <w:start w:val="1"/>
      <w:numFmt w:val="decimal"/>
      <w:lvlText w:val="%7."/>
      <w:lvlJc w:val="left"/>
      <w:pPr>
        <w:ind w:left="5040" w:hanging="360"/>
      </w:pPr>
    </w:lvl>
    <w:lvl w:ilvl="7" w:tplc="31AC0406" w:tentative="1">
      <w:start w:val="1"/>
      <w:numFmt w:val="lowerLetter"/>
      <w:lvlText w:val="%8."/>
      <w:lvlJc w:val="left"/>
      <w:pPr>
        <w:ind w:left="5760" w:hanging="360"/>
      </w:pPr>
    </w:lvl>
    <w:lvl w:ilvl="8" w:tplc="CA8C04A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395311f9-2dbd-4ab5-b179-e1cb52cf9692"/>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ac235c46-11a0-422a-9deb-1776680a76e6"/>
    <w:basedOn w:val="style65"/>
    <w:next w:val="style4099"/>
    <w:link w:val="style32"/>
    <w:uiPriority w:val="99"/>
  </w:style>
  <w:style w:type="character" w:customStyle="1" w:styleId="style4100">
    <w:name w:val="A1"/>
    <w:next w:val="style4100"/>
    <w:uiPriority w:val="99"/>
    <w:rPr>
      <w:rFonts w:cs="Cambria"/>
      <w:color w:val="000000"/>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C2E2-7AF3-473F-A09B-C00D5CF0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4907</Words>
  <Characters>27094</Characters>
  <Application>WPS Office</Application>
  <DocSecurity>0</DocSecurity>
  <Paragraphs>704</Paragraphs>
  <ScaleCrop>false</ScaleCrop>
  <LinksUpToDate>false</LinksUpToDate>
  <CharactersWithSpaces>31717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2021-05-28T09:28:55Z</dcterms:created>
  <dc:creator>DELL</dc:creator>
  <lastModifiedBy>SM-A305F</lastModifiedBy>
  <dcterms:modified xsi:type="dcterms:W3CDTF">2021-05-28T09:28:55Z</dcterms:modified>
  <revision>2</revision>
</coreProperties>
</file>

<file path=docProps/custom.xml><?xml version="1.0" encoding="utf-8"?>
<Properties xmlns="http://schemas.openxmlformats.org/officeDocument/2006/custom-properties" xmlns:vt="http://schemas.openxmlformats.org/officeDocument/2006/docPropsVTypes"/>
</file>