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A2B" w:rsidRDefault="00947212" w:rsidP="002F4AB7">
      <w:pPr>
        <w:jc w:val="both"/>
        <w:rPr>
          <w:b/>
        </w:rPr>
      </w:pPr>
      <w:r>
        <w:rPr>
          <w:b/>
        </w:rPr>
        <w:t xml:space="preserve">          </w:t>
      </w:r>
      <w:r w:rsidR="00152A2B">
        <w:rPr>
          <w:b/>
        </w:rPr>
        <w:t xml:space="preserve">    </w:t>
      </w:r>
    </w:p>
    <w:p w:rsidR="00152A2B" w:rsidRDefault="00152A2B" w:rsidP="002F4AB7">
      <w:pPr>
        <w:jc w:val="both"/>
        <w:rPr>
          <w:b/>
        </w:rPr>
      </w:pPr>
      <w:r>
        <w:rPr>
          <w:b/>
          <w:noProof/>
        </w:rPr>
        <w:drawing>
          <wp:inline distT="0" distB="0" distL="0" distR="0">
            <wp:extent cx="5879811" cy="1193537"/>
            <wp:effectExtent l="19050" t="0" r="6639" b="0"/>
            <wp:docPr id="1" name="Picture 1" descr="D:\indexAAu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dexAAu3.png"/>
                    <pic:cNvPicPr>
                      <a:picLocks noChangeAspect="1" noChangeArrowheads="1"/>
                    </pic:cNvPicPr>
                  </pic:nvPicPr>
                  <pic:blipFill>
                    <a:blip r:embed="rId8"/>
                    <a:srcRect/>
                    <a:stretch>
                      <a:fillRect/>
                    </a:stretch>
                  </pic:blipFill>
                  <pic:spPr bwMode="auto">
                    <a:xfrm>
                      <a:off x="0" y="0"/>
                      <a:ext cx="5880872" cy="1193752"/>
                    </a:xfrm>
                    <a:prstGeom prst="rect">
                      <a:avLst/>
                    </a:prstGeom>
                    <a:noFill/>
                    <a:ln w="9525">
                      <a:noFill/>
                      <a:miter lim="800000"/>
                      <a:headEnd/>
                      <a:tailEnd/>
                    </a:ln>
                  </pic:spPr>
                </pic:pic>
              </a:graphicData>
            </a:graphic>
          </wp:inline>
        </w:drawing>
      </w:r>
    </w:p>
    <w:p w:rsidR="00C72B18" w:rsidRDefault="00C72B18" w:rsidP="002F4AB7">
      <w:pPr>
        <w:jc w:val="both"/>
        <w:rPr>
          <w:b/>
          <w:sz w:val="28"/>
          <w:szCs w:val="28"/>
        </w:rPr>
      </w:pPr>
    </w:p>
    <w:p w:rsidR="00C72B18" w:rsidRDefault="00C72B18" w:rsidP="002F4AB7">
      <w:pPr>
        <w:jc w:val="both"/>
        <w:rPr>
          <w:b/>
          <w:sz w:val="28"/>
          <w:szCs w:val="28"/>
        </w:rPr>
      </w:pPr>
    </w:p>
    <w:p w:rsidR="00947212" w:rsidRPr="00152A2B" w:rsidRDefault="00947212" w:rsidP="002F4AB7">
      <w:pPr>
        <w:jc w:val="both"/>
        <w:rPr>
          <w:b/>
          <w:sz w:val="28"/>
          <w:szCs w:val="28"/>
        </w:rPr>
      </w:pPr>
      <w:r w:rsidRPr="00152A2B">
        <w:rPr>
          <w:b/>
          <w:sz w:val="28"/>
          <w:szCs w:val="28"/>
        </w:rPr>
        <w:t>ADDIS ABABA UNIVERSITY</w:t>
      </w:r>
      <w:r w:rsidR="00152A2B" w:rsidRPr="00152A2B">
        <w:rPr>
          <w:b/>
          <w:sz w:val="28"/>
          <w:szCs w:val="28"/>
        </w:rPr>
        <w:t>,</w:t>
      </w:r>
      <w:r w:rsidRPr="00152A2B">
        <w:rPr>
          <w:b/>
          <w:sz w:val="28"/>
          <w:szCs w:val="28"/>
        </w:rPr>
        <w:t xml:space="preserve"> COLLEGE OF HEALTH SCIENCE</w:t>
      </w:r>
      <w:r w:rsidR="00152A2B" w:rsidRPr="00152A2B">
        <w:rPr>
          <w:b/>
          <w:sz w:val="28"/>
          <w:szCs w:val="28"/>
        </w:rPr>
        <w:t>, SCHOOL</w:t>
      </w:r>
      <w:r w:rsidRPr="00152A2B">
        <w:rPr>
          <w:b/>
          <w:sz w:val="28"/>
          <w:szCs w:val="28"/>
        </w:rPr>
        <w:t xml:space="preserve"> OF MEDICINE </w:t>
      </w:r>
    </w:p>
    <w:p w:rsidR="00947212" w:rsidRPr="00152A2B" w:rsidRDefault="00947212" w:rsidP="002F4AB7">
      <w:pPr>
        <w:jc w:val="both"/>
        <w:rPr>
          <w:b/>
          <w:sz w:val="28"/>
          <w:szCs w:val="28"/>
        </w:rPr>
      </w:pPr>
      <w:r w:rsidRPr="00152A2B">
        <w:rPr>
          <w:b/>
          <w:sz w:val="28"/>
          <w:szCs w:val="28"/>
        </w:rPr>
        <w:t>DEPARTMENT OF SURGERY</w:t>
      </w:r>
    </w:p>
    <w:p w:rsidR="00C72B18" w:rsidRDefault="00C72B18" w:rsidP="002F4AB7">
      <w:pPr>
        <w:jc w:val="both"/>
        <w:rPr>
          <w:b/>
          <w:sz w:val="28"/>
          <w:szCs w:val="28"/>
        </w:rPr>
      </w:pPr>
    </w:p>
    <w:p w:rsidR="00C72B18" w:rsidRDefault="00C72B18" w:rsidP="002F4AB7">
      <w:pPr>
        <w:jc w:val="both"/>
        <w:rPr>
          <w:b/>
          <w:sz w:val="28"/>
          <w:szCs w:val="28"/>
        </w:rPr>
      </w:pPr>
    </w:p>
    <w:p w:rsidR="00947212" w:rsidRDefault="002F4AB7" w:rsidP="002F4AB7">
      <w:pPr>
        <w:jc w:val="both"/>
        <w:rPr>
          <w:b/>
          <w:sz w:val="32"/>
          <w:szCs w:val="32"/>
        </w:rPr>
      </w:pPr>
      <w:r w:rsidRPr="00C72B18">
        <w:rPr>
          <w:b/>
          <w:sz w:val="32"/>
          <w:szCs w:val="32"/>
        </w:rPr>
        <w:t>Predictors Of Relaparotomy For Persisting Intra Abdominal Infection In Secondary Peritonitis</w:t>
      </w:r>
    </w:p>
    <w:tbl>
      <w:tblPr>
        <w:tblW w:w="0" w:type="auto"/>
        <w:jc w:val="center"/>
        <w:tblCellMar>
          <w:left w:w="10" w:type="dxa"/>
          <w:right w:w="10" w:type="dxa"/>
        </w:tblCellMar>
        <w:tblLook w:val="04A0"/>
      </w:tblPr>
      <w:tblGrid>
        <w:gridCol w:w="3302"/>
        <w:gridCol w:w="6208"/>
      </w:tblGrid>
      <w:tr w:rsidR="009C2C12" w:rsidTr="009C2C12">
        <w:trPr>
          <w:trHeight w:val="1"/>
          <w:jc w:val="center"/>
        </w:trPr>
        <w:tc>
          <w:tcPr>
            <w:tcW w:w="330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9C2C12" w:rsidRDefault="009C2C12" w:rsidP="009C2C12">
            <w:pPr>
              <w:spacing w:before="120" w:after="0" w:line="240" w:lineRule="auto"/>
              <w:rPr>
                <w:rFonts w:ascii="Calibri" w:eastAsia="Calibri" w:hAnsi="Calibri" w:cs="Calibri"/>
              </w:rPr>
            </w:pPr>
            <w:r>
              <w:rPr>
                <w:rFonts w:ascii="Calibri" w:eastAsia="Calibri" w:hAnsi="Calibri" w:cs="Calibri"/>
                <w:sz w:val="24"/>
              </w:rPr>
              <w:t>Name of investigators</w:t>
            </w:r>
          </w:p>
        </w:tc>
        <w:tc>
          <w:tcPr>
            <w:tcW w:w="620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9C2C12" w:rsidRPr="000179AE" w:rsidRDefault="009C2C12" w:rsidP="009C2C12">
            <w:pPr>
              <w:spacing w:after="0" w:line="240" w:lineRule="auto"/>
              <w:rPr>
                <w:rFonts w:ascii="Calibri" w:eastAsia="Calibri" w:hAnsi="Calibri" w:cs="Calibri"/>
                <w:sz w:val="24"/>
              </w:rPr>
            </w:pPr>
            <w:r>
              <w:rPr>
                <w:rFonts w:ascii="Calibri" w:eastAsia="Calibri" w:hAnsi="Calibri" w:cs="Calibri"/>
                <w:sz w:val="24"/>
              </w:rPr>
              <w:t>Abel Shiferaw,M.D. ,  Henock T/Selase, M.D.</w:t>
            </w:r>
          </w:p>
        </w:tc>
      </w:tr>
      <w:tr w:rsidR="009C2C12" w:rsidTr="009C2C12">
        <w:trPr>
          <w:trHeight w:val="1"/>
          <w:jc w:val="center"/>
        </w:trPr>
        <w:tc>
          <w:tcPr>
            <w:tcW w:w="330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9C2C12" w:rsidRDefault="009C2C12" w:rsidP="009C2C12">
            <w:pPr>
              <w:spacing w:before="120" w:after="0" w:line="240" w:lineRule="auto"/>
              <w:rPr>
                <w:rFonts w:ascii="Calibri" w:eastAsia="Calibri" w:hAnsi="Calibri" w:cs="Calibri"/>
              </w:rPr>
            </w:pPr>
            <w:r>
              <w:rPr>
                <w:rFonts w:ascii="Calibri" w:eastAsia="Calibri" w:hAnsi="Calibri" w:cs="Calibri"/>
                <w:sz w:val="24"/>
              </w:rPr>
              <w:t>Full title of the research project</w:t>
            </w:r>
          </w:p>
        </w:tc>
        <w:tc>
          <w:tcPr>
            <w:tcW w:w="620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9C2C12" w:rsidRPr="0030226A" w:rsidRDefault="009C2C12" w:rsidP="009C2C12">
            <w:pPr>
              <w:spacing w:line="240" w:lineRule="auto"/>
              <w:jc w:val="both"/>
              <w:rPr>
                <w:rFonts w:ascii="Calibri" w:eastAsia="Calibri" w:hAnsi="Calibri" w:cs="Calibri"/>
                <w:sz w:val="24"/>
                <w:szCs w:val="24"/>
              </w:rPr>
            </w:pPr>
            <w:r w:rsidRPr="0030226A">
              <w:rPr>
                <w:rFonts w:ascii="Calibri" w:eastAsia="Calibri" w:hAnsi="Calibri" w:cs="Calibri"/>
                <w:sz w:val="24"/>
                <w:szCs w:val="24"/>
              </w:rPr>
              <w:t>Predictors of relaparotomy for persisting intra abdominal infection in secondary peritonitis</w:t>
            </w:r>
          </w:p>
        </w:tc>
      </w:tr>
      <w:tr w:rsidR="009C2C12" w:rsidTr="009C2C12">
        <w:trPr>
          <w:trHeight w:val="1"/>
          <w:jc w:val="center"/>
        </w:trPr>
        <w:tc>
          <w:tcPr>
            <w:tcW w:w="330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9C2C12" w:rsidRDefault="009C2C12" w:rsidP="009C2C12">
            <w:pPr>
              <w:spacing w:before="120" w:after="0" w:line="240" w:lineRule="auto"/>
              <w:rPr>
                <w:rFonts w:ascii="Calibri" w:eastAsia="Calibri" w:hAnsi="Calibri" w:cs="Calibri"/>
              </w:rPr>
            </w:pPr>
            <w:r>
              <w:rPr>
                <w:rFonts w:ascii="Calibri" w:eastAsia="Calibri" w:hAnsi="Calibri" w:cs="Calibri"/>
                <w:sz w:val="24"/>
              </w:rPr>
              <w:t>Study Area</w:t>
            </w:r>
          </w:p>
        </w:tc>
        <w:tc>
          <w:tcPr>
            <w:tcW w:w="620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9C2C12" w:rsidRDefault="009C2C12" w:rsidP="009C2C12">
            <w:pPr>
              <w:spacing w:before="120" w:after="0" w:line="240" w:lineRule="auto"/>
              <w:rPr>
                <w:rFonts w:ascii="Calibri" w:eastAsia="Calibri" w:hAnsi="Calibri" w:cs="Calibri"/>
              </w:rPr>
            </w:pPr>
            <w:r w:rsidRPr="009176BD">
              <w:rPr>
                <w:rFonts w:cstheme="minorHAnsi"/>
                <w:sz w:val="24"/>
                <w:szCs w:val="24"/>
              </w:rPr>
              <w:t>Yekatit 12 referral hospita</w:t>
            </w:r>
            <w:r>
              <w:rPr>
                <w:rFonts w:cstheme="minorHAnsi"/>
                <w:sz w:val="24"/>
                <w:szCs w:val="24"/>
              </w:rPr>
              <w:t>l,</w:t>
            </w:r>
            <w:r w:rsidRPr="009176BD">
              <w:rPr>
                <w:rFonts w:cstheme="minorHAnsi"/>
                <w:sz w:val="24"/>
                <w:szCs w:val="24"/>
              </w:rPr>
              <w:t xml:space="preserve"> Minilik II referral Hospit</w:t>
            </w:r>
            <w:r>
              <w:rPr>
                <w:rFonts w:cstheme="minorHAnsi"/>
                <w:sz w:val="24"/>
                <w:szCs w:val="24"/>
              </w:rPr>
              <w:t>al</w:t>
            </w:r>
          </w:p>
        </w:tc>
      </w:tr>
      <w:tr w:rsidR="009C2C12" w:rsidTr="009C2C12">
        <w:trPr>
          <w:trHeight w:val="1"/>
          <w:jc w:val="center"/>
        </w:trPr>
        <w:tc>
          <w:tcPr>
            <w:tcW w:w="3302" w:type="dxa"/>
            <w:vMerge w:val="restart"/>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9C2C12" w:rsidRDefault="009C2C12" w:rsidP="009C2C12">
            <w:pPr>
              <w:spacing w:before="120" w:after="0" w:line="240" w:lineRule="auto"/>
              <w:rPr>
                <w:rFonts w:ascii="Calibri" w:eastAsia="Calibri" w:hAnsi="Calibri" w:cs="Calibri"/>
              </w:rPr>
            </w:pPr>
            <w:r>
              <w:rPr>
                <w:rFonts w:ascii="Calibri" w:eastAsia="Calibri" w:hAnsi="Calibri" w:cs="Calibri"/>
                <w:sz w:val="24"/>
              </w:rPr>
              <w:t>Address of the investigators</w:t>
            </w:r>
          </w:p>
        </w:tc>
        <w:tc>
          <w:tcPr>
            <w:tcW w:w="620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9C2C12" w:rsidRDefault="009C2C12" w:rsidP="009C2C12">
            <w:pPr>
              <w:spacing w:before="120" w:after="0" w:line="240" w:lineRule="auto"/>
              <w:rPr>
                <w:rFonts w:ascii="Calibri" w:eastAsia="Calibri" w:hAnsi="Calibri" w:cs="Calibri"/>
              </w:rPr>
            </w:pPr>
            <w:r>
              <w:rPr>
                <w:rFonts w:ascii="Calibri" w:eastAsia="Calibri" w:hAnsi="Calibri" w:cs="Calibri"/>
                <w:sz w:val="24"/>
              </w:rPr>
              <w:t>Cell phone: +251913921385, +251911684562</w:t>
            </w:r>
          </w:p>
        </w:tc>
      </w:tr>
      <w:tr w:rsidR="009C2C12" w:rsidTr="009C2C12">
        <w:trPr>
          <w:trHeight w:val="1"/>
          <w:jc w:val="center"/>
        </w:trPr>
        <w:tc>
          <w:tcPr>
            <w:tcW w:w="3302" w:type="dxa"/>
            <w:vMerge/>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9C2C12" w:rsidRDefault="009C2C12" w:rsidP="009C2C12">
            <w:pPr>
              <w:rPr>
                <w:rFonts w:ascii="Calibri" w:eastAsia="Calibri" w:hAnsi="Calibri" w:cs="Calibri"/>
              </w:rPr>
            </w:pPr>
          </w:p>
        </w:tc>
        <w:tc>
          <w:tcPr>
            <w:tcW w:w="620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9C2C12" w:rsidRDefault="009C2C12" w:rsidP="009C2C12">
            <w:pPr>
              <w:spacing w:before="120" w:after="0" w:line="240" w:lineRule="auto"/>
              <w:rPr>
                <w:rFonts w:ascii="Calibri" w:eastAsia="Calibri" w:hAnsi="Calibri" w:cs="Calibri"/>
              </w:rPr>
            </w:pPr>
            <w:r>
              <w:rPr>
                <w:rFonts w:ascii="Calibri" w:eastAsia="Calibri" w:hAnsi="Calibri" w:cs="Calibri"/>
                <w:sz w:val="24"/>
              </w:rPr>
              <w:t xml:space="preserve">Email: </w:t>
            </w:r>
            <w:hyperlink r:id="rId9" w:history="1">
              <w:r w:rsidRPr="006C1EA8">
                <w:rPr>
                  <w:rStyle w:val="Hyperlink"/>
                  <w:rFonts w:ascii="Calibri" w:eastAsia="Calibri" w:hAnsi="Calibri" w:cs="Calibri"/>
                  <w:sz w:val="24"/>
                  <w:u w:val="none"/>
                </w:rPr>
                <w:t>abelshiferaw3417@gmail.com</w:t>
              </w:r>
            </w:hyperlink>
            <w:r w:rsidRPr="006C1EA8">
              <w:rPr>
                <w:rFonts w:ascii="Calibri" w:eastAsia="Calibri" w:hAnsi="Calibri" w:cs="Calibri"/>
                <w:color w:val="0000FF"/>
                <w:sz w:val="24"/>
              </w:rPr>
              <w:t xml:space="preserve"> </w:t>
            </w:r>
            <w:hyperlink r:id="rId10" w:history="1">
              <w:r w:rsidRPr="00F957E2">
                <w:rPr>
                  <w:rStyle w:val="Hyperlink"/>
                  <w:sz w:val="24"/>
                  <w:szCs w:val="24"/>
                </w:rPr>
                <w:t>zelekehenok8@gmail.com</w:t>
              </w:r>
            </w:hyperlink>
          </w:p>
        </w:tc>
      </w:tr>
    </w:tbl>
    <w:p w:rsidR="008B408C" w:rsidRDefault="008B408C" w:rsidP="002F4AB7">
      <w:pPr>
        <w:jc w:val="both"/>
        <w:rPr>
          <w:b/>
          <w:sz w:val="32"/>
          <w:szCs w:val="32"/>
        </w:rPr>
      </w:pPr>
    </w:p>
    <w:p w:rsidR="00C72B18" w:rsidRDefault="00C72B18" w:rsidP="002F4AB7">
      <w:pPr>
        <w:jc w:val="both"/>
        <w:rPr>
          <w:b/>
          <w:sz w:val="28"/>
          <w:szCs w:val="28"/>
        </w:rPr>
      </w:pPr>
    </w:p>
    <w:p w:rsidR="009C2C12" w:rsidRDefault="009C2C12" w:rsidP="002F4AB7">
      <w:pPr>
        <w:jc w:val="both"/>
        <w:rPr>
          <w:b/>
          <w:sz w:val="28"/>
          <w:szCs w:val="28"/>
        </w:rPr>
      </w:pPr>
    </w:p>
    <w:p w:rsidR="00C72B18" w:rsidRDefault="00C72B18" w:rsidP="002F4AB7">
      <w:pPr>
        <w:jc w:val="both"/>
        <w:rPr>
          <w:b/>
          <w:sz w:val="28"/>
          <w:szCs w:val="28"/>
        </w:rPr>
      </w:pPr>
    </w:p>
    <w:p w:rsidR="002F4AB7" w:rsidRPr="00AC36A8" w:rsidRDefault="00014B05" w:rsidP="00AC36A8">
      <w:pPr>
        <w:spacing w:after="0" w:line="240" w:lineRule="auto"/>
        <w:jc w:val="both"/>
        <w:rPr>
          <w:rFonts w:ascii="Calibri" w:eastAsia="Calibri" w:hAnsi="Calibri" w:cs="Calibri"/>
          <w:sz w:val="24"/>
        </w:rPr>
      </w:pPr>
      <w:r>
        <w:rPr>
          <w:rFonts w:ascii="Calibri" w:eastAsia="Calibri" w:hAnsi="Calibri" w:cs="Calibri"/>
          <w:sz w:val="24"/>
        </w:rPr>
        <w:t xml:space="preserve">                                                                                                                   </w:t>
      </w:r>
      <w:r w:rsidR="009C2C12">
        <w:rPr>
          <w:rFonts w:ascii="Calibri" w:eastAsia="Calibri" w:hAnsi="Calibri" w:cs="Calibri"/>
          <w:sz w:val="24"/>
        </w:rPr>
        <w:t>June 04, 2021</w:t>
      </w:r>
      <w:r w:rsidR="00C72B18">
        <w:rPr>
          <w:rFonts w:ascii="Calibri" w:eastAsia="Calibri" w:hAnsi="Calibri" w:cs="Calibri"/>
          <w:sz w:val="24"/>
        </w:rPr>
        <w:t xml:space="preserve"> G.C</w:t>
      </w:r>
    </w:p>
    <w:sdt>
      <w:sdtPr>
        <w:rPr>
          <w:rFonts w:asciiTheme="minorHAnsi" w:eastAsiaTheme="minorHAnsi" w:hAnsiTheme="minorHAnsi" w:cstheme="minorBidi"/>
          <w:b w:val="0"/>
          <w:bCs w:val="0"/>
          <w:color w:val="auto"/>
          <w:sz w:val="22"/>
          <w:szCs w:val="22"/>
        </w:rPr>
        <w:id w:val="84487022"/>
        <w:docPartObj>
          <w:docPartGallery w:val="Table of Contents"/>
          <w:docPartUnique/>
        </w:docPartObj>
      </w:sdtPr>
      <w:sdtContent>
        <w:p w:rsidR="002F4AB7" w:rsidRPr="002F4AB7" w:rsidRDefault="00364967" w:rsidP="002F4AB7">
          <w:pPr>
            <w:pStyle w:val="TOCHeading"/>
            <w:jc w:val="both"/>
          </w:pPr>
          <w:r>
            <w:t>Table of Contents</w:t>
          </w:r>
        </w:p>
        <w:p w:rsidR="00AC36A8" w:rsidRDefault="006331EC">
          <w:pPr>
            <w:pStyle w:val="TOC1"/>
            <w:tabs>
              <w:tab w:val="right" w:leader="dot" w:pos="9350"/>
            </w:tabs>
            <w:rPr>
              <w:rFonts w:eastAsiaTheme="minorEastAsia"/>
              <w:noProof/>
            </w:rPr>
          </w:pPr>
          <w:r>
            <w:fldChar w:fldCharType="begin"/>
          </w:r>
          <w:r w:rsidR="00364967">
            <w:instrText xml:space="preserve"> TOC \o "1-3" \h \z \u </w:instrText>
          </w:r>
          <w:r>
            <w:fldChar w:fldCharType="separate"/>
          </w:r>
          <w:hyperlink w:anchor="_Toc73713168" w:history="1">
            <w:r w:rsidR="00AC36A8" w:rsidRPr="0079428F">
              <w:rPr>
                <w:rStyle w:val="Hyperlink"/>
                <w:rFonts w:eastAsia="Calibri"/>
                <w:noProof/>
              </w:rPr>
              <w:t>Abstract:</w:t>
            </w:r>
            <w:r w:rsidR="00AC36A8">
              <w:rPr>
                <w:noProof/>
                <w:webHidden/>
              </w:rPr>
              <w:tab/>
            </w:r>
            <w:r w:rsidR="00AC36A8">
              <w:rPr>
                <w:noProof/>
                <w:webHidden/>
              </w:rPr>
              <w:fldChar w:fldCharType="begin"/>
            </w:r>
            <w:r w:rsidR="00AC36A8">
              <w:rPr>
                <w:noProof/>
                <w:webHidden/>
              </w:rPr>
              <w:instrText xml:space="preserve"> PAGEREF _Toc73713168 \h </w:instrText>
            </w:r>
            <w:r w:rsidR="00AC36A8">
              <w:rPr>
                <w:noProof/>
                <w:webHidden/>
              </w:rPr>
            </w:r>
            <w:r w:rsidR="00AC36A8">
              <w:rPr>
                <w:noProof/>
                <w:webHidden/>
              </w:rPr>
              <w:fldChar w:fldCharType="separate"/>
            </w:r>
            <w:r w:rsidR="00AC36A8">
              <w:rPr>
                <w:noProof/>
                <w:webHidden/>
              </w:rPr>
              <w:t>3</w:t>
            </w:r>
            <w:r w:rsidR="00AC36A8">
              <w:rPr>
                <w:noProof/>
                <w:webHidden/>
              </w:rPr>
              <w:fldChar w:fldCharType="end"/>
            </w:r>
          </w:hyperlink>
        </w:p>
        <w:p w:rsidR="00AC36A8" w:rsidRDefault="00AC36A8">
          <w:pPr>
            <w:pStyle w:val="TOC1"/>
            <w:tabs>
              <w:tab w:val="right" w:leader="dot" w:pos="9350"/>
            </w:tabs>
            <w:rPr>
              <w:rFonts w:eastAsiaTheme="minorEastAsia"/>
              <w:noProof/>
            </w:rPr>
          </w:pPr>
          <w:hyperlink w:anchor="_Toc73713169" w:history="1">
            <w:r w:rsidRPr="0079428F">
              <w:rPr>
                <w:rStyle w:val="Hyperlink"/>
                <w:noProof/>
              </w:rPr>
              <w:t>Introduction:</w:t>
            </w:r>
            <w:r>
              <w:rPr>
                <w:noProof/>
                <w:webHidden/>
              </w:rPr>
              <w:tab/>
            </w:r>
            <w:r>
              <w:rPr>
                <w:noProof/>
                <w:webHidden/>
              </w:rPr>
              <w:fldChar w:fldCharType="begin"/>
            </w:r>
            <w:r>
              <w:rPr>
                <w:noProof/>
                <w:webHidden/>
              </w:rPr>
              <w:instrText xml:space="preserve"> PAGEREF _Toc73713169 \h </w:instrText>
            </w:r>
            <w:r>
              <w:rPr>
                <w:noProof/>
                <w:webHidden/>
              </w:rPr>
            </w:r>
            <w:r>
              <w:rPr>
                <w:noProof/>
                <w:webHidden/>
              </w:rPr>
              <w:fldChar w:fldCharType="separate"/>
            </w:r>
            <w:r>
              <w:rPr>
                <w:noProof/>
                <w:webHidden/>
              </w:rPr>
              <w:t>4</w:t>
            </w:r>
            <w:r>
              <w:rPr>
                <w:noProof/>
                <w:webHidden/>
              </w:rPr>
              <w:fldChar w:fldCharType="end"/>
            </w:r>
          </w:hyperlink>
        </w:p>
        <w:p w:rsidR="00AC36A8" w:rsidRDefault="00AC36A8">
          <w:pPr>
            <w:pStyle w:val="TOC2"/>
            <w:tabs>
              <w:tab w:val="right" w:leader="dot" w:pos="9350"/>
            </w:tabs>
            <w:rPr>
              <w:rFonts w:eastAsiaTheme="minorEastAsia"/>
              <w:noProof/>
            </w:rPr>
          </w:pPr>
          <w:hyperlink w:anchor="_Toc73713170" w:history="1">
            <w:r w:rsidRPr="0079428F">
              <w:rPr>
                <w:rStyle w:val="Hyperlink"/>
                <w:noProof/>
              </w:rPr>
              <w:t>Background</w:t>
            </w:r>
            <w:r>
              <w:rPr>
                <w:noProof/>
                <w:webHidden/>
              </w:rPr>
              <w:tab/>
            </w:r>
            <w:r>
              <w:rPr>
                <w:noProof/>
                <w:webHidden/>
              </w:rPr>
              <w:fldChar w:fldCharType="begin"/>
            </w:r>
            <w:r>
              <w:rPr>
                <w:noProof/>
                <w:webHidden/>
              </w:rPr>
              <w:instrText xml:space="preserve"> PAGEREF _Toc73713170 \h </w:instrText>
            </w:r>
            <w:r>
              <w:rPr>
                <w:noProof/>
                <w:webHidden/>
              </w:rPr>
            </w:r>
            <w:r>
              <w:rPr>
                <w:noProof/>
                <w:webHidden/>
              </w:rPr>
              <w:fldChar w:fldCharType="separate"/>
            </w:r>
            <w:r>
              <w:rPr>
                <w:noProof/>
                <w:webHidden/>
              </w:rPr>
              <w:t>4</w:t>
            </w:r>
            <w:r>
              <w:rPr>
                <w:noProof/>
                <w:webHidden/>
              </w:rPr>
              <w:fldChar w:fldCharType="end"/>
            </w:r>
          </w:hyperlink>
        </w:p>
        <w:p w:rsidR="00AC36A8" w:rsidRDefault="00AC36A8">
          <w:pPr>
            <w:pStyle w:val="TOC2"/>
            <w:tabs>
              <w:tab w:val="right" w:leader="dot" w:pos="9350"/>
            </w:tabs>
            <w:rPr>
              <w:rFonts w:eastAsiaTheme="minorEastAsia"/>
              <w:noProof/>
            </w:rPr>
          </w:pPr>
          <w:hyperlink w:anchor="_Toc73713171" w:history="1">
            <w:r w:rsidRPr="0079428F">
              <w:rPr>
                <w:rStyle w:val="Hyperlink"/>
                <w:noProof/>
              </w:rPr>
              <w:t>Literature Review</w:t>
            </w:r>
            <w:r>
              <w:rPr>
                <w:noProof/>
                <w:webHidden/>
              </w:rPr>
              <w:tab/>
            </w:r>
            <w:r>
              <w:rPr>
                <w:noProof/>
                <w:webHidden/>
              </w:rPr>
              <w:fldChar w:fldCharType="begin"/>
            </w:r>
            <w:r>
              <w:rPr>
                <w:noProof/>
                <w:webHidden/>
              </w:rPr>
              <w:instrText xml:space="preserve"> PAGEREF _Toc73713171 \h </w:instrText>
            </w:r>
            <w:r>
              <w:rPr>
                <w:noProof/>
                <w:webHidden/>
              </w:rPr>
            </w:r>
            <w:r>
              <w:rPr>
                <w:noProof/>
                <w:webHidden/>
              </w:rPr>
              <w:fldChar w:fldCharType="separate"/>
            </w:r>
            <w:r>
              <w:rPr>
                <w:noProof/>
                <w:webHidden/>
              </w:rPr>
              <w:t>5</w:t>
            </w:r>
            <w:r>
              <w:rPr>
                <w:noProof/>
                <w:webHidden/>
              </w:rPr>
              <w:fldChar w:fldCharType="end"/>
            </w:r>
          </w:hyperlink>
        </w:p>
        <w:p w:rsidR="00AC36A8" w:rsidRDefault="00AC36A8">
          <w:pPr>
            <w:pStyle w:val="TOC2"/>
            <w:tabs>
              <w:tab w:val="right" w:leader="dot" w:pos="9350"/>
            </w:tabs>
            <w:rPr>
              <w:rFonts w:eastAsiaTheme="minorEastAsia"/>
              <w:noProof/>
            </w:rPr>
          </w:pPr>
          <w:hyperlink w:anchor="_Toc73713172" w:history="1">
            <w:r w:rsidRPr="0079428F">
              <w:rPr>
                <w:rStyle w:val="Hyperlink"/>
                <w:noProof/>
              </w:rPr>
              <w:t>Rationale of the study</w:t>
            </w:r>
            <w:r>
              <w:rPr>
                <w:noProof/>
                <w:webHidden/>
              </w:rPr>
              <w:tab/>
            </w:r>
            <w:r>
              <w:rPr>
                <w:noProof/>
                <w:webHidden/>
              </w:rPr>
              <w:fldChar w:fldCharType="begin"/>
            </w:r>
            <w:r>
              <w:rPr>
                <w:noProof/>
                <w:webHidden/>
              </w:rPr>
              <w:instrText xml:space="preserve"> PAGEREF _Toc73713172 \h </w:instrText>
            </w:r>
            <w:r>
              <w:rPr>
                <w:noProof/>
                <w:webHidden/>
              </w:rPr>
            </w:r>
            <w:r>
              <w:rPr>
                <w:noProof/>
                <w:webHidden/>
              </w:rPr>
              <w:fldChar w:fldCharType="separate"/>
            </w:r>
            <w:r>
              <w:rPr>
                <w:noProof/>
                <w:webHidden/>
              </w:rPr>
              <w:t>8</w:t>
            </w:r>
            <w:r>
              <w:rPr>
                <w:noProof/>
                <w:webHidden/>
              </w:rPr>
              <w:fldChar w:fldCharType="end"/>
            </w:r>
          </w:hyperlink>
        </w:p>
        <w:p w:rsidR="00AC36A8" w:rsidRDefault="00AC36A8">
          <w:pPr>
            <w:pStyle w:val="TOC1"/>
            <w:tabs>
              <w:tab w:val="right" w:leader="dot" w:pos="9350"/>
            </w:tabs>
            <w:rPr>
              <w:rFonts w:eastAsiaTheme="minorEastAsia"/>
              <w:noProof/>
            </w:rPr>
          </w:pPr>
          <w:hyperlink w:anchor="_Toc73713173" w:history="1">
            <w:r w:rsidRPr="0079428F">
              <w:rPr>
                <w:rStyle w:val="Hyperlink"/>
                <w:noProof/>
              </w:rPr>
              <w:t>Objectives</w:t>
            </w:r>
            <w:r>
              <w:rPr>
                <w:noProof/>
                <w:webHidden/>
              </w:rPr>
              <w:tab/>
            </w:r>
            <w:r>
              <w:rPr>
                <w:noProof/>
                <w:webHidden/>
              </w:rPr>
              <w:fldChar w:fldCharType="begin"/>
            </w:r>
            <w:r>
              <w:rPr>
                <w:noProof/>
                <w:webHidden/>
              </w:rPr>
              <w:instrText xml:space="preserve"> PAGEREF _Toc73713173 \h </w:instrText>
            </w:r>
            <w:r>
              <w:rPr>
                <w:noProof/>
                <w:webHidden/>
              </w:rPr>
            </w:r>
            <w:r>
              <w:rPr>
                <w:noProof/>
                <w:webHidden/>
              </w:rPr>
              <w:fldChar w:fldCharType="separate"/>
            </w:r>
            <w:r>
              <w:rPr>
                <w:noProof/>
                <w:webHidden/>
              </w:rPr>
              <w:t>9</w:t>
            </w:r>
            <w:r>
              <w:rPr>
                <w:noProof/>
                <w:webHidden/>
              </w:rPr>
              <w:fldChar w:fldCharType="end"/>
            </w:r>
          </w:hyperlink>
        </w:p>
        <w:p w:rsidR="00AC36A8" w:rsidRDefault="00AC36A8">
          <w:pPr>
            <w:pStyle w:val="TOC2"/>
            <w:tabs>
              <w:tab w:val="right" w:leader="dot" w:pos="9350"/>
            </w:tabs>
            <w:rPr>
              <w:rFonts w:eastAsiaTheme="minorEastAsia"/>
              <w:noProof/>
            </w:rPr>
          </w:pPr>
          <w:hyperlink w:anchor="_Toc73713174" w:history="1">
            <w:r w:rsidRPr="0079428F">
              <w:rPr>
                <w:rStyle w:val="Hyperlink"/>
                <w:noProof/>
              </w:rPr>
              <w:t>General Objective</w:t>
            </w:r>
            <w:r>
              <w:rPr>
                <w:noProof/>
                <w:webHidden/>
              </w:rPr>
              <w:tab/>
            </w:r>
            <w:r>
              <w:rPr>
                <w:noProof/>
                <w:webHidden/>
              </w:rPr>
              <w:fldChar w:fldCharType="begin"/>
            </w:r>
            <w:r>
              <w:rPr>
                <w:noProof/>
                <w:webHidden/>
              </w:rPr>
              <w:instrText xml:space="preserve"> PAGEREF _Toc73713174 \h </w:instrText>
            </w:r>
            <w:r>
              <w:rPr>
                <w:noProof/>
                <w:webHidden/>
              </w:rPr>
            </w:r>
            <w:r>
              <w:rPr>
                <w:noProof/>
                <w:webHidden/>
              </w:rPr>
              <w:fldChar w:fldCharType="separate"/>
            </w:r>
            <w:r>
              <w:rPr>
                <w:noProof/>
                <w:webHidden/>
              </w:rPr>
              <w:t>9</w:t>
            </w:r>
            <w:r>
              <w:rPr>
                <w:noProof/>
                <w:webHidden/>
              </w:rPr>
              <w:fldChar w:fldCharType="end"/>
            </w:r>
          </w:hyperlink>
        </w:p>
        <w:p w:rsidR="00AC36A8" w:rsidRDefault="00AC36A8">
          <w:pPr>
            <w:pStyle w:val="TOC2"/>
            <w:tabs>
              <w:tab w:val="right" w:leader="dot" w:pos="9350"/>
            </w:tabs>
            <w:rPr>
              <w:rFonts w:eastAsiaTheme="minorEastAsia"/>
              <w:noProof/>
            </w:rPr>
          </w:pPr>
          <w:hyperlink w:anchor="_Toc73713175" w:history="1">
            <w:r w:rsidRPr="0079428F">
              <w:rPr>
                <w:rStyle w:val="Hyperlink"/>
                <w:noProof/>
              </w:rPr>
              <w:t>Specific Objectives</w:t>
            </w:r>
            <w:r>
              <w:rPr>
                <w:noProof/>
                <w:webHidden/>
              </w:rPr>
              <w:tab/>
            </w:r>
            <w:r>
              <w:rPr>
                <w:noProof/>
                <w:webHidden/>
              </w:rPr>
              <w:fldChar w:fldCharType="begin"/>
            </w:r>
            <w:r>
              <w:rPr>
                <w:noProof/>
                <w:webHidden/>
              </w:rPr>
              <w:instrText xml:space="preserve"> PAGEREF _Toc73713175 \h </w:instrText>
            </w:r>
            <w:r>
              <w:rPr>
                <w:noProof/>
                <w:webHidden/>
              </w:rPr>
            </w:r>
            <w:r>
              <w:rPr>
                <w:noProof/>
                <w:webHidden/>
              </w:rPr>
              <w:fldChar w:fldCharType="separate"/>
            </w:r>
            <w:r>
              <w:rPr>
                <w:noProof/>
                <w:webHidden/>
              </w:rPr>
              <w:t>9</w:t>
            </w:r>
            <w:r>
              <w:rPr>
                <w:noProof/>
                <w:webHidden/>
              </w:rPr>
              <w:fldChar w:fldCharType="end"/>
            </w:r>
          </w:hyperlink>
        </w:p>
        <w:p w:rsidR="00AC36A8" w:rsidRDefault="00AC36A8">
          <w:pPr>
            <w:pStyle w:val="TOC1"/>
            <w:tabs>
              <w:tab w:val="right" w:leader="dot" w:pos="9350"/>
            </w:tabs>
            <w:rPr>
              <w:rFonts w:eastAsiaTheme="minorEastAsia"/>
              <w:noProof/>
            </w:rPr>
          </w:pPr>
          <w:hyperlink w:anchor="_Toc73713176" w:history="1">
            <w:r w:rsidRPr="0079428F">
              <w:rPr>
                <w:rStyle w:val="Hyperlink"/>
                <w:noProof/>
              </w:rPr>
              <w:t>Methodology</w:t>
            </w:r>
            <w:r>
              <w:rPr>
                <w:noProof/>
                <w:webHidden/>
              </w:rPr>
              <w:tab/>
            </w:r>
            <w:r>
              <w:rPr>
                <w:noProof/>
                <w:webHidden/>
              </w:rPr>
              <w:fldChar w:fldCharType="begin"/>
            </w:r>
            <w:r>
              <w:rPr>
                <w:noProof/>
                <w:webHidden/>
              </w:rPr>
              <w:instrText xml:space="preserve"> PAGEREF _Toc73713176 \h </w:instrText>
            </w:r>
            <w:r>
              <w:rPr>
                <w:noProof/>
                <w:webHidden/>
              </w:rPr>
            </w:r>
            <w:r>
              <w:rPr>
                <w:noProof/>
                <w:webHidden/>
              </w:rPr>
              <w:fldChar w:fldCharType="separate"/>
            </w:r>
            <w:r>
              <w:rPr>
                <w:noProof/>
                <w:webHidden/>
              </w:rPr>
              <w:t>10</w:t>
            </w:r>
            <w:r>
              <w:rPr>
                <w:noProof/>
                <w:webHidden/>
              </w:rPr>
              <w:fldChar w:fldCharType="end"/>
            </w:r>
          </w:hyperlink>
        </w:p>
        <w:p w:rsidR="00AC36A8" w:rsidRDefault="00AC36A8">
          <w:pPr>
            <w:pStyle w:val="TOC2"/>
            <w:tabs>
              <w:tab w:val="right" w:leader="dot" w:pos="9350"/>
            </w:tabs>
            <w:rPr>
              <w:rFonts w:eastAsiaTheme="minorEastAsia"/>
              <w:noProof/>
            </w:rPr>
          </w:pPr>
          <w:hyperlink w:anchor="_Toc73713177" w:history="1">
            <w:r w:rsidRPr="0079428F">
              <w:rPr>
                <w:rStyle w:val="Hyperlink"/>
                <w:noProof/>
              </w:rPr>
              <w:t>Study design:</w:t>
            </w:r>
            <w:r>
              <w:rPr>
                <w:noProof/>
                <w:webHidden/>
              </w:rPr>
              <w:tab/>
            </w:r>
            <w:r>
              <w:rPr>
                <w:noProof/>
                <w:webHidden/>
              </w:rPr>
              <w:fldChar w:fldCharType="begin"/>
            </w:r>
            <w:r>
              <w:rPr>
                <w:noProof/>
                <w:webHidden/>
              </w:rPr>
              <w:instrText xml:space="preserve"> PAGEREF _Toc73713177 \h </w:instrText>
            </w:r>
            <w:r>
              <w:rPr>
                <w:noProof/>
                <w:webHidden/>
              </w:rPr>
            </w:r>
            <w:r>
              <w:rPr>
                <w:noProof/>
                <w:webHidden/>
              </w:rPr>
              <w:fldChar w:fldCharType="separate"/>
            </w:r>
            <w:r>
              <w:rPr>
                <w:noProof/>
                <w:webHidden/>
              </w:rPr>
              <w:t>10</w:t>
            </w:r>
            <w:r>
              <w:rPr>
                <w:noProof/>
                <w:webHidden/>
              </w:rPr>
              <w:fldChar w:fldCharType="end"/>
            </w:r>
          </w:hyperlink>
        </w:p>
        <w:p w:rsidR="00AC36A8" w:rsidRDefault="00AC36A8">
          <w:pPr>
            <w:pStyle w:val="TOC2"/>
            <w:tabs>
              <w:tab w:val="right" w:leader="dot" w:pos="9350"/>
            </w:tabs>
            <w:rPr>
              <w:rFonts w:eastAsiaTheme="minorEastAsia"/>
              <w:noProof/>
            </w:rPr>
          </w:pPr>
          <w:hyperlink w:anchor="_Toc73713178" w:history="1">
            <w:r w:rsidRPr="0079428F">
              <w:rPr>
                <w:rStyle w:val="Hyperlink"/>
                <w:noProof/>
              </w:rPr>
              <w:t>Study Setting:</w:t>
            </w:r>
            <w:r>
              <w:rPr>
                <w:noProof/>
                <w:webHidden/>
              </w:rPr>
              <w:tab/>
            </w:r>
            <w:r>
              <w:rPr>
                <w:noProof/>
                <w:webHidden/>
              </w:rPr>
              <w:fldChar w:fldCharType="begin"/>
            </w:r>
            <w:r>
              <w:rPr>
                <w:noProof/>
                <w:webHidden/>
              </w:rPr>
              <w:instrText xml:space="preserve"> PAGEREF _Toc73713178 \h </w:instrText>
            </w:r>
            <w:r>
              <w:rPr>
                <w:noProof/>
                <w:webHidden/>
              </w:rPr>
            </w:r>
            <w:r>
              <w:rPr>
                <w:noProof/>
                <w:webHidden/>
              </w:rPr>
              <w:fldChar w:fldCharType="separate"/>
            </w:r>
            <w:r>
              <w:rPr>
                <w:noProof/>
                <w:webHidden/>
              </w:rPr>
              <w:t>10</w:t>
            </w:r>
            <w:r>
              <w:rPr>
                <w:noProof/>
                <w:webHidden/>
              </w:rPr>
              <w:fldChar w:fldCharType="end"/>
            </w:r>
          </w:hyperlink>
        </w:p>
        <w:p w:rsidR="00AC36A8" w:rsidRDefault="00AC36A8">
          <w:pPr>
            <w:pStyle w:val="TOC2"/>
            <w:tabs>
              <w:tab w:val="right" w:leader="dot" w:pos="9350"/>
            </w:tabs>
            <w:rPr>
              <w:rFonts w:eastAsiaTheme="minorEastAsia"/>
              <w:noProof/>
            </w:rPr>
          </w:pPr>
          <w:hyperlink w:anchor="_Toc73713179" w:history="1">
            <w:r w:rsidRPr="0079428F">
              <w:rPr>
                <w:rStyle w:val="Hyperlink"/>
                <w:noProof/>
              </w:rPr>
              <w:t>Study population:</w:t>
            </w:r>
            <w:r>
              <w:rPr>
                <w:noProof/>
                <w:webHidden/>
              </w:rPr>
              <w:tab/>
            </w:r>
            <w:r>
              <w:rPr>
                <w:noProof/>
                <w:webHidden/>
              </w:rPr>
              <w:fldChar w:fldCharType="begin"/>
            </w:r>
            <w:r>
              <w:rPr>
                <w:noProof/>
                <w:webHidden/>
              </w:rPr>
              <w:instrText xml:space="preserve"> PAGEREF _Toc73713179 \h </w:instrText>
            </w:r>
            <w:r>
              <w:rPr>
                <w:noProof/>
                <w:webHidden/>
              </w:rPr>
            </w:r>
            <w:r>
              <w:rPr>
                <w:noProof/>
                <w:webHidden/>
              </w:rPr>
              <w:fldChar w:fldCharType="separate"/>
            </w:r>
            <w:r>
              <w:rPr>
                <w:noProof/>
                <w:webHidden/>
              </w:rPr>
              <w:t>10</w:t>
            </w:r>
            <w:r>
              <w:rPr>
                <w:noProof/>
                <w:webHidden/>
              </w:rPr>
              <w:fldChar w:fldCharType="end"/>
            </w:r>
          </w:hyperlink>
        </w:p>
        <w:p w:rsidR="00AC36A8" w:rsidRDefault="00AC36A8">
          <w:pPr>
            <w:pStyle w:val="TOC2"/>
            <w:tabs>
              <w:tab w:val="right" w:leader="dot" w:pos="9350"/>
            </w:tabs>
            <w:rPr>
              <w:rFonts w:eastAsiaTheme="minorEastAsia"/>
              <w:noProof/>
            </w:rPr>
          </w:pPr>
          <w:hyperlink w:anchor="_Toc73713180" w:history="1">
            <w:r w:rsidRPr="0079428F">
              <w:rPr>
                <w:rStyle w:val="Hyperlink"/>
                <w:noProof/>
              </w:rPr>
              <w:t>Source of data:</w:t>
            </w:r>
            <w:r>
              <w:rPr>
                <w:noProof/>
                <w:webHidden/>
              </w:rPr>
              <w:tab/>
            </w:r>
            <w:r>
              <w:rPr>
                <w:noProof/>
                <w:webHidden/>
              </w:rPr>
              <w:fldChar w:fldCharType="begin"/>
            </w:r>
            <w:r>
              <w:rPr>
                <w:noProof/>
                <w:webHidden/>
              </w:rPr>
              <w:instrText xml:space="preserve"> PAGEREF _Toc73713180 \h </w:instrText>
            </w:r>
            <w:r>
              <w:rPr>
                <w:noProof/>
                <w:webHidden/>
              </w:rPr>
            </w:r>
            <w:r>
              <w:rPr>
                <w:noProof/>
                <w:webHidden/>
              </w:rPr>
              <w:fldChar w:fldCharType="separate"/>
            </w:r>
            <w:r>
              <w:rPr>
                <w:noProof/>
                <w:webHidden/>
              </w:rPr>
              <w:t>10</w:t>
            </w:r>
            <w:r>
              <w:rPr>
                <w:noProof/>
                <w:webHidden/>
              </w:rPr>
              <w:fldChar w:fldCharType="end"/>
            </w:r>
          </w:hyperlink>
        </w:p>
        <w:p w:rsidR="00AC36A8" w:rsidRDefault="00AC36A8">
          <w:pPr>
            <w:pStyle w:val="TOC2"/>
            <w:tabs>
              <w:tab w:val="right" w:leader="dot" w:pos="9350"/>
            </w:tabs>
            <w:rPr>
              <w:rFonts w:eastAsiaTheme="minorEastAsia"/>
              <w:noProof/>
            </w:rPr>
          </w:pPr>
          <w:hyperlink w:anchor="_Toc73713181" w:history="1">
            <w:r w:rsidRPr="0079428F">
              <w:rPr>
                <w:rStyle w:val="Hyperlink"/>
                <w:rFonts w:eastAsia="Calibri"/>
                <w:noProof/>
              </w:rPr>
              <w:t>Data collection:</w:t>
            </w:r>
            <w:r>
              <w:rPr>
                <w:noProof/>
                <w:webHidden/>
              </w:rPr>
              <w:tab/>
            </w:r>
            <w:r>
              <w:rPr>
                <w:noProof/>
                <w:webHidden/>
              </w:rPr>
              <w:fldChar w:fldCharType="begin"/>
            </w:r>
            <w:r>
              <w:rPr>
                <w:noProof/>
                <w:webHidden/>
              </w:rPr>
              <w:instrText xml:space="preserve"> PAGEREF _Toc73713181 \h </w:instrText>
            </w:r>
            <w:r>
              <w:rPr>
                <w:noProof/>
                <w:webHidden/>
              </w:rPr>
            </w:r>
            <w:r>
              <w:rPr>
                <w:noProof/>
                <w:webHidden/>
              </w:rPr>
              <w:fldChar w:fldCharType="separate"/>
            </w:r>
            <w:r>
              <w:rPr>
                <w:noProof/>
                <w:webHidden/>
              </w:rPr>
              <w:t>11</w:t>
            </w:r>
            <w:r>
              <w:rPr>
                <w:noProof/>
                <w:webHidden/>
              </w:rPr>
              <w:fldChar w:fldCharType="end"/>
            </w:r>
          </w:hyperlink>
        </w:p>
        <w:p w:rsidR="00AC36A8" w:rsidRDefault="00AC36A8">
          <w:pPr>
            <w:pStyle w:val="TOC2"/>
            <w:tabs>
              <w:tab w:val="right" w:leader="dot" w:pos="9350"/>
            </w:tabs>
            <w:rPr>
              <w:rFonts w:eastAsiaTheme="minorEastAsia"/>
              <w:noProof/>
            </w:rPr>
          </w:pPr>
          <w:hyperlink w:anchor="_Toc73713182" w:history="1">
            <w:r w:rsidRPr="0079428F">
              <w:rPr>
                <w:rStyle w:val="Hyperlink"/>
                <w:noProof/>
              </w:rPr>
              <w:t>Data analysis:</w:t>
            </w:r>
            <w:r>
              <w:rPr>
                <w:noProof/>
                <w:webHidden/>
              </w:rPr>
              <w:tab/>
            </w:r>
            <w:r>
              <w:rPr>
                <w:noProof/>
                <w:webHidden/>
              </w:rPr>
              <w:fldChar w:fldCharType="begin"/>
            </w:r>
            <w:r>
              <w:rPr>
                <w:noProof/>
                <w:webHidden/>
              </w:rPr>
              <w:instrText xml:space="preserve"> PAGEREF _Toc73713182 \h </w:instrText>
            </w:r>
            <w:r>
              <w:rPr>
                <w:noProof/>
                <w:webHidden/>
              </w:rPr>
            </w:r>
            <w:r>
              <w:rPr>
                <w:noProof/>
                <w:webHidden/>
              </w:rPr>
              <w:fldChar w:fldCharType="separate"/>
            </w:r>
            <w:r>
              <w:rPr>
                <w:noProof/>
                <w:webHidden/>
              </w:rPr>
              <w:t>11</w:t>
            </w:r>
            <w:r>
              <w:rPr>
                <w:noProof/>
                <w:webHidden/>
              </w:rPr>
              <w:fldChar w:fldCharType="end"/>
            </w:r>
          </w:hyperlink>
        </w:p>
        <w:p w:rsidR="00AC36A8" w:rsidRDefault="00AC36A8">
          <w:pPr>
            <w:pStyle w:val="TOC2"/>
            <w:tabs>
              <w:tab w:val="right" w:leader="dot" w:pos="9350"/>
            </w:tabs>
            <w:rPr>
              <w:rFonts w:eastAsiaTheme="minorEastAsia"/>
              <w:noProof/>
            </w:rPr>
          </w:pPr>
          <w:hyperlink w:anchor="_Toc73713183" w:history="1">
            <w:r w:rsidRPr="0079428F">
              <w:rPr>
                <w:rStyle w:val="Hyperlink"/>
                <w:noProof/>
              </w:rPr>
              <w:t>Study Variables:</w:t>
            </w:r>
            <w:r>
              <w:rPr>
                <w:noProof/>
                <w:webHidden/>
              </w:rPr>
              <w:tab/>
            </w:r>
            <w:r>
              <w:rPr>
                <w:noProof/>
                <w:webHidden/>
              </w:rPr>
              <w:fldChar w:fldCharType="begin"/>
            </w:r>
            <w:r>
              <w:rPr>
                <w:noProof/>
                <w:webHidden/>
              </w:rPr>
              <w:instrText xml:space="preserve"> PAGEREF _Toc73713183 \h </w:instrText>
            </w:r>
            <w:r>
              <w:rPr>
                <w:noProof/>
                <w:webHidden/>
              </w:rPr>
            </w:r>
            <w:r>
              <w:rPr>
                <w:noProof/>
                <w:webHidden/>
              </w:rPr>
              <w:fldChar w:fldCharType="separate"/>
            </w:r>
            <w:r>
              <w:rPr>
                <w:noProof/>
                <w:webHidden/>
              </w:rPr>
              <w:t>11</w:t>
            </w:r>
            <w:r>
              <w:rPr>
                <w:noProof/>
                <w:webHidden/>
              </w:rPr>
              <w:fldChar w:fldCharType="end"/>
            </w:r>
          </w:hyperlink>
        </w:p>
        <w:p w:rsidR="00AC36A8" w:rsidRDefault="00AC36A8">
          <w:pPr>
            <w:pStyle w:val="TOC2"/>
            <w:tabs>
              <w:tab w:val="right" w:leader="dot" w:pos="9350"/>
            </w:tabs>
            <w:rPr>
              <w:rFonts w:eastAsiaTheme="minorEastAsia"/>
              <w:noProof/>
            </w:rPr>
          </w:pPr>
          <w:hyperlink w:anchor="_Toc73713184" w:history="1">
            <w:r w:rsidRPr="0079428F">
              <w:rPr>
                <w:rStyle w:val="Hyperlink"/>
                <w:noProof/>
              </w:rPr>
              <w:t>Ethical Consideration</w:t>
            </w:r>
            <w:r>
              <w:rPr>
                <w:noProof/>
                <w:webHidden/>
              </w:rPr>
              <w:tab/>
            </w:r>
            <w:r>
              <w:rPr>
                <w:noProof/>
                <w:webHidden/>
              </w:rPr>
              <w:fldChar w:fldCharType="begin"/>
            </w:r>
            <w:r>
              <w:rPr>
                <w:noProof/>
                <w:webHidden/>
              </w:rPr>
              <w:instrText xml:space="preserve"> PAGEREF _Toc73713184 \h </w:instrText>
            </w:r>
            <w:r>
              <w:rPr>
                <w:noProof/>
                <w:webHidden/>
              </w:rPr>
            </w:r>
            <w:r>
              <w:rPr>
                <w:noProof/>
                <w:webHidden/>
              </w:rPr>
              <w:fldChar w:fldCharType="separate"/>
            </w:r>
            <w:r>
              <w:rPr>
                <w:noProof/>
                <w:webHidden/>
              </w:rPr>
              <w:t>12</w:t>
            </w:r>
            <w:r>
              <w:rPr>
                <w:noProof/>
                <w:webHidden/>
              </w:rPr>
              <w:fldChar w:fldCharType="end"/>
            </w:r>
          </w:hyperlink>
        </w:p>
        <w:p w:rsidR="00AC36A8" w:rsidRDefault="00AC36A8">
          <w:pPr>
            <w:pStyle w:val="TOC2"/>
            <w:tabs>
              <w:tab w:val="right" w:leader="dot" w:pos="9350"/>
            </w:tabs>
            <w:rPr>
              <w:rFonts w:eastAsiaTheme="minorEastAsia"/>
              <w:noProof/>
            </w:rPr>
          </w:pPr>
          <w:hyperlink w:anchor="_Toc73713185" w:history="1">
            <w:r w:rsidRPr="0079428F">
              <w:rPr>
                <w:rStyle w:val="Hyperlink"/>
                <w:noProof/>
              </w:rPr>
              <w:t>Operational definitions</w:t>
            </w:r>
            <w:r>
              <w:rPr>
                <w:noProof/>
                <w:webHidden/>
              </w:rPr>
              <w:tab/>
            </w:r>
            <w:r>
              <w:rPr>
                <w:noProof/>
                <w:webHidden/>
              </w:rPr>
              <w:fldChar w:fldCharType="begin"/>
            </w:r>
            <w:r>
              <w:rPr>
                <w:noProof/>
                <w:webHidden/>
              </w:rPr>
              <w:instrText xml:space="preserve"> PAGEREF _Toc73713185 \h </w:instrText>
            </w:r>
            <w:r>
              <w:rPr>
                <w:noProof/>
                <w:webHidden/>
              </w:rPr>
            </w:r>
            <w:r>
              <w:rPr>
                <w:noProof/>
                <w:webHidden/>
              </w:rPr>
              <w:fldChar w:fldCharType="separate"/>
            </w:r>
            <w:r>
              <w:rPr>
                <w:noProof/>
                <w:webHidden/>
              </w:rPr>
              <w:t>12</w:t>
            </w:r>
            <w:r>
              <w:rPr>
                <w:noProof/>
                <w:webHidden/>
              </w:rPr>
              <w:fldChar w:fldCharType="end"/>
            </w:r>
          </w:hyperlink>
        </w:p>
        <w:p w:rsidR="00AC36A8" w:rsidRDefault="00AC36A8">
          <w:pPr>
            <w:pStyle w:val="TOC1"/>
            <w:tabs>
              <w:tab w:val="right" w:leader="dot" w:pos="9350"/>
            </w:tabs>
            <w:rPr>
              <w:rFonts w:eastAsiaTheme="minorEastAsia"/>
              <w:noProof/>
            </w:rPr>
          </w:pPr>
          <w:hyperlink w:anchor="_Toc73713186" w:history="1">
            <w:r w:rsidRPr="0079428F">
              <w:rPr>
                <w:rStyle w:val="Hyperlink"/>
                <w:noProof/>
              </w:rPr>
              <w:t>Result</w:t>
            </w:r>
            <w:r>
              <w:rPr>
                <w:noProof/>
                <w:webHidden/>
              </w:rPr>
              <w:tab/>
            </w:r>
            <w:r>
              <w:rPr>
                <w:noProof/>
                <w:webHidden/>
              </w:rPr>
              <w:fldChar w:fldCharType="begin"/>
            </w:r>
            <w:r>
              <w:rPr>
                <w:noProof/>
                <w:webHidden/>
              </w:rPr>
              <w:instrText xml:space="preserve"> PAGEREF _Toc73713186 \h </w:instrText>
            </w:r>
            <w:r>
              <w:rPr>
                <w:noProof/>
                <w:webHidden/>
              </w:rPr>
            </w:r>
            <w:r>
              <w:rPr>
                <w:noProof/>
                <w:webHidden/>
              </w:rPr>
              <w:fldChar w:fldCharType="separate"/>
            </w:r>
            <w:r>
              <w:rPr>
                <w:noProof/>
                <w:webHidden/>
              </w:rPr>
              <w:t>13</w:t>
            </w:r>
            <w:r>
              <w:rPr>
                <w:noProof/>
                <w:webHidden/>
              </w:rPr>
              <w:fldChar w:fldCharType="end"/>
            </w:r>
          </w:hyperlink>
        </w:p>
        <w:p w:rsidR="00AC36A8" w:rsidRDefault="00AC36A8">
          <w:pPr>
            <w:pStyle w:val="TOC1"/>
            <w:tabs>
              <w:tab w:val="right" w:leader="dot" w:pos="9350"/>
            </w:tabs>
            <w:rPr>
              <w:rFonts w:eastAsiaTheme="minorEastAsia"/>
              <w:noProof/>
            </w:rPr>
          </w:pPr>
          <w:hyperlink w:anchor="_Toc73713187" w:history="1">
            <w:r w:rsidRPr="0079428F">
              <w:rPr>
                <w:rStyle w:val="Hyperlink"/>
                <w:noProof/>
              </w:rPr>
              <w:t>Discussion</w:t>
            </w:r>
            <w:r>
              <w:rPr>
                <w:noProof/>
                <w:webHidden/>
              </w:rPr>
              <w:tab/>
            </w:r>
            <w:r>
              <w:rPr>
                <w:noProof/>
                <w:webHidden/>
              </w:rPr>
              <w:fldChar w:fldCharType="begin"/>
            </w:r>
            <w:r>
              <w:rPr>
                <w:noProof/>
                <w:webHidden/>
              </w:rPr>
              <w:instrText xml:space="preserve"> PAGEREF _Toc73713187 \h </w:instrText>
            </w:r>
            <w:r>
              <w:rPr>
                <w:noProof/>
                <w:webHidden/>
              </w:rPr>
            </w:r>
            <w:r>
              <w:rPr>
                <w:noProof/>
                <w:webHidden/>
              </w:rPr>
              <w:fldChar w:fldCharType="separate"/>
            </w:r>
            <w:r>
              <w:rPr>
                <w:noProof/>
                <w:webHidden/>
              </w:rPr>
              <w:t>19</w:t>
            </w:r>
            <w:r>
              <w:rPr>
                <w:noProof/>
                <w:webHidden/>
              </w:rPr>
              <w:fldChar w:fldCharType="end"/>
            </w:r>
          </w:hyperlink>
        </w:p>
        <w:p w:rsidR="00AC36A8" w:rsidRDefault="00AC36A8">
          <w:pPr>
            <w:pStyle w:val="TOC1"/>
            <w:tabs>
              <w:tab w:val="right" w:leader="dot" w:pos="9350"/>
            </w:tabs>
            <w:rPr>
              <w:rFonts w:eastAsiaTheme="minorEastAsia"/>
              <w:noProof/>
            </w:rPr>
          </w:pPr>
          <w:hyperlink w:anchor="_Toc73713188" w:history="1">
            <w:r w:rsidRPr="0079428F">
              <w:rPr>
                <w:rStyle w:val="Hyperlink"/>
                <w:noProof/>
              </w:rPr>
              <w:t>Conclusion</w:t>
            </w:r>
            <w:r>
              <w:rPr>
                <w:noProof/>
                <w:webHidden/>
              </w:rPr>
              <w:tab/>
            </w:r>
            <w:r>
              <w:rPr>
                <w:noProof/>
                <w:webHidden/>
              </w:rPr>
              <w:fldChar w:fldCharType="begin"/>
            </w:r>
            <w:r>
              <w:rPr>
                <w:noProof/>
                <w:webHidden/>
              </w:rPr>
              <w:instrText xml:space="preserve"> PAGEREF _Toc73713188 \h </w:instrText>
            </w:r>
            <w:r>
              <w:rPr>
                <w:noProof/>
                <w:webHidden/>
              </w:rPr>
            </w:r>
            <w:r>
              <w:rPr>
                <w:noProof/>
                <w:webHidden/>
              </w:rPr>
              <w:fldChar w:fldCharType="separate"/>
            </w:r>
            <w:r>
              <w:rPr>
                <w:noProof/>
                <w:webHidden/>
              </w:rPr>
              <w:t>20</w:t>
            </w:r>
            <w:r>
              <w:rPr>
                <w:noProof/>
                <w:webHidden/>
              </w:rPr>
              <w:fldChar w:fldCharType="end"/>
            </w:r>
          </w:hyperlink>
        </w:p>
        <w:p w:rsidR="00AC36A8" w:rsidRDefault="00AC36A8">
          <w:pPr>
            <w:pStyle w:val="TOC1"/>
            <w:tabs>
              <w:tab w:val="right" w:leader="dot" w:pos="9350"/>
            </w:tabs>
            <w:rPr>
              <w:rFonts w:eastAsiaTheme="minorEastAsia"/>
              <w:noProof/>
            </w:rPr>
          </w:pPr>
          <w:hyperlink w:anchor="_Toc73713189" w:history="1">
            <w:r w:rsidRPr="0079428F">
              <w:rPr>
                <w:rStyle w:val="Hyperlink"/>
                <w:noProof/>
              </w:rPr>
              <w:t>Dissemination and utilization of results</w:t>
            </w:r>
            <w:r>
              <w:rPr>
                <w:noProof/>
                <w:webHidden/>
              </w:rPr>
              <w:tab/>
            </w:r>
            <w:r>
              <w:rPr>
                <w:noProof/>
                <w:webHidden/>
              </w:rPr>
              <w:fldChar w:fldCharType="begin"/>
            </w:r>
            <w:r>
              <w:rPr>
                <w:noProof/>
                <w:webHidden/>
              </w:rPr>
              <w:instrText xml:space="preserve"> PAGEREF _Toc73713189 \h </w:instrText>
            </w:r>
            <w:r>
              <w:rPr>
                <w:noProof/>
                <w:webHidden/>
              </w:rPr>
            </w:r>
            <w:r>
              <w:rPr>
                <w:noProof/>
                <w:webHidden/>
              </w:rPr>
              <w:fldChar w:fldCharType="separate"/>
            </w:r>
            <w:r>
              <w:rPr>
                <w:noProof/>
                <w:webHidden/>
              </w:rPr>
              <w:t>21</w:t>
            </w:r>
            <w:r>
              <w:rPr>
                <w:noProof/>
                <w:webHidden/>
              </w:rPr>
              <w:fldChar w:fldCharType="end"/>
            </w:r>
          </w:hyperlink>
        </w:p>
        <w:p w:rsidR="00AC36A8" w:rsidRDefault="00AC36A8">
          <w:pPr>
            <w:pStyle w:val="TOC1"/>
            <w:tabs>
              <w:tab w:val="right" w:leader="dot" w:pos="9350"/>
            </w:tabs>
            <w:rPr>
              <w:rFonts w:eastAsiaTheme="minorEastAsia"/>
              <w:noProof/>
            </w:rPr>
          </w:pPr>
          <w:hyperlink w:anchor="_Toc73713190" w:history="1">
            <w:r w:rsidRPr="0079428F">
              <w:rPr>
                <w:rStyle w:val="Hyperlink"/>
                <w:noProof/>
              </w:rPr>
              <w:t>References</w:t>
            </w:r>
            <w:r>
              <w:rPr>
                <w:noProof/>
                <w:webHidden/>
              </w:rPr>
              <w:tab/>
            </w:r>
            <w:r>
              <w:rPr>
                <w:noProof/>
                <w:webHidden/>
              </w:rPr>
              <w:fldChar w:fldCharType="begin"/>
            </w:r>
            <w:r>
              <w:rPr>
                <w:noProof/>
                <w:webHidden/>
              </w:rPr>
              <w:instrText xml:space="preserve"> PAGEREF _Toc73713190 \h </w:instrText>
            </w:r>
            <w:r>
              <w:rPr>
                <w:noProof/>
                <w:webHidden/>
              </w:rPr>
            </w:r>
            <w:r>
              <w:rPr>
                <w:noProof/>
                <w:webHidden/>
              </w:rPr>
              <w:fldChar w:fldCharType="separate"/>
            </w:r>
            <w:r>
              <w:rPr>
                <w:noProof/>
                <w:webHidden/>
              </w:rPr>
              <w:t>22</w:t>
            </w:r>
            <w:r>
              <w:rPr>
                <w:noProof/>
                <w:webHidden/>
              </w:rPr>
              <w:fldChar w:fldCharType="end"/>
            </w:r>
          </w:hyperlink>
        </w:p>
        <w:p w:rsidR="00AC36A8" w:rsidRDefault="00AC36A8">
          <w:pPr>
            <w:pStyle w:val="TOC1"/>
            <w:tabs>
              <w:tab w:val="right" w:leader="dot" w:pos="9350"/>
            </w:tabs>
            <w:rPr>
              <w:rFonts w:eastAsiaTheme="minorEastAsia"/>
              <w:noProof/>
            </w:rPr>
          </w:pPr>
          <w:hyperlink w:anchor="_Toc73713191" w:history="1">
            <w:r w:rsidRPr="0079428F">
              <w:rPr>
                <w:rStyle w:val="Hyperlink"/>
                <w:noProof/>
              </w:rPr>
              <w:t>Annex</w:t>
            </w:r>
            <w:r>
              <w:rPr>
                <w:noProof/>
                <w:webHidden/>
              </w:rPr>
              <w:tab/>
            </w:r>
            <w:r>
              <w:rPr>
                <w:noProof/>
                <w:webHidden/>
              </w:rPr>
              <w:fldChar w:fldCharType="begin"/>
            </w:r>
            <w:r>
              <w:rPr>
                <w:noProof/>
                <w:webHidden/>
              </w:rPr>
              <w:instrText xml:space="preserve"> PAGEREF _Toc73713191 \h </w:instrText>
            </w:r>
            <w:r>
              <w:rPr>
                <w:noProof/>
                <w:webHidden/>
              </w:rPr>
            </w:r>
            <w:r>
              <w:rPr>
                <w:noProof/>
                <w:webHidden/>
              </w:rPr>
              <w:fldChar w:fldCharType="separate"/>
            </w:r>
            <w:r>
              <w:rPr>
                <w:noProof/>
                <w:webHidden/>
              </w:rPr>
              <w:t>25</w:t>
            </w:r>
            <w:r>
              <w:rPr>
                <w:noProof/>
                <w:webHidden/>
              </w:rPr>
              <w:fldChar w:fldCharType="end"/>
            </w:r>
          </w:hyperlink>
        </w:p>
        <w:p w:rsidR="00364967" w:rsidRDefault="006331EC" w:rsidP="002F4AB7">
          <w:pPr>
            <w:jc w:val="both"/>
          </w:pPr>
          <w:r>
            <w:fldChar w:fldCharType="end"/>
          </w:r>
        </w:p>
      </w:sdtContent>
    </w:sdt>
    <w:p w:rsidR="00364967" w:rsidRDefault="00364967" w:rsidP="002F4AB7">
      <w:pPr>
        <w:jc w:val="both"/>
        <w:rPr>
          <w:b/>
          <w:sz w:val="28"/>
          <w:szCs w:val="28"/>
        </w:rPr>
      </w:pPr>
    </w:p>
    <w:p w:rsidR="00364967" w:rsidRDefault="00364967" w:rsidP="002F4AB7">
      <w:pPr>
        <w:jc w:val="both"/>
        <w:rPr>
          <w:b/>
          <w:sz w:val="28"/>
          <w:szCs w:val="28"/>
        </w:rPr>
      </w:pPr>
      <w:r>
        <w:rPr>
          <w:b/>
          <w:sz w:val="28"/>
          <w:szCs w:val="28"/>
        </w:rPr>
        <w:br w:type="page"/>
      </w:r>
    </w:p>
    <w:p w:rsidR="0039175B" w:rsidRPr="004A4932" w:rsidRDefault="0039175B" w:rsidP="002F4AB7">
      <w:pPr>
        <w:pStyle w:val="Heading1"/>
        <w:jc w:val="both"/>
        <w:rPr>
          <w:rFonts w:eastAsia="Calibri"/>
        </w:rPr>
      </w:pPr>
      <w:bookmarkStart w:id="0" w:name="_Toc73713168"/>
      <w:r w:rsidRPr="004A4932">
        <w:rPr>
          <w:rFonts w:eastAsia="Calibri"/>
        </w:rPr>
        <w:lastRenderedPageBreak/>
        <w:t>Abstract:</w:t>
      </w:r>
      <w:bookmarkEnd w:id="0"/>
      <w:r w:rsidRPr="004A4932">
        <w:rPr>
          <w:rFonts w:eastAsia="Calibri"/>
        </w:rPr>
        <w:tab/>
      </w:r>
    </w:p>
    <w:p w:rsidR="0039175B" w:rsidRDefault="0039175B" w:rsidP="002F4AB7">
      <w:pPr>
        <w:spacing w:after="0" w:line="240" w:lineRule="auto"/>
        <w:jc w:val="both"/>
        <w:rPr>
          <w:rFonts w:ascii="Calibri" w:eastAsia="Calibri" w:hAnsi="Calibri" w:cs="Calibri"/>
          <w:sz w:val="24"/>
        </w:rPr>
      </w:pPr>
      <w:r>
        <w:rPr>
          <w:rFonts w:ascii="Calibri" w:eastAsia="Calibri" w:hAnsi="Calibri" w:cs="Calibri"/>
          <w:b/>
          <w:sz w:val="24"/>
        </w:rPr>
        <w:t>Introduction:</w:t>
      </w:r>
      <w:r w:rsidR="00B42BE7" w:rsidRPr="00B42BE7">
        <w:rPr>
          <w:rFonts w:cstheme="minorHAnsi"/>
          <w:sz w:val="24"/>
          <w:szCs w:val="24"/>
        </w:rPr>
        <w:t xml:space="preserve"> </w:t>
      </w:r>
      <w:r w:rsidR="00B42BE7" w:rsidRPr="009176BD">
        <w:rPr>
          <w:rFonts w:cstheme="minorHAnsi"/>
          <w:sz w:val="24"/>
          <w:szCs w:val="24"/>
        </w:rPr>
        <w:t xml:space="preserve">Peritonitis </w:t>
      </w:r>
      <w:r w:rsidR="00B42BE7">
        <w:rPr>
          <w:rFonts w:cstheme="minorHAnsi"/>
          <w:sz w:val="24"/>
          <w:szCs w:val="24"/>
        </w:rPr>
        <w:t xml:space="preserve">is </w:t>
      </w:r>
      <w:r w:rsidR="00B42BE7" w:rsidRPr="009176BD">
        <w:rPr>
          <w:rFonts w:cstheme="minorHAnsi"/>
          <w:sz w:val="24"/>
          <w:szCs w:val="24"/>
        </w:rPr>
        <w:t>one of the commonest causes of acute abdomen</w:t>
      </w:r>
      <w:r w:rsidR="00B42BE7" w:rsidRPr="00476D04">
        <w:rPr>
          <w:rFonts w:cstheme="minorHAnsi"/>
          <w:sz w:val="24"/>
          <w:szCs w:val="24"/>
        </w:rPr>
        <w:t xml:space="preserve"> </w:t>
      </w:r>
      <w:r w:rsidR="00B42BE7">
        <w:rPr>
          <w:rFonts w:cstheme="minorHAnsi"/>
          <w:sz w:val="24"/>
          <w:szCs w:val="24"/>
        </w:rPr>
        <w:t>in Ethiopia</w:t>
      </w:r>
      <w:r w:rsidR="00B42BE7" w:rsidRPr="009176BD">
        <w:rPr>
          <w:rFonts w:cstheme="minorHAnsi"/>
          <w:sz w:val="24"/>
          <w:szCs w:val="24"/>
        </w:rPr>
        <w:t xml:space="preserve"> with a high mortality</w:t>
      </w:r>
      <w:r w:rsidR="00B42BE7">
        <w:rPr>
          <w:rFonts w:cstheme="minorHAnsi"/>
          <w:sz w:val="24"/>
          <w:szCs w:val="24"/>
        </w:rPr>
        <w:t xml:space="preserve"> and morbidity. One of the causes of high morbidity and mortality is persistent intraabdominal infection. Persistent intraabdominal infection is usually managed by relaparotomy in our setup. The two essential approaches for managing post op collection are </w:t>
      </w:r>
      <w:r w:rsidR="00B42BE7" w:rsidRPr="009176BD">
        <w:rPr>
          <w:rFonts w:cstheme="minorHAnsi"/>
          <w:sz w:val="24"/>
          <w:szCs w:val="24"/>
        </w:rPr>
        <w:t>RL on</w:t>
      </w:r>
      <w:r w:rsidR="00B42BE7">
        <w:rPr>
          <w:rFonts w:eastAsia="MS Gothic" w:hAnsi="Calibri" w:cstheme="minorHAnsi"/>
          <w:sz w:val="24"/>
          <w:szCs w:val="24"/>
        </w:rPr>
        <w:t>-</w:t>
      </w:r>
      <w:r w:rsidR="00B42BE7" w:rsidRPr="009176BD">
        <w:rPr>
          <w:rFonts w:cstheme="minorHAnsi"/>
          <w:sz w:val="24"/>
          <w:szCs w:val="24"/>
        </w:rPr>
        <w:t>demand (“wa</w:t>
      </w:r>
      <w:r w:rsidR="00B42BE7">
        <w:rPr>
          <w:rFonts w:cstheme="minorHAnsi"/>
          <w:sz w:val="24"/>
          <w:szCs w:val="24"/>
        </w:rPr>
        <w:t>it and see” approach) and planned RL</w:t>
      </w:r>
      <w:r w:rsidR="00B42BE7" w:rsidRPr="009176BD">
        <w:rPr>
          <w:rFonts w:cstheme="minorHAnsi"/>
          <w:sz w:val="24"/>
          <w:szCs w:val="24"/>
        </w:rPr>
        <w:t xml:space="preserve">. </w:t>
      </w:r>
      <w:r w:rsidR="00B42BE7">
        <w:rPr>
          <w:rFonts w:cstheme="minorHAnsi"/>
          <w:sz w:val="24"/>
          <w:szCs w:val="24"/>
        </w:rPr>
        <w:t>Despite multiple studies, both have comparative mortality. These makes management of persistent intraabdominal infection challenging. T</w:t>
      </w:r>
      <w:r w:rsidR="00B42BE7" w:rsidRPr="00E6784E">
        <w:rPr>
          <w:rFonts w:cstheme="minorHAnsi"/>
          <w:sz w:val="24"/>
          <w:szCs w:val="24"/>
        </w:rPr>
        <w:t xml:space="preserve">his study aimed to identify </w:t>
      </w:r>
      <w:r w:rsidR="00B42BE7">
        <w:rPr>
          <w:rFonts w:cstheme="minorHAnsi"/>
          <w:sz w:val="24"/>
          <w:szCs w:val="24"/>
        </w:rPr>
        <w:t>Preoperative and intra operative clinical variables that are predictive of persistent intraabdominal infection.</w:t>
      </w:r>
      <w:r>
        <w:rPr>
          <w:rFonts w:cstheme="minorHAnsi"/>
          <w:sz w:val="24"/>
          <w:szCs w:val="24"/>
        </w:rPr>
        <w:t>.</w:t>
      </w:r>
    </w:p>
    <w:p w:rsidR="0039175B" w:rsidRDefault="0039175B" w:rsidP="002F4AB7">
      <w:pPr>
        <w:spacing w:after="0" w:line="240" w:lineRule="auto"/>
        <w:jc w:val="both"/>
        <w:rPr>
          <w:rFonts w:ascii="Calibri" w:eastAsia="Calibri" w:hAnsi="Calibri" w:cs="Calibri"/>
          <w:b/>
          <w:sz w:val="24"/>
        </w:rPr>
      </w:pPr>
    </w:p>
    <w:p w:rsidR="0039175B" w:rsidRDefault="0039175B" w:rsidP="002F4AB7">
      <w:pPr>
        <w:spacing w:after="0" w:line="240" w:lineRule="auto"/>
        <w:jc w:val="both"/>
        <w:rPr>
          <w:rFonts w:ascii="Calibri" w:eastAsia="Calibri" w:hAnsi="Calibri" w:cs="Calibri"/>
          <w:sz w:val="24"/>
        </w:rPr>
      </w:pPr>
      <w:r>
        <w:rPr>
          <w:rFonts w:ascii="Calibri" w:eastAsia="Calibri" w:hAnsi="Calibri" w:cs="Calibri"/>
          <w:b/>
          <w:sz w:val="24"/>
        </w:rPr>
        <w:t xml:space="preserve">Objectives: </w:t>
      </w:r>
      <w:r>
        <w:rPr>
          <w:rFonts w:ascii="Calibri" w:eastAsia="Calibri" w:hAnsi="Calibri" w:cs="Calibri"/>
          <w:sz w:val="24"/>
        </w:rPr>
        <w:t xml:space="preserve">The aim of this study is to identify </w:t>
      </w:r>
      <w:r w:rsidRPr="004C5FF0">
        <w:rPr>
          <w:rFonts w:ascii="Calibri" w:eastAsia="Calibri" w:hAnsi="Calibri" w:cs="Calibri"/>
          <w:sz w:val="24"/>
        </w:rPr>
        <w:t>preoperative and intraoperative clinic</w:t>
      </w:r>
      <w:r>
        <w:rPr>
          <w:rFonts w:ascii="Calibri" w:eastAsia="Calibri" w:hAnsi="Calibri" w:cs="Calibri"/>
          <w:sz w:val="24"/>
        </w:rPr>
        <w:t xml:space="preserve">al factors that may predict the </w:t>
      </w:r>
      <w:r w:rsidRPr="004C5FF0">
        <w:rPr>
          <w:rFonts w:ascii="Calibri" w:eastAsia="Calibri" w:hAnsi="Calibri" w:cs="Calibri"/>
          <w:sz w:val="24"/>
        </w:rPr>
        <w:t>need fo</w:t>
      </w:r>
      <w:r>
        <w:rPr>
          <w:rFonts w:ascii="Calibri" w:eastAsia="Calibri" w:hAnsi="Calibri" w:cs="Calibri"/>
          <w:sz w:val="24"/>
        </w:rPr>
        <w:t>r relaparotomy</w:t>
      </w:r>
      <w:r w:rsidRPr="004C5FF0">
        <w:rPr>
          <w:rFonts w:ascii="Calibri" w:eastAsia="Calibri" w:hAnsi="Calibri" w:cs="Calibri"/>
          <w:sz w:val="24"/>
        </w:rPr>
        <w:t xml:space="preserve"> </w:t>
      </w:r>
      <w:r>
        <w:rPr>
          <w:rFonts w:ascii="Calibri" w:eastAsia="Calibri" w:hAnsi="Calibri" w:cs="Calibri"/>
          <w:sz w:val="24"/>
        </w:rPr>
        <w:t xml:space="preserve">in patients with </w:t>
      </w:r>
      <w:r w:rsidRPr="004C5FF0">
        <w:rPr>
          <w:rFonts w:ascii="Calibri" w:eastAsia="Calibri" w:hAnsi="Calibri" w:cs="Calibri"/>
          <w:sz w:val="24"/>
        </w:rPr>
        <w:t>complex intra-abdominal sepsis</w:t>
      </w:r>
      <w:r>
        <w:rPr>
          <w:rFonts w:ascii="Calibri" w:eastAsia="Calibri" w:hAnsi="Calibri" w:cs="Calibri"/>
          <w:sz w:val="24"/>
        </w:rPr>
        <w:t>, in order to assist clinicians to decide timely intervention.</w:t>
      </w:r>
    </w:p>
    <w:p w:rsidR="0039175B" w:rsidRDefault="0039175B" w:rsidP="002F4AB7">
      <w:pPr>
        <w:spacing w:after="0" w:line="240" w:lineRule="auto"/>
        <w:jc w:val="both"/>
        <w:rPr>
          <w:rFonts w:ascii="Calibri" w:eastAsia="Calibri" w:hAnsi="Calibri" w:cs="Calibri"/>
          <w:sz w:val="24"/>
        </w:rPr>
      </w:pPr>
    </w:p>
    <w:p w:rsidR="00B42BE7" w:rsidRDefault="0039175B" w:rsidP="002F4AB7">
      <w:pPr>
        <w:jc w:val="both"/>
        <w:rPr>
          <w:rFonts w:cstheme="minorHAnsi"/>
          <w:sz w:val="24"/>
          <w:szCs w:val="24"/>
        </w:rPr>
      </w:pPr>
      <w:r>
        <w:rPr>
          <w:rFonts w:ascii="Calibri" w:eastAsia="Calibri" w:hAnsi="Calibri" w:cs="Calibri"/>
          <w:b/>
          <w:sz w:val="24"/>
        </w:rPr>
        <w:t>Methods</w:t>
      </w:r>
      <w:r>
        <w:rPr>
          <w:rFonts w:ascii="Calibri" w:eastAsia="Calibri" w:hAnsi="Calibri" w:cs="Calibri"/>
          <w:sz w:val="24"/>
        </w:rPr>
        <w:t xml:space="preserve">: </w:t>
      </w:r>
      <w:r w:rsidR="00B42BE7">
        <w:rPr>
          <w:rFonts w:ascii="Calibri" w:eastAsia="Calibri" w:hAnsi="Calibri" w:cs="Calibri"/>
          <w:sz w:val="24"/>
        </w:rPr>
        <w:t xml:space="preserve"> </w:t>
      </w:r>
      <w:r w:rsidR="00B42BE7" w:rsidRPr="004B5B60">
        <w:rPr>
          <w:rFonts w:ascii="Calibri" w:eastAsia="Calibri" w:hAnsi="Calibri" w:cs="Calibri"/>
          <w:sz w:val="24"/>
        </w:rPr>
        <w:t xml:space="preserve">A retrospective </w:t>
      </w:r>
      <w:r w:rsidR="00B42BE7">
        <w:rPr>
          <w:rFonts w:cstheme="minorHAnsi"/>
          <w:sz w:val="24"/>
          <w:szCs w:val="24"/>
        </w:rPr>
        <w:t>cross-sectional</w:t>
      </w:r>
      <w:r w:rsidR="00B42BE7" w:rsidRPr="004B5B60">
        <w:rPr>
          <w:rFonts w:ascii="Calibri" w:eastAsia="Calibri" w:hAnsi="Calibri" w:cs="Calibri"/>
          <w:sz w:val="24"/>
        </w:rPr>
        <w:t xml:space="preserve"> </w:t>
      </w:r>
      <w:r w:rsidR="00B42BE7">
        <w:rPr>
          <w:rFonts w:ascii="Calibri" w:eastAsia="Calibri" w:hAnsi="Calibri" w:cs="Calibri"/>
          <w:sz w:val="24"/>
        </w:rPr>
        <w:t xml:space="preserve">study was </w:t>
      </w:r>
      <w:r w:rsidR="00B42BE7" w:rsidRPr="009176BD">
        <w:rPr>
          <w:rFonts w:cstheme="minorHAnsi"/>
          <w:sz w:val="24"/>
          <w:szCs w:val="24"/>
        </w:rPr>
        <w:t>conducted</w:t>
      </w:r>
      <w:r w:rsidR="00B42BE7">
        <w:rPr>
          <w:rFonts w:cstheme="minorHAnsi"/>
          <w:sz w:val="24"/>
          <w:szCs w:val="24"/>
        </w:rPr>
        <w:t xml:space="preserve"> on 172 cases of p</w:t>
      </w:r>
      <w:r w:rsidR="00696D6A">
        <w:rPr>
          <w:rFonts w:cstheme="minorHAnsi"/>
          <w:sz w:val="24"/>
          <w:szCs w:val="24"/>
        </w:rPr>
        <w:t>atients who were operated from Sept, 2018 to April</w:t>
      </w:r>
      <w:r w:rsidR="00B42BE7">
        <w:rPr>
          <w:rFonts w:cstheme="minorHAnsi"/>
          <w:sz w:val="24"/>
          <w:szCs w:val="24"/>
        </w:rPr>
        <w:t>, 2020</w:t>
      </w:r>
      <w:r w:rsidR="00B42BE7" w:rsidRPr="009176BD">
        <w:rPr>
          <w:rFonts w:cstheme="minorHAnsi"/>
          <w:b/>
          <w:sz w:val="24"/>
          <w:szCs w:val="24"/>
        </w:rPr>
        <w:t xml:space="preserve"> </w:t>
      </w:r>
      <w:r w:rsidR="00B42BE7">
        <w:rPr>
          <w:rFonts w:cstheme="minorHAnsi"/>
          <w:sz w:val="24"/>
          <w:szCs w:val="24"/>
        </w:rPr>
        <w:t>at two</w:t>
      </w:r>
      <w:r w:rsidR="00B42BE7" w:rsidRPr="009176BD">
        <w:rPr>
          <w:rFonts w:cstheme="minorHAnsi"/>
          <w:sz w:val="24"/>
          <w:szCs w:val="24"/>
        </w:rPr>
        <w:t xml:space="preserve"> affiliated referral hospital of AAU, c</w:t>
      </w:r>
      <w:r w:rsidR="00B42BE7">
        <w:rPr>
          <w:rFonts w:cstheme="minorHAnsi"/>
          <w:sz w:val="24"/>
          <w:szCs w:val="24"/>
        </w:rPr>
        <w:t xml:space="preserve">ollage of Medicine, Addis Ababa; </w:t>
      </w:r>
      <w:r w:rsidR="00B42BE7" w:rsidRPr="009176BD">
        <w:rPr>
          <w:rFonts w:cstheme="minorHAnsi"/>
          <w:sz w:val="24"/>
          <w:szCs w:val="24"/>
        </w:rPr>
        <w:t xml:space="preserve"> Yekatit 12 referral hospital</w:t>
      </w:r>
      <w:r w:rsidR="00B42BE7">
        <w:rPr>
          <w:rFonts w:cstheme="minorHAnsi"/>
          <w:sz w:val="24"/>
          <w:szCs w:val="24"/>
        </w:rPr>
        <w:t xml:space="preserve"> and </w:t>
      </w:r>
      <w:r w:rsidR="00B42BE7" w:rsidRPr="009176BD">
        <w:rPr>
          <w:rFonts w:cstheme="minorHAnsi"/>
          <w:sz w:val="24"/>
          <w:szCs w:val="24"/>
        </w:rPr>
        <w:t>Minilik II referral Hospital.</w:t>
      </w:r>
      <w:r w:rsidR="00B42BE7" w:rsidRPr="004B5B60">
        <w:t xml:space="preserve"> </w:t>
      </w:r>
      <w:r w:rsidR="00B42BE7" w:rsidRPr="00567D3A">
        <w:rPr>
          <w:sz w:val="24"/>
          <w:szCs w:val="24"/>
        </w:rPr>
        <w:t>All of patients were cases of secondary peritonitis.</w:t>
      </w:r>
      <w:r w:rsidR="00B42BE7">
        <w:rPr>
          <w:sz w:val="24"/>
          <w:szCs w:val="24"/>
        </w:rPr>
        <w:t xml:space="preserve"> Clinical progress of the patients</w:t>
      </w:r>
      <w:r w:rsidR="00B42BE7">
        <w:rPr>
          <w:rFonts w:cstheme="minorHAnsi"/>
          <w:sz w:val="24"/>
          <w:szCs w:val="24"/>
        </w:rPr>
        <w:t xml:space="preserve"> from admission to discharge/death was documented. More than 20 preoperatve and intraoperative variables were analyzed to identify predictive model using logistic regression analysis.</w:t>
      </w:r>
    </w:p>
    <w:p w:rsidR="00B42BE7" w:rsidRDefault="00B42BE7" w:rsidP="002F4AB7">
      <w:pPr>
        <w:jc w:val="both"/>
        <w:rPr>
          <w:rFonts w:cstheme="minorHAnsi"/>
          <w:sz w:val="24"/>
          <w:szCs w:val="24"/>
        </w:rPr>
      </w:pPr>
      <w:r w:rsidRPr="00B42BE7">
        <w:rPr>
          <w:rFonts w:cstheme="minorHAnsi"/>
          <w:b/>
          <w:sz w:val="24"/>
          <w:szCs w:val="24"/>
        </w:rPr>
        <w:t>Result</w:t>
      </w:r>
      <w:r>
        <w:rPr>
          <w:rFonts w:cstheme="minorHAnsi"/>
          <w:b/>
          <w:sz w:val="24"/>
          <w:szCs w:val="24"/>
        </w:rPr>
        <w:t>s</w:t>
      </w:r>
      <w:r>
        <w:rPr>
          <w:rFonts w:cstheme="minorHAnsi"/>
          <w:sz w:val="24"/>
          <w:szCs w:val="24"/>
        </w:rPr>
        <w:t xml:space="preserve">:  </w:t>
      </w:r>
      <w:r w:rsidRPr="005923A7">
        <w:rPr>
          <w:sz w:val="24"/>
          <w:szCs w:val="24"/>
        </w:rPr>
        <w:t>Out of 172 patients with peritonitis</w:t>
      </w:r>
      <w:r>
        <w:rPr>
          <w:sz w:val="24"/>
          <w:szCs w:val="24"/>
        </w:rPr>
        <w:t xml:space="preserve"> included in this study</w:t>
      </w:r>
      <w:r w:rsidRPr="005923A7">
        <w:rPr>
          <w:sz w:val="24"/>
          <w:szCs w:val="24"/>
        </w:rPr>
        <w:t xml:space="preserve">, </w:t>
      </w:r>
      <w:r w:rsidRPr="005923A7">
        <w:rPr>
          <w:rFonts w:cstheme="minorHAnsi"/>
          <w:sz w:val="24"/>
          <w:szCs w:val="24"/>
        </w:rPr>
        <w:t>70.9</w:t>
      </w:r>
      <w:r>
        <w:rPr>
          <w:rFonts w:cstheme="minorHAnsi"/>
          <w:sz w:val="24"/>
          <w:szCs w:val="24"/>
        </w:rPr>
        <w:t xml:space="preserve">% </w:t>
      </w:r>
      <w:r w:rsidRPr="005923A7">
        <w:rPr>
          <w:rFonts w:cstheme="minorHAnsi"/>
          <w:sz w:val="24"/>
          <w:szCs w:val="24"/>
        </w:rPr>
        <w:t>were males</w:t>
      </w:r>
      <w:r>
        <w:rPr>
          <w:rFonts w:cstheme="minorHAnsi"/>
          <w:sz w:val="24"/>
          <w:szCs w:val="24"/>
        </w:rPr>
        <w:t>.</w:t>
      </w:r>
      <w:r w:rsidRPr="00B45CD0">
        <w:rPr>
          <w:rFonts w:cstheme="minorHAnsi"/>
          <w:sz w:val="24"/>
          <w:szCs w:val="24"/>
        </w:rPr>
        <w:t xml:space="preserve"> </w:t>
      </w:r>
      <w:r>
        <w:rPr>
          <w:rFonts w:cstheme="minorHAnsi"/>
          <w:sz w:val="24"/>
          <w:szCs w:val="24"/>
        </w:rPr>
        <w:t>The Median age group of patients was 25 yrs.</w:t>
      </w:r>
      <w:r w:rsidRPr="00B45CD0">
        <w:rPr>
          <w:rFonts w:cstheme="minorHAnsi"/>
          <w:sz w:val="24"/>
          <w:szCs w:val="24"/>
        </w:rPr>
        <w:t xml:space="preserve"> </w:t>
      </w:r>
      <w:r>
        <w:rPr>
          <w:rFonts w:cstheme="minorHAnsi"/>
          <w:sz w:val="24"/>
          <w:szCs w:val="24"/>
        </w:rPr>
        <w:t>82% of patients were referred from Addis Ababa (within the city).</w:t>
      </w:r>
      <w:r w:rsidRPr="00B45CD0">
        <w:rPr>
          <w:rFonts w:cstheme="minorHAnsi"/>
          <w:sz w:val="24"/>
          <w:szCs w:val="24"/>
        </w:rPr>
        <w:t xml:space="preserve"> </w:t>
      </w:r>
      <w:r>
        <w:rPr>
          <w:rFonts w:cstheme="minorHAnsi"/>
          <w:sz w:val="24"/>
          <w:szCs w:val="24"/>
        </w:rPr>
        <w:t xml:space="preserve">The median </w:t>
      </w:r>
      <w:r w:rsidRPr="006B165C">
        <w:rPr>
          <w:rFonts w:cstheme="minorHAnsi"/>
          <w:sz w:val="24"/>
          <w:szCs w:val="24"/>
        </w:rPr>
        <w:t>length of time from</w:t>
      </w:r>
      <w:r>
        <w:rPr>
          <w:rFonts w:cstheme="minorHAnsi"/>
          <w:sz w:val="24"/>
          <w:szCs w:val="24"/>
        </w:rPr>
        <w:t xml:space="preserve"> </w:t>
      </w:r>
      <w:r w:rsidRPr="006B165C">
        <w:rPr>
          <w:rFonts w:cstheme="minorHAnsi"/>
          <w:sz w:val="24"/>
          <w:szCs w:val="24"/>
        </w:rPr>
        <w:t>the onset of sympto</w:t>
      </w:r>
      <w:r>
        <w:rPr>
          <w:rFonts w:cstheme="minorHAnsi"/>
          <w:sz w:val="24"/>
          <w:szCs w:val="24"/>
        </w:rPr>
        <w:t>ms to seeking medical care was 3</w:t>
      </w:r>
      <w:r w:rsidRPr="006B165C">
        <w:rPr>
          <w:rFonts w:cstheme="minorHAnsi"/>
          <w:sz w:val="24"/>
          <w:szCs w:val="24"/>
        </w:rPr>
        <w:t xml:space="preserve"> days.</w:t>
      </w:r>
      <w:r w:rsidRPr="00B45CD0">
        <w:rPr>
          <w:rFonts w:cstheme="minorHAnsi"/>
          <w:sz w:val="24"/>
          <w:szCs w:val="24"/>
        </w:rPr>
        <w:t xml:space="preserve"> </w:t>
      </w:r>
      <w:r>
        <w:rPr>
          <w:rFonts w:cstheme="minorHAnsi"/>
          <w:sz w:val="24"/>
          <w:szCs w:val="24"/>
        </w:rPr>
        <w:t>T</w:t>
      </w:r>
      <w:r w:rsidRPr="006B165C">
        <w:rPr>
          <w:rFonts w:cstheme="minorHAnsi"/>
          <w:sz w:val="24"/>
          <w:szCs w:val="24"/>
        </w:rPr>
        <w:t>he most common cause of secondary</w:t>
      </w:r>
      <w:r>
        <w:rPr>
          <w:rFonts w:cstheme="minorHAnsi"/>
          <w:sz w:val="24"/>
          <w:szCs w:val="24"/>
        </w:rPr>
        <w:t xml:space="preserve"> </w:t>
      </w:r>
      <w:r w:rsidRPr="006B165C">
        <w:rPr>
          <w:rFonts w:cstheme="minorHAnsi"/>
          <w:sz w:val="24"/>
          <w:szCs w:val="24"/>
        </w:rPr>
        <w:t xml:space="preserve">peritonitis was </w:t>
      </w:r>
      <w:r>
        <w:rPr>
          <w:rFonts w:cstheme="minorHAnsi"/>
          <w:sz w:val="24"/>
          <w:szCs w:val="24"/>
        </w:rPr>
        <w:t>complicated appendicitis (52.9%), followed by perforated PUD (33.1</w:t>
      </w:r>
      <w:r w:rsidR="002D41C5">
        <w:rPr>
          <w:rFonts w:cstheme="minorHAnsi"/>
          <w:sz w:val="24"/>
          <w:szCs w:val="24"/>
        </w:rPr>
        <w:t>%)</w:t>
      </w:r>
      <w:r>
        <w:rPr>
          <w:rFonts w:cstheme="minorHAnsi"/>
          <w:sz w:val="24"/>
          <w:szCs w:val="24"/>
        </w:rPr>
        <w:t>.</w:t>
      </w:r>
      <w:r w:rsidRPr="00B45CD0">
        <w:rPr>
          <w:rFonts w:cstheme="minorHAnsi"/>
          <w:sz w:val="24"/>
          <w:szCs w:val="24"/>
        </w:rPr>
        <w:t xml:space="preserve"> </w:t>
      </w:r>
      <w:r>
        <w:rPr>
          <w:rFonts w:cstheme="minorHAnsi"/>
          <w:sz w:val="24"/>
          <w:szCs w:val="24"/>
        </w:rPr>
        <w:t>Out of 172 laparo</w:t>
      </w:r>
      <w:r w:rsidRPr="00B70098">
        <w:rPr>
          <w:rFonts w:cstheme="minorHAnsi"/>
          <w:sz w:val="24"/>
          <w:szCs w:val="24"/>
        </w:rPr>
        <w:t>tomy cases for secondary peritoni</w:t>
      </w:r>
      <w:r>
        <w:rPr>
          <w:rFonts w:cstheme="minorHAnsi"/>
          <w:sz w:val="24"/>
          <w:szCs w:val="24"/>
        </w:rPr>
        <w:t>tis, 40 (23.3%) required relaparo</w:t>
      </w:r>
      <w:r w:rsidRPr="00B70098">
        <w:rPr>
          <w:rFonts w:cstheme="minorHAnsi"/>
          <w:sz w:val="24"/>
          <w:szCs w:val="24"/>
        </w:rPr>
        <w:t>tomy for postop collection</w:t>
      </w:r>
      <w:r>
        <w:rPr>
          <w:rFonts w:cstheme="minorHAnsi"/>
          <w:sz w:val="24"/>
          <w:szCs w:val="24"/>
        </w:rPr>
        <w:t xml:space="preserve">. </w:t>
      </w:r>
      <w:r w:rsidRPr="00477429">
        <w:rPr>
          <w:sz w:val="24"/>
          <w:szCs w:val="24"/>
        </w:rPr>
        <w:t>From Patients who developed postop collection, 4</w:t>
      </w:r>
      <w:r>
        <w:rPr>
          <w:sz w:val="24"/>
          <w:szCs w:val="24"/>
        </w:rPr>
        <w:t>5</w:t>
      </w:r>
      <w:r w:rsidRPr="00477429">
        <w:rPr>
          <w:sz w:val="24"/>
          <w:szCs w:val="24"/>
        </w:rPr>
        <w:t>% of them were diagnosed after pus/Gi content le</w:t>
      </w:r>
      <w:r>
        <w:rPr>
          <w:sz w:val="24"/>
          <w:szCs w:val="24"/>
        </w:rPr>
        <w:t>aked through the surgical wound.</w:t>
      </w:r>
      <w:r w:rsidRPr="00B45CD0">
        <w:rPr>
          <w:sz w:val="24"/>
          <w:szCs w:val="24"/>
        </w:rPr>
        <w:t xml:space="preserve"> </w:t>
      </w:r>
      <w:r>
        <w:rPr>
          <w:sz w:val="24"/>
          <w:szCs w:val="24"/>
        </w:rPr>
        <w:t>In Our study</w:t>
      </w:r>
      <w:r w:rsidRPr="00BD26AF">
        <w:rPr>
          <w:sz w:val="24"/>
          <w:szCs w:val="24"/>
        </w:rPr>
        <w:t>, the mortality rate of patients who develop postop collection and</w:t>
      </w:r>
      <w:r>
        <w:rPr>
          <w:sz w:val="24"/>
          <w:szCs w:val="24"/>
        </w:rPr>
        <w:t xml:space="preserve"> undergone relaparotomy was 27.5 </w:t>
      </w:r>
      <w:r w:rsidRPr="00BD26AF">
        <w:rPr>
          <w:sz w:val="24"/>
          <w:szCs w:val="24"/>
        </w:rPr>
        <w:t>%</w:t>
      </w:r>
      <w:r>
        <w:rPr>
          <w:sz w:val="24"/>
          <w:szCs w:val="24"/>
        </w:rPr>
        <w:t xml:space="preserve"> and 4.5% for those without postop collection. Logistic regression identified the following 4 variables as having strong  predictive value:</w:t>
      </w:r>
      <w:r w:rsidRPr="00E34B53">
        <w:t xml:space="preserve"> </w:t>
      </w:r>
      <w:r w:rsidRPr="00E34B53">
        <w:rPr>
          <w:sz w:val="24"/>
          <w:szCs w:val="24"/>
        </w:rPr>
        <w:t>Duration of illness more than 5 days, Systolic BP &lt;/= 90 mmHg, Amount of peritoneal fluid &gt; 1000 ml and small bowel as source of contamination</w:t>
      </w:r>
    </w:p>
    <w:p w:rsidR="0039175B" w:rsidRDefault="00B42BE7" w:rsidP="002F4AB7">
      <w:pPr>
        <w:tabs>
          <w:tab w:val="left" w:pos="6450"/>
        </w:tabs>
        <w:jc w:val="both"/>
        <w:rPr>
          <w:rFonts w:ascii="Calibri" w:eastAsia="Calibri" w:hAnsi="Calibri" w:cs="Calibri"/>
          <w:sz w:val="24"/>
        </w:rPr>
      </w:pPr>
      <w:r w:rsidRPr="00B42BE7">
        <w:rPr>
          <w:rFonts w:ascii="Calibri" w:eastAsia="Calibri" w:hAnsi="Calibri" w:cs="Calibri"/>
          <w:b/>
          <w:sz w:val="24"/>
        </w:rPr>
        <w:t>Conclusion</w:t>
      </w:r>
      <w:r>
        <w:rPr>
          <w:rFonts w:ascii="Calibri" w:eastAsia="Calibri" w:hAnsi="Calibri" w:cs="Calibri"/>
          <w:sz w:val="24"/>
        </w:rPr>
        <w:t xml:space="preserve">:  </w:t>
      </w:r>
      <w:r w:rsidRPr="00DE45A3">
        <w:rPr>
          <w:sz w:val="24"/>
          <w:szCs w:val="24"/>
        </w:rPr>
        <w:t>Management of persistent intra-abdo</w:t>
      </w:r>
      <w:r>
        <w:rPr>
          <w:sz w:val="24"/>
          <w:szCs w:val="24"/>
        </w:rPr>
        <w:t>minal infection is challenging. Sign and symptoms of</w:t>
      </w:r>
      <w:r w:rsidRPr="00DE45A3">
        <w:rPr>
          <w:sz w:val="24"/>
          <w:szCs w:val="24"/>
        </w:rPr>
        <w:t xml:space="preserve"> persistent intra-abdo</w:t>
      </w:r>
      <w:r>
        <w:rPr>
          <w:sz w:val="24"/>
          <w:szCs w:val="24"/>
        </w:rPr>
        <w:t>minal infection are subtle, resulting late diagnosis after onset of MODS.</w:t>
      </w:r>
      <w:r w:rsidRPr="00DE45A3">
        <w:rPr>
          <w:sz w:val="24"/>
          <w:szCs w:val="24"/>
        </w:rPr>
        <w:t xml:space="preserve"> Delay in diagnosis results in high mortality and morbidity</w:t>
      </w:r>
      <w:r>
        <w:rPr>
          <w:sz w:val="24"/>
          <w:szCs w:val="24"/>
        </w:rPr>
        <w:t>.</w:t>
      </w:r>
      <w:r w:rsidRPr="00E067E3">
        <w:t xml:space="preserve"> </w:t>
      </w:r>
      <w:r w:rsidRPr="00E067E3">
        <w:rPr>
          <w:sz w:val="24"/>
          <w:szCs w:val="24"/>
        </w:rPr>
        <w:t>We have identified 4 preoperative and intraoperative variables available at first laparotomy to predict persistant intraabdominal infection requiring relaparotomy. These sets of variables can be a mile stone for future validation study before inserted into day to day clinical practice.</w:t>
      </w:r>
    </w:p>
    <w:p w:rsidR="009176BD" w:rsidRPr="004A4932" w:rsidRDefault="009176BD" w:rsidP="002F4AB7">
      <w:pPr>
        <w:pStyle w:val="Heading1"/>
        <w:jc w:val="both"/>
      </w:pPr>
      <w:bookmarkStart w:id="1" w:name="_Toc73713169"/>
      <w:r w:rsidRPr="004A4932">
        <w:lastRenderedPageBreak/>
        <w:t>Introduction:</w:t>
      </w:r>
      <w:bookmarkEnd w:id="1"/>
      <w:r w:rsidRPr="004A4932">
        <w:t xml:space="preserve"> </w:t>
      </w:r>
    </w:p>
    <w:p w:rsidR="009176BD" w:rsidRPr="004A4932" w:rsidRDefault="009176BD" w:rsidP="002F4AB7">
      <w:pPr>
        <w:pStyle w:val="Heading2"/>
        <w:jc w:val="both"/>
      </w:pPr>
      <w:bookmarkStart w:id="2" w:name="_Toc73713170"/>
      <w:r w:rsidRPr="004A4932">
        <w:t>Background</w:t>
      </w:r>
      <w:bookmarkEnd w:id="2"/>
    </w:p>
    <w:p w:rsidR="003E108C" w:rsidRDefault="009176BD" w:rsidP="002F4AB7">
      <w:pPr>
        <w:jc w:val="both"/>
        <w:rPr>
          <w:rFonts w:cstheme="minorHAnsi"/>
          <w:sz w:val="24"/>
          <w:szCs w:val="24"/>
        </w:rPr>
      </w:pPr>
      <w:r w:rsidRPr="009176BD">
        <w:rPr>
          <w:rFonts w:cstheme="minorHAnsi"/>
          <w:sz w:val="24"/>
          <w:szCs w:val="24"/>
        </w:rPr>
        <w:t xml:space="preserve">Peritonitis </w:t>
      </w:r>
      <w:r w:rsidR="001343C8">
        <w:rPr>
          <w:rFonts w:cstheme="minorHAnsi"/>
          <w:sz w:val="24"/>
          <w:szCs w:val="24"/>
        </w:rPr>
        <w:t xml:space="preserve">is </w:t>
      </w:r>
      <w:r w:rsidR="001343C8" w:rsidRPr="009176BD">
        <w:rPr>
          <w:rFonts w:cstheme="minorHAnsi"/>
          <w:sz w:val="24"/>
          <w:szCs w:val="24"/>
        </w:rPr>
        <w:t>one of the commonest causes of acute abdomen with a high mortality rate ranging from 10-60% depending on t</w:t>
      </w:r>
      <w:r w:rsidR="003E108C">
        <w:rPr>
          <w:rFonts w:cstheme="minorHAnsi"/>
          <w:sz w:val="24"/>
          <w:szCs w:val="24"/>
        </w:rPr>
        <w:t>he study in western countries</w:t>
      </w:r>
      <w:r w:rsidR="006331EC">
        <w:rPr>
          <w:rFonts w:cstheme="minorHAnsi"/>
          <w:sz w:val="24"/>
          <w:szCs w:val="24"/>
        </w:rPr>
        <w:fldChar w:fldCharType="begin"/>
      </w:r>
      <w:r w:rsidR="003E108C">
        <w:rPr>
          <w:rFonts w:cstheme="minorHAnsi"/>
          <w:sz w:val="24"/>
          <w:szCs w:val="24"/>
        </w:rPr>
        <w:instrText xml:space="preserve"> ADDIN ZOTERO_ITEM CSL_CITATION {"citationID":"LxaZXhOY","properties":{"formattedCitation":"(1)","plainCitation":"(1)","noteIndex":0},"citationItems":[{"id":10,"uris":["http://zotero.org/users/local/OmjLzqcp/items/Z77NEDQA"],"uri":["http://zotero.org/users/local/OmjLzqcp/items/Z77NEDQA"],"itemData":{"id":10,"type":"article-journal","abstract":"Operative management of intraabdominal infections still rests on the principles of elimination of focus, reduction of contamination of the peritoneal cavity, and treatment of residual infection. To control the source of contamination from a perforated viscus primary closure, exclusion or resection may be considered with respect to the severity of peritonitis and to the underlying disease. The principle of “peritoneal toilet” with complementary use of systemic and/or local antibiotics is generally accepted even if the value of aggressive debridement is still debated controversely. For the treatment of residual and the prevention of recurrent infection, closed and open lavage techniques, the left-open abdomen, and planned relaparotomy represent the major approaches in severe generalized peritonitis when the infectious focus might not be securely controlled. The values and disadvantages of different regimens are discussed, additional measures are briefly described, and an outlook on areas of further research is given.","container-title":"World Journal of Surgery","DOI":"10.1007/BF01664875","ISSN":"1432-2323","issue":"2","journalAbbreviation":"World J. Surg.","language":"en","page":"210-217","source":"Springer Link","title":"Principles and limitations of operative management of intraabdominal infections","volume":"14","author":[{"family":"Farthmann","given":"Eduard H."},{"family":"Schöffel","given":"Ulrich"}],"issued":{"date-parts":[["1990",3,1]]}}}],"schema":"https://github.com/citation-style-language/schema/raw/master/csl-citation.json"} </w:instrText>
      </w:r>
      <w:r w:rsidR="006331EC">
        <w:rPr>
          <w:rFonts w:cstheme="minorHAnsi"/>
          <w:sz w:val="24"/>
          <w:szCs w:val="24"/>
        </w:rPr>
        <w:fldChar w:fldCharType="separate"/>
      </w:r>
      <w:r w:rsidR="003E108C" w:rsidRPr="003E108C">
        <w:rPr>
          <w:rFonts w:ascii="Calibri" w:hAnsi="Calibri" w:cs="Calibri"/>
          <w:sz w:val="24"/>
        </w:rPr>
        <w:t>(1)</w:t>
      </w:r>
      <w:r w:rsidR="006331EC">
        <w:rPr>
          <w:rFonts w:cstheme="minorHAnsi"/>
          <w:sz w:val="24"/>
          <w:szCs w:val="24"/>
        </w:rPr>
        <w:fldChar w:fldCharType="end"/>
      </w:r>
      <w:r w:rsidR="001343C8">
        <w:rPr>
          <w:rFonts w:cstheme="minorHAnsi"/>
          <w:sz w:val="24"/>
          <w:szCs w:val="24"/>
        </w:rPr>
        <w:t xml:space="preserve"> and it</w:t>
      </w:r>
      <w:r w:rsidR="00617475">
        <w:rPr>
          <w:rFonts w:cstheme="minorHAnsi"/>
          <w:sz w:val="24"/>
          <w:szCs w:val="24"/>
        </w:rPr>
        <w:t xml:space="preserve"> is</w:t>
      </w:r>
      <w:r w:rsidR="001343C8">
        <w:rPr>
          <w:rFonts w:cstheme="minorHAnsi"/>
          <w:sz w:val="24"/>
          <w:szCs w:val="24"/>
        </w:rPr>
        <w:t xml:space="preserve"> one of the </w:t>
      </w:r>
      <w:r w:rsidRPr="009176BD">
        <w:rPr>
          <w:rFonts w:cstheme="minorHAnsi"/>
          <w:sz w:val="24"/>
          <w:szCs w:val="24"/>
        </w:rPr>
        <w:t>common</w:t>
      </w:r>
      <w:r w:rsidR="001343C8">
        <w:rPr>
          <w:rFonts w:cstheme="minorHAnsi"/>
          <w:sz w:val="24"/>
          <w:szCs w:val="24"/>
        </w:rPr>
        <w:t>est</w:t>
      </w:r>
      <w:r w:rsidRPr="009176BD">
        <w:rPr>
          <w:rFonts w:cstheme="minorHAnsi"/>
          <w:sz w:val="24"/>
          <w:szCs w:val="24"/>
        </w:rPr>
        <w:t xml:space="preserve"> cause o</w:t>
      </w:r>
      <w:r w:rsidR="001343C8">
        <w:rPr>
          <w:rFonts w:cstheme="minorHAnsi"/>
          <w:sz w:val="24"/>
          <w:szCs w:val="24"/>
        </w:rPr>
        <w:t>f acute abdomen in Ethiopia</w:t>
      </w:r>
      <w:r w:rsidR="006331EC">
        <w:rPr>
          <w:rFonts w:cstheme="minorHAnsi"/>
          <w:sz w:val="24"/>
          <w:szCs w:val="24"/>
        </w:rPr>
        <w:fldChar w:fldCharType="begin"/>
      </w:r>
      <w:r w:rsidR="003E108C">
        <w:rPr>
          <w:rFonts w:cstheme="minorHAnsi"/>
          <w:sz w:val="24"/>
          <w:szCs w:val="24"/>
        </w:rPr>
        <w:instrText xml:space="preserve"> ADDIN ZOTERO_ITEM CSL_CITATION {"citationID":"xC4MxwTk","properties":{"formattedCitation":"(2\\uc0\\u8211{}6)","plainCitation":"(2–6)","noteIndex":0},"citationItems":[{"id":9,"uris":["http://zotero.org/users/local/OmjLzqcp/items/UI5P3UKC"],"uri":["http://zotero.org/users/local/OmjLzqcp/items/UI5P3UKC"],"itemData":{"id":9,"type":"article-journal","abstract":"Background: Acute is defined as a sudde onset abdominal pain which often requires an immediate intervention. The causes of acute abdomen are several and their relative incidence varies in different populations. Several factors are described to be responsible for these differences. Socioeconomic factors and diet have mostly been incriminated to be responsible for the observed differences. Intestinal obstruction has been the leading cause of acute abdomen in several African countries whereas acute appendicitis is the most frequently seen cause in the developed world. The leading causes of intestinal obstruction in Africans have mostly been hernia and volvulus whereas adhesions are most frequent in the developed world. There are, however, some African studies which are pointing to a change in these established patterns. This study was aimed at assessing the magnitude, pattern of acute abdomen in Ayder referral hospital.\nMethods:This was a 3 years retrospective study conducted on all patients operated for non-traumatic acute abdomen in Ayder hospital, Mekelle, during the year of September, 2000-2003 E.C.\nResults:During the study period there were 514 emergency surgical operations of which 439 were laparotomies for acute abdomen. The male to female ratio 3:1, the age ranged from 30 days-88 years with a mean of 28.4 ± 19.5 years. Two hundred fifty patients (57%) were urban dweller, 189 (43%) cases were from rural area; of which 152 (34.6%) were referred from nearby health centers and affiliated hospitals presented late with duration of illness more than 5 days. Acute appendicitis accounting for 55.35% of cases was the leading cause of acute abdomen followed by intestinal obstruction 37.35% and peritonitis 17.3% among which 10% was resulted from perforated appendix, and 4.6% from PPUD. A higher frequency of peritonitis was observed on patients who presented late.\nConclusion and recommendation:Acute abdomen is a surgical condition with high rate of morbidity and mortality if not managed timely and appropriately. To alleviate this problem creation of health awareness on acute abdomen to the general population in general and to the low and mid-level health care providers in particular is of paramount importance. As most of the complicated cases with delayed presentation are referred cases and most of them can be handled by properly trained MSC in emergency surgery such resources should be available at the most commonly referring health institutions.","issue":"5","language":"en","page":"4","source":"Zotero","title":"Pattern of Emergency Surgical Operations Performed for Non-Traumatic Acute Abdomen at Ayder Referral Hospital, Mekelle University, Tigrai, Ethiopia by the Year 2000-2003 Ec","volume":"9","author":[{"family":"Wossen","given":"Melese Takele"}],"issued":{"date-parts":[["2019"]]}},"label":"page"},{"id":70,"uris":["http://zotero.org/users/local/OmjLzqcp/items/B46SANY2"],"uri":["http://zotero.org/users/local/OmjLzqcp/items/B46SANY2"],"itemData":{"id":70,"type":"article-journal","abstract":"Non traumatic acute abdomen is an acute onset of abdominal disease entities that require immediate surgical intervention in most of the cases. The causes of non-traumatic surgical acute abdomen and their relative incidence vary in different populations.","DOI":"10.23937/2378-3397/1410099","ISSN":"2378-3397","language":"en-US","note":"publisher: clinmed journals","source":"clinmedjournals.org","title":"Management Outcome and Associated Factors of Surgically Treated Non Traumatic Acute Abdomen at Attat Hospital, Gurage Zone, Ethiopia.","URL":"https://clinmedjournals.org/articles/ijsrp/international-journal-of-surgery-research-and-practice-ijsrp-6-099.php?jid=ijsrp","author":[{"family":"Ta","given":"Gebrie"},{"family":"Ta","given":"Gebrie"}],"accessed":{"date-parts":[["2020",10,21]]}},"label":"page"},{"id":73,"uris":["http://zotero.org/users/local/OmjLzqcp/items/AFMZ25MJ"],"uri":["http://zotero.org/users/local/OmjLzqcp/items/AFMZ25MJ"],"itemData":{"id":73,"type":"article-journal","abstract":"Background-Acute abdomen is an acute onset of abdominal disease entities that require immediate surgical intervention in most of the cases. Objective-The aim of this study was to determine the magnitude, causes, presenting features and outcomes of non-traumatic surgical acute abdomen cases at Wolaita Sodo University Teaching and Referral Hospital, Southern Ethiopia. Methods-Hospital based cross-sectional study design was conducted on 270 patients operated for non-traumatic surgical acute abdomen from Results: -A total of 633 laparotomies were performed for both elective (210) and emergency (Traumatic (47) &amp;Non-traumatic acute abdomen (376)) cases. A total of 376 laparotomies were on emergency non-traumatic acute abdomen, (59.4%) of all laparotomies. Out of 376 records, of which 270(71.8%) had adequate information for further analysis were retrieved at WSUTRH. Out of 270 cases, 196 were males and 74 were females. The age ranged from 3 months to 66 years with a mean age of 26.5 years. Two hundred thirty-eight (88.1%) patients were from rural and 32 (11.9%) were from urban dwellers. The majority of patients, 63.3% (171) were presented within 2-5 days of illness before the operation. The main presenting features were: abdominal pain, vomiting, constipation, and abdominal distention; and they were reported among 99.3% (268), 92.2% (249), 62.6% (169), 53.3% (144) of the study subjects. The three top causes of non-traumatic surgical acute abdomen were bowel obstruction 49.3% (133), acute appendicitis 31.5% (85) and Peritonitis 19.2% (52). There were a total of 4% (11) deaths. Conclusion: Complications and deaths were more in cases from rural areas due to delays in presentation. To alleviate this problem, creating awareness of acute abdomen to the general population, in general, has great importance.","source":"ResearchGate","title":"Assessment of Non-Traumatic Acute Abdominal Cases Treated Operatively at Wolaita Sodo Teaching and Referral Hospital, Southern Ethiopia","author":[{"family":"Negash","given":"Mequanint"},{"family":"Teklewold","given":"Berhanetsehay"},{"family":"Pawulos","given":"Wondimagegn"}],"issued":{"date-parts":[["2017",1,1]]}},"label":"page"},{"id":79,"uris":["http://zotero.org/users/local/OmjLzqcp/items/AX8PREVY"],"uri":["http://zotero.org/users/local/OmjLzqcp/items/AX8PREVY"],"itemData":{"id":79,"type":"article-journal","abstract":"Background: Acute abdomen is an acute onset of abdominal disease entities that require immediate surgical intervention in most of the cases. The causes of non-traumatic surgical acute and their relative incidence varies in different populations.\nObjective: To determine the magnitude and the common causes as well presenting features and the outcome of non-traumatic surgical acute abdomen (In Nekemte Referral Hospital, Oromia region, Ethiopia).\nMethods: A retrospective cross sectional study was conducted using data available at Nekemte Referral Hospital from January 2011 to December 2013. We examined 295 records of the patients from the medical records. Data were collected using checklist based on registration books. The data were entered and analyzed using SPSS version 20.0 statistical package. The association between the independent and dependent variable was assessed by bivariate and multivariate regression analyses. A 95% CI and p-value of ≤0.05 were used to determine independent predictors of outcome of non-traumatic surgical acute abdomen. Results: Out of 295 patients, 230 were males and 65 were females. The age ranged from 6 months to 80 years with a mean age of 33.7 ± 18.6 years. Out of 295, 57.6% was rural and 46.4% were urban dwellers. The most common cause of acute abdomen was acute appendicitis 140(47.4%) followed by bowl obstruction 118(40.0%). Age, Residence, Duration of illness and length of hospital stays are independent predictors of management outcomes of non-Traumatic acute abdomen.\nConclusion: Complications were more in cases from rural area due to delay at presentation and no operation facility and surgeons for solutions.","container-title":"Surgery: Current Research","DOI":"10.4172/2161-1076.1000282","ISSN":"21611076","issue":"01","journalAbbreviation":"Surgery Curr Res","language":"en","source":"DOI.org (Crossref)","title":"Outcome of Non-Traumatic Surgical Acute Abdomen in Nekemte Referral Hospital Southwest Ethiopia: A Retrospective Cross-Sectional Study","title-short":"Outcome of Non-Traumatic Surgical Acute Abdomen in Nekemte Referral Hospital Southwest Ethiopia","URL":"https://www.omicsonline.org/open-access/outcome-of-nontraumatic-surgical-acute-abdomen-in-nekemte-referralhospital-southwest-ethiopia-a-retrospective-crosssectional-study-2161-1076-1000282.php?aid=83790","volume":"07","author":[{"family":"Ayenew","given":"Zinabu"},{"family":"Gizaw","given":"Abraham Tamirat"},{"family":"Workneh","given":"Desta"},{"family":"Fentahun","given":"Netsanet"}],"accessed":{"date-parts":[["2020",10,22]]},"issued":{"date-parts":[["2017"]]}},"label":"page"},{"id":76,"uris":["http://zotero.org/users/local/OmjLzqcp/items/6T7XDX9Z"],"uri":["http://zotero.org/users/local/OmjLzqcp/items/6T7XDX9Z"],"itemData":{"id":76,"type":"webpage","title":"Outcome of emergency surgical operations performed for non-traumatic acute abdomen among adults in Mekele Hospital, Tigray, Ethiopia, 2013.","URL":"https://www.ejpmr.com/home/abstract_id/886","accessed":{"date-parts":[["2020",10,21]]}},"label":"page"}],"schema":"https://github.com/citation-style-language/schema/raw/master/csl-citation.json"} </w:instrText>
      </w:r>
      <w:r w:rsidR="006331EC">
        <w:rPr>
          <w:rFonts w:cstheme="minorHAnsi"/>
          <w:sz w:val="24"/>
          <w:szCs w:val="24"/>
        </w:rPr>
        <w:fldChar w:fldCharType="separate"/>
      </w:r>
      <w:r w:rsidR="003E108C" w:rsidRPr="003E108C">
        <w:rPr>
          <w:rFonts w:ascii="Calibri" w:hAnsi="Calibri" w:cs="Calibri"/>
          <w:sz w:val="24"/>
          <w:szCs w:val="24"/>
        </w:rPr>
        <w:t>(2–6)</w:t>
      </w:r>
      <w:r w:rsidR="006331EC">
        <w:rPr>
          <w:rFonts w:cstheme="minorHAnsi"/>
          <w:sz w:val="24"/>
          <w:szCs w:val="24"/>
        </w:rPr>
        <w:fldChar w:fldCharType="end"/>
      </w:r>
      <w:r w:rsidR="003E108C">
        <w:rPr>
          <w:rFonts w:cstheme="minorHAnsi"/>
          <w:sz w:val="24"/>
          <w:szCs w:val="24"/>
        </w:rPr>
        <w:t>.</w:t>
      </w:r>
      <w:r w:rsidR="001343C8">
        <w:rPr>
          <w:rFonts w:cstheme="minorHAnsi"/>
          <w:sz w:val="24"/>
          <w:szCs w:val="24"/>
        </w:rPr>
        <w:t xml:space="preserve"> </w:t>
      </w:r>
    </w:p>
    <w:p w:rsidR="009176BD" w:rsidRPr="009176BD" w:rsidRDefault="00055247" w:rsidP="002F4AB7">
      <w:pPr>
        <w:jc w:val="both"/>
        <w:rPr>
          <w:rFonts w:cstheme="minorHAnsi"/>
          <w:sz w:val="24"/>
          <w:szCs w:val="24"/>
        </w:rPr>
      </w:pPr>
      <w:r w:rsidRPr="009176BD">
        <w:rPr>
          <w:rFonts w:cstheme="minorHAnsi"/>
          <w:sz w:val="24"/>
          <w:szCs w:val="24"/>
        </w:rPr>
        <w:t>Secondary</w:t>
      </w:r>
      <w:r>
        <w:rPr>
          <w:rFonts w:cstheme="minorHAnsi"/>
          <w:sz w:val="24"/>
          <w:szCs w:val="24"/>
        </w:rPr>
        <w:t xml:space="preserve"> </w:t>
      </w:r>
      <w:r w:rsidR="001343C8">
        <w:rPr>
          <w:rFonts w:cstheme="minorHAnsi"/>
          <w:sz w:val="24"/>
          <w:szCs w:val="24"/>
        </w:rPr>
        <w:t>P</w:t>
      </w:r>
      <w:r w:rsidR="009176BD" w:rsidRPr="009176BD">
        <w:rPr>
          <w:rFonts w:cstheme="minorHAnsi"/>
          <w:sz w:val="24"/>
          <w:szCs w:val="24"/>
        </w:rPr>
        <w:t>eritonitis accounts for approximately 90% of all peritoniti</w:t>
      </w:r>
      <w:r w:rsidR="00B70CB5">
        <w:rPr>
          <w:rFonts w:cstheme="minorHAnsi"/>
          <w:sz w:val="24"/>
          <w:szCs w:val="24"/>
        </w:rPr>
        <w:t>s cases in western countries (7)</w:t>
      </w:r>
      <w:r w:rsidR="009176BD" w:rsidRPr="009176BD">
        <w:rPr>
          <w:rFonts w:cstheme="minorHAnsi"/>
          <w:sz w:val="24"/>
          <w:szCs w:val="24"/>
        </w:rPr>
        <w:t xml:space="preserve">. The three most common causes of </w:t>
      </w:r>
      <w:r>
        <w:rPr>
          <w:rFonts w:cstheme="minorHAnsi"/>
          <w:sz w:val="24"/>
          <w:szCs w:val="24"/>
        </w:rPr>
        <w:t xml:space="preserve">secondary </w:t>
      </w:r>
      <w:r w:rsidR="009176BD" w:rsidRPr="009176BD">
        <w:rPr>
          <w:rFonts w:cstheme="minorHAnsi"/>
          <w:sz w:val="24"/>
          <w:szCs w:val="24"/>
        </w:rPr>
        <w:t xml:space="preserve">peritonitis in low income countries are appendicitis, perforated duodenal ulcer and typhoid perforation, in no particular </w:t>
      </w:r>
      <w:r w:rsidR="00A93AA2">
        <w:rPr>
          <w:rFonts w:cstheme="minorHAnsi"/>
          <w:sz w:val="24"/>
          <w:szCs w:val="24"/>
        </w:rPr>
        <w:t>order</w:t>
      </w:r>
      <w:r w:rsidR="006331EC">
        <w:rPr>
          <w:rFonts w:cstheme="minorHAnsi"/>
          <w:sz w:val="24"/>
          <w:szCs w:val="24"/>
        </w:rPr>
        <w:fldChar w:fldCharType="begin"/>
      </w:r>
      <w:r w:rsidR="00A93AA2">
        <w:rPr>
          <w:rFonts w:cstheme="minorHAnsi"/>
          <w:sz w:val="24"/>
          <w:szCs w:val="24"/>
        </w:rPr>
        <w:instrText xml:space="preserve"> ADDIN ZOTERO_ITEM CSL_CITATION {"citationID":"RgiJRpgv","properties":{"formattedCitation":"(7)","plainCitation":"(7)","noteIndex":0},"citationItems":[{"id":11,"uris":["http://zotero.org/users/local/OmjLzqcp/items/VXQHLHSS"],"uri":["http://zotero.org/users/local/OmjLzqcp/items/VXQHLHSS"],"itemData":{"id":11,"type":"article-journal","abstract":"Peritonitis is a common emergency encountered by surgeons the world over. This paper aims to provide an overview of the spectrum of peritonitis seen in the East. Studies dealing with the overall spectrum of secondary peritonitis in various countries of this region were identified using Pubmed and Google. These were analyzed for the site and cause of perforation and the mortality. It was observed that perforation of duodenal ulcers was the most the commonly encountered perforations. These are followed by small bowel and appendicular perforations. Colonic perforations were uncommon. The overall mortality ranges between 6-27%.","container-title":"World journal of emergency surgery: WJES","DOI":"10.1186/1749-7922-1-13","ISSN":"1749-7922","journalAbbreviation":"World J Emerg Surg","language":"eng","note":"PMID: 16759427\nPMCID: PMC1475566","page":"13","source":"PubMed","title":"Peritonitis - the Eastern experience","volume":"1","author":[{"family":"Gupta","given":"Sanjay"},{"family":"Kaushik","given":"Robin"}],"issued":{"date-parts":[["2006",4,26]]}}}],"schema":"https://github.com/citation-style-language/schema/raw/master/csl-citation.json"} </w:instrText>
      </w:r>
      <w:r w:rsidR="006331EC">
        <w:rPr>
          <w:rFonts w:cstheme="minorHAnsi"/>
          <w:sz w:val="24"/>
          <w:szCs w:val="24"/>
        </w:rPr>
        <w:fldChar w:fldCharType="separate"/>
      </w:r>
      <w:r w:rsidR="00B70CB5">
        <w:rPr>
          <w:rFonts w:ascii="Calibri" w:hAnsi="Calibri" w:cs="Calibri"/>
          <w:sz w:val="24"/>
        </w:rPr>
        <w:t>(8</w:t>
      </w:r>
      <w:r w:rsidR="00A93AA2" w:rsidRPr="00A93AA2">
        <w:rPr>
          <w:rFonts w:ascii="Calibri" w:hAnsi="Calibri" w:cs="Calibri"/>
          <w:sz w:val="24"/>
        </w:rPr>
        <w:t>)</w:t>
      </w:r>
      <w:r w:rsidR="006331EC">
        <w:rPr>
          <w:rFonts w:cstheme="minorHAnsi"/>
          <w:sz w:val="24"/>
          <w:szCs w:val="24"/>
        </w:rPr>
        <w:fldChar w:fldCharType="end"/>
      </w:r>
      <w:r w:rsidR="009176BD" w:rsidRPr="009176BD">
        <w:rPr>
          <w:rFonts w:cstheme="minorHAnsi"/>
          <w:sz w:val="24"/>
          <w:szCs w:val="24"/>
        </w:rPr>
        <w:t>.  In the west, appendicitis remains the most common cause of peritonitis, followed by colonic perforation, usually a</w:t>
      </w:r>
      <w:r w:rsidR="00A93AA2">
        <w:rPr>
          <w:rFonts w:cstheme="minorHAnsi"/>
          <w:sz w:val="24"/>
          <w:szCs w:val="24"/>
        </w:rPr>
        <w:t>s a result of diverticulitis</w:t>
      </w:r>
      <w:r w:rsidR="006331EC">
        <w:rPr>
          <w:rFonts w:cstheme="minorHAnsi"/>
          <w:sz w:val="24"/>
          <w:szCs w:val="24"/>
        </w:rPr>
        <w:fldChar w:fldCharType="begin"/>
      </w:r>
      <w:r w:rsidR="00A93AA2">
        <w:rPr>
          <w:rFonts w:cstheme="minorHAnsi"/>
          <w:sz w:val="24"/>
          <w:szCs w:val="24"/>
        </w:rPr>
        <w:instrText xml:space="preserve"> ADDIN ZOTERO_ITEM CSL_CITATION {"citationID":"usdfJWTS","properties":{"formattedCitation":"(8)","plainCitation":"(8)","noteIndex":0},"citationItems":[{"id":14,"uris":["http://zotero.org/users/local/OmjLzqcp/items/8W2YSAJC"],"uri":["http://zotero.org/users/local/OmjLzqcp/items/8W2YSAJC"],"itemData":{"id":14,"type":"article-journal","abstract":"Peritonitis is a common surgical emergency. This manuscript will provide an overview of recent developments in the management of peritonitis in the Western world. Emphasis is placed on the emergence of new treatments and their impact of outcomes.","container-title":"World Journal of Emergency Surgery","DOI":"10.1186/1749-7922-1-25","ISSN":"1749-7922","issue":"1","journalAbbreviation":"World Journal of Emergency Surgery","page":"25","source":"BioMed Central","title":"Peritonitis – the Western experience","volume":"1","author":[{"family":"Malangoni","given":"Mark A."},{"family":"Inui","given":"Tazo"}],"issued":{"date-parts":[["2006",9,5]]}}}],"schema":"https://github.com/citation-style-language/schema/raw/master/csl-citation.json"} </w:instrText>
      </w:r>
      <w:r w:rsidR="006331EC">
        <w:rPr>
          <w:rFonts w:cstheme="minorHAnsi"/>
          <w:sz w:val="24"/>
          <w:szCs w:val="24"/>
        </w:rPr>
        <w:fldChar w:fldCharType="separate"/>
      </w:r>
      <w:r w:rsidR="00B70CB5">
        <w:rPr>
          <w:rFonts w:ascii="Calibri" w:hAnsi="Calibri" w:cs="Calibri"/>
          <w:sz w:val="24"/>
        </w:rPr>
        <w:t>(9</w:t>
      </w:r>
      <w:r w:rsidR="00A93AA2" w:rsidRPr="00A93AA2">
        <w:rPr>
          <w:rFonts w:ascii="Calibri" w:hAnsi="Calibri" w:cs="Calibri"/>
          <w:sz w:val="24"/>
        </w:rPr>
        <w:t>)</w:t>
      </w:r>
      <w:r w:rsidR="006331EC">
        <w:rPr>
          <w:rFonts w:cstheme="minorHAnsi"/>
          <w:sz w:val="24"/>
          <w:szCs w:val="24"/>
        </w:rPr>
        <w:fldChar w:fldCharType="end"/>
      </w:r>
      <w:r w:rsidR="009176BD" w:rsidRPr="009176BD">
        <w:rPr>
          <w:rFonts w:cstheme="minorHAnsi"/>
          <w:sz w:val="24"/>
          <w:szCs w:val="24"/>
        </w:rPr>
        <w:t>.</w:t>
      </w:r>
    </w:p>
    <w:p w:rsidR="009176BD" w:rsidRPr="009176BD" w:rsidRDefault="009176BD" w:rsidP="002F4AB7">
      <w:pPr>
        <w:jc w:val="both"/>
        <w:rPr>
          <w:rFonts w:cstheme="minorHAnsi"/>
          <w:sz w:val="24"/>
          <w:szCs w:val="24"/>
        </w:rPr>
      </w:pPr>
      <w:r w:rsidRPr="009176BD">
        <w:rPr>
          <w:rFonts w:cstheme="minorHAnsi"/>
          <w:sz w:val="24"/>
          <w:szCs w:val="24"/>
        </w:rPr>
        <w:t>Irrespective of the cause, successful management of peritonitis include early administration of antibiotics, timely and effective surgical intervention, and supportive care to maintain organ function and limit the development of multiple organ failure</w:t>
      </w:r>
      <w:r w:rsidR="006331EC">
        <w:rPr>
          <w:rFonts w:cstheme="minorHAnsi"/>
          <w:sz w:val="24"/>
          <w:szCs w:val="24"/>
        </w:rPr>
        <w:fldChar w:fldCharType="begin"/>
      </w:r>
      <w:r w:rsidR="00A93AA2">
        <w:rPr>
          <w:rFonts w:cstheme="minorHAnsi"/>
          <w:sz w:val="24"/>
          <w:szCs w:val="24"/>
        </w:rPr>
        <w:instrText xml:space="preserve"> ADDIN ZOTERO_ITEM CSL_CITATION {"citationID":"7IIIDFsW","properties":{"formattedCitation":"(9,10)","plainCitation":"(9,10)","noteIndex":0},"citationItems":[{"id":91,"uris":["http://zotero.org/users/local/OmjLzqcp/items/2LR9Y3M3"],"uri":["http://zotero.org/users/local/OmjLzqcp/items/2LR9Y3M3"],"itemData":{"id":91,"type":"article-journal","abstract":"BACKGROUND: The role of re-laparotomy in the management of intra-abdominal infection remains controversial. Two strategies have been used: Planned re-laparotomy or laparotomy on demand.\nMETHODS: A review of the literature on this controversial subject was performed.\nRESULTS: Although in the past, planned re-laparotomy made sense for ensuring source control, improvements in imaging, intensive care therapy, and percutaneous interventions may have shifted the balance toward the laparotomy-on-demand strategy. Regardless of strategy, the rate of negative laparotomy remains high (&gt;30%). Randomized trials are not available to provide definitive evidence, and clinical judgment continues to be the basis for decision making.\nCONCLUSIONS: Further work to develop more specific clinical tools and criteria to improve the accuracy of diagnosis may lead to use of the laparotomy-on-demand strategy rather than planned re-laparotomy. At this time, there is no good clinical evidence to support one strategy over the other from a mortality standpoint.","container-title":"Surgical Infections","DOI":"10.1089/sur.2010.023","ISSN":"1557-8674","issue":"3","journalAbbreviation":"Surg Infect (Larchmt)","language":"eng","note":"PMID: 20518647","page":"307-310","source":"PubMed","title":"Re-laparotomy for severe intra-abdominal infections","volume":"11","author":[{"family":"Mandell","given":"Katherine"},{"family":"Arbabi","given":"Saman"}],"issued":{"date-parts":[["2010",6]]}},"label":"page"},{"id":93,"uris":["http://zotero.org/users/local/OmjLzqcp/items/KXQEPR4X"],"uri":["http://zotero.org/users/local/OmjLzqcp/items/KXQEPR4X"],"itemData":{"id":93,"type":"article-journal","abstract":"Aims. To devise a scoring system for clinical variables related to positive findings at relaparotomy in secondary peritonitis. Methods. We have retrospectively studied 195 cases of patients after relaparotomy. According to the operation’s findings, the patients were divided into two groups: ‘relaparatomy unnecessary’ group A, ‘relaparotomy necessary’ group B. 6 factors (age, sex, leukocyte count, C reactive protein, time of symptoms to index operation, Mannheim Peritonitis Index) were evaluated in respect to their significance in decision making for relaparotomy. The predictive value for positive operation`s findings of these factors was evaluated by logistic multivariate regression analysis. According to this model a risk scoring system was created to support the decision whether to perform a relaparotomy. Results. Relaparotomy was unnecessary (Group A) for 154 (79,0%) patients, for 41 (21,0%) it was necessary (Group B). Comparing the groups A and B, we found a significant difference in patients’ mean age (54 v. 63 years, p=0,002), mean CRP level (133,2 v. 182,8 mg/L, p=0,025), mean time of symptoms to index operation (38,1 v. 67,1 hours, p=0,006) and mean MPI value (22,4 v. 29,4, p&lt;0,0001). According to the above-mentioned predictors, a scoring system was devised: −0,17-(0,003×patient’s age years)+(0.153×time of symptoms to index operation hours)-(0,297×MPI)+(0,192×CRP mg/l). The score was 24,798±25,593 in group A and 36,572±32,543 in group B(p=0,028). Conclusions: Scoring system was devised to assist in creating treatment strategy after secondary peritonitis. If the score is ≥37, a planned relaparotomy should be performed. If the score is ≤24, other diagnostic and therapeutic tactics should be applied.","container-title":"Central European Journal of Medicine","DOI":"10.2478/s11536-013-0180-7","journalAbbreviation":"Central European Journal of Medicine","source":"ResearchGate","title":"Prediction for a planned relaparotomy in secondary peritonitis","volume":"8","author":[{"family":"Sileikis","given":"Audrius"},{"family":"Kazanavičius","given":"Darius"},{"family":"Skrebunas","given":"A."},{"family":"Ostapenko","given":"A."},{"family":"Strupas","given":"K."}],"issued":{"date-parts":[["2013",8,1]]}},"label":"page"}],"schema":"https://github.com/citation-style-language/schema/raw/master/csl-citation.json"} </w:instrText>
      </w:r>
      <w:r w:rsidR="006331EC">
        <w:rPr>
          <w:rFonts w:cstheme="minorHAnsi"/>
          <w:sz w:val="24"/>
          <w:szCs w:val="24"/>
        </w:rPr>
        <w:fldChar w:fldCharType="separate"/>
      </w:r>
      <w:r w:rsidR="00B70CB5">
        <w:rPr>
          <w:rFonts w:ascii="Calibri" w:hAnsi="Calibri" w:cs="Calibri"/>
          <w:sz w:val="24"/>
        </w:rPr>
        <w:t>(10,11</w:t>
      </w:r>
      <w:r w:rsidR="00A93AA2" w:rsidRPr="00A93AA2">
        <w:rPr>
          <w:rFonts w:ascii="Calibri" w:hAnsi="Calibri" w:cs="Calibri"/>
          <w:sz w:val="24"/>
        </w:rPr>
        <w:t>)</w:t>
      </w:r>
      <w:r w:rsidR="006331EC">
        <w:rPr>
          <w:rFonts w:cstheme="minorHAnsi"/>
          <w:sz w:val="24"/>
          <w:szCs w:val="24"/>
        </w:rPr>
        <w:fldChar w:fldCharType="end"/>
      </w:r>
      <w:r w:rsidR="00A93AA2">
        <w:rPr>
          <w:rFonts w:cstheme="minorHAnsi"/>
          <w:sz w:val="24"/>
          <w:szCs w:val="24"/>
        </w:rPr>
        <w:t>.</w:t>
      </w:r>
    </w:p>
    <w:p w:rsidR="009176BD" w:rsidRPr="009176BD" w:rsidRDefault="009176BD" w:rsidP="002F4AB7">
      <w:pPr>
        <w:jc w:val="both"/>
        <w:rPr>
          <w:rFonts w:cstheme="minorHAnsi"/>
          <w:sz w:val="24"/>
          <w:szCs w:val="24"/>
        </w:rPr>
      </w:pPr>
      <w:r w:rsidRPr="009176BD">
        <w:rPr>
          <w:rFonts w:cstheme="minorHAnsi"/>
          <w:sz w:val="24"/>
          <w:szCs w:val="24"/>
        </w:rPr>
        <w:t>The surgical treatment of secondary peritonitis is usually three fold, consisting of laparatomy to eliminate source of infection, preoperative peritoneal lavage to reduce bacterial load and prevention of persistent or recurrent infection.</w:t>
      </w:r>
    </w:p>
    <w:p w:rsidR="009176BD" w:rsidRPr="009176BD" w:rsidRDefault="00FD2AAD" w:rsidP="002F4AB7">
      <w:pPr>
        <w:jc w:val="both"/>
        <w:rPr>
          <w:rFonts w:cstheme="minorHAnsi"/>
          <w:sz w:val="24"/>
          <w:szCs w:val="24"/>
        </w:rPr>
      </w:pPr>
      <w:r>
        <w:rPr>
          <w:rFonts w:cstheme="minorHAnsi"/>
          <w:sz w:val="24"/>
          <w:szCs w:val="24"/>
        </w:rPr>
        <w:t>One of the</w:t>
      </w:r>
      <w:r w:rsidR="009176BD" w:rsidRPr="009176BD">
        <w:rPr>
          <w:rFonts w:cstheme="minorHAnsi"/>
          <w:sz w:val="24"/>
          <w:szCs w:val="24"/>
        </w:rPr>
        <w:t xml:space="preserve"> main </w:t>
      </w:r>
      <w:r w:rsidRPr="009176BD">
        <w:rPr>
          <w:rFonts w:cstheme="minorHAnsi"/>
          <w:sz w:val="24"/>
          <w:szCs w:val="24"/>
        </w:rPr>
        <w:t>causes</w:t>
      </w:r>
      <w:r w:rsidR="009176BD" w:rsidRPr="009176BD">
        <w:rPr>
          <w:rFonts w:cstheme="minorHAnsi"/>
          <w:sz w:val="24"/>
          <w:szCs w:val="24"/>
        </w:rPr>
        <w:t xml:space="preserve"> of death is failure to control the initial infection and persistence of bacterial peritonitis. To minimize these risks, the concept of “relaparotomy” was introduced.</w:t>
      </w:r>
    </w:p>
    <w:p w:rsidR="009176BD" w:rsidRPr="009176BD" w:rsidRDefault="009176BD" w:rsidP="002F4AB7">
      <w:pPr>
        <w:jc w:val="both"/>
        <w:rPr>
          <w:rFonts w:cstheme="minorHAnsi"/>
          <w:sz w:val="24"/>
          <w:szCs w:val="24"/>
        </w:rPr>
      </w:pPr>
      <w:r w:rsidRPr="009176BD">
        <w:rPr>
          <w:rFonts w:cstheme="minorHAnsi"/>
          <w:sz w:val="24"/>
          <w:szCs w:val="24"/>
        </w:rPr>
        <w:t>Incidence of relaparotomy ranges from 0.5 -15% in various reported studies</w:t>
      </w:r>
      <w:r w:rsidR="006331EC">
        <w:rPr>
          <w:rFonts w:cstheme="minorHAnsi"/>
          <w:sz w:val="24"/>
          <w:szCs w:val="24"/>
        </w:rPr>
        <w:fldChar w:fldCharType="begin"/>
      </w:r>
      <w:r w:rsidR="00A93AA2">
        <w:rPr>
          <w:rFonts w:cstheme="minorHAnsi"/>
          <w:sz w:val="24"/>
          <w:szCs w:val="24"/>
        </w:rPr>
        <w:instrText xml:space="preserve"> ADDIN ZOTERO_ITEM CSL_CITATION {"citationID":"VT30gH6r","properties":{"formattedCitation":"(11,12)","plainCitation":"(11,12)","noteIndex":0},"citationItems":[{"id":19,"uris":["http://zotero.org/users/local/OmjLzqcp/items/QMIEZ44F"],"uri":["http://zotero.org/users/local/OmjLzqcp/items/QMIEZ44F"],"itemData":{"id":19,"type":"article-journal","abstract":"Background\nTreatment of a number of complications that occur after abdominal surgeries may require that Urgent Abdominal Re-explorations (UARs), the life-saving and obligatory operations, are performed. The objectives of this study were to evaluate the reasons for performing UARs, outcomes of relaparotomies (RLs) and factors that affect mortality.\n\nMethods\nDemographic characteristics; initial diagnoses; information from and complications of the first surgery received; durations and outcomes of UAR(s) performed in patients who received early RLs because of complicated abdominal surgeries in our clinic between 01.01.2000 and 31.12.2004 were investigated retrospectively. Statistical analyses were done using the chi-square and Fisher exact tests.\n\nResults\nEarly UAR was performed in 81 out of 4410 cases (1.8%). Average patient age was 50.46 (13–81) years with a male-to-female ratio of 60/21. Fifty one (62.96%) patients had infection, 41 (50.61%) of them had an accompanying serious disease, 24 (29.62%) of them had various tumors and 57 (70.37%) patients were operated under emergency conditions during first operation. Causes of urgent abdominal re-explorations were as follows: leakage from intestinal repair site or from anostomosis (n:34; 41.97%); hemorrhage (n:15; 18.51%); intestinal perforation (n:8; 9.87%); intraabdominal infection or abscess (n:8; 9.87%); progressive intestinal necrosis (n:7; 8.64%); stomal complications (n:5; 6.17%); and postoperative ileus (n:4; 4.93%). Two or more UARs were performed in 18 (22.22%) cases, and overall mortality was 34.97% (n:30). Interval between the first laparotomy and UAR averaged as 6.95 (1–20) days, and average hospitalization period was 27.1 (3–78) days., Mortality rate was found to be higher among the patients who received multiple UARs. The most common (55.5%) cause of mortality was sepsis/multiple organ failure (MOF). The rates for common mortality and sepsis/MOF-dependent mortality that occured following UAR were significantly higher in patients who received GIS surgery than in those who received other types of surgeries (p:0.000 and 0.010, respectively).\n\nConclusion\nUARs that are performed following complicated abdominal surgeries have high mortality rates. In particular, UARs have higher mortality rates following GIS surgeries or when infectious complications occur. The possibility of efficiently lowering these high rates depends on the success of the first operations that the patient had received.","container-title":"World Journal of Emergency Surgery","DOI":"10.1186/1749-7922-1-10","ISSN":"1749-7922","journalAbbreviation":"World J Emerg Surg","note":"PMID: 16759414\nPMCID: PMC1475563","page":"10","source":"PubMed Central","title":"Urgent Abdominal Re-Explorations","volume":"1","author":[{"family":"Unalp","given":"Haluk Recai"},{"family":"Kamer","given":"Erdinc"},{"family":"Kar","given":"Haldun"},{"family":"Bal","given":"Ahmet"},{"family":"Peskersoy","given":"Mustafa"},{"family":"Ali Onal","given":"Mehmet"}],"issued":{"date-parts":[["2006",4,4]]}},"label":"page"},{"id":22,"uris":["http://zotero.org/users/local/OmjLzqcp/items/C2U9LDHB"],"uri":["http://zotero.org/users/local/OmjLzqcp/items/C2U9LDHB"],"itemData":{"id":22,"type":"article-journal","abstract":"A proportion of the operations performed in a surgical gastroenterology department are unplanned repeat laparotomies for complications of the original procedure. We examined why, in our department, these 'redo' laparotomies were performed and what was their outcome. We retrospectively analyzed 6530 patients operated between September 1996 - December 2010, of these 257 redo laparotomies were performed in 193(2.5 %) patients. There were 138 males and 55 females who had a mean age of 42 years (range 7-68 years). Eighty one (42 %) of the index surgeries were elective and 112 (58 %) performed in the emergency situation. Pancreas was the commonest organ for the index operation {50 (25.9 %)}, followed by the colon and rectum {45 (23.3 %)} and the small bowel {36 (18.7 %)}. Postoperative bleeding was the most common cause for re-exploration 66 (34.2 %) followed by an abscess or fluid collection that required surgical drainage 57 (29.6 %). The mortality rate after redo laparotomies was 33.2 % with sepsis and multi-organ failure being the commonest cause of death. Urgent redo-laparotomies that are performed following complicated abdominal operations have a high mortality rate. Postoperative bleeding, intrabdominal abscess and peritonitis are the commonest cause for redo-laparotomy. Multiple redolaparotomies and associated co-morbid conditions are significant predictors of mortality.","container-title":"The Indian Journal of Surgery","DOI":"10.1007/s12262-012-0760-9","ISSN":"0972-2068","issue":"3","journalAbbreviation":"Indian J Surg","language":"eng","note":"PMID: 26246701\nPMCID: PMC4522257","page":"195-199","source":"PubMed","title":"Urgent Redo-Laparotomies: Patterns and Outcome-A Single Centre Experience","title-short":"Urgent Redo-Laparotomies","volume":"77","author":[{"family":"Koirala","given":"Rabin"},{"family":"Mehta","given":"Naimish"},{"family":"Varma","given":"Vibha"},{"family":"Kapoor","given":"Sorabh"},{"family":"Kumaran","given":"Vinay"},{"family":"Nundy","given":"Samiran"}],"issued":{"date-parts":[["2015",6]]}},"label":"page"}],"schema":"https://github.com/citation-style-language/schema/raw/master/csl-citation.json"} </w:instrText>
      </w:r>
      <w:r w:rsidR="006331EC">
        <w:rPr>
          <w:rFonts w:cstheme="minorHAnsi"/>
          <w:sz w:val="24"/>
          <w:szCs w:val="24"/>
        </w:rPr>
        <w:fldChar w:fldCharType="separate"/>
      </w:r>
      <w:r w:rsidR="00B70CB5">
        <w:rPr>
          <w:rFonts w:ascii="Calibri" w:hAnsi="Calibri" w:cs="Calibri"/>
          <w:sz w:val="24"/>
        </w:rPr>
        <w:t>(12,13</w:t>
      </w:r>
      <w:r w:rsidR="00A93AA2" w:rsidRPr="00A93AA2">
        <w:rPr>
          <w:rFonts w:ascii="Calibri" w:hAnsi="Calibri" w:cs="Calibri"/>
          <w:sz w:val="24"/>
        </w:rPr>
        <w:t>)</w:t>
      </w:r>
      <w:r w:rsidR="006331EC">
        <w:rPr>
          <w:rFonts w:cstheme="minorHAnsi"/>
          <w:sz w:val="24"/>
          <w:szCs w:val="24"/>
        </w:rPr>
        <w:fldChar w:fldCharType="end"/>
      </w:r>
      <w:r w:rsidRPr="009176BD">
        <w:rPr>
          <w:rFonts w:cstheme="minorHAnsi"/>
          <w:sz w:val="24"/>
          <w:szCs w:val="24"/>
        </w:rPr>
        <w:t xml:space="preserve">. Highest incidence was seen in gastrointestinal surgeries, while lowest in vascular </w:t>
      </w:r>
      <w:r w:rsidR="00A93AA2">
        <w:rPr>
          <w:rFonts w:cstheme="minorHAnsi"/>
          <w:sz w:val="24"/>
          <w:szCs w:val="24"/>
        </w:rPr>
        <w:t>surgeries</w:t>
      </w:r>
      <w:r w:rsidR="006331EC">
        <w:rPr>
          <w:rFonts w:cstheme="minorHAnsi"/>
          <w:sz w:val="24"/>
          <w:szCs w:val="24"/>
        </w:rPr>
        <w:fldChar w:fldCharType="begin"/>
      </w:r>
      <w:r w:rsidR="00A93AA2">
        <w:rPr>
          <w:rFonts w:cstheme="minorHAnsi"/>
          <w:sz w:val="24"/>
          <w:szCs w:val="24"/>
        </w:rPr>
        <w:instrText xml:space="preserve"> ADDIN ZOTERO_ITEM CSL_CITATION {"citationID":"dpMfBMng","properties":{"formattedCitation":"(11)","plainCitation":"(11)","noteIndex":0},"citationItems":[{"id":19,"uris":["http://zotero.org/users/local/OmjLzqcp/items/QMIEZ44F"],"uri":["http://zotero.org/users/local/OmjLzqcp/items/QMIEZ44F"],"itemData":{"id":19,"type":"article-journal","abstract":"Background\nTreatment of a number of complications that occur after abdominal surgeries may require that Urgent Abdominal Re-explorations (UARs), the life-saving and obligatory operations, are performed. The objectives of this study were to evaluate the reasons for performing UARs, outcomes of relaparotomies (RLs) and factors that affect mortality.\n\nMethods\nDemographic characteristics; initial diagnoses; information from and complications of the first surgery received; durations and outcomes of UAR(s) performed in patients who received early RLs because of complicated abdominal surgeries in our clinic between 01.01.2000 and 31.12.2004 were investigated retrospectively. Statistical analyses were done using the chi-square and Fisher exact tests.\n\nResults\nEarly UAR was performed in 81 out of 4410 cases (1.8%). Average patient age was 50.46 (13–81) years with a male-to-female ratio of 60/21. Fifty one (62.96%) patients had infection, 41 (50.61%) of them had an accompanying serious disease, 24 (29.62%) of them had various tumors and 57 (70.37%) patients were operated under emergency conditions during first operation. Causes of urgent abdominal re-explorations were as follows: leakage from intestinal repair site or from anostomosis (n:34; 41.97%); hemorrhage (n:15; 18.51%); intestinal perforation (n:8; 9.87%); intraabdominal infection or abscess (n:8; 9.87%); progressive intestinal necrosis (n:7; 8.64%); stomal complications (n:5; 6.17%); and postoperative ileus (n:4; 4.93%). Two or more UARs were performed in 18 (22.22%) cases, and overall mortality was 34.97% (n:30). Interval between the first laparotomy and UAR averaged as 6.95 (1–20) days, and average hospitalization period was 27.1 (3–78) days., Mortality rate was found to be higher among the patients who received multiple UARs. The most common (55.5%) cause of mortality was sepsis/multiple organ failure (MOF). The rates for common mortality and sepsis/MOF-dependent mortality that occured following UAR were significantly higher in patients who received GIS surgery than in those who received other types of surgeries (p:0.000 and 0.010, respectively).\n\nConclusion\nUARs that are performed following complicated abdominal surgeries have high mortality rates. In particular, UARs have higher mortality rates following GIS surgeries or when infectious complications occur. The possibility of efficiently lowering these high rates depends on the success of the first operations that the patient had received.","container-title":"World Journal of Emergency Surgery","DOI":"10.1186/1749-7922-1-10","ISSN":"1749-7922","journalAbbreviation":"World J Emerg Surg","note":"PMID: 16759414\nPMCID: PMC1475563","page":"10","source":"PubMed Central","title":"Urgent Abdominal Re-Explorations","volume":"1","author":[{"family":"Unalp","given":"Haluk Recai"},{"family":"Kamer","given":"Erdinc"},{"family":"Kar","given":"Haldun"},{"family":"Bal","given":"Ahmet"},{"family":"Peskersoy","given":"Mustafa"},{"family":"Ali Onal","given":"Mehmet"}],"issued":{"date-parts":[["2006",4,4]]}}}],"schema":"https://github.com/citation-style-language/schema/raw/master/csl-citation.json"} </w:instrText>
      </w:r>
      <w:r w:rsidR="006331EC">
        <w:rPr>
          <w:rFonts w:cstheme="minorHAnsi"/>
          <w:sz w:val="24"/>
          <w:szCs w:val="24"/>
        </w:rPr>
        <w:fldChar w:fldCharType="separate"/>
      </w:r>
      <w:r w:rsidR="00B70CB5">
        <w:rPr>
          <w:rFonts w:ascii="Calibri" w:hAnsi="Calibri" w:cs="Calibri"/>
          <w:sz w:val="24"/>
        </w:rPr>
        <w:t>(12</w:t>
      </w:r>
      <w:r w:rsidR="00A93AA2" w:rsidRPr="00A93AA2">
        <w:rPr>
          <w:rFonts w:ascii="Calibri" w:hAnsi="Calibri" w:cs="Calibri"/>
          <w:sz w:val="24"/>
        </w:rPr>
        <w:t>)</w:t>
      </w:r>
      <w:r w:rsidR="006331EC">
        <w:rPr>
          <w:rFonts w:cstheme="minorHAnsi"/>
          <w:sz w:val="24"/>
          <w:szCs w:val="24"/>
        </w:rPr>
        <w:fldChar w:fldCharType="end"/>
      </w:r>
      <w:r w:rsidRPr="009176BD">
        <w:rPr>
          <w:rFonts w:cstheme="minorHAnsi"/>
          <w:sz w:val="24"/>
          <w:szCs w:val="24"/>
        </w:rPr>
        <w:t>. Incidence of relaparotomy is also found to be higher in hospital setup associated training facility.</w:t>
      </w:r>
    </w:p>
    <w:p w:rsidR="009176BD" w:rsidRPr="009176BD" w:rsidRDefault="009176BD" w:rsidP="002F4AB7">
      <w:pPr>
        <w:jc w:val="both"/>
        <w:rPr>
          <w:rFonts w:cstheme="minorHAnsi"/>
          <w:sz w:val="24"/>
          <w:szCs w:val="24"/>
        </w:rPr>
      </w:pPr>
      <w:r w:rsidRPr="009176BD">
        <w:rPr>
          <w:rFonts w:cstheme="minorHAnsi"/>
          <w:sz w:val="24"/>
          <w:szCs w:val="24"/>
        </w:rPr>
        <w:t>The aim of RL in abdominal sepsis is to do a peritoneal lavage to drain abscesses and fluid collections, debride necrotic tissues, and redu</w:t>
      </w:r>
      <w:r w:rsidR="00253613">
        <w:rPr>
          <w:rFonts w:cstheme="minorHAnsi"/>
          <w:sz w:val="24"/>
          <w:szCs w:val="24"/>
        </w:rPr>
        <w:t>ce the amount of microorganisms</w:t>
      </w:r>
      <w:r w:rsidR="006331EC">
        <w:rPr>
          <w:rFonts w:cstheme="minorHAnsi"/>
          <w:sz w:val="24"/>
          <w:szCs w:val="24"/>
        </w:rPr>
        <w:fldChar w:fldCharType="begin"/>
      </w:r>
      <w:r w:rsidR="00A93AA2">
        <w:rPr>
          <w:rFonts w:cstheme="minorHAnsi"/>
          <w:sz w:val="24"/>
          <w:szCs w:val="24"/>
        </w:rPr>
        <w:instrText xml:space="preserve"> ADDIN ZOTERO_ITEM CSL_CITATION {"citationID":"9NjF1pYM","properties":{"formattedCitation":"(13)","plainCitation":"(13)","noteIndex":0},"citationItems":[{"id":35,"uris":["http://zotero.org/users/local/OmjLzqcp/items/J6SIRJN8"],"uri":["http://zotero.org/users/local/OmjLzqcp/items/J6SIRJN8"],"itemData":{"id":35,"type":"article-journal","abstract":"Staged Abdominal Repair for Treatment of Moderate to Severe Secondary Peritonitis","container-title":"World Journal of Surgery","ISSN":"0364-2313","issue":"2","language":"en","page":"240-244","source":"www.academia.edu","title":"Staged Abdominal Repair for Treatment of Moderate to Severe Secondary Peritonitis","volume":"29","author":[{"family":"Agalar","given":"Fatih"},{"family":"Eroglu","given":"Erol"},{"family":"Bulbul","given":"Mahmut"},{"family":"Agalar","given":"Canan"},{"family":"Tarhan","given":"Omar Ridvan"},{"family":"Sari","given":"Mustafa"}]}}],"schema":"https://github.com/citation-style-language/schema/raw/master/csl-citation.json"} </w:instrText>
      </w:r>
      <w:r w:rsidR="006331EC">
        <w:rPr>
          <w:rFonts w:cstheme="minorHAnsi"/>
          <w:sz w:val="24"/>
          <w:szCs w:val="24"/>
        </w:rPr>
        <w:fldChar w:fldCharType="separate"/>
      </w:r>
      <w:r w:rsidR="00F60978">
        <w:rPr>
          <w:rFonts w:ascii="Calibri" w:hAnsi="Calibri" w:cs="Calibri"/>
          <w:sz w:val="24"/>
        </w:rPr>
        <w:t>(14</w:t>
      </w:r>
      <w:r w:rsidR="00A93AA2" w:rsidRPr="00A93AA2">
        <w:rPr>
          <w:rFonts w:ascii="Calibri" w:hAnsi="Calibri" w:cs="Calibri"/>
          <w:sz w:val="24"/>
        </w:rPr>
        <w:t>)</w:t>
      </w:r>
      <w:r w:rsidR="006331EC">
        <w:rPr>
          <w:rFonts w:cstheme="minorHAnsi"/>
          <w:sz w:val="24"/>
          <w:szCs w:val="24"/>
        </w:rPr>
        <w:fldChar w:fldCharType="end"/>
      </w:r>
      <w:r w:rsidR="00253613">
        <w:rPr>
          <w:rFonts w:cstheme="minorHAnsi"/>
          <w:sz w:val="24"/>
          <w:szCs w:val="24"/>
        </w:rPr>
        <w:t>.</w:t>
      </w:r>
      <w:r w:rsidRPr="009176BD">
        <w:rPr>
          <w:rFonts w:cstheme="minorHAnsi"/>
          <w:sz w:val="24"/>
          <w:szCs w:val="24"/>
        </w:rPr>
        <w:t xml:space="preserve"> Surgery in intraabdominal sepsis improves survival. The studies suggest early intervention reduce mortality by decreasing multi</w:t>
      </w:r>
      <w:r w:rsidR="00920457">
        <w:rPr>
          <w:rFonts w:eastAsia="MS Gothic" w:hAnsi="Calibri" w:cstheme="minorHAnsi"/>
          <w:sz w:val="24"/>
          <w:szCs w:val="24"/>
        </w:rPr>
        <w:t xml:space="preserve"> </w:t>
      </w:r>
      <w:r w:rsidRPr="009176BD">
        <w:rPr>
          <w:rFonts w:cstheme="minorHAnsi"/>
          <w:sz w:val="24"/>
          <w:szCs w:val="24"/>
        </w:rPr>
        <w:t>o</w:t>
      </w:r>
      <w:r w:rsidR="00920457">
        <w:rPr>
          <w:rFonts w:cstheme="minorHAnsi"/>
          <w:sz w:val="24"/>
          <w:szCs w:val="24"/>
        </w:rPr>
        <w:t>rgan failure</w:t>
      </w:r>
      <w:r w:rsidR="006331EC">
        <w:rPr>
          <w:rFonts w:cstheme="minorHAnsi"/>
          <w:sz w:val="24"/>
          <w:szCs w:val="24"/>
        </w:rPr>
        <w:fldChar w:fldCharType="begin"/>
      </w:r>
      <w:r w:rsidR="00A93AA2">
        <w:rPr>
          <w:rFonts w:cstheme="minorHAnsi"/>
          <w:sz w:val="24"/>
          <w:szCs w:val="24"/>
        </w:rPr>
        <w:instrText xml:space="preserve"> ADDIN ZOTERO_ITEM CSL_CITATION {"citationID":"ujd7A8zU","properties":{"formattedCitation":"(14)","plainCitation":"(14)","noteIndex":0},"citationItems":[{"id":37,"uris":["http://zotero.org/users/local/OmjLzqcp/items/J3D3XRUG"],"uri":["http://zotero.org/users/local/OmjLzqcp/items/J3D3XRUG"],"itemData":{"id":37,"type":"article-journal","abstract":"Relaparotomy may be beneficial in patients developing intraperitoneal sepsis after abdominal procedures. We determined whether joint clinical assessment by intensivist and surgeon (clinician assessment) identified patients with surgically correctable intraperitoneal sepsis. We also assessed the effect of patient age and sex, disease presentation and severity, interval to relaparotomy, and the number of relaparotomies on survival after relaparotomy. Data on clinical, laboratory, and radiologic abnormalities prior to relaparotomy, relaparotomy findings, and in-hospital survival were prospectively collected on a general hospital intensive care unit (ICU) database between January 1997 and January 2002. Altogether, 65 of 1482 (4.4%) patients admitted to the ICU after abdominal surgery underwent relaparotomy at a median of 5 days after the initial procedure. There was an 83% probability of identifying surgically treatable sepsis and 43% in-hospital mortality. Abdominal imaging contributed accurate information in 50% of cases where clinician assessment was uncertain. Patient age and multiorgan failure prior to relaparotomy-but not urgency of initial laparotomy or the acute physiology and chronic health evaluation (APACHE II) score prior to relaparotomy, interval to relaparotomy, or number of relaparotomies-affected the outcome. Clinician assessment after abdominal surgery had a high probability of predicting intraperitoneal sepsis at relaparotomy. The 43% mortality after relaparotomy was unlikely to be greater than with nonoperative treatment of intraabdominal sepsis, but the 78% mortality after relaparotomy in patients older than 75 years of age raised doubts about this approach in the elderly. The identification of intraperitoneal sepsis and performance of relaparotomy earlier after the initial abdominal surgery might reduce the high rate (60%) of multiorgan failure prior to relaparotomy and improve survival after it.","container-title":"World Journal of Surgery","DOI":"10.1007/s00268-003-7067-8","ISSN":"0364-2313","issue":"2","journalAbbreviation":"World J Surg","language":"eng","note":"PMID: 14708056","page":"137-141","source":"PubMed","title":"Relaparotomy for suspected intraperitoneal sepsis after abdominal surgery","volume":"28","author":[{"family":"Hutchins","given":"Robert R."},{"family":"Gunning","given":"M. Paul"},{"family":"Lucas","given":"D. Nuala"},{"family":"Allen-Mersh","given":"Timothy G."},{"family":"Soni","given":"Neil C."}],"issued":{"date-parts":[["2004",2]]}}}],"schema":"https://github.com/citation-style-language/schema/raw/master/csl-citation.json"} </w:instrText>
      </w:r>
      <w:r w:rsidR="006331EC">
        <w:rPr>
          <w:rFonts w:cstheme="minorHAnsi"/>
          <w:sz w:val="24"/>
          <w:szCs w:val="24"/>
        </w:rPr>
        <w:fldChar w:fldCharType="separate"/>
      </w:r>
      <w:r w:rsidR="00F60978">
        <w:rPr>
          <w:rFonts w:ascii="Calibri" w:hAnsi="Calibri" w:cs="Calibri"/>
          <w:sz w:val="24"/>
        </w:rPr>
        <w:t>(15</w:t>
      </w:r>
      <w:r w:rsidR="00A93AA2" w:rsidRPr="00A93AA2">
        <w:rPr>
          <w:rFonts w:ascii="Calibri" w:hAnsi="Calibri" w:cs="Calibri"/>
          <w:sz w:val="24"/>
        </w:rPr>
        <w:t>)</w:t>
      </w:r>
      <w:r w:rsidR="006331EC">
        <w:rPr>
          <w:rFonts w:cstheme="minorHAnsi"/>
          <w:sz w:val="24"/>
          <w:szCs w:val="24"/>
        </w:rPr>
        <w:fldChar w:fldCharType="end"/>
      </w:r>
      <w:r w:rsidR="00A93AA2">
        <w:rPr>
          <w:rFonts w:cstheme="minorHAnsi"/>
          <w:sz w:val="24"/>
          <w:szCs w:val="24"/>
        </w:rPr>
        <w:t>.</w:t>
      </w:r>
    </w:p>
    <w:p w:rsidR="009176BD" w:rsidRDefault="009176BD" w:rsidP="002F4AB7">
      <w:pPr>
        <w:jc w:val="both"/>
        <w:rPr>
          <w:rFonts w:cstheme="minorHAnsi"/>
          <w:sz w:val="24"/>
          <w:szCs w:val="24"/>
        </w:rPr>
      </w:pPr>
      <w:r w:rsidRPr="009176BD">
        <w:rPr>
          <w:rFonts w:cstheme="minorHAnsi"/>
          <w:sz w:val="24"/>
          <w:szCs w:val="24"/>
        </w:rPr>
        <w:t>Despite the development of antibiotics and significant improvement in intensive care support, mortality after relaparotomy ranges from 24 to 71 %. Factors associated with high mortality are elderly patients, peritonitis at the initial surgery and multi organ failure</w:t>
      </w:r>
      <w:r w:rsidR="006331EC">
        <w:rPr>
          <w:rFonts w:cstheme="minorHAnsi"/>
          <w:sz w:val="24"/>
          <w:szCs w:val="24"/>
        </w:rPr>
        <w:fldChar w:fldCharType="begin"/>
      </w:r>
      <w:r w:rsidR="008E2B17">
        <w:rPr>
          <w:rFonts w:cstheme="minorHAnsi"/>
          <w:sz w:val="24"/>
          <w:szCs w:val="24"/>
        </w:rPr>
        <w:instrText xml:space="preserve"> ADDIN ZOTERO_ITEM CSL_CITATION {"citationID":"GLZ5EBEG","properties":{"formattedCitation":"(11,12,15)","plainCitation":"(11,12,15)","noteIndex":0},"citationItems":[{"id":19,"uris":["http://zotero.org/users/local/OmjLzqcp/items/QMIEZ44F"],"uri":["http://zotero.org/users/local/OmjLzqcp/items/QMIEZ44F"],"itemData":{"id":19,"type":"article-journal","abstract":"Background\nTreatment of a number of complications that occur after abdominal surgeries may require that Urgent Abdominal Re-explorations (UARs), the life-saving and obligatory operations, are performed. The objectives of this study were to evaluate the reasons for performing UARs, outcomes of relaparotomies (RLs) and factors that affect mortality.\n\nMethods\nDemographic characteristics; initial diagnoses; information from and complications of the first surgery received; durations and outcomes of UAR(s) performed in patients who received early RLs because of complicated abdominal surgeries in our clinic between 01.01.2000 and 31.12.2004 were investigated retrospectively. Statistical analyses were done using the chi-square and Fisher exact tests.\n\nResults\nEarly UAR was performed in 81 out of 4410 cases (1.8%). Average patient age was 50.46 (13–81) years with a male-to-female ratio of 60/21. Fifty one (62.96%) patients had infection, 41 (50.61%) of them had an accompanying serious disease, 24 (29.62%) of them had various tumors and 57 (70.37%) patients were operated under emergency conditions during first operation. Causes of urgent abdominal re-explorations were as follows: leakage from intestinal repair site or from anostomosis (n:34; 41.97%); hemorrhage (n:15; 18.51%); intestinal perforation (n:8; 9.87%); intraabdominal infection or abscess (n:8; 9.87%); progressive intestinal necrosis (n:7; 8.64%); stomal complications (n:5; 6.17%); and postoperative ileus (n:4; 4.93%). Two or more UARs were performed in 18 (22.22%) cases, and overall mortality was 34.97% (n:30). Interval between the first laparotomy and UAR averaged as 6.95 (1–20) days, and average hospitalization period was 27.1 (3–78) days., Mortality rate was found to be higher among the patients who received multiple UARs. The most common (55.5%) cause of mortality was sepsis/multiple organ failure (MOF). The rates for common mortality and sepsis/MOF-dependent mortality that occured following UAR were significantly higher in patients who received GIS surgery than in those who received other types of surgeries (p:0.000 and 0.010, respectively).\n\nConclusion\nUARs that are performed following complicated abdominal surgeries have high mortality rates. In particular, UARs have higher mortality rates following GIS surgeries or when infectious complications occur. The possibility of efficiently lowering these high rates depends on the success of the first operations that the patient had received.","container-title":"World Journal of Emergency Surgery","DOI":"10.1186/1749-7922-1-10","ISSN":"1749-7922","journalAbbreviation":"World J Emerg Surg","note":"PMID: 16759414\nPMCID: PMC1475563","page":"10","source":"PubMed Central","title":"Urgent Abdominal Re-Explorations","volume":"1","author":[{"family":"Unalp","given":"Haluk Recai"},{"family":"Kamer","given":"Erdinc"},{"family":"Kar","given":"Haldun"},{"family":"Bal","given":"Ahmet"},{"family":"Peskersoy","given":"Mustafa"},{"family":"Ali Onal","given":"Mehmet"}],"issued":{"date-parts":[["2006",4,4]]}},"label":"page"},{"id":22,"uris":["http://zotero.org/users/local/OmjLzqcp/items/C2U9LDHB"],"uri":["http://zotero.org/users/local/OmjLzqcp/items/C2U9LDHB"],"itemData":{"id":22,"type":"article-journal","abstract":"A proportion of the operations performed in a surgical gastroenterology department are unplanned repeat laparotomies for complications of the original procedure. We examined why, in our department, these 'redo' laparotomies were performed and what was their outcome. We retrospectively analyzed 6530 patients operated between September 1996 - December 2010, of these 257 redo laparotomies were performed in 193(2.5 %) patients. There were 138 males and 55 females who had a mean age of 42 years (range 7-68 years). Eighty one (42 %) of the index surgeries were elective and 112 (58 %) performed in the emergency situation. Pancreas was the commonest organ for the index operation {50 (25.9 %)}, followed by the colon and rectum {45 (23.3 %)} and the small bowel {36 (18.7 %)}. Postoperative bleeding was the most common cause for re-exploration 66 (34.2 %) followed by an abscess or fluid collection that required surgical drainage 57 (29.6 %). The mortality rate after redo laparotomies was 33.2 % with sepsis and multi-organ failure being the commonest cause of death. Urgent redo-laparotomies that are performed following complicated abdominal operations have a high mortality rate. Postoperative bleeding, intrabdominal abscess and peritonitis are the commonest cause for redo-laparotomy. Multiple redolaparotomies and associated co-morbid conditions are significant predictors of mortality.","container-title":"The Indian Journal of Surgery","DOI":"10.1007/s12262-012-0760-9","ISSN":"0972-2068","issue":"3","journalAbbreviation":"Indian J Surg","language":"eng","note":"PMID: 26246701\nPMCID: PMC4522257","page":"195-199","source":"PubMed","title":"Urgent Redo-Laparotomies: Patterns and Outcome-A Single Centre Experience","title-short":"Urgent Redo-Laparotomies","volume":"77","author":[{"family":"Koirala","given":"Rabin"},{"family":"Mehta","given":"Naimish"},{"family":"Varma","given":"Vibha"},{"family":"Kapoor","given":"Sorabh"},{"family":"Kumaran","given":"Vinay"},{"family":"Nundy","given":"Samiran"}],"issued":{"date-parts":[["2015",6]]}},"label":"page"},{"id":39,"uris":["http://zotero.org/users/local/OmjLzqcp/items/XB8YYUZP"],"uri":["http://zotero.org/users/local/OmjLzqcp/items/XB8YYUZP"],"itemData":{"id":39,"type":"article-journal","abstract":"From 1980 to 1987, 10,446 patients were operated on. In 152 patients, the necessity of a repeated operative intervention arose. In 106 patients the emergency, in 42--delayed, and in 4--elective relaparotomies were performed. There were the following indications for relaparotomy: diffuse and circumscribed peritonitis (78 patients), ileus (46), eventration (11), hemorrhage (12), others (5). Diagnosis of postoperative complications requiring relaparotomy is difficult. The postoperative lethality was 26%.","container-title":"Klinicheskaia Khirurgiia","issue":"1","journalAbbreviation":"Klin Khir","language":"rus","note":"PMID: 2338775","page":"18-21","source":"PubMed","title":"[Indications for relaparotomy]","author":[{"family":"Krivitskiĭ","given":"D. I."},{"family":"Shuliarenko","given":"V. A."},{"family":"Babin","given":"I. A."}],"issued":{"date-parts":[["1990"]]}},"label":"page"}],"schema":"https://github.com/citation-style-language/schema/raw/master/csl-citation.json"} </w:instrText>
      </w:r>
      <w:r w:rsidR="006331EC">
        <w:rPr>
          <w:rFonts w:cstheme="minorHAnsi"/>
          <w:sz w:val="24"/>
          <w:szCs w:val="24"/>
        </w:rPr>
        <w:fldChar w:fldCharType="separate"/>
      </w:r>
      <w:r w:rsidR="00F60978">
        <w:rPr>
          <w:rFonts w:ascii="Calibri" w:hAnsi="Calibri" w:cs="Calibri"/>
          <w:sz w:val="24"/>
        </w:rPr>
        <w:t>(12,13,16</w:t>
      </w:r>
      <w:r w:rsidR="008E2B17" w:rsidRPr="008E2B17">
        <w:rPr>
          <w:rFonts w:ascii="Calibri" w:hAnsi="Calibri" w:cs="Calibri"/>
          <w:sz w:val="24"/>
        </w:rPr>
        <w:t>)</w:t>
      </w:r>
      <w:r w:rsidR="006331EC">
        <w:rPr>
          <w:rFonts w:cstheme="minorHAnsi"/>
          <w:sz w:val="24"/>
          <w:szCs w:val="24"/>
        </w:rPr>
        <w:fldChar w:fldCharType="end"/>
      </w:r>
      <w:r w:rsidR="005B378C">
        <w:rPr>
          <w:rFonts w:cstheme="minorHAnsi"/>
          <w:sz w:val="24"/>
          <w:szCs w:val="24"/>
        </w:rPr>
        <w:t>.</w:t>
      </w:r>
    </w:p>
    <w:p w:rsidR="00C27B6C" w:rsidRPr="0074505D" w:rsidRDefault="00F64E05" w:rsidP="002F4AB7">
      <w:pPr>
        <w:autoSpaceDE w:val="0"/>
        <w:autoSpaceDN w:val="0"/>
        <w:adjustRightInd w:val="0"/>
        <w:spacing w:after="0" w:line="240" w:lineRule="auto"/>
        <w:jc w:val="both"/>
        <w:rPr>
          <w:rFonts w:cstheme="minorHAnsi"/>
          <w:sz w:val="24"/>
          <w:szCs w:val="24"/>
        </w:rPr>
      </w:pPr>
      <w:r>
        <w:rPr>
          <w:rFonts w:cstheme="minorHAnsi"/>
          <w:sz w:val="24"/>
          <w:szCs w:val="24"/>
        </w:rPr>
        <w:t xml:space="preserve">There are different classifications of relaparatomy. The two essential approaches for managing post op collection are </w:t>
      </w:r>
      <w:r w:rsidR="009176BD" w:rsidRPr="009176BD">
        <w:rPr>
          <w:rFonts w:cstheme="minorHAnsi"/>
          <w:sz w:val="24"/>
          <w:szCs w:val="24"/>
        </w:rPr>
        <w:t>RL on</w:t>
      </w:r>
      <w:r w:rsidR="005B378C">
        <w:rPr>
          <w:rFonts w:eastAsia="MS Gothic" w:hAnsi="Calibri" w:cstheme="minorHAnsi"/>
          <w:sz w:val="24"/>
          <w:szCs w:val="24"/>
        </w:rPr>
        <w:t>-</w:t>
      </w:r>
      <w:r w:rsidR="009176BD" w:rsidRPr="009176BD">
        <w:rPr>
          <w:rFonts w:cstheme="minorHAnsi"/>
          <w:sz w:val="24"/>
          <w:szCs w:val="24"/>
        </w:rPr>
        <w:t>demand (“wa</w:t>
      </w:r>
      <w:r>
        <w:rPr>
          <w:rFonts w:cstheme="minorHAnsi"/>
          <w:sz w:val="24"/>
          <w:szCs w:val="24"/>
        </w:rPr>
        <w:t xml:space="preserve">it and see” approach) </w:t>
      </w:r>
      <w:r w:rsidR="008E2B17">
        <w:rPr>
          <w:rFonts w:cstheme="minorHAnsi"/>
          <w:sz w:val="24"/>
          <w:szCs w:val="24"/>
        </w:rPr>
        <w:t>and planned RL</w:t>
      </w:r>
      <w:r w:rsidR="006331EC">
        <w:rPr>
          <w:rFonts w:cstheme="minorHAnsi"/>
          <w:sz w:val="24"/>
          <w:szCs w:val="24"/>
        </w:rPr>
        <w:fldChar w:fldCharType="begin"/>
      </w:r>
      <w:r w:rsidR="008E2B17">
        <w:rPr>
          <w:rFonts w:cstheme="minorHAnsi"/>
          <w:sz w:val="24"/>
          <w:szCs w:val="24"/>
        </w:rPr>
        <w:instrText xml:space="preserve"> ADDIN ZOTERO_ITEM CSL_CITATION {"citationID":"1YdQSGSB","properties":{"formattedCitation":"(16)","plainCitation":"(16)","noteIndex":0},"citationItems":[{"id":48,"uris":["http://zotero.org/users/local/OmjLzqcp/items/Q7RXFPPW"],"uri":["http://zotero.org/users/local/OmjLzqcp/items/Q7RXFPPW"],"itemData":{"id":48,"type":"webpage","title":"Surveyed opinion of American trauma surgeons on the prevention of the abdominal compartment syndrome. - Abstract - Europe PMC","URL":"https://europepmc.org/article/MED/10498305","accessed":{"date-parts":[["2020",10,21]]}}}],"schema":"https://github.com/citation-style-language/schema/raw/master/csl-citation.json"} </w:instrText>
      </w:r>
      <w:r w:rsidR="006331EC">
        <w:rPr>
          <w:rFonts w:cstheme="minorHAnsi"/>
          <w:sz w:val="24"/>
          <w:szCs w:val="24"/>
        </w:rPr>
        <w:fldChar w:fldCharType="separate"/>
      </w:r>
      <w:r w:rsidR="00F60978">
        <w:rPr>
          <w:rFonts w:ascii="Calibri" w:hAnsi="Calibri" w:cs="Calibri"/>
          <w:sz w:val="24"/>
        </w:rPr>
        <w:t>(17</w:t>
      </w:r>
      <w:r w:rsidR="008E2B17" w:rsidRPr="008E2B17">
        <w:rPr>
          <w:rFonts w:ascii="Calibri" w:hAnsi="Calibri" w:cs="Calibri"/>
          <w:sz w:val="24"/>
        </w:rPr>
        <w:t>)</w:t>
      </w:r>
      <w:r w:rsidR="006331EC">
        <w:rPr>
          <w:rFonts w:cstheme="minorHAnsi"/>
          <w:sz w:val="24"/>
          <w:szCs w:val="24"/>
        </w:rPr>
        <w:fldChar w:fldCharType="end"/>
      </w:r>
      <w:r w:rsidR="009176BD" w:rsidRPr="009176BD">
        <w:rPr>
          <w:rFonts w:cstheme="minorHAnsi"/>
          <w:sz w:val="24"/>
          <w:szCs w:val="24"/>
        </w:rPr>
        <w:t xml:space="preserve">. RLs are called on demand if the relaparotomy is performed only when there is clinical deterioration or lack of improvement and called planned if relaparotomy is planned every 48 hours unless </w:t>
      </w:r>
      <w:r w:rsidR="009176BD" w:rsidRPr="009176BD">
        <w:rPr>
          <w:rFonts w:cstheme="minorHAnsi"/>
          <w:sz w:val="24"/>
          <w:szCs w:val="24"/>
        </w:rPr>
        <w:lastRenderedPageBreak/>
        <w:t xml:space="preserve">findings at relaparotomy are negative and decided on during the first surgery. The main advantages of planned relaparotomy are early detection of persistent infection or infectious complications (potentially beneficial to patient outcome) and limited adhesion formation during early relaparotomy (possibly reducing the risk of surgical complications). The drawback of </w:t>
      </w:r>
      <w:r w:rsidR="0000416A">
        <w:rPr>
          <w:rFonts w:cstheme="minorHAnsi"/>
          <w:sz w:val="24"/>
          <w:szCs w:val="24"/>
        </w:rPr>
        <w:t>planned relaparo</w:t>
      </w:r>
      <w:r w:rsidR="009176BD" w:rsidRPr="009176BD">
        <w:rPr>
          <w:rFonts w:cstheme="minorHAnsi"/>
          <w:sz w:val="24"/>
          <w:szCs w:val="24"/>
        </w:rPr>
        <w:t>tomy is unnecessary re</w:t>
      </w:r>
      <w:r w:rsidR="005B378C">
        <w:rPr>
          <w:rFonts w:cstheme="minorHAnsi"/>
          <w:sz w:val="24"/>
          <w:szCs w:val="24"/>
        </w:rPr>
        <w:t>-</w:t>
      </w:r>
      <w:r w:rsidR="009176BD" w:rsidRPr="009176BD">
        <w:rPr>
          <w:rFonts w:cstheme="minorHAnsi"/>
          <w:sz w:val="24"/>
          <w:szCs w:val="24"/>
        </w:rPr>
        <w:t xml:space="preserve">explorations in critically ill patients and increased cost. The advantage of relaparotomy on demand is that the procedure is limited to patients who do in fact need such treatment, preventing unnecessary operations when infection has resolved during conventional postoperative treatment. Furthermore, the on-demand strategy provides a time lapse that may allow the development of a contained infection accessible to percutaneous interventional </w:t>
      </w:r>
      <w:r w:rsidR="008E2B17">
        <w:rPr>
          <w:rFonts w:cstheme="minorHAnsi"/>
          <w:sz w:val="24"/>
          <w:szCs w:val="24"/>
        </w:rPr>
        <w:t>techniques</w:t>
      </w:r>
      <w:r w:rsidR="006331EC">
        <w:rPr>
          <w:rFonts w:cstheme="minorHAnsi"/>
          <w:sz w:val="24"/>
          <w:szCs w:val="24"/>
        </w:rPr>
        <w:fldChar w:fldCharType="begin"/>
      </w:r>
      <w:r w:rsidR="008E2B17">
        <w:rPr>
          <w:rFonts w:cstheme="minorHAnsi"/>
          <w:sz w:val="24"/>
          <w:szCs w:val="24"/>
        </w:rPr>
        <w:instrText xml:space="preserve"> ADDIN ZOTERO_ITEM CSL_CITATION {"citationID":"H5Yn5Wi5","properties":{"formattedCitation":"(17)","plainCitation":"(17)","noteIndex":0},"citationItems":[{"id":82,"uris":["http://zotero.org/users/local/OmjLzqcp/items/5WYX848H"],"uri":["http://zotero.org/users/local/OmjLzqcp/items/5WYX848H"],"itemData":{"id":82,"type":"article-journal","abstract":"BACKGROUND: Planned relaparotomy and relaparotomy on demand are two frequently employed surgical treatment strategies for patients with abdominal sepsis.\nMETHODS: The available literature was evaluated to compare the efficacy of both surgical treatment strategies. A systematic search for studies comparing planned and on-demand relaparotomy strategies in adult patients with secondary peritonitis was employed. Studies were reviewed independently for design features, inclusion and exclusion criteria, and outcomes. The primary outcome measure was in-hospital mortality.\nRESULTS: No randomized studies were found; eight observational studies with a total of 1266 patients (planned relaparotomy, 286; relaparotomy on demand, 980) met the inclusion criteria and were included in the meta-analysis. These eight studies were heterogeneous on clinical and statistical grounds (chi2= 40.7, d.f. = 7, P &lt; 0.001). Using a random-effects approach, the combined odds ratio for in-hospital mortality was 0.70 (95 per cent confidence interval 0.27 to 1.80) in favour of the on-demand strategy.\nCONCLUSION: The combined results of observational studies show a statistically non-significant reduction in mortality for the on-demand relaparotomy strategy compared with the planned relaparotomy strategy when corrected for heterogeneity in a random-effects model. Owing to the non-randomized nature of the studies, the limited number of patients per study, and the heterogeneity between studies, the overall evidence generated by the eight studies was inconclusive.","container-title":"The British Journal of Surgery","DOI":"10.1046/j.1365-2168.2002.02293.x","ISSN":"0007-1323","issue":"12","journalAbbreviation":"Br J Surg","language":"eng","note":"PMID: 12445059","page":"1516-1524","source":"PubMed","title":"Meta-analysis of relaparotomy for secondary peritonitis","volume":"89","author":[{"family":"Lamme","given":"B."},{"family":"Boermeester","given":"M. A."},{"family":"Reitsma","given":"J. B."},{"family":"Mahler","given":"C. W."},{"family":"Obertop","given":"H."},{"family":"Gouma","given":"D. J."}],"issued":{"date-parts":[["2002",12]]}}}],"schema":"https://github.com/citation-style-language/schema/raw/master/csl-citation.json"} </w:instrText>
      </w:r>
      <w:r w:rsidR="006331EC">
        <w:rPr>
          <w:rFonts w:cstheme="minorHAnsi"/>
          <w:sz w:val="24"/>
          <w:szCs w:val="24"/>
        </w:rPr>
        <w:fldChar w:fldCharType="separate"/>
      </w:r>
      <w:r w:rsidR="00F60978">
        <w:rPr>
          <w:rFonts w:ascii="Calibri" w:hAnsi="Calibri" w:cs="Calibri"/>
          <w:sz w:val="24"/>
        </w:rPr>
        <w:t>(18</w:t>
      </w:r>
      <w:r w:rsidR="008E2B17" w:rsidRPr="008E2B17">
        <w:rPr>
          <w:rFonts w:ascii="Calibri" w:hAnsi="Calibri" w:cs="Calibri"/>
          <w:sz w:val="24"/>
        </w:rPr>
        <w:t>)</w:t>
      </w:r>
      <w:r w:rsidR="006331EC">
        <w:rPr>
          <w:rFonts w:cstheme="minorHAnsi"/>
          <w:sz w:val="24"/>
          <w:szCs w:val="24"/>
        </w:rPr>
        <w:fldChar w:fldCharType="end"/>
      </w:r>
      <w:r w:rsidR="009176BD" w:rsidRPr="009176BD">
        <w:rPr>
          <w:rFonts w:cstheme="minorHAnsi"/>
          <w:sz w:val="24"/>
          <w:szCs w:val="24"/>
        </w:rPr>
        <w:t xml:space="preserve">. </w:t>
      </w:r>
      <w:r w:rsidR="00B43E5A">
        <w:rPr>
          <w:rFonts w:cstheme="minorHAnsi"/>
          <w:sz w:val="24"/>
          <w:szCs w:val="24"/>
        </w:rPr>
        <w:t xml:space="preserve">The drawback of on-demand relaparatomy is </w:t>
      </w:r>
      <w:r w:rsidR="00C27B6C">
        <w:rPr>
          <w:rFonts w:cstheme="minorHAnsi"/>
          <w:sz w:val="24"/>
          <w:szCs w:val="24"/>
        </w:rPr>
        <w:t>v</w:t>
      </w:r>
      <w:r w:rsidR="009176BD" w:rsidRPr="009176BD">
        <w:rPr>
          <w:rFonts w:cstheme="minorHAnsi"/>
          <w:sz w:val="24"/>
          <w:szCs w:val="24"/>
        </w:rPr>
        <w:t>igilant monitoring of the patient is a requi</w:t>
      </w:r>
      <w:r w:rsidR="00B43E5A">
        <w:rPr>
          <w:rFonts w:cstheme="minorHAnsi"/>
          <w:sz w:val="24"/>
          <w:szCs w:val="24"/>
        </w:rPr>
        <w:t>rement</w:t>
      </w:r>
      <w:r w:rsidR="009176BD" w:rsidRPr="009176BD">
        <w:rPr>
          <w:rFonts w:cstheme="minorHAnsi"/>
          <w:sz w:val="24"/>
          <w:szCs w:val="24"/>
        </w:rPr>
        <w:t xml:space="preserve">. Round the clock decision making is required in order to perform a timely reoperation. </w:t>
      </w:r>
      <w:r w:rsidR="00C27B6C">
        <w:rPr>
          <w:rFonts w:cstheme="minorHAnsi"/>
          <w:sz w:val="24"/>
          <w:szCs w:val="24"/>
        </w:rPr>
        <w:t>Even after close follow up, there is lack of standardized</w:t>
      </w:r>
      <w:r w:rsidR="00C27B6C" w:rsidRPr="0074505D">
        <w:rPr>
          <w:rFonts w:cstheme="minorHAnsi"/>
          <w:sz w:val="24"/>
          <w:szCs w:val="24"/>
        </w:rPr>
        <w:t xml:space="preserve"> criteria to</w:t>
      </w:r>
      <w:r w:rsidR="00C27B6C">
        <w:rPr>
          <w:rFonts w:cstheme="minorHAnsi"/>
          <w:sz w:val="24"/>
          <w:szCs w:val="24"/>
        </w:rPr>
        <w:t xml:space="preserve"> define when to perform a relaparotomy during</w:t>
      </w:r>
      <w:r w:rsidR="00C27B6C" w:rsidRPr="0074505D">
        <w:rPr>
          <w:rFonts w:cstheme="minorHAnsi"/>
          <w:sz w:val="24"/>
          <w:szCs w:val="24"/>
        </w:rPr>
        <w:t xml:space="preserve"> the course of disease.</w:t>
      </w:r>
    </w:p>
    <w:p w:rsidR="009176BD" w:rsidRPr="009176BD" w:rsidRDefault="009176BD" w:rsidP="002F4AB7">
      <w:pPr>
        <w:jc w:val="both"/>
        <w:rPr>
          <w:rFonts w:cstheme="minorHAnsi"/>
          <w:sz w:val="24"/>
          <w:szCs w:val="24"/>
        </w:rPr>
      </w:pPr>
    </w:p>
    <w:p w:rsidR="009176BD" w:rsidRPr="009176BD" w:rsidRDefault="009176BD" w:rsidP="002F4AB7">
      <w:pPr>
        <w:jc w:val="both"/>
        <w:rPr>
          <w:rFonts w:cstheme="minorHAnsi"/>
          <w:sz w:val="24"/>
          <w:szCs w:val="24"/>
        </w:rPr>
      </w:pPr>
      <w:r w:rsidRPr="009176BD">
        <w:rPr>
          <w:rFonts w:cstheme="minorHAnsi"/>
          <w:sz w:val="24"/>
          <w:szCs w:val="24"/>
        </w:rPr>
        <w:t>Both strategies have advantages and disadvantages and are still used side-by-side in clinical practice despite growing support for on demand strategy.</w:t>
      </w:r>
      <w:r w:rsidR="004562D8" w:rsidRPr="004562D8">
        <w:t xml:space="preserve"> </w:t>
      </w:r>
      <w:r w:rsidR="004562D8" w:rsidRPr="004562D8">
        <w:rPr>
          <w:rFonts w:cstheme="minorHAnsi"/>
          <w:sz w:val="24"/>
          <w:szCs w:val="24"/>
        </w:rPr>
        <w:t>The studies conducted in the past few years does not seem to suggest that either approaches confers a superior advantage in terms of mortality</w:t>
      </w:r>
      <w:r w:rsidR="006331EC">
        <w:rPr>
          <w:rFonts w:cstheme="minorHAnsi"/>
          <w:sz w:val="24"/>
          <w:szCs w:val="24"/>
        </w:rPr>
        <w:fldChar w:fldCharType="begin"/>
      </w:r>
      <w:r w:rsidR="006913E9">
        <w:rPr>
          <w:rFonts w:cstheme="minorHAnsi"/>
          <w:sz w:val="24"/>
          <w:szCs w:val="24"/>
        </w:rPr>
        <w:instrText xml:space="preserve"> ADDIN ZOTERO_ITEM CSL_CITATION {"citationID":"fDnBgP2W","properties":{"formattedCitation":"(17\\uc0\\u8211{}20)","plainCitation":"(17–20)","noteIndex":0},"citationItems":[{"id":82,"uris":["http://zotero.org/users/local/OmjLzqcp/items/5WYX848H"],"uri":["http://zotero.org/users/local/OmjLzqcp/items/5WYX848H"],"itemData":{"id":82,"type":"article-journal","abstract":"BACKGROUND: Planned relaparotomy and relaparotomy on demand are two frequently employed surgical treatment strategies for patients with abdominal sepsis.\nMETHODS: The available literature was evaluated to compare the efficacy of both surgical treatment strategies. A systematic search for studies comparing planned and on-demand relaparotomy strategies in adult patients with secondary peritonitis was employed. Studies were reviewed independently for design features, inclusion and exclusion criteria, and outcomes. The primary outcome measure was in-hospital mortality.\nRESULTS: No randomized studies were found; eight observational studies with a total of 1266 patients (planned relaparotomy, 286; relaparotomy on demand, 980) met the inclusion criteria and were included in the meta-analysis. These eight studies were heterogeneous on clinical and statistical grounds (chi2= 40.7, d.f. = 7, P &lt; 0.001). Using a random-effects approach, the combined odds ratio for in-hospital mortality was 0.70 (95 per cent confidence interval 0.27 to 1.80) in favour of the on-demand strategy.\nCONCLUSION: The combined results of observational studies show a statistically non-significant reduction in mortality for the on-demand relaparotomy strategy compared with the planned relaparotomy strategy when corrected for heterogeneity in a random-effects model. Owing to the non-randomized nature of the studies, the limited number of patients per study, and the heterogeneity between studies, the overall evidence generated by the eight studies was inconclusive.","container-title":"The British Journal of Surgery","DOI":"10.1046/j.1365-2168.2002.02293.x","ISSN":"0007-1323","issue":"12","journalAbbreviation":"Br J Surg","language":"eng","note":"PMID: 12445059","page":"1516-1524","source":"PubMed","title":"Meta-analysis of relaparotomy for secondary peritonitis","volume":"89","author":[{"family":"Lamme","given":"B."},{"family":"Boermeester","given":"M. A."},{"family":"Reitsma","given":"J. B."},{"family":"Mahler","given":"C. W."},{"family":"Obertop","given":"H."},{"family":"Gouma","given":"D. J."}],"issued":{"date-parts":[["2002",12]]}},"label":"page"},{"id":80,"uris":["http://zotero.org/users/local/OmjLzqcp/items/YUU7AN36"],"uri":["http://zotero.org/users/local/OmjLzqcp/items/YUU7AN36"],"itemData":{"id":80,"type":"article-journal","abstract":"AIM: To compare morbidity and mortality of patients with severe intra-abdominal infections after two types of surgical treatment, on-demand (\"wait and see\") relaparotomy and modified planned relaparotomy.\nMETHODS: We prospectively analyzed the outcomes of 65 patients with severe peritonitis surgically treated in two Croatian hospitals. In one hospital, 34 patients were treated on-demand, and in another hospital 31 patients were treated by planned relaparotomy. We compared severe postoperative complications, mortality, and length of hospital stay in the two groups of patients.\nRESULTS: Severity of patient's disease, as measured from preoperative group-average Acute Physiology and Chronic Health Evaluation (APACHE) II scores, was comparable in both on-demand and planned relaparotomy groups. The mortality rate was higher in patients operated on-demand (59% vs 29%, P=0.024). In nonadjusted model, the relative risk of dying was 2.5-fold higher for patients treated by on-demand operation in comparison with planned relaparatomy (P=0.030). However, after the adjustment of the survival data for individual patient's sex and APACHE II scores, the difference in the relative risk became non-significant (P=0.178). The patients who died had higher APACHE II scores (26.1+/-8.9 vs 19.7+/-5.9, P=0.009). Relative risk of dying per 5-point increase in APACHE II score was 1.24 (95% confidence interval, 1.01-1.51; P=0.039), irrespective of the surgical technique.\nCONCLUSIONS: Patients with severe peritonitis treated with planned relaparotomy seemed to have lower mortality. However, the relative risk of dying was not statistically different between the on-demand and planned relaparotomy groups after adjustment for preoperative APACHE II scores. The severity of disease rather than surgical approach plays more important role in survival of these patients.","container-title":"Croatian Medical Journal","ISSN":"0353-9504","issue":"6","journalAbbreviation":"Croat Med J","language":"eng","note":"PMID: 16342350","page":"957-963","source":"PubMed","title":"Comparison of on-demand vs planned relaparotomy for treatment of severe intra-abdominal infections","volume":"46","author":[{"family":"Rakić","given":"Mladen"},{"family":"Popović","given":"Drago"},{"family":"Rakić","given":"Mislav"},{"family":"Druzijanić","given":"Nikica"},{"family":"Lojpur","given":"Mihajlo"},{"family":"Hall","given":"Brian A."},{"family":"Williams","given":"Brent A."},{"family":"Sprung","given":"Juraj"}],"issued":{"date-parts":[["2005",12]]}},"label":"page"},{"id":84,"uris":["http://zotero.org/users/local/OmjLzqcp/items/BYJVM6PM"],"uri":["http://zotero.org/users/local/OmjLzqcp/items/BYJVM6PM"],"itemData":{"id":84,"type":"article-journal","abstract":"BACKGROUND: Planned relaparotomy (PR) and relaparotomy on demand (ROD) are both frequently used in the treatment of secondary peritonitis. The aim of this study was to evaluate the mortality, morbidity and long-term outcome associated with PR compared with ROD in patients with secondary peritonitis admitted to a university hospital.\nMETHOD: This retrospective study included 278 consecutive patients who underwent emergency laparotomy for secondary peritonitis between January 1994 and January 2000. Outcome was analysed based on the decision made by the surgeon during the first operation to perform either ROD (197 patients) or PR (81).\nRESULTS: The Acute Physiology And Chronic Health Evaluation II score was comparable in ROD and PR groups (10.8 versus 11.7; P = 0.222). The in-hospital mortality rate was significantly lower with ROD than PR (21.8 versus 36 per cent; P = 0.016). Two-year survival(s.e.) was 65.8(3.4) per cent in the ROD group and 55.5(5.5) per cent in the PR group (P = 0.031).\nCONCLUSION: The in-hospital and long-term survival rates were higher in patients with secondary peritonitis treated by ROD than in those with disease of comparable severity treated by PR. Choice of treatment strategy was an independent predictor of survival.","container-title":"The British Journal of Surgery","DOI":"10.1002/bjs.4517","ISSN":"0007-1323","issue":"8","journalAbbreviation":"Br J Surg","language":"eng","note":"PMID: 15286969","page":"1046-1054","source":"PubMed","title":"Mortality and morbidity of planned relaparotomy versus relaparotomy on demand for secondary peritonitis","volume":"91","author":[{"family":"Lamme","given":"B."},{"family":"Boermeester","given":"M. A."},{"family":"Belt","given":"E. J. T."},{"family":"Till","given":"J. W. O.","non-dropping-particle":"van"},{"family":"Gouma","given":"D. J."},{"family":"Obertop","given":"H."}],"issued":{"date-parts":[["2004",8]]}},"label":"page"},{"id":66,"uris":["http://zotero.org/users/local/OmjLzqcp/items/UJ7I8ZZ8"],"uri":["http://zotero.org/users/local/OmjLzqcp/items/UJ7I8ZZ8"],"itemData":{"id":66,"type":"article-journal","abstract":"CONTEXT: In patients with severe secondary peritonitis, there are 2 surgical treatment strategies following an initial emergency laparotomy: planned relaparotomy and relaparotomy only when the patient's condition demands it (\"on-demand\"). The on-demand strategy may reduce mortality, morbidity, health care utilization, and costs. However, randomized trials have not been performed.\nOBJECTIVE: To compare patient outcome, health care utilization, and costs of on-demand and planned relaparotomy.\nDESIGN, SETTING, AND PATIENTS: Randomized, nonblinded clinical trial at 2 academic and 5 regional teaching hospitals in the Netherlands from November 2001 through February 2005. Patients had severe secondary peritonitis and an Acute Physiology and Chronic Health Evaluation (APACHE-II) score of 11 or greater.\nINTERVENTION: Random allocation to on-demand or planned relaparotomy strategy.\nMAIN OUTCOME MEASURES: The primary end point was death and/or peritonitis-related morbidity within a 12-month follow-up period. Secondary end points included health care utilization and costs.\nRESULTS: A total of 232 patients (116 on-demand and 116 planned) were randomized. One patient in the on-demand group was excluded due to an operative diagnosis of pancreatitis and 3 in each group withdrew or were lost to follow-up. There was no significant difference in primary end point (57% on-demand [n = 64] vs 65% planned [n = 73]; P = .25) or in mortality alone (29% on-demand [n = 32] vs 36% planned [n = 41]; P = .22) or morbidity alone (40% on-demand [n = 32] vs 44% planned [n = 32]; P = .58). A total of 42% of the on-demand patients had a relaparotomy vs 94% of the planned relaparotomy group. A total of 31% of first relaparotomies were negative in the on-demand group vs 66% in the planned group (P &lt;.001). Patients in the on-demand group had shorter median intensive care unit stays (7 vs 11 days; P = .001) and shorter median hospital stays (27 vs 35 days; P = .008). Direct medical costs per patient were reduced by 23% using the on-demand strategy.\nCONCLUSION: Patients in the on-demand relaparotomy group did not have a significantly lower rate of death or major peritonitis-related morbidity compared with the planned relaparotomy group but did have a substantial reduction in relaparotomies, health care utilization, and medical costs.\nTRIAL REGISTRATION: http://isrctn.org Identifier: ISRCTN51729393.","container-title":"JAMA","DOI":"10.1001/jama.298.8.865","ISSN":"1538-3598","issue":"8","journalAbbreviation":"JAMA","language":"eng","note":"PMID: 17712070","page":"865-872","source":"PubMed","title":"Comparison of on-demand vs planned relaparotomy strategy in patients with severe peritonitis: a randomized trial","title-short":"Comparison of on-demand vs planned relaparotomy strategy in patients with severe peritonitis","volume":"298","author":[{"family":"Ruler","given":"Oddeke","non-dropping-particle":"van"},{"family":"Mahler","given":"Cecilia W."},{"family":"Boer","given":"Kimberly R."},{"family":"Reuland","given":"E. Ascelijn"},{"family":"Gooszen","given":"Hein G."},{"family":"Opmeer","given":"Brent C."},{"family":"Graaf","given":"Peter W.","non-dropping-particle":"de"},{"family":"Lamme","given":"Bas"},{"family":"Gerhards","given":"Michael F."},{"family":"Steller","given":"E. Philip"},{"family":"Till","given":"J. W. Olivier","non-dropping-particle":"van"},{"family":"Borgie","given":"Corianne J. A. M.","non-dropping-particle":"de"},{"family":"Gouma","given":"Dirk J."},{"family":"Reitsma","given":"Johannes B."},{"family":"Boermeester","given":"Marja A."},{"literal":"Dutch Peritonitis Study Group"}],"issued":{"date-parts":[["2007",8,22]]}},"label":"page"}],"schema":"https://github.com/citation-style-language/schema/raw/master/csl-citation.json"} </w:instrText>
      </w:r>
      <w:r w:rsidR="006331EC">
        <w:rPr>
          <w:rFonts w:cstheme="minorHAnsi"/>
          <w:sz w:val="24"/>
          <w:szCs w:val="24"/>
        </w:rPr>
        <w:fldChar w:fldCharType="separate"/>
      </w:r>
      <w:r w:rsidR="00F60978">
        <w:rPr>
          <w:rFonts w:ascii="Calibri" w:hAnsi="Calibri" w:cs="Calibri"/>
          <w:sz w:val="24"/>
          <w:szCs w:val="24"/>
        </w:rPr>
        <w:t>(18–21</w:t>
      </w:r>
      <w:r w:rsidR="006913E9" w:rsidRPr="006913E9">
        <w:rPr>
          <w:rFonts w:ascii="Calibri" w:hAnsi="Calibri" w:cs="Calibri"/>
          <w:sz w:val="24"/>
          <w:szCs w:val="24"/>
        </w:rPr>
        <w:t>)</w:t>
      </w:r>
      <w:r w:rsidR="006331EC">
        <w:rPr>
          <w:rFonts w:cstheme="minorHAnsi"/>
          <w:sz w:val="24"/>
          <w:szCs w:val="24"/>
        </w:rPr>
        <w:fldChar w:fldCharType="end"/>
      </w:r>
      <w:r w:rsidR="00E849F4">
        <w:rPr>
          <w:rFonts w:cstheme="minorHAnsi"/>
          <w:sz w:val="24"/>
          <w:szCs w:val="24"/>
        </w:rPr>
        <w:t>.</w:t>
      </w:r>
      <w:r w:rsidRPr="009176BD">
        <w:rPr>
          <w:rFonts w:cstheme="minorHAnsi"/>
          <w:sz w:val="24"/>
          <w:szCs w:val="24"/>
        </w:rPr>
        <w:t xml:space="preserve"> </w:t>
      </w:r>
    </w:p>
    <w:p w:rsidR="00D704A8" w:rsidRPr="00B7371D" w:rsidRDefault="00D704A8" w:rsidP="002F4AB7">
      <w:pPr>
        <w:jc w:val="both"/>
        <w:rPr>
          <w:sz w:val="24"/>
          <w:szCs w:val="24"/>
        </w:rPr>
      </w:pPr>
      <w:r w:rsidRPr="00B7371D">
        <w:rPr>
          <w:sz w:val="24"/>
          <w:szCs w:val="24"/>
        </w:rPr>
        <w:t>The objective of this study was to identify preoperative and intraoperative clinical factors that may predict ongoing abdominal infection and the need for relaparotomy in order to construct a clinical model to assist clinicians in predicting the need for relaparotomy in patients with persisting intra abdominal infection in secondary peritonitis.</w:t>
      </w:r>
    </w:p>
    <w:p w:rsidR="009176BD" w:rsidRPr="009176BD" w:rsidRDefault="009176BD" w:rsidP="002F4AB7">
      <w:pPr>
        <w:jc w:val="both"/>
        <w:rPr>
          <w:rFonts w:cstheme="minorHAnsi"/>
          <w:sz w:val="24"/>
          <w:szCs w:val="24"/>
        </w:rPr>
      </w:pPr>
      <w:r w:rsidRPr="009176BD">
        <w:rPr>
          <w:rFonts w:cstheme="minorHAnsi"/>
          <w:sz w:val="24"/>
          <w:szCs w:val="24"/>
        </w:rPr>
        <w:t>There are very few data on this specific problem from the developing world, where the spectrum of disease is markedly different from that in the developed world</w:t>
      </w:r>
      <w:r w:rsidR="006331EC">
        <w:rPr>
          <w:rFonts w:cstheme="minorHAnsi"/>
          <w:sz w:val="24"/>
          <w:szCs w:val="24"/>
        </w:rPr>
        <w:fldChar w:fldCharType="begin"/>
      </w:r>
      <w:r w:rsidR="006913E9">
        <w:rPr>
          <w:rFonts w:cstheme="minorHAnsi"/>
          <w:sz w:val="24"/>
          <w:szCs w:val="24"/>
        </w:rPr>
        <w:instrText xml:space="preserve"> ADDIN ZOTERO_ITEM CSL_CITATION {"citationID":"xv0xRvUE","properties":{"formattedCitation":"(20\\uc0\\u8211{}26)","plainCitation":"(20–26)","noteIndex":0},"citationItems":[{"id":66,"uris":["http://zotero.org/users/local/OmjLzqcp/items/UJ7I8ZZ8"],"uri":["http://zotero.org/users/local/OmjLzqcp/items/UJ7I8ZZ8"],"itemData":{"id":66,"type":"article-journal","abstract":"CONTEXT: In patients with severe secondary peritonitis, there are 2 surgical treatment strategies following an initial emergency laparotomy: planned relaparotomy and relaparotomy only when the patient's condition demands it (\"on-demand\"). The on-demand strategy may reduce mortality, morbidity, health care utilization, and costs. However, randomized trials have not been performed.\nOBJECTIVE: To compare patient outcome, health care utilization, and costs of on-demand and planned relaparotomy.\nDESIGN, SETTING, AND PATIENTS: Randomized, nonblinded clinical trial at 2 academic and 5 regional teaching hospitals in the Netherlands from November 2001 through February 2005. Patients had severe secondary peritonitis and an Acute Physiology and Chronic Health Evaluation (APACHE-II) score of 11 or greater.\nINTERVENTION: Random allocation to on-demand or planned relaparotomy strategy.\nMAIN OUTCOME MEASURES: The primary end point was death and/or peritonitis-related morbidity within a 12-month follow-up period. Secondary end points included health care utilization and costs.\nRESULTS: A total of 232 patients (116 on-demand and 116 planned) were randomized. One patient in the on-demand group was excluded due to an operative diagnosis of pancreatitis and 3 in each group withdrew or were lost to follow-up. There was no significant difference in primary end point (57% on-demand [n = 64] vs 65% planned [n = 73]; P = .25) or in mortality alone (29% on-demand [n = 32] vs 36% planned [n = 41]; P = .22) or morbidity alone (40% on-demand [n = 32] vs 44% planned [n = 32]; P = .58). A total of 42% of the on-demand patients had a relaparotomy vs 94% of the planned relaparotomy group. A total of 31% of first relaparotomies were negative in the on-demand group vs 66% in the planned group (P &lt;.001). Patients in the on-demand group had shorter median intensive care unit stays (7 vs 11 days; P = .001) and shorter median hospital stays (27 vs 35 days; P = .008). Direct medical costs per patient were reduced by 23% using the on-demand strategy.\nCONCLUSION: Patients in the on-demand relaparotomy group did not have a significantly lower rate of death or major peritonitis-related morbidity compared with the planned relaparotomy group but did have a substantial reduction in relaparotomies, health care utilization, and medical costs.\nTRIAL REGISTRATION: http://isrctn.org Identifier: ISRCTN51729393.","container-title":"JAMA","DOI":"10.1001/jama.298.8.865","ISSN":"1538-3598","issue":"8","journalAbbreviation":"JAMA","language":"eng","note":"PMID: 17712070","page":"865-872","source":"PubMed","title":"Comparison of on-demand vs planned relaparotomy strategy in patients with severe peritonitis: a randomized trial","title-short":"Comparison of on-demand vs planned relaparotomy strategy in patients with severe peritonitis","volume":"298","author":[{"family":"Ruler","given":"Oddeke","non-dropping-particle":"van"},{"family":"Mahler","given":"Cecilia W."},{"family":"Boer","given":"Kimberly R."},{"family":"Reuland","given":"E. Ascelijn"},{"family":"Gooszen","given":"Hein G."},{"family":"Opmeer","given":"Brent C."},{"family":"Graaf","given":"Peter W.","non-dropping-particle":"de"},{"family":"Lamme","given":"Bas"},{"family":"Gerhards","given":"Michael F."},{"family":"Steller","given":"E. Philip"},{"family":"Till","given":"J. W. Olivier","non-dropping-particle":"van"},{"family":"Borgie","given":"Corianne J. A. M.","non-dropping-particle":"de"},{"family":"Gouma","given":"Dirk J."},{"family":"Reitsma","given":"Johannes B."},{"family":"Boermeester","given":"Marja A."},{"literal":"Dutch Peritonitis Study Group"}],"issued":{"date-parts":[["2007",8,22]]}},"label":"page"},{"id":52,"uris":["http://zotero.org/users/local/OmjLzqcp/items/CSX7XB6H"],"uri":["http://zotero.org/users/local/OmjLzqcp/items/CSX7XB6H"],"itemData":{"id":52,"type":"article-journal","abstract":"BACKGROUND: This prospective audit of appendicitis at a busy regional hospital reviews the spectrum and outcome of acute appendicitis in rural and peri-urban South Africa.\nMETHOD: We conducted a prospective audit from September 2010 to September 2011 at Edendale Hospital in Pietermaritzburg, South Africa.\nRESULTS: Over the year under review, a total of 200 patients with a provisional diagnosis of acute appendicitis were operated on at Edendale Hospital. There were 128 males (64 %) in this cohort. The mean duration of illness prior to seeking medical attention was 3.7 days. Surgical access was by a midline laparotomy in 62.5 % and by a Lanz incision in 35.5 %. Two percent of patients underwent a laparoscopic appendicectomy. The operative findings were as follows: macroscopic inflammation of the appendix without perforation in 35.5 % (71/200) and perforation of the appendix in 57 % (114/200). Of the perforated appendices, 44 % (51/114) were associated with localised intra-abdominal contamination and 55 % (63/114) had generalised four-quadrant soiling. Thirty percent (60/200) required temporary abdominal closure (TAC) with planned repeat operation. Major complications included hospital-acquired pneumonia in 12.5 % (25/200), wound dehiscence in 7 % (14/200), and renal failure in 3 % (6/200). Postoperatively 89.5 % (179/200) were admitted directly to the general wards, while 11 % (21/200) required admission to the intensive care unit. The overall mortality rate was 2 % (4/200).\nCONCLUSIONS: The incidence of acute appendicitis amongst African patients seems to be increasing. Although it is still lower than the reported incidence amongst patients in the developed world, it is a common emergency that places a significant burden on the South African health service. The disease presents late and is associated with a high incidence of perforation which translates into significant morbidity and even mortality.","container-title":"World Journal of Surgery","DOI":"10.1007/s00268-012-1626-9","ISSN":"1432-2323","issue":"9","journalAbbreviation":"World J Surg","language":"eng","note":"PMID: 22562453","page":"2068-2073","source":"PubMed","title":"Acute appendicitis in a developing country","volume":"36","author":[{"family":"Kong","given":"Victor Y."},{"family":"Bulajic","given":"Bojana"},{"family":"Allorto","given":"Nikki L."},{"family":"Handley","given":"Jonathan"},{"family":"Clarke","given":"Damian L."}],"issued":{"date-parts":[["2012",9]]}},"label":"page"},{"id":54,"uris":["http://zotero.org/users/local/OmjLzqcp/items/542IG5AZ"],"uri":["http://zotero.org/users/local/OmjLzqcp/items/542IG5AZ"],"itemData":{"id":54,"type":"article-journal","abstract":"Introduction\nAppendicitis in the developing world is a cause of significant preventable morbidity. This prospective study from a regional hospital in South Africa constructs a robust cost model that demonstrates the cost effectiveness of an efficient curative surgical service in a primary healthcare-orientated system.\n\nMethods\nA prospective audit of all patients with acute appendicitis admitted to Edendale Hospital was undertaken from September 2010 to September 2011. A microcosting approach was used to construct a cost model based on the estimated cost of operative and perioperative interventions together with the associated hospital stay. For cost analysis, patients were divided into the following cohorts: uncomplicated appendicitis, complicated appendicitis with localised intra-abdominal sepsis, complicated appendicitis with generalised intra-abdominal sepsis, with and without intensive care unit admission.\n\nResults\nTwo hundred patients were operated on for acute appendicitis. Of these, 36% (71/200) had uncomplicated appendicitis and 57% (114/200) had perforation. Pathologies other than appendicitis were present in 8% (15/200) and these patients were excluded. Of the perforated appendices, 45% (51/114) had intra-abdominal contamination that was localised while 55% (63/114) generalised sepsis. The mean cost for each patient was: 6,578 ZAR (£566) for uncomplicated appendicitis; 14,791 ZAR (£1,272) for perforation with localised intra-abdominal sepsis and 34,773 ZAR (£2,990) for perforation with generalised intra-abdominal sepsis without intensive care admission. With intensive care admission it was 77,816 ZAR (£6,692). The total cost of managing acute appendicitis was 4,272,871 ZAR (£367,467). Almost 90% of this total cost was owing to advanced disease with abdominal sepsis and therefore potentially preventable.\n\nConclusions\nEarly uncomplicated appendicitis treated appropriately carries little morbidity and is relatively inexpensive to treat. As the pathology progresses, the cost rises exponentially. An efficient curative surgical service must be regarded as a cost effective component of a primary healthcare orientated system.","container-title":"Annals of The Royal College of Surgeons of England","DOI":"10.1308/003588413X13511609958415","ISSN":"0035-8843","issue":"4","journalAbbreviation":"Ann R Coll Surg Engl","note":"PMID: 23676814\nPMCID: PMC4132504","page":"280-284","source":"PubMed Central","title":"The cost effectiveness of early management of acute appendicitis underlies the importance of curative surgical services to a primary healthcare programme","volume":"95","author":[{"family":"Kong","given":"V"},{"family":"Aldous","given":"C"},{"family":"Handley","given":"J"},{"family":"Clarke","given":"D"}],"issued":{"date-parts":[["2013",5]]}},"label":"page"},{"id":57,"uris":["http://zotero.org/users/local/OmjLzqcp/items/KK7XNYHV"],"uri":["http://zotero.org/users/local/OmjLzqcp/items/KK7XNYHV"],"itemData":{"id":57,"type":"article-journal","abstract":"BACKGROUND: Acute appendicitis in South Africa is associated with higher morbidity than in the developed world. Objective. To compare outcomes of urban and rural patients in KwaZulu-Natal and to determine whether there are disparities in outcome.\nMETHODS: We conducted a prospective study from September 2010 to September 2012 at Edendale Hospital in Pietermaritzburg, South Africa. All patients who presented with acute appendicitis were included. The operative and clinical course of urban and rural patients was compared. Results. A total of 500 patients were included, with 200 patients in the rural group and 300 in the urban group. Those from the rural group had a significantly longer duration of symptoms prior to presentation. All septic parameters were significantly worse in the rural group. Significantly more patients from the rural group required a laparotomy (77% v. 51% urban; p&lt;0.001). Inflamed, non-perforated appendicitis was more commonly seen in the urban group (52.3% v. 21% rural; p&lt;0.001), while perforated appendicitis was much more common in the rural group (79% v. 47.7% urban; p&lt;0.001). Perforation associated with generalised, four-quadrant intra-abdominal contamination was significantly higher in the rural group than the urban group (60.5% v. 21%, respectively; p&lt;0.05). Significantly more patients from the rural group required an open abdomen (46% v. 12% urban; p&lt;0.001) and ≥1 re-laparotomies to control severe intra-abdominal sepsis (60.5% v. 23.3% urban; p&lt;0.001).\nCONCLUSION: We have identified rural origin as an independent indicator of poor outcome. Possible reasons may include difficulty in accessing the health system or delay in transfer to a regional hospital. These need to be investigated further.","container-title":"South African Medical Journal = Suid-Afrikaanse Tydskrif Vir Geneeskunde","DOI":"10.7196/samj.7109","ISSN":"0256-9574","issue":"10","journalAbbreviation":"S Afr Med J","language":"eng","note":"PMID: 24079626","page":"742-745","source":"PubMed","title":"Quantifying the disparity in outcome between urban and rural patients with acute appendicitis in South Africa","volume":"103","author":[{"family":"Kong","given":"V. Y."},{"family":"Van der Linde","given":"S."},{"family":"Aldous","given":"C."},{"family":"Handley","given":"J. J."},{"family":"Clarke","given":"D. L."}],"issued":{"date-parts":[["2013",7,29]]}},"label":"page"},{"id":60,"uris":["http://zotero.org/users/local/OmjLzqcp/items/7X6LVSEP"],"uri":["http://zotero.org/users/local/OmjLzqcp/items/7X6LVSEP"],"itemData":{"id":60,"type":"article-journal","abstract":"Background. Acute appendicitis in rural South Africa is associated with significant morbidity due to prolonged delays before definitive\nsurgical care.\nObjective. This audit aimed to quantify the delay in our healthcare system.\nMethods. From September 2010 to September 2012, all patients with confirmed acute appendicitis were interviewed and asked about the onset\nof symptoms and subsequent events in the disease process. Events before and after contact with the healthcare system were referred to as the\npre-hospital or behavioural domain and the in-hospital or assessment domain, respectively.\nResults. Of the 500 patients, 350 (70.0%) experienced a delay of &gt;48 hours from onset of symptoms to definitive surgical care. The mean time\nbefore treatment for this group was 5 days (range 3 - 7), while the mean for the group without delay was 1.6 days (range 1 - 2) (p&lt;0.0001). Of\n463 delays, 291 were in the behavioural domain and 172 in the assessment domain; 178 patients (50.9%) experienced delay in the behavioural\ndomain only, 59 (16.9%) in the assessment domain only, and 113 (32.2%) in both domains. The mean ambulance transport time from the\ndistrict hospital to the regional hospital was 4.9 hours.\nConclusion. There are barriers that prevent patients with acute appendicitis from accessing care. There are also prolonged delays within the\nsystem once care has been accessed. Both these sources of delay need to be addressed by quality improvement programmes.","container-title":"South African Journal of Surgery","DOI":"10.7196/SAJS.1737","journalAbbreviation":"South African Journal of Surgery","page":"2-5","source":"ResearchGate","title":"Understanding the reasons for delay to definitive surgical care of patients with acute appendicitis in rural South Africa","volume":"52","author":[{"family":"Kong","given":"Victor"},{"family":"Aldous","given":"Colleen"},{"family":"Clarke","given":"Damian"}],"issued":{"date-parts":[["2014",2,1]]}},"label":"page"},{"id":63,"uris":["http://zotero.org/users/local/OmjLzqcp/items/I27IT9IS"],"uri":["http://zotero.org/users/local/OmjLzqcp/items/I27IT9IS"],"itemData":{"id":63,"type":"article-journal","abstract":"Background\nThe Alvarado score is the most widely used clinical prediction tool to facilitate decision-making in patients with acute appendicitis, but it has not been validated in the black South African population, which has much wider differential diagnosis than developed world populations. We investigated the applicability of this score to our local population and sought to introduce a checklist for rural doctors to facilitate early referral.\n\nMethods\nWe analyzed patients with proven appendicitis for the period January 2008 to December 2012. Alvarado scores were retrospectively assigned based on patients’ admission charts. We generated a clinical probability score (1–4 = low, 5–6 = intermediate, 7–10 = high).\n\nResults\nWe studied 1000 patients (54% male, median age 21 yr). Forty percent had inflamed, nonperforated appendices and 60% had perforated appendices. Alvarado scores were 1–4 in 20.9%, 5–6 in 35.7% and 7–10 in 43.4%, indicating low, intermediate and high clincial probability, respectively. In our subgroup analysis of 510 patients without generalized peritonitis, Alvarado scores were 1–4 in 5.5%, 5–6 in 18.1% and 7–10 in 76.4%, indicating low, intermediate and high clinical probability, respectively.\n\nConclusion\nThe widespread use of the Alvarado score has its merits, but its applicability in the black South African population is unclear, with a significant proportion of patients with the disease being potentially missed. Further prospective validation of the Alvarado score and possible modification is needed to increase its relevance in our setting.","container-title":"Canadian Journal of Surgery","DOI":"10.1503/cjs.023013","ISSN":"0008-428X","issue":"4","journalAbbreviation":"Can J Surg","note":"PMID: 25078937\nPMCID: PMC4119125","page":"E121-E125","source":"PubMed Central","title":"The accuracy of the Alvarado score in predicting acute appendicitis in the black South African population needs to be validated","volume":"57","author":[{"family":"Kong","given":"Victor Y."},{"family":"Van Der Linde","given":"Stefan"},{"family":"Aldous","given":"Colleen"},{"family":"Handley","given":"Jonathan J."},{"family":"Clarke","given":"Damian L."}],"issued":{"date-parts":[["2014",8]]}},"label":"page"},{"id":68,"uris":["http://zotero.org/users/local/OmjLzqcp/items/BM22NZSZ"],"uri":["http://zotero.org/users/local/OmjLzqcp/items/BM22NZSZ"],"itemData":{"id":68,"type":"article-journal","abstract":"INTRODUCTION: Human immunodeficiency virus/acquired immunodeficiency syndrome (HIV/AIDS) has resulted in a resurgence of abdominal tuberculosis in South Africa, and these patients often present to general surgeons. We describe a single-hospital experience in a region of high HIV prevalence.\nMETHODS: A prospective database of all patients with suspected abdominal tuberculosis was maintained from January 2003 until July 2005.\nRESULTS: There were 67 patients (20 men, 47 women) with an average age of 32 years (range 27-61 years). The erythrocyte sedimentation rate was universally elevated (105 +/- 23). Altogether, 23 patients were HIV-positive and 7 were HIV-negative. The status was unknown in the remainder. Chest radiographs demonstrated an abnormality in 17 patients (22%). Abdominal ultrasonography was performed in 59 patients and computed tomography in 12. Twelve laparotomies were performed, seven as emergencies. None in the elective laparotomy group died, whereas the mortality rate in the emergency group was 60%. Laparoscopy was insufficient for a variety of reasons. Two patients underwent appendectomy and two excision of a perianal fistula. Two patients underwent biopsy of a palpable subcutaneous node, which confirmed the diagnosis in both cases. A definitive diagnosis was achieved in all 12 patients subjected to laparotomy and at colonoscopic biopsy in 2, lymph node biopsy in 2, appendectomy in 2, perianal fistulectomy in 2, and percutaneous drainage in 2. In the remaining 47 patients the diagnosis was made on the basis of the clinical presentation and radiologic imaging. The patients were commenced on antituberculous therapy. The in-hospital mortality in this group was 10%. Therapy was continued at a centralized tuberculosis facility independent of the hospital. Surgical follow-up was poor, with only five (7%) patients completing the 6-month review at a surgical clinic.\nCONCLUSIONS: A resurgence in tuberculosis during the HIV era produces a new spectrum of presentations for the surgeon. Emergency surgery is associated with high mortality. Bacterial and histologic evidence of infection are difficult to obtain, and indirect clinical and imaging evidence are used to commence a trial of therapy. A short-term clinical response is regarded as proof of disease. Lack of follow-up means that the efficacy of this strategy is unproven. Health policy changes are needed to enable appropriate surgical follow-up to determine the most effective management algorithm.","container-title":"World Journal of Surgery","DOI":"10.1007/s00268-007-0402-8","ISSN":"0364-2313","issue":"5","journalAbbreviation":"World J Surg","language":"eng","note":"PMID: 17426896","page":"1087-1096; discussion 1097-1098","source":"PubMed","title":"A single surgical unit's experience with abdominal tuberculosis in the HIV/AIDS era","volume":"31","author":[{"family":"Clarke","given":"D. L."},{"family":"Thomson","given":"S. R."},{"family":"Bissetty","given":"T."},{"family":"Madiba","given":"T. E."},{"family":"Buccimazza","given":"I."},{"family":"Anderson","given":"F."}],"issued":{"date-parts":[["2007",5]]}},"label":"page"}],"schema":"https://github.com/citation-style-language/schema/raw/master/csl-citation.json"} </w:instrText>
      </w:r>
      <w:r w:rsidR="006331EC">
        <w:rPr>
          <w:rFonts w:cstheme="minorHAnsi"/>
          <w:sz w:val="24"/>
          <w:szCs w:val="24"/>
        </w:rPr>
        <w:fldChar w:fldCharType="separate"/>
      </w:r>
      <w:r w:rsidR="00F60978">
        <w:rPr>
          <w:rFonts w:ascii="Calibri" w:hAnsi="Calibri" w:cs="Calibri"/>
          <w:sz w:val="24"/>
          <w:szCs w:val="24"/>
        </w:rPr>
        <w:t>(21–27</w:t>
      </w:r>
      <w:r w:rsidR="006913E9" w:rsidRPr="006913E9">
        <w:rPr>
          <w:rFonts w:ascii="Calibri" w:hAnsi="Calibri" w:cs="Calibri"/>
          <w:sz w:val="24"/>
          <w:szCs w:val="24"/>
        </w:rPr>
        <w:t>)</w:t>
      </w:r>
      <w:r w:rsidR="006331EC">
        <w:rPr>
          <w:rFonts w:cstheme="minorHAnsi"/>
          <w:sz w:val="24"/>
          <w:szCs w:val="24"/>
        </w:rPr>
        <w:fldChar w:fldCharType="end"/>
      </w:r>
      <w:r w:rsidR="00B31005" w:rsidRPr="009176BD">
        <w:rPr>
          <w:rFonts w:cstheme="minorHAnsi"/>
          <w:sz w:val="24"/>
          <w:szCs w:val="24"/>
        </w:rPr>
        <w:t xml:space="preserve">. </w:t>
      </w:r>
    </w:p>
    <w:p w:rsidR="001373A5" w:rsidRDefault="001373A5" w:rsidP="002F4AB7">
      <w:pPr>
        <w:jc w:val="both"/>
        <w:rPr>
          <w:rFonts w:cstheme="minorHAnsi"/>
          <w:sz w:val="24"/>
          <w:szCs w:val="24"/>
        </w:rPr>
      </w:pPr>
    </w:p>
    <w:p w:rsidR="0045137D" w:rsidRDefault="0045137D" w:rsidP="002F4AB7">
      <w:pPr>
        <w:jc w:val="both"/>
        <w:rPr>
          <w:rFonts w:cstheme="minorHAnsi"/>
          <w:b/>
          <w:sz w:val="24"/>
          <w:szCs w:val="24"/>
        </w:rPr>
      </w:pPr>
    </w:p>
    <w:p w:rsidR="009176BD" w:rsidRPr="004A4932" w:rsidRDefault="009176BD" w:rsidP="002F4AB7">
      <w:pPr>
        <w:pStyle w:val="Heading2"/>
        <w:jc w:val="both"/>
      </w:pPr>
      <w:bookmarkStart w:id="3" w:name="_Toc73713171"/>
      <w:r w:rsidRPr="004A4932">
        <w:t>Literature Review</w:t>
      </w:r>
      <w:bookmarkEnd w:id="3"/>
    </w:p>
    <w:p w:rsidR="009176BD" w:rsidRPr="009176BD" w:rsidRDefault="009176BD" w:rsidP="002F4AB7">
      <w:pPr>
        <w:jc w:val="both"/>
        <w:rPr>
          <w:rFonts w:cstheme="minorHAnsi"/>
          <w:sz w:val="24"/>
          <w:szCs w:val="24"/>
        </w:rPr>
      </w:pPr>
      <w:r w:rsidRPr="009176BD">
        <w:rPr>
          <w:rFonts w:cstheme="minorHAnsi"/>
          <w:sz w:val="24"/>
          <w:szCs w:val="24"/>
        </w:rPr>
        <w:t>Multiple researches have been do</w:t>
      </w:r>
      <w:r w:rsidR="0039175B">
        <w:rPr>
          <w:rFonts w:cstheme="minorHAnsi"/>
          <w:sz w:val="24"/>
          <w:szCs w:val="24"/>
        </w:rPr>
        <w:t>ne on the strategies of relaparo</w:t>
      </w:r>
      <w:r w:rsidRPr="009176BD">
        <w:rPr>
          <w:rFonts w:cstheme="minorHAnsi"/>
          <w:sz w:val="24"/>
          <w:szCs w:val="24"/>
        </w:rPr>
        <w:t>tomy, but still there is no universal consensus on which one to implement. Some of them are as follows</w:t>
      </w:r>
    </w:p>
    <w:p w:rsidR="009176BD" w:rsidRPr="009176BD" w:rsidRDefault="009176BD" w:rsidP="002F4AB7">
      <w:pPr>
        <w:jc w:val="both"/>
        <w:rPr>
          <w:rFonts w:cstheme="minorHAnsi"/>
          <w:sz w:val="24"/>
          <w:szCs w:val="24"/>
        </w:rPr>
      </w:pPr>
      <w:r w:rsidRPr="009176BD">
        <w:rPr>
          <w:rFonts w:cstheme="minorHAnsi"/>
          <w:sz w:val="24"/>
          <w:szCs w:val="24"/>
        </w:rPr>
        <w:t xml:space="preserve">A met analysis was conducted </w:t>
      </w:r>
      <w:r w:rsidR="00CD0B5A">
        <w:rPr>
          <w:rFonts w:cstheme="minorHAnsi"/>
          <w:sz w:val="24"/>
          <w:szCs w:val="24"/>
        </w:rPr>
        <w:t xml:space="preserve">by Lamme et al. </w:t>
      </w:r>
      <w:r w:rsidRPr="009176BD">
        <w:rPr>
          <w:rFonts w:cstheme="minorHAnsi"/>
          <w:sz w:val="24"/>
          <w:szCs w:val="24"/>
        </w:rPr>
        <w:t>in Netherland sought to compare planned and on demand relaparatomy strategies in adult patients with secondary peritonitis in 2002</w:t>
      </w:r>
      <w:r w:rsidR="006331EC">
        <w:rPr>
          <w:rFonts w:cstheme="minorHAnsi"/>
          <w:sz w:val="24"/>
          <w:szCs w:val="24"/>
        </w:rPr>
        <w:fldChar w:fldCharType="begin"/>
      </w:r>
      <w:r w:rsidR="00CD0B5A">
        <w:rPr>
          <w:rFonts w:cstheme="minorHAnsi"/>
          <w:sz w:val="24"/>
          <w:szCs w:val="24"/>
        </w:rPr>
        <w:instrText xml:space="preserve"> ADDIN ZOTERO_ITEM CSL_CITATION {"citationID":"mfyfQhpp","properties":{"formattedCitation":"(17)","plainCitation":"(17)","noteIndex":0},"citationItems":[{"id":82,"uris":["http://zotero.org/users/local/OmjLzqcp/items/5WYX848H"],"uri":["http://zotero.org/users/local/OmjLzqcp/items/5WYX848H"],"itemData":{"id":82,"type":"article-journal","abstract":"BACKGROUND: Planned relaparotomy and relaparotomy on demand are two frequently employed surgical treatment strategies for patients with abdominal sepsis.\nMETHODS: The available literature was evaluated to compare the efficacy of both surgical treatment strategies. A systematic search for studies comparing planned and on-demand relaparotomy strategies in adult patients with secondary peritonitis was employed. Studies were reviewed independently for design features, inclusion and exclusion criteria, and outcomes. The primary outcome measure was in-hospital mortality.\nRESULTS: No randomized studies were found; eight observational studies with a total of 1266 patients (planned relaparotomy, 286; relaparotomy on demand, 980) met the inclusion criteria and were included in the meta-analysis. These eight studies were heterogeneous on clinical and statistical grounds (chi2= 40.7, d.f. = 7, P &lt; 0.001). Using a random-effects approach, the combined odds ratio for in-hospital mortality was 0.70 (95 per cent confidence interval 0.27 to 1.80) in favour of the on-demand strategy.\nCONCLUSION: The combined results of observational studies show a statistically non-significant reduction in mortality for the on-demand relaparotomy strategy compared with the planned relaparotomy strategy when corrected for heterogeneity in a random-effects model. Owing to the non-randomized nature of the studies, the limited number of patients per study, and the heterogeneity between studies, the overall evidence generated by the eight studies was inconclusive.","container-title":"The British Journal of Surgery","DOI":"10.1046/j.1365-2168.2002.02293.x","ISSN":"0007-1323","issue":"12","journalAbbreviation":"Br J Surg","language":"eng","note":"PMID: 12445059","page":"1516-1524","source":"PubMed","title":"Meta-analysis of relaparotomy for secondary peritonitis","volume":"89","author":[{"family":"Lamme","given":"B."},{"family":"Boermeester","given":"M. A."},{"family":"Reitsma","given":"J. B."},{"family":"Mahler","given":"C. W."},{"family":"Obertop","given":"H."},{"family":"Gouma","given":"D. J."}],"issued":{"date-parts":[["2002",12]]}}}],"schema":"https://github.com/citation-style-language/schema/raw/master/csl-citation.json"} </w:instrText>
      </w:r>
      <w:r w:rsidR="006331EC">
        <w:rPr>
          <w:rFonts w:cstheme="minorHAnsi"/>
          <w:sz w:val="24"/>
          <w:szCs w:val="24"/>
        </w:rPr>
        <w:fldChar w:fldCharType="separate"/>
      </w:r>
      <w:r w:rsidR="00F60978">
        <w:rPr>
          <w:rFonts w:ascii="Calibri" w:hAnsi="Calibri" w:cs="Calibri"/>
          <w:sz w:val="24"/>
        </w:rPr>
        <w:t>(18</w:t>
      </w:r>
      <w:r w:rsidR="00CD0B5A" w:rsidRPr="00CD0B5A">
        <w:rPr>
          <w:rFonts w:ascii="Calibri" w:hAnsi="Calibri" w:cs="Calibri"/>
          <w:sz w:val="24"/>
        </w:rPr>
        <w:t>)</w:t>
      </w:r>
      <w:r w:rsidR="006331EC">
        <w:rPr>
          <w:rFonts w:cstheme="minorHAnsi"/>
          <w:sz w:val="24"/>
          <w:szCs w:val="24"/>
        </w:rPr>
        <w:fldChar w:fldCharType="end"/>
      </w:r>
      <w:r w:rsidRPr="009176BD">
        <w:rPr>
          <w:rFonts w:cstheme="minorHAnsi"/>
          <w:sz w:val="24"/>
          <w:szCs w:val="24"/>
        </w:rPr>
        <w:t xml:space="preserve">. Eight observational studies with a total of 1266 patients (planned relaparotomy, 286; relaparotomy on demand, 980) were included, No randomized studies were found. Studies were noted to be heterogeneous from both a clinical and a statistical standpoint. Using a random-effects approach, the combined odds ratio for in-hospital mortality was 0.70 (95 % </w:t>
      </w:r>
      <w:r w:rsidRPr="009176BD">
        <w:rPr>
          <w:rFonts w:cstheme="minorHAnsi"/>
          <w:sz w:val="24"/>
          <w:szCs w:val="24"/>
        </w:rPr>
        <w:lastRenderedPageBreak/>
        <w:t>confidence interval 0.27 to 1.80) in favor of the on-demand strategy</w:t>
      </w:r>
      <w:r w:rsidR="00B81CFB">
        <w:rPr>
          <w:rFonts w:cstheme="minorHAnsi"/>
          <w:sz w:val="24"/>
          <w:szCs w:val="24"/>
        </w:rPr>
        <w:t>, but it was not statistically significant</w:t>
      </w:r>
      <w:r w:rsidRPr="009176BD">
        <w:rPr>
          <w:rFonts w:cstheme="minorHAnsi"/>
          <w:sz w:val="24"/>
          <w:szCs w:val="24"/>
        </w:rPr>
        <w:t>.</w:t>
      </w:r>
    </w:p>
    <w:p w:rsidR="009176BD" w:rsidRPr="009176BD" w:rsidRDefault="009176BD" w:rsidP="002F4AB7">
      <w:pPr>
        <w:jc w:val="both"/>
        <w:rPr>
          <w:rFonts w:cstheme="minorHAnsi"/>
          <w:sz w:val="24"/>
          <w:szCs w:val="24"/>
        </w:rPr>
      </w:pPr>
      <w:r w:rsidRPr="009176BD">
        <w:rPr>
          <w:rFonts w:cstheme="minorHAnsi"/>
          <w:sz w:val="24"/>
          <w:szCs w:val="24"/>
        </w:rPr>
        <w:t>Rakic et al analyzed the outcomes of 65 patients with severe peritonitis surgically treated in two Croatian hospitals</w:t>
      </w:r>
      <w:r w:rsidR="006331EC">
        <w:rPr>
          <w:rFonts w:cstheme="minorHAnsi"/>
          <w:sz w:val="24"/>
          <w:szCs w:val="24"/>
        </w:rPr>
        <w:fldChar w:fldCharType="begin"/>
      </w:r>
      <w:r w:rsidR="00CD0B5A">
        <w:rPr>
          <w:rFonts w:cstheme="minorHAnsi"/>
          <w:sz w:val="24"/>
          <w:szCs w:val="24"/>
        </w:rPr>
        <w:instrText xml:space="preserve"> ADDIN ZOTERO_ITEM CSL_CITATION {"citationID":"pqR7Oh9j","properties":{"formattedCitation":"(18)","plainCitation":"(18)","noteIndex":0},"citationItems":[{"id":80,"uris":["http://zotero.org/users/local/OmjLzqcp/items/YUU7AN36"],"uri":["http://zotero.org/users/local/OmjLzqcp/items/YUU7AN36"],"itemData":{"id":80,"type":"article-journal","abstract":"AIM: To compare morbidity and mortality of patients with severe intra-abdominal infections after two types of surgical treatment, on-demand (\"wait and see\") relaparotomy and modified planned relaparotomy.\nMETHODS: We prospectively analyzed the outcomes of 65 patients with severe peritonitis surgically treated in two Croatian hospitals. In one hospital, 34 patients were treated on-demand, and in another hospital 31 patients were treated by planned relaparotomy. We compared severe postoperative complications, mortality, and length of hospital stay in the two groups of patients.\nRESULTS: Severity of patient's disease, as measured from preoperative group-average Acute Physiology and Chronic Health Evaluation (APACHE) II scores, was comparable in both on-demand and planned relaparotomy groups. The mortality rate was higher in patients operated on-demand (59% vs 29%, P=0.024). In nonadjusted model, the relative risk of dying was 2.5-fold higher for patients treated by on-demand operation in comparison with planned relaparatomy (P=0.030). However, after the adjustment of the survival data for individual patient's sex and APACHE II scores, the difference in the relative risk became non-significant (P=0.178). The patients who died had higher APACHE II scores (26.1+/-8.9 vs 19.7+/-5.9, P=0.009). Relative risk of dying per 5-point increase in APACHE II score was 1.24 (95% confidence interval, 1.01-1.51; P=0.039), irrespective of the surgical technique.\nCONCLUSIONS: Patients with severe peritonitis treated with planned relaparotomy seemed to have lower mortality. However, the relative risk of dying was not statistically different between the on-demand and planned relaparotomy groups after adjustment for preoperative APACHE II scores. The severity of disease rather than surgical approach plays more important role in survival of these patients.","container-title":"Croatian Medical Journal","ISSN":"0353-9504","issue":"6","journalAbbreviation":"Croat Med J","language":"eng","note":"PMID: 16342350","page":"957-963","source":"PubMed","title":"Comparison of on-demand vs planned relaparotomy for treatment of severe intra-abdominal infections","volume":"46","author":[{"family":"Rakić","given":"Mladen"},{"family":"Popović","given":"Drago"},{"family":"Rakić","given":"Mislav"},{"family":"Druzijanić","given":"Nikica"},{"family":"Lojpur","given":"Mihajlo"},{"family":"Hall","given":"Brian A."},{"family":"Williams","given":"Brent A."},{"family":"Sprung","given":"Juraj"}],"issued":{"date-parts":[["2005",12]]}}}],"schema":"https://github.com/citation-style-language/schema/raw/master/csl-citation.json"} </w:instrText>
      </w:r>
      <w:r w:rsidR="006331EC">
        <w:rPr>
          <w:rFonts w:cstheme="minorHAnsi"/>
          <w:sz w:val="24"/>
          <w:szCs w:val="24"/>
        </w:rPr>
        <w:fldChar w:fldCharType="separate"/>
      </w:r>
      <w:r w:rsidR="00F60978">
        <w:rPr>
          <w:rFonts w:ascii="Calibri" w:hAnsi="Calibri" w:cs="Calibri"/>
          <w:sz w:val="24"/>
        </w:rPr>
        <w:t>(19</w:t>
      </w:r>
      <w:r w:rsidR="00CD0B5A" w:rsidRPr="00CD0B5A">
        <w:rPr>
          <w:rFonts w:ascii="Calibri" w:hAnsi="Calibri" w:cs="Calibri"/>
          <w:sz w:val="24"/>
        </w:rPr>
        <w:t>)</w:t>
      </w:r>
      <w:r w:rsidR="006331EC">
        <w:rPr>
          <w:rFonts w:cstheme="minorHAnsi"/>
          <w:sz w:val="24"/>
          <w:szCs w:val="24"/>
        </w:rPr>
        <w:fldChar w:fldCharType="end"/>
      </w:r>
      <w:r w:rsidRPr="009176BD">
        <w:rPr>
          <w:rFonts w:cstheme="minorHAnsi"/>
          <w:sz w:val="24"/>
          <w:szCs w:val="24"/>
        </w:rPr>
        <w:t>. In one hospital, 34 patients were treated on-demand, and in another hospital 31 patients were treated by planned relaparotomy. The mortality rate was higher in patients operated on-demand (59% vs 29%,P=0.024) at first go. However, after the adjustment for individual patient’s sex and APACHE II scores, the difference in the relative risk became non-significant (P=0.178). In conclusion although planned laparotomy seemed to have lower mortality rate, there was no significant difference after adjustments.</w:t>
      </w:r>
    </w:p>
    <w:p w:rsidR="009176BD" w:rsidRPr="009176BD" w:rsidRDefault="009176BD" w:rsidP="002F4AB7">
      <w:pPr>
        <w:jc w:val="both"/>
        <w:rPr>
          <w:rFonts w:cstheme="minorHAnsi"/>
          <w:sz w:val="24"/>
          <w:szCs w:val="24"/>
        </w:rPr>
      </w:pPr>
      <w:r w:rsidRPr="009176BD">
        <w:rPr>
          <w:rFonts w:cstheme="minorHAnsi"/>
          <w:sz w:val="24"/>
          <w:szCs w:val="24"/>
        </w:rPr>
        <w:t>In 2004 Lamme et al conducted a retrospective study on 278 patients with secondary peritonitis and compared the 81 treated with planned laparotomy and the 197 treated with on-demand laparotomy; and obtained a different conclusion</w:t>
      </w:r>
      <w:r w:rsidR="006331EC">
        <w:rPr>
          <w:rFonts w:cstheme="minorHAnsi"/>
          <w:sz w:val="24"/>
          <w:szCs w:val="24"/>
        </w:rPr>
        <w:fldChar w:fldCharType="begin"/>
      </w:r>
      <w:r w:rsidR="00CD0B5A">
        <w:rPr>
          <w:rFonts w:cstheme="minorHAnsi"/>
          <w:sz w:val="24"/>
          <w:szCs w:val="24"/>
        </w:rPr>
        <w:instrText xml:space="preserve"> ADDIN ZOTERO_ITEM CSL_CITATION {"citationID":"PnsmmWLB","properties":{"formattedCitation":"(19)","plainCitation":"(19)","noteIndex":0},"citationItems":[{"id":84,"uris":["http://zotero.org/users/local/OmjLzqcp/items/BYJVM6PM"],"uri":["http://zotero.org/users/local/OmjLzqcp/items/BYJVM6PM"],"itemData":{"id":84,"type":"article-journal","abstract":"BACKGROUND: Planned relaparotomy (PR) and relaparotomy on demand (ROD) are both frequently used in the treatment of secondary peritonitis. The aim of this study was to evaluate the mortality, morbidity and long-term outcome associated with PR compared with ROD in patients with secondary peritonitis admitted to a university hospital.\nMETHOD: This retrospective study included 278 consecutive patients who underwent emergency laparotomy for secondary peritonitis between January 1994 and January 2000. Outcome was analysed based on the decision made by the surgeon during the first operation to perform either ROD (197 patients) or PR (81).\nRESULTS: The Acute Physiology And Chronic Health Evaluation II score was comparable in ROD and PR groups (10.8 versus 11.7; P = 0.222). The in-hospital mortality rate was significantly lower with ROD than PR (21.8 versus 36 per cent; P = 0.016). Two-year survival(s.e.) was 65.8(3.4) per cent in the ROD group and 55.5(5.5) per cent in the PR group (P = 0.031).\nCONCLUSION: The in-hospital and long-term survival rates were higher in patients with secondary peritonitis treated by ROD than in those with disease of comparable severity treated by PR. Choice of treatment strategy was an independent predictor of survival.","container-title":"The British Journal of Surgery","DOI":"10.1002/bjs.4517","ISSN":"0007-1323","issue":"8","journalAbbreviation":"Br J Surg","language":"eng","note":"PMID: 15286969","page":"1046-1054","source":"PubMed","title":"Mortality and morbidity of planned relaparotomy versus relaparotomy on demand for secondary peritonitis","volume":"91","author":[{"family":"Lamme","given":"B."},{"family":"Boermeester","given":"M. A."},{"family":"Belt","given":"E. J. T."},{"family":"Till","given":"J. W. O.","non-dropping-particle":"van"},{"family":"Gouma","given":"D. J."},{"family":"Obertop","given":"H."}],"issued":{"date-parts":[["2004",8]]}}}],"schema":"https://github.com/citation-style-language/schema/raw/master/csl-citation.json"} </w:instrText>
      </w:r>
      <w:r w:rsidR="006331EC">
        <w:rPr>
          <w:rFonts w:cstheme="minorHAnsi"/>
          <w:sz w:val="24"/>
          <w:szCs w:val="24"/>
        </w:rPr>
        <w:fldChar w:fldCharType="separate"/>
      </w:r>
      <w:r w:rsidR="00F60978">
        <w:rPr>
          <w:rFonts w:ascii="Calibri" w:hAnsi="Calibri" w:cs="Calibri"/>
          <w:sz w:val="24"/>
        </w:rPr>
        <w:t>(20</w:t>
      </w:r>
      <w:r w:rsidR="00CD0B5A" w:rsidRPr="00CD0B5A">
        <w:rPr>
          <w:rFonts w:ascii="Calibri" w:hAnsi="Calibri" w:cs="Calibri"/>
          <w:sz w:val="24"/>
        </w:rPr>
        <w:t>)</w:t>
      </w:r>
      <w:r w:rsidR="006331EC">
        <w:rPr>
          <w:rFonts w:cstheme="minorHAnsi"/>
          <w:sz w:val="24"/>
          <w:szCs w:val="24"/>
        </w:rPr>
        <w:fldChar w:fldCharType="end"/>
      </w:r>
      <w:r w:rsidRPr="009176BD">
        <w:rPr>
          <w:rFonts w:cstheme="minorHAnsi"/>
          <w:sz w:val="24"/>
          <w:szCs w:val="24"/>
        </w:rPr>
        <w:t>. He found a significantly lower hospital mortality rate for on-demand laparotomy (21.8% vs. 36%; p = 0.016) and a better two-year survival rate (65.8% vs. 55.5%; p = 0.031). In this study, treatment choice was an independent predictor of survival. In secondary outcomes, the ICU stay was longer for planned laparotomy patients, but mechanical ventilation days and total hospital stay were similar. In this study, the overall average APACHE II scores were lower than in the prior study (10.8 for on-demand and 11.7 for planned). This suggests that some of the benefit of the on-demand strategy may have been in patients with lower APACHE II scores, as would be expected.</w:t>
      </w:r>
    </w:p>
    <w:p w:rsidR="009176BD" w:rsidRPr="009176BD" w:rsidRDefault="009176BD" w:rsidP="002F4AB7">
      <w:pPr>
        <w:jc w:val="both"/>
        <w:rPr>
          <w:rFonts w:cstheme="minorHAnsi"/>
          <w:sz w:val="24"/>
          <w:szCs w:val="24"/>
        </w:rPr>
      </w:pPr>
      <w:r w:rsidRPr="009176BD">
        <w:rPr>
          <w:rFonts w:cstheme="minorHAnsi"/>
          <w:sz w:val="24"/>
          <w:szCs w:val="24"/>
        </w:rPr>
        <w:t xml:space="preserve">Randomized, nonblinded clinical trial was conducted </w:t>
      </w:r>
      <w:r w:rsidR="008D0DB6">
        <w:rPr>
          <w:rFonts w:cstheme="minorHAnsi"/>
          <w:sz w:val="24"/>
          <w:szCs w:val="24"/>
        </w:rPr>
        <w:t xml:space="preserve">by van Ruller et al. </w:t>
      </w:r>
      <w:r w:rsidRPr="009176BD">
        <w:rPr>
          <w:rFonts w:cstheme="minorHAnsi"/>
          <w:sz w:val="24"/>
          <w:szCs w:val="24"/>
        </w:rPr>
        <w:t>in 7 teaching hospitals in the Netherlands to compare planned and on-demand laparotomy strategies. A total of 232 patients (116 on-demand and 116 planned) were randomized</w:t>
      </w:r>
      <w:r w:rsidR="006331EC">
        <w:rPr>
          <w:rFonts w:cstheme="minorHAnsi"/>
          <w:sz w:val="24"/>
          <w:szCs w:val="24"/>
        </w:rPr>
        <w:fldChar w:fldCharType="begin"/>
      </w:r>
      <w:r w:rsidR="008D0DB6">
        <w:rPr>
          <w:rFonts w:cstheme="minorHAnsi"/>
          <w:sz w:val="24"/>
          <w:szCs w:val="24"/>
        </w:rPr>
        <w:instrText xml:space="preserve"> ADDIN ZOTERO_ITEM CSL_CITATION {"citationID":"8J54bs3Q","properties":{"formattedCitation":"(20)","plainCitation":"(20)","noteIndex":0},"citationItems":[{"id":66,"uris":["http://zotero.org/users/local/OmjLzqcp/items/UJ7I8ZZ8"],"uri":["http://zotero.org/users/local/OmjLzqcp/items/UJ7I8ZZ8"],"itemData":{"id":66,"type":"article-journal","abstract":"CONTEXT: In patients with severe secondary peritonitis, there are 2 surgical treatment strategies following an initial emergency laparotomy: planned relaparotomy and relaparotomy only when the patient's condition demands it (\"on-demand\"). The on-demand strategy may reduce mortality, morbidity, health care utilization, and costs. However, randomized trials have not been performed.\nOBJECTIVE: To compare patient outcome, health care utilization, and costs of on-demand and planned relaparotomy.\nDESIGN, SETTING, AND PATIENTS: Randomized, nonblinded clinical trial at 2 academic and 5 regional teaching hospitals in the Netherlands from November 2001 through February 2005. Patients had severe secondary peritonitis and an Acute Physiology and Chronic Health Evaluation (APACHE-II) score of 11 or greater.\nINTERVENTION: Random allocation to on-demand or planned relaparotomy strategy.\nMAIN OUTCOME MEASURES: The primary end point was death and/or peritonitis-related morbidity within a 12-month follow-up period. Secondary end points included health care utilization and costs.\nRESULTS: A total of 232 patients (116 on-demand and 116 planned) were randomized. One patient in the on-demand group was excluded due to an operative diagnosis of pancreatitis and 3 in each group withdrew or were lost to follow-up. There was no significant difference in primary end point (57% on-demand [n = 64] vs 65% planned [n = 73]; P = .25) or in mortality alone (29% on-demand [n = 32] vs 36% planned [n = 41]; P = .22) or morbidity alone (40% on-demand [n = 32] vs 44% planned [n = 32]; P = .58). A total of 42% of the on-demand patients had a relaparotomy vs 94% of the planned relaparotomy group. A total of 31% of first relaparotomies were negative in the on-demand group vs 66% in the planned group (P &lt;.001). Patients in the on-demand group had shorter median intensive care unit stays (7 vs 11 days; P = .001) and shorter median hospital stays (27 vs 35 days; P = .008). Direct medical costs per patient were reduced by 23% using the on-demand strategy.\nCONCLUSION: Patients in the on-demand relaparotomy group did not have a significantly lower rate of death or major peritonitis-related morbidity compared with the planned relaparotomy group but did have a substantial reduction in relaparotomies, health care utilization, and medical costs.\nTRIAL REGISTRATION: http://isrctn.org Identifier: ISRCTN51729393.","container-title":"JAMA","DOI":"10.1001/jama.298.8.865","ISSN":"1538-3598","issue":"8","journalAbbreviation":"JAMA","language":"eng","note":"PMID: 17712070","page":"865-872","source":"PubMed","title":"Comparison of on-demand vs planned relaparotomy strategy in patients with severe peritonitis: a randomized trial","title-short":"Comparison of on-demand vs planned relaparotomy strategy in patients with severe peritonitis","volume":"298","author":[{"family":"Ruler","given":"Oddeke","non-dropping-particle":"van"},{"family":"Mahler","given":"Cecilia W."},{"family":"Boer","given":"Kimberly R."},{"family":"Reuland","given":"E. Ascelijn"},{"family":"Gooszen","given":"Hein G."},{"family":"Opmeer","given":"Brent C."},{"family":"Graaf","given":"Peter W.","non-dropping-particle":"de"},{"family":"Lamme","given":"Bas"},{"family":"Gerhards","given":"Michael F."},{"family":"Steller","given":"E. Philip"},{"family":"Till","given":"J. W. Olivier","non-dropping-particle":"van"},{"family":"Borgie","given":"Corianne J. A. M.","non-dropping-particle":"de"},{"family":"Gouma","given":"Dirk J."},{"family":"Reitsma","given":"Johannes B."},{"family":"Boermeester","given":"Marja A."},{"literal":"Dutch Peritonitis Study Group"}],"issued":{"date-parts":[["2007",8,22]]}}}],"schema":"https://github.com/citation-style-language/schema/raw/master/csl-citation.json"} </w:instrText>
      </w:r>
      <w:r w:rsidR="006331EC">
        <w:rPr>
          <w:rFonts w:cstheme="minorHAnsi"/>
          <w:sz w:val="24"/>
          <w:szCs w:val="24"/>
        </w:rPr>
        <w:fldChar w:fldCharType="separate"/>
      </w:r>
      <w:r w:rsidR="00F60978">
        <w:rPr>
          <w:rFonts w:ascii="Calibri" w:hAnsi="Calibri" w:cs="Calibri"/>
          <w:sz w:val="24"/>
        </w:rPr>
        <w:t>(21</w:t>
      </w:r>
      <w:r w:rsidR="008D0DB6" w:rsidRPr="008D0DB6">
        <w:rPr>
          <w:rFonts w:ascii="Calibri" w:hAnsi="Calibri" w:cs="Calibri"/>
          <w:sz w:val="24"/>
        </w:rPr>
        <w:t>)</w:t>
      </w:r>
      <w:r w:rsidR="006331EC">
        <w:rPr>
          <w:rFonts w:cstheme="minorHAnsi"/>
          <w:sz w:val="24"/>
          <w:szCs w:val="24"/>
        </w:rPr>
        <w:fldChar w:fldCharType="end"/>
      </w:r>
      <w:r w:rsidRPr="009176BD">
        <w:rPr>
          <w:rFonts w:cstheme="minorHAnsi"/>
          <w:sz w:val="24"/>
          <w:szCs w:val="24"/>
        </w:rPr>
        <w:t>.</w:t>
      </w:r>
      <w:r w:rsidR="008D0DB6">
        <w:rPr>
          <w:rFonts w:cstheme="minorHAnsi"/>
          <w:sz w:val="24"/>
          <w:szCs w:val="24"/>
        </w:rPr>
        <w:t xml:space="preserve"> </w:t>
      </w:r>
      <w:r w:rsidRPr="009176BD">
        <w:rPr>
          <w:rFonts w:cstheme="minorHAnsi"/>
          <w:sz w:val="24"/>
          <w:szCs w:val="24"/>
        </w:rPr>
        <w:t>The primary outcomes of the study, death and major morbidity, were similar in the two groups at 12 months (mortality 29% on-demand and 36% planned; p = 0.23; morbidity 40% on-demand and 44% planned; p = 0.58). However, there were significant differences in the secondary outcomes, with the on-demand group having significantly shorter ICU stays (7 vs. 11 days), fewer hospital days (27 vs 35), and lower cost (23% less). Although this study does not answer the question of which is a better strategy, it does suggest the on-demand strategy has benefits (less health care utilization and cost) and that mandatory laparotomy is not helpful unless indicated for specific purpose.</w:t>
      </w:r>
    </w:p>
    <w:p w:rsidR="009176BD" w:rsidRDefault="009176BD" w:rsidP="002F4AB7">
      <w:pPr>
        <w:jc w:val="both"/>
        <w:rPr>
          <w:rFonts w:cstheme="minorHAnsi"/>
          <w:sz w:val="24"/>
          <w:szCs w:val="24"/>
        </w:rPr>
      </w:pPr>
      <w:r w:rsidRPr="009176BD">
        <w:rPr>
          <w:rFonts w:cstheme="minorHAnsi"/>
          <w:sz w:val="24"/>
          <w:szCs w:val="24"/>
        </w:rPr>
        <w:t xml:space="preserve">There are two views of explaining this dilemma. Some might argue that the surgeon’s choice for an individual patient, based on ability to predict disease severity or disease outcome, rather than the treatment strategy itself, correlated with outcome. However, there are several arguments against this line of reasoning: disease severity was comparable between the groups; both treatment strategies were equally represented in disease subgroups; it is questionable whether the group of more severely ill patients would indeed benefit only from a planned </w:t>
      </w:r>
      <w:r w:rsidRPr="009176BD">
        <w:rPr>
          <w:rFonts w:cstheme="minorHAnsi"/>
          <w:sz w:val="24"/>
          <w:szCs w:val="24"/>
        </w:rPr>
        <w:lastRenderedPageBreak/>
        <w:t>strategy as opposed to an on-demand strategy; and treatment strategy was an independent prognostic factor for survival.</w:t>
      </w:r>
    </w:p>
    <w:p w:rsidR="006C6EE0" w:rsidRPr="009176BD" w:rsidRDefault="006C6EE0" w:rsidP="002F4AB7">
      <w:pPr>
        <w:jc w:val="both"/>
        <w:rPr>
          <w:rFonts w:cstheme="minorHAnsi"/>
          <w:sz w:val="24"/>
          <w:szCs w:val="24"/>
        </w:rPr>
      </w:pPr>
      <w:r>
        <w:rPr>
          <w:rFonts w:cstheme="minorHAnsi"/>
          <w:sz w:val="24"/>
          <w:szCs w:val="24"/>
        </w:rPr>
        <w:t>As already mentioned both strategies have comparable mortality, but there is still ongoing researches being done to find out some specifications that help</w:t>
      </w:r>
      <w:r w:rsidR="00D862A0">
        <w:rPr>
          <w:rFonts w:cstheme="minorHAnsi"/>
          <w:sz w:val="24"/>
          <w:szCs w:val="24"/>
        </w:rPr>
        <w:t>s to address specific strategie</w:t>
      </w:r>
      <w:r>
        <w:rPr>
          <w:rFonts w:cstheme="minorHAnsi"/>
          <w:sz w:val="24"/>
          <w:szCs w:val="24"/>
        </w:rPr>
        <w:t xml:space="preserve">, specifically planned relaparatomy. But at the end all concluded rather than </w:t>
      </w:r>
      <w:r w:rsidR="00BE57D4">
        <w:rPr>
          <w:rFonts w:cstheme="minorHAnsi"/>
          <w:sz w:val="24"/>
          <w:szCs w:val="24"/>
        </w:rPr>
        <w:t xml:space="preserve">specifying to single strategy, they prefer to give extra care and attention to patients with specific factors so as to have low </w:t>
      </w:r>
      <w:r w:rsidR="00BE57D4" w:rsidRPr="009176BD">
        <w:rPr>
          <w:rFonts w:cstheme="minorHAnsi"/>
          <w:sz w:val="24"/>
          <w:szCs w:val="24"/>
        </w:rPr>
        <w:t>clinical threshold</w:t>
      </w:r>
      <w:r w:rsidR="00BE57D4">
        <w:rPr>
          <w:rFonts w:cstheme="minorHAnsi"/>
          <w:sz w:val="24"/>
          <w:szCs w:val="24"/>
        </w:rPr>
        <w:t xml:space="preserve"> for early relaparatomy in this patients. Some are as follows.</w:t>
      </w:r>
    </w:p>
    <w:p w:rsidR="009176BD" w:rsidRPr="009176BD" w:rsidRDefault="009176BD" w:rsidP="002F4AB7">
      <w:pPr>
        <w:jc w:val="both"/>
        <w:rPr>
          <w:rFonts w:cstheme="minorHAnsi"/>
          <w:sz w:val="24"/>
          <w:szCs w:val="24"/>
        </w:rPr>
      </w:pPr>
      <w:r w:rsidRPr="009176BD">
        <w:rPr>
          <w:rFonts w:cstheme="minorHAnsi"/>
          <w:sz w:val="24"/>
          <w:szCs w:val="24"/>
        </w:rPr>
        <w:t>A systemic review was done on” Clinical Predictors of Ongoing Infection in Secondary Peritonitis” by Lamme et al on 2006</w:t>
      </w:r>
      <w:r w:rsidR="006331EC">
        <w:rPr>
          <w:rFonts w:cstheme="minorHAnsi"/>
          <w:sz w:val="24"/>
          <w:szCs w:val="24"/>
        </w:rPr>
        <w:fldChar w:fldCharType="begin"/>
      </w:r>
      <w:r w:rsidR="008D0DB6">
        <w:rPr>
          <w:rFonts w:cstheme="minorHAnsi"/>
          <w:sz w:val="24"/>
          <w:szCs w:val="24"/>
        </w:rPr>
        <w:instrText xml:space="preserve"> ADDIN ZOTERO_ITEM CSL_CITATION {"citationID":"n4YTyhhD","properties":{"formattedCitation":"(27)","plainCitation":"(27)","noteIndex":0},"citationItems":[{"id":113,"uris":["http://zotero.org/users/local/OmjLzqcp/items/VZDJDL9B"],"uri":["http://zotero.org/users/local/OmjLzqcp/items/VZDJDL9B"],"itemData":{"id":113,"type":"article-journal","abstract":"INTRODUCTION: The decision to perform a relaparotomy in patients with secondary peritonitis is based on \"clinical judgment\" with inherent variability among surgeons. Our objective was to review the literature on prognostic variables for ongoing abdominal infection. Predictive variables for positive findings at relaparotomy can generate more objective criteria to support the decision whether to perform a relaparotomy in patients with secondary peritonitis.\nMETHODS: Multiple databases were searched for studies assessing the prognostic value of clinical variables predicting outcome of relaparotomy or general outcome in patients with secondary peritonitis. Data on the methodologic quality of the study as well as statistical strength of predictors and validity of individual variables were extracted and scored. A cumulative score was calculated from these three scores, and the variables were ranked.\nRESULTS: A total of 37 of 197 retrieved articles were included for final assessment. The median score for methodologic quality of individual articles was 36 (range 19-54). After calculation of the combined scores, 76 individual variables (patient, peritonitis, surgery, clinical, and laboratory variables) were identified from which the top 10 were eventually selected. These variables were age, concomitant disease, upper gastrointestinal source of peritonitis, generalized peritonitis, elimination of the focus, bilirubin, creatinine, lactate, PaO2/FiO2 ratio, and albumin. This set of variables proved to be moderately predictive for positive findings during relaparotomy in a retrospective cohort of 219 patients operated on for secondary peritonitis (receiver operator curve 0.75, with 95% confidence interval 0.68-0.82).\nCONCLUSIONS: This review generated a hierarchy (weighted ranking) of published variables that could play a role in the decision to perform a relaparotomy in patients with secondary peritonitis. The top sixtile of ranked variables (10 variables) showed promising results in the discrimination between patients having a positive and negative relaparotomy when tested on a peritonitis patient database. This ranking of variables provides evidence for potential inclusion of variables in future predictive scores, although improvement in overall predictive strength of a set of variables in such a score is needed.","container-title":"World Journal of Surgery","DOI":"10.1007/s00268-005-0333-1","ISSN":"0364-2313","issue":"12","journalAbbreviation":"World J Surg","language":"eng","note":"PMID: 17102920","page":"2170-2181","source":"PubMed","title":"Clinical predictors of ongoing infection in secondary peritonitis: systematic review","title-short":"Clinical predictors of ongoing infection in secondary peritonitis","volume":"30","author":[{"family":"Lamme","given":"Bas"},{"family":"Mahler","given":"Cecilia W."},{"family":"Ruler","given":"Oddeke","non-dropping-particle":"van"},{"family":"Gouma","given":"Dirk J."},{"family":"Reitsma","given":"Johannes B."},{"family":"Boermeester","given":"Marja A."}],"issued":{"date-parts":[["2006",12]]}}}],"schema":"https://github.com/citation-style-language/schema/raw/master/csl-citation.json"} </w:instrText>
      </w:r>
      <w:r w:rsidR="006331EC">
        <w:rPr>
          <w:rFonts w:cstheme="minorHAnsi"/>
          <w:sz w:val="24"/>
          <w:szCs w:val="24"/>
        </w:rPr>
        <w:fldChar w:fldCharType="separate"/>
      </w:r>
      <w:r w:rsidR="00F60978">
        <w:rPr>
          <w:rFonts w:ascii="Calibri" w:hAnsi="Calibri" w:cs="Calibri"/>
          <w:sz w:val="24"/>
        </w:rPr>
        <w:t>(28</w:t>
      </w:r>
      <w:r w:rsidR="008D0DB6" w:rsidRPr="008D0DB6">
        <w:rPr>
          <w:rFonts w:ascii="Calibri" w:hAnsi="Calibri" w:cs="Calibri"/>
          <w:sz w:val="24"/>
        </w:rPr>
        <w:t>)</w:t>
      </w:r>
      <w:r w:rsidR="006331EC">
        <w:rPr>
          <w:rFonts w:cstheme="minorHAnsi"/>
          <w:sz w:val="24"/>
          <w:szCs w:val="24"/>
        </w:rPr>
        <w:fldChar w:fldCharType="end"/>
      </w:r>
      <w:r w:rsidRPr="009176BD">
        <w:rPr>
          <w:rFonts w:cstheme="minorHAnsi"/>
          <w:sz w:val="24"/>
          <w:szCs w:val="24"/>
        </w:rPr>
        <w:t>. A total of 37 articles were included in the study. 76 individual variables (patient, peritonitis, surgery, clinical, and laboratory variables) were tested from which 10 were eventually selected. These variables were age, concomitant disease, upper gastrointestinal source of peritonitis, generalized peritonitis, elimination of the focus, bilirubin, creatinine, lactate, PaO2/FiO2 ratio, and albumin. This set of variables proved to be moderately predictive for positive findings during relaparotomy in a retrospective cohort of 219 patients operated on for secondary peritonitis (receiver operator curve 0.75, with 95% confidence interval 0.68–0.82). This finding is considered promising results in the discrimination between patients having a positive and negative relaparotomy.</w:t>
      </w:r>
    </w:p>
    <w:p w:rsidR="009176BD" w:rsidRPr="009176BD" w:rsidRDefault="009176BD" w:rsidP="002F4AB7">
      <w:pPr>
        <w:jc w:val="both"/>
        <w:rPr>
          <w:rFonts w:cstheme="minorHAnsi"/>
          <w:sz w:val="24"/>
          <w:szCs w:val="24"/>
        </w:rPr>
      </w:pPr>
      <w:r w:rsidRPr="009176BD">
        <w:rPr>
          <w:rFonts w:cstheme="minorHAnsi"/>
          <w:sz w:val="24"/>
          <w:szCs w:val="24"/>
        </w:rPr>
        <w:t xml:space="preserve">A retrospective chart review conducted in Houston, USA </w:t>
      </w:r>
      <w:r w:rsidR="008D0DB6">
        <w:rPr>
          <w:rFonts w:cstheme="minorHAnsi"/>
          <w:sz w:val="24"/>
          <w:szCs w:val="24"/>
        </w:rPr>
        <w:t xml:space="preserve">by Kim et al. </w:t>
      </w:r>
      <w:r w:rsidRPr="009176BD">
        <w:rPr>
          <w:rFonts w:cstheme="minorHAnsi"/>
          <w:sz w:val="24"/>
          <w:szCs w:val="24"/>
        </w:rPr>
        <w:t>was aimed at identifying the predictors of relaparotomy after nontrauma emergency general surgery with initial fascial closure</w:t>
      </w:r>
      <w:r w:rsidR="006331EC">
        <w:rPr>
          <w:rFonts w:cstheme="minorHAnsi"/>
          <w:sz w:val="24"/>
          <w:szCs w:val="24"/>
        </w:rPr>
        <w:fldChar w:fldCharType="begin"/>
      </w:r>
      <w:r w:rsidR="008D0DB6">
        <w:rPr>
          <w:rFonts w:cstheme="minorHAnsi"/>
          <w:sz w:val="24"/>
          <w:szCs w:val="24"/>
        </w:rPr>
        <w:instrText xml:space="preserve"> ADDIN ZOTERO_ITEM CSL_CITATION {"citationID":"udpqu6XT","properties":{"formattedCitation":"(28)","plainCitation":"(28)","noteIndex":0},"citationItems":[{"id":111,"uris":["http://zotero.org/users/local/OmjLzqcp/items/HIKPGAPV"],"uri":["http://zotero.org/users/local/OmjLzqcp/items/HIKPGAPV"],"itemData":{"id":111,"type":"article-journal","abstract":"BACKGROUND: Relaparotomy after emergency surgery for nontrauma intraabdominal catastrophes (NTIAC) is morbid. Our objective was to identify patients who likely will need on-demand relaparotomy after surgery for NTIAC.\nMETHODS: A retrospective chart review of patients from 1998 to 2008 identified cases of NTIAC surgery with fascial closure. Demographics, comorbidities, intraoperative findings, morbidity, and mortality were analyzed. Relaparotomy was defined as any return to the operating room with surgical re-entry of the abdominal cavity.\nRESULTS: A total of 129 patients underwent NTIAC surgery with fascial closure. Twenty-nine patients (22%) required relaparotomy and 100 patients (78%) did not. Multivariate analysis identified the following predictors of relaparotomy: peripheral vascular disease (P = .04), alcohol abuse (P = .02), body mass index of 29 kg/m(2) or greater (P = .04), the finding of any ischemic bowel (P = .02), and operating room latency of 60 hours or longer (P = .01). Patients with 2 or more of these predictors had a 55% risk of relaparotomy whereas patients with fewer than 2 of these predictors had a 9% risk (P &lt; .001).\nCONCLUSIONS: Patients whose fascia is closed during NTIAC surgery do worse when they require relaparotomy. We have identified preoperative and intraoperative predictors that may help identify patients at high risk of on-demand relaparotomy.","container-title":"American Journal of Surgery","DOI":"10.1016/j.amjsurg.2011.06.023","ISSN":"1879-1883","issue":"5","journalAbbreviation":"Am J Surg","language":"eng","note":"PMID: 21944291","page":"549-552","source":"PubMed","title":"Predictors of relaparotomy after nontrauma emergency general surgery with initial fascial closure","volume":"202","author":[{"family":"Kim","given":"Jerry J."},{"family":"Liang","given":"Mike K."},{"family":"Subramanian","given":"Anuradha"},{"family":"Balentine","given":"Courtney J."},{"family":"Sansgiry","given":"Shubhada"},{"family":"Awad","given":"Samir S."}],"issued":{"date-parts":[["2011",11]]}}}],"schema":"https://github.com/citation-style-language/schema/raw/master/csl-citation.json"} </w:instrText>
      </w:r>
      <w:r w:rsidR="006331EC">
        <w:rPr>
          <w:rFonts w:cstheme="minorHAnsi"/>
          <w:sz w:val="24"/>
          <w:szCs w:val="24"/>
        </w:rPr>
        <w:fldChar w:fldCharType="separate"/>
      </w:r>
      <w:r w:rsidR="00F60978">
        <w:rPr>
          <w:rFonts w:ascii="Calibri" w:hAnsi="Calibri" w:cs="Calibri"/>
          <w:sz w:val="24"/>
        </w:rPr>
        <w:t>(29</w:t>
      </w:r>
      <w:r w:rsidR="008D0DB6" w:rsidRPr="008D0DB6">
        <w:rPr>
          <w:rFonts w:ascii="Calibri" w:hAnsi="Calibri" w:cs="Calibri"/>
          <w:sz w:val="24"/>
        </w:rPr>
        <w:t>)</w:t>
      </w:r>
      <w:r w:rsidR="006331EC">
        <w:rPr>
          <w:rFonts w:cstheme="minorHAnsi"/>
          <w:sz w:val="24"/>
          <w:szCs w:val="24"/>
        </w:rPr>
        <w:fldChar w:fldCharType="end"/>
      </w:r>
      <w:r w:rsidRPr="009176BD">
        <w:rPr>
          <w:rFonts w:cstheme="minorHAnsi"/>
          <w:sz w:val="24"/>
          <w:szCs w:val="24"/>
        </w:rPr>
        <w:t>. A total of 129 patients underwent NTIAC surgery with fascial closure. Twenty-nine patients (22%) required relaparotomy and 100 patients (78%) did not. Kim et al analyzed several factors such as demographics, comorbidities, intraoperative findings, morbidity, and mortality. Five independent predictors, peripheral vascular disease (P = 0.04), alcohol abuse (P = 0.02), body mass index of 29 kg/m2 or greater (P = 0.04), the finding of any ischemic bowel (P = 0.02), and operating room latency of 60 hours or longer (P = 0.01) were found to be significant. Patients with 2 or more of these predictors had a 55% risk of relaparotomy whereas those with fewer than 2 had a 9% risk (P &lt; 0.001). At last the author concluded high risk patients with 2 or more risk factors should have a higher level of postoperative surveillance with early post-imaging and lower clinical threshold for early relaparotomy.</w:t>
      </w:r>
    </w:p>
    <w:p w:rsidR="009176BD" w:rsidRPr="009176BD" w:rsidRDefault="009176BD" w:rsidP="002F4AB7">
      <w:pPr>
        <w:jc w:val="both"/>
        <w:rPr>
          <w:rFonts w:cstheme="minorHAnsi"/>
          <w:sz w:val="24"/>
          <w:szCs w:val="24"/>
        </w:rPr>
      </w:pPr>
      <w:r w:rsidRPr="009176BD">
        <w:rPr>
          <w:rFonts w:cstheme="minorHAnsi"/>
          <w:sz w:val="24"/>
          <w:szCs w:val="24"/>
        </w:rPr>
        <w:t>A retrospectively study was conducted by Sileikis et al on 195 patients with secondary peritonitis who had undergone planned relaparotomy from 2005 to 2009 at Vilnius University Hospital, Lithuania</w:t>
      </w:r>
      <w:r w:rsidR="006331EC">
        <w:rPr>
          <w:rFonts w:cstheme="minorHAnsi"/>
          <w:sz w:val="24"/>
          <w:szCs w:val="24"/>
        </w:rPr>
        <w:fldChar w:fldCharType="begin"/>
      </w:r>
      <w:r w:rsidR="0098481B">
        <w:rPr>
          <w:rFonts w:cstheme="minorHAnsi"/>
          <w:sz w:val="24"/>
          <w:szCs w:val="24"/>
        </w:rPr>
        <w:instrText xml:space="preserve"> ADDIN ZOTERO_ITEM CSL_CITATION {"citationID":"E12CxN5s","properties":{"formattedCitation":"(10)","plainCitation":"(10)","noteIndex":0},"citationItems":[{"id":93,"uris":["http://zotero.org/users/local/OmjLzqcp/items/KXQEPR4X"],"uri":["http://zotero.org/users/local/OmjLzqcp/items/KXQEPR4X"],"itemData":{"id":93,"type":"article-journal","abstract":"Aims. To devise a scoring system for clinical variables related to positive findings at relaparotomy in secondary peritonitis. Methods. We have retrospectively studied 195 cases of patients after relaparotomy. According to the operation’s findings, the patients were divided into two groups: ‘relaparatomy unnecessary’ group A, ‘relaparotomy necessary’ group B. 6 factors (age, sex, leukocyte count, C reactive protein, time of symptoms to index operation, Mannheim Peritonitis Index) were evaluated in respect to their significance in decision making for relaparotomy. The predictive value for positive operation`s findings of these factors was evaluated by logistic multivariate regression analysis. According to this model a risk scoring system was created to support the decision whether to perform a relaparotomy. Results. Relaparotomy was unnecessary (Group A) for 154 (79,0%) patients, for 41 (21,0%) it was necessary (Group B). Comparing the groups A and B, we found a significant difference in patients’ mean age (54 v. 63 years, p=0,002), mean CRP level (133,2 v. 182,8 mg/L, p=0,025), mean time of symptoms to index operation (38,1 v. 67,1 hours, p=0,006) and mean MPI value (22,4 v. 29,4, p&lt;0,0001). According to the above-mentioned predictors, a scoring system was devised: −0,17-(0,003×patient’s age years)+(0.153×time of symptoms to index operation hours)-(0,297×MPI)+(0,192×CRP mg/l). The score was 24,798±25,593 in group A and 36,572±32,543 in group B(p=0,028). Conclusions: Scoring system was devised to assist in creating treatment strategy after secondary peritonitis. If the score is ≥37, a planned relaparotomy should be performed. If the score is ≤24, other diagnostic and therapeutic tactics should be applied.","container-title":"Central European Journal of Medicine","DOI":"10.2478/s11536-013-0180-7","journalAbbreviation":"Central European Journal of Medicine","source":"ResearchGate","title":"Prediction for a planned relaparotomy in secondary peritonitis","volume":"8","author":[{"family":"Sileikis","given":"Audrius"},{"family":"Kazanavičius","given":"Darius"},{"family":"Skrebunas","given":"A."},{"family":"Ostapenko","given":"A."},{"family":"Strupas","given":"K."}],"issued":{"date-parts":[["2013",8,1]]}}}],"schema":"https://github.com/citation-style-language/schema/raw/master/csl-citation.json"} </w:instrText>
      </w:r>
      <w:r w:rsidR="006331EC">
        <w:rPr>
          <w:rFonts w:cstheme="minorHAnsi"/>
          <w:sz w:val="24"/>
          <w:szCs w:val="24"/>
        </w:rPr>
        <w:fldChar w:fldCharType="separate"/>
      </w:r>
      <w:r w:rsidR="00F60978">
        <w:rPr>
          <w:rFonts w:ascii="Calibri" w:hAnsi="Calibri" w:cs="Calibri"/>
          <w:sz w:val="24"/>
        </w:rPr>
        <w:t>(11</w:t>
      </w:r>
      <w:r w:rsidR="0098481B" w:rsidRPr="0098481B">
        <w:rPr>
          <w:rFonts w:ascii="Calibri" w:hAnsi="Calibri" w:cs="Calibri"/>
          <w:sz w:val="24"/>
        </w:rPr>
        <w:t>)</w:t>
      </w:r>
      <w:r w:rsidR="006331EC">
        <w:rPr>
          <w:rFonts w:cstheme="minorHAnsi"/>
          <w:sz w:val="24"/>
          <w:szCs w:val="24"/>
        </w:rPr>
        <w:fldChar w:fldCharType="end"/>
      </w:r>
      <w:r w:rsidRPr="009176BD">
        <w:rPr>
          <w:rFonts w:cstheme="minorHAnsi"/>
          <w:sz w:val="24"/>
          <w:szCs w:val="24"/>
        </w:rPr>
        <w:t xml:space="preserve">. The patients were divided into two groups: ‘relaparatomy unnecessary’ group A and ‘relaparotomy necessary’ group B, according to the operation`s findings. 6 factors (age, sex, leukocyte count, C reactive protein, time of symptoms to index operation, Mannheim Peritonitis Index) were analyzed in the study.4 variables, mean age (54 v. 63 years, p=0,002), mean CRP level (133,2 v. 182,8 mg/L, p=0,025), mean time of symptoms to index operation </w:t>
      </w:r>
      <w:r w:rsidRPr="009176BD">
        <w:rPr>
          <w:rFonts w:cstheme="minorHAnsi"/>
          <w:sz w:val="24"/>
          <w:szCs w:val="24"/>
        </w:rPr>
        <w:lastRenderedPageBreak/>
        <w:t>(38,1 v. 67,1 hours, p=0,006) and mean MPI value (22,4 v. 29,4, p&lt;0,0001) were found to be significant. A scoring system was developed using those variables to assist in determining the necessity of the planned relaparotomy.</w:t>
      </w:r>
    </w:p>
    <w:p w:rsidR="009176BD" w:rsidRDefault="009176BD" w:rsidP="002F4AB7">
      <w:pPr>
        <w:jc w:val="both"/>
        <w:rPr>
          <w:rFonts w:cstheme="minorHAnsi"/>
          <w:sz w:val="24"/>
          <w:szCs w:val="24"/>
        </w:rPr>
      </w:pPr>
      <w:r w:rsidRPr="009176BD">
        <w:rPr>
          <w:rFonts w:cstheme="minorHAnsi"/>
          <w:sz w:val="24"/>
          <w:szCs w:val="24"/>
        </w:rPr>
        <w:t>The prominent study done from Africa, a developing nation was conducted in the College of Health Sciences, University of KwaZulu-Natal, South Africa titled “Developing a clinical model to predict the need for relaparotomy in severe intra-abdominal sepsis secondary to complicated appendicitis”</w:t>
      </w:r>
      <w:r w:rsidR="006331EC">
        <w:rPr>
          <w:rFonts w:cstheme="minorHAnsi"/>
          <w:sz w:val="24"/>
          <w:szCs w:val="24"/>
        </w:rPr>
        <w:fldChar w:fldCharType="begin"/>
      </w:r>
      <w:r w:rsidR="0098481B">
        <w:rPr>
          <w:rFonts w:cstheme="minorHAnsi"/>
          <w:sz w:val="24"/>
          <w:szCs w:val="24"/>
        </w:rPr>
        <w:instrText xml:space="preserve"> ADDIN ZOTERO_ITEM CSL_CITATION {"citationID":"6PoQjp5B","properties":{"formattedCitation":"(29)","plainCitation":"(29)","noteIndex":0},"citationItems":[{"id":5,"uris":["http://zotero.org/users/local/OmjLzqcp/items/IH2X2FXE"],"uri":["http://zotero.org/users/local/OmjLzqcp/items/IH2X2FXE"],"itemData":{"id":5,"type":"article-journal","abstract":"Background: \nComplex intra-abdominal sepsis secondary to acute appendicitis is common in South Africa, and management frequently involves relaparotomy. The decision to perform relaparotomy is often difficult, and this study aimed to develop a clinical model to aid the decision-making process.\n\nMethod:\nThe study was conducted from January 2008 to December 2012 at Edendale Hospital, Pietermaritzburg. All patients with intraoperatively confirmed acute appendicitis and all patients in this group who subsequently underwent relaparotomy were included. The clinical course, intraoperative findings and outcome of all patients were recorded until discharge (or death). Using a combination of preoperative and intraoperative parameters, a clinical model was developed to predict the need for relaparotomy.\n\nResults:\nOf the total of 1 000 patients identified, 54.1% were males. The median age for all patients was 21 years. Of 406 relaparotomies, 227 (55.9%) were planned and 179 (44.1%) on demand (expectant treatment). In the relaparotomy group, 367 patients (90.4%) had positive findings. Logistic regression analysis showed that the following four factors accurately predicted the need for subsequent relaparotomy: patients referred from any rural centre, duration of illness &gt;5 days, heart rate &gt;120 bpm, and perforation associated with generalised intraabdominal sepsis. Th is model had a predictive value of &gt;90%.\n\nConclusion:\nWe have constructed a model that uses clinical data available at initial laparotomy to predict the need for subsequent relaparotomy in patients with complicated acute appendicitis. It is hoped that this model can be integrated into routine clinical practice, but further study is first needed to validate this model.","container-title":"South African Journal of Surgery","DOI":"10.7196/SAJS.2116","journalAbbreviation":"South African Journal of Surgery","page":"2014-91","source":"ResearchGate","title":"Developing a clinical model to predict the need for relaparotomy in severe intra-abdominal sepsis secondary to complicated appendicitis","volume":"52","author":[{"family":"Kong","given":"Victor"},{"family":"Linde","given":"Stephan"},{"family":"Aldous","given":"Colleen"},{"family":"Handley","given":"Jonathan"},{"family":"Clarke","given":"Damian"}],"issued":{"date-parts":[["2014",12,18]]}}}],"schema":"https://github.com/citation-style-language/schema/raw/master/csl-citation.json"} </w:instrText>
      </w:r>
      <w:r w:rsidR="006331EC">
        <w:rPr>
          <w:rFonts w:cstheme="minorHAnsi"/>
          <w:sz w:val="24"/>
          <w:szCs w:val="24"/>
        </w:rPr>
        <w:fldChar w:fldCharType="separate"/>
      </w:r>
      <w:r w:rsidR="00F60978">
        <w:rPr>
          <w:rFonts w:ascii="Calibri" w:hAnsi="Calibri" w:cs="Calibri"/>
          <w:sz w:val="24"/>
        </w:rPr>
        <w:t>(30</w:t>
      </w:r>
      <w:r w:rsidR="0098481B" w:rsidRPr="0098481B">
        <w:rPr>
          <w:rFonts w:ascii="Calibri" w:hAnsi="Calibri" w:cs="Calibri"/>
          <w:sz w:val="24"/>
        </w:rPr>
        <w:t>)</w:t>
      </w:r>
      <w:r w:rsidR="006331EC">
        <w:rPr>
          <w:rFonts w:cstheme="minorHAnsi"/>
          <w:sz w:val="24"/>
          <w:szCs w:val="24"/>
        </w:rPr>
        <w:fldChar w:fldCharType="end"/>
      </w:r>
      <w:r w:rsidRPr="009176BD">
        <w:rPr>
          <w:rFonts w:cstheme="minorHAnsi"/>
          <w:sz w:val="24"/>
          <w:szCs w:val="24"/>
        </w:rPr>
        <w:t xml:space="preserve">. 1000 patients were included in the study with 406 relaparotomies( 227, planned and 179, on demand). Logistic regression analysis showed that the following four factors predicted the need for subsequent relaparotomy: patients referred from any rural centre, duration of illness &gt;5 days, heart rate &gt;120 bpm, and perforation associated with </w:t>
      </w:r>
      <w:r w:rsidR="0000416A" w:rsidRPr="009176BD">
        <w:rPr>
          <w:rFonts w:cstheme="minorHAnsi"/>
          <w:sz w:val="24"/>
          <w:szCs w:val="24"/>
        </w:rPr>
        <w:t>generalized</w:t>
      </w:r>
      <w:r w:rsidRPr="009176BD">
        <w:rPr>
          <w:rFonts w:cstheme="minorHAnsi"/>
          <w:sz w:val="24"/>
          <w:szCs w:val="24"/>
        </w:rPr>
        <w:t xml:space="preserve"> intraabdominal sepsis. A model developed using this variables had a predictive value of &gt;90% for the need of subsequent relaparotomy.</w:t>
      </w:r>
    </w:p>
    <w:p w:rsidR="00345ADC" w:rsidRPr="004A4932" w:rsidRDefault="00345ADC" w:rsidP="002F4AB7">
      <w:pPr>
        <w:pStyle w:val="Heading2"/>
        <w:jc w:val="both"/>
      </w:pPr>
      <w:bookmarkStart w:id="4" w:name="_Toc73713172"/>
      <w:r w:rsidRPr="004A4932">
        <w:t>Rationale of the study</w:t>
      </w:r>
      <w:bookmarkEnd w:id="4"/>
    </w:p>
    <w:p w:rsidR="00345ADC" w:rsidRDefault="00345ADC" w:rsidP="002F4AB7">
      <w:pPr>
        <w:jc w:val="both"/>
        <w:rPr>
          <w:rFonts w:cstheme="minorHAnsi"/>
          <w:sz w:val="24"/>
          <w:szCs w:val="24"/>
        </w:rPr>
      </w:pPr>
      <w:r w:rsidRPr="00345ADC">
        <w:rPr>
          <w:rFonts w:cstheme="minorHAnsi"/>
          <w:sz w:val="24"/>
          <w:szCs w:val="24"/>
        </w:rPr>
        <w:t>Persistent intra abdominal infection following laparotomy is the main reason for relaparotomy. Patients who developed persistent intra abdominal infection requiring relparotomy have increased morbidity (surgical site infection, wound dehiscence, hospital acquired infections…), increased mortality and increased health care cost (long hospital stay, increase ICU bed occupancy…). This is more profound on patients that are detected late and taken to OR after SIRS developed. The rationale of this study is to identify preoperative and intra operative factors that will predict increased chance of persistent intra abdominal infection requiring relaparotomy, so that this patients will be given extra care and detect post op collection early(early laboratory investigation, early imaging).</w:t>
      </w:r>
    </w:p>
    <w:p w:rsidR="00C72B18" w:rsidRDefault="00C72B18" w:rsidP="002F4AB7">
      <w:pPr>
        <w:jc w:val="both"/>
        <w:rPr>
          <w:rFonts w:cstheme="minorHAnsi"/>
          <w:b/>
          <w:sz w:val="28"/>
          <w:szCs w:val="28"/>
        </w:rPr>
      </w:pPr>
    </w:p>
    <w:p w:rsidR="00C72B18" w:rsidRDefault="00C72B18" w:rsidP="002F4AB7">
      <w:pPr>
        <w:jc w:val="both"/>
        <w:rPr>
          <w:rFonts w:cstheme="minorHAnsi"/>
          <w:b/>
          <w:sz w:val="28"/>
          <w:szCs w:val="28"/>
        </w:rPr>
      </w:pPr>
    </w:p>
    <w:p w:rsidR="00C72B18" w:rsidRDefault="00C72B18" w:rsidP="002F4AB7">
      <w:pPr>
        <w:jc w:val="both"/>
        <w:rPr>
          <w:rFonts w:cstheme="minorHAnsi"/>
          <w:b/>
          <w:sz w:val="28"/>
          <w:szCs w:val="28"/>
        </w:rPr>
      </w:pPr>
    </w:p>
    <w:p w:rsidR="00C72B18" w:rsidRDefault="00C72B18" w:rsidP="002F4AB7">
      <w:pPr>
        <w:jc w:val="both"/>
        <w:rPr>
          <w:rFonts w:cstheme="minorHAnsi"/>
          <w:b/>
          <w:sz w:val="28"/>
          <w:szCs w:val="28"/>
        </w:rPr>
      </w:pPr>
    </w:p>
    <w:p w:rsidR="00C72B18" w:rsidRDefault="00C72B18" w:rsidP="002F4AB7">
      <w:pPr>
        <w:jc w:val="both"/>
        <w:rPr>
          <w:rFonts w:cstheme="minorHAnsi"/>
          <w:b/>
          <w:sz w:val="28"/>
          <w:szCs w:val="28"/>
        </w:rPr>
      </w:pPr>
    </w:p>
    <w:p w:rsidR="00C72B18" w:rsidRDefault="00C72B18" w:rsidP="002F4AB7">
      <w:pPr>
        <w:jc w:val="both"/>
        <w:rPr>
          <w:rFonts w:cstheme="minorHAnsi"/>
          <w:b/>
          <w:sz w:val="28"/>
          <w:szCs w:val="28"/>
        </w:rPr>
      </w:pPr>
    </w:p>
    <w:p w:rsidR="00C72B18" w:rsidRDefault="00C72B18" w:rsidP="002F4AB7">
      <w:pPr>
        <w:jc w:val="both"/>
        <w:rPr>
          <w:rFonts w:cstheme="minorHAnsi"/>
          <w:b/>
          <w:sz w:val="28"/>
          <w:szCs w:val="28"/>
        </w:rPr>
      </w:pPr>
    </w:p>
    <w:p w:rsidR="00C72B18" w:rsidRDefault="00C72B18" w:rsidP="002F4AB7">
      <w:pPr>
        <w:jc w:val="both"/>
        <w:rPr>
          <w:rFonts w:cstheme="minorHAnsi"/>
          <w:b/>
          <w:sz w:val="28"/>
          <w:szCs w:val="28"/>
        </w:rPr>
      </w:pPr>
    </w:p>
    <w:p w:rsidR="009176BD" w:rsidRDefault="009176BD" w:rsidP="002F4AB7">
      <w:pPr>
        <w:pStyle w:val="Heading1"/>
        <w:jc w:val="both"/>
        <w:rPr>
          <w:sz w:val="24"/>
          <w:szCs w:val="24"/>
        </w:rPr>
      </w:pPr>
      <w:bookmarkStart w:id="5" w:name="_Toc73713173"/>
      <w:r w:rsidRPr="00AC7DD7">
        <w:lastRenderedPageBreak/>
        <w:t>Objectives</w:t>
      </w:r>
      <w:bookmarkEnd w:id="5"/>
    </w:p>
    <w:p w:rsidR="00B31005" w:rsidRPr="009176BD" w:rsidRDefault="00617C07" w:rsidP="002F4AB7">
      <w:pPr>
        <w:pStyle w:val="Heading2"/>
        <w:jc w:val="both"/>
      </w:pPr>
      <w:bookmarkStart w:id="6" w:name="_Toc73713174"/>
      <w:r>
        <w:t>General</w:t>
      </w:r>
      <w:r w:rsidR="00B31005">
        <w:t xml:space="preserve"> Objective</w:t>
      </w:r>
      <w:bookmarkEnd w:id="6"/>
    </w:p>
    <w:p w:rsidR="00B31005" w:rsidRDefault="003F5227" w:rsidP="002F4AB7">
      <w:pPr>
        <w:pStyle w:val="ListParagraph"/>
        <w:numPr>
          <w:ilvl w:val="0"/>
          <w:numId w:val="1"/>
        </w:numPr>
        <w:jc w:val="both"/>
        <w:rPr>
          <w:rFonts w:cstheme="minorHAnsi"/>
          <w:sz w:val="24"/>
          <w:szCs w:val="24"/>
        </w:rPr>
      </w:pPr>
      <w:r>
        <w:rPr>
          <w:rFonts w:cstheme="minorHAnsi"/>
          <w:sz w:val="24"/>
          <w:szCs w:val="24"/>
        </w:rPr>
        <w:t>To identify predictors of relaparotomy for persistent intraabdominal infection</w:t>
      </w:r>
    </w:p>
    <w:p w:rsidR="00B31005" w:rsidRDefault="00617C07" w:rsidP="002F4AB7">
      <w:pPr>
        <w:pStyle w:val="Heading2"/>
        <w:jc w:val="both"/>
      </w:pPr>
      <w:bookmarkStart w:id="7" w:name="_Toc73713175"/>
      <w:r>
        <w:t>Specific</w:t>
      </w:r>
      <w:r w:rsidR="00B31005">
        <w:t xml:space="preserve"> Objectives</w:t>
      </w:r>
      <w:bookmarkEnd w:id="7"/>
    </w:p>
    <w:p w:rsidR="003F5227" w:rsidRPr="003F5227" w:rsidRDefault="003F5227" w:rsidP="002F4AB7">
      <w:pPr>
        <w:pStyle w:val="ListParagraph"/>
        <w:numPr>
          <w:ilvl w:val="0"/>
          <w:numId w:val="1"/>
        </w:numPr>
        <w:jc w:val="both"/>
        <w:rPr>
          <w:rFonts w:cstheme="minorHAnsi"/>
          <w:sz w:val="24"/>
          <w:szCs w:val="24"/>
        </w:rPr>
      </w:pPr>
      <w:r w:rsidRPr="009176BD">
        <w:rPr>
          <w:rFonts w:cstheme="minorHAnsi"/>
          <w:sz w:val="24"/>
          <w:szCs w:val="24"/>
        </w:rPr>
        <w:t>To identify preoperative and intraoperative clinical factors that predicts the need for relaparotomy</w:t>
      </w:r>
    </w:p>
    <w:p w:rsidR="00B31005" w:rsidRPr="00B31005" w:rsidRDefault="00B31005" w:rsidP="002F4AB7">
      <w:pPr>
        <w:pStyle w:val="ListParagraph"/>
        <w:numPr>
          <w:ilvl w:val="0"/>
          <w:numId w:val="1"/>
        </w:numPr>
        <w:jc w:val="both"/>
        <w:rPr>
          <w:rFonts w:cstheme="minorHAnsi"/>
          <w:sz w:val="24"/>
          <w:szCs w:val="24"/>
        </w:rPr>
      </w:pPr>
      <w:r>
        <w:rPr>
          <w:rFonts w:cstheme="minorHAnsi"/>
          <w:sz w:val="24"/>
          <w:szCs w:val="24"/>
        </w:rPr>
        <w:t>To determine the commonest causes of s</w:t>
      </w:r>
      <w:r w:rsidR="002D41C5">
        <w:rPr>
          <w:rFonts w:cstheme="minorHAnsi"/>
          <w:sz w:val="24"/>
          <w:szCs w:val="24"/>
        </w:rPr>
        <w:t>econdary peritonitis in the two</w:t>
      </w:r>
      <w:r w:rsidRPr="009176BD">
        <w:rPr>
          <w:rFonts w:cstheme="minorHAnsi"/>
          <w:sz w:val="24"/>
          <w:szCs w:val="24"/>
        </w:rPr>
        <w:t xml:space="preserve"> affiliated hospi</w:t>
      </w:r>
      <w:r>
        <w:rPr>
          <w:rFonts w:cstheme="minorHAnsi"/>
          <w:sz w:val="24"/>
          <w:szCs w:val="24"/>
        </w:rPr>
        <w:t xml:space="preserve">tals of AAU, </w:t>
      </w:r>
      <w:r w:rsidRPr="0000416A">
        <w:rPr>
          <w:rFonts w:cstheme="minorHAnsi"/>
          <w:sz w:val="24"/>
          <w:szCs w:val="24"/>
        </w:rPr>
        <w:t>College of Health Science, School of Medicine</w:t>
      </w:r>
    </w:p>
    <w:p w:rsidR="009176BD" w:rsidRPr="00A82565" w:rsidRDefault="009176BD" w:rsidP="002F4AB7">
      <w:pPr>
        <w:pStyle w:val="ListParagraph"/>
        <w:numPr>
          <w:ilvl w:val="0"/>
          <w:numId w:val="1"/>
        </w:numPr>
        <w:jc w:val="both"/>
        <w:rPr>
          <w:rFonts w:cstheme="minorHAnsi"/>
          <w:sz w:val="24"/>
          <w:szCs w:val="24"/>
        </w:rPr>
      </w:pPr>
      <w:r w:rsidRPr="009176BD">
        <w:rPr>
          <w:rFonts w:cstheme="minorHAnsi"/>
          <w:sz w:val="24"/>
          <w:szCs w:val="24"/>
        </w:rPr>
        <w:t>To det</w:t>
      </w:r>
      <w:r w:rsidR="003F5227">
        <w:rPr>
          <w:rFonts w:cstheme="minorHAnsi"/>
          <w:sz w:val="24"/>
          <w:szCs w:val="24"/>
        </w:rPr>
        <w:t>ermine the incidence of relaparo</w:t>
      </w:r>
      <w:r w:rsidRPr="009176BD">
        <w:rPr>
          <w:rFonts w:cstheme="minorHAnsi"/>
          <w:sz w:val="24"/>
          <w:szCs w:val="24"/>
        </w:rPr>
        <w:t>tomy among patients with secondary peritonit</w:t>
      </w:r>
      <w:r w:rsidR="003F5227">
        <w:rPr>
          <w:rFonts w:cstheme="minorHAnsi"/>
          <w:sz w:val="24"/>
          <w:szCs w:val="24"/>
        </w:rPr>
        <w:t>is</w:t>
      </w:r>
      <w:r w:rsidRPr="009176BD">
        <w:rPr>
          <w:rFonts w:cstheme="minorHAnsi"/>
          <w:sz w:val="24"/>
          <w:szCs w:val="24"/>
        </w:rPr>
        <w:t xml:space="preserve"> i</w:t>
      </w:r>
      <w:r w:rsidR="002D41C5">
        <w:rPr>
          <w:rFonts w:cstheme="minorHAnsi"/>
          <w:sz w:val="24"/>
          <w:szCs w:val="24"/>
        </w:rPr>
        <w:t>n two</w:t>
      </w:r>
      <w:r w:rsidRPr="009176BD">
        <w:rPr>
          <w:rFonts w:cstheme="minorHAnsi"/>
          <w:sz w:val="24"/>
          <w:szCs w:val="24"/>
        </w:rPr>
        <w:t xml:space="preserve"> </w:t>
      </w:r>
      <w:r w:rsidR="0000416A" w:rsidRPr="009176BD">
        <w:rPr>
          <w:rFonts w:cstheme="minorHAnsi"/>
          <w:sz w:val="24"/>
          <w:szCs w:val="24"/>
        </w:rPr>
        <w:t>affiliated</w:t>
      </w:r>
      <w:r w:rsidRPr="009176BD">
        <w:rPr>
          <w:rFonts w:cstheme="minorHAnsi"/>
          <w:sz w:val="24"/>
          <w:szCs w:val="24"/>
        </w:rPr>
        <w:t xml:space="preserve"> hospi</w:t>
      </w:r>
      <w:r w:rsidR="0000416A">
        <w:rPr>
          <w:rFonts w:cstheme="minorHAnsi"/>
          <w:sz w:val="24"/>
          <w:szCs w:val="24"/>
        </w:rPr>
        <w:t xml:space="preserve">tals of AAU, </w:t>
      </w:r>
      <w:r w:rsidR="0000416A" w:rsidRPr="0000416A">
        <w:rPr>
          <w:rFonts w:cstheme="minorHAnsi"/>
          <w:sz w:val="24"/>
          <w:szCs w:val="24"/>
        </w:rPr>
        <w:t>College of Health Science, School of Medicine</w:t>
      </w:r>
      <w:r w:rsidR="00B31005" w:rsidRPr="001C2F4C">
        <w:rPr>
          <w:rFonts w:cstheme="minorHAnsi"/>
          <w:sz w:val="24"/>
          <w:szCs w:val="24"/>
        </w:rPr>
        <w:t xml:space="preserve"> </w:t>
      </w:r>
    </w:p>
    <w:p w:rsidR="004A4932" w:rsidRDefault="004A4932" w:rsidP="002F4AB7">
      <w:pPr>
        <w:jc w:val="both"/>
        <w:rPr>
          <w:rFonts w:cstheme="minorHAnsi"/>
          <w:b/>
          <w:sz w:val="28"/>
          <w:szCs w:val="28"/>
        </w:rPr>
      </w:pPr>
    </w:p>
    <w:p w:rsidR="004A4932" w:rsidRDefault="004A4932" w:rsidP="002F4AB7">
      <w:pPr>
        <w:jc w:val="both"/>
        <w:rPr>
          <w:rFonts w:cstheme="minorHAnsi"/>
          <w:b/>
          <w:sz w:val="28"/>
          <w:szCs w:val="28"/>
        </w:rPr>
      </w:pPr>
    </w:p>
    <w:p w:rsidR="004A4932" w:rsidRDefault="004A4932" w:rsidP="002F4AB7">
      <w:pPr>
        <w:jc w:val="both"/>
        <w:rPr>
          <w:rFonts w:cstheme="minorHAnsi"/>
          <w:b/>
          <w:sz w:val="28"/>
          <w:szCs w:val="28"/>
        </w:rPr>
      </w:pPr>
    </w:p>
    <w:p w:rsidR="004A4932" w:rsidRDefault="004A4932" w:rsidP="002F4AB7">
      <w:pPr>
        <w:jc w:val="both"/>
        <w:rPr>
          <w:rFonts w:cstheme="minorHAnsi"/>
          <w:b/>
          <w:sz w:val="28"/>
          <w:szCs w:val="28"/>
        </w:rPr>
      </w:pPr>
    </w:p>
    <w:p w:rsidR="004A4932" w:rsidRDefault="004A4932" w:rsidP="002F4AB7">
      <w:pPr>
        <w:jc w:val="both"/>
        <w:rPr>
          <w:rFonts w:cstheme="minorHAnsi"/>
          <w:b/>
          <w:sz w:val="28"/>
          <w:szCs w:val="28"/>
        </w:rPr>
      </w:pPr>
    </w:p>
    <w:p w:rsidR="004A4932" w:rsidRDefault="004A4932" w:rsidP="002F4AB7">
      <w:pPr>
        <w:jc w:val="both"/>
        <w:rPr>
          <w:rFonts w:cstheme="minorHAnsi"/>
          <w:b/>
          <w:sz w:val="28"/>
          <w:szCs w:val="28"/>
        </w:rPr>
      </w:pPr>
    </w:p>
    <w:p w:rsidR="004A4932" w:rsidRDefault="004A4932" w:rsidP="002F4AB7">
      <w:pPr>
        <w:jc w:val="both"/>
        <w:rPr>
          <w:rFonts w:cstheme="minorHAnsi"/>
          <w:b/>
          <w:sz w:val="28"/>
          <w:szCs w:val="28"/>
        </w:rPr>
      </w:pPr>
    </w:p>
    <w:p w:rsidR="004A4932" w:rsidRDefault="004A4932" w:rsidP="002F4AB7">
      <w:pPr>
        <w:jc w:val="both"/>
        <w:rPr>
          <w:rFonts w:cstheme="minorHAnsi"/>
          <w:b/>
          <w:sz w:val="28"/>
          <w:szCs w:val="28"/>
        </w:rPr>
      </w:pPr>
    </w:p>
    <w:p w:rsidR="004A4932" w:rsidRDefault="004A4932" w:rsidP="002F4AB7">
      <w:pPr>
        <w:jc w:val="both"/>
        <w:rPr>
          <w:rFonts w:cstheme="minorHAnsi"/>
          <w:b/>
          <w:sz w:val="28"/>
          <w:szCs w:val="28"/>
        </w:rPr>
      </w:pPr>
    </w:p>
    <w:p w:rsidR="004A4932" w:rsidRDefault="004A4932" w:rsidP="002F4AB7">
      <w:pPr>
        <w:jc w:val="both"/>
        <w:rPr>
          <w:rFonts w:cstheme="minorHAnsi"/>
          <w:b/>
          <w:sz w:val="28"/>
          <w:szCs w:val="28"/>
        </w:rPr>
      </w:pPr>
    </w:p>
    <w:p w:rsidR="004A4932" w:rsidRDefault="004A4932" w:rsidP="002F4AB7">
      <w:pPr>
        <w:jc w:val="both"/>
        <w:rPr>
          <w:rFonts w:cstheme="minorHAnsi"/>
          <w:b/>
          <w:sz w:val="28"/>
          <w:szCs w:val="28"/>
        </w:rPr>
      </w:pPr>
    </w:p>
    <w:p w:rsidR="004A4932" w:rsidRDefault="004A4932" w:rsidP="002F4AB7">
      <w:pPr>
        <w:jc w:val="both"/>
        <w:rPr>
          <w:rFonts w:cstheme="minorHAnsi"/>
          <w:b/>
          <w:sz w:val="28"/>
          <w:szCs w:val="28"/>
        </w:rPr>
      </w:pPr>
    </w:p>
    <w:p w:rsidR="004A4932" w:rsidRDefault="004A4932" w:rsidP="002F4AB7">
      <w:pPr>
        <w:jc w:val="both"/>
        <w:rPr>
          <w:rFonts w:cstheme="minorHAnsi"/>
          <w:b/>
          <w:sz w:val="28"/>
          <w:szCs w:val="28"/>
        </w:rPr>
      </w:pPr>
    </w:p>
    <w:p w:rsidR="004A4932" w:rsidRDefault="004A4932" w:rsidP="002F4AB7">
      <w:pPr>
        <w:jc w:val="both"/>
        <w:rPr>
          <w:rFonts w:cstheme="minorHAnsi"/>
          <w:b/>
          <w:sz w:val="28"/>
          <w:szCs w:val="28"/>
        </w:rPr>
      </w:pPr>
    </w:p>
    <w:p w:rsidR="00364967" w:rsidRDefault="00364967" w:rsidP="002F4AB7">
      <w:pPr>
        <w:jc w:val="both"/>
        <w:rPr>
          <w:rFonts w:cstheme="minorHAnsi"/>
          <w:b/>
          <w:sz w:val="32"/>
          <w:szCs w:val="32"/>
        </w:rPr>
      </w:pPr>
    </w:p>
    <w:p w:rsidR="009176BD" w:rsidRPr="004A4932" w:rsidRDefault="009176BD" w:rsidP="002F4AB7">
      <w:pPr>
        <w:pStyle w:val="Heading1"/>
        <w:jc w:val="both"/>
      </w:pPr>
      <w:bookmarkStart w:id="8" w:name="_Toc73713176"/>
      <w:r w:rsidRPr="004A4932">
        <w:lastRenderedPageBreak/>
        <w:t>Methodology</w:t>
      </w:r>
      <w:bookmarkEnd w:id="8"/>
      <w:r w:rsidRPr="004A4932">
        <w:t xml:space="preserve"> </w:t>
      </w:r>
    </w:p>
    <w:p w:rsidR="00364967" w:rsidRDefault="009176BD" w:rsidP="002F4AB7">
      <w:pPr>
        <w:pStyle w:val="Heading2"/>
        <w:jc w:val="both"/>
        <w:rPr>
          <w:sz w:val="24"/>
          <w:szCs w:val="24"/>
        </w:rPr>
      </w:pPr>
      <w:bookmarkStart w:id="9" w:name="_Toc73713177"/>
      <w:r w:rsidRPr="004A4932">
        <w:t>Study design</w:t>
      </w:r>
      <w:r w:rsidRPr="009176BD">
        <w:rPr>
          <w:sz w:val="24"/>
          <w:szCs w:val="24"/>
        </w:rPr>
        <w:t>:</w:t>
      </w:r>
      <w:bookmarkEnd w:id="9"/>
      <w:r w:rsidRPr="009176BD">
        <w:rPr>
          <w:sz w:val="24"/>
          <w:szCs w:val="24"/>
        </w:rPr>
        <w:t xml:space="preserve"> </w:t>
      </w:r>
    </w:p>
    <w:p w:rsidR="009176BD" w:rsidRPr="009176BD" w:rsidRDefault="009176BD" w:rsidP="002F4AB7">
      <w:pPr>
        <w:jc w:val="both"/>
        <w:rPr>
          <w:rFonts w:cstheme="minorHAnsi"/>
          <w:b/>
          <w:sz w:val="24"/>
          <w:szCs w:val="24"/>
        </w:rPr>
      </w:pPr>
      <w:r w:rsidRPr="009176BD">
        <w:rPr>
          <w:rFonts w:cstheme="minorHAnsi"/>
          <w:sz w:val="24"/>
          <w:szCs w:val="24"/>
        </w:rPr>
        <w:t>A</w:t>
      </w:r>
      <w:r w:rsidRPr="009176BD">
        <w:rPr>
          <w:rFonts w:cstheme="minorHAnsi"/>
          <w:b/>
          <w:sz w:val="24"/>
          <w:szCs w:val="24"/>
        </w:rPr>
        <w:t xml:space="preserve"> </w:t>
      </w:r>
      <w:r w:rsidR="000D422A">
        <w:rPr>
          <w:rFonts w:cstheme="minorHAnsi"/>
          <w:sz w:val="24"/>
          <w:szCs w:val="24"/>
        </w:rPr>
        <w:t xml:space="preserve">retrospective cross-sectional </w:t>
      </w:r>
      <w:r w:rsidR="0074584E">
        <w:rPr>
          <w:rFonts w:cstheme="minorHAnsi"/>
          <w:sz w:val="24"/>
          <w:szCs w:val="24"/>
        </w:rPr>
        <w:t>quantitative design was used to</w:t>
      </w:r>
      <w:r w:rsidRPr="009176BD">
        <w:rPr>
          <w:rFonts w:cstheme="minorHAnsi"/>
          <w:sz w:val="24"/>
          <w:szCs w:val="24"/>
        </w:rPr>
        <w:t xml:space="preserve"> conduc</w:t>
      </w:r>
      <w:r w:rsidR="00095973">
        <w:rPr>
          <w:rFonts w:cstheme="minorHAnsi"/>
          <w:sz w:val="24"/>
          <w:szCs w:val="24"/>
        </w:rPr>
        <w:t>ted</w:t>
      </w:r>
      <w:r w:rsidR="00AE61D6">
        <w:rPr>
          <w:rFonts w:cstheme="minorHAnsi"/>
          <w:sz w:val="24"/>
          <w:szCs w:val="24"/>
        </w:rPr>
        <w:t xml:space="preserve">, </w:t>
      </w:r>
      <w:r w:rsidR="00AE61D6" w:rsidRPr="000D422A">
        <w:t>with</w:t>
      </w:r>
      <w:r w:rsidR="000D422A">
        <w:rPr>
          <w:rFonts w:cstheme="minorHAnsi"/>
          <w:sz w:val="24"/>
          <w:szCs w:val="24"/>
        </w:rPr>
        <w:t xml:space="preserve"> analytical</w:t>
      </w:r>
      <w:r w:rsidR="000D422A" w:rsidRPr="000D422A">
        <w:rPr>
          <w:rFonts w:cstheme="minorHAnsi"/>
          <w:sz w:val="24"/>
          <w:szCs w:val="24"/>
        </w:rPr>
        <w:t xml:space="preserve"> approach a</w:t>
      </w:r>
      <w:r w:rsidR="000D422A">
        <w:rPr>
          <w:rFonts w:cstheme="minorHAnsi"/>
          <w:sz w:val="24"/>
          <w:szCs w:val="24"/>
        </w:rPr>
        <w:t>dopted to determine the predictors of relaparotomy for persistent intraabdominal infection</w:t>
      </w:r>
      <w:r w:rsidR="000D422A" w:rsidRPr="000D422A">
        <w:rPr>
          <w:rFonts w:cstheme="minorHAnsi"/>
          <w:sz w:val="24"/>
          <w:szCs w:val="24"/>
        </w:rPr>
        <w:t>.</w:t>
      </w:r>
    </w:p>
    <w:p w:rsidR="00364967" w:rsidRDefault="00F13C8F" w:rsidP="002F4AB7">
      <w:pPr>
        <w:pStyle w:val="Heading2"/>
        <w:jc w:val="both"/>
        <w:rPr>
          <w:sz w:val="24"/>
          <w:szCs w:val="24"/>
        </w:rPr>
      </w:pPr>
      <w:bookmarkStart w:id="10" w:name="_Toc73713178"/>
      <w:r w:rsidRPr="004A4932">
        <w:t xml:space="preserve">Study </w:t>
      </w:r>
      <w:r w:rsidR="009176BD" w:rsidRPr="004A4932">
        <w:t>Setting</w:t>
      </w:r>
      <w:r w:rsidR="009176BD" w:rsidRPr="009176BD">
        <w:rPr>
          <w:sz w:val="24"/>
          <w:szCs w:val="24"/>
        </w:rPr>
        <w:t>:</w:t>
      </w:r>
      <w:bookmarkEnd w:id="10"/>
    </w:p>
    <w:p w:rsidR="00AE61D6" w:rsidRDefault="009176BD" w:rsidP="002F4AB7">
      <w:pPr>
        <w:jc w:val="both"/>
      </w:pPr>
      <w:r w:rsidRPr="009176BD">
        <w:rPr>
          <w:rFonts w:cstheme="minorHAnsi"/>
          <w:b/>
          <w:sz w:val="24"/>
          <w:szCs w:val="24"/>
        </w:rPr>
        <w:t xml:space="preserve"> </w:t>
      </w:r>
      <w:r w:rsidR="0074584E">
        <w:rPr>
          <w:rFonts w:cstheme="minorHAnsi"/>
          <w:sz w:val="24"/>
          <w:szCs w:val="24"/>
        </w:rPr>
        <w:t>This study was</w:t>
      </w:r>
      <w:r w:rsidRPr="009176BD">
        <w:rPr>
          <w:rFonts w:cstheme="minorHAnsi"/>
          <w:sz w:val="24"/>
          <w:szCs w:val="24"/>
        </w:rPr>
        <w:t xml:space="preserve"> conducted</w:t>
      </w:r>
      <w:r w:rsidRPr="009176BD">
        <w:rPr>
          <w:rFonts w:cstheme="minorHAnsi"/>
          <w:b/>
          <w:sz w:val="24"/>
          <w:szCs w:val="24"/>
        </w:rPr>
        <w:t xml:space="preserve"> </w:t>
      </w:r>
      <w:r w:rsidR="00696D6A">
        <w:rPr>
          <w:rFonts w:cstheme="minorHAnsi"/>
          <w:sz w:val="24"/>
          <w:szCs w:val="24"/>
        </w:rPr>
        <w:t>in the two</w:t>
      </w:r>
      <w:r w:rsidR="0074584E">
        <w:rPr>
          <w:rFonts w:cstheme="minorHAnsi"/>
          <w:sz w:val="24"/>
          <w:szCs w:val="24"/>
        </w:rPr>
        <w:t xml:space="preserve"> </w:t>
      </w:r>
      <w:r w:rsidRPr="009176BD">
        <w:rPr>
          <w:rFonts w:cstheme="minorHAnsi"/>
          <w:sz w:val="24"/>
          <w:szCs w:val="24"/>
        </w:rPr>
        <w:t>affiliated referral hospital of AAU, collage of Medicine, Addis Ababa. These hospitals are Yekatit 12 referral hospita</w:t>
      </w:r>
      <w:r w:rsidR="00696D6A">
        <w:rPr>
          <w:rFonts w:cstheme="minorHAnsi"/>
          <w:sz w:val="24"/>
          <w:szCs w:val="24"/>
        </w:rPr>
        <w:t xml:space="preserve">l </w:t>
      </w:r>
      <w:r w:rsidR="0074584E">
        <w:rPr>
          <w:rFonts w:cstheme="minorHAnsi"/>
          <w:sz w:val="24"/>
          <w:szCs w:val="24"/>
        </w:rPr>
        <w:t>and</w:t>
      </w:r>
      <w:r w:rsidRPr="009176BD">
        <w:rPr>
          <w:rFonts w:cstheme="minorHAnsi"/>
          <w:sz w:val="24"/>
          <w:szCs w:val="24"/>
        </w:rPr>
        <w:t xml:space="preserve"> Minilik II referral Hospital</w:t>
      </w:r>
      <w:r w:rsidR="0074584E">
        <w:rPr>
          <w:rFonts w:cstheme="minorHAnsi"/>
          <w:sz w:val="24"/>
          <w:szCs w:val="24"/>
        </w:rPr>
        <w:t>.</w:t>
      </w:r>
    </w:p>
    <w:p w:rsidR="009176BD" w:rsidRPr="009176BD" w:rsidRDefault="00E51A65" w:rsidP="002F4AB7">
      <w:pPr>
        <w:jc w:val="both"/>
        <w:rPr>
          <w:rFonts w:cstheme="minorHAnsi"/>
          <w:b/>
          <w:sz w:val="24"/>
          <w:szCs w:val="24"/>
        </w:rPr>
      </w:pPr>
      <w:r w:rsidRPr="00E51A65">
        <w:rPr>
          <w:rFonts w:cstheme="minorHAnsi"/>
          <w:sz w:val="24"/>
          <w:szCs w:val="24"/>
        </w:rPr>
        <w:t xml:space="preserve">Yekatit 12 hospital is a regional hospital in Addis Ababa. It has </w:t>
      </w:r>
      <w:r w:rsidR="0045137D">
        <w:rPr>
          <w:rFonts w:cstheme="minorHAnsi"/>
          <w:sz w:val="24"/>
          <w:szCs w:val="24"/>
        </w:rPr>
        <w:t>57</w:t>
      </w:r>
      <w:r w:rsidRPr="00E51A65">
        <w:rPr>
          <w:rFonts w:cstheme="minorHAnsi"/>
          <w:sz w:val="24"/>
          <w:szCs w:val="24"/>
        </w:rPr>
        <w:t xml:space="preserve"> surgical beds and provides definitive surgical care to 3 sub cities, as well as the surrounding rural areas. Minilik 11 hospital is one of the biggest hospitals, sitting in the center of Addis Ababa. It has </w:t>
      </w:r>
      <w:r w:rsidR="0045137D">
        <w:rPr>
          <w:rFonts w:cstheme="minorHAnsi"/>
          <w:sz w:val="24"/>
          <w:szCs w:val="24"/>
        </w:rPr>
        <w:t>96</w:t>
      </w:r>
      <w:r w:rsidRPr="00E51A65">
        <w:rPr>
          <w:rFonts w:cstheme="minorHAnsi"/>
          <w:sz w:val="24"/>
          <w:szCs w:val="24"/>
        </w:rPr>
        <w:t xml:space="preserve"> surgical beds and is responsible for giving surgical care for 2 sub cities and the surrounding rural countryside. </w:t>
      </w:r>
      <w:r w:rsidR="009176BD" w:rsidRPr="009176BD">
        <w:rPr>
          <w:rFonts w:cstheme="minorHAnsi"/>
          <w:sz w:val="24"/>
          <w:szCs w:val="24"/>
        </w:rPr>
        <w:t>The surgical departments of these hospitals are the training sites for surgical residents of postgraduat</w:t>
      </w:r>
      <w:r>
        <w:rPr>
          <w:rFonts w:cstheme="minorHAnsi"/>
          <w:sz w:val="24"/>
          <w:szCs w:val="24"/>
        </w:rPr>
        <w:t>e program of Collage of Health Science</w:t>
      </w:r>
      <w:r w:rsidR="009176BD" w:rsidRPr="009176BD">
        <w:rPr>
          <w:rFonts w:cstheme="minorHAnsi"/>
          <w:sz w:val="24"/>
          <w:szCs w:val="24"/>
        </w:rPr>
        <w:t xml:space="preserve">, AAU. </w:t>
      </w:r>
    </w:p>
    <w:p w:rsidR="00364967" w:rsidRDefault="009176BD" w:rsidP="002F4AB7">
      <w:pPr>
        <w:pStyle w:val="Heading2"/>
        <w:jc w:val="both"/>
      </w:pPr>
      <w:bookmarkStart w:id="11" w:name="_Toc73713179"/>
      <w:r w:rsidRPr="004A4932">
        <w:t>Study population:</w:t>
      </w:r>
      <w:bookmarkEnd w:id="11"/>
    </w:p>
    <w:p w:rsidR="009F1DBA" w:rsidRDefault="0074584E" w:rsidP="002F4AB7">
      <w:pPr>
        <w:jc w:val="both"/>
        <w:rPr>
          <w:rFonts w:cstheme="minorHAnsi"/>
          <w:sz w:val="24"/>
          <w:szCs w:val="24"/>
        </w:rPr>
      </w:pPr>
      <w:r>
        <w:rPr>
          <w:rFonts w:cstheme="minorHAnsi"/>
          <w:sz w:val="24"/>
          <w:szCs w:val="24"/>
        </w:rPr>
        <w:t xml:space="preserve"> A total of 17</w:t>
      </w:r>
      <w:r w:rsidR="007B6151">
        <w:rPr>
          <w:rFonts w:cstheme="minorHAnsi"/>
          <w:sz w:val="24"/>
          <w:szCs w:val="24"/>
        </w:rPr>
        <w:t xml:space="preserve">2 </w:t>
      </w:r>
      <w:r w:rsidR="007B6151" w:rsidRPr="007B6151">
        <w:rPr>
          <w:rFonts w:cstheme="minorHAnsi"/>
          <w:sz w:val="24"/>
          <w:szCs w:val="24"/>
        </w:rPr>
        <w:t>cases of patients</w:t>
      </w:r>
      <w:r w:rsidR="007B6151">
        <w:rPr>
          <w:rFonts w:cstheme="minorHAnsi"/>
          <w:sz w:val="24"/>
          <w:szCs w:val="24"/>
        </w:rPr>
        <w:t xml:space="preserve"> </w:t>
      </w:r>
      <w:r w:rsidR="007B6151" w:rsidRPr="007B6151">
        <w:rPr>
          <w:rFonts w:cstheme="minorHAnsi"/>
          <w:sz w:val="24"/>
          <w:szCs w:val="24"/>
        </w:rPr>
        <w:t>with secondary peritonitis</w:t>
      </w:r>
      <w:r w:rsidR="007B6151">
        <w:rPr>
          <w:rFonts w:cstheme="minorHAnsi"/>
          <w:sz w:val="24"/>
          <w:szCs w:val="24"/>
        </w:rPr>
        <w:t xml:space="preserve"> </w:t>
      </w:r>
      <w:r w:rsidR="007B6151" w:rsidRPr="007B6151">
        <w:rPr>
          <w:rFonts w:cstheme="minorHAnsi"/>
          <w:sz w:val="24"/>
          <w:szCs w:val="24"/>
        </w:rPr>
        <w:t>who had undergone</w:t>
      </w:r>
      <w:r w:rsidR="00696D6A">
        <w:rPr>
          <w:rFonts w:cstheme="minorHAnsi"/>
          <w:sz w:val="24"/>
          <w:szCs w:val="24"/>
        </w:rPr>
        <w:t xml:space="preserve"> laparatomy from Sept 1, 2019 to April 08</w:t>
      </w:r>
      <w:r w:rsidR="007B6151">
        <w:rPr>
          <w:rFonts w:cstheme="minorHAnsi"/>
          <w:sz w:val="24"/>
          <w:szCs w:val="24"/>
        </w:rPr>
        <w:t>, 2020 were included in</w:t>
      </w:r>
      <w:r w:rsidR="00F50683" w:rsidRPr="00F50683">
        <w:rPr>
          <w:rFonts w:cstheme="minorHAnsi"/>
          <w:sz w:val="24"/>
          <w:szCs w:val="24"/>
        </w:rPr>
        <w:t xml:space="preserve"> this study. </w:t>
      </w:r>
    </w:p>
    <w:p w:rsidR="0084181A" w:rsidRPr="00857DE6" w:rsidRDefault="009F1DBA" w:rsidP="002F4AB7">
      <w:pPr>
        <w:pStyle w:val="ListParagraph"/>
        <w:numPr>
          <w:ilvl w:val="0"/>
          <w:numId w:val="12"/>
        </w:numPr>
        <w:jc w:val="both"/>
        <w:rPr>
          <w:rFonts w:cstheme="minorHAnsi"/>
          <w:sz w:val="24"/>
          <w:szCs w:val="24"/>
        </w:rPr>
      </w:pPr>
      <w:r w:rsidRPr="00857DE6">
        <w:rPr>
          <w:rFonts w:cstheme="minorHAnsi"/>
          <w:b/>
          <w:sz w:val="24"/>
          <w:szCs w:val="24"/>
        </w:rPr>
        <w:t>Inclusion criteria</w:t>
      </w:r>
      <w:r w:rsidRPr="00857DE6">
        <w:rPr>
          <w:rFonts w:cstheme="minorHAnsi"/>
          <w:sz w:val="24"/>
          <w:szCs w:val="24"/>
        </w:rPr>
        <w:t xml:space="preserve">: </w:t>
      </w:r>
    </w:p>
    <w:p w:rsidR="0084181A" w:rsidRPr="00857DE6" w:rsidRDefault="00DD524D" w:rsidP="002F4AB7">
      <w:pPr>
        <w:pStyle w:val="ListParagraph"/>
        <w:jc w:val="both"/>
        <w:rPr>
          <w:rFonts w:cstheme="minorHAnsi"/>
          <w:sz w:val="24"/>
          <w:szCs w:val="24"/>
        </w:rPr>
      </w:pPr>
      <w:r w:rsidRPr="00857DE6">
        <w:rPr>
          <w:rFonts w:cstheme="minorHAnsi"/>
          <w:sz w:val="24"/>
          <w:szCs w:val="24"/>
        </w:rPr>
        <w:t>All patients admitted and operated for secondary peritonitis</w:t>
      </w:r>
      <w:r w:rsidR="00C8208C" w:rsidRPr="00857DE6">
        <w:rPr>
          <w:rFonts w:cstheme="minorHAnsi"/>
          <w:sz w:val="24"/>
          <w:szCs w:val="24"/>
        </w:rPr>
        <w:t xml:space="preserve"> in the department</w:t>
      </w:r>
      <w:r w:rsidRPr="00857DE6">
        <w:rPr>
          <w:rFonts w:cstheme="minorHAnsi"/>
          <w:sz w:val="24"/>
          <w:szCs w:val="24"/>
        </w:rPr>
        <w:t xml:space="preserve"> </w:t>
      </w:r>
      <w:r w:rsidR="009F1DBA" w:rsidRPr="00857DE6">
        <w:rPr>
          <w:rFonts w:cstheme="minorHAnsi"/>
          <w:sz w:val="24"/>
          <w:szCs w:val="24"/>
        </w:rPr>
        <w:t xml:space="preserve">in the two affiliated hospitals </w:t>
      </w:r>
      <w:r w:rsidR="00C8208C" w:rsidRPr="00857DE6">
        <w:rPr>
          <w:rFonts w:cstheme="minorHAnsi"/>
          <w:sz w:val="24"/>
          <w:szCs w:val="24"/>
        </w:rPr>
        <w:t>of AAU, collage of Medicine within</w:t>
      </w:r>
      <w:r w:rsidRPr="00857DE6">
        <w:rPr>
          <w:rFonts w:cstheme="minorHAnsi"/>
          <w:sz w:val="24"/>
          <w:szCs w:val="24"/>
        </w:rPr>
        <w:t xml:space="preserve"> this time-frame were included.</w:t>
      </w:r>
      <w:r w:rsidR="00D31AE8" w:rsidRPr="00857DE6">
        <w:rPr>
          <w:rFonts w:cstheme="minorHAnsi"/>
          <w:sz w:val="24"/>
          <w:szCs w:val="24"/>
        </w:rPr>
        <w:t xml:space="preserve"> </w:t>
      </w:r>
    </w:p>
    <w:p w:rsidR="0084181A" w:rsidRPr="00857DE6" w:rsidRDefault="0084181A" w:rsidP="002F4AB7">
      <w:pPr>
        <w:pStyle w:val="ListParagraph"/>
        <w:numPr>
          <w:ilvl w:val="0"/>
          <w:numId w:val="12"/>
        </w:numPr>
        <w:jc w:val="both"/>
        <w:rPr>
          <w:rFonts w:cstheme="minorHAnsi"/>
          <w:b/>
          <w:sz w:val="24"/>
          <w:szCs w:val="24"/>
        </w:rPr>
      </w:pPr>
      <w:r w:rsidRPr="00857DE6">
        <w:rPr>
          <w:rFonts w:cstheme="minorHAnsi"/>
          <w:b/>
          <w:sz w:val="24"/>
          <w:szCs w:val="24"/>
        </w:rPr>
        <w:t xml:space="preserve">Exclusion criteria: </w:t>
      </w:r>
    </w:p>
    <w:p w:rsidR="0084181A" w:rsidRPr="00857DE6" w:rsidRDefault="0084181A" w:rsidP="002F4AB7">
      <w:pPr>
        <w:pStyle w:val="ListParagraph"/>
        <w:jc w:val="both"/>
        <w:rPr>
          <w:rFonts w:cstheme="minorHAnsi"/>
          <w:sz w:val="24"/>
          <w:szCs w:val="24"/>
        </w:rPr>
      </w:pPr>
      <w:r w:rsidRPr="00857DE6">
        <w:rPr>
          <w:rFonts w:cstheme="minorHAnsi"/>
          <w:sz w:val="24"/>
          <w:szCs w:val="24"/>
        </w:rPr>
        <w:t>Patient with initial laparatomy done in other hospitals</w:t>
      </w:r>
    </w:p>
    <w:p w:rsidR="0084181A" w:rsidRPr="00857DE6" w:rsidRDefault="0084181A" w:rsidP="002F4AB7">
      <w:pPr>
        <w:pStyle w:val="ListParagraph"/>
        <w:jc w:val="both"/>
        <w:rPr>
          <w:rFonts w:cstheme="minorHAnsi"/>
          <w:sz w:val="24"/>
          <w:szCs w:val="24"/>
        </w:rPr>
      </w:pPr>
      <w:r w:rsidRPr="00857DE6">
        <w:rPr>
          <w:rFonts w:cstheme="minorHAnsi"/>
          <w:sz w:val="24"/>
          <w:szCs w:val="24"/>
        </w:rPr>
        <w:t>Patients with negative relaparatomy</w:t>
      </w:r>
    </w:p>
    <w:p w:rsidR="0084181A" w:rsidRPr="00857DE6" w:rsidRDefault="0084181A" w:rsidP="002F4AB7">
      <w:pPr>
        <w:pStyle w:val="ListParagraph"/>
        <w:jc w:val="both"/>
        <w:rPr>
          <w:rFonts w:cstheme="minorHAnsi"/>
          <w:sz w:val="24"/>
          <w:szCs w:val="24"/>
        </w:rPr>
      </w:pPr>
      <w:r w:rsidRPr="00857DE6">
        <w:rPr>
          <w:rFonts w:cstheme="minorHAnsi"/>
          <w:sz w:val="24"/>
          <w:szCs w:val="24"/>
        </w:rPr>
        <w:t>Patients with acute pancreatitis</w:t>
      </w:r>
    </w:p>
    <w:p w:rsidR="0084181A" w:rsidRPr="00857DE6" w:rsidRDefault="0084181A" w:rsidP="002F4AB7">
      <w:pPr>
        <w:pStyle w:val="ListParagraph"/>
        <w:jc w:val="both"/>
        <w:rPr>
          <w:rFonts w:cstheme="minorHAnsi"/>
          <w:sz w:val="24"/>
          <w:szCs w:val="24"/>
        </w:rPr>
      </w:pPr>
      <w:r w:rsidRPr="00857DE6">
        <w:rPr>
          <w:rFonts w:cstheme="minorHAnsi"/>
          <w:sz w:val="24"/>
          <w:szCs w:val="24"/>
        </w:rPr>
        <w:t>Patients with mesentric Ischemia</w:t>
      </w:r>
    </w:p>
    <w:p w:rsidR="0084181A" w:rsidRPr="00857DE6" w:rsidRDefault="0084181A" w:rsidP="002F4AB7">
      <w:pPr>
        <w:pStyle w:val="ListParagraph"/>
        <w:jc w:val="both"/>
        <w:rPr>
          <w:rFonts w:cstheme="minorHAnsi"/>
          <w:sz w:val="24"/>
          <w:szCs w:val="24"/>
        </w:rPr>
      </w:pPr>
      <w:r w:rsidRPr="00857DE6">
        <w:rPr>
          <w:rFonts w:cstheme="minorHAnsi"/>
          <w:sz w:val="24"/>
          <w:szCs w:val="24"/>
        </w:rPr>
        <w:t>Patient with already planned relaparatomy</w:t>
      </w:r>
    </w:p>
    <w:p w:rsidR="0084181A" w:rsidRPr="00857DE6" w:rsidRDefault="0084181A" w:rsidP="002F4AB7">
      <w:pPr>
        <w:pStyle w:val="ListParagraph"/>
        <w:jc w:val="both"/>
        <w:rPr>
          <w:rFonts w:cstheme="minorHAnsi"/>
          <w:sz w:val="24"/>
          <w:szCs w:val="24"/>
        </w:rPr>
      </w:pPr>
      <w:r w:rsidRPr="00857DE6">
        <w:rPr>
          <w:rFonts w:cstheme="minorHAnsi"/>
          <w:sz w:val="24"/>
          <w:szCs w:val="24"/>
        </w:rPr>
        <w:t>Patient with TB peritonitis</w:t>
      </w:r>
    </w:p>
    <w:p w:rsidR="0084181A" w:rsidRPr="00857DE6" w:rsidRDefault="0084181A" w:rsidP="002F4AB7">
      <w:pPr>
        <w:pStyle w:val="ListParagraph"/>
        <w:jc w:val="both"/>
        <w:rPr>
          <w:rFonts w:cstheme="minorHAnsi"/>
          <w:sz w:val="24"/>
          <w:szCs w:val="24"/>
        </w:rPr>
      </w:pPr>
      <w:r w:rsidRPr="00857DE6">
        <w:rPr>
          <w:rFonts w:cstheme="minorHAnsi"/>
          <w:sz w:val="24"/>
          <w:szCs w:val="24"/>
        </w:rPr>
        <w:t>Patient who under gone relaparatomy for other cause(bleeding, wound dehiscence…)</w:t>
      </w:r>
    </w:p>
    <w:p w:rsidR="0084181A" w:rsidRPr="00857DE6" w:rsidRDefault="0084181A" w:rsidP="002F4AB7">
      <w:pPr>
        <w:pStyle w:val="ListParagraph"/>
        <w:jc w:val="both"/>
        <w:rPr>
          <w:rFonts w:cstheme="minorHAnsi"/>
          <w:sz w:val="24"/>
          <w:szCs w:val="24"/>
        </w:rPr>
      </w:pPr>
      <w:r w:rsidRPr="00857DE6">
        <w:rPr>
          <w:rFonts w:cstheme="minorHAnsi"/>
          <w:sz w:val="24"/>
          <w:szCs w:val="24"/>
        </w:rPr>
        <w:t xml:space="preserve">Patients with peritonitis following trauma </w:t>
      </w:r>
    </w:p>
    <w:p w:rsidR="00364967" w:rsidRDefault="00857DE6" w:rsidP="002F4AB7">
      <w:pPr>
        <w:pStyle w:val="Heading2"/>
        <w:jc w:val="both"/>
        <w:rPr>
          <w:sz w:val="24"/>
          <w:szCs w:val="24"/>
        </w:rPr>
      </w:pPr>
      <w:bookmarkStart w:id="12" w:name="_Toc73713180"/>
      <w:r w:rsidRPr="004A4932">
        <w:t>Source of data</w:t>
      </w:r>
      <w:r>
        <w:rPr>
          <w:sz w:val="24"/>
          <w:szCs w:val="24"/>
        </w:rPr>
        <w:t>:</w:t>
      </w:r>
      <w:bookmarkEnd w:id="12"/>
      <w:r>
        <w:rPr>
          <w:sz w:val="24"/>
          <w:szCs w:val="24"/>
        </w:rPr>
        <w:t xml:space="preserve"> </w:t>
      </w:r>
    </w:p>
    <w:p w:rsidR="00857DE6" w:rsidRDefault="00857DE6" w:rsidP="002F4AB7">
      <w:pPr>
        <w:autoSpaceDE w:val="0"/>
        <w:autoSpaceDN w:val="0"/>
        <w:adjustRightInd w:val="0"/>
        <w:spacing w:after="0" w:line="240" w:lineRule="auto"/>
        <w:jc w:val="both"/>
        <w:rPr>
          <w:rFonts w:cstheme="minorHAnsi"/>
          <w:sz w:val="24"/>
          <w:szCs w:val="24"/>
        </w:rPr>
      </w:pPr>
      <w:r>
        <w:rPr>
          <w:rFonts w:cstheme="minorHAnsi"/>
          <w:sz w:val="24"/>
          <w:szCs w:val="24"/>
        </w:rPr>
        <w:t>Patients’ medical chart was main source data.</w:t>
      </w:r>
      <w:r w:rsidRPr="00B3451A">
        <w:rPr>
          <w:rFonts w:cstheme="minorHAnsi"/>
          <w:sz w:val="24"/>
          <w:szCs w:val="24"/>
        </w:rPr>
        <w:t xml:space="preserve"> </w:t>
      </w:r>
      <w:r>
        <w:rPr>
          <w:rFonts w:cstheme="minorHAnsi"/>
          <w:sz w:val="24"/>
          <w:szCs w:val="24"/>
        </w:rPr>
        <w:t xml:space="preserve">Basic demographic data (age, sex, place of referral) </w:t>
      </w:r>
      <w:r w:rsidRPr="00C662BB">
        <w:rPr>
          <w:rFonts w:cstheme="minorHAnsi"/>
          <w:sz w:val="24"/>
          <w:szCs w:val="24"/>
        </w:rPr>
        <w:t>were collected. The</w:t>
      </w:r>
      <w:r>
        <w:rPr>
          <w:rFonts w:cstheme="minorHAnsi"/>
          <w:sz w:val="24"/>
          <w:szCs w:val="24"/>
        </w:rPr>
        <w:t xml:space="preserve"> </w:t>
      </w:r>
      <w:r w:rsidRPr="00C662BB">
        <w:rPr>
          <w:rFonts w:cstheme="minorHAnsi"/>
          <w:sz w:val="24"/>
          <w:szCs w:val="24"/>
        </w:rPr>
        <w:t>clinical symptoms, findings o</w:t>
      </w:r>
      <w:r>
        <w:rPr>
          <w:rFonts w:cstheme="minorHAnsi"/>
          <w:sz w:val="24"/>
          <w:szCs w:val="24"/>
        </w:rPr>
        <w:t>n physical examination, post resuscitation</w:t>
      </w:r>
      <w:r w:rsidRPr="00C662BB">
        <w:rPr>
          <w:rFonts w:cstheme="minorHAnsi"/>
          <w:sz w:val="24"/>
          <w:szCs w:val="24"/>
        </w:rPr>
        <w:t xml:space="preserve"> vital</w:t>
      </w:r>
      <w:r>
        <w:rPr>
          <w:rFonts w:cstheme="minorHAnsi"/>
          <w:sz w:val="24"/>
          <w:szCs w:val="24"/>
        </w:rPr>
        <w:t xml:space="preserve"> </w:t>
      </w:r>
      <w:r w:rsidRPr="00C662BB">
        <w:rPr>
          <w:rFonts w:cstheme="minorHAnsi"/>
          <w:sz w:val="24"/>
          <w:szCs w:val="24"/>
        </w:rPr>
        <w:t>signs and laboratory results were recorded. Intraoperative details</w:t>
      </w:r>
      <w:r>
        <w:rPr>
          <w:rFonts w:cstheme="minorHAnsi"/>
          <w:sz w:val="24"/>
          <w:szCs w:val="24"/>
        </w:rPr>
        <w:t xml:space="preserve"> were </w:t>
      </w:r>
      <w:r w:rsidRPr="00D31AE8">
        <w:rPr>
          <w:rFonts w:cstheme="minorHAnsi"/>
          <w:sz w:val="24"/>
          <w:szCs w:val="24"/>
        </w:rPr>
        <w:t>extracted from operation note.</w:t>
      </w:r>
    </w:p>
    <w:p w:rsidR="00857DE6" w:rsidRDefault="00857DE6" w:rsidP="002F4AB7">
      <w:pPr>
        <w:jc w:val="both"/>
        <w:rPr>
          <w:rFonts w:cstheme="minorHAnsi"/>
          <w:sz w:val="24"/>
          <w:szCs w:val="24"/>
        </w:rPr>
      </w:pPr>
      <w:r>
        <w:rPr>
          <w:rFonts w:cstheme="minorHAnsi"/>
          <w:sz w:val="24"/>
          <w:szCs w:val="24"/>
        </w:rPr>
        <w:lastRenderedPageBreak/>
        <w:t xml:space="preserve">Additional information was extracted from </w:t>
      </w:r>
      <w:r w:rsidRPr="009176BD">
        <w:rPr>
          <w:rFonts w:cstheme="minorHAnsi"/>
          <w:sz w:val="24"/>
          <w:szCs w:val="24"/>
        </w:rPr>
        <w:t xml:space="preserve">emergency room triage </w:t>
      </w:r>
      <w:r>
        <w:rPr>
          <w:rFonts w:cstheme="minorHAnsi"/>
          <w:sz w:val="24"/>
          <w:szCs w:val="24"/>
        </w:rPr>
        <w:t>paper, operation</w:t>
      </w:r>
      <w:r w:rsidRPr="009176BD">
        <w:rPr>
          <w:rFonts w:cstheme="minorHAnsi"/>
          <w:sz w:val="24"/>
          <w:szCs w:val="24"/>
        </w:rPr>
        <w:t xml:space="preserve"> log</w:t>
      </w:r>
      <w:r>
        <w:rPr>
          <w:rFonts w:cstheme="minorHAnsi"/>
          <w:sz w:val="24"/>
          <w:szCs w:val="24"/>
        </w:rPr>
        <w:t>book and HMIS.</w:t>
      </w:r>
    </w:p>
    <w:p w:rsidR="00364967" w:rsidRDefault="00A93829" w:rsidP="002F4AB7">
      <w:pPr>
        <w:pStyle w:val="Heading2"/>
        <w:jc w:val="both"/>
        <w:rPr>
          <w:rFonts w:eastAsia="Calibri"/>
          <w:sz w:val="24"/>
        </w:rPr>
      </w:pPr>
      <w:bookmarkStart w:id="13" w:name="_Toc73713181"/>
      <w:r w:rsidRPr="004A4932">
        <w:rPr>
          <w:rFonts w:eastAsia="Calibri"/>
        </w:rPr>
        <w:t>Data collection</w:t>
      </w:r>
      <w:r>
        <w:rPr>
          <w:rFonts w:eastAsia="Calibri"/>
          <w:sz w:val="24"/>
        </w:rPr>
        <w:t>:</w:t>
      </w:r>
      <w:bookmarkEnd w:id="13"/>
      <w:r>
        <w:rPr>
          <w:rFonts w:eastAsia="Calibri"/>
          <w:sz w:val="24"/>
        </w:rPr>
        <w:t xml:space="preserve"> </w:t>
      </w:r>
    </w:p>
    <w:p w:rsidR="00A93829" w:rsidRDefault="00A93829" w:rsidP="002F4AB7">
      <w:pPr>
        <w:spacing w:after="160" w:line="259" w:lineRule="auto"/>
        <w:jc w:val="both"/>
        <w:rPr>
          <w:rFonts w:ascii="Calibri" w:eastAsia="Calibri" w:hAnsi="Calibri" w:cs="Calibri"/>
          <w:sz w:val="24"/>
        </w:rPr>
      </w:pPr>
      <w:r>
        <w:rPr>
          <w:rFonts w:ascii="Calibri" w:eastAsia="Calibri" w:hAnsi="Calibri" w:cs="Calibri"/>
          <w:sz w:val="24"/>
        </w:rPr>
        <w:t xml:space="preserve">Data was collected using structured questionnaire and it was collected by the primary investigator. </w:t>
      </w:r>
    </w:p>
    <w:p w:rsidR="00364967" w:rsidRDefault="004A4932" w:rsidP="002F4AB7">
      <w:pPr>
        <w:pStyle w:val="Heading2"/>
        <w:jc w:val="both"/>
      </w:pPr>
      <w:bookmarkStart w:id="14" w:name="_Toc73713182"/>
      <w:r>
        <w:t>Data</w:t>
      </w:r>
      <w:r w:rsidR="0021797D" w:rsidRPr="004A4932">
        <w:t xml:space="preserve"> analysis</w:t>
      </w:r>
      <w:r>
        <w:t>:</w:t>
      </w:r>
      <w:bookmarkEnd w:id="14"/>
    </w:p>
    <w:p w:rsidR="0021797D" w:rsidRPr="004A4932" w:rsidRDefault="0021797D" w:rsidP="002F4AB7">
      <w:pPr>
        <w:jc w:val="both"/>
        <w:rPr>
          <w:rFonts w:cstheme="minorHAnsi"/>
          <w:b/>
          <w:sz w:val="28"/>
          <w:szCs w:val="28"/>
        </w:rPr>
      </w:pPr>
      <w:r>
        <w:rPr>
          <w:rFonts w:cstheme="minorHAnsi"/>
          <w:sz w:val="24"/>
          <w:szCs w:val="24"/>
        </w:rPr>
        <w:t>T</w:t>
      </w:r>
      <w:r w:rsidRPr="003E749B">
        <w:rPr>
          <w:rFonts w:cstheme="minorHAnsi"/>
          <w:sz w:val="24"/>
          <w:szCs w:val="24"/>
        </w:rPr>
        <w:t>he patients were</w:t>
      </w:r>
      <w:r>
        <w:rPr>
          <w:rFonts w:cstheme="minorHAnsi"/>
          <w:sz w:val="24"/>
          <w:szCs w:val="24"/>
        </w:rPr>
        <w:t xml:space="preserve"> </w:t>
      </w:r>
      <w:r w:rsidRPr="003E749B">
        <w:rPr>
          <w:rFonts w:cstheme="minorHAnsi"/>
          <w:sz w:val="24"/>
          <w:szCs w:val="24"/>
        </w:rPr>
        <w:t>divided into two groups</w:t>
      </w:r>
      <w:r>
        <w:rPr>
          <w:rFonts w:cstheme="minorHAnsi"/>
          <w:sz w:val="24"/>
          <w:szCs w:val="24"/>
        </w:rPr>
        <w:t>,</w:t>
      </w:r>
      <w:r w:rsidRPr="003E749B">
        <w:t xml:space="preserve"> </w:t>
      </w:r>
      <w:r w:rsidRPr="003E749B">
        <w:rPr>
          <w:rFonts w:cstheme="minorHAnsi"/>
          <w:sz w:val="24"/>
          <w:szCs w:val="24"/>
        </w:rPr>
        <w:t>relaparo</w:t>
      </w:r>
      <w:r>
        <w:rPr>
          <w:rFonts w:cstheme="minorHAnsi"/>
          <w:sz w:val="24"/>
          <w:szCs w:val="24"/>
        </w:rPr>
        <w:t>tomy and non-relaparotomy group.</w:t>
      </w:r>
      <w:r w:rsidR="004A4932">
        <w:rPr>
          <w:rFonts w:cstheme="minorHAnsi"/>
          <w:b/>
          <w:sz w:val="28"/>
          <w:szCs w:val="28"/>
        </w:rPr>
        <w:t xml:space="preserve"> </w:t>
      </w:r>
      <w:r>
        <w:rPr>
          <w:rFonts w:cstheme="minorHAnsi"/>
          <w:sz w:val="24"/>
          <w:szCs w:val="24"/>
        </w:rPr>
        <w:t xml:space="preserve">More than 20 preop and intraop </w:t>
      </w:r>
      <w:r w:rsidRPr="003E749B">
        <w:rPr>
          <w:rFonts w:cstheme="minorHAnsi"/>
          <w:sz w:val="24"/>
          <w:szCs w:val="24"/>
        </w:rPr>
        <w:t xml:space="preserve">factors </w:t>
      </w:r>
      <w:r>
        <w:rPr>
          <w:rFonts w:cstheme="minorHAnsi"/>
          <w:sz w:val="24"/>
          <w:szCs w:val="24"/>
        </w:rPr>
        <w:t>were evaluated with respect to their signifi</w:t>
      </w:r>
      <w:r w:rsidRPr="003E749B">
        <w:rPr>
          <w:rFonts w:cstheme="minorHAnsi"/>
          <w:sz w:val="24"/>
          <w:szCs w:val="24"/>
        </w:rPr>
        <w:t>cance in</w:t>
      </w:r>
      <w:r>
        <w:rPr>
          <w:rFonts w:cstheme="minorHAnsi"/>
          <w:sz w:val="24"/>
          <w:szCs w:val="24"/>
        </w:rPr>
        <w:t xml:space="preserve"> predicting the need for relaparotomy</w:t>
      </w:r>
      <w:r w:rsidRPr="003E749B">
        <w:rPr>
          <w:rFonts w:cstheme="minorHAnsi"/>
          <w:sz w:val="24"/>
          <w:szCs w:val="24"/>
        </w:rPr>
        <w:t xml:space="preserve"> </w:t>
      </w:r>
      <w:r>
        <w:rPr>
          <w:rFonts w:cstheme="minorHAnsi"/>
          <w:sz w:val="24"/>
          <w:szCs w:val="24"/>
        </w:rPr>
        <w:t>for postop collection.</w:t>
      </w:r>
    </w:p>
    <w:p w:rsidR="0021797D" w:rsidRPr="0074505D" w:rsidRDefault="0021797D" w:rsidP="002F4AB7">
      <w:pPr>
        <w:autoSpaceDE w:val="0"/>
        <w:autoSpaceDN w:val="0"/>
        <w:adjustRightInd w:val="0"/>
        <w:spacing w:after="0" w:line="240" w:lineRule="auto"/>
        <w:jc w:val="both"/>
        <w:rPr>
          <w:rFonts w:cstheme="minorHAnsi"/>
          <w:sz w:val="24"/>
          <w:szCs w:val="24"/>
        </w:rPr>
      </w:pPr>
      <w:r w:rsidRPr="003A6327">
        <w:rPr>
          <w:rFonts w:cstheme="minorHAnsi"/>
          <w:sz w:val="24"/>
          <w:szCs w:val="24"/>
        </w:rPr>
        <w:t>Student’s t-test</w:t>
      </w:r>
      <w:r>
        <w:rPr>
          <w:rFonts w:cstheme="minorHAnsi"/>
          <w:sz w:val="24"/>
          <w:szCs w:val="24"/>
        </w:rPr>
        <w:t xml:space="preserve"> </w:t>
      </w:r>
      <w:r w:rsidRPr="003A6327">
        <w:rPr>
          <w:rFonts w:cstheme="minorHAnsi"/>
          <w:sz w:val="24"/>
          <w:szCs w:val="24"/>
        </w:rPr>
        <w:t>for continuous variables and the chi-squared test for</w:t>
      </w:r>
      <w:r>
        <w:rPr>
          <w:rFonts w:cstheme="minorHAnsi"/>
          <w:sz w:val="24"/>
          <w:szCs w:val="24"/>
        </w:rPr>
        <w:t xml:space="preserve"> </w:t>
      </w:r>
      <w:r w:rsidRPr="003A6327">
        <w:rPr>
          <w:rFonts w:cstheme="minorHAnsi"/>
          <w:sz w:val="24"/>
          <w:szCs w:val="24"/>
        </w:rPr>
        <w:t>nominal variables</w:t>
      </w:r>
      <w:r>
        <w:rPr>
          <w:rFonts w:cstheme="minorHAnsi"/>
          <w:sz w:val="24"/>
          <w:szCs w:val="24"/>
        </w:rPr>
        <w:t xml:space="preserve"> were run</w:t>
      </w:r>
      <w:r w:rsidRPr="003A6327">
        <w:rPr>
          <w:rFonts w:cstheme="minorHAnsi"/>
          <w:sz w:val="24"/>
          <w:szCs w:val="24"/>
        </w:rPr>
        <w:t xml:space="preserve"> to identify any significant differences between the two groups. Logistic multiple </w:t>
      </w:r>
      <w:r>
        <w:rPr>
          <w:rFonts w:cstheme="minorHAnsi"/>
          <w:sz w:val="24"/>
          <w:szCs w:val="24"/>
        </w:rPr>
        <w:t xml:space="preserve">regression </w:t>
      </w:r>
      <w:r w:rsidRPr="003A6327">
        <w:rPr>
          <w:rFonts w:cstheme="minorHAnsi"/>
          <w:sz w:val="24"/>
          <w:szCs w:val="24"/>
        </w:rPr>
        <w:t>was</w:t>
      </w:r>
      <w:r>
        <w:rPr>
          <w:rFonts w:cstheme="minorHAnsi"/>
          <w:sz w:val="24"/>
          <w:szCs w:val="24"/>
        </w:rPr>
        <w:t xml:space="preserve"> </w:t>
      </w:r>
      <w:r w:rsidRPr="003A6327">
        <w:rPr>
          <w:rFonts w:cstheme="minorHAnsi"/>
          <w:sz w:val="24"/>
          <w:szCs w:val="24"/>
        </w:rPr>
        <w:t xml:space="preserve">then performed </w:t>
      </w:r>
      <w:r>
        <w:rPr>
          <w:rFonts w:cstheme="minorHAnsi"/>
          <w:sz w:val="24"/>
          <w:szCs w:val="24"/>
        </w:rPr>
        <w:t>using all factors found signifi</w:t>
      </w:r>
      <w:r w:rsidRPr="003A6327">
        <w:rPr>
          <w:rFonts w:cstheme="minorHAnsi"/>
          <w:sz w:val="24"/>
          <w:szCs w:val="24"/>
        </w:rPr>
        <w:t>cant on</w:t>
      </w:r>
      <w:r>
        <w:rPr>
          <w:rFonts w:cstheme="minorHAnsi"/>
          <w:sz w:val="24"/>
          <w:szCs w:val="24"/>
        </w:rPr>
        <w:t xml:space="preserve"> </w:t>
      </w:r>
      <w:r w:rsidRPr="003A6327">
        <w:rPr>
          <w:rFonts w:cstheme="minorHAnsi"/>
          <w:sz w:val="24"/>
          <w:szCs w:val="24"/>
        </w:rPr>
        <w:t xml:space="preserve">this univariate analysis. </w:t>
      </w:r>
      <w:r>
        <w:rPr>
          <w:rFonts w:cstheme="minorHAnsi"/>
          <w:sz w:val="24"/>
          <w:szCs w:val="24"/>
        </w:rPr>
        <w:t xml:space="preserve">Those variables with p-value less than 0.05 were considered significant and were inserted in the predictive model. </w:t>
      </w:r>
    </w:p>
    <w:p w:rsidR="004A4932" w:rsidRDefault="004A4932" w:rsidP="002F4AB7">
      <w:pPr>
        <w:autoSpaceDE w:val="0"/>
        <w:autoSpaceDN w:val="0"/>
        <w:adjustRightInd w:val="0"/>
        <w:spacing w:after="0" w:line="240" w:lineRule="auto"/>
        <w:jc w:val="both"/>
        <w:rPr>
          <w:rFonts w:cstheme="minorHAnsi"/>
          <w:sz w:val="24"/>
          <w:szCs w:val="24"/>
        </w:rPr>
      </w:pPr>
    </w:p>
    <w:p w:rsidR="0021797D" w:rsidRDefault="0021797D" w:rsidP="002F4AB7">
      <w:pPr>
        <w:autoSpaceDE w:val="0"/>
        <w:autoSpaceDN w:val="0"/>
        <w:adjustRightInd w:val="0"/>
        <w:spacing w:after="0" w:line="240" w:lineRule="auto"/>
        <w:jc w:val="both"/>
        <w:rPr>
          <w:rFonts w:cstheme="minorHAnsi"/>
          <w:sz w:val="24"/>
          <w:szCs w:val="24"/>
        </w:rPr>
      </w:pPr>
      <w:r>
        <w:rPr>
          <w:rFonts w:cstheme="minorHAnsi"/>
          <w:sz w:val="24"/>
          <w:szCs w:val="24"/>
        </w:rPr>
        <w:t>All data</w:t>
      </w:r>
      <w:r w:rsidRPr="000A45CF">
        <w:rPr>
          <w:rFonts w:cstheme="minorHAnsi"/>
          <w:sz w:val="24"/>
          <w:szCs w:val="24"/>
        </w:rPr>
        <w:t xml:space="preserve"> analysis was performed using IBM SPSS Statistics (version 23)</w:t>
      </w:r>
      <w:r>
        <w:rPr>
          <w:rFonts w:cstheme="minorHAnsi"/>
          <w:sz w:val="24"/>
          <w:szCs w:val="24"/>
        </w:rPr>
        <w:t xml:space="preserve">. </w:t>
      </w:r>
    </w:p>
    <w:p w:rsidR="00696D6A" w:rsidRDefault="00696D6A" w:rsidP="002F4AB7">
      <w:pPr>
        <w:autoSpaceDE w:val="0"/>
        <w:autoSpaceDN w:val="0"/>
        <w:adjustRightInd w:val="0"/>
        <w:spacing w:after="0" w:line="240" w:lineRule="auto"/>
        <w:jc w:val="both"/>
        <w:rPr>
          <w:rFonts w:cstheme="minorHAnsi"/>
          <w:sz w:val="24"/>
          <w:szCs w:val="24"/>
        </w:rPr>
      </w:pPr>
    </w:p>
    <w:p w:rsidR="00696D6A" w:rsidRDefault="00696D6A" w:rsidP="002F4AB7">
      <w:pPr>
        <w:jc w:val="both"/>
        <w:rPr>
          <w:rFonts w:cstheme="minorHAnsi"/>
          <w:b/>
          <w:sz w:val="24"/>
          <w:szCs w:val="24"/>
        </w:rPr>
      </w:pPr>
    </w:p>
    <w:p w:rsidR="009176BD" w:rsidRPr="004A4932" w:rsidRDefault="00776B70" w:rsidP="002F4AB7">
      <w:pPr>
        <w:pStyle w:val="Heading2"/>
        <w:jc w:val="both"/>
      </w:pPr>
      <w:bookmarkStart w:id="15" w:name="_Toc73713183"/>
      <w:r w:rsidRPr="004A4932">
        <w:t xml:space="preserve">Study </w:t>
      </w:r>
      <w:r w:rsidR="009176BD" w:rsidRPr="004A4932">
        <w:t>Variables:</w:t>
      </w:r>
      <w:bookmarkEnd w:id="15"/>
    </w:p>
    <w:p w:rsidR="00776B70" w:rsidRPr="00776B70" w:rsidRDefault="009176BD" w:rsidP="002F4AB7">
      <w:pPr>
        <w:jc w:val="both"/>
        <w:rPr>
          <w:rFonts w:cstheme="minorHAnsi"/>
          <w:sz w:val="24"/>
          <w:szCs w:val="24"/>
        </w:rPr>
      </w:pPr>
      <w:r w:rsidRPr="009176BD">
        <w:rPr>
          <w:rFonts w:cstheme="minorHAnsi"/>
          <w:b/>
          <w:sz w:val="24"/>
          <w:szCs w:val="24"/>
        </w:rPr>
        <w:t xml:space="preserve">Dependent variable:  </w:t>
      </w:r>
      <w:r w:rsidRPr="009176BD">
        <w:rPr>
          <w:rFonts w:cstheme="minorHAnsi"/>
          <w:sz w:val="24"/>
          <w:szCs w:val="24"/>
        </w:rPr>
        <w:t>Relaparatomy</w:t>
      </w:r>
    </w:p>
    <w:p w:rsidR="009176BD" w:rsidRPr="009176BD" w:rsidRDefault="009176BD" w:rsidP="002F4AB7">
      <w:pPr>
        <w:jc w:val="both"/>
        <w:rPr>
          <w:rFonts w:cstheme="minorHAnsi"/>
          <w:sz w:val="24"/>
          <w:szCs w:val="24"/>
        </w:rPr>
      </w:pPr>
      <w:r w:rsidRPr="009176BD">
        <w:rPr>
          <w:rFonts w:cstheme="minorHAnsi"/>
          <w:b/>
          <w:sz w:val="24"/>
          <w:szCs w:val="24"/>
        </w:rPr>
        <w:t>Independent variables</w:t>
      </w:r>
      <w:r w:rsidRPr="009176BD">
        <w:rPr>
          <w:rFonts w:cstheme="minorHAnsi"/>
          <w:sz w:val="24"/>
          <w:szCs w:val="24"/>
        </w:rPr>
        <w:t xml:space="preserve">: </w:t>
      </w:r>
    </w:p>
    <w:p w:rsidR="009176BD" w:rsidRPr="009176BD" w:rsidRDefault="009176BD" w:rsidP="002F4AB7">
      <w:pPr>
        <w:ind w:left="360"/>
        <w:jc w:val="both"/>
        <w:rPr>
          <w:rFonts w:cstheme="minorHAnsi"/>
          <w:b/>
          <w:sz w:val="24"/>
          <w:szCs w:val="24"/>
        </w:rPr>
      </w:pPr>
      <w:r>
        <w:rPr>
          <w:rFonts w:cstheme="minorHAnsi"/>
          <w:sz w:val="24"/>
          <w:szCs w:val="24"/>
        </w:rPr>
        <w:t xml:space="preserve"> </w:t>
      </w:r>
      <w:r w:rsidRPr="009176BD">
        <w:rPr>
          <w:rFonts w:cstheme="minorHAnsi"/>
          <w:sz w:val="24"/>
          <w:szCs w:val="24"/>
        </w:rPr>
        <w:t xml:space="preserve">Socio-demographic characters: </w:t>
      </w:r>
    </w:p>
    <w:p w:rsidR="009176BD" w:rsidRPr="009176BD" w:rsidRDefault="009176BD" w:rsidP="002F4AB7">
      <w:pPr>
        <w:pStyle w:val="ListParagraph"/>
        <w:numPr>
          <w:ilvl w:val="0"/>
          <w:numId w:val="4"/>
        </w:numPr>
        <w:ind w:left="1080"/>
        <w:jc w:val="both"/>
        <w:rPr>
          <w:rFonts w:cstheme="minorHAnsi"/>
          <w:b/>
          <w:sz w:val="24"/>
          <w:szCs w:val="24"/>
        </w:rPr>
      </w:pPr>
      <w:r w:rsidRPr="009176BD">
        <w:rPr>
          <w:rFonts w:cstheme="minorHAnsi"/>
          <w:sz w:val="24"/>
          <w:szCs w:val="24"/>
        </w:rPr>
        <w:t xml:space="preserve">Age </w:t>
      </w:r>
    </w:p>
    <w:p w:rsidR="009176BD" w:rsidRPr="009176BD" w:rsidRDefault="009176BD" w:rsidP="002F4AB7">
      <w:pPr>
        <w:pStyle w:val="ListParagraph"/>
        <w:numPr>
          <w:ilvl w:val="0"/>
          <w:numId w:val="4"/>
        </w:numPr>
        <w:ind w:left="1080"/>
        <w:jc w:val="both"/>
        <w:rPr>
          <w:rFonts w:cstheme="minorHAnsi"/>
          <w:b/>
          <w:sz w:val="24"/>
          <w:szCs w:val="24"/>
        </w:rPr>
      </w:pPr>
      <w:r w:rsidRPr="009176BD">
        <w:rPr>
          <w:rFonts w:cstheme="minorHAnsi"/>
          <w:sz w:val="24"/>
          <w:szCs w:val="24"/>
        </w:rPr>
        <w:t xml:space="preserve">Sex </w:t>
      </w:r>
    </w:p>
    <w:p w:rsidR="009176BD" w:rsidRPr="009176BD" w:rsidRDefault="0021797D" w:rsidP="002F4AB7">
      <w:pPr>
        <w:ind w:left="360"/>
        <w:jc w:val="both"/>
        <w:rPr>
          <w:rFonts w:cstheme="minorHAnsi"/>
          <w:sz w:val="24"/>
          <w:szCs w:val="24"/>
        </w:rPr>
      </w:pPr>
      <w:r>
        <w:rPr>
          <w:rFonts w:cstheme="minorHAnsi"/>
          <w:sz w:val="24"/>
          <w:szCs w:val="24"/>
        </w:rPr>
        <w:t xml:space="preserve"> </w:t>
      </w:r>
      <w:r w:rsidR="009176BD" w:rsidRPr="009176BD">
        <w:rPr>
          <w:rFonts w:cstheme="minorHAnsi"/>
          <w:sz w:val="24"/>
          <w:szCs w:val="24"/>
        </w:rPr>
        <w:t>Pre op</w:t>
      </w:r>
    </w:p>
    <w:p w:rsidR="009176BD" w:rsidRDefault="009176BD" w:rsidP="002F4AB7">
      <w:pPr>
        <w:pStyle w:val="ListParagraph"/>
        <w:numPr>
          <w:ilvl w:val="0"/>
          <w:numId w:val="6"/>
        </w:numPr>
        <w:ind w:left="1080"/>
        <w:jc w:val="both"/>
        <w:rPr>
          <w:rFonts w:cstheme="minorHAnsi"/>
          <w:sz w:val="24"/>
          <w:szCs w:val="24"/>
        </w:rPr>
      </w:pPr>
      <w:r w:rsidRPr="009176BD">
        <w:rPr>
          <w:rFonts w:cstheme="minorHAnsi"/>
          <w:sz w:val="24"/>
          <w:szCs w:val="24"/>
        </w:rPr>
        <w:t>Duration of illness</w:t>
      </w:r>
      <w:r w:rsidR="001838AE">
        <w:rPr>
          <w:rFonts w:cstheme="minorHAnsi"/>
          <w:sz w:val="24"/>
          <w:szCs w:val="24"/>
        </w:rPr>
        <w:t>(hrs)</w:t>
      </w:r>
    </w:p>
    <w:p w:rsidR="009176BD" w:rsidRDefault="009176BD" w:rsidP="002F4AB7">
      <w:pPr>
        <w:pStyle w:val="ListParagraph"/>
        <w:numPr>
          <w:ilvl w:val="0"/>
          <w:numId w:val="6"/>
        </w:numPr>
        <w:ind w:left="1080"/>
        <w:jc w:val="both"/>
        <w:rPr>
          <w:rFonts w:cstheme="minorHAnsi"/>
          <w:sz w:val="24"/>
          <w:szCs w:val="24"/>
        </w:rPr>
      </w:pPr>
      <w:r w:rsidRPr="009176BD">
        <w:rPr>
          <w:rFonts w:cstheme="minorHAnsi"/>
          <w:sz w:val="24"/>
          <w:szCs w:val="24"/>
        </w:rPr>
        <w:t>ASA class</w:t>
      </w:r>
    </w:p>
    <w:p w:rsidR="0021797D" w:rsidRDefault="001C2F4C" w:rsidP="002F4AB7">
      <w:pPr>
        <w:pStyle w:val="ListParagraph"/>
        <w:numPr>
          <w:ilvl w:val="0"/>
          <w:numId w:val="6"/>
        </w:numPr>
        <w:ind w:left="1080"/>
        <w:jc w:val="both"/>
        <w:rPr>
          <w:rFonts w:cstheme="minorHAnsi"/>
          <w:sz w:val="24"/>
          <w:szCs w:val="24"/>
        </w:rPr>
      </w:pPr>
      <w:r>
        <w:rPr>
          <w:rFonts w:cstheme="minorHAnsi"/>
          <w:sz w:val="24"/>
          <w:szCs w:val="24"/>
        </w:rPr>
        <w:t>Heart rate (BPM)</w:t>
      </w:r>
    </w:p>
    <w:p w:rsidR="009176BD" w:rsidRDefault="0021797D" w:rsidP="002F4AB7">
      <w:pPr>
        <w:pStyle w:val="ListParagraph"/>
        <w:numPr>
          <w:ilvl w:val="0"/>
          <w:numId w:val="6"/>
        </w:numPr>
        <w:ind w:left="1080"/>
        <w:jc w:val="both"/>
        <w:rPr>
          <w:rFonts w:cstheme="minorHAnsi"/>
          <w:sz w:val="24"/>
          <w:szCs w:val="24"/>
        </w:rPr>
      </w:pPr>
      <w:r>
        <w:rPr>
          <w:rFonts w:cstheme="minorHAnsi"/>
          <w:sz w:val="24"/>
          <w:szCs w:val="24"/>
        </w:rPr>
        <w:t>Blood Pressure</w:t>
      </w:r>
      <w:r w:rsidR="001C2F4C">
        <w:rPr>
          <w:rFonts w:cstheme="minorHAnsi"/>
          <w:sz w:val="24"/>
          <w:szCs w:val="24"/>
        </w:rPr>
        <w:t xml:space="preserve"> </w:t>
      </w:r>
    </w:p>
    <w:p w:rsidR="009176BD" w:rsidRDefault="0021797D" w:rsidP="002F4AB7">
      <w:pPr>
        <w:pStyle w:val="ListParagraph"/>
        <w:numPr>
          <w:ilvl w:val="0"/>
          <w:numId w:val="6"/>
        </w:numPr>
        <w:ind w:left="1080"/>
        <w:jc w:val="both"/>
        <w:rPr>
          <w:rFonts w:cstheme="minorHAnsi"/>
          <w:sz w:val="24"/>
          <w:szCs w:val="24"/>
        </w:rPr>
      </w:pPr>
      <w:r>
        <w:rPr>
          <w:rFonts w:cstheme="minorHAnsi"/>
          <w:sz w:val="24"/>
          <w:szCs w:val="24"/>
        </w:rPr>
        <w:t>Place of Referral</w:t>
      </w:r>
    </w:p>
    <w:p w:rsidR="009176BD" w:rsidRDefault="008F5078" w:rsidP="002F4AB7">
      <w:pPr>
        <w:pStyle w:val="ListParagraph"/>
        <w:numPr>
          <w:ilvl w:val="0"/>
          <w:numId w:val="6"/>
        </w:numPr>
        <w:ind w:left="1080"/>
        <w:jc w:val="both"/>
        <w:rPr>
          <w:rFonts w:cstheme="minorHAnsi"/>
          <w:sz w:val="24"/>
          <w:szCs w:val="24"/>
        </w:rPr>
      </w:pPr>
      <w:r>
        <w:rPr>
          <w:rFonts w:cstheme="minorHAnsi"/>
          <w:sz w:val="24"/>
          <w:szCs w:val="24"/>
        </w:rPr>
        <w:t xml:space="preserve">White cell count </w:t>
      </w:r>
      <w:r w:rsidR="001C2F4C" w:rsidRPr="001C2F4C">
        <w:rPr>
          <w:rFonts w:cstheme="minorHAnsi"/>
          <w:sz w:val="24"/>
          <w:szCs w:val="24"/>
        </w:rPr>
        <w:t>(× 10</w:t>
      </w:r>
      <w:r w:rsidR="001C2F4C">
        <w:rPr>
          <w:rFonts w:cstheme="minorHAnsi"/>
          <w:sz w:val="24"/>
          <w:szCs w:val="24"/>
        </w:rPr>
        <w:t xml:space="preserve"> </w:t>
      </w:r>
      <w:r w:rsidR="001C2F4C">
        <w:rPr>
          <w:rFonts w:cstheme="minorHAnsi"/>
          <w:sz w:val="24"/>
          <w:szCs w:val="24"/>
          <w:vertAlign w:val="superscript"/>
        </w:rPr>
        <w:t>6</w:t>
      </w:r>
      <w:r w:rsidR="001C2F4C" w:rsidRPr="001C2F4C">
        <w:rPr>
          <w:rFonts w:cstheme="minorHAnsi"/>
          <w:sz w:val="24"/>
          <w:szCs w:val="24"/>
        </w:rPr>
        <w:t>/L)</w:t>
      </w:r>
    </w:p>
    <w:p w:rsidR="0021797D" w:rsidRDefault="0021797D" w:rsidP="002F4AB7">
      <w:pPr>
        <w:pStyle w:val="ListParagraph"/>
        <w:numPr>
          <w:ilvl w:val="0"/>
          <w:numId w:val="6"/>
        </w:numPr>
        <w:ind w:left="1080"/>
        <w:jc w:val="both"/>
        <w:rPr>
          <w:rFonts w:cstheme="minorHAnsi"/>
          <w:sz w:val="24"/>
          <w:szCs w:val="24"/>
        </w:rPr>
      </w:pPr>
      <w:r>
        <w:rPr>
          <w:rFonts w:cstheme="minorHAnsi"/>
          <w:sz w:val="24"/>
          <w:szCs w:val="24"/>
        </w:rPr>
        <w:t>Neutrophil (%)</w:t>
      </w:r>
    </w:p>
    <w:p w:rsidR="009176BD" w:rsidRDefault="001C2F4C" w:rsidP="002F4AB7">
      <w:pPr>
        <w:pStyle w:val="ListParagraph"/>
        <w:numPr>
          <w:ilvl w:val="0"/>
          <w:numId w:val="6"/>
        </w:numPr>
        <w:ind w:left="1080"/>
        <w:jc w:val="both"/>
        <w:rPr>
          <w:rFonts w:cstheme="minorHAnsi"/>
          <w:sz w:val="24"/>
          <w:szCs w:val="24"/>
        </w:rPr>
      </w:pPr>
      <w:r>
        <w:rPr>
          <w:rFonts w:cstheme="minorHAnsi"/>
          <w:sz w:val="24"/>
          <w:szCs w:val="24"/>
        </w:rPr>
        <w:t xml:space="preserve">Platelet count </w:t>
      </w:r>
      <w:r w:rsidRPr="001C2F4C">
        <w:rPr>
          <w:rFonts w:cstheme="minorHAnsi"/>
          <w:sz w:val="24"/>
          <w:szCs w:val="24"/>
        </w:rPr>
        <w:t>(× 10</w:t>
      </w:r>
      <w:r>
        <w:rPr>
          <w:rFonts w:cstheme="minorHAnsi"/>
          <w:sz w:val="24"/>
          <w:szCs w:val="24"/>
        </w:rPr>
        <w:t xml:space="preserve"> </w:t>
      </w:r>
      <w:r>
        <w:rPr>
          <w:rFonts w:cstheme="minorHAnsi"/>
          <w:sz w:val="24"/>
          <w:szCs w:val="24"/>
          <w:vertAlign w:val="superscript"/>
        </w:rPr>
        <w:t>6</w:t>
      </w:r>
      <w:r w:rsidRPr="001C2F4C">
        <w:rPr>
          <w:rFonts w:cstheme="minorHAnsi"/>
          <w:sz w:val="24"/>
          <w:szCs w:val="24"/>
        </w:rPr>
        <w:t>/L)</w:t>
      </w:r>
    </w:p>
    <w:p w:rsidR="009176BD" w:rsidRDefault="001C2F4C" w:rsidP="002F4AB7">
      <w:pPr>
        <w:pStyle w:val="ListParagraph"/>
        <w:numPr>
          <w:ilvl w:val="0"/>
          <w:numId w:val="6"/>
        </w:numPr>
        <w:ind w:left="1080"/>
        <w:jc w:val="both"/>
        <w:rPr>
          <w:rFonts w:cstheme="minorHAnsi"/>
          <w:sz w:val="24"/>
          <w:szCs w:val="24"/>
        </w:rPr>
      </w:pPr>
      <w:r>
        <w:rPr>
          <w:rFonts w:cstheme="minorHAnsi"/>
          <w:sz w:val="24"/>
          <w:szCs w:val="24"/>
        </w:rPr>
        <w:lastRenderedPageBreak/>
        <w:t>Hemoglobin (</w:t>
      </w:r>
      <w:r w:rsidR="009176BD" w:rsidRPr="009176BD">
        <w:rPr>
          <w:rFonts w:cstheme="minorHAnsi"/>
          <w:sz w:val="24"/>
          <w:szCs w:val="24"/>
        </w:rPr>
        <w:t xml:space="preserve"> g/dl</w:t>
      </w:r>
      <w:r>
        <w:rPr>
          <w:rFonts w:cstheme="minorHAnsi"/>
          <w:sz w:val="24"/>
          <w:szCs w:val="24"/>
        </w:rPr>
        <w:t>)</w:t>
      </w:r>
    </w:p>
    <w:p w:rsidR="00747D05" w:rsidRDefault="00747D05" w:rsidP="002F4AB7">
      <w:pPr>
        <w:pStyle w:val="ListParagraph"/>
        <w:numPr>
          <w:ilvl w:val="0"/>
          <w:numId w:val="6"/>
        </w:numPr>
        <w:ind w:left="1080"/>
        <w:jc w:val="both"/>
        <w:rPr>
          <w:rFonts w:cstheme="minorHAnsi"/>
          <w:sz w:val="24"/>
          <w:szCs w:val="24"/>
        </w:rPr>
      </w:pPr>
      <w:r>
        <w:rPr>
          <w:rFonts w:cstheme="minorHAnsi"/>
          <w:sz w:val="24"/>
          <w:szCs w:val="24"/>
        </w:rPr>
        <w:t>Antibiotic intake before Surgery</w:t>
      </w:r>
    </w:p>
    <w:p w:rsidR="00597CDD" w:rsidRDefault="00597CDD" w:rsidP="002F4AB7">
      <w:pPr>
        <w:pStyle w:val="ListParagraph"/>
        <w:numPr>
          <w:ilvl w:val="0"/>
          <w:numId w:val="6"/>
        </w:numPr>
        <w:ind w:left="1080"/>
        <w:jc w:val="both"/>
        <w:rPr>
          <w:rFonts w:cstheme="minorHAnsi"/>
          <w:sz w:val="24"/>
          <w:szCs w:val="24"/>
        </w:rPr>
      </w:pPr>
      <w:r>
        <w:rPr>
          <w:rFonts w:cstheme="minorHAnsi"/>
          <w:sz w:val="24"/>
          <w:szCs w:val="24"/>
        </w:rPr>
        <w:t>Previous abdominal surgery</w:t>
      </w:r>
    </w:p>
    <w:p w:rsidR="009176BD" w:rsidRPr="009176BD" w:rsidRDefault="009176BD" w:rsidP="002F4AB7">
      <w:pPr>
        <w:pStyle w:val="ListParagraph"/>
        <w:numPr>
          <w:ilvl w:val="0"/>
          <w:numId w:val="6"/>
        </w:numPr>
        <w:ind w:left="1080"/>
        <w:jc w:val="both"/>
        <w:rPr>
          <w:rFonts w:cstheme="minorHAnsi"/>
          <w:sz w:val="24"/>
          <w:szCs w:val="24"/>
        </w:rPr>
      </w:pPr>
      <w:r w:rsidRPr="009176BD">
        <w:rPr>
          <w:rFonts w:cstheme="minorHAnsi"/>
          <w:sz w:val="24"/>
          <w:szCs w:val="24"/>
        </w:rPr>
        <w:t>Comorbidities – Hypertension, Diab</w:t>
      </w:r>
      <w:r w:rsidR="00F52ABA">
        <w:rPr>
          <w:rFonts w:cstheme="minorHAnsi"/>
          <w:sz w:val="24"/>
          <w:szCs w:val="24"/>
        </w:rPr>
        <w:t xml:space="preserve">etes, </w:t>
      </w:r>
      <w:r w:rsidR="0004283B">
        <w:rPr>
          <w:rFonts w:cstheme="minorHAnsi"/>
          <w:sz w:val="24"/>
          <w:szCs w:val="24"/>
        </w:rPr>
        <w:t xml:space="preserve">RVI, </w:t>
      </w:r>
      <w:r w:rsidR="00F52ABA">
        <w:rPr>
          <w:rFonts w:cstheme="minorHAnsi"/>
          <w:sz w:val="24"/>
          <w:szCs w:val="24"/>
        </w:rPr>
        <w:t>Tobacco use</w:t>
      </w:r>
    </w:p>
    <w:p w:rsidR="009176BD" w:rsidRPr="009176BD" w:rsidRDefault="009176BD" w:rsidP="002F4AB7">
      <w:pPr>
        <w:ind w:left="360"/>
        <w:jc w:val="both"/>
        <w:rPr>
          <w:rFonts w:cstheme="minorHAnsi"/>
          <w:b/>
          <w:sz w:val="24"/>
          <w:szCs w:val="24"/>
        </w:rPr>
      </w:pPr>
      <w:r w:rsidRPr="009176BD">
        <w:rPr>
          <w:rFonts w:cstheme="minorHAnsi"/>
          <w:sz w:val="24"/>
          <w:szCs w:val="24"/>
        </w:rPr>
        <w:t>Intraop</w:t>
      </w:r>
    </w:p>
    <w:p w:rsidR="009176BD" w:rsidRPr="001C2F4C" w:rsidRDefault="009176BD" w:rsidP="002F4AB7">
      <w:pPr>
        <w:pStyle w:val="ListParagraph"/>
        <w:numPr>
          <w:ilvl w:val="0"/>
          <w:numId w:val="7"/>
        </w:numPr>
        <w:ind w:left="1080"/>
        <w:jc w:val="both"/>
        <w:rPr>
          <w:rFonts w:cstheme="minorHAnsi"/>
          <w:sz w:val="24"/>
          <w:szCs w:val="24"/>
        </w:rPr>
      </w:pPr>
      <w:r w:rsidRPr="009176BD">
        <w:rPr>
          <w:rFonts w:cstheme="minorHAnsi"/>
          <w:sz w:val="24"/>
          <w:szCs w:val="24"/>
        </w:rPr>
        <w:t>Finding of any ischemic bowel</w:t>
      </w:r>
    </w:p>
    <w:p w:rsidR="009176BD" w:rsidRDefault="00747D05" w:rsidP="002F4AB7">
      <w:pPr>
        <w:pStyle w:val="ListParagraph"/>
        <w:numPr>
          <w:ilvl w:val="0"/>
          <w:numId w:val="7"/>
        </w:numPr>
        <w:ind w:left="1080"/>
        <w:jc w:val="both"/>
        <w:rPr>
          <w:rFonts w:cstheme="minorHAnsi"/>
          <w:sz w:val="24"/>
          <w:szCs w:val="24"/>
        </w:rPr>
      </w:pPr>
      <w:r>
        <w:rPr>
          <w:rFonts w:cstheme="minorHAnsi"/>
          <w:sz w:val="24"/>
          <w:szCs w:val="24"/>
        </w:rPr>
        <w:t xml:space="preserve">Source of contamination </w:t>
      </w:r>
    </w:p>
    <w:p w:rsidR="009176BD" w:rsidRDefault="009176BD" w:rsidP="002F4AB7">
      <w:pPr>
        <w:pStyle w:val="ListParagraph"/>
        <w:numPr>
          <w:ilvl w:val="0"/>
          <w:numId w:val="7"/>
        </w:numPr>
        <w:ind w:left="1080"/>
        <w:jc w:val="both"/>
        <w:rPr>
          <w:rFonts w:cstheme="minorHAnsi"/>
          <w:sz w:val="24"/>
          <w:szCs w:val="24"/>
        </w:rPr>
      </w:pPr>
      <w:r w:rsidRPr="009176BD">
        <w:rPr>
          <w:rFonts w:cstheme="minorHAnsi"/>
          <w:sz w:val="24"/>
          <w:szCs w:val="24"/>
        </w:rPr>
        <w:t xml:space="preserve">Type of peritoneal fluid </w:t>
      </w:r>
      <w:r w:rsidR="00F52ABA">
        <w:rPr>
          <w:rFonts w:cstheme="minorHAnsi"/>
          <w:sz w:val="24"/>
          <w:szCs w:val="24"/>
        </w:rPr>
        <w:t>– Turbid, pus, GI content</w:t>
      </w:r>
    </w:p>
    <w:p w:rsidR="009176BD" w:rsidRDefault="009176BD" w:rsidP="002F4AB7">
      <w:pPr>
        <w:pStyle w:val="ListParagraph"/>
        <w:numPr>
          <w:ilvl w:val="0"/>
          <w:numId w:val="7"/>
        </w:numPr>
        <w:ind w:left="1080"/>
        <w:jc w:val="both"/>
        <w:rPr>
          <w:rFonts w:cstheme="minorHAnsi"/>
          <w:sz w:val="24"/>
          <w:szCs w:val="24"/>
        </w:rPr>
      </w:pPr>
      <w:r w:rsidRPr="009176BD">
        <w:rPr>
          <w:rFonts w:cstheme="minorHAnsi"/>
          <w:sz w:val="24"/>
          <w:szCs w:val="24"/>
        </w:rPr>
        <w:t>Amount of peritoneal fluid</w:t>
      </w:r>
      <w:r w:rsidR="001838AE">
        <w:rPr>
          <w:rFonts w:cstheme="minorHAnsi"/>
          <w:sz w:val="24"/>
          <w:szCs w:val="24"/>
        </w:rPr>
        <w:t>(L)</w:t>
      </w:r>
    </w:p>
    <w:p w:rsidR="009176BD" w:rsidRDefault="009176BD" w:rsidP="002F4AB7">
      <w:pPr>
        <w:pStyle w:val="ListParagraph"/>
        <w:numPr>
          <w:ilvl w:val="0"/>
          <w:numId w:val="7"/>
        </w:numPr>
        <w:ind w:left="1080"/>
        <w:jc w:val="both"/>
        <w:rPr>
          <w:rFonts w:cstheme="minorHAnsi"/>
          <w:sz w:val="24"/>
          <w:szCs w:val="24"/>
        </w:rPr>
      </w:pPr>
      <w:r w:rsidRPr="009176BD">
        <w:rPr>
          <w:rFonts w:cstheme="minorHAnsi"/>
          <w:sz w:val="24"/>
          <w:szCs w:val="24"/>
        </w:rPr>
        <w:t>Extent of peritonitis(localized vs Generalized)</w:t>
      </w:r>
    </w:p>
    <w:p w:rsidR="009176BD" w:rsidRDefault="009176BD" w:rsidP="002F4AB7">
      <w:pPr>
        <w:pStyle w:val="ListParagraph"/>
        <w:numPr>
          <w:ilvl w:val="0"/>
          <w:numId w:val="7"/>
        </w:numPr>
        <w:ind w:left="1080"/>
        <w:jc w:val="both"/>
        <w:rPr>
          <w:rFonts w:cstheme="minorHAnsi"/>
          <w:sz w:val="24"/>
          <w:szCs w:val="24"/>
        </w:rPr>
      </w:pPr>
      <w:r w:rsidRPr="009176BD">
        <w:rPr>
          <w:rFonts w:cstheme="minorHAnsi"/>
          <w:sz w:val="24"/>
          <w:szCs w:val="24"/>
        </w:rPr>
        <w:t>Surgical access – local or laparatomy</w:t>
      </w:r>
    </w:p>
    <w:p w:rsidR="009176BD" w:rsidRDefault="009176BD" w:rsidP="002F4AB7">
      <w:pPr>
        <w:pStyle w:val="ListParagraph"/>
        <w:numPr>
          <w:ilvl w:val="0"/>
          <w:numId w:val="7"/>
        </w:numPr>
        <w:ind w:left="1080"/>
        <w:jc w:val="both"/>
        <w:rPr>
          <w:rFonts w:cstheme="minorHAnsi"/>
          <w:sz w:val="24"/>
          <w:szCs w:val="24"/>
        </w:rPr>
      </w:pPr>
      <w:r w:rsidRPr="009176BD">
        <w:rPr>
          <w:rFonts w:cstheme="minorHAnsi"/>
          <w:sz w:val="24"/>
          <w:szCs w:val="24"/>
        </w:rPr>
        <w:t>Malignancy</w:t>
      </w:r>
    </w:p>
    <w:p w:rsidR="009176BD" w:rsidRDefault="00024160" w:rsidP="002F4AB7">
      <w:pPr>
        <w:pStyle w:val="ListParagraph"/>
        <w:numPr>
          <w:ilvl w:val="0"/>
          <w:numId w:val="7"/>
        </w:numPr>
        <w:ind w:left="1080"/>
        <w:jc w:val="both"/>
        <w:rPr>
          <w:rFonts w:cstheme="minorHAnsi"/>
          <w:sz w:val="24"/>
          <w:szCs w:val="24"/>
        </w:rPr>
      </w:pPr>
      <w:r>
        <w:rPr>
          <w:rFonts w:cstheme="minorHAnsi"/>
          <w:sz w:val="24"/>
          <w:szCs w:val="24"/>
        </w:rPr>
        <w:t xml:space="preserve"> inotropic / Vasopresive Agents</w:t>
      </w:r>
      <w:r w:rsidR="001838AE">
        <w:rPr>
          <w:rFonts w:cstheme="minorHAnsi"/>
          <w:sz w:val="24"/>
          <w:szCs w:val="24"/>
        </w:rPr>
        <w:t xml:space="preserve"> requirement</w:t>
      </w:r>
    </w:p>
    <w:p w:rsidR="00776B70" w:rsidRDefault="00515CD8" w:rsidP="002F4AB7">
      <w:pPr>
        <w:pStyle w:val="ListParagraph"/>
        <w:numPr>
          <w:ilvl w:val="0"/>
          <w:numId w:val="7"/>
        </w:numPr>
        <w:ind w:left="1080"/>
        <w:jc w:val="both"/>
        <w:rPr>
          <w:rFonts w:cstheme="minorHAnsi"/>
          <w:sz w:val="24"/>
          <w:szCs w:val="24"/>
        </w:rPr>
      </w:pPr>
      <w:r>
        <w:rPr>
          <w:rFonts w:cstheme="minorHAnsi"/>
          <w:sz w:val="24"/>
          <w:szCs w:val="24"/>
        </w:rPr>
        <w:t>Duration of Surgery</w:t>
      </w:r>
    </w:p>
    <w:p w:rsidR="001F65FB" w:rsidRPr="00776B70" w:rsidRDefault="009E4332" w:rsidP="002F4AB7">
      <w:pPr>
        <w:pStyle w:val="ListParagraph"/>
        <w:numPr>
          <w:ilvl w:val="0"/>
          <w:numId w:val="7"/>
        </w:numPr>
        <w:ind w:left="1080"/>
        <w:jc w:val="both"/>
        <w:rPr>
          <w:rFonts w:cstheme="minorHAnsi"/>
          <w:sz w:val="24"/>
          <w:szCs w:val="24"/>
        </w:rPr>
      </w:pPr>
      <w:r w:rsidRPr="00776B70">
        <w:rPr>
          <w:rFonts w:cstheme="minorHAnsi"/>
          <w:sz w:val="24"/>
          <w:szCs w:val="24"/>
        </w:rPr>
        <w:t>Drain placement</w:t>
      </w:r>
    </w:p>
    <w:p w:rsidR="001F65FB" w:rsidRPr="00776B70" w:rsidRDefault="00776B70" w:rsidP="002F4AB7">
      <w:pPr>
        <w:pStyle w:val="ListParagraph"/>
        <w:numPr>
          <w:ilvl w:val="0"/>
          <w:numId w:val="7"/>
        </w:numPr>
        <w:ind w:left="1080"/>
        <w:jc w:val="both"/>
        <w:rPr>
          <w:rFonts w:cstheme="minorHAnsi"/>
          <w:sz w:val="24"/>
          <w:szCs w:val="24"/>
        </w:rPr>
      </w:pPr>
      <w:r>
        <w:rPr>
          <w:rFonts w:cstheme="minorHAnsi"/>
          <w:sz w:val="24"/>
          <w:szCs w:val="24"/>
        </w:rPr>
        <w:t xml:space="preserve">Intraop </w:t>
      </w:r>
      <w:r w:rsidR="009E4332" w:rsidRPr="00776B70">
        <w:rPr>
          <w:rFonts w:cstheme="minorHAnsi"/>
          <w:sz w:val="24"/>
          <w:szCs w:val="24"/>
        </w:rPr>
        <w:t>Change in diagnosis</w:t>
      </w:r>
    </w:p>
    <w:p w:rsidR="001F65FB" w:rsidRPr="00776B70" w:rsidRDefault="009E4332" w:rsidP="002F4AB7">
      <w:pPr>
        <w:pStyle w:val="ListParagraph"/>
        <w:numPr>
          <w:ilvl w:val="0"/>
          <w:numId w:val="7"/>
        </w:numPr>
        <w:ind w:left="1080"/>
        <w:jc w:val="both"/>
        <w:rPr>
          <w:rFonts w:cstheme="minorHAnsi"/>
          <w:sz w:val="24"/>
          <w:szCs w:val="24"/>
        </w:rPr>
      </w:pPr>
      <w:r w:rsidRPr="00776B70">
        <w:rPr>
          <w:rFonts w:cstheme="minorHAnsi"/>
          <w:sz w:val="24"/>
          <w:szCs w:val="24"/>
        </w:rPr>
        <w:t>Intraop bowel injury</w:t>
      </w:r>
    </w:p>
    <w:p w:rsidR="001F65FB" w:rsidRPr="00776B70" w:rsidRDefault="009E4332" w:rsidP="002F4AB7">
      <w:pPr>
        <w:pStyle w:val="ListParagraph"/>
        <w:numPr>
          <w:ilvl w:val="0"/>
          <w:numId w:val="7"/>
        </w:numPr>
        <w:ind w:left="1080"/>
        <w:jc w:val="both"/>
        <w:rPr>
          <w:rFonts w:cstheme="minorHAnsi"/>
          <w:sz w:val="24"/>
          <w:szCs w:val="24"/>
        </w:rPr>
      </w:pPr>
      <w:r w:rsidRPr="00776B70">
        <w:rPr>
          <w:rFonts w:cstheme="minorHAnsi"/>
          <w:sz w:val="24"/>
          <w:szCs w:val="24"/>
        </w:rPr>
        <w:t>Admission to the ICU</w:t>
      </w:r>
    </w:p>
    <w:p w:rsidR="009176BD" w:rsidRPr="009176BD" w:rsidRDefault="009176BD" w:rsidP="002F4AB7">
      <w:pPr>
        <w:pStyle w:val="ListParagraph"/>
        <w:jc w:val="both"/>
        <w:rPr>
          <w:rFonts w:cstheme="minorHAnsi"/>
          <w:sz w:val="24"/>
          <w:szCs w:val="24"/>
        </w:rPr>
      </w:pPr>
    </w:p>
    <w:p w:rsidR="00F13C8F" w:rsidRPr="00AC7DD7" w:rsidRDefault="00F13C8F" w:rsidP="002F4AB7">
      <w:pPr>
        <w:pStyle w:val="Heading2"/>
        <w:jc w:val="both"/>
      </w:pPr>
      <w:bookmarkStart w:id="16" w:name="_Toc73713184"/>
      <w:r>
        <w:t>Ethical Consideration</w:t>
      </w:r>
      <w:bookmarkEnd w:id="16"/>
    </w:p>
    <w:p w:rsidR="00F13C8F" w:rsidRPr="00A97DB0" w:rsidRDefault="00F13C8F" w:rsidP="002F4AB7">
      <w:pPr>
        <w:jc w:val="both"/>
        <w:rPr>
          <w:sz w:val="24"/>
          <w:szCs w:val="24"/>
        </w:rPr>
      </w:pPr>
      <w:r w:rsidRPr="005C48D9">
        <w:rPr>
          <w:sz w:val="24"/>
          <w:szCs w:val="24"/>
        </w:rPr>
        <w:t>Ethical</w:t>
      </w:r>
      <w:r>
        <w:rPr>
          <w:sz w:val="24"/>
          <w:szCs w:val="24"/>
        </w:rPr>
        <w:t xml:space="preserve"> clearance for the study was</w:t>
      </w:r>
      <w:r w:rsidRPr="005C48D9">
        <w:rPr>
          <w:sz w:val="24"/>
          <w:szCs w:val="24"/>
        </w:rPr>
        <w:t xml:space="preserve"> obtained from Addis Ababa University, College of Health Science Institutional Review Board. Data collect</w:t>
      </w:r>
      <w:r>
        <w:rPr>
          <w:sz w:val="24"/>
          <w:szCs w:val="24"/>
        </w:rPr>
        <w:t xml:space="preserve">ion was </w:t>
      </w:r>
      <w:r w:rsidRPr="005C48D9">
        <w:rPr>
          <w:sz w:val="24"/>
          <w:szCs w:val="24"/>
        </w:rPr>
        <w:t>undertaken</w:t>
      </w:r>
      <w:r>
        <w:rPr>
          <w:sz w:val="24"/>
          <w:szCs w:val="24"/>
        </w:rPr>
        <w:t xml:space="preserve"> </w:t>
      </w:r>
      <w:r w:rsidRPr="005C48D9">
        <w:rPr>
          <w:sz w:val="24"/>
          <w:szCs w:val="24"/>
        </w:rPr>
        <w:t>after permission is obtained from the administration</w:t>
      </w:r>
      <w:r>
        <w:rPr>
          <w:sz w:val="24"/>
          <w:szCs w:val="24"/>
        </w:rPr>
        <w:t xml:space="preserve">. The identities of the study participants will not disclosed. The collected questionnaires were not transferred to third party. </w:t>
      </w:r>
    </w:p>
    <w:p w:rsidR="006E25D7" w:rsidRDefault="006E25D7" w:rsidP="002F4AB7">
      <w:pPr>
        <w:jc w:val="both"/>
        <w:rPr>
          <w:rFonts w:cstheme="minorHAnsi"/>
          <w:b/>
          <w:sz w:val="24"/>
          <w:szCs w:val="24"/>
        </w:rPr>
      </w:pPr>
    </w:p>
    <w:p w:rsidR="00D746CF" w:rsidRPr="006E25D7" w:rsidRDefault="00D746CF" w:rsidP="002F4AB7">
      <w:pPr>
        <w:pStyle w:val="Heading2"/>
        <w:jc w:val="both"/>
      </w:pPr>
      <w:bookmarkStart w:id="17" w:name="_Toc73713185"/>
      <w:r w:rsidRPr="006E25D7">
        <w:t>Operational definitions</w:t>
      </w:r>
      <w:bookmarkEnd w:id="17"/>
    </w:p>
    <w:p w:rsidR="00F13C8F" w:rsidRDefault="00D746CF" w:rsidP="002F4AB7">
      <w:pPr>
        <w:numPr>
          <w:ilvl w:val="0"/>
          <w:numId w:val="8"/>
        </w:numPr>
        <w:jc w:val="both"/>
        <w:rPr>
          <w:rFonts w:cstheme="minorHAnsi"/>
          <w:sz w:val="24"/>
          <w:szCs w:val="24"/>
        </w:rPr>
      </w:pPr>
      <w:r w:rsidRPr="00D746CF">
        <w:rPr>
          <w:rFonts w:cstheme="minorHAnsi"/>
          <w:b/>
          <w:sz w:val="24"/>
          <w:szCs w:val="24"/>
        </w:rPr>
        <w:t xml:space="preserve">Relaparotomy </w:t>
      </w:r>
      <w:r w:rsidRPr="00D746CF">
        <w:rPr>
          <w:rFonts w:cstheme="minorHAnsi"/>
          <w:sz w:val="24"/>
          <w:szCs w:val="24"/>
        </w:rPr>
        <w:t>: -  Abdominal operations that have to be redone within 60 days in association with the initial surgery</w:t>
      </w:r>
    </w:p>
    <w:p w:rsidR="00F13C8F" w:rsidRPr="00F13C8F" w:rsidRDefault="00F13C8F" w:rsidP="002F4AB7">
      <w:pPr>
        <w:pStyle w:val="ListParagraph"/>
        <w:autoSpaceDE w:val="0"/>
        <w:autoSpaceDN w:val="0"/>
        <w:adjustRightInd w:val="0"/>
        <w:spacing w:after="0" w:line="240" w:lineRule="auto"/>
        <w:jc w:val="both"/>
        <w:rPr>
          <w:rFonts w:cstheme="minorHAnsi"/>
          <w:sz w:val="24"/>
          <w:szCs w:val="24"/>
        </w:rPr>
      </w:pPr>
      <w:r w:rsidRPr="00F13C8F">
        <w:rPr>
          <w:rFonts w:cstheme="minorHAnsi"/>
          <w:b/>
          <w:sz w:val="24"/>
          <w:szCs w:val="24"/>
        </w:rPr>
        <w:t>Positive findings</w:t>
      </w:r>
      <w:r>
        <w:rPr>
          <w:rFonts w:cstheme="minorHAnsi"/>
          <w:sz w:val="24"/>
          <w:szCs w:val="24"/>
        </w:rPr>
        <w:t xml:space="preserve"> -</w:t>
      </w:r>
      <w:r w:rsidRPr="00F13C8F">
        <w:rPr>
          <w:rFonts w:cstheme="minorHAnsi"/>
          <w:sz w:val="24"/>
          <w:szCs w:val="24"/>
        </w:rPr>
        <w:t xml:space="preserve"> turbid or purulent intra-abdominal fluid with/out Gi content. </w:t>
      </w:r>
      <w:r w:rsidRPr="00F13C8F">
        <w:rPr>
          <w:rFonts w:cstheme="minorHAnsi"/>
          <w:b/>
          <w:sz w:val="24"/>
          <w:szCs w:val="24"/>
        </w:rPr>
        <w:t>Negative findings</w:t>
      </w:r>
      <w:r w:rsidRPr="00F13C8F">
        <w:rPr>
          <w:rFonts w:cstheme="minorHAnsi"/>
          <w:sz w:val="24"/>
          <w:szCs w:val="24"/>
        </w:rPr>
        <w:t xml:space="preserve"> </w:t>
      </w:r>
      <w:r>
        <w:rPr>
          <w:rFonts w:cstheme="minorHAnsi"/>
          <w:sz w:val="24"/>
          <w:szCs w:val="24"/>
        </w:rPr>
        <w:t xml:space="preserve">- </w:t>
      </w:r>
      <w:r w:rsidRPr="00F13C8F">
        <w:rPr>
          <w:rFonts w:cstheme="minorHAnsi"/>
          <w:sz w:val="24"/>
          <w:szCs w:val="24"/>
        </w:rPr>
        <w:t>minimal amounts of serous fluid with no other new findings in the abdomen.</w:t>
      </w:r>
    </w:p>
    <w:p w:rsidR="00F13C8F" w:rsidRPr="00F13C8F" w:rsidRDefault="00F13C8F" w:rsidP="002F4AB7">
      <w:pPr>
        <w:ind w:left="360"/>
        <w:jc w:val="both"/>
        <w:rPr>
          <w:rFonts w:cstheme="minorHAnsi"/>
          <w:sz w:val="24"/>
          <w:szCs w:val="24"/>
        </w:rPr>
      </w:pPr>
    </w:p>
    <w:p w:rsidR="00D746CF" w:rsidRDefault="00D746CF" w:rsidP="002F4AB7">
      <w:pPr>
        <w:numPr>
          <w:ilvl w:val="0"/>
          <w:numId w:val="8"/>
        </w:numPr>
        <w:jc w:val="both"/>
        <w:rPr>
          <w:rFonts w:cstheme="minorHAnsi"/>
          <w:sz w:val="24"/>
          <w:szCs w:val="24"/>
        </w:rPr>
      </w:pPr>
      <w:r w:rsidRPr="00D746CF">
        <w:rPr>
          <w:rFonts w:cstheme="minorHAnsi"/>
          <w:b/>
          <w:sz w:val="24"/>
          <w:szCs w:val="24"/>
        </w:rPr>
        <w:t>Referred from any rural center</w:t>
      </w:r>
      <w:r w:rsidRPr="00D746CF">
        <w:rPr>
          <w:rFonts w:cstheme="minorHAnsi"/>
          <w:sz w:val="24"/>
          <w:szCs w:val="24"/>
        </w:rPr>
        <w:t xml:space="preserve"> :- being referred from outside of Addis Ababa</w:t>
      </w:r>
    </w:p>
    <w:p w:rsidR="00D746CF" w:rsidRPr="00F957CE" w:rsidRDefault="00F957CE" w:rsidP="002F4AB7">
      <w:pPr>
        <w:pStyle w:val="ListParagraph"/>
        <w:numPr>
          <w:ilvl w:val="0"/>
          <w:numId w:val="8"/>
        </w:numPr>
        <w:jc w:val="both"/>
        <w:rPr>
          <w:sz w:val="24"/>
          <w:szCs w:val="24"/>
        </w:rPr>
      </w:pPr>
      <w:r w:rsidRPr="00F957CE">
        <w:rPr>
          <w:b/>
          <w:sz w:val="24"/>
          <w:szCs w:val="24"/>
        </w:rPr>
        <w:lastRenderedPageBreak/>
        <w:t>Antibiotic intake before Surgery</w:t>
      </w:r>
      <w:r>
        <w:rPr>
          <w:sz w:val="24"/>
          <w:szCs w:val="24"/>
        </w:rPr>
        <w:t xml:space="preserve"> </w:t>
      </w:r>
      <w:r w:rsidRPr="00D746CF">
        <w:rPr>
          <w:rFonts w:cstheme="minorHAnsi"/>
          <w:sz w:val="24"/>
          <w:szCs w:val="24"/>
        </w:rPr>
        <w:t>:-</w:t>
      </w:r>
      <w:r>
        <w:rPr>
          <w:rFonts w:cstheme="minorHAnsi"/>
          <w:sz w:val="24"/>
          <w:szCs w:val="24"/>
        </w:rPr>
        <w:t xml:space="preserve"> any antibiotic taken(PO or IV) for more than 24 hr with an intention of treatment,  before surgery</w:t>
      </w:r>
    </w:p>
    <w:p w:rsidR="00F957CE" w:rsidRPr="00F957CE" w:rsidRDefault="00F957CE" w:rsidP="002F4AB7">
      <w:pPr>
        <w:pStyle w:val="ListParagraph"/>
        <w:numPr>
          <w:ilvl w:val="0"/>
          <w:numId w:val="8"/>
        </w:numPr>
        <w:jc w:val="both"/>
        <w:rPr>
          <w:sz w:val="24"/>
          <w:szCs w:val="24"/>
        </w:rPr>
      </w:pPr>
      <w:r>
        <w:rPr>
          <w:b/>
          <w:sz w:val="24"/>
          <w:szCs w:val="24"/>
        </w:rPr>
        <w:t xml:space="preserve">Localized Peritonitis </w:t>
      </w:r>
      <w:r w:rsidRPr="00D746CF">
        <w:rPr>
          <w:rFonts w:cstheme="minorHAnsi"/>
          <w:sz w:val="24"/>
          <w:szCs w:val="24"/>
        </w:rPr>
        <w:t>:-</w:t>
      </w:r>
      <w:r>
        <w:rPr>
          <w:rFonts w:cstheme="minorHAnsi"/>
          <w:sz w:val="24"/>
          <w:szCs w:val="24"/>
        </w:rPr>
        <w:t xml:space="preserve"> peritoneal inflammation localized to a specific quadrant</w:t>
      </w:r>
    </w:p>
    <w:p w:rsidR="00065C88" w:rsidRDefault="00F957CE" w:rsidP="002F4AB7">
      <w:pPr>
        <w:pStyle w:val="ListParagraph"/>
        <w:numPr>
          <w:ilvl w:val="0"/>
          <w:numId w:val="8"/>
        </w:numPr>
        <w:jc w:val="both"/>
        <w:rPr>
          <w:sz w:val="24"/>
          <w:szCs w:val="24"/>
        </w:rPr>
      </w:pPr>
      <w:r>
        <w:rPr>
          <w:b/>
          <w:sz w:val="24"/>
          <w:szCs w:val="24"/>
        </w:rPr>
        <w:t>Genera</w:t>
      </w:r>
      <w:r w:rsidR="007D0D78">
        <w:rPr>
          <w:b/>
          <w:sz w:val="24"/>
          <w:szCs w:val="24"/>
        </w:rPr>
        <w:t xml:space="preserve">lized peritonitis </w:t>
      </w:r>
      <w:r w:rsidR="007D0D78" w:rsidRPr="007D0D78">
        <w:rPr>
          <w:sz w:val="24"/>
          <w:szCs w:val="24"/>
        </w:rPr>
        <w:t xml:space="preserve">:- </w:t>
      </w:r>
      <w:r w:rsidR="007D0D78">
        <w:rPr>
          <w:sz w:val="24"/>
          <w:szCs w:val="24"/>
        </w:rPr>
        <w:t xml:space="preserve">inflammation involving all or most of </w:t>
      </w:r>
      <w:r w:rsidR="00065C88">
        <w:rPr>
          <w:sz w:val="24"/>
          <w:szCs w:val="24"/>
        </w:rPr>
        <w:t>the peritoneal surface</w:t>
      </w:r>
    </w:p>
    <w:p w:rsidR="00A97DB0" w:rsidRPr="00065C88" w:rsidRDefault="00A97DB0" w:rsidP="002F4AB7">
      <w:pPr>
        <w:pStyle w:val="ListParagraph"/>
        <w:numPr>
          <w:ilvl w:val="0"/>
          <w:numId w:val="8"/>
        </w:numPr>
        <w:jc w:val="both"/>
        <w:rPr>
          <w:sz w:val="24"/>
          <w:szCs w:val="24"/>
        </w:rPr>
      </w:pPr>
      <w:r>
        <w:rPr>
          <w:b/>
          <w:sz w:val="24"/>
          <w:szCs w:val="24"/>
        </w:rPr>
        <w:t xml:space="preserve">Pervious abdominal surgery </w:t>
      </w:r>
      <w:r>
        <w:rPr>
          <w:sz w:val="24"/>
          <w:szCs w:val="24"/>
        </w:rPr>
        <w:t xml:space="preserve">:- any open abdominal surgery that breach the </w:t>
      </w:r>
      <w:r w:rsidR="00515CD8">
        <w:rPr>
          <w:sz w:val="24"/>
          <w:szCs w:val="24"/>
        </w:rPr>
        <w:t>peritoneum</w:t>
      </w:r>
    </w:p>
    <w:p w:rsidR="004A4932" w:rsidRDefault="004A4932" w:rsidP="002F4AB7">
      <w:pPr>
        <w:jc w:val="both"/>
        <w:rPr>
          <w:b/>
          <w:sz w:val="28"/>
          <w:szCs w:val="28"/>
        </w:rPr>
      </w:pPr>
    </w:p>
    <w:p w:rsidR="00345ADC" w:rsidRPr="004A4932" w:rsidRDefault="003F4EE4" w:rsidP="002F4AB7">
      <w:pPr>
        <w:pStyle w:val="Heading1"/>
        <w:jc w:val="both"/>
      </w:pPr>
      <w:bookmarkStart w:id="18" w:name="_Toc73713186"/>
      <w:r w:rsidRPr="004A4932">
        <w:t>Result</w:t>
      </w:r>
      <w:bookmarkEnd w:id="18"/>
    </w:p>
    <w:p w:rsidR="002A153D" w:rsidRDefault="00325407" w:rsidP="002F4AB7">
      <w:pPr>
        <w:autoSpaceDE w:val="0"/>
        <w:autoSpaceDN w:val="0"/>
        <w:adjustRightInd w:val="0"/>
        <w:spacing w:after="0" w:line="240" w:lineRule="auto"/>
        <w:jc w:val="both"/>
        <w:rPr>
          <w:rFonts w:cstheme="minorHAnsi"/>
          <w:sz w:val="24"/>
          <w:szCs w:val="24"/>
        </w:rPr>
      </w:pPr>
      <w:r>
        <w:rPr>
          <w:rFonts w:cstheme="minorHAnsi"/>
          <w:sz w:val="24"/>
          <w:szCs w:val="24"/>
        </w:rPr>
        <w:t>During the study period, 172</w:t>
      </w:r>
      <w:r w:rsidR="002A153D" w:rsidRPr="00B70098">
        <w:rPr>
          <w:rFonts w:cstheme="minorHAnsi"/>
          <w:sz w:val="24"/>
          <w:szCs w:val="24"/>
        </w:rPr>
        <w:t xml:space="preserve"> eligible cases were admitted and operated for secondary peritonitis in the two hospitals. 102 patients were operate</w:t>
      </w:r>
      <w:r>
        <w:rPr>
          <w:rFonts w:cstheme="minorHAnsi"/>
          <w:sz w:val="24"/>
          <w:szCs w:val="24"/>
        </w:rPr>
        <w:t xml:space="preserve">d at Minilik II hospital and 70 </w:t>
      </w:r>
      <w:r w:rsidR="002A153D" w:rsidRPr="00B70098">
        <w:rPr>
          <w:rFonts w:cstheme="minorHAnsi"/>
          <w:sz w:val="24"/>
          <w:szCs w:val="24"/>
        </w:rPr>
        <w:t>patients were operated at Yekatit hospital</w:t>
      </w:r>
      <w:r w:rsidR="002A153D">
        <w:rPr>
          <w:rFonts w:cstheme="minorHAnsi"/>
          <w:sz w:val="24"/>
          <w:szCs w:val="24"/>
        </w:rPr>
        <w:t>.</w:t>
      </w:r>
    </w:p>
    <w:p w:rsidR="00063300" w:rsidRDefault="00063300" w:rsidP="002F4AB7">
      <w:pPr>
        <w:autoSpaceDE w:val="0"/>
        <w:autoSpaceDN w:val="0"/>
        <w:adjustRightInd w:val="0"/>
        <w:spacing w:after="0" w:line="240" w:lineRule="auto"/>
        <w:jc w:val="both"/>
        <w:rPr>
          <w:rFonts w:cstheme="minorHAnsi"/>
          <w:sz w:val="24"/>
          <w:szCs w:val="24"/>
        </w:rPr>
      </w:pPr>
    </w:p>
    <w:p w:rsidR="00063300" w:rsidRDefault="00063300" w:rsidP="002F4AB7">
      <w:pPr>
        <w:autoSpaceDE w:val="0"/>
        <w:autoSpaceDN w:val="0"/>
        <w:adjustRightInd w:val="0"/>
        <w:spacing w:after="0" w:line="240" w:lineRule="auto"/>
        <w:jc w:val="both"/>
        <w:rPr>
          <w:rFonts w:cstheme="minorHAnsi"/>
          <w:sz w:val="24"/>
          <w:szCs w:val="24"/>
        </w:rPr>
      </w:pPr>
      <w:r>
        <w:rPr>
          <w:rFonts w:cstheme="minorHAnsi"/>
          <w:sz w:val="24"/>
          <w:szCs w:val="24"/>
        </w:rPr>
        <w:t xml:space="preserve">Out of 172 patients, </w:t>
      </w:r>
      <w:r w:rsidR="00640A60">
        <w:rPr>
          <w:rFonts w:cstheme="minorHAnsi"/>
          <w:sz w:val="24"/>
          <w:szCs w:val="24"/>
        </w:rPr>
        <w:t>70.9</w:t>
      </w:r>
      <w:r w:rsidR="002A153D">
        <w:rPr>
          <w:rFonts w:cstheme="minorHAnsi"/>
          <w:sz w:val="24"/>
          <w:szCs w:val="24"/>
        </w:rPr>
        <w:t>% of the patients were ma</w:t>
      </w:r>
      <w:r w:rsidR="00640A60">
        <w:rPr>
          <w:rFonts w:cstheme="minorHAnsi"/>
          <w:sz w:val="24"/>
          <w:szCs w:val="24"/>
        </w:rPr>
        <w:t>les and 29.1</w:t>
      </w:r>
      <w:r w:rsidR="002A153D">
        <w:rPr>
          <w:rFonts w:cstheme="minorHAnsi"/>
          <w:sz w:val="24"/>
          <w:szCs w:val="24"/>
        </w:rPr>
        <w:t xml:space="preserve">% were females. </w:t>
      </w:r>
      <w:r w:rsidR="003004BD">
        <w:rPr>
          <w:rFonts w:cstheme="minorHAnsi"/>
          <w:sz w:val="24"/>
          <w:szCs w:val="24"/>
        </w:rPr>
        <w:t xml:space="preserve">The Median age group of patients was 25 yrs, with </w:t>
      </w:r>
      <w:r w:rsidR="005F6559">
        <w:rPr>
          <w:rFonts w:cstheme="minorHAnsi"/>
          <w:sz w:val="24"/>
          <w:szCs w:val="24"/>
        </w:rPr>
        <w:t>53.5 % of them lie between 15 yrs and 34 yrs.</w:t>
      </w:r>
      <w:r w:rsidR="003004BD">
        <w:rPr>
          <w:rFonts w:cstheme="minorHAnsi"/>
          <w:sz w:val="24"/>
          <w:szCs w:val="24"/>
        </w:rPr>
        <w:t xml:space="preserve"> </w:t>
      </w:r>
      <w:r w:rsidR="00945441">
        <w:rPr>
          <w:rFonts w:cstheme="minorHAnsi"/>
          <w:sz w:val="24"/>
          <w:szCs w:val="24"/>
        </w:rPr>
        <w:t>82</w:t>
      </w:r>
      <w:r w:rsidR="002A153D">
        <w:rPr>
          <w:rFonts w:cstheme="minorHAnsi"/>
          <w:sz w:val="24"/>
          <w:szCs w:val="24"/>
        </w:rPr>
        <w:t xml:space="preserve">% of patients were </w:t>
      </w:r>
      <w:r>
        <w:rPr>
          <w:rFonts w:cstheme="minorHAnsi"/>
          <w:sz w:val="24"/>
          <w:szCs w:val="24"/>
        </w:rPr>
        <w:t>referred</w:t>
      </w:r>
      <w:r w:rsidR="00945441">
        <w:rPr>
          <w:rFonts w:cstheme="minorHAnsi"/>
          <w:sz w:val="24"/>
          <w:szCs w:val="24"/>
        </w:rPr>
        <w:t xml:space="preserve"> from Addis </w:t>
      </w:r>
      <w:r w:rsidR="00127271">
        <w:rPr>
          <w:rFonts w:cstheme="minorHAnsi"/>
          <w:sz w:val="24"/>
          <w:szCs w:val="24"/>
        </w:rPr>
        <w:t>Ababa,</w:t>
      </w:r>
      <w:r w:rsidR="00945441">
        <w:rPr>
          <w:rFonts w:cstheme="minorHAnsi"/>
          <w:sz w:val="24"/>
          <w:szCs w:val="24"/>
        </w:rPr>
        <w:t xml:space="preserve"> while 18</w:t>
      </w:r>
      <w:r w:rsidR="002A153D">
        <w:rPr>
          <w:rFonts w:cstheme="minorHAnsi"/>
          <w:sz w:val="24"/>
          <w:szCs w:val="24"/>
        </w:rPr>
        <w:t xml:space="preserve">% were from outside of addis ababa( mostly Oromia region). The commonest </w:t>
      </w:r>
      <w:r w:rsidR="000D26B7">
        <w:rPr>
          <w:rFonts w:cstheme="minorHAnsi"/>
          <w:sz w:val="24"/>
          <w:szCs w:val="24"/>
        </w:rPr>
        <w:t>co morbid</w:t>
      </w:r>
      <w:r w:rsidR="002A153D">
        <w:rPr>
          <w:rFonts w:cstheme="minorHAnsi"/>
          <w:sz w:val="24"/>
          <w:szCs w:val="24"/>
        </w:rPr>
        <w:t xml:space="preserve"> disease that was </w:t>
      </w:r>
      <w:r w:rsidR="00127271">
        <w:rPr>
          <w:rFonts w:cstheme="minorHAnsi"/>
          <w:sz w:val="24"/>
          <w:szCs w:val="24"/>
        </w:rPr>
        <w:t>found was hypertension (4.1</w:t>
      </w:r>
      <w:r w:rsidR="002A153D">
        <w:rPr>
          <w:rFonts w:cstheme="minorHAnsi"/>
          <w:sz w:val="24"/>
          <w:szCs w:val="24"/>
        </w:rPr>
        <w:t>%)</w:t>
      </w:r>
      <w:r w:rsidR="00127271">
        <w:rPr>
          <w:rFonts w:cstheme="minorHAnsi"/>
          <w:sz w:val="24"/>
          <w:szCs w:val="24"/>
        </w:rPr>
        <w:t xml:space="preserve">, followed by HIV (2.3%) and </w:t>
      </w:r>
      <w:r w:rsidR="003004BD">
        <w:rPr>
          <w:rFonts w:cstheme="minorHAnsi"/>
          <w:sz w:val="24"/>
          <w:szCs w:val="24"/>
        </w:rPr>
        <w:t>DM (</w:t>
      </w:r>
      <w:r w:rsidR="00127271">
        <w:rPr>
          <w:rFonts w:cstheme="minorHAnsi"/>
          <w:sz w:val="24"/>
          <w:szCs w:val="24"/>
        </w:rPr>
        <w:t>1.7%)</w:t>
      </w:r>
      <w:r w:rsidR="00593621">
        <w:rPr>
          <w:rFonts w:cstheme="minorHAnsi"/>
          <w:sz w:val="24"/>
          <w:szCs w:val="24"/>
        </w:rPr>
        <w:t>. The median</w:t>
      </w:r>
      <w:r w:rsidR="002A153D">
        <w:rPr>
          <w:rFonts w:cstheme="minorHAnsi"/>
          <w:sz w:val="24"/>
          <w:szCs w:val="24"/>
        </w:rPr>
        <w:t xml:space="preserve"> </w:t>
      </w:r>
      <w:r w:rsidR="002A153D" w:rsidRPr="006B165C">
        <w:rPr>
          <w:rFonts w:cstheme="minorHAnsi"/>
          <w:sz w:val="24"/>
          <w:szCs w:val="24"/>
        </w:rPr>
        <w:t>length of time from</w:t>
      </w:r>
      <w:r w:rsidR="002A153D">
        <w:rPr>
          <w:rFonts w:cstheme="minorHAnsi"/>
          <w:sz w:val="24"/>
          <w:szCs w:val="24"/>
        </w:rPr>
        <w:t xml:space="preserve"> </w:t>
      </w:r>
      <w:r w:rsidR="002A153D" w:rsidRPr="006B165C">
        <w:rPr>
          <w:rFonts w:cstheme="minorHAnsi"/>
          <w:sz w:val="24"/>
          <w:szCs w:val="24"/>
        </w:rPr>
        <w:t>the onset of sympto</w:t>
      </w:r>
      <w:r w:rsidR="002A153D">
        <w:rPr>
          <w:rFonts w:cstheme="minorHAnsi"/>
          <w:sz w:val="24"/>
          <w:szCs w:val="24"/>
        </w:rPr>
        <w:t>ms to seeking medical care was 3</w:t>
      </w:r>
      <w:r w:rsidR="002A153D" w:rsidRPr="006B165C">
        <w:rPr>
          <w:rFonts w:cstheme="minorHAnsi"/>
          <w:sz w:val="24"/>
          <w:szCs w:val="24"/>
        </w:rPr>
        <w:t xml:space="preserve"> days.</w:t>
      </w:r>
      <w:r w:rsidR="007D3C51">
        <w:rPr>
          <w:rFonts w:cstheme="minorHAnsi"/>
          <w:sz w:val="24"/>
          <w:szCs w:val="24"/>
        </w:rPr>
        <w:t xml:space="preserve"> In our study, 93% of our patients fall in to ASA 1 and 2 score. In physical examination,</w:t>
      </w:r>
      <w:r w:rsidR="00EF0A47">
        <w:rPr>
          <w:rFonts w:cstheme="minorHAnsi"/>
          <w:sz w:val="24"/>
          <w:szCs w:val="24"/>
        </w:rPr>
        <w:t xml:space="preserve"> the median systolic BP was 110 and diastolic BP was 70. </w:t>
      </w:r>
      <w:r w:rsidR="007D3C51">
        <w:rPr>
          <w:rFonts w:cstheme="minorHAnsi"/>
          <w:sz w:val="24"/>
          <w:szCs w:val="24"/>
        </w:rPr>
        <w:t xml:space="preserve"> </w:t>
      </w:r>
      <w:r w:rsidR="00EF0A47">
        <w:rPr>
          <w:rFonts w:cstheme="minorHAnsi"/>
          <w:sz w:val="24"/>
          <w:szCs w:val="24"/>
        </w:rPr>
        <w:t>The median pulse rate was 110.</w:t>
      </w:r>
      <w:r w:rsidR="004A3077">
        <w:rPr>
          <w:rFonts w:cstheme="minorHAnsi"/>
          <w:sz w:val="24"/>
          <w:szCs w:val="24"/>
        </w:rPr>
        <w:t xml:space="preserve"> </w:t>
      </w:r>
    </w:p>
    <w:p w:rsidR="00063300" w:rsidRDefault="00063300" w:rsidP="002F4AB7">
      <w:pPr>
        <w:autoSpaceDE w:val="0"/>
        <w:autoSpaceDN w:val="0"/>
        <w:adjustRightInd w:val="0"/>
        <w:spacing w:after="0" w:line="240" w:lineRule="auto"/>
        <w:jc w:val="both"/>
        <w:rPr>
          <w:rFonts w:cstheme="minorHAnsi"/>
          <w:sz w:val="24"/>
          <w:szCs w:val="24"/>
        </w:rPr>
      </w:pPr>
    </w:p>
    <w:p w:rsidR="00063300" w:rsidRDefault="004A3077" w:rsidP="002F4AB7">
      <w:pPr>
        <w:autoSpaceDE w:val="0"/>
        <w:autoSpaceDN w:val="0"/>
        <w:adjustRightInd w:val="0"/>
        <w:spacing w:after="0" w:line="240" w:lineRule="auto"/>
        <w:jc w:val="both"/>
        <w:rPr>
          <w:rFonts w:cstheme="minorHAnsi"/>
          <w:sz w:val="24"/>
          <w:szCs w:val="24"/>
        </w:rPr>
      </w:pPr>
      <w:r>
        <w:rPr>
          <w:rFonts w:cstheme="minorHAnsi"/>
          <w:sz w:val="24"/>
          <w:szCs w:val="24"/>
        </w:rPr>
        <w:t>Off all cases of peritonitis, 72.7 cases had generalized peritonitis, while 27.3% had localized peritonitis</w:t>
      </w:r>
      <w:r w:rsidR="009F0933">
        <w:rPr>
          <w:rFonts w:cstheme="minorHAnsi"/>
          <w:sz w:val="24"/>
          <w:szCs w:val="24"/>
        </w:rPr>
        <w:t xml:space="preserve">. </w:t>
      </w:r>
      <w:r w:rsidR="006810AA">
        <w:rPr>
          <w:rFonts w:cstheme="minorHAnsi"/>
          <w:sz w:val="24"/>
          <w:szCs w:val="24"/>
        </w:rPr>
        <w:t>To access the peritoneum, limited incision was used in 24.</w:t>
      </w:r>
      <w:r w:rsidR="000D26B7">
        <w:rPr>
          <w:rFonts w:cstheme="minorHAnsi"/>
          <w:sz w:val="24"/>
          <w:szCs w:val="24"/>
        </w:rPr>
        <w:t>4% of patient, while full laparo</w:t>
      </w:r>
      <w:r w:rsidR="006810AA">
        <w:rPr>
          <w:rFonts w:cstheme="minorHAnsi"/>
          <w:sz w:val="24"/>
          <w:szCs w:val="24"/>
        </w:rPr>
        <w:t xml:space="preserve">tomy was used in 75.6% of patients. </w:t>
      </w:r>
      <w:r>
        <w:rPr>
          <w:rFonts w:cstheme="minorHAnsi"/>
          <w:sz w:val="24"/>
          <w:szCs w:val="24"/>
        </w:rPr>
        <w:t>While assessing the intraop factors, t</w:t>
      </w:r>
      <w:r w:rsidR="002A153D" w:rsidRPr="006B165C">
        <w:rPr>
          <w:rFonts w:cstheme="minorHAnsi"/>
          <w:sz w:val="24"/>
          <w:szCs w:val="24"/>
        </w:rPr>
        <w:t>he most common cause of secondary</w:t>
      </w:r>
      <w:r w:rsidR="002A153D">
        <w:rPr>
          <w:rFonts w:cstheme="minorHAnsi"/>
          <w:sz w:val="24"/>
          <w:szCs w:val="24"/>
        </w:rPr>
        <w:t xml:space="preserve"> </w:t>
      </w:r>
      <w:r w:rsidR="002A153D" w:rsidRPr="006B165C">
        <w:rPr>
          <w:rFonts w:cstheme="minorHAnsi"/>
          <w:sz w:val="24"/>
          <w:szCs w:val="24"/>
        </w:rPr>
        <w:t xml:space="preserve">peritonitis was </w:t>
      </w:r>
      <w:r w:rsidR="00901984">
        <w:rPr>
          <w:rFonts w:cstheme="minorHAnsi"/>
          <w:sz w:val="24"/>
          <w:szCs w:val="24"/>
        </w:rPr>
        <w:t>complicated appendicitis (52</w:t>
      </w:r>
      <w:r w:rsidR="002A153D">
        <w:rPr>
          <w:rFonts w:cstheme="minorHAnsi"/>
          <w:sz w:val="24"/>
          <w:szCs w:val="24"/>
        </w:rPr>
        <w:t>.</w:t>
      </w:r>
      <w:r w:rsidR="00901984">
        <w:rPr>
          <w:rFonts w:cstheme="minorHAnsi"/>
          <w:sz w:val="24"/>
          <w:szCs w:val="24"/>
        </w:rPr>
        <w:t>9</w:t>
      </w:r>
      <w:r w:rsidR="002A153D">
        <w:rPr>
          <w:rFonts w:cstheme="minorHAnsi"/>
          <w:sz w:val="24"/>
          <w:szCs w:val="24"/>
        </w:rPr>
        <w:t>%),</w:t>
      </w:r>
      <w:r w:rsidR="00901984">
        <w:rPr>
          <w:rFonts w:cstheme="minorHAnsi"/>
          <w:sz w:val="24"/>
          <w:szCs w:val="24"/>
        </w:rPr>
        <w:t xml:space="preserve"> followed by perforated PUD (33.1</w:t>
      </w:r>
      <w:r w:rsidR="002A153D">
        <w:rPr>
          <w:rFonts w:cstheme="minorHAnsi"/>
          <w:sz w:val="24"/>
          <w:szCs w:val="24"/>
        </w:rPr>
        <w:t xml:space="preserve">%), </w:t>
      </w:r>
      <w:r w:rsidR="00901984">
        <w:rPr>
          <w:rFonts w:cstheme="minorHAnsi"/>
          <w:sz w:val="24"/>
          <w:szCs w:val="24"/>
        </w:rPr>
        <w:t xml:space="preserve">small bowel </w:t>
      </w:r>
      <w:r w:rsidR="007D3C51">
        <w:rPr>
          <w:rFonts w:cstheme="minorHAnsi"/>
          <w:sz w:val="24"/>
          <w:szCs w:val="24"/>
        </w:rPr>
        <w:t>pathology (</w:t>
      </w:r>
      <w:r w:rsidR="00901984">
        <w:rPr>
          <w:rFonts w:cstheme="minorHAnsi"/>
          <w:sz w:val="24"/>
          <w:szCs w:val="24"/>
        </w:rPr>
        <w:t xml:space="preserve">4.7 %) and colonic pathology (4.7%). </w:t>
      </w:r>
      <w:r w:rsidR="007416B3">
        <w:rPr>
          <w:rFonts w:cstheme="minorHAnsi"/>
          <w:sz w:val="24"/>
          <w:szCs w:val="24"/>
        </w:rPr>
        <w:t>During exploration, pus was found in 68.8 % of the time, while GI content mixed with pus was found in 28.5% of the time.</w:t>
      </w:r>
      <w:r w:rsidR="008B5633">
        <w:rPr>
          <w:rFonts w:cstheme="minorHAnsi"/>
          <w:sz w:val="24"/>
          <w:szCs w:val="24"/>
        </w:rPr>
        <w:t xml:space="preserve"> The mean amount of peritoneal fluid was 673.4 ml, more than 1000ml of </w:t>
      </w:r>
      <w:r w:rsidR="000C552E">
        <w:rPr>
          <w:rFonts w:cstheme="minorHAnsi"/>
          <w:sz w:val="24"/>
          <w:szCs w:val="24"/>
        </w:rPr>
        <w:t xml:space="preserve">peritoneal </w:t>
      </w:r>
      <w:r w:rsidR="008B5633">
        <w:rPr>
          <w:rFonts w:cstheme="minorHAnsi"/>
          <w:sz w:val="24"/>
          <w:szCs w:val="24"/>
        </w:rPr>
        <w:t>fluid was found in 22.5 % of patients.</w:t>
      </w:r>
      <w:r w:rsidR="000C552E">
        <w:rPr>
          <w:rFonts w:cstheme="minorHAnsi"/>
          <w:sz w:val="24"/>
          <w:szCs w:val="24"/>
        </w:rPr>
        <w:t xml:space="preserve"> </w:t>
      </w:r>
    </w:p>
    <w:p w:rsidR="00063300" w:rsidRDefault="00063300" w:rsidP="002F4AB7">
      <w:pPr>
        <w:autoSpaceDE w:val="0"/>
        <w:autoSpaceDN w:val="0"/>
        <w:adjustRightInd w:val="0"/>
        <w:spacing w:after="0" w:line="240" w:lineRule="auto"/>
        <w:jc w:val="both"/>
        <w:rPr>
          <w:rFonts w:cstheme="minorHAnsi"/>
          <w:sz w:val="24"/>
          <w:szCs w:val="24"/>
        </w:rPr>
      </w:pPr>
    </w:p>
    <w:p w:rsidR="002A153D" w:rsidRDefault="005774EF" w:rsidP="002F4AB7">
      <w:pPr>
        <w:autoSpaceDE w:val="0"/>
        <w:autoSpaceDN w:val="0"/>
        <w:adjustRightInd w:val="0"/>
        <w:spacing w:after="0" w:line="240" w:lineRule="auto"/>
        <w:jc w:val="both"/>
        <w:rPr>
          <w:rFonts w:cstheme="minorHAnsi"/>
          <w:sz w:val="24"/>
          <w:szCs w:val="24"/>
        </w:rPr>
      </w:pPr>
      <w:r>
        <w:rPr>
          <w:rFonts w:cstheme="minorHAnsi"/>
          <w:sz w:val="24"/>
          <w:szCs w:val="24"/>
        </w:rPr>
        <w:t xml:space="preserve">During exploration, ischemic bowel and underlying malignancy was found in 4.7 % and 1.7% of patients respectively. </w:t>
      </w:r>
      <w:r w:rsidR="000C552E">
        <w:rPr>
          <w:rFonts w:cstheme="minorHAnsi"/>
          <w:sz w:val="24"/>
          <w:szCs w:val="24"/>
        </w:rPr>
        <w:t xml:space="preserve">Drainage tube was left in 64 </w:t>
      </w:r>
      <w:r>
        <w:rPr>
          <w:rFonts w:cstheme="minorHAnsi"/>
          <w:sz w:val="24"/>
          <w:szCs w:val="24"/>
        </w:rPr>
        <w:t>% of patients after exploration.</w:t>
      </w:r>
      <w:r w:rsidR="00063300">
        <w:rPr>
          <w:rFonts w:cstheme="minorHAnsi"/>
          <w:sz w:val="24"/>
          <w:szCs w:val="24"/>
        </w:rPr>
        <w:t xml:space="preserve"> </w:t>
      </w:r>
      <w:r w:rsidR="00272C43">
        <w:rPr>
          <w:rFonts w:cstheme="minorHAnsi"/>
          <w:sz w:val="24"/>
          <w:szCs w:val="24"/>
        </w:rPr>
        <w:t xml:space="preserve">Intraoperatively, inotrops and/or vasopresors were required in 2.3% of patients. </w:t>
      </w:r>
      <w:r w:rsidR="00446AB0">
        <w:rPr>
          <w:rFonts w:cstheme="minorHAnsi"/>
          <w:sz w:val="24"/>
          <w:szCs w:val="24"/>
        </w:rPr>
        <w:t>Intraop bowel injury was observed in 3.5% of cases.</w:t>
      </w:r>
      <w:r w:rsidR="00BC5CD2">
        <w:rPr>
          <w:rFonts w:cstheme="minorHAnsi"/>
          <w:sz w:val="24"/>
          <w:szCs w:val="24"/>
        </w:rPr>
        <w:t xml:space="preserve"> In 18.6% of cas</w:t>
      </w:r>
      <w:r w:rsidR="00063300">
        <w:rPr>
          <w:rFonts w:cstheme="minorHAnsi"/>
          <w:sz w:val="24"/>
          <w:szCs w:val="24"/>
        </w:rPr>
        <w:t xml:space="preserve">es, diagnosis was changed after </w:t>
      </w:r>
      <w:r w:rsidR="00BC5CD2">
        <w:rPr>
          <w:rFonts w:cstheme="minorHAnsi"/>
          <w:sz w:val="24"/>
          <w:szCs w:val="24"/>
        </w:rPr>
        <w:t>exploration and intraop finding.</w:t>
      </w:r>
      <w:r w:rsidR="00587190">
        <w:rPr>
          <w:rFonts w:cstheme="minorHAnsi"/>
          <w:sz w:val="24"/>
          <w:szCs w:val="24"/>
        </w:rPr>
        <w:t xml:space="preserve"> </w:t>
      </w:r>
      <w:r w:rsidR="00BC5CD2">
        <w:rPr>
          <w:rFonts w:cstheme="minorHAnsi"/>
          <w:sz w:val="24"/>
          <w:szCs w:val="24"/>
        </w:rPr>
        <w:t xml:space="preserve"> 4.1% of patients</w:t>
      </w:r>
      <w:r w:rsidR="00587190">
        <w:rPr>
          <w:rFonts w:cstheme="minorHAnsi"/>
          <w:sz w:val="24"/>
          <w:szCs w:val="24"/>
        </w:rPr>
        <w:t xml:space="preserve"> had previous abdominal surgery. The median duration of surgery was 110 min.</w:t>
      </w:r>
      <w:r w:rsidR="00BC5CD2">
        <w:rPr>
          <w:rFonts w:cstheme="minorHAnsi"/>
          <w:sz w:val="24"/>
          <w:szCs w:val="24"/>
        </w:rPr>
        <w:t xml:space="preserve"> </w:t>
      </w:r>
      <w:r w:rsidR="00272C43">
        <w:rPr>
          <w:rFonts w:cstheme="minorHAnsi"/>
          <w:sz w:val="24"/>
          <w:szCs w:val="24"/>
        </w:rPr>
        <w:t xml:space="preserve">  </w:t>
      </w:r>
    </w:p>
    <w:p w:rsidR="00063300" w:rsidRDefault="00063300" w:rsidP="002F4AB7">
      <w:pPr>
        <w:autoSpaceDE w:val="0"/>
        <w:autoSpaceDN w:val="0"/>
        <w:adjustRightInd w:val="0"/>
        <w:spacing w:after="0" w:line="240" w:lineRule="auto"/>
        <w:jc w:val="both"/>
        <w:rPr>
          <w:rFonts w:cstheme="minorHAnsi"/>
          <w:sz w:val="24"/>
          <w:szCs w:val="24"/>
        </w:rPr>
      </w:pPr>
    </w:p>
    <w:p w:rsidR="00477429" w:rsidRDefault="002A153D" w:rsidP="002F4AB7">
      <w:pPr>
        <w:autoSpaceDE w:val="0"/>
        <w:autoSpaceDN w:val="0"/>
        <w:adjustRightInd w:val="0"/>
        <w:spacing w:after="0" w:line="240" w:lineRule="auto"/>
        <w:jc w:val="both"/>
        <w:rPr>
          <w:sz w:val="24"/>
          <w:szCs w:val="24"/>
        </w:rPr>
      </w:pPr>
      <w:r>
        <w:rPr>
          <w:rFonts w:cstheme="minorHAnsi"/>
          <w:sz w:val="24"/>
          <w:szCs w:val="24"/>
        </w:rPr>
        <w:t>O</w:t>
      </w:r>
      <w:r w:rsidR="00F355E1">
        <w:rPr>
          <w:rFonts w:cstheme="minorHAnsi"/>
          <w:sz w:val="24"/>
          <w:szCs w:val="24"/>
        </w:rPr>
        <w:t>ut of 172 laparo</w:t>
      </w:r>
      <w:r w:rsidRPr="00B70098">
        <w:rPr>
          <w:rFonts w:cstheme="minorHAnsi"/>
          <w:sz w:val="24"/>
          <w:szCs w:val="24"/>
        </w:rPr>
        <w:t>tomy cases for secondary peritoni</w:t>
      </w:r>
      <w:r w:rsidR="00F355E1">
        <w:rPr>
          <w:rFonts w:cstheme="minorHAnsi"/>
          <w:sz w:val="24"/>
          <w:szCs w:val="24"/>
        </w:rPr>
        <w:t>tis, 40 (23.3</w:t>
      </w:r>
      <w:r w:rsidR="000D26B7">
        <w:rPr>
          <w:rFonts w:cstheme="minorHAnsi"/>
          <w:sz w:val="24"/>
          <w:szCs w:val="24"/>
        </w:rPr>
        <w:t>%) required relaparo</w:t>
      </w:r>
      <w:r w:rsidRPr="00B70098">
        <w:rPr>
          <w:rFonts w:cstheme="minorHAnsi"/>
          <w:sz w:val="24"/>
          <w:szCs w:val="24"/>
        </w:rPr>
        <w:t>tomy for postop collection</w:t>
      </w:r>
      <w:r>
        <w:rPr>
          <w:rFonts w:cstheme="minorHAnsi"/>
          <w:sz w:val="24"/>
          <w:szCs w:val="24"/>
        </w:rPr>
        <w:t>.</w:t>
      </w:r>
      <w:r w:rsidR="00063300">
        <w:rPr>
          <w:rFonts w:cstheme="minorHAnsi"/>
          <w:sz w:val="24"/>
          <w:szCs w:val="24"/>
        </w:rPr>
        <w:t xml:space="preserve"> </w:t>
      </w:r>
      <w:r w:rsidR="00477429" w:rsidRPr="00477429">
        <w:rPr>
          <w:sz w:val="24"/>
          <w:szCs w:val="24"/>
        </w:rPr>
        <w:t>From Patients who developed postop collection, 4</w:t>
      </w:r>
      <w:r w:rsidR="005072D8">
        <w:rPr>
          <w:sz w:val="24"/>
          <w:szCs w:val="24"/>
        </w:rPr>
        <w:t>5</w:t>
      </w:r>
      <w:r w:rsidR="00477429" w:rsidRPr="00477429">
        <w:rPr>
          <w:sz w:val="24"/>
          <w:szCs w:val="24"/>
        </w:rPr>
        <w:t>% of them were diagnosed after pus/Gi content leaked through the surgical wound, while the rest were diagnosed with clinical sign augmented with imaging.</w:t>
      </w:r>
      <w:r w:rsidR="00063300">
        <w:rPr>
          <w:rFonts w:cstheme="minorHAnsi"/>
          <w:sz w:val="24"/>
          <w:szCs w:val="24"/>
        </w:rPr>
        <w:t xml:space="preserve"> </w:t>
      </w:r>
      <w:r w:rsidR="00477429">
        <w:rPr>
          <w:sz w:val="24"/>
          <w:szCs w:val="24"/>
        </w:rPr>
        <w:t xml:space="preserve">Of the 40 patient who developed postop </w:t>
      </w:r>
      <w:r w:rsidR="00477429">
        <w:rPr>
          <w:sz w:val="24"/>
          <w:szCs w:val="24"/>
        </w:rPr>
        <w:lastRenderedPageBreak/>
        <w:t xml:space="preserve">collection, 33(82.5%) of them </w:t>
      </w:r>
      <w:r w:rsidR="00BE501D">
        <w:rPr>
          <w:sz w:val="24"/>
          <w:szCs w:val="24"/>
        </w:rPr>
        <w:t>only require 1 relaparatomy, 6(15%) of them under done 2 relaparotomy and 1(2.5%) was reoperated 3 times.</w:t>
      </w:r>
    </w:p>
    <w:p w:rsidR="00063300" w:rsidRPr="00063300" w:rsidRDefault="00063300" w:rsidP="002F4AB7">
      <w:pPr>
        <w:autoSpaceDE w:val="0"/>
        <w:autoSpaceDN w:val="0"/>
        <w:adjustRightInd w:val="0"/>
        <w:spacing w:after="0" w:line="240" w:lineRule="auto"/>
        <w:jc w:val="both"/>
        <w:rPr>
          <w:rFonts w:cstheme="minorHAnsi"/>
          <w:sz w:val="24"/>
          <w:szCs w:val="24"/>
        </w:rPr>
      </w:pPr>
    </w:p>
    <w:p w:rsidR="00BD26AF" w:rsidRDefault="00B639BF" w:rsidP="002F4AB7">
      <w:pPr>
        <w:jc w:val="both"/>
        <w:rPr>
          <w:sz w:val="24"/>
          <w:szCs w:val="24"/>
        </w:rPr>
      </w:pPr>
      <w:r>
        <w:rPr>
          <w:sz w:val="24"/>
          <w:szCs w:val="24"/>
        </w:rPr>
        <w:t>The median duration between laparotomy for peritonitis and first relaparotomy for postop collection was 7.5 days, with 30% of the cases, it is beyond 10 days.</w:t>
      </w:r>
      <w:r w:rsidR="00EB3AC1">
        <w:rPr>
          <w:sz w:val="24"/>
          <w:szCs w:val="24"/>
        </w:rPr>
        <w:t xml:space="preserve">The mean </w:t>
      </w:r>
      <w:r w:rsidR="006247BB">
        <w:rPr>
          <w:sz w:val="24"/>
          <w:szCs w:val="24"/>
        </w:rPr>
        <w:t xml:space="preserve">duration of hospital stay for all peritonitis cases </w:t>
      </w:r>
      <w:r w:rsidR="00EB3AC1">
        <w:rPr>
          <w:sz w:val="24"/>
          <w:szCs w:val="24"/>
        </w:rPr>
        <w:t xml:space="preserve">with no postop collection </w:t>
      </w:r>
      <w:r w:rsidR="006247BB">
        <w:rPr>
          <w:sz w:val="24"/>
          <w:szCs w:val="24"/>
        </w:rPr>
        <w:t>was 7 days</w:t>
      </w:r>
      <w:r w:rsidR="00EB3AC1">
        <w:rPr>
          <w:sz w:val="24"/>
          <w:szCs w:val="24"/>
        </w:rPr>
        <w:t>, while those with postop collection requiring re laparotomy was 21.9 days.</w:t>
      </w:r>
      <w:r w:rsidR="00063300">
        <w:rPr>
          <w:sz w:val="24"/>
          <w:szCs w:val="24"/>
        </w:rPr>
        <w:t xml:space="preserve"> </w:t>
      </w:r>
      <w:r w:rsidR="00BD26AF">
        <w:rPr>
          <w:sz w:val="24"/>
          <w:szCs w:val="24"/>
        </w:rPr>
        <w:t>In Our study</w:t>
      </w:r>
      <w:r w:rsidR="00BD26AF" w:rsidRPr="00BD26AF">
        <w:rPr>
          <w:sz w:val="24"/>
          <w:szCs w:val="24"/>
        </w:rPr>
        <w:t>, the mortality rate of patients who develop postop collection and</w:t>
      </w:r>
      <w:r w:rsidR="00D76257">
        <w:rPr>
          <w:sz w:val="24"/>
          <w:szCs w:val="24"/>
        </w:rPr>
        <w:t xml:space="preserve"> undergone relaparo</w:t>
      </w:r>
      <w:r w:rsidR="00BD26AF">
        <w:rPr>
          <w:sz w:val="24"/>
          <w:szCs w:val="24"/>
        </w:rPr>
        <w:t xml:space="preserve">tomy was 27.5 </w:t>
      </w:r>
      <w:r w:rsidR="00BD26AF" w:rsidRPr="00BD26AF">
        <w:rPr>
          <w:sz w:val="24"/>
          <w:szCs w:val="24"/>
        </w:rPr>
        <w:t>%</w:t>
      </w:r>
      <w:r w:rsidR="00BD26AF">
        <w:rPr>
          <w:sz w:val="24"/>
          <w:szCs w:val="24"/>
        </w:rPr>
        <w:t xml:space="preserve"> and 4.5% for those without postop collection. </w:t>
      </w:r>
    </w:p>
    <w:p w:rsidR="003B0E0D" w:rsidRPr="00275509" w:rsidRDefault="003B0E0D" w:rsidP="002F4AB7">
      <w:pPr>
        <w:jc w:val="both"/>
        <w:rPr>
          <w:sz w:val="24"/>
          <w:szCs w:val="24"/>
        </w:rPr>
      </w:pPr>
      <w:r w:rsidRPr="003B0E0D">
        <w:rPr>
          <w:sz w:val="24"/>
          <w:szCs w:val="24"/>
        </w:rPr>
        <w:t>Based on the differences between the relaparotomy and non relaparotomy groups, a number of parameters were found to be significant on Chi-square and student-t correlation test</w:t>
      </w:r>
      <w:r>
        <w:rPr>
          <w:sz w:val="24"/>
          <w:szCs w:val="24"/>
        </w:rPr>
        <w:t>s. These variables were</w:t>
      </w:r>
      <w:r w:rsidRPr="003B0E0D">
        <w:t xml:space="preserve"> </w:t>
      </w:r>
      <w:r>
        <w:rPr>
          <w:sz w:val="24"/>
          <w:szCs w:val="24"/>
        </w:rPr>
        <w:t>included</w:t>
      </w:r>
      <w:r w:rsidRPr="003B0E0D">
        <w:rPr>
          <w:sz w:val="24"/>
          <w:szCs w:val="24"/>
        </w:rPr>
        <w:t xml:space="preserve"> in a logistic regression model to predict the need</w:t>
      </w:r>
      <w:r>
        <w:rPr>
          <w:sz w:val="24"/>
          <w:szCs w:val="24"/>
        </w:rPr>
        <w:t xml:space="preserve"> </w:t>
      </w:r>
      <w:r w:rsidRPr="003B0E0D">
        <w:rPr>
          <w:sz w:val="24"/>
          <w:szCs w:val="24"/>
        </w:rPr>
        <w:t>for relaparotomy.</w:t>
      </w:r>
      <w:r>
        <w:rPr>
          <w:sz w:val="24"/>
          <w:szCs w:val="24"/>
        </w:rPr>
        <w:t xml:space="preserve"> </w:t>
      </w:r>
      <w:r w:rsidRPr="00275509">
        <w:rPr>
          <w:b/>
          <w:sz w:val="24"/>
          <w:szCs w:val="24"/>
        </w:rPr>
        <w:t>Duration of illness more than 5 days, Systolic BP &lt;/= 90 mmHg</w:t>
      </w:r>
      <w:r w:rsidR="00275509" w:rsidRPr="00275509">
        <w:rPr>
          <w:b/>
          <w:sz w:val="24"/>
          <w:szCs w:val="24"/>
        </w:rPr>
        <w:t>, Amount of peritoneal fluid &gt; 1000 ml</w:t>
      </w:r>
      <w:r w:rsidR="00275509" w:rsidRPr="00275509">
        <w:rPr>
          <w:sz w:val="24"/>
          <w:szCs w:val="24"/>
        </w:rPr>
        <w:t xml:space="preserve"> and</w:t>
      </w:r>
      <w:r w:rsidR="00275509" w:rsidRPr="00275509">
        <w:rPr>
          <w:b/>
          <w:sz w:val="24"/>
          <w:szCs w:val="24"/>
        </w:rPr>
        <w:t xml:space="preserve"> small bowel as source of </w:t>
      </w:r>
      <w:r w:rsidR="00497543" w:rsidRPr="00275509">
        <w:rPr>
          <w:b/>
          <w:sz w:val="24"/>
          <w:szCs w:val="24"/>
        </w:rPr>
        <w:t>contamination</w:t>
      </w:r>
      <w:r w:rsidR="00497543">
        <w:rPr>
          <w:b/>
          <w:sz w:val="24"/>
          <w:szCs w:val="24"/>
        </w:rPr>
        <w:t xml:space="preserve"> </w:t>
      </w:r>
      <w:r w:rsidR="00497543">
        <w:rPr>
          <w:sz w:val="24"/>
          <w:szCs w:val="24"/>
        </w:rPr>
        <w:t>were</w:t>
      </w:r>
      <w:r w:rsidR="00275509">
        <w:rPr>
          <w:sz w:val="24"/>
          <w:szCs w:val="24"/>
        </w:rPr>
        <w:t xml:space="preserve"> found to be significant on logistic regression.</w:t>
      </w:r>
      <w:r w:rsidR="00173DCF">
        <w:rPr>
          <w:sz w:val="24"/>
          <w:szCs w:val="24"/>
        </w:rPr>
        <w:t xml:space="preserve"> Over all prediction successes of the above model is 88.4%</w:t>
      </w:r>
      <w:r w:rsidR="00173DCF" w:rsidRPr="00173DCF">
        <w:rPr>
          <w:sz w:val="24"/>
          <w:szCs w:val="24"/>
        </w:rPr>
        <w:t>(</w:t>
      </w:r>
      <w:r w:rsidR="00173DCF">
        <w:rPr>
          <w:sz w:val="24"/>
          <w:szCs w:val="24"/>
        </w:rPr>
        <w:t>sensitivity 53.3%%,specificity 96.8</w:t>
      </w:r>
      <w:r w:rsidR="00173DCF" w:rsidRPr="00173DCF">
        <w:rPr>
          <w:sz w:val="24"/>
          <w:szCs w:val="24"/>
        </w:rPr>
        <w:t>%).</w:t>
      </w:r>
    </w:p>
    <w:p w:rsidR="00477429" w:rsidRDefault="00477429" w:rsidP="002F4AB7">
      <w:pPr>
        <w:jc w:val="both"/>
        <w:rPr>
          <w:sz w:val="24"/>
          <w:szCs w:val="24"/>
        </w:rPr>
      </w:pPr>
    </w:p>
    <w:p w:rsidR="005072D8" w:rsidRDefault="005072D8" w:rsidP="002F4AB7">
      <w:pPr>
        <w:jc w:val="both"/>
        <w:rPr>
          <w:sz w:val="24"/>
          <w:szCs w:val="24"/>
        </w:rPr>
      </w:pPr>
    </w:p>
    <w:p w:rsidR="005072D8" w:rsidRDefault="005072D8" w:rsidP="002F4AB7">
      <w:pPr>
        <w:jc w:val="both"/>
        <w:rPr>
          <w:sz w:val="24"/>
          <w:szCs w:val="24"/>
        </w:rPr>
      </w:pPr>
    </w:p>
    <w:p w:rsidR="005072D8" w:rsidRDefault="005072D8" w:rsidP="002F4AB7">
      <w:pPr>
        <w:jc w:val="both"/>
        <w:rPr>
          <w:sz w:val="24"/>
          <w:szCs w:val="24"/>
        </w:rPr>
      </w:pPr>
    </w:p>
    <w:p w:rsidR="005072D8" w:rsidRDefault="005072D8" w:rsidP="002F4AB7">
      <w:pPr>
        <w:jc w:val="both"/>
        <w:rPr>
          <w:sz w:val="24"/>
          <w:szCs w:val="24"/>
        </w:rPr>
      </w:pPr>
    </w:p>
    <w:p w:rsidR="00063300" w:rsidRDefault="00063300" w:rsidP="002F4AB7">
      <w:pPr>
        <w:jc w:val="both"/>
        <w:rPr>
          <w:sz w:val="24"/>
          <w:szCs w:val="24"/>
        </w:rPr>
      </w:pPr>
    </w:p>
    <w:p w:rsidR="004A4932" w:rsidRDefault="004A4932" w:rsidP="002F4AB7">
      <w:pPr>
        <w:jc w:val="both"/>
        <w:rPr>
          <w:sz w:val="24"/>
          <w:szCs w:val="24"/>
        </w:rPr>
      </w:pPr>
    </w:p>
    <w:p w:rsidR="004A4932" w:rsidRDefault="004A4932" w:rsidP="002F4AB7">
      <w:pPr>
        <w:jc w:val="both"/>
        <w:rPr>
          <w:sz w:val="24"/>
          <w:szCs w:val="24"/>
        </w:rPr>
      </w:pPr>
    </w:p>
    <w:p w:rsidR="004A4932" w:rsidRDefault="004A4932" w:rsidP="002F4AB7">
      <w:pPr>
        <w:jc w:val="both"/>
        <w:rPr>
          <w:sz w:val="24"/>
          <w:szCs w:val="24"/>
        </w:rPr>
      </w:pPr>
    </w:p>
    <w:p w:rsidR="004A4932" w:rsidRDefault="004A4932" w:rsidP="002F4AB7">
      <w:pPr>
        <w:jc w:val="both"/>
        <w:rPr>
          <w:sz w:val="24"/>
          <w:szCs w:val="24"/>
        </w:rPr>
      </w:pPr>
    </w:p>
    <w:p w:rsidR="004A4932" w:rsidRDefault="004A4932" w:rsidP="002F4AB7">
      <w:pPr>
        <w:jc w:val="both"/>
        <w:rPr>
          <w:sz w:val="24"/>
          <w:szCs w:val="24"/>
        </w:rPr>
      </w:pPr>
    </w:p>
    <w:p w:rsidR="004A4932" w:rsidRDefault="004A4932" w:rsidP="002F4AB7">
      <w:pPr>
        <w:jc w:val="both"/>
        <w:rPr>
          <w:sz w:val="24"/>
          <w:szCs w:val="24"/>
        </w:rPr>
      </w:pPr>
    </w:p>
    <w:p w:rsidR="004A4932" w:rsidRDefault="004A4932" w:rsidP="002F4AB7">
      <w:pPr>
        <w:jc w:val="both"/>
        <w:rPr>
          <w:sz w:val="24"/>
          <w:szCs w:val="24"/>
        </w:rPr>
      </w:pPr>
    </w:p>
    <w:p w:rsidR="004A4932" w:rsidRDefault="004A4932" w:rsidP="002F4AB7">
      <w:pPr>
        <w:jc w:val="both"/>
        <w:rPr>
          <w:sz w:val="24"/>
          <w:szCs w:val="24"/>
        </w:rPr>
      </w:pPr>
    </w:p>
    <w:p w:rsidR="004A4932" w:rsidRDefault="004A4932" w:rsidP="002F4AB7">
      <w:pPr>
        <w:jc w:val="both"/>
        <w:rPr>
          <w:sz w:val="24"/>
          <w:szCs w:val="24"/>
        </w:rPr>
      </w:pPr>
    </w:p>
    <w:tbl>
      <w:tblPr>
        <w:tblStyle w:val="TableGrid"/>
        <w:tblW w:w="0" w:type="auto"/>
        <w:tblLayout w:type="fixed"/>
        <w:tblLook w:val="04A0"/>
      </w:tblPr>
      <w:tblGrid>
        <w:gridCol w:w="2988"/>
        <w:gridCol w:w="1980"/>
        <w:gridCol w:w="2160"/>
        <w:gridCol w:w="1260"/>
      </w:tblGrid>
      <w:tr w:rsidR="005072D8" w:rsidTr="00000877">
        <w:tc>
          <w:tcPr>
            <w:tcW w:w="8388" w:type="dxa"/>
            <w:gridSpan w:val="4"/>
          </w:tcPr>
          <w:p w:rsidR="005072D8" w:rsidRPr="00000877" w:rsidRDefault="00000877" w:rsidP="002F4AB7">
            <w:pPr>
              <w:jc w:val="both"/>
              <w:rPr>
                <w:b/>
                <w:i/>
                <w:sz w:val="24"/>
                <w:szCs w:val="24"/>
              </w:rPr>
            </w:pPr>
            <w:r w:rsidRPr="00000877">
              <w:rPr>
                <w:b/>
                <w:sz w:val="24"/>
                <w:szCs w:val="24"/>
              </w:rPr>
              <w:t>Table 1.</w:t>
            </w:r>
            <w:r w:rsidR="005072D8" w:rsidRPr="00000877">
              <w:rPr>
                <w:b/>
                <w:sz w:val="24"/>
                <w:szCs w:val="24"/>
              </w:rPr>
              <w:t>Comparison between Relaparotomy and Non-relaparotomy group</w:t>
            </w:r>
          </w:p>
        </w:tc>
      </w:tr>
      <w:tr w:rsidR="005072D8" w:rsidTr="00000877">
        <w:tc>
          <w:tcPr>
            <w:tcW w:w="2988" w:type="dxa"/>
          </w:tcPr>
          <w:p w:rsidR="005072D8" w:rsidRDefault="005072D8" w:rsidP="002F4AB7">
            <w:pPr>
              <w:jc w:val="both"/>
            </w:pPr>
          </w:p>
        </w:tc>
        <w:tc>
          <w:tcPr>
            <w:tcW w:w="1980" w:type="dxa"/>
          </w:tcPr>
          <w:p w:rsidR="005072D8" w:rsidRPr="00000877" w:rsidRDefault="005072D8" w:rsidP="002F4AB7">
            <w:pPr>
              <w:jc w:val="both"/>
              <w:rPr>
                <w:b/>
              </w:rPr>
            </w:pPr>
            <w:r w:rsidRPr="00000877">
              <w:rPr>
                <w:b/>
              </w:rPr>
              <w:t>Relaparotomy</w:t>
            </w:r>
          </w:p>
        </w:tc>
        <w:tc>
          <w:tcPr>
            <w:tcW w:w="2160" w:type="dxa"/>
          </w:tcPr>
          <w:p w:rsidR="005072D8" w:rsidRPr="00000877" w:rsidRDefault="005072D8" w:rsidP="002F4AB7">
            <w:pPr>
              <w:jc w:val="both"/>
              <w:rPr>
                <w:b/>
              </w:rPr>
            </w:pPr>
            <w:r w:rsidRPr="00000877">
              <w:rPr>
                <w:b/>
              </w:rPr>
              <w:t>Non-relaparotomy</w:t>
            </w:r>
          </w:p>
        </w:tc>
        <w:tc>
          <w:tcPr>
            <w:tcW w:w="1260" w:type="dxa"/>
          </w:tcPr>
          <w:p w:rsidR="005072D8" w:rsidRPr="00000877" w:rsidRDefault="005072D8" w:rsidP="002F4AB7">
            <w:pPr>
              <w:jc w:val="both"/>
              <w:rPr>
                <w:b/>
                <w:i/>
              </w:rPr>
            </w:pPr>
            <w:r w:rsidRPr="00000877">
              <w:rPr>
                <w:b/>
                <w:i/>
              </w:rPr>
              <w:t>P-value</w:t>
            </w:r>
          </w:p>
        </w:tc>
      </w:tr>
      <w:tr w:rsidR="005072D8" w:rsidTr="00000877">
        <w:tc>
          <w:tcPr>
            <w:tcW w:w="2988" w:type="dxa"/>
          </w:tcPr>
          <w:p w:rsidR="005072D8" w:rsidRDefault="005072D8" w:rsidP="002F4AB7">
            <w:pPr>
              <w:jc w:val="both"/>
            </w:pPr>
            <w:r>
              <w:t>Gender (%)</w:t>
            </w:r>
          </w:p>
        </w:tc>
        <w:tc>
          <w:tcPr>
            <w:tcW w:w="1980" w:type="dxa"/>
          </w:tcPr>
          <w:p w:rsidR="005072D8" w:rsidRDefault="005072D8" w:rsidP="002F4AB7">
            <w:pPr>
              <w:jc w:val="both"/>
            </w:pPr>
          </w:p>
        </w:tc>
        <w:tc>
          <w:tcPr>
            <w:tcW w:w="2160" w:type="dxa"/>
          </w:tcPr>
          <w:p w:rsidR="005072D8" w:rsidRDefault="005072D8" w:rsidP="002F4AB7">
            <w:pPr>
              <w:jc w:val="both"/>
            </w:pPr>
          </w:p>
        </w:tc>
        <w:tc>
          <w:tcPr>
            <w:tcW w:w="1260" w:type="dxa"/>
          </w:tcPr>
          <w:p w:rsidR="005072D8" w:rsidRDefault="005072D8" w:rsidP="002F4AB7">
            <w:pPr>
              <w:jc w:val="both"/>
            </w:pPr>
            <w:r w:rsidRPr="00262337">
              <w:t>0.</w:t>
            </w:r>
            <w:r>
              <w:t>082</w:t>
            </w:r>
          </w:p>
        </w:tc>
      </w:tr>
      <w:tr w:rsidR="005072D8" w:rsidTr="00000877">
        <w:tc>
          <w:tcPr>
            <w:tcW w:w="2988" w:type="dxa"/>
          </w:tcPr>
          <w:p w:rsidR="005072D8" w:rsidRDefault="005072D8" w:rsidP="002F4AB7">
            <w:pPr>
              <w:jc w:val="both"/>
            </w:pPr>
            <w:r>
              <w:t xml:space="preserve">    Male</w:t>
            </w:r>
          </w:p>
        </w:tc>
        <w:tc>
          <w:tcPr>
            <w:tcW w:w="1980" w:type="dxa"/>
          </w:tcPr>
          <w:p w:rsidR="005072D8" w:rsidRDefault="005072D8" w:rsidP="002F4AB7">
            <w:pPr>
              <w:jc w:val="both"/>
            </w:pPr>
            <w:r>
              <w:t xml:space="preserve">60 </w:t>
            </w:r>
            <w:r w:rsidRPr="00262337">
              <w:t xml:space="preserve">% </w:t>
            </w:r>
          </w:p>
        </w:tc>
        <w:tc>
          <w:tcPr>
            <w:tcW w:w="2160" w:type="dxa"/>
          </w:tcPr>
          <w:p w:rsidR="005072D8" w:rsidRDefault="005072D8" w:rsidP="002F4AB7">
            <w:pPr>
              <w:jc w:val="both"/>
            </w:pPr>
            <w:r w:rsidRPr="00262337">
              <w:t xml:space="preserve">74.2% </w:t>
            </w:r>
          </w:p>
        </w:tc>
        <w:tc>
          <w:tcPr>
            <w:tcW w:w="1260" w:type="dxa"/>
          </w:tcPr>
          <w:p w:rsidR="005072D8" w:rsidRDefault="005072D8" w:rsidP="002F4AB7">
            <w:pPr>
              <w:jc w:val="both"/>
            </w:pPr>
          </w:p>
        </w:tc>
      </w:tr>
      <w:tr w:rsidR="005072D8" w:rsidTr="00000877">
        <w:tc>
          <w:tcPr>
            <w:tcW w:w="2988" w:type="dxa"/>
          </w:tcPr>
          <w:p w:rsidR="005072D8" w:rsidRDefault="005072D8" w:rsidP="002F4AB7">
            <w:pPr>
              <w:jc w:val="both"/>
            </w:pPr>
            <w:r>
              <w:t xml:space="preserve">    Female</w:t>
            </w:r>
          </w:p>
        </w:tc>
        <w:tc>
          <w:tcPr>
            <w:tcW w:w="1980" w:type="dxa"/>
          </w:tcPr>
          <w:p w:rsidR="005072D8" w:rsidRDefault="005072D8" w:rsidP="002F4AB7">
            <w:pPr>
              <w:jc w:val="both"/>
            </w:pPr>
            <w:r>
              <w:t xml:space="preserve">40 </w:t>
            </w:r>
            <w:r w:rsidRPr="00262337">
              <w:t xml:space="preserve">% </w:t>
            </w:r>
          </w:p>
        </w:tc>
        <w:tc>
          <w:tcPr>
            <w:tcW w:w="2160" w:type="dxa"/>
          </w:tcPr>
          <w:p w:rsidR="005072D8" w:rsidRDefault="005072D8" w:rsidP="002F4AB7">
            <w:pPr>
              <w:jc w:val="both"/>
            </w:pPr>
            <w:r w:rsidRPr="00262337">
              <w:t xml:space="preserve">25.8% </w:t>
            </w:r>
          </w:p>
        </w:tc>
        <w:tc>
          <w:tcPr>
            <w:tcW w:w="1260" w:type="dxa"/>
          </w:tcPr>
          <w:p w:rsidR="005072D8" w:rsidRDefault="005072D8" w:rsidP="002F4AB7">
            <w:pPr>
              <w:jc w:val="both"/>
            </w:pPr>
          </w:p>
        </w:tc>
      </w:tr>
      <w:tr w:rsidR="005072D8" w:rsidTr="00000877">
        <w:tc>
          <w:tcPr>
            <w:tcW w:w="2988" w:type="dxa"/>
          </w:tcPr>
          <w:p w:rsidR="005072D8" w:rsidRDefault="005072D8" w:rsidP="002F4AB7">
            <w:pPr>
              <w:jc w:val="both"/>
            </w:pPr>
            <w:r>
              <w:t>Age(yrs) Median</w:t>
            </w:r>
          </w:p>
        </w:tc>
        <w:tc>
          <w:tcPr>
            <w:tcW w:w="1980" w:type="dxa"/>
          </w:tcPr>
          <w:p w:rsidR="005072D8" w:rsidRDefault="005072D8" w:rsidP="002F4AB7">
            <w:pPr>
              <w:jc w:val="both"/>
            </w:pPr>
            <w:r>
              <w:t>26</w:t>
            </w:r>
          </w:p>
        </w:tc>
        <w:tc>
          <w:tcPr>
            <w:tcW w:w="2160" w:type="dxa"/>
          </w:tcPr>
          <w:p w:rsidR="005072D8" w:rsidRDefault="005072D8" w:rsidP="002F4AB7">
            <w:pPr>
              <w:jc w:val="both"/>
            </w:pPr>
            <w:r>
              <w:t>25</w:t>
            </w:r>
          </w:p>
        </w:tc>
        <w:tc>
          <w:tcPr>
            <w:tcW w:w="1260" w:type="dxa"/>
          </w:tcPr>
          <w:p w:rsidR="005072D8" w:rsidRDefault="005072D8" w:rsidP="002F4AB7">
            <w:pPr>
              <w:jc w:val="both"/>
            </w:pPr>
            <w:r>
              <w:t>0.062</w:t>
            </w:r>
          </w:p>
        </w:tc>
      </w:tr>
      <w:tr w:rsidR="005072D8" w:rsidTr="00000877">
        <w:tc>
          <w:tcPr>
            <w:tcW w:w="2988" w:type="dxa"/>
          </w:tcPr>
          <w:p w:rsidR="005072D8" w:rsidRDefault="005072D8" w:rsidP="002F4AB7">
            <w:pPr>
              <w:jc w:val="both"/>
            </w:pPr>
            <w:r w:rsidRPr="00471D6A">
              <w:t>Place of Referral</w:t>
            </w:r>
          </w:p>
        </w:tc>
        <w:tc>
          <w:tcPr>
            <w:tcW w:w="1980" w:type="dxa"/>
          </w:tcPr>
          <w:p w:rsidR="005072D8" w:rsidRDefault="005072D8" w:rsidP="002F4AB7">
            <w:pPr>
              <w:jc w:val="both"/>
            </w:pPr>
          </w:p>
        </w:tc>
        <w:tc>
          <w:tcPr>
            <w:tcW w:w="2160" w:type="dxa"/>
          </w:tcPr>
          <w:p w:rsidR="005072D8" w:rsidRDefault="005072D8" w:rsidP="002F4AB7">
            <w:pPr>
              <w:jc w:val="both"/>
            </w:pPr>
          </w:p>
        </w:tc>
        <w:tc>
          <w:tcPr>
            <w:tcW w:w="1260" w:type="dxa"/>
          </w:tcPr>
          <w:p w:rsidR="005072D8" w:rsidRDefault="005072D8" w:rsidP="002F4AB7">
            <w:pPr>
              <w:jc w:val="both"/>
            </w:pPr>
            <w:r>
              <w:t>0.007</w:t>
            </w:r>
          </w:p>
        </w:tc>
      </w:tr>
      <w:tr w:rsidR="005072D8" w:rsidTr="00000877">
        <w:tc>
          <w:tcPr>
            <w:tcW w:w="2988" w:type="dxa"/>
          </w:tcPr>
          <w:p w:rsidR="005072D8" w:rsidRDefault="005072D8" w:rsidP="002F4AB7">
            <w:pPr>
              <w:jc w:val="both"/>
            </w:pPr>
            <w:r>
              <w:t xml:space="preserve">   From </w:t>
            </w:r>
            <w:r w:rsidRPr="00471D6A">
              <w:t>Addis Ababa</w:t>
            </w:r>
          </w:p>
        </w:tc>
        <w:tc>
          <w:tcPr>
            <w:tcW w:w="1980" w:type="dxa"/>
          </w:tcPr>
          <w:p w:rsidR="005072D8" w:rsidRDefault="005072D8" w:rsidP="002F4AB7">
            <w:pPr>
              <w:jc w:val="both"/>
            </w:pPr>
            <w:r>
              <w:t>67.5%</w:t>
            </w:r>
          </w:p>
        </w:tc>
        <w:tc>
          <w:tcPr>
            <w:tcW w:w="2160" w:type="dxa"/>
          </w:tcPr>
          <w:p w:rsidR="005072D8" w:rsidRDefault="005072D8" w:rsidP="002F4AB7">
            <w:pPr>
              <w:jc w:val="both"/>
            </w:pPr>
            <w:r>
              <w:t>86.4%</w:t>
            </w:r>
          </w:p>
        </w:tc>
        <w:tc>
          <w:tcPr>
            <w:tcW w:w="1260" w:type="dxa"/>
          </w:tcPr>
          <w:p w:rsidR="005072D8" w:rsidRDefault="005072D8" w:rsidP="002F4AB7">
            <w:pPr>
              <w:jc w:val="both"/>
            </w:pPr>
          </w:p>
        </w:tc>
      </w:tr>
      <w:tr w:rsidR="005072D8" w:rsidTr="00000877">
        <w:tc>
          <w:tcPr>
            <w:tcW w:w="2988" w:type="dxa"/>
          </w:tcPr>
          <w:p w:rsidR="005072D8" w:rsidRDefault="005072D8" w:rsidP="002F4AB7">
            <w:pPr>
              <w:jc w:val="both"/>
            </w:pPr>
            <w:r>
              <w:t xml:space="preserve">   </w:t>
            </w:r>
            <w:r w:rsidRPr="00471D6A">
              <w:t xml:space="preserve">From Rural Center </w:t>
            </w:r>
          </w:p>
        </w:tc>
        <w:tc>
          <w:tcPr>
            <w:tcW w:w="1980" w:type="dxa"/>
          </w:tcPr>
          <w:p w:rsidR="005072D8" w:rsidRDefault="005072D8" w:rsidP="002F4AB7">
            <w:pPr>
              <w:jc w:val="both"/>
            </w:pPr>
            <w:r>
              <w:t>32.5%</w:t>
            </w:r>
          </w:p>
        </w:tc>
        <w:tc>
          <w:tcPr>
            <w:tcW w:w="2160" w:type="dxa"/>
          </w:tcPr>
          <w:p w:rsidR="005072D8" w:rsidRDefault="005072D8" w:rsidP="002F4AB7">
            <w:pPr>
              <w:jc w:val="both"/>
            </w:pPr>
            <w:r>
              <w:t>13.6%</w:t>
            </w:r>
          </w:p>
        </w:tc>
        <w:tc>
          <w:tcPr>
            <w:tcW w:w="1260" w:type="dxa"/>
          </w:tcPr>
          <w:p w:rsidR="005072D8" w:rsidRDefault="005072D8" w:rsidP="002F4AB7">
            <w:pPr>
              <w:jc w:val="both"/>
            </w:pPr>
          </w:p>
        </w:tc>
      </w:tr>
      <w:tr w:rsidR="005072D8" w:rsidTr="00000877">
        <w:tc>
          <w:tcPr>
            <w:tcW w:w="2988" w:type="dxa"/>
          </w:tcPr>
          <w:p w:rsidR="005072D8" w:rsidRDefault="005072D8" w:rsidP="002F4AB7">
            <w:pPr>
              <w:jc w:val="both"/>
            </w:pPr>
            <w:r>
              <w:t>Comorbidities</w:t>
            </w:r>
          </w:p>
        </w:tc>
        <w:tc>
          <w:tcPr>
            <w:tcW w:w="1980" w:type="dxa"/>
          </w:tcPr>
          <w:p w:rsidR="005072D8" w:rsidRDefault="005072D8" w:rsidP="002F4AB7">
            <w:pPr>
              <w:jc w:val="both"/>
            </w:pPr>
          </w:p>
        </w:tc>
        <w:tc>
          <w:tcPr>
            <w:tcW w:w="2160" w:type="dxa"/>
          </w:tcPr>
          <w:p w:rsidR="005072D8" w:rsidRDefault="005072D8" w:rsidP="002F4AB7">
            <w:pPr>
              <w:jc w:val="both"/>
            </w:pPr>
          </w:p>
        </w:tc>
        <w:tc>
          <w:tcPr>
            <w:tcW w:w="1260" w:type="dxa"/>
          </w:tcPr>
          <w:p w:rsidR="005072D8" w:rsidRDefault="005072D8" w:rsidP="002F4AB7">
            <w:pPr>
              <w:jc w:val="both"/>
            </w:pPr>
          </w:p>
        </w:tc>
      </w:tr>
      <w:tr w:rsidR="005072D8" w:rsidTr="00000877">
        <w:tc>
          <w:tcPr>
            <w:tcW w:w="2988" w:type="dxa"/>
          </w:tcPr>
          <w:p w:rsidR="005072D8" w:rsidRDefault="005072D8" w:rsidP="002F4AB7">
            <w:pPr>
              <w:jc w:val="both"/>
            </w:pPr>
            <w:r>
              <w:t xml:space="preserve">   Hypertension</w:t>
            </w:r>
          </w:p>
        </w:tc>
        <w:tc>
          <w:tcPr>
            <w:tcW w:w="1980" w:type="dxa"/>
          </w:tcPr>
          <w:p w:rsidR="005072D8" w:rsidRDefault="005072D8" w:rsidP="002F4AB7">
            <w:pPr>
              <w:jc w:val="both"/>
            </w:pPr>
            <w:r>
              <w:t>5 %</w:t>
            </w:r>
          </w:p>
        </w:tc>
        <w:tc>
          <w:tcPr>
            <w:tcW w:w="2160" w:type="dxa"/>
          </w:tcPr>
          <w:p w:rsidR="005072D8" w:rsidRDefault="005072D8" w:rsidP="002F4AB7">
            <w:pPr>
              <w:jc w:val="both"/>
            </w:pPr>
            <w:r>
              <w:t>3.8%</w:t>
            </w:r>
          </w:p>
        </w:tc>
        <w:tc>
          <w:tcPr>
            <w:tcW w:w="1260" w:type="dxa"/>
          </w:tcPr>
          <w:p w:rsidR="005072D8" w:rsidRDefault="005072D8" w:rsidP="002F4AB7">
            <w:pPr>
              <w:jc w:val="both"/>
            </w:pPr>
            <w:r>
              <w:t>0.734</w:t>
            </w:r>
          </w:p>
        </w:tc>
      </w:tr>
      <w:tr w:rsidR="005072D8" w:rsidTr="00000877">
        <w:tc>
          <w:tcPr>
            <w:tcW w:w="2988" w:type="dxa"/>
          </w:tcPr>
          <w:p w:rsidR="005072D8" w:rsidRDefault="005072D8" w:rsidP="002F4AB7">
            <w:pPr>
              <w:jc w:val="both"/>
            </w:pPr>
            <w:r>
              <w:t xml:space="preserve">   Diabetes</w:t>
            </w:r>
          </w:p>
        </w:tc>
        <w:tc>
          <w:tcPr>
            <w:tcW w:w="1980" w:type="dxa"/>
          </w:tcPr>
          <w:p w:rsidR="005072D8" w:rsidRDefault="005072D8" w:rsidP="002F4AB7">
            <w:pPr>
              <w:jc w:val="both"/>
            </w:pPr>
            <w:r>
              <w:t>5 %</w:t>
            </w:r>
          </w:p>
        </w:tc>
        <w:tc>
          <w:tcPr>
            <w:tcW w:w="2160" w:type="dxa"/>
          </w:tcPr>
          <w:p w:rsidR="005072D8" w:rsidRDefault="005072D8" w:rsidP="002F4AB7">
            <w:pPr>
              <w:jc w:val="both"/>
            </w:pPr>
            <w:r>
              <w:t>0.8 %</w:t>
            </w:r>
          </w:p>
        </w:tc>
        <w:tc>
          <w:tcPr>
            <w:tcW w:w="1260" w:type="dxa"/>
          </w:tcPr>
          <w:p w:rsidR="005072D8" w:rsidRDefault="005072D8" w:rsidP="002F4AB7">
            <w:pPr>
              <w:jc w:val="both"/>
            </w:pPr>
            <w:r>
              <w:t>0.073</w:t>
            </w:r>
          </w:p>
        </w:tc>
      </w:tr>
      <w:tr w:rsidR="005072D8" w:rsidTr="00000877">
        <w:tc>
          <w:tcPr>
            <w:tcW w:w="2988" w:type="dxa"/>
          </w:tcPr>
          <w:p w:rsidR="005072D8" w:rsidRDefault="005072D8" w:rsidP="002F4AB7">
            <w:pPr>
              <w:jc w:val="both"/>
            </w:pPr>
            <w:r>
              <w:t xml:space="preserve">   HIV</w:t>
            </w:r>
          </w:p>
        </w:tc>
        <w:tc>
          <w:tcPr>
            <w:tcW w:w="1980" w:type="dxa"/>
          </w:tcPr>
          <w:p w:rsidR="005072D8" w:rsidRDefault="005072D8" w:rsidP="002F4AB7">
            <w:pPr>
              <w:jc w:val="both"/>
            </w:pPr>
            <w:r>
              <w:t>2.5 %</w:t>
            </w:r>
          </w:p>
        </w:tc>
        <w:tc>
          <w:tcPr>
            <w:tcW w:w="2160" w:type="dxa"/>
          </w:tcPr>
          <w:p w:rsidR="005072D8" w:rsidRDefault="005072D8" w:rsidP="002F4AB7">
            <w:pPr>
              <w:jc w:val="both"/>
            </w:pPr>
            <w:r>
              <w:t>2.3%</w:t>
            </w:r>
          </w:p>
        </w:tc>
        <w:tc>
          <w:tcPr>
            <w:tcW w:w="1260" w:type="dxa"/>
          </w:tcPr>
          <w:p w:rsidR="005072D8" w:rsidRDefault="005072D8" w:rsidP="002F4AB7">
            <w:pPr>
              <w:jc w:val="both"/>
            </w:pPr>
            <w:r>
              <w:t>0.933</w:t>
            </w:r>
          </w:p>
        </w:tc>
      </w:tr>
      <w:tr w:rsidR="005072D8" w:rsidTr="00000877">
        <w:tc>
          <w:tcPr>
            <w:tcW w:w="2988" w:type="dxa"/>
          </w:tcPr>
          <w:p w:rsidR="005072D8" w:rsidRPr="001511AC" w:rsidRDefault="005072D8" w:rsidP="002F4AB7">
            <w:pPr>
              <w:jc w:val="both"/>
            </w:pPr>
            <w:r>
              <w:t>Duration of illness(hrs) Mean</w:t>
            </w:r>
          </w:p>
        </w:tc>
        <w:tc>
          <w:tcPr>
            <w:tcW w:w="1980" w:type="dxa"/>
          </w:tcPr>
          <w:p w:rsidR="005072D8" w:rsidRDefault="005072D8" w:rsidP="002F4AB7">
            <w:pPr>
              <w:jc w:val="both"/>
            </w:pPr>
            <w:r>
              <w:t xml:space="preserve">65.7 </w:t>
            </w:r>
          </w:p>
        </w:tc>
        <w:tc>
          <w:tcPr>
            <w:tcW w:w="2160" w:type="dxa"/>
          </w:tcPr>
          <w:p w:rsidR="005072D8" w:rsidRDefault="005072D8" w:rsidP="002F4AB7">
            <w:pPr>
              <w:jc w:val="both"/>
            </w:pPr>
            <w:r>
              <w:t>107.8</w:t>
            </w:r>
          </w:p>
        </w:tc>
        <w:tc>
          <w:tcPr>
            <w:tcW w:w="1260" w:type="dxa"/>
          </w:tcPr>
          <w:p w:rsidR="005072D8" w:rsidRDefault="005072D8" w:rsidP="002F4AB7">
            <w:pPr>
              <w:jc w:val="both"/>
            </w:pPr>
            <w:r>
              <w:t>&lt;0.001</w:t>
            </w:r>
          </w:p>
        </w:tc>
      </w:tr>
      <w:tr w:rsidR="005072D8" w:rsidTr="00000877">
        <w:tc>
          <w:tcPr>
            <w:tcW w:w="2988" w:type="dxa"/>
          </w:tcPr>
          <w:p w:rsidR="005072D8" w:rsidRDefault="005072D8" w:rsidP="002F4AB7">
            <w:pPr>
              <w:jc w:val="both"/>
            </w:pPr>
            <w:r w:rsidRPr="001511AC">
              <w:t>Antibiotic treatment before Surgery</w:t>
            </w:r>
          </w:p>
        </w:tc>
        <w:tc>
          <w:tcPr>
            <w:tcW w:w="1980" w:type="dxa"/>
          </w:tcPr>
          <w:p w:rsidR="005072D8" w:rsidRDefault="005072D8" w:rsidP="002F4AB7">
            <w:pPr>
              <w:jc w:val="both"/>
            </w:pPr>
            <w:r>
              <w:t>22.5%0</w:t>
            </w:r>
          </w:p>
        </w:tc>
        <w:tc>
          <w:tcPr>
            <w:tcW w:w="2160" w:type="dxa"/>
          </w:tcPr>
          <w:p w:rsidR="005072D8" w:rsidRDefault="005072D8" w:rsidP="002F4AB7">
            <w:pPr>
              <w:jc w:val="both"/>
            </w:pPr>
            <w:r>
              <w:t>16.7%</w:t>
            </w:r>
          </w:p>
        </w:tc>
        <w:tc>
          <w:tcPr>
            <w:tcW w:w="1260" w:type="dxa"/>
          </w:tcPr>
          <w:p w:rsidR="005072D8" w:rsidRDefault="005072D8" w:rsidP="002F4AB7">
            <w:pPr>
              <w:jc w:val="both"/>
            </w:pPr>
            <w:r>
              <w:t>0.400</w:t>
            </w:r>
          </w:p>
        </w:tc>
      </w:tr>
      <w:tr w:rsidR="005072D8" w:rsidTr="00000877">
        <w:tc>
          <w:tcPr>
            <w:tcW w:w="2988" w:type="dxa"/>
          </w:tcPr>
          <w:p w:rsidR="005072D8" w:rsidRDefault="005072D8" w:rsidP="002F4AB7">
            <w:pPr>
              <w:jc w:val="both"/>
            </w:pPr>
            <w:r w:rsidRPr="00292D7B">
              <w:t>Preop Systolic B</w:t>
            </w:r>
            <w:r>
              <w:t>P, Mean</w:t>
            </w:r>
          </w:p>
        </w:tc>
        <w:tc>
          <w:tcPr>
            <w:tcW w:w="1980" w:type="dxa"/>
          </w:tcPr>
          <w:p w:rsidR="005072D8" w:rsidRDefault="005072D8" w:rsidP="002F4AB7">
            <w:pPr>
              <w:jc w:val="both"/>
            </w:pPr>
            <w:r>
              <w:t>104.4</w:t>
            </w:r>
          </w:p>
        </w:tc>
        <w:tc>
          <w:tcPr>
            <w:tcW w:w="2160" w:type="dxa"/>
          </w:tcPr>
          <w:p w:rsidR="005072D8" w:rsidRDefault="005072D8" w:rsidP="002F4AB7">
            <w:pPr>
              <w:jc w:val="both"/>
            </w:pPr>
            <w:r>
              <w:t>112.2</w:t>
            </w:r>
          </w:p>
        </w:tc>
        <w:tc>
          <w:tcPr>
            <w:tcW w:w="1260" w:type="dxa"/>
          </w:tcPr>
          <w:p w:rsidR="005072D8" w:rsidRDefault="005072D8" w:rsidP="002F4AB7">
            <w:pPr>
              <w:jc w:val="both"/>
            </w:pPr>
            <w:r>
              <w:t>0.005</w:t>
            </w:r>
          </w:p>
        </w:tc>
      </w:tr>
      <w:tr w:rsidR="005072D8" w:rsidTr="00000877">
        <w:tc>
          <w:tcPr>
            <w:tcW w:w="2988" w:type="dxa"/>
          </w:tcPr>
          <w:p w:rsidR="005072D8" w:rsidRDefault="005072D8" w:rsidP="002F4AB7">
            <w:pPr>
              <w:jc w:val="both"/>
            </w:pPr>
            <w:r w:rsidRPr="00292D7B">
              <w:t>Preop Diastolic B</w:t>
            </w:r>
            <w:r>
              <w:t>P, Mean</w:t>
            </w:r>
          </w:p>
        </w:tc>
        <w:tc>
          <w:tcPr>
            <w:tcW w:w="1980" w:type="dxa"/>
          </w:tcPr>
          <w:p w:rsidR="005072D8" w:rsidRDefault="005072D8" w:rsidP="002F4AB7">
            <w:pPr>
              <w:jc w:val="both"/>
            </w:pPr>
            <w:r>
              <w:t>66.5</w:t>
            </w:r>
          </w:p>
        </w:tc>
        <w:tc>
          <w:tcPr>
            <w:tcW w:w="2160" w:type="dxa"/>
          </w:tcPr>
          <w:p w:rsidR="005072D8" w:rsidRDefault="005072D8" w:rsidP="002F4AB7">
            <w:pPr>
              <w:jc w:val="both"/>
            </w:pPr>
            <w:r>
              <w:t>68.6</w:t>
            </w:r>
          </w:p>
        </w:tc>
        <w:tc>
          <w:tcPr>
            <w:tcW w:w="1260" w:type="dxa"/>
          </w:tcPr>
          <w:p w:rsidR="005072D8" w:rsidRDefault="005072D8" w:rsidP="002F4AB7">
            <w:pPr>
              <w:jc w:val="both"/>
            </w:pPr>
            <w:r>
              <w:t>0.277</w:t>
            </w:r>
          </w:p>
        </w:tc>
      </w:tr>
      <w:tr w:rsidR="005072D8" w:rsidTr="00000877">
        <w:tc>
          <w:tcPr>
            <w:tcW w:w="2988" w:type="dxa"/>
          </w:tcPr>
          <w:p w:rsidR="005072D8" w:rsidRDefault="005072D8" w:rsidP="002F4AB7">
            <w:pPr>
              <w:jc w:val="both"/>
            </w:pPr>
            <w:r w:rsidRPr="00292D7B">
              <w:t>Preop</w:t>
            </w:r>
            <w:r>
              <w:t xml:space="preserve"> Heart rate, Mean </w:t>
            </w:r>
          </w:p>
        </w:tc>
        <w:tc>
          <w:tcPr>
            <w:tcW w:w="1980" w:type="dxa"/>
          </w:tcPr>
          <w:p w:rsidR="005072D8" w:rsidRDefault="005072D8" w:rsidP="002F4AB7">
            <w:pPr>
              <w:jc w:val="both"/>
            </w:pPr>
            <w:r>
              <w:t>114.2</w:t>
            </w:r>
          </w:p>
        </w:tc>
        <w:tc>
          <w:tcPr>
            <w:tcW w:w="2160" w:type="dxa"/>
          </w:tcPr>
          <w:p w:rsidR="005072D8" w:rsidRDefault="005072D8" w:rsidP="002F4AB7">
            <w:pPr>
              <w:jc w:val="both"/>
            </w:pPr>
            <w:r>
              <w:t>109.3</w:t>
            </w:r>
          </w:p>
        </w:tc>
        <w:tc>
          <w:tcPr>
            <w:tcW w:w="1260" w:type="dxa"/>
          </w:tcPr>
          <w:p w:rsidR="005072D8" w:rsidRDefault="005072D8" w:rsidP="002F4AB7">
            <w:pPr>
              <w:jc w:val="both"/>
            </w:pPr>
            <w:r>
              <w:t>0.092</w:t>
            </w:r>
          </w:p>
        </w:tc>
      </w:tr>
      <w:tr w:rsidR="005072D8" w:rsidTr="00000877">
        <w:tc>
          <w:tcPr>
            <w:tcW w:w="2988" w:type="dxa"/>
          </w:tcPr>
          <w:p w:rsidR="005072D8" w:rsidRDefault="005072D8" w:rsidP="002F4AB7">
            <w:pPr>
              <w:jc w:val="both"/>
            </w:pPr>
            <w:r>
              <w:t>Investigation</w:t>
            </w:r>
          </w:p>
        </w:tc>
        <w:tc>
          <w:tcPr>
            <w:tcW w:w="1980" w:type="dxa"/>
          </w:tcPr>
          <w:p w:rsidR="005072D8" w:rsidRDefault="005072D8" w:rsidP="002F4AB7">
            <w:pPr>
              <w:jc w:val="both"/>
            </w:pPr>
          </w:p>
        </w:tc>
        <w:tc>
          <w:tcPr>
            <w:tcW w:w="2160" w:type="dxa"/>
          </w:tcPr>
          <w:p w:rsidR="005072D8" w:rsidRDefault="005072D8" w:rsidP="002F4AB7">
            <w:pPr>
              <w:jc w:val="both"/>
            </w:pPr>
          </w:p>
        </w:tc>
        <w:tc>
          <w:tcPr>
            <w:tcW w:w="1260" w:type="dxa"/>
          </w:tcPr>
          <w:p w:rsidR="005072D8" w:rsidRDefault="005072D8" w:rsidP="002F4AB7">
            <w:pPr>
              <w:jc w:val="both"/>
            </w:pPr>
          </w:p>
        </w:tc>
      </w:tr>
      <w:tr w:rsidR="005072D8" w:rsidTr="00000877">
        <w:tc>
          <w:tcPr>
            <w:tcW w:w="2988" w:type="dxa"/>
          </w:tcPr>
          <w:p w:rsidR="005072D8" w:rsidRDefault="005072D8" w:rsidP="002F4AB7">
            <w:pPr>
              <w:jc w:val="both"/>
            </w:pPr>
            <w:r>
              <w:t xml:space="preserve">   WBC</w:t>
            </w:r>
            <w:r w:rsidRPr="00837360">
              <w:t xml:space="preserve"> Count</w:t>
            </w:r>
            <w:r>
              <w:t>, Mean</w:t>
            </w:r>
          </w:p>
        </w:tc>
        <w:tc>
          <w:tcPr>
            <w:tcW w:w="1980" w:type="dxa"/>
          </w:tcPr>
          <w:p w:rsidR="005072D8" w:rsidRDefault="005072D8" w:rsidP="002F4AB7">
            <w:pPr>
              <w:jc w:val="both"/>
            </w:pPr>
            <w:r>
              <w:t>13474.25</w:t>
            </w:r>
          </w:p>
        </w:tc>
        <w:tc>
          <w:tcPr>
            <w:tcW w:w="2160" w:type="dxa"/>
          </w:tcPr>
          <w:p w:rsidR="005072D8" w:rsidRDefault="005072D8" w:rsidP="002F4AB7">
            <w:pPr>
              <w:jc w:val="both"/>
            </w:pPr>
            <w:r>
              <w:t>13582.65</w:t>
            </w:r>
          </w:p>
        </w:tc>
        <w:tc>
          <w:tcPr>
            <w:tcW w:w="1260" w:type="dxa"/>
          </w:tcPr>
          <w:p w:rsidR="005072D8" w:rsidRDefault="005072D8" w:rsidP="002F4AB7">
            <w:pPr>
              <w:jc w:val="both"/>
            </w:pPr>
            <w:r>
              <w:t>0.922</w:t>
            </w:r>
          </w:p>
        </w:tc>
      </w:tr>
      <w:tr w:rsidR="005072D8" w:rsidTr="00000877">
        <w:tc>
          <w:tcPr>
            <w:tcW w:w="2988" w:type="dxa"/>
          </w:tcPr>
          <w:p w:rsidR="005072D8" w:rsidRDefault="005072D8" w:rsidP="002F4AB7">
            <w:pPr>
              <w:jc w:val="both"/>
            </w:pPr>
            <w:r>
              <w:t xml:space="preserve">   </w:t>
            </w:r>
            <w:r w:rsidRPr="00395A52">
              <w:t>Hemoglobin Level</w:t>
            </w:r>
            <w:r>
              <w:t>, Mean</w:t>
            </w:r>
          </w:p>
        </w:tc>
        <w:tc>
          <w:tcPr>
            <w:tcW w:w="1980" w:type="dxa"/>
          </w:tcPr>
          <w:p w:rsidR="005072D8" w:rsidRDefault="005072D8" w:rsidP="002F4AB7">
            <w:pPr>
              <w:jc w:val="both"/>
            </w:pPr>
            <w:r>
              <w:t>14.13</w:t>
            </w:r>
          </w:p>
        </w:tc>
        <w:tc>
          <w:tcPr>
            <w:tcW w:w="2160" w:type="dxa"/>
          </w:tcPr>
          <w:p w:rsidR="005072D8" w:rsidRDefault="005072D8" w:rsidP="002F4AB7">
            <w:pPr>
              <w:jc w:val="both"/>
            </w:pPr>
            <w:r>
              <w:t>14.9</w:t>
            </w:r>
          </w:p>
        </w:tc>
        <w:tc>
          <w:tcPr>
            <w:tcW w:w="1260" w:type="dxa"/>
          </w:tcPr>
          <w:p w:rsidR="005072D8" w:rsidRDefault="005072D8" w:rsidP="002F4AB7">
            <w:pPr>
              <w:jc w:val="both"/>
            </w:pPr>
            <w:r>
              <w:t>0.101</w:t>
            </w:r>
          </w:p>
        </w:tc>
      </w:tr>
      <w:tr w:rsidR="005072D8" w:rsidTr="00000877">
        <w:tc>
          <w:tcPr>
            <w:tcW w:w="2988" w:type="dxa"/>
          </w:tcPr>
          <w:p w:rsidR="005072D8" w:rsidRDefault="005072D8" w:rsidP="002F4AB7">
            <w:pPr>
              <w:jc w:val="both"/>
            </w:pPr>
            <w:r>
              <w:t xml:space="preserve">   </w:t>
            </w:r>
            <w:r w:rsidRPr="00395A52">
              <w:t>Platelet Count</w:t>
            </w:r>
            <w:r>
              <w:t>, Mean</w:t>
            </w:r>
          </w:p>
        </w:tc>
        <w:tc>
          <w:tcPr>
            <w:tcW w:w="1980" w:type="dxa"/>
          </w:tcPr>
          <w:p w:rsidR="005072D8" w:rsidRDefault="005072D8" w:rsidP="002F4AB7">
            <w:pPr>
              <w:jc w:val="both"/>
            </w:pPr>
            <w:r>
              <w:t>299700</w:t>
            </w:r>
          </w:p>
        </w:tc>
        <w:tc>
          <w:tcPr>
            <w:tcW w:w="2160" w:type="dxa"/>
          </w:tcPr>
          <w:p w:rsidR="005072D8" w:rsidRDefault="005072D8" w:rsidP="002F4AB7">
            <w:pPr>
              <w:jc w:val="both"/>
            </w:pPr>
            <w:r>
              <w:t>291523</w:t>
            </w:r>
          </w:p>
        </w:tc>
        <w:tc>
          <w:tcPr>
            <w:tcW w:w="1260" w:type="dxa"/>
          </w:tcPr>
          <w:p w:rsidR="005072D8" w:rsidRDefault="005072D8" w:rsidP="002F4AB7">
            <w:pPr>
              <w:jc w:val="both"/>
            </w:pPr>
            <w:r>
              <w:t>0.742</w:t>
            </w:r>
          </w:p>
        </w:tc>
      </w:tr>
      <w:tr w:rsidR="005072D8" w:rsidTr="00000877">
        <w:tc>
          <w:tcPr>
            <w:tcW w:w="2988" w:type="dxa"/>
          </w:tcPr>
          <w:p w:rsidR="005072D8" w:rsidRDefault="005072D8" w:rsidP="002F4AB7">
            <w:pPr>
              <w:jc w:val="both"/>
            </w:pPr>
            <w:r w:rsidRPr="00395A52">
              <w:t>Presence Of Ischemic bowel</w:t>
            </w:r>
          </w:p>
        </w:tc>
        <w:tc>
          <w:tcPr>
            <w:tcW w:w="1980" w:type="dxa"/>
          </w:tcPr>
          <w:p w:rsidR="005072D8" w:rsidRDefault="005072D8" w:rsidP="002F4AB7">
            <w:pPr>
              <w:jc w:val="both"/>
            </w:pPr>
            <w:r>
              <w:t>10 %</w:t>
            </w:r>
          </w:p>
        </w:tc>
        <w:tc>
          <w:tcPr>
            <w:tcW w:w="2160" w:type="dxa"/>
          </w:tcPr>
          <w:p w:rsidR="005072D8" w:rsidRDefault="005072D8" w:rsidP="002F4AB7">
            <w:pPr>
              <w:jc w:val="both"/>
            </w:pPr>
            <w:r>
              <w:t>3%</w:t>
            </w:r>
          </w:p>
        </w:tc>
        <w:tc>
          <w:tcPr>
            <w:tcW w:w="1260" w:type="dxa"/>
          </w:tcPr>
          <w:p w:rsidR="005072D8" w:rsidRDefault="005072D8" w:rsidP="002F4AB7">
            <w:pPr>
              <w:jc w:val="both"/>
            </w:pPr>
            <w:r>
              <w:t>0.067</w:t>
            </w:r>
          </w:p>
        </w:tc>
      </w:tr>
      <w:tr w:rsidR="005072D8" w:rsidTr="00000877">
        <w:tc>
          <w:tcPr>
            <w:tcW w:w="2988" w:type="dxa"/>
          </w:tcPr>
          <w:p w:rsidR="005072D8" w:rsidRDefault="005072D8" w:rsidP="002F4AB7">
            <w:pPr>
              <w:jc w:val="both"/>
            </w:pPr>
            <w:r>
              <w:t xml:space="preserve">Use </w:t>
            </w:r>
            <w:r w:rsidRPr="00784F47">
              <w:t>of Inotropic</w:t>
            </w:r>
            <w:r>
              <w:t xml:space="preserve"> </w:t>
            </w:r>
            <w:r w:rsidRPr="00784F47">
              <w:t>/Vasopressive Agents</w:t>
            </w:r>
          </w:p>
        </w:tc>
        <w:tc>
          <w:tcPr>
            <w:tcW w:w="1980" w:type="dxa"/>
          </w:tcPr>
          <w:p w:rsidR="005072D8" w:rsidRDefault="005072D8" w:rsidP="002F4AB7">
            <w:pPr>
              <w:jc w:val="both"/>
            </w:pPr>
            <w:r>
              <w:t>0 %</w:t>
            </w:r>
          </w:p>
        </w:tc>
        <w:tc>
          <w:tcPr>
            <w:tcW w:w="2160" w:type="dxa"/>
          </w:tcPr>
          <w:p w:rsidR="005072D8" w:rsidRDefault="005072D8" w:rsidP="002F4AB7">
            <w:pPr>
              <w:jc w:val="both"/>
            </w:pPr>
            <w:r>
              <w:t>3%</w:t>
            </w:r>
          </w:p>
        </w:tc>
        <w:tc>
          <w:tcPr>
            <w:tcW w:w="1260" w:type="dxa"/>
          </w:tcPr>
          <w:p w:rsidR="005072D8" w:rsidRDefault="005072D8" w:rsidP="002F4AB7">
            <w:pPr>
              <w:jc w:val="both"/>
            </w:pPr>
            <w:r>
              <w:t>0.265</w:t>
            </w:r>
          </w:p>
        </w:tc>
      </w:tr>
      <w:tr w:rsidR="005072D8" w:rsidTr="00000877">
        <w:tc>
          <w:tcPr>
            <w:tcW w:w="2988" w:type="dxa"/>
          </w:tcPr>
          <w:p w:rsidR="005072D8" w:rsidRDefault="005072D8" w:rsidP="002F4AB7">
            <w:pPr>
              <w:jc w:val="both"/>
            </w:pPr>
            <w:r>
              <w:t>P</w:t>
            </w:r>
            <w:r w:rsidRPr="00784F47">
              <w:t>resence of underlying malignancy</w:t>
            </w:r>
          </w:p>
        </w:tc>
        <w:tc>
          <w:tcPr>
            <w:tcW w:w="1980" w:type="dxa"/>
          </w:tcPr>
          <w:p w:rsidR="005072D8" w:rsidRDefault="005072D8" w:rsidP="002F4AB7">
            <w:pPr>
              <w:jc w:val="both"/>
            </w:pPr>
            <w:r>
              <w:t>5 %</w:t>
            </w:r>
          </w:p>
        </w:tc>
        <w:tc>
          <w:tcPr>
            <w:tcW w:w="2160" w:type="dxa"/>
          </w:tcPr>
          <w:p w:rsidR="005072D8" w:rsidRDefault="005072D8" w:rsidP="002F4AB7">
            <w:pPr>
              <w:jc w:val="both"/>
            </w:pPr>
            <w:r>
              <w:t>0.8%</w:t>
            </w:r>
          </w:p>
        </w:tc>
        <w:tc>
          <w:tcPr>
            <w:tcW w:w="1260" w:type="dxa"/>
          </w:tcPr>
          <w:p w:rsidR="005072D8" w:rsidRDefault="005072D8" w:rsidP="002F4AB7">
            <w:pPr>
              <w:jc w:val="both"/>
            </w:pPr>
            <w:r>
              <w:t>0.073</w:t>
            </w:r>
          </w:p>
        </w:tc>
      </w:tr>
      <w:tr w:rsidR="005072D8" w:rsidTr="00000877">
        <w:tc>
          <w:tcPr>
            <w:tcW w:w="2988" w:type="dxa"/>
          </w:tcPr>
          <w:p w:rsidR="005072D8" w:rsidRDefault="005072D8" w:rsidP="002F4AB7">
            <w:pPr>
              <w:jc w:val="both"/>
            </w:pPr>
            <w:r w:rsidRPr="00024EF5">
              <w:t>Extent of Peritonitis</w:t>
            </w:r>
          </w:p>
        </w:tc>
        <w:tc>
          <w:tcPr>
            <w:tcW w:w="1980" w:type="dxa"/>
          </w:tcPr>
          <w:p w:rsidR="005072D8" w:rsidRDefault="005072D8" w:rsidP="002F4AB7">
            <w:pPr>
              <w:jc w:val="both"/>
            </w:pPr>
          </w:p>
        </w:tc>
        <w:tc>
          <w:tcPr>
            <w:tcW w:w="2160" w:type="dxa"/>
          </w:tcPr>
          <w:p w:rsidR="005072D8" w:rsidRDefault="005072D8" w:rsidP="002F4AB7">
            <w:pPr>
              <w:jc w:val="both"/>
            </w:pPr>
          </w:p>
        </w:tc>
        <w:tc>
          <w:tcPr>
            <w:tcW w:w="1260" w:type="dxa"/>
          </w:tcPr>
          <w:p w:rsidR="005072D8" w:rsidRDefault="005072D8" w:rsidP="002F4AB7">
            <w:pPr>
              <w:jc w:val="both"/>
            </w:pPr>
            <w:r>
              <w:t>0.977</w:t>
            </w:r>
          </w:p>
        </w:tc>
      </w:tr>
      <w:tr w:rsidR="005072D8" w:rsidTr="00000877">
        <w:tc>
          <w:tcPr>
            <w:tcW w:w="2988" w:type="dxa"/>
          </w:tcPr>
          <w:p w:rsidR="005072D8" w:rsidRDefault="005072D8" w:rsidP="002F4AB7">
            <w:pPr>
              <w:jc w:val="both"/>
            </w:pPr>
            <w:r>
              <w:t xml:space="preserve">   </w:t>
            </w:r>
            <w:r w:rsidRPr="00024EF5">
              <w:t xml:space="preserve">Generalized Peritonitis </w:t>
            </w:r>
          </w:p>
        </w:tc>
        <w:tc>
          <w:tcPr>
            <w:tcW w:w="1980" w:type="dxa"/>
          </w:tcPr>
          <w:p w:rsidR="005072D8" w:rsidRDefault="005072D8" w:rsidP="002F4AB7">
            <w:pPr>
              <w:jc w:val="both"/>
            </w:pPr>
            <w:r>
              <w:t>72.5 %</w:t>
            </w:r>
          </w:p>
        </w:tc>
        <w:tc>
          <w:tcPr>
            <w:tcW w:w="2160" w:type="dxa"/>
          </w:tcPr>
          <w:p w:rsidR="005072D8" w:rsidRDefault="005072D8" w:rsidP="002F4AB7">
            <w:pPr>
              <w:jc w:val="both"/>
            </w:pPr>
            <w:r>
              <w:t>72.7 %</w:t>
            </w:r>
          </w:p>
        </w:tc>
        <w:tc>
          <w:tcPr>
            <w:tcW w:w="1260" w:type="dxa"/>
          </w:tcPr>
          <w:p w:rsidR="005072D8" w:rsidRDefault="005072D8" w:rsidP="002F4AB7">
            <w:pPr>
              <w:jc w:val="both"/>
            </w:pPr>
          </w:p>
        </w:tc>
      </w:tr>
      <w:tr w:rsidR="005072D8" w:rsidTr="00000877">
        <w:tc>
          <w:tcPr>
            <w:tcW w:w="2988" w:type="dxa"/>
          </w:tcPr>
          <w:p w:rsidR="005072D8" w:rsidRDefault="005072D8" w:rsidP="002F4AB7">
            <w:pPr>
              <w:jc w:val="both"/>
            </w:pPr>
            <w:r>
              <w:t xml:space="preserve">   </w:t>
            </w:r>
            <w:r w:rsidRPr="00024EF5">
              <w:t xml:space="preserve">Localized Peritonitis </w:t>
            </w:r>
          </w:p>
        </w:tc>
        <w:tc>
          <w:tcPr>
            <w:tcW w:w="1980" w:type="dxa"/>
          </w:tcPr>
          <w:p w:rsidR="005072D8" w:rsidRDefault="005072D8" w:rsidP="002F4AB7">
            <w:pPr>
              <w:jc w:val="both"/>
            </w:pPr>
            <w:r>
              <w:t>27.5 %</w:t>
            </w:r>
          </w:p>
        </w:tc>
        <w:tc>
          <w:tcPr>
            <w:tcW w:w="2160" w:type="dxa"/>
          </w:tcPr>
          <w:p w:rsidR="005072D8" w:rsidRDefault="005072D8" w:rsidP="002F4AB7">
            <w:pPr>
              <w:jc w:val="both"/>
            </w:pPr>
            <w:r>
              <w:t>27.3 %</w:t>
            </w:r>
          </w:p>
        </w:tc>
        <w:tc>
          <w:tcPr>
            <w:tcW w:w="1260" w:type="dxa"/>
          </w:tcPr>
          <w:p w:rsidR="005072D8" w:rsidRDefault="005072D8" w:rsidP="002F4AB7">
            <w:pPr>
              <w:jc w:val="both"/>
            </w:pPr>
          </w:p>
        </w:tc>
      </w:tr>
      <w:tr w:rsidR="005072D8" w:rsidTr="00000877">
        <w:tc>
          <w:tcPr>
            <w:tcW w:w="2988" w:type="dxa"/>
          </w:tcPr>
          <w:p w:rsidR="005072D8" w:rsidRDefault="005072D8" w:rsidP="002F4AB7">
            <w:pPr>
              <w:jc w:val="both"/>
            </w:pPr>
            <w:r w:rsidRPr="00283CED">
              <w:t xml:space="preserve">Source of intraabdominal Contamination  </w:t>
            </w:r>
          </w:p>
        </w:tc>
        <w:tc>
          <w:tcPr>
            <w:tcW w:w="1980" w:type="dxa"/>
          </w:tcPr>
          <w:p w:rsidR="005072D8" w:rsidRDefault="005072D8" w:rsidP="002F4AB7">
            <w:pPr>
              <w:jc w:val="both"/>
            </w:pPr>
          </w:p>
        </w:tc>
        <w:tc>
          <w:tcPr>
            <w:tcW w:w="2160" w:type="dxa"/>
          </w:tcPr>
          <w:p w:rsidR="005072D8" w:rsidRDefault="005072D8" w:rsidP="002F4AB7">
            <w:pPr>
              <w:jc w:val="both"/>
            </w:pPr>
          </w:p>
        </w:tc>
        <w:tc>
          <w:tcPr>
            <w:tcW w:w="1260" w:type="dxa"/>
          </w:tcPr>
          <w:p w:rsidR="005072D8" w:rsidRDefault="005072D8" w:rsidP="002F4AB7">
            <w:pPr>
              <w:jc w:val="both"/>
            </w:pPr>
            <w:r>
              <w:t>&lt; 0.001</w:t>
            </w:r>
          </w:p>
        </w:tc>
      </w:tr>
      <w:tr w:rsidR="005072D8" w:rsidTr="00000877">
        <w:tc>
          <w:tcPr>
            <w:tcW w:w="2988" w:type="dxa"/>
          </w:tcPr>
          <w:p w:rsidR="005072D8" w:rsidRDefault="005072D8" w:rsidP="002F4AB7">
            <w:pPr>
              <w:jc w:val="both"/>
            </w:pPr>
            <w:r>
              <w:t xml:space="preserve">   </w:t>
            </w:r>
            <w:r w:rsidRPr="00283CED">
              <w:t xml:space="preserve">Appendix </w:t>
            </w:r>
          </w:p>
        </w:tc>
        <w:tc>
          <w:tcPr>
            <w:tcW w:w="1980" w:type="dxa"/>
          </w:tcPr>
          <w:p w:rsidR="005072D8" w:rsidRDefault="005072D8" w:rsidP="002F4AB7">
            <w:pPr>
              <w:jc w:val="both"/>
            </w:pPr>
            <w:r>
              <w:t>44.7%</w:t>
            </w:r>
          </w:p>
        </w:tc>
        <w:tc>
          <w:tcPr>
            <w:tcW w:w="2160" w:type="dxa"/>
          </w:tcPr>
          <w:p w:rsidR="005072D8" w:rsidRDefault="005072D8" w:rsidP="002F4AB7">
            <w:pPr>
              <w:jc w:val="both"/>
            </w:pPr>
            <w:r>
              <w:t>56.1 %</w:t>
            </w:r>
          </w:p>
        </w:tc>
        <w:tc>
          <w:tcPr>
            <w:tcW w:w="1260" w:type="dxa"/>
          </w:tcPr>
          <w:p w:rsidR="005072D8" w:rsidRDefault="005072D8" w:rsidP="002F4AB7">
            <w:pPr>
              <w:jc w:val="both"/>
            </w:pPr>
          </w:p>
        </w:tc>
      </w:tr>
      <w:tr w:rsidR="005072D8" w:rsidTr="00000877">
        <w:tc>
          <w:tcPr>
            <w:tcW w:w="2988" w:type="dxa"/>
          </w:tcPr>
          <w:p w:rsidR="005072D8" w:rsidRDefault="005072D8" w:rsidP="002F4AB7">
            <w:pPr>
              <w:jc w:val="both"/>
            </w:pPr>
            <w:r>
              <w:t xml:space="preserve">   </w:t>
            </w:r>
            <w:r w:rsidRPr="00283CED">
              <w:t xml:space="preserve">Stomach and Duodenum </w:t>
            </w:r>
          </w:p>
        </w:tc>
        <w:tc>
          <w:tcPr>
            <w:tcW w:w="1980" w:type="dxa"/>
          </w:tcPr>
          <w:p w:rsidR="005072D8" w:rsidRDefault="005072D8" w:rsidP="002F4AB7">
            <w:pPr>
              <w:jc w:val="both"/>
            </w:pPr>
            <w:r>
              <w:t>26.3%</w:t>
            </w:r>
          </w:p>
        </w:tc>
        <w:tc>
          <w:tcPr>
            <w:tcW w:w="2160" w:type="dxa"/>
          </w:tcPr>
          <w:p w:rsidR="005072D8" w:rsidRDefault="005072D8" w:rsidP="002F4AB7">
            <w:pPr>
              <w:jc w:val="both"/>
            </w:pPr>
            <w:r>
              <w:t>35.6%</w:t>
            </w:r>
          </w:p>
        </w:tc>
        <w:tc>
          <w:tcPr>
            <w:tcW w:w="1260" w:type="dxa"/>
          </w:tcPr>
          <w:p w:rsidR="005072D8" w:rsidRDefault="005072D8" w:rsidP="002F4AB7">
            <w:pPr>
              <w:jc w:val="both"/>
            </w:pPr>
          </w:p>
        </w:tc>
      </w:tr>
      <w:tr w:rsidR="005072D8" w:rsidTr="00000877">
        <w:tc>
          <w:tcPr>
            <w:tcW w:w="2988" w:type="dxa"/>
          </w:tcPr>
          <w:p w:rsidR="005072D8" w:rsidRDefault="005072D8" w:rsidP="002F4AB7">
            <w:pPr>
              <w:jc w:val="both"/>
            </w:pPr>
            <w:r>
              <w:t xml:space="preserve">   </w:t>
            </w:r>
            <w:r w:rsidRPr="00283CED">
              <w:t xml:space="preserve">Jejunum and Ileum </w:t>
            </w:r>
          </w:p>
        </w:tc>
        <w:tc>
          <w:tcPr>
            <w:tcW w:w="1980" w:type="dxa"/>
          </w:tcPr>
          <w:p w:rsidR="005072D8" w:rsidRDefault="005072D8" w:rsidP="002F4AB7">
            <w:pPr>
              <w:jc w:val="both"/>
            </w:pPr>
            <w:r>
              <w:t>15.8%</w:t>
            </w:r>
          </w:p>
        </w:tc>
        <w:tc>
          <w:tcPr>
            <w:tcW w:w="2160" w:type="dxa"/>
          </w:tcPr>
          <w:p w:rsidR="005072D8" w:rsidRDefault="005072D8" w:rsidP="002F4AB7">
            <w:pPr>
              <w:jc w:val="both"/>
            </w:pPr>
            <w:r>
              <w:t>1.5%</w:t>
            </w:r>
          </w:p>
        </w:tc>
        <w:tc>
          <w:tcPr>
            <w:tcW w:w="1260" w:type="dxa"/>
          </w:tcPr>
          <w:p w:rsidR="005072D8" w:rsidRDefault="005072D8" w:rsidP="002F4AB7">
            <w:pPr>
              <w:jc w:val="both"/>
            </w:pPr>
          </w:p>
        </w:tc>
      </w:tr>
      <w:tr w:rsidR="005072D8" w:rsidTr="00000877">
        <w:tc>
          <w:tcPr>
            <w:tcW w:w="2988" w:type="dxa"/>
          </w:tcPr>
          <w:p w:rsidR="005072D8" w:rsidRDefault="005072D8" w:rsidP="002F4AB7">
            <w:pPr>
              <w:jc w:val="both"/>
            </w:pPr>
            <w:r>
              <w:t xml:space="preserve">   </w:t>
            </w:r>
            <w:r w:rsidRPr="00283CED">
              <w:t xml:space="preserve">Colon </w:t>
            </w:r>
          </w:p>
        </w:tc>
        <w:tc>
          <w:tcPr>
            <w:tcW w:w="1980" w:type="dxa"/>
          </w:tcPr>
          <w:p w:rsidR="005072D8" w:rsidRDefault="005072D8" w:rsidP="002F4AB7">
            <w:pPr>
              <w:jc w:val="both"/>
            </w:pPr>
            <w:r>
              <w:t>13.2%</w:t>
            </w:r>
          </w:p>
        </w:tc>
        <w:tc>
          <w:tcPr>
            <w:tcW w:w="2160" w:type="dxa"/>
          </w:tcPr>
          <w:p w:rsidR="005072D8" w:rsidRDefault="005072D8" w:rsidP="002F4AB7">
            <w:pPr>
              <w:jc w:val="both"/>
            </w:pPr>
            <w:r>
              <w:t>2.3%</w:t>
            </w:r>
          </w:p>
        </w:tc>
        <w:tc>
          <w:tcPr>
            <w:tcW w:w="1260" w:type="dxa"/>
          </w:tcPr>
          <w:p w:rsidR="005072D8" w:rsidRDefault="005072D8" w:rsidP="002F4AB7">
            <w:pPr>
              <w:jc w:val="both"/>
            </w:pPr>
          </w:p>
        </w:tc>
      </w:tr>
      <w:tr w:rsidR="005072D8" w:rsidTr="00000877">
        <w:tc>
          <w:tcPr>
            <w:tcW w:w="2988" w:type="dxa"/>
          </w:tcPr>
          <w:p w:rsidR="005072D8" w:rsidRDefault="005072D8" w:rsidP="002F4AB7">
            <w:pPr>
              <w:jc w:val="both"/>
            </w:pPr>
            <w:r>
              <w:t xml:space="preserve">   </w:t>
            </w:r>
            <w:r w:rsidRPr="00283CED">
              <w:t xml:space="preserve">Tubo-ovarian </w:t>
            </w:r>
          </w:p>
        </w:tc>
        <w:tc>
          <w:tcPr>
            <w:tcW w:w="1980" w:type="dxa"/>
          </w:tcPr>
          <w:p w:rsidR="005072D8" w:rsidRDefault="005072D8" w:rsidP="002F4AB7">
            <w:pPr>
              <w:jc w:val="both"/>
            </w:pPr>
            <w:r>
              <w:t>0 %</w:t>
            </w:r>
          </w:p>
        </w:tc>
        <w:tc>
          <w:tcPr>
            <w:tcW w:w="2160" w:type="dxa"/>
          </w:tcPr>
          <w:p w:rsidR="005072D8" w:rsidRDefault="005072D8" w:rsidP="002F4AB7">
            <w:pPr>
              <w:jc w:val="both"/>
            </w:pPr>
            <w:r>
              <w:t>2.3%</w:t>
            </w:r>
          </w:p>
        </w:tc>
        <w:tc>
          <w:tcPr>
            <w:tcW w:w="1260" w:type="dxa"/>
          </w:tcPr>
          <w:p w:rsidR="005072D8" w:rsidRDefault="005072D8" w:rsidP="002F4AB7">
            <w:pPr>
              <w:jc w:val="both"/>
            </w:pPr>
          </w:p>
        </w:tc>
      </w:tr>
      <w:tr w:rsidR="005072D8" w:rsidTr="00000877">
        <w:tc>
          <w:tcPr>
            <w:tcW w:w="2988" w:type="dxa"/>
          </w:tcPr>
          <w:p w:rsidR="005072D8" w:rsidRDefault="005072D8" w:rsidP="002F4AB7">
            <w:pPr>
              <w:jc w:val="both"/>
            </w:pPr>
            <w:r>
              <w:t xml:space="preserve">   </w:t>
            </w:r>
            <w:r w:rsidRPr="00283CED">
              <w:t xml:space="preserve">Gall Bladder </w:t>
            </w:r>
          </w:p>
        </w:tc>
        <w:tc>
          <w:tcPr>
            <w:tcW w:w="1980" w:type="dxa"/>
          </w:tcPr>
          <w:p w:rsidR="005072D8" w:rsidRDefault="005072D8" w:rsidP="002F4AB7">
            <w:pPr>
              <w:jc w:val="both"/>
            </w:pPr>
            <w:r>
              <w:t>0 %</w:t>
            </w:r>
          </w:p>
        </w:tc>
        <w:tc>
          <w:tcPr>
            <w:tcW w:w="2160" w:type="dxa"/>
          </w:tcPr>
          <w:p w:rsidR="005072D8" w:rsidRDefault="005072D8" w:rsidP="002F4AB7">
            <w:pPr>
              <w:jc w:val="both"/>
            </w:pPr>
            <w:r>
              <w:t>2.3%</w:t>
            </w:r>
          </w:p>
        </w:tc>
        <w:tc>
          <w:tcPr>
            <w:tcW w:w="1260" w:type="dxa"/>
          </w:tcPr>
          <w:p w:rsidR="005072D8" w:rsidRDefault="005072D8" w:rsidP="002F4AB7">
            <w:pPr>
              <w:jc w:val="both"/>
            </w:pPr>
          </w:p>
        </w:tc>
      </w:tr>
      <w:tr w:rsidR="005072D8" w:rsidTr="00000877">
        <w:tc>
          <w:tcPr>
            <w:tcW w:w="2988" w:type="dxa"/>
          </w:tcPr>
          <w:p w:rsidR="005072D8" w:rsidRDefault="005072D8" w:rsidP="002F4AB7">
            <w:pPr>
              <w:jc w:val="both"/>
            </w:pPr>
            <w:r w:rsidRPr="00796730">
              <w:t>Type of peritoneal fluid</w:t>
            </w:r>
          </w:p>
        </w:tc>
        <w:tc>
          <w:tcPr>
            <w:tcW w:w="1980" w:type="dxa"/>
          </w:tcPr>
          <w:p w:rsidR="005072D8" w:rsidRDefault="005072D8" w:rsidP="002F4AB7">
            <w:pPr>
              <w:jc w:val="both"/>
            </w:pPr>
          </w:p>
        </w:tc>
        <w:tc>
          <w:tcPr>
            <w:tcW w:w="2160" w:type="dxa"/>
          </w:tcPr>
          <w:p w:rsidR="005072D8" w:rsidRDefault="005072D8" w:rsidP="002F4AB7">
            <w:pPr>
              <w:jc w:val="both"/>
            </w:pPr>
          </w:p>
        </w:tc>
        <w:tc>
          <w:tcPr>
            <w:tcW w:w="1260" w:type="dxa"/>
          </w:tcPr>
          <w:p w:rsidR="005072D8" w:rsidRDefault="005072D8" w:rsidP="002F4AB7">
            <w:pPr>
              <w:jc w:val="both"/>
            </w:pPr>
            <w:r>
              <w:t>&lt; 0.001</w:t>
            </w:r>
          </w:p>
        </w:tc>
      </w:tr>
      <w:tr w:rsidR="005072D8" w:rsidTr="00000877">
        <w:tc>
          <w:tcPr>
            <w:tcW w:w="2988" w:type="dxa"/>
          </w:tcPr>
          <w:p w:rsidR="005072D8" w:rsidRDefault="005072D8" w:rsidP="002F4AB7">
            <w:pPr>
              <w:jc w:val="both"/>
            </w:pPr>
            <w:r>
              <w:t xml:space="preserve">   Turbid</w:t>
            </w:r>
          </w:p>
        </w:tc>
        <w:tc>
          <w:tcPr>
            <w:tcW w:w="1980" w:type="dxa"/>
          </w:tcPr>
          <w:p w:rsidR="005072D8" w:rsidRDefault="005072D8" w:rsidP="002F4AB7">
            <w:pPr>
              <w:jc w:val="both"/>
            </w:pPr>
            <w:r>
              <w:t>12.5%</w:t>
            </w:r>
          </w:p>
        </w:tc>
        <w:tc>
          <w:tcPr>
            <w:tcW w:w="2160" w:type="dxa"/>
          </w:tcPr>
          <w:p w:rsidR="005072D8" w:rsidRDefault="005072D8" w:rsidP="002F4AB7">
            <w:pPr>
              <w:jc w:val="both"/>
            </w:pPr>
            <w:r>
              <w:t>0 %</w:t>
            </w:r>
          </w:p>
        </w:tc>
        <w:tc>
          <w:tcPr>
            <w:tcW w:w="1260" w:type="dxa"/>
          </w:tcPr>
          <w:p w:rsidR="005072D8" w:rsidRDefault="005072D8" w:rsidP="002F4AB7">
            <w:pPr>
              <w:jc w:val="both"/>
            </w:pPr>
          </w:p>
        </w:tc>
      </w:tr>
      <w:tr w:rsidR="005072D8" w:rsidTr="00000877">
        <w:tc>
          <w:tcPr>
            <w:tcW w:w="2988" w:type="dxa"/>
          </w:tcPr>
          <w:p w:rsidR="005072D8" w:rsidRDefault="005072D8" w:rsidP="002F4AB7">
            <w:pPr>
              <w:jc w:val="both"/>
            </w:pPr>
            <w:r>
              <w:t xml:space="preserve">   Pus</w:t>
            </w:r>
          </w:p>
        </w:tc>
        <w:tc>
          <w:tcPr>
            <w:tcW w:w="1980" w:type="dxa"/>
          </w:tcPr>
          <w:p w:rsidR="005072D8" w:rsidRDefault="005072D8" w:rsidP="002F4AB7">
            <w:pPr>
              <w:jc w:val="both"/>
            </w:pPr>
            <w:r>
              <w:t>57.5 %</w:t>
            </w:r>
          </w:p>
        </w:tc>
        <w:tc>
          <w:tcPr>
            <w:tcW w:w="2160" w:type="dxa"/>
          </w:tcPr>
          <w:p w:rsidR="005072D8" w:rsidRDefault="005072D8" w:rsidP="002F4AB7">
            <w:pPr>
              <w:jc w:val="both"/>
            </w:pPr>
            <w:r>
              <w:t>72 %</w:t>
            </w:r>
          </w:p>
        </w:tc>
        <w:tc>
          <w:tcPr>
            <w:tcW w:w="1260" w:type="dxa"/>
          </w:tcPr>
          <w:p w:rsidR="005072D8" w:rsidRDefault="005072D8" w:rsidP="002F4AB7">
            <w:pPr>
              <w:jc w:val="both"/>
            </w:pPr>
          </w:p>
        </w:tc>
      </w:tr>
      <w:tr w:rsidR="005072D8" w:rsidTr="00000877">
        <w:tc>
          <w:tcPr>
            <w:tcW w:w="2988" w:type="dxa"/>
          </w:tcPr>
          <w:p w:rsidR="005072D8" w:rsidRDefault="005072D8" w:rsidP="002F4AB7">
            <w:pPr>
              <w:jc w:val="both"/>
            </w:pPr>
            <w:r>
              <w:t xml:space="preserve">   GI</w:t>
            </w:r>
            <w:r>
              <w:rPr>
                <w:rFonts w:cstheme="minorHAnsi"/>
              </w:rPr>
              <w:t>±</w:t>
            </w:r>
            <w:r>
              <w:t>Pus</w:t>
            </w:r>
          </w:p>
        </w:tc>
        <w:tc>
          <w:tcPr>
            <w:tcW w:w="1980" w:type="dxa"/>
          </w:tcPr>
          <w:p w:rsidR="005072D8" w:rsidRDefault="005072D8" w:rsidP="002F4AB7">
            <w:pPr>
              <w:jc w:val="both"/>
            </w:pPr>
            <w:r>
              <w:t>30 %</w:t>
            </w:r>
          </w:p>
        </w:tc>
        <w:tc>
          <w:tcPr>
            <w:tcW w:w="2160" w:type="dxa"/>
          </w:tcPr>
          <w:p w:rsidR="005072D8" w:rsidRDefault="005072D8" w:rsidP="002F4AB7">
            <w:pPr>
              <w:jc w:val="both"/>
            </w:pPr>
            <w:r>
              <w:t>28 %</w:t>
            </w:r>
          </w:p>
        </w:tc>
        <w:tc>
          <w:tcPr>
            <w:tcW w:w="1260" w:type="dxa"/>
          </w:tcPr>
          <w:p w:rsidR="005072D8" w:rsidRDefault="005072D8" w:rsidP="002F4AB7">
            <w:pPr>
              <w:jc w:val="both"/>
            </w:pPr>
          </w:p>
        </w:tc>
      </w:tr>
      <w:tr w:rsidR="005072D8" w:rsidTr="00000877">
        <w:tc>
          <w:tcPr>
            <w:tcW w:w="2988" w:type="dxa"/>
          </w:tcPr>
          <w:p w:rsidR="005072D8" w:rsidRPr="00433428" w:rsidRDefault="005072D8" w:rsidP="002F4AB7">
            <w:pPr>
              <w:jc w:val="both"/>
            </w:pPr>
            <w:r>
              <w:t>Amount of peritoneal fluid</w:t>
            </w:r>
          </w:p>
        </w:tc>
        <w:tc>
          <w:tcPr>
            <w:tcW w:w="1980" w:type="dxa"/>
          </w:tcPr>
          <w:p w:rsidR="005072D8" w:rsidRDefault="005072D8" w:rsidP="002F4AB7">
            <w:pPr>
              <w:jc w:val="both"/>
            </w:pPr>
          </w:p>
        </w:tc>
        <w:tc>
          <w:tcPr>
            <w:tcW w:w="2160" w:type="dxa"/>
          </w:tcPr>
          <w:p w:rsidR="005072D8" w:rsidRDefault="005072D8" w:rsidP="002F4AB7">
            <w:pPr>
              <w:jc w:val="both"/>
            </w:pPr>
          </w:p>
        </w:tc>
        <w:tc>
          <w:tcPr>
            <w:tcW w:w="1260" w:type="dxa"/>
          </w:tcPr>
          <w:p w:rsidR="005072D8" w:rsidRDefault="005072D8" w:rsidP="002F4AB7">
            <w:pPr>
              <w:jc w:val="both"/>
            </w:pPr>
            <w:r>
              <w:t>&lt;0.001</w:t>
            </w:r>
          </w:p>
        </w:tc>
      </w:tr>
      <w:tr w:rsidR="005072D8" w:rsidTr="00000877">
        <w:tc>
          <w:tcPr>
            <w:tcW w:w="2988" w:type="dxa"/>
          </w:tcPr>
          <w:p w:rsidR="005072D8" w:rsidRPr="00433428" w:rsidRDefault="005072D8" w:rsidP="002F4AB7">
            <w:pPr>
              <w:jc w:val="both"/>
            </w:pPr>
            <w:r>
              <w:lastRenderedPageBreak/>
              <w:t xml:space="preserve">    &lt; 1000 ml</w:t>
            </w:r>
          </w:p>
        </w:tc>
        <w:tc>
          <w:tcPr>
            <w:tcW w:w="1980" w:type="dxa"/>
          </w:tcPr>
          <w:p w:rsidR="005072D8" w:rsidRDefault="005072D8" w:rsidP="002F4AB7">
            <w:pPr>
              <w:jc w:val="both"/>
            </w:pPr>
            <w:r>
              <w:t>51.5%</w:t>
            </w:r>
          </w:p>
        </w:tc>
        <w:tc>
          <w:tcPr>
            <w:tcW w:w="2160" w:type="dxa"/>
          </w:tcPr>
          <w:p w:rsidR="005072D8" w:rsidRDefault="005072D8" w:rsidP="002F4AB7">
            <w:pPr>
              <w:jc w:val="both"/>
            </w:pPr>
            <w:r>
              <w:t>84.3%</w:t>
            </w:r>
          </w:p>
        </w:tc>
        <w:tc>
          <w:tcPr>
            <w:tcW w:w="1260" w:type="dxa"/>
          </w:tcPr>
          <w:p w:rsidR="005072D8" w:rsidRDefault="005072D8" w:rsidP="002F4AB7">
            <w:pPr>
              <w:jc w:val="both"/>
            </w:pPr>
          </w:p>
        </w:tc>
      </w:tr>
      <w:tr w:rsidR="005072D8" w:rsidTr="00000877">
        <w:tc>
          <w:tcPr>
            <w:tcW w:w="2988" w:type="dxa"/>
          </w:tcPr>
          <w:p w:rsidR="005072D8" w:rsidRDefault="005072D8" w:rsidP="002F4AB7">
            <w:pPr>
              <w:jc w:val="both"/>
            </w:pPr>
            <w:r>
              <w:rPr>
                <w:rFonts w:cstheme="minorHAnsi"/>
              </w:rPr>
              <w:t xml:space="preserve">    ≥</w:t>
            </w:r>
            <w:r>
              <w:t xml:space="preserve"> 1000 ml</w:t>
            </w:r>
          </w:p>
        </w:tc>
        <w:tc>
          <w:tcPr>
            <w:tcW w:w="1980" w:type="dxa"/>
          </w:tcPr>
          <w:p w:rsidR="005072D8" w:rsidRDefault="005072D8" w:rsidP="002F4AB7">
            <w:pPr>
              <w:jc w:val="both"/>
            </w:pPr>
            <w:r>
              <w:t>48.5%</w:t>
            </w:r>
          </w:p>
        </w:tc>
        <w:tc>
          <w:tcPr>
            <w:tcW w:w="2160" w:type="dxa"/>
          </w:tcPr>
          <w:p w:rsidR="005072D8" w:rsidRDefault="005072D8" w:rsidP="002F4AB7">
            <w:pPr>
              <w:jc w:val="both"/>
            </w:pPr>
            <w:r>
              <w:t>15.7%</w:t>
            </w:r>
          </w:p>
        </w:tc>
        <w:tc>
          <w:tcPr>
            <w:tcW w:w="1260" w:type="dxa"/>
          </w:tcPr>
          <w:p w:rsidR="005072D8" w:rsidRDefault="005072D8" w:rsidP="002F4AB7">
            <w:pPr>
              <w:jc w:val="both"/>
            </w:pPr>
          </w:p>
        </w:tc>
      </w:tr>
      <w:tr w:rsidR="005072D8" w:rsidTr="00000877">
        <w:tc>
          <w:tcPr>
            <w:tcW w:w="2988" w:type="dxa"/>
          </w:tcPr>
          <w:p w:rsidR="005072D8" w:rsidRDefault="005072D8" w:rsidP="002F4AB7">
            <w:pPr>
              <w:jc w:val="both"/>
            </w:pPr>
            <w:r w:rsidRPr="00433428">
              <w:t>Surgical access</w:t>
            </w:r>
            <w:r>
              <w:t xml:space="preserve"> </w:t>
            </w:r>
            <w:r w:rsidRPr="00433428">
              <w:t>to peritoneum</w:t>
            </w:r>
          </w:p>
        </w:tc>
        <w:tc>
          <w:tcPr>
            <w:tcW w:w="1980" w:type="dxa"/>
          </w:tcPr>
          <w:p w:rsidR="005072D8" w:rsidRDefault="005072D8" w:rsidP="002F4AB7">
            <w:pPr>
              <w:jc w:val="both"/>
            </w:pPr>
          </w:p>
        </w:tc>
        <w:tc>
          <w:tcPr>
            <w:tcW w:w="2160" w:type="dxa"/>
          </w:tcPr>
          <w:p w:rsidR="005072D8" w:rsidRDefault="005072D8" w:rsidP="002F4AB7">
            <w:pPr>
              <w:jc w:val="both"/>
            </w:pPr>
          </w:p>
        </w:tc>
        <w:tc>
          <w:tcPr>
            <w:tcW w:w="1260" w:type="dxa"/>
          </w:tcPr>
          <w:p w:rsidR="005072D8" w:rsidRDefault="005072D8" w:rsidP="002F4AB7">
            <w:pPr>
              <w:jc w:val="both"/>
            </w:pPr>
            <w:r>
              <w:t>0.747</w:t>
            </w:r>
          </w:p>
        </w:tc>
      </w:tr>
      <w:tr w:rsidR="005072D8" w:rsidTr="00000877">
        <w:tc>
          <w:tcPr>
            <w:tcW w:w="2988" w:type="dxa"/>
          </w:tcPr>
          <w:p w:rsidR="005072D8" w:rsidRDefault="005072D8" w:rsidP="002F4AB7">
            <w:pPr>
              <w:jc w:val="both"/>
            </w:pPr>
            <w:r>
              <w:t xml:space="preserve">   </w:t>
            </w:r>
            <w:r w:rsidR="009C158A">
              <w:t>L</w:t>
            </w:r>
            <w:r>
              <w:t>aparo</w:t>
            </w:r>
            <w:r w:rsidRPr="00433428">
              <w:t>tomy</w:t>
            </w:r>
          </w:p>
        </w:tc>
        <w:tc>
          <w:tcPr>
            <w:tcW w:w="1980" w:type="dxa"/>
          </w:tcPr>
          <w:p w:rsidR="005072D8" w:rsidRDefault="005072D8" w:rsidP="002F4AB7">
            <w:pPr>
              <w:jc w:val="both"/>
            </w:pPr>
            <w:r>
              <w:t>22.5 %</w:t>
            </w:r>
          </w:p>
        </w:tc>
        <w:tc>
          <w:tcPr>
            <w:tcW w:w="2160" w:type="dxa"/>
          </w:tcPr>
          <w:p w:rsidR="005072D8" w:rsidRDefault="005072D8" w:rsidP="002F4AB7">
            <w:pPr>
              <w:jc w:val="both"/>
            </w:pPr>
            <w:r>
              <w:t>25 %</w:t>
            </w:r>
          </w:p>
        </w:tc>
        <w:tc>
          <w:tcPr>
            <w:tcW w:w="1260" w:type="dxa"/>
          </w:tcPr>
          <w:p w:rsidR="005072D8" w:rsidRDefault="005072D8" w:rsidP="002F4AB7">
            <w:pPr>
              <w:jc w:val="both"/>
            </w:pPr>
          </w:p>
        </w:tc>
      </w:tr>
      <w:tr w:rsidR="005072D8" w:rsidTr="00000877">
        <w:tc>
          <w:tcPr>
            <w:tcW w:w="2988" w:type="dxa"/>
          </w:tcPr>
          <w:p w:rsidR="005072D8" w:rsidRDefault="005072D8" w:rsidP="002F4AB7">
            <w:pPr>
              <w:jc w:val="both"/>
            </w:pPr>
            <w:r>
              <w:t xml:space="preserve">   </w:t>
            </w:r>
            <w:r w:rsidRPr="00433428">
              <w:t xml:space="preserve">Limited Incision </w:t>
            </w:r>
          </w:p>
        </w:tc>
        <w:tc>
          <w:tcPr>
            <w:tcW w:w="1980" w:type="dxa"/>
          </w:tcPr>
          <w:p w:rsidR="005072D8" w:rsidRDefault="005072D8" w:rsidP="002F4AB7">
            <w:pPr>
              <w:jc w:val="both"/>
            </w:pPr>
            <w:r>
              <w:t>77.5 %</w:t>
            </w:r>
          </w:p>
        </w:tc>
        <w:tc>
          <w:tcPr>
            <w:tcW w:w="2160" w:type="dxa"/>
          </w:tcPr>
          <w:p w:rsidR="005072D8" w:rsidRDefault="005072D8" w:rsidP="002F4AB7">
            <w:pPr>
              <w:jc w:val="both"/>
            </w:pPr>
            <w:r>
              <w:t>75 %</w:t>
            </w:r>
          </w:p>
        </w:tc>
        <w:tc>
          <w:tcPr>
            <w:tcW w:w="1260" w:type="dxa"/>
          </w:tcPr>
          <w:p w:rsidR="005072D8" w:rsidRDefault="005072D8" w:rsidP="002F4AB7">
            <w:pPr>
              <w:jc w:val="both"/>
            </w:pPr>
          </w:p>
        </w:tc>
      </w:tr>
      <w:tr w:rsidR="005072D8" w:rsidTr="00000877">
        <w:tc>
          <w:tcPr>
            <w:tcW w:w="2988" w:type="dxa"/>
          </w:tcPr>
          <w:p w:rsidR="005072D8" w:rsidRDefault="005072D8" w:rsidP="002F4AB7">
            <w:pPr>
              <w:jc w:val="both"/>
            </w:pPr>
            <w:r w:rsidRPr="00056A2F">
              <w:t>Drainage tube placement</w:t>
            </w:r>
          </w:p>
        </w:tc>
        <w:tc>
          <w:tcPr>
            <w:tcW w:w="1980" w:type="dxa"/>
          </w:tcPr>
          <w:p w:rsidR="005072D8" w:rsidRDefault="005072D8" w:rsidP="002F4AB7">
            <w:pPr>
              <w:jc w:val="both"/>
            </w:pPr>
            <w:r>
              <w:t>52.5%</w:t>
            </w:r>
          </w:p>
        </w:tc>
        <w:tc>
          <w:tcPr>
            <w:tcW w:w="2160" w:type="dxa"/>
          </w:tcPr>
          <w:p w:rsidR="005072D8" w:rsidRDefault="005072D8" w:rsidP="002F4AB7">
            <w:pPr>
              <w:jc w:val="both"/>
            </w:pPr>
            <w:r>
              <w:t>67.4%</w:t>
            </w:r>
          </w:p>
        </w:tc>
        <w:tc>
          <w:tcPr>
            <w:tcW w:w="1260" w:type="dxa"/>
          </w:tcPr>
          <w:p w:rsidR="005072D8" w:rsidRDefault="005072D8" w:rsidP="002F4AB7">
            <w:pPr>
              <w:jc w:val="both"/>
            </w:pPr>
            <w:r>
              <w:t>0.085</w:t>
            </w:r>
          </w:p>
        </w:tc>
      </w:tr>
      <w:tr w:rsidR="005072D8" w:rsidTr="00000877">
        <w:tc>
          <w:tcPr>
            <w:tcW w:w="2988" w:type="dxa"/>
          </w:tcPr>
          <w:p w:rsidR="005072D8" w:rsidRDefault="005072D8" w:rsidP="002F4AB7">
            <w:pPr>
              <w:jc w:val="both"/>
            </w:pPr>
            <w:r w:rsidRPr="00E850B2">
              <w:t>Intra op change in diagnosis</w:t>
            </w:r>
          </w:p>
        </w:tc>
        <w:tc>
          <w:tcPr>
            <w:tcW w:w="1980" w:type="dxa"/>
          </w:tcPr>
          <w:p w:rsidR="005072D8" w:rsidRDefault="005072D8" w:rsidP="002F4AB7">
            <w:pPr>
              <w:jc w:val="both"/>
            </w:pPr>
            <w:r>
              <w:t>35 %</w:t>
            </w:r>
          </w:p>
        </w:tc>
        <w:tc>
          <w:tcPr>
            <w:tcW w:w="2160" w:type="dxa"/>
          </w:tcPr>
          <w:p w:rsidR="005072D8" w:rsidRDefault="005072D8" w:rsidP="002F4AB7">
            <w:pPr>
              <w:jc w:val="both"/>
            </w:pPr>
            <w:r>
              <w:t>13.6%</w:t>
            </w:r>
          </w:p>
        </w:tc>
        <w:tc>
          <w:tcPr>
            <w:tcW w:w="1260" w:type="dxa"/>
          </w:tcPr>
          <w:p w:rsidR="005072D8" w:rsidRDefault="005072D8" w:rsidP="002F4AB7">
            <w:pPr>
              <w:jc w:val="both"/>
            </w:pPr>
            <w:r>
              <w:t>0.002</w:t>
            </w:r>
          </w:p>
        </w:tc>
      </w:tr>
      <w:tr w:rsidR="005072D8" w:rsidTr="00000877">
        <w:tc>
          <w:tcPr>
            <w:tcW w:w="2988" w:type="dxa"/>
          </w:tcPr>
          <w:p w:rsidR="005072D8" w:rsidRDefault="005072D8" w:rsidP="002F4AB7">
            <w:pPr>
              <w:jc w:val="both"/>
            </w:pPr>
            <w:r w:rsidRPr="00E850B2">
              <w:t>Intraop bowel injury</w:t>
            </w:r>
          </w:p>
        </w:tc>
        <w:tc>
          <w:tcPr>
            <w:tcW w:w="1980" w:type="dxa"/>
          </w:tcPr>
          <w:p w:rsidR="005072D8" w:rsidRDefault="005072D8" w:rsidP="002F4AB7">
            <w:pPr>
              <w:jc w:val="both"/>
            </w:pPr>
            <w:r>
              <w:t>5 %</w:t>
            </w:r>
          </w:p>
        </w:tc>
        <w:tc>
          <w:tcPr>
            <w:tcW w:w="2160" w:type="dxa"/>
          </w:tcPr>
          <w:p w:rsidR="005072D8" w:rsidRDefault="005072D8" w:rsidP="002F4AB7">
            <w:pPr>
              <w:jc w:val="both"/>
            </w:pPr>
            <w:r>
              <w:t>3 %</w:t>
            </w:r>
          </w:p>
        </w:tc>
        <w:tc>
          <w:tcPr>
            <w:tcW w:w="1260" w:type="dxa"/>
          </w:tcPr>
          <w:p w:rsidR="005072D8" w:rsidRDefault="005072D8" w:rsidP="002F4AB7">
            <w:pPr>
              <w:jc w:val="both"/>
            </w:pPr>
            <w:r>
              <w:t>0.552</w:t>
            </w:r>
          </w:p>
        </w:tc>
      </w:tr>
      <w:tr w:rsidR="005072D8" w:rsidTr="00000877">
        <w:tc>
          <w:tcPr>
            <w:tcW w:w="2988" w:type="dxa"/>
          </w:tcPr>
          <w:p w:rsidR="005072D8" w:rsidRPr="00F92F4B" w:rsidRDefault="005072D8" w:rsidP="002F4AB7">
            <w:pPr>
              <w:jc w:val="both"/>
            </w:pPr>
            <w:r>
              <w:t>Duration of Surgery (min)</w:t>
            </w:r>
          </w:p>
        </w:tc>
        <w:tc>
          <w:tcPr>
            <w:tcW w:w="1980" w:type="dxa"/>
          </w:tcPr>
          <w:p w:rsidR="005072D8" w:rsidRDefault="005072D8" w:rsidP="002F4AB7">
            <w:pPr>
              <w:jc w:val="both"/>
            </w:pPr>
            <w:r>
              <w:t>145.6</w:t>
            </w:r>
          </w:p>
        </w:tc>
        <w:tc>
          <w:tcPr>
            <w:tcW w:w="2160" w:type="dxa"/>
          </w:tcPr>
          <w:p w:rsidR="005072D8" w:rsidRDefault="005072D8" w:rsidP="002F4AB7">
            <w:pPr>
              <w:jc w:val="both"/>
            </w:pPr>
            <w:r>
              <w:t>109.8</w:t>
            </w:r>
          </w:p>
        </w:tc>
        <w:tc>
          <w:tcPr>
            <w:tcW w:w="1260" w:type="dxa"/>
          </w:tcPr>
          <w:p w:rsidR="005072D8" w:rsidRDefault="005072D8" w:rsidP="002F4AB7">
            <w:pPr>
              <w:jc w:val="both"/>
            </w:pPr>
            <w:r>
              <w:t>&lt;0.001</w:t>
            </w:r>
          </w:p>
        </w:tc>
      </w:tr>
      <w:tr w:rsidR="005072D8" w:rsidTr="00000877">
        <w:tc>
          <w:tcPr>
            <w:tcW w:w="2988" w:type="dxa"/>
          </w:tcPr>
          <w:p w:rsidR="005072D8" w:rsidRDefault="005072D8" w:rsidP="002F4AB7">
            <w:pPr>
              <w:jc w:val="both"/>
            </w:pPr>
            <w:r w:rsidRPr="00F92F4B">
              <w:t>Previous abdominal surgery</w:t>
            </w:r>
          </w:p>
        </w:tc>
        <w:tc>
          <w:tcPr>
            <w:tcW w:w="1980" w:type="dxa"/>
          </w:tcPr>
          <w:p w:rsidR="005072D8" w:rsidRDefault="005072D8" w:rsidP="002F4AB7">
            <w:pPr>
              <w:jc w:val="both"/>
            </w:pPr>
            <w:r>
              <w:t>5 %</w:t>
            </w:r>
          </w:p>
        </w:tc>
        <w:tc>
          <w:tcPr>
            <w:tcW w:w="2160" w:type="dxa"/>
          </w:tcPr>
          <w:p w:rsidR="005072D8" w:rsidRDefault="005072D8" w:rsidP="002F4AB7">
            <w:pPr>
              <w:jc w:val="both"/>
            </w:pPr>
            <w:r>
              <w:t>3.8 %</w:t>
            </w:r>
          </w:p>
        </w:tc>
        <w:tc>
          <w:tcPr>
            <w:tcW w:w="1260" w:type="dxa"/>
          </w:tcPr>
          <w:p w:rsidR="005072D8" w:rsidRDefault="005072D8" w:rsidP="002F4AB7">
            <w:pPr>
              <w:jc w:val="both"/>
            </w:pPr>
            <w:r>
              <w:t>0.734</w:t>
            </w:r>
          </w:p>
        </w:tc>
      </w:tr>
      <w:tr w:rsidR="005072D8" w:rsidTr="00000877">
        <w:tc>
          <w:tcPr>
            <w:tcW w:w="2988" w:type="dxa"/>
          </w:tcPr>
          <w:p w:rsidR="005072D8" w:rsidRDefault="005072D8" w:rsidP="002F4AB7">
            <w:pPr>
              <w:jc w:val="both"/>
            </w:pPr>
            <w:r w:rsidRPr="00F92F4B">
              <w:t>Admitted to ICU in immediate Postop</w:t>
            </w:r>
          </w:p>
        </w:tc>
        <w:tc>
          <w:tcPr>
            <w:tcW w:w="1980" w:type="dxa"/>
          </w:tcPr>
          <w:p w:rsidR="005072D8" w:rsidRDefault="005072D8" w:rsidP="002F4AB7">
            <w:pPr>
              <w:jc w:val="both"/>
            </w:pPr>
            <w:r>
              <w:t>7.5 %</w:t>
            </w:r>
          </w:p>
        </w:tc>
        <w:tc>
          <w:tcPr>
            <w:tcW w:w="2160" w:type="dxa"/>
          </w:tcPr>
          <w:p w:rsidR="005072D8" w:rsidRDefault="005072D8" w:rsidP="002F4AB7">
            <w:pPr>
              <w:jc w:val="both"/>
            </w:pPr>
            <w:r>
              <w:t>4.5 %</w:t>
            </w:r>
          </w:p>
        </w:tc>
        <w:tc>
          <w:tcPr>
            <w:tcW w:w="1260" w:type="dxa"/>
          </w:tcPr>
          <w:p w:rsidR="005072D8" w:rsidRDefault="005072D8" w:rsidP="002F4AB7">
            <w:pPr>
              <w:jc w:val="both"/>
            </w:pPr>
            <w:r>
              <w:t>0.462</w:t>
            </w:r>
          </w:p>
          <w:p w:rsidR="005072D8" w:rsidRDefault="005072D8" w:rsidP="002F4AB7">
            <w:pPr>
              <w:jc w:val="both"/>
            </w:pPr>
          </w:p>
        </w:tc>
      </w:tr>
    </w:tbl>
    <w:p w:rsidR="005072D8" w:rsidRDefault="00C553E8" w:rsidP="002F4AB7">
      <w:pPr>
        <w:jc w:val="both"/>
        <w:rPr>
          <w:sz w:val="24"/>
          <w:szCs w:val="24"/>
        </w:rPr>
      </w:pPr>
      <w:r>
        <w:rPr>
          <w:sz w:val="24"/>
          <w:szCs w:val="24"/>
        </w:rPr>
        <w:t xml:space="preserve">               </w:t>
      </w:r>
    </w:p>
    <w:p w:rsidR="001876D9" w:rsidRDefault="00C553E8" w:rsidP="002F4AB7">
      <w:pPr>
        <w:autoSpaceDE w:val="0"/>
        <w:autoSpaceDN w:val="0"/>
        <w:adjustRightInd w:val="0"/>
        <w:spacing w:after="0" w:line="240" w:lineRule="auto"/>
        <w:jc w:val="both"/>
        <w:rPr>
          <w:rFonts w:ascii="Times New Roman" w:hAnsi="Times New Roman" w:cs="Times New Roman"/>
          <w:sz w:val="24"/>
          <w:szCs w:val="24"/>
        </w:rPr>
      </w:pPr>
      <w:r>
        <w:rPr>
          <w:sz w:val="24"/>
          <w:szCs w:val="24"/>
        </w:rPr>
        <w:t xml:space="preserve">                                                                                                          </w:t>
      </w:r>
    </w:p>
    <w:p w:rsidR="001876D9" w:rsidRDefault="001876D9" w:rsidP="002F4AB7">
      <w:pPr>
        <w:autoSpaceDE w:val="0"/>
        <w:autoSpaceDN w:val="0"/>
        <w:adjustRightInd w:val="0"/>
        <w:spacing w:after="0" w:line="240" w:lineRule="auto"/>
        <w:jc w:val="both"/>
        <w:rPr>
          <w:rFonts w:ascii="Times New Roman" w:hAnsi="Times New Roman" w:cs="Times New Roman"/>
          <w:sz w:val="24"/>
          <w:szCs w:val="24"/>
        </w:rPr>
      </w:pPr>
    </w:p>
    <w:p w:rsidR="001876D9" w:rsidRDefault="001876D9" w:rsidP="002F4AB7">
      <w:pPr>
        <w:autoSpaceDE w:val="0"/>
        <w:autoSpaceDN w:val="0"/>
        <w:adjustRightInd w:val="0"/>
        <w:spacing w:after="0" w:line="400" w:lineRule="atLeast"/>
        <w:jc w:val="both"/>
        <w:rPr>
          <w:rFonts w:ascii="Times New Roman" w:hAnsi="Times New Roman" w:cs="Times New Roman"/>
          <w:sz w:val="24"/>
          <w:szCs w:val="24"/>
        </w:rPr>
      </w:pPr>
    </w:p>
    <w:p w:rsidR="00C553E8" w:rsidRDefault="00C553E8" w:rsidP="002F4AB7">
      <w:pPr>
        <w:jc w:val="both"/>
        <w:rPr>
          <w:sz w:val="24"/>
          <w:szCs w:val="24"/>
        </w:rPr>
      </w:pPr>
    </w:p>
    <w:p w:rsidR="001876D9" w:rsidRDefault="001876D9" w:rsidP="002F4AB7">
      <w:pPr>
        <w:jc w:val="both"/>
        <w:rPr>
          <w:b/>
          <w:sz w:val="28"/>
          <w:szCs w:val="28"/>
        </w:rPr>
      </w:pPr>
      <w:r w:rsidRPr="001876D9">
        <w:rPr>
          <w:b/>
          <w:noProof/>
          <w:sz w:val="28"/>
          <w:szCs w:val="28"/>
        </w:rPr>
        <w:drawing>
          <wp:inline distT="0" distB="0" distL="0" distR="0">
            <wp:extent cx="5943775" cy="3439236"/>
            <wp:effectExtent l="19050" t="0" r="0" b="0"/>
            <wp:docPr id="8"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1"/>
                    <a:srcRect/>
                    <a:stretch>
                      <a:fillRect/>
                    </a:stretch>
                  </pic:blipFill>
                  <pic:spPr bwMode="auto">
                    <a:xfrm>
                      <a:off x="0" y="0"/>
                      <a:ext cx="5943600" cy="3439135"/>
                    </a:xfrm>
                    <a:prstGeom prst="rect">
                      <a:avLst/>
                    </a:prstGeom>
                    <a:noFill/>
                    <a:ln w="9525">
                      <a:noFill/>
                      <a:miter lim="800000"/>
                      <a:headEnd/>
                      <a:tailEnd/>
                    </a:ln>
                    <a:effectLst/>
                  </pic:spPr>
                </pic:pic>
              </a:graphicData>
            </a:graphic>
          </wp:inline>
        </w:drawing>
      </w:r>
      <w:r>
        <w:rPr>
          <w:b/>
          <w:sz w:val="28"/>
          <w:szCs w:val="28"/>
        </w:rPr>
        <w:t xml:space="preserve">                                                                                                   </w:t>
      </w:r>
    </w:p>
    <w:p w:rsidR="001876D9" w:rsidRDefault="001876D9" w:rsidP="002F4AB7">
      <w:pPr>
        <w:jc w:val="both"/>
        <w:rPr>
          <w:b/>
          <w:sz w:val="28"/>
          <w:szCs w:val="28"/>
        </w:rPr>
      </w:pPr>
    </w:p>
    <w:p w:rsidR="001876D9" w:rsidRDefault="001876D9" w:rsidP="002F4AB7">
      <w:pPr>
        <w:jc w:val="both"/>
        <w:rPr>
          <w:b/>
          <w:sz w:val="28"/>
          <w:szCs w:val="28"/>
        </w:rPr>
      </w:pPr>
    </w:p>
    <w:p w:rsidR="001876D9" w:rsidRDefault="001876D9" w:rsidP="002F4AB7">
      <w:pPr>
        <w:jc w:val="both"/>
        <w:rPr>
          <w:b/>
          <w:sz w:val="28"/>
          <w:szCs w:val="28"/>
        </w:rPr>
      </w:pPr>
    </w:p>
    <w:p w:rsidR="001876D9" w:rsidRDefault="001876D9" w:rsidP="002F4AB7">
      <w:pPr>
        <w:jc w:val="both"/>
        <w:rPr>
          <w:b/>
          <w:sz w:val="28"/>
          <w:szCs w:val="28"/>
        </w:rPr>
      </w:pPr>
    </w:p>
    <w:p w:rsidR="001876D9" w:rsidRDefault="001B64BE" w:rsidP="002F4AB7">
      <w:pPr>
        <w:jc w:val="both"/>
        <w:rPr>
          <w:b/>
          <w:sz w:val="28"/>
          <w:szCs w:val="28"/>
        </w:rPr>
      </w:pPr>
      <w:r w:rsidRPr="001B64BE">
        <w:rPr>
          <w:b/>
          <w:noProof/>
          <w:sz w:val="28"/>
          <w:szCs w:val="28"/>
        </w:rPr>
        <w:drawing>
          <wp:inline distT="0" distB="0" distL="0" distR="0">
            <wp:extent cx="5943600" cy="3970548"/>
            <wp:effectExtent l="1905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5943600" cy="3970548"/>
                    </a:xfrm>
                    <a:prstGeom prst="rect">
                      <a:avLst/>
                    </a:prstGeom>
                    <a:noFill/>
                    <a:ln w="9525">
                      <a:noFill/>
                      <a:miter lim="800000"/>
                      <a:headEnd/>
                      <a:tailEnd/>
                    </a:ln>
                  </pic:spPr>
                </pic:pic>
              </a:graphicData>
            </a:graphic>
          </wp:inline>
        </w:drawing>
      </w:r>
    </w:p>
    <w:p w:rsidR="001876D9" w:rsidRDefault="001876D9" w:rsidP="002F4AB7">
      <w:pPr>
        <w:jc w:val="both"/>
        <w:rPr>
          <w:b/>
          <w:sz w:val="28"/>
          <w:szCs w:val="28"/>
        </w:rPr>
      </w:pPr>
    </w:p>
    <w:p w:rsidR="00C553E8" w:rsidRDefault="000658EE" w:rsidP="002F4AB7">
      <w:pPr>
        <w:jc w:val="both"/>
        <w:rPr>
          <w:b/>
          <w:sz w:val="28"/>
          <w:szCs w:val="28"/>
        </w:rPr>
      </w:pPr>
      <w:r w:rsidRPr="000658EE">
        <w:rPr>
          <w:b/>
          <w:noProof/>
          <w:sz w:val="28"/>
          <w:szCs w:val="28"/>
        </w:rPr>
        <w:drawing>
          <wp:inline distT="0" distB="0" distL="0" distR="0">
            <wp:extent cx="6095147" cy="3256673"/>
            <wp:effectExtent l="19050" t="0" r="853"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114261" cy="3266886"/>
                    </a:xfrm>
                    <a:prstGeom prst="rect">
                      <a:avLst/>
                    </a:prstGeom>
                    <a:noFill/>
                    <a:ln w="9525">
                      <a:noFill/>
                      <a:miter lim="800000"/>
                      <a:headEnd/>
                      <a:tailEnd/>
                    </a:ln>
                  </pic:spPr>
                </pic:pic>
              </a:graphicData>
            </a:graphic>
          </wp:inline>
        </w:drawing>
      </w:r>
    </w:p>
    <w:p w:rsidR="001B64BE" w:rsidRDefault="001B64BE" w:rsidP="002F4AB7">
      <w:pPr>
        <w:autoSpaceDE w:val="0"/>
        <w:autoSpaceDN w:val="0"/>
        <w:adjustRightInd w:val="0"/>
        <w:spacing w:after="0" w:line="240" w:lineRule="auto"/>
        <w:jc w:val="both"/>
        <w:rPr>
          <w:rFonts w:ascii="Times New Roman" w:hAnsi="Times New Roman" w:cs="Times New Roman"/>
          <w:sz w:val="24"/>
          <w:szCs w:val="24"/>
        </w:rPr>
      </w:pPr>
    </w:p>
    <w:p w:rsidR="001B64BE" w:rsidRDefault="001B64BE" w:rsidP="002F4AB7">
      <w:pPr>
        <w:autoSpaceDE w:val="0"/>
        <w:autoSpaceDN w:val="0"/>
        <w:adjustRightInd w:val="0"/>
        <w:spacing w:after="0" w:line="240" w:lineRule="auto"/>
        <w:jc w:val="both"/>
        <w:rPr>
          <w:rFonts w:ascii="Times New Roman" w:hAnsi="Times New Roman" w:cs="Times New Roman"/>
          <w:sz w:val="24"/>
          <w:szCs w:val="24"/>
        </w:rPr>
      </w:pPr>
    </w:p>
    <w:p w:rsidR="001B64BE" w:rsidRDefault="001B64BE" w:rsidP="002F4AB7">
      <w:pPr>
        <w:autoSpaceDE w:val="0"/>
        <w:autoSpaceDN w:val="0"/>
        <w:adjustRightInd w:val="0"/>
        <w:spacing w:after="0" w:line="400" w:lineRule="atLeast"/>
        <w:jc w:val="both"/>
        <w:rPr>
          <w:rFonts w:ascii="Times New Roman" w:hAnsi="Times New Roman" w:cs="Times New Roman"/>
          <w:sz w:val="24"/>
          <w:szCs w:val="24"/>
        </w:rPr>
      </w:pPr>
    </w:p>
    <w:p w:rsidR="00C553E8" w:rsidRDefault="001B64BE" w:rsidP="002F4AB7">
      <w:pPr>
        <w:jc w:val="both"/>
        <w:rPr>
          <w:b/>
          <w:sz w:val="28"/>
          <w:szCs w:val="28"/>
        </w:rPr>
      </w:pPr>
      <w:r w:rsidRPr="001B64BE">
        <w:rPr>
          <w:b/>
          <w:noProof/>
          <w:sz w:val="28"/>
          <w:szCs w:val="28"/>
        </w:rPr>
        <w:drawing>
          <wp:inline distT="0" distB="0" distL="0" distR="0">
            <wp:extent cx="5934575" cy="3398292"/>
            <wp:effectExtent l="19050" t="0" r="902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943600" cy="3403460"/>
                    </a:xfrm>
                    <a:prstGeom prst="rect">
                      <a:avLst/>
                    </a:prstGeom>
                    <a:noFill/>
                    <a:ln w="9525">
                      <a:noFill/>
                      <a:miter lim="800000"/>
                      <a:headEnd/>
                      <a:tailEnd/>
                    </a:ln>
                  </pic:spPr>
                </pic:pic>
              </a:graphicData>
            </a:graphic>
          </wp:inline>
        </w:drawing>
      </w:r>
    </w:p>
    <w:p w:rsidR="00C553E8" w:rsidRDefault="00C553E8" w:rsidP="002F4AB7">
      <w:pPr>
        <w:jc w:val="both"/>
        <w:rPr>
          <w:b/>
          <w:sz w:val="28"/>
          <w:szCs w:val="28"/>
        </w:rPr>
      </w:pPr>
    </w:p>
    <w:p w:rsidR="00C553E8" w:rsidRDefault="001B64BE" w:rsidP="002F4AB7">
      <w:pPr>
        <w:jc w:val="both"/>
        <w:rPr>
          <w:b/>
          <w:sz w:val="28"/>
          <w:szCs w:val="28"/>
        </w:rPr>
      </w:pPr>
      <w:r w:rsidRPr="001B64BE">
        <w:rPr>
          <w:b/>
          <w:noProof/>
          <w:sz w:val="28"/>
          <w:szCs w:val="28"/>
        </w:rPr>
        <w:drawing>
          <wp:inline distT="0" distB="0" distL="0" distR="0">
            <wp:extent cx="5943600" cy="3303404"/>
            <wp:effectExtent l="19050" t="0" r="0" b="0"/>
            <wp:docPr id="20"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5"/>
                    <a:srcRect/>
                    <a:stretch>
                      <a:fillRect/>
                    </a:stretch>
                  </pic:blipFill>
                  <pic:spPr bwMode="auto">
                    <a:xfrm>
                      <a:off x="0" y="0"/>
                      <a:ext cx="5943600" cy="3303404"/>
                    </a:xfrm>
                    <a:prstGeom prst="rect">
                      <a:avLst/>
                    </a:prstGeom>
                    <a:noFill/>
                    <a:ln w="9525">
                      <a:noFill/>
                      <a:miter lim="800000"/>
                      <a:headEnd/>
                      <a:tailEnd/>
                    </a:ln>
                    <a:effectLst/>
                  </pic:spPr>
                </pic:pic>
              </a:graphicData>
            </a:graphic>
          </wp:inline>
        </w:drawing>
      </w:r>
    </w:p>
    <w:p w:rsidR="00C553E8" w:rsidRDefault="00C553E8" w:rsidP="002F4AB7">
      <w:pPr>
        <w:jc w:val="both"/>
        <w:rPr>
          <w:b/>
          <w:sz w:val="28"/>
          <w:szCs w:val="28"/>
        </w:rPr>
      </w:pPr>
    </w:p>
    <w:p w:rsidR="009C158A" w:rsidRPr="004A4932" w:rsidRDefault="009C158A" w:rsidP="002F4AB7">
      <w:pPr>
        <w:pStyle w:val="Heading1"/>
        <w:jc w:val="both"/>
      </w:pPr>
      <w:bookmarkStart w:id="19" w:name="_Toc73713187"/>
      <w:r w:rsidRPr="004A4932">
        <w:lastRenderedPageBreak/>
        <w:t>Discussion</w:t>
      </w:r>
      <w:bookmarkEnd w:id="19"/>
    </w:p>
    <w:p w:rsidR="009C158A" w:rsidRDefault="009C158A" w:rsidP="002F4AB7">
      <w:pPr>
        <w:jc w:val="both"/>
        <w:rPr>
          <w:sz w:val="24"/>
          <w:szCs w:val="24"/>
        </w:rPr>
      </w:pPr>
      <w:r w:rsidRPr="009C158A">
        <w:rPr>
          <w:sz w:val="24"/>
          <w:szCs w:val="24"/>
        </w:rPr>
        <w:t>In Developing country like ours, peritonitis is one of the causes of acute abdomen that is associated with high mortality and morbidity</w:t>
      </w:r>
      <w:r w:rsidR="002A5593">
        <w:rPr>
          <w:sz w:val="24"/>
          <w:szCs w:val="24"/>
        </w:rPr>
        <w:t>.</w:t>
      </w:r>
    </w:p>
    <w:p w:rsidR="009C158A" w:rsidRPr="00A75AF6" w:rsidRDefault="002A5593" w:rsidP="002F4AB7">
      <w:pPr>
        <w:jc w:val="both"/>
        <w:rPr>
          <w:rFonts w:cstheme="minorHAnsi"/>
          <w:sz w:val="24"/>
          <w:szCs w:val="24"/>
        </w:rPr>
      </w:pPr>
      <w:r>
        <w:rPr>
          <w:sz w:val="24"/>
          <w:szCs w:val="24"/>
        </w:rPr>
        <w:t>In t</w:t>
      </w:r>
      <w:r w:rsidR="00DC440D">
        <w:rPr>
          <w:sz w:val="24"/>
          <w:szCs w:val="24"/>
        </w:rPr>
        <w:t>his study, appendicitis was</w:t>
      </w:r>
      <w:r>
        <w:rPr>
          <w:sz w:val="24"/>
          <w:szCs w:val="24"/>
        </w:rPr>
        <w:t xml:space="preserve"> the commonest cause of peritonitis, which is consistent </w:t>
      </w:r>
      <w:r w:rsidR="00DC440D">
        <w:rPr>
          <w:sz w:val="24"/>
          <w:szCs w:val="24"/>
        </w:rPr>
        <w:t xml:space="preserve">with most studies in </w:t>
      </w:r>
      <w:r w:rsidR="00063300">
        <w:rPr>
          <w:sz w:val="24"/>
          <w:szCs w:val="24"/>
        </w:rPr>
        <w:t>Ethiopia</w:t>
      </w:r>
      <w:r w:rsidR="006331EC">
        <w:rPr>
          <w:sz w:val="24"/>
          <w:szCs w:val="24"/>
        </w:rPr>
        <w:fldChar w:fldCharType="begin"/>
      </w:r>
      <w:r w:rsidR="0098481B">
        <w:rPr>
          <w:sz w:val="24"/>
          <w:szCs w:val="24"/>
        </w:rPr>
        <w:instrText xml:space="preserve"> ADDIN ZOTERO_ITEM CSL_CITATION {"citationID":"MNVB74gx","properties":{"formattedCitation":"(2,3,5,6)","plainCitation":"(2,3,5,6)","noteIndex":0},"citationItems":[{"id":9,"uris":["http://zotero.org/users/local/OmjLzqcp/items/UI5P3UKC"],"uri":["http://zotero.org/users/local/OmjLzqcp/items/UI5P3UKC"],"itemData":{"id":9,"type":"article-journal","abstract":"Background: Acute is defined as a sudde onset abdominal pain which often requires an immediate intervention. The causes of acute abdomen are several and their relative incidence varies in different populations. Several factors are described to be responsible for these differences. Socioeconomic factors and diet have mostly been incriminated to be responsible for the observed differences. Intestinal obstruction has been the leading cause of acute abdomen in several African countries whereas acute appendicitis is the most frequently seen cause in the developed world. The leading causes of intestinal obstruction in Africans have mostly been hernia and volvulus whereas adhesions are most frequent in the developed world. There are, however, some African studies which are pointing to a change in these established patterns. This study was aimed at assessing the magnitude, pattern of acute abdomen in Ayder referral hospital.\nMethods:This was a 3 years retrospective study conducted on all patients operated for non-traumatic acute abdomen in Ayder hospital, Mekelle, during the year of September, 2000-2003 E.C.\nResults:During the study period there were 514 emergency surgical operations of which 439 were laparotomies for acute abdomen. The male to female ratio 3:1, the age ranged from 30 days-88 years with a mean of 28.4 ± 19.5 years. Two hundred fifty patients (57%) were urban dweller, 189 (43%) cases were from rural area; of which 152 (34.6%) were referred from nearby health centers and affiliated hospitals presented late with duration of illness more than 5 days. Acute appendicitis accounting for 55.35% of cases was the leading cause of acute abdomen followed by intestinal obstruction 37.35% and peritonitis 17.3% among which 10% was resulted from perforated appendix, and 4.6% from PPUD. A higher frequency of peritonitis was observed on patients who presented late.\nConclusion and recommendation:Acute abdomen is a surgical condition with high rate of morbidity and mortality if not managed timely and appropriately. To alleviate this problem creation of health awareness on acute abdomen to the general population in general and to the low and mid-level health care providers in particular is of paramount importance. As most of the complicated cases with delayed presentation are referred cases and most of them can be handled by properly trained MSC in emergency surgery such resources should be available at the most commonly referring health institutions.","issue":"5","language":"en","page":"4","source":"Zotero","title":"Pattern of Emergency Surgical Operations Performed for Non-Traumatic Acute Abdomen at Ayder Referral Hospital, Mekelle University, Tigrai, Ethiopia by the Year 2000-2003 Ec","volume":"9","author":[{"family":"Wossen","given":"Melese Takele"}],"issued":{"date-parts":[["2019"]]}},"label":"page"},{"id":70,"uris":["http://zotero.org/users/local/OmjLzqcp/items/B46SANY2"],"uri":["http://zotero.org/users/local/OmjLzqcp/items/B46SANY2"],"itemData":{"id":70,"type":"article-journal","abstract":"Non traumatic acute abdomen is an acute onset of abdominal disease entities that require immediate surgical intervention in most of the cases. The causes of non-traumatic surgical acute abdomen and their relative incidence vary in different populations.","DOI":"10.23937/2378-3397/1410099","ISSN":"2378-3397","language":"en-US","note":"publisher: clinmed journals","source":"clinmedjournals.org","title":"Management Outcome and Associated Factors of Surgically Treated Non Traumatic Acute Abdomen at Attat Hospital, Gurage Zone, Ethiopia.","URL":"https://clinmedjournals.org/articles/ijsrp/international-journal-of-surgery-research-and-practice-ijsrp-6-099.php?jid=ijsrp","author":[{"family":"Ta","given":"Gebrie"},{"family":"Ta","given":"Gebrie"}],"accessed":{"date-parts":[["2020",10,21]]}},"label":"page"},{"id":79,"uris":["http://zotero.org/users/local/OmjLzqcp/items/AX8PREVY"],"uri":["http://zotero.org/users/local/OmjLzqcp/items/AX8PREVY"],"itemData":{"id":79,"type":"article-journal","abstract":"Background: Acute abdomen is an acute onset of abdominal disease entities that require immediate surgical intervention in most of the cases. The causes of non-traumatic surgical acute and their relative incidence varies in different populations.\nObjective: To determine the magnitude and the common causes as well presenting features and the outcome of non-traumatic surgical acute abdomen (In Nekemte Referral Hospital, Oromia region, Ethiopia).\nMethods: A retrospective cross sectional study was conducted using data available at Nekemte Referral Hospital from January 2011 to December 2013. We examined 295 records of the patients from the medical records. Data were collected using checklist based on registration books. The data were entered and analyzed using SPSS version 20.0 statistical package. The association between the independent and dependent variable was assessed by bivariate and multivariate regression analyses. A 95% CI and p-value of ≤0.05 were used to determine independent predictors of outcome of non-traumatic surgical acute abdomen. Results: Out of 295 patients, 230 were males and 65 were females. The age ranged from 6 months to 80 years with a mean age of 33.7 ± 18.6 years. Out of 295, 57.6% was rural and 46.4% were urban dwellers. The most common cause of acute abdomen was acute appendicitis 140(47.4%) followed by bowl obstruction 118(40.0%). Age, Residence, Duration of illness and length of hospital stays are independent predictors of management outcomes of non-Traumatic acute abdomen.\nConclusion: Complications were more in cases from rural area due to delay at presentation and no operation facility and surgeons for solutions.","container-title":"Surgery: Current Research","DOI":"10.4172/2161-1076.1000282","ISSN":"21611076","issue":"01","journalAbbreviation":"Surgery Curr Res","language":"en","source":"DOI.org (Crossref)","title":"Outcome of Non-Traumatic Surgical Acute Abdomen in Nekemte Referral Hospital Southwest Ethiopia: A Retrospective Cross-Sectional Study","title-short":"Outcome of Non-Traumatic Surgical Acute Abdomen in Nekemte Referral Hospital Southwest Ethiopia","URL":"https://www.omicsonline.org/open-access/outcome-of-nontraumatic-surgical-acute-abdomen-in-nekemte-referralhospital-southwest-ethiopia-a-retrospective-crosssectional-study-2161-1076-1000282.php?aid=83790","volume":"07","author":[{"family":"Ayenew","given":"Zinabu"},{"family":"Gizaw","given":"Abraham Tamirat"},{"family":"Workneh","given":"Desta"},{"family":"Fentahun","given":"Netsanet"}],"accessed":{"date-parts":[["2020",10,22]]},"issued":{"date-parts":[["2017"]]}},"label":"page"},{"id":76,"uris":["http://zotero.org/users/local/OmjLzqcp/items/6T7XDX9Z"],"uri":["http://zotero.org/users/local/OmjLzqcp/items/6T7XDX9Z"],"itemData":{"id":76,"type":"webpage","title":"Outcome of emergency surgical operations performed for non-traumatic acute abdomen among adults in Mekele Hospital, Tigray, Ethiopia, 2013.","URL":"https://www.ejpmr.com/home/abstract_id/886","accessed":{"date-parts":[["2020",10,21]]}},"label":"page"}],"schema":"https://github.com/citation-style-language/schema/raw/master/csl-citation.json"} </w:instrText>
      </w:r>
      <w:r w:rsidR="006331EC">
        <w:rPr>
          <w:sz w:val="24"/>
          <w:szCs w:val="24"/>
        </w:rPr>
        <w:fldChar w:fldCharType="separate"/>
      </w:r>
      <w:r w:rsidR="0098481B" w:rsidRPr="0098481B">
        <w:rPr>
          <w:rFonts w:ascii="Calibri" w:hAnsi="Calibri" w:cs="Calibri"/>
          <w:sz w:val="24"/>
        </w:rPr>
        <w:t>(2,3,5,6)</w:t>
      </w:r>
      <w:r w:rsidR="006331EC">
        <w:rPr>
          <w:sz w:val="24"/>
          <w:szCs w:val="24"/>
        </w:rPr>
        <w:fldChar w:fldCharType="end"/>
      </w:r>
      <w:r w:rsidR="00D91E4E">
        <w:rPr>
          <w:sz w:val="24"/>
          <w:szCs w:val="24"/>
        </w:rPr>
        <w:t xml:space="preserve"> and </w:t>
      </w:r>
      <w:r w:rsidR="00D91E4E" w:rsidRPr="00D91E4E">
        <w:rPr>
          <w:sz w:val="24"/>
          <w:szCs w:val="24"/>
        </w:rPr>
        <w:t>in Western countries</w:t>
      </w:r>
      <w:r w:rsidR="006331EC">
        <w:rPr>
          <w:sz w:val="24"/>
          <w:szCs w:val="24"/>
        </w:rPr>
        <w:fldChar w:fldCharType="begin"/>
      </w:r>
      <w:r w:rsidR="00896803">
        <w:rPr>
          <w:sz w:val="24"/>
          <w:szCs w:val="24"/>
        </w:rPr>
        <w:instrText xml:space="preserve"> ADDIN ZOTERO_ITEM CSL_CITATION {"citationID":"ODXuGYRo","properties":{"formattedCitation":"(30)","plainCitation":"(30)","noteIndex":0},"citationItems":[{"id":96,"uris":["http://zotero.org/users/local/OmjLzqcp/items/CS62GPDJ"],"uri":["http://zotero.org/users/local/OmjLzqcp/items/CS62GPDJ"],"itemData":{"id":96,"type":"article-journal","abstract":"OBJECTIVE: To compare the characteristics and outcomes of patients with intraabdominal infections enrolled in prospective randomized trials (PRTs) with those of a cohort of patients not enrolled in a trial.\nSUMMARY BACKGROUND DATA: Prospective randomized trials are the gold standard for the evaluation of new treatments. Patients are screened using rigorous eligibility criteria and sometimes are excluded from PRTs because of associated medical conditions or more severe illness. However, the effect that the exclusion of these patients has on the applicability of clinical trial outcomes has not been defined.\nMETHODS: One hundred sixty-eight adults with intraabdominal infection were treated at a single institution during 7 years. Fifty-three patients were enrolled in four PRTs comparing various antibiotic regimens for treatment; 115 were not enrolled. Patient characteristics and outcomes of these two groups were compared.\nRESULTS: Patients with infections from appendicitis (n = 68) had a low severity of illness and similar outcomes in both groups. These patients and those for whom a concurrent PRT was unavailable were excluded from subsequent analysis. Eighty-eight patients (42 PRT, 46 not enrolled) with serious infection remained for analysis. Patients enrolled in PRTs were younger, had less severe illness, had a decreased length of stay, a lower incidence of antibiotic resistance, and less frequent extraabdominal infections than those not enrolled in a trial. Patients enrolled in PRTs were more likely to be cured and were less likely to die. Logistic regression analysis demonstrated that cure was associated with a lower initial severity of illness, absence of antibiotic resistance, and participation in a PRT.\nCONCLUSIONS: Patients with intraabdominal infection enrolled in PRTs have an increased likelihood of cure and survival. This is due in part to a lower incidence of antibiotic resistance, which may reflect improved drug selection. Patients not enrolled in PRTs are at greater risk for treatment failure and death because of concomitant illness. Outcomes from PRTs may not be applicable to all patients with intraabdominal infections.","container-title":"Annals of Surgery","DOI":"10.1097/00000658-200106000-00017","ISSN":"0003-4932","issue":"6","journalAbbreviation":"Ann Surg","language":"eng","note":"PMID: 11371744\nPMCID: PMC1421330","page":"859-866","source":"PubMed","title":"Prospective randomized trials affect the outcomes of intraabdominal infection","volume":"233","author":[{"family":"Merlino","given":"J. I."},{"family":"Malangoni","given":"M. A."},{"family":"Smith","given":"C. M."},{"family":"Lange","given":"R. L."}],"issued":{"date-parts":[["2001",6]]}}}],"schema":"https://github.com/citation-style-language/schema/raw/master/csl-citation.json"} </w:instrText>
      </w:r>
      <w:r w:rsidR="006331EC">
        <w:rPr>
          <w:sz w:val="24"/>
          <w:szCs w:val="24"/>
        </w:rPr>
        <w:fldChar w:fldCharType="separate"/>
      </w:r>
      <w:r w:rsidR="00F60978">
        <w:rPr>
          <w:rFonts w:ascii="Calibri" w:hAnsi="Calibri" w:cs="Calibri"/>
          <w:sz w:val="24"/>
        </w:rPr>
        <w:t>(31</w:t>
      </w:r>
      <w:r w:rsidR="00896803" w:rsidRPr="00896803">
        <w:rPr>
          <w:rFonts w:ascii="Calibri" w:hAnsi="Calibri" w:cs="Calibri"/>
          <w:sz w:val="24"/>
        </w:rPr>
        <w:t>)</w:t>
      </w:r>
      <w:r w:rsidR="006331EC">
        <w:rPr>
          <w:sz w:val="24"/>
          <w:szCs w:val="24"/>
        </w:rPr>
        <w:fldChar w:fldCharType="end"/>
      </w:r>
      <w:r w:rsidR="00D91E4E">
        <w:rPr>
          <w:sz w:val="24"/>
          <w:szCs w:val="24"/>
        </w:rPr>
        <w:t>. The overall mortality of patients with secondary</w:t>
      </w:r>
      <w:r w:rsidR="00A35AD3">
        <w:rPr>
          <w:sz w:val="24"/>
          <w:szCs w:val="24"/>
        </w:rPr>
        <w:t xml:space="preserve"> peritonitis </w:t>
      </w:r>
      <w:r w:rsidR="00A35AD3" w:rsidRPr="00A35AD3">
        <w:rPr>
          <w:sz w:val="24"/>
          <w:szCs w:val="24"/>
        </w:rPr>
        <w:t>is</w:t>
      </w:r>
      <w:r w:rsidR="00A35AD3">
        <w:rPr>
          <w:sz w:val="24"/>
          <w:szCs w:val="24"/>
        </w:rPr>
        <w:t xml:space="preserve"> </w:t>
      </w:r>
      <w:r w:rsidR="00A35AD3" w:rsidRPr="00A35AD3">
        <w:rPr>
          <w:sz w:val="24"/>
          <w:szCs w:val="24"/>
        </w:rPr>
        <w:t>reported to be</w:t>
      </w:r>
      <w:r w:rsidR="00A35AD3">
        <w:rPr>
          <w:sz w:val="24"/>
          <w:szCs w:val="24"/>
        </w:rPr>
        <w:t xml:space="preserve"> between 12</w:t>
      </w:r>
      <w:r w:rsidR="00896803">
        <w:rPr>
          <w:sz w:val="24"/>
          <w:szCs w:val="24"/>
        </w:rPr>
        <w:t>%</w:t>
      </w:r>
      <w:r w:rsidR="00A35AD3">
        <w:rPr>
          <w:sz w:val="24"/>
          <w:szCs w:val="24"/>
        </w:rPr>
        <w:t xml:space="preserve"> and 79% </w:t>
      </w:r>
      <w:r w:rsidR="006331EC">
        <w:rPr>
          <w:sz w:val="24"/>
          <w:szCs w:val="24"/>
        </w:rPr>
        <w:fldChar w:fldCharType="begin"/>
      </w:r>
      <w:r w:rsidR="00896803">
        <w:rPr>
          <w:sz w:val="24"/>
          <w:szCs w:val="24"/>
        </w:rPr>
        <w:instrText xml:space="preserve"> ADDIN ZOTERO_ITEM CSL_CITATION {"citationID":"dxYdzyzS","properties":{"formattedCitation":"(19,31\\uc0\\u8211{}35)","plainCitation":"(19,31–35)","noteIndex":0},"citationItems":[{"id":84,"uris":["http://zotero.org/users/local/OmjLzqcp/items/BYJVM6PM"],"uri":["http://zotero.org/users/local/OmjLzqcp/items/BYJVM6PM"],"itemData":{"id":84,"type":"article-journal","abstract":"BACKGROUND: Planned relaparotomy (PR) and relaparotomy on demand (ROD) are both frequently used in the treatment of secondary peritonitis. The aim of this study was to evaluate the mortality, morbidity and long-term outcome associated with PR compared with ROD in patients with secondary peritonitis admitted to a university hospital.\nMETHOD: This retrospective study included 278 consecutive patients who underwent emergency laparotomy for secondary peritonitis between January 1994 and January 2000. Outcome was analysed based on the decision made by the surgeon during the first operation to perform either ROD (197 patients) or PR (81).\nRESULTS: The Acute Physiology And Chronic Health Evaluation II score was comparable in ROD and PR groups (10.8 versus 11.7; P = 0.222). The in-hospital mortality rate was significantly lower with ROD than PR (21.8 versus 36 per cent; P = 0.016). Two-year survival(s.e.) was 65.8(3.4) per cent in the ROD group and 55.5(5.5) per cent in the PR group (P = 0.031).\nCONCLUSION: The in-hospital and long-term survival rates were higher in patients with secondary peritonitis treated by ROD than in those with disease of comparable severity treated by PR. Choice of treatment strategy was an independent predictor of survival.","container-title":"The British Journal of Surgery","DOI":"10.1002/bjs.4517","ISSN":"0007-1323","issue":"8","journalAbbreviation":"Br J Surg","language":"eng","note":"PMID: 15286969","page":"1046-1054","source":"PubMed","title":"Mortality and morbidity of planned relaparotomy versus relaparotomy on demand for secondary peritonitis","volume":"91","author":[{"family":"Lamme","given":"B."},{"family":"Boermeester","given":"M. A."},{"family":"Belt","given":"E. J. T."},{"family":"Till","given":"J. W. O.","non-dropping-particle":"van"},{"family":"Gouma","given":"D. J."},{"family":"Obertop","given":"H."}],"issued":{"date-parts":[["2004",8]]}},"label":"page"},{"id":99,"uris":["http://zotero.org/users/local/OmjLzqcp/items/TNFUE5WA"],"uri":["http://zotero.org/users/local/OmjLzqcp/items/TNFUE5WA"],"itemData":{"id":99,"type":"article-journal","abstract":"This prospective, open, consecutive, nonrandomized trial examined management techniques and outcome in severe peritonitis. A total of 239 patients with surgical infection in the abdomen and an APACHE (acute physiology and chronic health evaluation) II score greater than 10 were studied. Seventy-seven patients (32%) died. Reoperation had a 42% mortality rate (35 of 83 patients died) compared with a 27% mortality rate (42 of 156 died) in patients who did not undergo reoperation. Forty-six patients underwent one reoperation; 15, two reoperations; 10, three reoperations; five, four reoperations; and seven, five reoperations, with mortality rates of 43%, 40%, 30%, 40%, and 57%, respectively. There was no significant difference in mortality between patients treated with a \"closed-abdomen technique\" (31% mortality) and those treated with variations of the \"open-abdomen\" technique (44% mortality). Logistic regression analysis showed that a high APACHE II score, low serum albumin level, and high New York Heart Association cardiac function status were significantly and independently associated with death. Low serum albumin level, youth, and high APACHE II score were significantly and independently associated with reoperation.","container-title":"Archives of Surgery (Chicago, Ill.: 1960)","DOI":"10.1001/archsurg.1993.01420140070011","ISSN":"0004-0010","issue":"2","journalAbbreviation":"Arch Surg","language":"eng","note":"PMID: 8431120","page":"193-198; discussion 198-199","source":"PubMed","title":"Surgical Infection Society intra-abdominal infection study. Prospective evaluation of management techniques and outcome","volume":"128","author":[{"family":"Christou","given":"N. V."},{"family":"Barie","given":"P. S."},{"family":"Dellinger","given":"E. P."},{"family":"Waymack","given":"J. P."},{"family":"Stone","given":"H. H."}],"issued":{"date-parts":[["1993",2]]}},"label":"page"},{"id":101,"uris":["http://zotero.org/users/local/OmjLzqcp/items/S6PADWL8"],"uri":["http://zotero.org/users/local/OmjLzqcp/items/S6PADWL8"],"itemData":{"id":101,"type":"article-journal","abstract":"OBJECTIVE: To assess the clinical significance of present scoring systems for prognosis and treatment in patients with secondary bacterial peritonitis and to define risk factors for patient survival and outcome not included in the scores. A secondary objective was to review our therapeutic regimens and the need for reoperation with regard to outcome.\nDESIGN: Prospective observational study.\nSETTING: University hospital, secondary referral center.\nPATIENTS: From 1992 to 1995, 92 patients with secondary peritonitis were examined at the University Surgical Clinic, Vienna, Austria. the populations as a whole consisted of 56 men and 36 women with an average age of 56 +/- 19 years. Forty-four percent of patients had postoperative peritonitis.\nOUTCOME MEASURES: Mortality, multiple organ system failure (MOSF), relaparotomy.\nRESULTS: The mortality rate in patients with an APACHE II (Adult Physiology and Chronic Health Evaluation) score of less than 15 was 4.8%, while mortality rose to 46.7% in those with a score of 15 or higher (P = .001). The average total mortality rate was 18.5%. The prognosis for patients without organ failure or with failure of one organ system was excellent (mortality rate, 0%); quadruple organ failure, however, had a mortality rate of 90%. Initial thrombocytopenia ( &lt; 60 x 10(9)/L), four-quadrant peritonitis, and diabetes mellitus were associated with significantly higher mortality. Leukopenia (white blood cells, &lt; 6 x 10(9)/L) and inappropriate antibiotic therapy as determined by the antibiogram were mildly significant for higher mortality. The need for relaparotomy resulted in substantially higher mortality (P &lt; .001). The impossibility of definitive operative resolution of the intra-abdominal pathologic findings at initial operation had no significant effect on mortality, possibly because planned reoperations were always carried out in those cases. For patients with definitive resolution at initial operation, it was possible to reduce the traditionally high mortality rate associated with relaparotomy on demand by making the decision for reexploration promptly, within the first 48 hours. Nevertheless, the 52.4% mortality rate observed in those cases was still much higher than the 33% found in patients who were not free of disease after the initial operation.\nCONCLUSION: The prognosis in peritonitis is decisively influenced by the health status of the patient at the beginning of treatment and by any concomitant risk factors. As a result, a fairly accurate prediction of the outcome of the disease can initially be made on the basis of the APACHE II score and the MOSF score according to Goris. However, the certainty that severely ill patients with high scores often die has little clinical relevance, since it does not provide any therapeutic alternatives to the attending physician. The decision to perform a relaparotomy must be made as soon as possible, at least before MOSF emerges. Already existing MOSF will lead to the \"point of no return.\"","container-title":"Archives of Surgery (Chicago, Ill.: 1960)","DOI":"10.1001/archsurg.1996.01430140070019","ISSN":"0004-0010","issue":"2","journalAbbreviation":"Arch Surg","language":"eng","note":"PMID: 8611076","page":"180-186","source":"PubMed","title":"Prognosis and treatment of peritonitis. Do we need new scoring systems?","volume":"131","author":[{"family":"Koperna","given":"T."},{"family":"Schulz","given":"F."}],"issued":{"date-parts":[["1996",2]]}},"label":"page"},{"id":103,"uris":["http://zotero.org/users/local/OmjLzqcp/items/D2M92PKX"],"uri":["http://zotero.org/users/local/OmjLzqcp/items/D2M92PKX"],"itemData":{"id":103,"type":"article-journal","abstract":"OBJECTIVE. The authors review current definition, classification, scoring, microbiology, inflammatory response, and goals of management of secondary peritonitis. SUMMARY BACKGROUND DATA. Despite improved diagnostic modalities, potent antibiotics, modern intensive care, and aggressive surgical treatment, up to one third of patients still die of severe secondary peritonitis. Against the background of current understanding of the local and systemic inflammatory response associated with peritonitis, there is growing controversy concerning the optimal antibiotic and operative therapy, intensified by lack of properly conducted randomized studies. In this overview the authors attempt to outline controversies, suggest a practical clinical approach, and highlight issues necessitating further research. METHODS. The authors review the literature and report their experience. RESULTS. The emerging concepts concerning antibiotic treatment suggest that less-in terms of the number of drugs and the duration of treatment-is better. The classical single operation for peritonitis, which obliterates the source of infection and purges the peritoneal cavity, may be inadequate for severe forms of peritonitis; for the latter, more aggressive surgical techniques are necessary to decompress increased intra-abdominal pressure and prevent or treat persistent and recurrent infection. The widespread acceptance of the more aggressive and demanding surgical methods has been hampered by the lack of randomized trials and reportedly high associated morbidity rates. CONCLUSIONS. Sepsis represents the host's systemic inflammatory response to bacterial peritonitis. To improve results, both the initiator and the biologic consequences of the peritoneal infective-inflammatory process should be addressed. The initiator may be better controlled in severe forms of peritonitis by aggressive surgical methods, whereas the search for methods to abort its systemic consequences is continuing.","container-title":"Annals of Surgery","ISSN":"0003-4932","issue":"1","journalAbbreviation":"Ann Surg","note":"PMID: 8678610\nPMCID: PMC1235241","page":"10-18","source":"PubMed Central","title":"Management of secondary peritonitis.","volume":"224","author":[{"family":"Wittmann","given":"D H"},{"family":"Schein","given":"M"},{"family":"Condon","given":"R E"}],"issued":{"date-parts":[["1996",7]]}},"label":"page"},{"id":106,"uris":["http://zotero.org/users/local/OmjLzqcp/items/PPAF3388"],"uri":["http://zotero.org/users/local/OmjLzqcp/items/PPAF3388"],"itemData":{"id":106,"type":"article-journal","abstract":"Mortality of generalized postoperative peritonitis remains high at 22% to 55%. The aim of the present study was to identify prognostic factors by means of univariate and multivariate analysis in a consecutive series of 96 patients. Mortality was 30%. Inability to clear the abdominal infection or to control the septic source, older age, and unconsciousness were significant factors related to mortality in the multivariate analysis. Failure to control the peritoneal infection (15%) was always fatal and correlated with failed septic source control, high Acute Physiology and Chronic Health Evaluation (APACHE) II score, and male gender. Failure to control the septic source (8%) also was always fatal and correlated with high APACHE II score and therapeutic delay. In patients with immediate source control, residual peritonitis occurred in 9% after purulent or biliary peritonitis and in 41% after fecal peritonitis ( p = 0.002). In patients without immediate control of the septic source, delayed control was still achieved in 100% after a planned relaparotomy (PR) strategy versus 43% after an on-demand relaparotomy (ODR) strategy ( p = 0.018). In the same patients, mortality was 0% in the PR group versus 64% in the ODR group ( p = 0.007). Early relaparotomy is related to improved septic source control. After relaparotomy for generalized postoperative peritonitis, a PR strategy is indicated whenever source control is uncertain. It also might decrease mortality in fecal peritonitis. An ODR approach is adequate for purulent and biliary peritonitis with safe septic source control.","container-title":"World journal of surgery","DOI":"10.1007/s00268-002-6705-x","journalAbbreviation":"World journal of surgery","page":"379-84","source":"ResearchGate","title":"Factors Affecting Mortality in Generalized Postoperative Peritonitis: Multivariate Analysis in 96 Patients","title-short":"Factors Affecting Mortality in Generalized Postoperative Peritonitis","volume":"27","author":[{"family":"Mulier","given":"Stefaan"},{"family":"Penninckx","given":"Freddy"},{"family":"Verwaest","given":"Charles"},{"family":"Filez","given":"Ludo"},{"family":"Aerts","given":"Raymond"},{"family":"Fieuws","given":"Steffen"},{"family":"Lauwers","given":"Peter"}],"issued":{"date-parts":[["2003",5,1]]}},"label":"page"},{"id":109,"uris":["http://zotero.org/users/local/OmjLzqcp/items/4VDYDXZW"],"uri":["http://zotero.org/users/local/OmjLzqcp/items/4VDYDXZW"],"itemData":{"id":109,"type":"webpage","title":"Open management of the septic abdomen: therapeutic and prognostic considerations based on APACHE II. - Abstract - Europe PMC","URL":"https://europepmc.org/article/med/2721209","accessed":{"date-parts":[["2020",10,22]]}},"label":"page"}],"schema":"https://github.com/citation-style-language/schema/raw/master/csl-citation.json"} </w:instrText>
      </w:r>
      <w:r w:rsidR="006331EC">
        <w:rPr>
          <w:sz w:val="24"/>
          <w:szCs w:val="24"/>
        </w:rPr>
        <w:fldChar w:fldCharType="separate"/>
      </w:r>
      <w:r w:rsidR="00896803" w:rsidRPr="00896803">
        <w:rPr>
          <w:rFonts w:ascii="Calibri" w:hAnsi="Calibri" w:cs="Calibri"/>
          <w:sz w:val="24"/>
          <w:szCs w:val="24"/>
        </w:rPr>
        <w:t>(19,31–35)</w:t>
      </w:r>
      <w:r w:rsidR="006331EC">
        <w:rPr>
          <w:sz w:val="24"/>
          <w:szCs w:val="24"/>
        </w:rPr>
        <w:fldChar w:fldCharType="end"/>
      </w:r>
      <w:r w:rsidR="00A35AD3">
        <w:rPr>
          <w:sz w:val="24"/>
          <w:szCs w:val="24"/>
        </w:rPr>
        <w:t>,</w:t>
      </w:r>
      <w:r w:rsidR="00A35AD3" w:rsidRPr="00A35AD3">
        <w:t xml:space="preserve"> </w:t>
      </w:r>
      <w:r w:rsidR="00A35AD3" w:rsidRPr="00A35AD3">
        <w:rPr>
          <w:sz w:val="24"/>
          <w:szCs w:val="24"/>
        </w:rPr>
        <w:t>while</w:t>
      </w:r>
      <w:r w:rsidR="00A35AD3">
        <w:rPr>
          <w:sz w:val="24"/>
          <w:szCs w:val="24"/>
        </w:rPr>
        <w:t xml:space="preserve"> in our study,</w:t>
      </w:r>
      <w:r w:rsidR="001F1E56">
        <w:rPr>
          <w:sz w:val="24"/>
          <w:szCs w:val="24"/>
        </w:rPr>
        <w:t xml:space="preserve"> it is 9.9</w:t>
      </w:r>
      <w:r w:rsidR="00A35AD3" w:rsidRPr="00A35AD3">
        <w:rPr>
          <w:sz w:val="24"/>
          <w:szCs w:val="24"/>
        </w:rPr>
        <w:t>%</w:t>
      </w:r>
      <w:r w:rsidR="001F1E56">
        <w:rPr>
          <w:sz w:val="24"/>
          <w:szCs w:val="24"/>
        </w:rPr>
        <w:t>.</w:t>
      </w:r>
      <w:r w:rsidR="00063300">
        <w:rPr>
          <w:sz w:val="24"/>
          <w:szCs w:val="24"/>
        </w:rPr>
        <w:t xml:space="preserve"> </w:t>
      </w:r>
      <w:r w:rsidR="009C158A" w:rsidRPr="009C158A">
        <w:rPr>
          <w:sz w:val="24"/>
          <w:szCs w:val="24"/>
        </w:rPr>
        <w:t>In our study, the incidence of relaparatomy for postop collection was 23.3 %, which is in higher range than most of</w:t>
      </w:r>
      <w:r w:rsidR="00A97907">
        <w:rPr>
          <w:sz w:val="24"/>
          <w:szCs w:val="24"/>
        </w:rPr>
        <w:t xml:space="preserve"> western literatures (0.5 -15%)</w:t>
      </w:r>
      <w:r w:rsidR="006331EC">
        <w:rPr>
          <w:sz w:val="24"/>
          <w:szCs w:val="24"/>
        </w:rPr>
        <w:fldChar w:fldCharType="begin"/>
      </w:r>
      <w:r w:rsidR="00A75AF6">
        <w:rPr>
          <w:sz w:val="24"/>
          <w:szCs w:val="24"/>
        </w:rPr>
        <w:instrText xml:space="preserve"> ADDIN ZOTERO_ITEM CSL_CITATION {"citationID":"SabUSuee","properties":{"formattedCitation":"(11,12)","plainCitation":"(11,12)","noteIndex":0},"citationItems":[{"id":19,"uris":["http://zotero.org/users/local/OmjLzqcp/items/QMIEZ44F"],"uri":["http://zotero.org/users/local/OmjLzqcp/items/QMIEZ44F"],"itemData":{"id":19,"type":"article-journal","abstract":"Background\nTreatment of a number of complications that occur after abdominal surgeries may require that Urgent Abdominal Re-explorations (UARs), the life-saving and obligatory operations, are performed. The objectives of this study were to evaluate the reasons for performing UARs, outcomes of relaparotomies (RLs) and factors that affect mortality.\n\nMethods\nDemographic characteristics; initial diagnoses; information from and complications of the first surgery received; durations and outcomes of UAR(s) performed in patients who received early RLs because of complicated abdominal surgeries in our clinic between 01.01.2000 and 31.12.2004 were investigated retrospectively. Statistical analyses were done using the chi-square and Fisher exact tests.\n\nResults\nEarly UAR was performed in 81 out of 4410 cases (1.8%). Average patient age was 50.46 (13–81) years with a male-to-female ratio of 60/21. Fifty one (62.96%) patients had infection, 41 (50.61%) of them had an accompanying serious disease, 24 (29.62%) of them had various tumors and 57 (70.37%) patients were operated under emergency conditions during first operation. Causes of urgent abdominal re-explorations were as follows: leakage from intestinal repair site or from anostomosis (n:34; 41.97%); hemorrhage (n:15; 18.51%); intestinal perforation (n:8; 9.87%); intraabdominal infection or abscess (n:8; 9.87%); progressive intestinal necrosis (n:7; 8.64%); stomal complications (n:5; 6.17%); and postoperative ileus (n:4; 4.93%). Two or more UARs were performed in 18 (22.22%) cases, and overall mortality was 34.97% (n:30). Interval between the first laparotomy and UAR averaged as 6.95 (1–20) days, and average hospitalization period was 27.1 (3–78) days., Mortality rate was found to be higher among the patients who received multiple UARs. The most common (55.5%) cause of mortality was sepsis/multiple organ failure (MOF). The rates for common mortality and sepsis/MOF-dependent mortality that occured following UAR were significantly higher in patients who received GIS surgery than in those who received other types of surgeries (p:0.000 and 0.010, respectively).\n\nConclusion\nUARs that are performed following complicated abdominal surgeries have high mortality rates. In particular, UARs have higher mortality rates following GIS surgeries or when infectious complications occur. The possibility of efficiently lowering these high rates depends on the success of the first operations that the patient had received.","container-title":"World Journal of Emergency Surgery","DOI":"10.1186/1749-7922-1-10","ISSN":"1749-7922","journalAbbreviation":"World J Emerg Surg","note":"PMID: 16759414\nPMCID: PMC1475563","page":"10","source":"PubMed Central","title":"Urgent Abdominal Re-Explorations","volume":"1","author":[{"family":"Unalp","given":"Haluk Recai"},{"family":"Kamer","given":"Erdinc"},{"family":"Kar","given":"Haldun"},{"family":"Bal","given":"Ahmet"},{"family":"Peskersoy","given":"Mustafa"},{"family":"Ali Onal","given":"Mehmet"}],"issued":{"date-parts":[["2006",4,4]]}},"label":"page"},{"id":22,"uris":["http://zotero.org/users/local/OmjLzqcp/items/C2U9LDHB"],"uri":["http://zotero.org/users/local/OmjLzqcp/items/C2U9LDHB"],"itemData":{"id":22,"type":"article-journal","abstract":"A proportion of the operations performed in a surgical gastroenterology department are unplanned repeat laparotomies for complications of the original procedure. We examined why, in our department, these 'redo' laparotomies were performed and what was their outcome. We retrospectively analyzed 6530 patients operated between September 1996 - December 2010, of these 257 redo laparotomies were performed in 193(2.5 %) patients. There were 138 males and 55 females who had a mean age of 42 years (range 7-68 years). Eighty one (42 %) of the index surgeries were elective and 112 (58 %) performed in the emergency situation. Pancreas was the commonest organ for the index operation {50 (25.9 %)}, followed by the colon and rectum {45 (23.3 %)} and the small bowel {36 (18.7 %)}. Postoperative bleeding was the most common cause for re-exploration 66 (34.2 %) followed by an abscess or fluid collection that required surgical drainage 57 (29.6 %). The mortality rate after redo laparotomies was 33.2 % with sepsis and multi-organ failure being the commonest cause of death. Urgent redo-laparotomies that are performed following complicated abdominal operations have a high mortality rate. Postoperative bleeding, intrabdominal abscess and peritonitis are the commonest cause for redo-laparotomy. Multiple redolaparotomies and associated co-morbid conditions are significant predictors of mortality.","container-title":"The Indian Journal of Surgery","DOI":"10.1007/s12262-012-0760-9","ISSN":"0972-2068","issue":"3","journalAbbreviation":"Indian J Surg","language":"eng","note":"PMID: 26246701\nPMCID: PMC4522257","page":"195-199","source":"PubMed","title":"Urgent Redo-Laparotomies: Patterns and Outcome-A Single Centre Experience","title-short":"Urgent Redo-Laparotomies","volume":"77","author":[{"family":"Koirala","given":"Rabin"},{"family":"Mehta","given":"Naimish"},{"family":"Varma","given":"Vibha"},{"family":"Kapoor","given":"Sorabh"},{"family":"Kumaran","given":"Vinay"},{"family":"Nundy","given":"Samiran"}],"issued":{"date-parts":[["2015",6]]}},"label":"page"}],"schema":"https://github.com/citation-style-language/schema/raw/master/csl-citation.json"} </w:instrText>
      </w:r>
      <w:r w:rsidR="006331EC">
        <w:rPr>
          <w:sz w:val="24"/>
          <w:szCs w:val="24"/>
        </w:rPr>
        <w:fldChar w:fldCharType="separate"/>
      </w:r>
      <w:r w:rsidR="00A75AF6" w:rsidRPr="00A75AF6">
        <w:rPr>
          <w:rFonts w:ascii="Calibri" w:hAnsi="Calibri" w:cs="Calibri"/>
          <w:sz w:val="24"/>
        </w:rPr>
        <w:t>(11,12)</w:t>
      </w:r>
      <w:r w:rsidR="006331EC">
        <w:rPr>
          <w:sz w:val="24"/>
          <w:szCs w:val="24"/>
        </w:rPr>
        <w:fldChar w:fldCharType="end"/>
      </w:r>
      <w:r w:rsidR="00A97907">
        <w:rPr>
          <w:rFonts w:cstheme="minorHAnsi"/>
          <w:sz w:val="24"/>
          <w:szCs w:val="24"/>
        </w:rPr>
        <w:t>.</w:t>
      </w:r>
      <w:r w:rsidR="008B2D0E">
        <w:rPr>
          <w:sz w:val="24"/>
          <w:szCs w:val="24"/>
        </w:rPr>
        <w:t xml:space="preserve"> </w:t>
      </w:r>
      <w:r w:rsidR="009C158A" w:rsidRPr="009C158A">
        <w:rPr>
          <w:sz w:val="24"/>
          <w:szCs w:val="24"/>
        </w:rPr>
        <w:t>The mortality we observed after relaparotomy was 27.8%, compa</w:t>
      </w:r>
      <w:r w:rsidR="008B2D0E">
        <w:rPr>
          <w:sz w:val="24"/>
          <w:szCs w:val="24"/>
        </w:rPr>
        <w:t>rable to most studies(</w:t>
      </w:r>
      <w:r w:rsidR="008B2D0E" w:rsidRPr="009176BD">
        <w:rPr>
          <w:rFonts w:cstheme="minorHAnsi"/>
          <w:sz w:val="24"/>
          <w:szCs w:val="24"/>
        </w:rPr>
        <w:t>24 to 71 %</w:t>
      </w:r>
      <w:r w:rsidR="008B2D0E">
        <w:rPr>
          <w:rFonts w:cstheme="minorHAnsi"/>
          <w:sz w:val="24"/>
          <w:szCs w:val="24"/>
        </w:rPr>
        <w:t>)</w:t>
      </w:r>
      <w:r w:rsidR="006331EC">
        <w:rPr>
          <w:rFonts w:cstheme="minorHAnsi"/>
          <w:sz w:val="24"/>
          <w:szCs w:val="24"/>
        </w:rPr>
        <w:fldChar w:fldCharType="begin"/>
      </w:r>
      <w:r w:rsidR="00A75AF6">
        <w:rPr>
          <w:rFonts w:cstheme="minorHAnsi"/>
          <w:sz w:val="24"/>
          <w:szCs w:val="24"/>
        </w:rPr>
        <w:instrText xml:space="preserve"> ADDIN ZOTERO_ITEM CSL_CITATION {"citationID":"O8jgQUvN","properties":{"formattedCitation":"(11,12,15)","plainCitation":"(11,12,15)","noteIndex":0},"citationItems":[{"id":19,"uris":["http://zotero.org/users/local/OmjLzqcp/items/QMIEZ44F"],"uri":["http://zotero.org/users/local/OmjLzqcp/items/QMIEZ44F"],"itemData":{"id":19,"type":"article-journal","abstract":"Background\nTreatment of a number of complications that occur after abdominal surgeries may require that Urgent Abdominal Re-explorations (UARs), the life-saving and obligatory operations, are performed. The objectives of this study were to evaluate the reasons for performing UARs, outcomes of relaparotomies (RLs) and factors that affect mortality.\n\nMethods\nDemographic characteristics; initial diagnoses; information from and complications of the first surgery received; durations and outcomes of UAR(s) performed in patients who received early RLs because of complicated abdominal surgeries in our clinic between 01.01.2000 and 31.12.2004 were investigated retrospectively. Statistical analyses were done using the chi-square and Fisher exact tests.\n\nResults\nEarly UAR was performed in 81 out of 4410 cases (1.8%). Average patient age was 50.46 (13–81) years with a male-to-female ratio of 60/21. Fifty one (62.96%) patients had infection, 41 (50.61%) of them had an accompanying serious disease, 24 (29.62%) of them had various tumors and 57 (70.37%) patients were operated under emergency conditions during first operation. Causes of urgent abdominal re-explorations were as follows: leakage from intestinal repair site or from anostomosis (n:34; 41.97%); hemorrhage (n:15; 18.51%); intestinal perforation (n:8; 9.87%); intraabdominal infection or abscess (n:8; 9.87%); progressive intestinal necrosis (n:7; 8.64%); stomal complications (n:5; 6.17%); and postoperative ileus (n:4; 4.93%). Two or more UARs were performed in 18 (22.22%) cases, and overall mortality was 34.97% (n:30). Interval between the first laparotomy and UAR averaged as 6.95 (1–20) days, and average hospitalization period was 27.1 (3–78) days., Mortality rate was found to be higher among the patients who received multiple UARs. The most common (55.5%) cause of mortality was sepsis/multiple organ failure (MOF). The rates for common mortality and sepsis/MOF-dependent mortality that occured following UAR were significantly higher in patients who received GIS surgery than in those who received other types of surgeries (p:0.000 and 0.010, respectively).\n\nConclusion\nUARs that are performed following complicated abdominal surgeries have high mortality rates. In particular, UARs have higher mortality rates following GIS surgeries or when infectious complications occur. The possibility of efficiently lowering these high rates depends on the success of the first operations that the patient had received.","container-title":"World Journal of Emergency Surgery","DOI":"10.1186/1749-7922-1-10","ISSN":"1749-7922","journalAbbreviation":"World J Emerg Surg","note":"PMID: 16759414\nPMCID: PMC1475563","page":"10","source":"PubMed Central","title":"Urgent Abdominal Re-Explorations","volume":"1","author":[{"family":"Unalp","given":"Haluk Recai"},{"family":"Kamer","given":"Erdinc"},{"family":"Kar","given":"Haldun"},{"family":"Bal","given":"Ahmet"},{"family":"Peskersoy","given":"Mustafa"},{"family":"Ali Onal","given":"Mehmet"}],"issued":{"date-parts":[["2006",4,4]]}},"label":"page"},{"id":22,"uris":["http://zotero.org/users/local/OmjLzqcp/items/C2U9LDHB"],"uri":["http://zotero.org/users/local/OmjLzqcp/items/C2U9LDHB"],"itemData":{"id":22,"type":"article-journal","abstract":"A proportion of the operations performed in a surgical gastroenterology department are unplanned repeat laparotomies for complications of the original procedure. We examined why, in our department, these 'redo' laparotomies were performed and what was their outcome. We retrospectively analyzed 6530 patients operated between September 1996 - December 2010, of these 257 redo laparotomies were performed in 193(2.5 %) patients. There were 138 males and 55 females who had a mean age of 42 years (range 7-68 years). Eighty one (42 %) of the index surgeries were elective and 112 (58 %) performed in the emergency situation. Pancreas was the commonest organ for the index operation {50 (25.9 %)}, followed by the colon and rectum {45 (23.3 %)} and the small bowel {36 (18.7 %)}. Postoperative bleeding was the most common cause for re-exploration 66 (34.2 %) followed by an abscess or fluid collection that required surgical drainage 57 (29.6 %). The mortality rate after redo laparotomies was 33.2 % with sepsis and multi-organ failure being the commonest cause of death. Urgent redo-laparotomies that are performed following complicated abdominal operations have a high mortality rate. Postoperative bleeding, intrabdominal abscess and peritonitis are the commonest cause for redo-laparotomy. Multiple redolaparotomies and associated co-morbid conditions are significant predictors of mortality.","container-title":"The Indian Journal of Surgery","DOI":"10.1007/s12262-012-0760-9","ISSN":"0972-2068","issue":"3","journalAbbreviation":"Indian J Surg","language":"eng","note":"PMID: 26246701\nPMCID: PMC4522257","page":"195-199","source":"PubMed","title":"Urgent Redo-Laparotomies: Patterns and Outcome-A Single Centre Experience","title-short":"Urgent Redo-Laparotomies","volume":"77","author":[{"family":"Koirala","given":"Rabin"},{"family":"Mehta","given":"Naimish"},{"family":"Varma","given":"Vibha"},{"family":"Kapoor","given":"Sorabh"},{"family":"Kumaran","given":"Vinay"},{"family":"Nundy","given":"Samiran"}],"issued":{"date-parts":[["2015",6]]}},"label":"page"},{"id":39,"uris":["http://zotero.org/users/local/OmjLzqcp/items/XB8YYUZP"],"uri":["http://zotero.org/users/local/OmjLzqcp/items/XB8YYUZP"],"itemData":{"id":39,"type":"article-journal","abstract":"From 1980 to 1987, 10,446 patients were operated on. In 152 patients, the necessity of a repeated operative intervention arose. In 106 patients the emergency, in 42--delayed, and in 4--elective relaparotomies were performed. There were the following indications for relaparotomy: diffuse and circumscribed peritonitis (78 patients), ileus (46), eventration (11), hemorrhage (12), others (5). Diagnosis of postoperative complications requiring relaparotomy is difficult. The postoperative lethality was 26%.","container-title":"Klinicheskaia Khirurgiia","issue":"1","journalAbbreviation":"Klin Khir","language":"rus","note":"PMID: 2338775","page":"18-21","source":"PubMed","title":"[Indications for relaparotomy]","author":[{"family":"Krivitskiĭ","given":"D. I."},{"family":"Shuliarenko","given":"V. A."},{"family":"Babin","given":"I. A."}],"issued":{"date-parts":[["1990"]]}},"label":"page"}],"schema":"https://github.com/citation-style-language/schema/raw/master/csl-citation.json"} </w:instrText>
      </w:r>
      <w:r w:rsidR="006331EC">
        <w:rPr>
          <w:rFonts w:cstheme="minorHAnsi"/>
          <w:sz w:val="24"/>
          <w:szCs w:val="24"/>
        </w:rPr>
        <w:fldChar w:fldCharType="separate"/>
      </w:r>
      <w:r w:rsidR="00F60978">
        <w:rPr>
          <w:rFonts w:ascii="Calibri" w:hAnsi="Calibri" w:cs="Calibri"/>
          <w:sz w:val="24"/>
        </w:rPr>
        <w:t>(12,13,16</w:t>
      </w:r>
      <w:r w:rsidR="00A75AF6" w:rsidRPr="00A75AF6">
        <w:rPr>
          <w:rFonts w:ascii="Calibri" w:hAnsi="Calibri" w:cs="Calibri"/>
          <w:sz w:val="24"/>
        </w:rPr>
        <w:t>)</w:t>
      </w:r>
      <w:r w:rsidR="006331EC">
        <w:rPr>
          <w:rFonts w:cstheme="minorHAnsi"/>
          <w:sz w:val="24"/>
          <w:szCs w:val="24"/>
        </w:rPr>
        <w:fldChar w:fldCharType="end"/>
      </w:r>
      <w:r w:rsidR="008B2D0E" w:rsidRPr="009176BD">
        <w:rPr>
          <w:rFonts w:cstheme="minorHAnsi"/>
          <w:sz w:val="24"/>
          <w:szCs w:val="24"/>
        </w:rPr>
        <w:t>.</w:t>
      </w:r>
    </w:p>
    <w:p w:rsidR="009C158A" w:rsidRDefault="009C158A" w:rsidP="002F4AB7">
      <w:pPr>
        <w:jc w:val="both"/>
        <w:rPr>
          <w:sz w:val="24"/>
          <w:szCs w:val="24"/>
        </w:rPr>
      </w:pPr>
      <w:r w:rsidRPr="009C158A">
        <w:rPr>
          <w:sz w:val="24"/>
          <w:szCs w:val="24"/>
        </w:rPr>
        <w:t>The median interval to relaparotomy was 8 days(3 – 58 days) in our studies, which more than most studies(Hutchins et al. – 5 days)</w:t>
      </w:r>
      <w:r w:rsidR="006331EC">
        <w:rPr>
          <w:sz w:val="24"/>
          <w:szCs w:val="24"/>
        </w:rPr>
        <w:fldChar w:fldCharType="begin"/>
      </w:r>
      <w:r w:rsidR="00C95A09">
        <w:rPr>
          <w:sz w:val="24"/>
          <w:szCs w:val="24"/>
        </w:rPr>
        <w:instrText xml:space="preserve"> ADDIN ZOTERO_ITEM CSL_CITATION {"citationID":"iKHOLqqA","properties":{"formattedCitation":"(14)","plainCitation":"(14)","noteIndex":0},"citationItems":[{"id":37,"uris":["http://zotero.org/users/local/OmjLzqcp/items/J3D3XRUG"],"uri":["http://zotero.org/users/local/OmjLzqcp/items/J3D3XRUG"],"itemData":{"id":37,"type":"article-journal","abstract":"Relaparotomy may be beneficial in patients developing intraperitoneal sepsis after abdominal procedures. We determined whether joint clinical assessment by intensivist and surgeon (clinician assessment) identified patients with surgically correctable intraperitoneal sepsis. We also assessed the effect of patient age and sex, disease presentation and severity, interval to relaparotomy, and the number of relaparotomies on survival after relaparotomy. Data on clinical, laboratory, and radiologic abnormalities prior to relaparotomy, relaparotomy findings, and in-hospital survival were prospectively collected on a general hospital intensive care unit (ICU) database between January 1997 and January 2002. Altogether, 65 of 1482 (4.4%) patients admitted to the ICU after abdominal surgery underwent relaparotomy at a median of 5 days after the initial procedure. There was an 83% probability of identifying surgically treatable sepsis and 43% in-hospital mortality. Abdominal imaging contributed accurate information in 50% of cases where clinician assessment was uncertain. Patient age and multiorgan failure prior to relaparotomy-but not urgency of initial laparotomy or the acute physiology and chronic health evaluation (APACHE II) score prior to relaparotomy, interval to relaparotomy, or number of relaparotomies-affected the outcome. Clinician assessment after abdominal surgery had a high probability of predicting intraperitoneal sepsis at relaparotomy. The 43% mortality after relaparotomy was unlikely to be greater than with nonoperative treatment of intraabdominal sepsis, but the 78% mortality after relaparotomy in patients older than 75 years of age raised doubts about this approach in the elderly. The identification of intraperitoneal sepsis and performance of relaparotomy earlier after the initial abdominal surgery might reduce the high rate (60%) of multiorgan failure prior to relaparotomy and improve survival after it.","container-title":"World Journal of Surgery","DOI":"10.1007/s00268-003-7067-8","ISSN":"0364-2313","issue":"2","journalAbbreviation":"World J Surg","language":"eng","note":"PMID: 14708056","page":"137-141","source":"PubMed","title":"Relaparotomy for suspected intraperitoneal sepsis after abdominal surgery","volume":"28","author":[{"family":"Hutchins","given":"Robert R."},{"family":"Gunning","given":"M. Paul"},{"family":"Lucas","given":"D. Nuala"},{"family":"Allen-Mersh","given":"Timothy G."},{"family":"Soni","given":"Neil C."}],"issued":{"date-parts":[["2004",2]]}}}],"schema":"https://github.com/citation-style-language/schema/raw/master/csl-citation.json"} </w:instrText>
      </w:r>
      <w:r w:rsidR="006331EC">
        <w:rPr>
          <w:sz w:val="24"/>
          <w:szCs w:val="24"/>
        </w:rPr>
        <w:fldChar w:fldCharType="separate"/>
      </w:r>
      <w:r w:rsidR="00F60978">
        <w:rPr>
          <w:rFonts w:ascii="Calibri" w:hAnsi="Calibri" w:cs="Calibri"/>
          <w:sz w:val="24"/>
        </w:rPr>
        <w:t>(15</w:t>
      </w:r>
      <w:r w:rsidR="00C95A09" w:rsidRPr="00C95A09">
        <w:rPr>
          <w:rFonts w:ascii="Calibri" w:hAnsi="Calibri" w:cs="Calibri"/>
          <w:sz w:val="24"/>
        </w:rPr>
        <w:t>)</w:t>
      </w:r>
      <w:r w:rsidR="006331EC">
        <w:rPr>
          <w:sz w:val="24"/>
          <w:szCs w:val="24"/>
        </w:rPr>
        <w:fldChar w:fldCharType="end"/>
      </w:r>
      <w:r w:rsidR="008B2D0E">
        <w:rPr>
          <w:sz w:val="24"/>
          <w:szCs w:val="24"/>
        </w:rPr>
        <w:t xml:space="preserve">. </w:t>
      </w:r>
      <w:r w:rsidRPr="009C158A">
        <w:rPr>
          <w:sz w:val="24"/>
          <w:szCs w:val="24"/>
        </w:rPr>
        <w:t>The median duration of hospital stay in our study was 21 days, which was comparable to Randomized study done in Netherlands in teaching hospitals(27 days)</w:t>
      </w:r>
      <w:r w:rsidR="008B2D0E">
        <w:rPr>
          <w:sz w:val="24"/>
          <w:szCs w:val="24"/>
        </w:rPr>
        <w:t>.</w:t>
      </w:r>
    </w:p>
    <w:p w:rsidR="00EF4199" w:rsidRPr="00EF4199" w:rsidRDefault="00EF4199" w:rsidP="002F4AB7">
      <w:pPr>
        <w:jc w:val="both"/>
        <w:rPr>
          <w:sz w:val="24"/>
          <w:szCs w:val="24"/>
        </w:rPr>
      </w:pPr>
      <w:r w:rsidRPr="00EF4199">
        <w:rPr>
          <w:sz w:val="24"/>
          <w:szCs w:val="24"/>
        </w:rPr>
        <w:t>We have identified 4 independent predictors of subsequent relaparotomy with multivariate analysis: Duration of illness &gt; 5 days, Systolic BP &lt;/= 90 mmHg, Source of cont.(small bowel) and amount of peritoneal fluid.</w:t>
      </w:r>
    </w:p>
    <w:p w:rsidR="00EF4199" w:rsidRPr="00EF4199" w:rsidRDefault="00EF4199" w:rsidP="002F4AB7">
      <w:pPr>
        <w:jc w:val="both"/>
        <w:rPr>
          <w:sz w:val="24"/>
          <w:szCs w:val="24"/>
        </w:rPr>
      </w:pPr>
      <w:r w:rsidRPr="00EF4199">
        <w:rPr>
          <w:sz w:val="24"/>
          <w:szCs w:val="24"/>
        </w:rPr>
        <w:t>A South African study done by V Y Kong, on complicated appendicitis found referral from a rural centre; duration of illness &gt;5 days; heart rate &gt;120 bpm; and perforation with associated GC as independent predictor</w:t>
      </w:r>
      <w:r w:rsidR="006331EC">
        <w:rPr>
          <w:sz w:val="24"/>
          <w:szCs w:val="24"/>
        </w:rPr>
        <w:fldChar w:fldCharType="begin"/>
      </w:r>
      <w:r w:rsidR="00BE4844">
        <w:rPr>
          <w:sz w:val="24"/>
          <w:szCs w:val="24"/>
        </w:rPr>
        <w:instrText xml:space="preserve"> ADDIN ZOTERO_ITEM CSL_CITATION {"citationID":"ZKcVFbMT","properties":{"formattedCitation":"(29)","plainCitation":"(29)","noteIndex":0},"citationItems":[{"id":5,"uris":["http://zotero.org/users/local/OmjLzqcp/items/IH2X2FXE"],"uri":["http://zotero.org/users/local/OmjLzqcp/items/IH2X2FXE"],"itemData":{"id":5,"type":"article-journal","abstract":"Background: \nComplex intra-abdominal sepsis secondary to acute appendicitis is common in South Africa, and management frequently involves relaparotomy. The decision to perform relaparotomy is often difficult, and this study aimed to develop a clinical model to aid the decision-making process.\n\nMethod:\nThe study was conducted from January 2008 to December 2012 at Edendale Hospital, Pietermaritzburg. All patients with intraoperatively confirmed acute appendicitis and all patients in this group who subsequently underwent relaparotomy were included. The clinical course, intraoperative findings and outcome of all patients were recorded until discharge (or death). Using a combination of preoperative and intraoperative parameters, a clinical model was developed to predict the need for relaparotomy.\n\nResults:\nOf the total of 1 000 patients identified, 54.1% were males. The median age for all patients was 21 years. Of 406 relaparotomies, 227 (55.9%) were planned and 179 (44.1%) on demand (expectant treatment). In the relaparotomy group, 367 patients (90.4%) had positive findings. Logistic regression analysis showed that the following four factors accurately predicted the need for subsequent relaparotomy: patients referred from any rural centre, duration of illness &gt;5 days, heart rate &gt;120 bpm, and perforation associated with generalised intraabdominal sepsis. Th is model had a predictive value of &gt;90%.\n\nConclusion:\nWe have constructed a model that uses clinical data available at initial laparotomy to predict the need for subsequent relaparotomy in patients with complicated acute appendicitis. It is hoped that this model can be integrated into routine clinical practice, but further study is first needed to validate this model.","container-title":"South African Journal of Surgery","DOI":"10.7196/SAJS.2116","journalAbbreviation":"South African Journal of Surgery","page":"2014-91","source":"ResearchGate","title":"Developing a clinical model to predict the need for relaparotomy in severe intra-abdominal sepsis secondary to complicated appendicitis","volume":"52","author":[{"family":"Kong","given":"Victor"},{"family":"Linde","given":"Stephan"},{"family":"Aldous","given":"Colleen"},{"family":"Handley","given":"Jonathan"},{"family":"Clarke","given":"Damian"}],"issued":{"date-parts":[["2014",12,18]]}}}],"schema":"https://github.com/citation-style-language/schema/raw/master/csl-citation.json"} </w:instrText>
      </w:r>
      <w:r w:rsidR="006331EC">
        <w:rPr>
          <w:sz w:val="24"/>
          <w:szCs w:val="24"/>
        </w:rPr>
        <w:fldChar w:fldCharType="separate"/>
      </w:r>
      <w:r w:rsidR="00F60978">
        <w:rPr>
          <w:rFonts w:ascii="Calibri" w:hAnsi="Calibri" w:cs="Calibri"/>
          <w:sz w:val="24"/>
        </w:rPr>
        <w:t>(30</w:t>
      </w:r>
      <w:r w:rsidR="00BE4844" w:rsidRPr="00BE4844">
        <w:rPr>
          <w:rFonts w:ascii="Calibri" w:hAnsi="Calibri" w:cs="Calibri"/>
          <w:sz w:val="24"/>
        </w:rPr>
        <w:t>)</w:t>
      </w:r>
      <w:r w:rsidR="006331EC">
        <w:rPr>
          <w:sz w:val="24"/>
          <w:szCs w:val="24"/>
        </w:rPr>
        <w:fldChar w:fldCharType="end"/>
      </w:r>
      <w:r w:rsidRPr="00EF4199">
        <w:rPr>
          <w:sz w:val="24"/>
          <w:szCs w:val="24"/>
        </w:rPr>
        <w:t>.</w:t>
      </w:r>
      <w:r w:rsidR="008978E4">
        <w:rPr>
          <w:sz w:val="24"/>
          <w:szCs w:val="24"/>
        </w:rPr>
        <w:t xml:space="preserve"> When comparing to our study, duration of illness was also a strong predictor, while place of referral had shown</w:t>
      </w:r>
      <w:r w:rsidR="00BE4844">
        <w:rPr>
          <w:sz w:val="24"/>
          <w:szCs w:val="24"/>
        </w:rPr>
        <w:t xml:space="preserve"> correlation on chi-square test</w:t>
      </w:r>
      <w:r w:rsidR="008978E4">
        <w:rPr>
          <w:sz w:val="24"/>
          <w:szCs w:val="24"/>
        </w:rPr>
        <w:t>, but did not</w:t>
      </w:r>
      <w:r w:rsidR="006C1916">
        <w:rPr>
          <w:sz w:val="24"/>
          <w:szCs w:val="24"/>
        </w:rPr>
        <w:t>show significant correlation</w:t>
      </w:r>
      <w:r w:rsidR="008978E4">
        <w:rPr>
          <w:sz w:val="24"/>
          <w:szCs w:val="24"/>
        </w:rPr>
        <w:t xml:space="preserve"> on logistic regression.</w:t>
      </w:r>
    </w:p>
    <w:p w:rsidR="00EF4199" w:rsidRDefault="00EF4199" w:rsidP="002F4AB7">
      <w:pPr>
        <w:jc w:val="both"/>
        <w:rPr>
          <w:sz w:val="24"/>
          <w:szCs w:val="24"/>
        </w:rPr>
      </w:pPr>
      <w:r w:rsidRPr="00EF4199">
        <w:rPr>
          <w:sz w:val="24"/>
          <w:szCs w:val="24"/>
        </w:rPr>
        <w:t>Another study done in Houston, Texas by Jerry J. Kim, showed peripheral vascular disease, alcohol abuse, BMI of 29 kg/m2 or higher, the finding of any ischemic bowel at initial laparotomy, and OR latency of 60 hours or longer were good predictors of relap</w:t>
      </w:r>
      <w:r w:rsidR="008978E4">
        <w:rPr>
          <w:sz w:val="24"/>
          <w:szCs w:val="24"/>
        </w:rPr>
        <w:t>arotomy</w:t>
      </w:r>
      <w:r w:rsidR="006331EC">
        <w:rPr>
          <w:sz w:val="24"/>
          <w:szCs w:val="24"/>
        </w:rPr>
        <w:fldChar w:fldCharType="begin"/>
      </w:r>
      <w:r w:rsidR="00BE4844">
        <w:rPr>
          <w:sz w:val="24"/>
          <w:szCs w:val="24"/>
        </w:rPr>
        <w:instrText xml:space="preserve"> ADDIN ZOTERO_ITEM CSL_CITATION {"citationID":"hay9hV5o","properties":{"formattedCitation":"(28)","plainCitation":"(28)","noteIndex":0},"citationItems":[{"id":111,"uris":["http://zotero.org/users/local/OmjLzqcp/items/HIKPGAPV"],"uri":["http://zotero.org/users/local/OmjLzqcp/items/HIKPGAPV"],"itemData":{"id":111,"type":"article-journal","abstract":"BACKGROUND: Relaparotomy after emergency surgery for nontrauma intraabdominal catastrophes (NTIAC) is morbid. Our objective was to identify patients who likely will need on-demand relaparotomy after surgery for NTIAC.\nMETHODS: A retrospective chart review of patients from 1998 to 2008 identified cases of NTIAC surgery with fascial closure. Demographics, comorbidities, intraoperative findings, morbidity, and mortality were analyzed. Relaparotomy was defined as any return to the operating room with surgical re-entry of the abdominal cavity.\nRESULTS: A total of 129 patients underwent NTIAC surgery with fascial closure. Twenty-nine patients (22%) required relaparotomy and 100 patients (78%) did not. Multivariate analysis identified the following predictors of relaparotomy: peripheral vascular disease (P = .04), alcohol abuse (P = .02), body mass index of 29 kg/m(2) or greater (P = .04), the finding of any ischemic bowel (P = .02), and operating room latency of 60 hours or longer (P = .01). Patients with 2 or more of these predictors had a 55% risk of relaparotomy whereas patients with fewer than 2 of these predictors had a 9% risk (P &lt; .001).\nCONCLUSIONS: Patients whose fascia is closed during NTIAC surgery do worse when they require relaparotomy. We have identified preoperative and intraoperative predictors that may help identify patients at high risk of on-demand relaparotomy.","container-title":"American Journal of Surgery","DOI":"10.1016/j.amjsurg.2011.06.023","ISSN":"1879-1883","issue":"5","journalAbbreviation":"Am J Surg","language":"eng","note":"PMID: 21944291","page":"549-552","source":"PubMed","title":"Predictors of relaparotomy after nontrauma emergency general surgery with initial fascial closure","volume":"202","author":[{"family":"Kim","given":"Jerry J."},{"family":"Liang","given":"Mike K."},{"family":"Subramanian","given":"Anuradha"},{"family":"Balentine","given":"Courtney J."},{"family":"Sansgiry","given":"Shubhada"},{"family":"Awad","given":"Samir S."}],"issued":{"date-parts":[["2011",11]]}}}],"schema":"https://github.com/citation-style-language/schema/raw/master/csl-citation.json"} </w:instrText>
      </w:r>
      <w:r w:rsidR="006331EC">
        <w:rPr>
          <w:sz w:val="24"/>
          <w:szCs w:val="24"/>
        </w:rPr>
        <w:fldChar w:fldCharType="separate"/>
      </w:r>
      <w:r w:rsidR="00F60978">
        <w:rPr>
          <w:rFonts w:ascii="Calibri" w:hAnsi="Calibri" w:cs="Calibri"/>
          <w:sz w:val="24"/>
        </w:rPr>
        <w:t>(29</w:t>
      </w:r>
      <w:r w:rsidR="00BE4844" w:rsidRPr="00BE4844">
        <w:rPr>
          <w:rFonts w:ascii="Calibri" w:hAnsi="Calibri" w:cs="Calibri"/>
          <w:sz w:val="24"/>
        </w:rPr>
        <w:t>)</w:t>
      </w:r>
      <w:r w:rsidR="006331EC">
        <w:rPr>
          <w:sz w:val="24"/>
          <w:szCs w:val="24"/>
        </w:rPr>
        <w:fldChar w:fldCharType="end"/>
      </w:r>
      <w:r w:rsidRPr="00EF4199">
        <w:rPr>
          <w:sz w:val="24"/>
          <w:szCs w:val="24"/>
        </w:rPr>
        <w:t>.</w:t>
      </w:r>
      <w:r w:rsidR="008978E4">
        <w:rPr>
          <w:sz w:val="24"/>
          <w:szCs w:val="24"/>
        </w:rPr>
        <w:t xml:space="preserve"> In our study, we could not include</w:t>
      </w:r>
      <w:r w:rsidR="006602C6">
        <w:rPr>
          <w:sz w:val="24"/>
          <w:szCs w:val="24"/>
        </w:rPr>
        <w:t xml:space="preserve"> peripheral vascular disease and BMI as</w:t>
      </w:r>
      <w:r w:rsidR="008978E4">
        <w:rPr>
          <w:sz w:val="24"/>
          <w:szCs w:val="24"/>
        </w:rPr>
        <w:t xml:space="preserve"> vari</w:t>
      </w:r>
      <w:r w:rsidR="006602C6">
        <w:rPr>
          <w:sz w:val="24"/>
          <w:szCs w:val="24"/>
        </w:rPr>
        <w:t>ables b/c of</w:t>
      </w:r>
      <w:r w:rsidR="008978E4">
        <w:rPr>
          <w:sz w:val="24"/>
          <w:szCs w:val="24"/>
        </w:rPr>
        <w:t xml:space="preserve"> retrospective </w:t>
      </w:r>
      <w:r w:rsidR="006602C6">
        <w:rPr>
          <w:sz w:val="24"/>
          <w:szCs w:val="24"/>
        </w:rPr>
        <w:t xml:space="preserve">nature of our study, while presence of ischemic bowel did not show correlation. </w:t>
      </w:r>
    </w:p>
    <w:p w:rsidR="00EF4199" w:rsidRPr="00EF4199" w:rsidRDefault="00EF4199" w:rsidP="002F4AB7">
      <w:pPr>
        <w:jc w:val="both"/>
        <w:rPr>
          <w:sz w:val="24"/>
          <w:szCs w:val="24"/>
        </w:rPr>
      </w:pPr>
      <w:r w:rsidRPr="00EF4199">
        <w:rPr>
          <w:sz w:val="24"/>
          <w:szCs w:val="24"/>
        </w:rPr>
        <w:t>Another study done in Lithuania by A. Sileikis showed age, CRP,MPI and duration to surgery as an independent pred</w:t>
      </w:r>
      <w:r w:rsidR="006602C6">
        <w:rPr>
          <w:sz w:val="24"/>
          <w:szCs w:val="24"/>
        </w:rPr>
        <w:t>ict</w:t>
      </w:r>
      <w:r w:rsidR="005741F2">
        <w:rPr>
          <w:sz w:val="24"/>
          <w:szCs w:val="24"/>
        </w:rPr>
        <w:t>or for positive relaparatomy</w:t>
      </w:r>
      <w:r w:rsidR="006331EC">
        <w:rPr>
          <w:sz w:val="24"/>
          <w:szCs w:val="24"/>
        </w:rPr>
        <w:fldChar w:fldCharType="begin"/>
      </w:r>
      <w:r w:rsidR="005741F2">
        <w:rPr>
          <w:sz w:val="24"/>
          <w:szCs w:val="24"/>
        </w:rPr>
        <w:instrText xml:space="preserve"> ADDIN ZOTERO_ITEM CSL_CITATION {"citationID":"s1HrOTr2","properties":{"formattedCitation":"(10)","plainCitation":"(10)","noteIndex":0},"citationItems":[{"id":93,"uris":["http://zotero.org/users/local/OmjLzqcp/items/KXQEPR4X"],"uri":["http://zotero.org/users/local/OmjLzqcp/items/KXQEPR4X"],"itemData":{"id":93,"type":"article-journal","abstract":"Aims. To devise a scoring system for clinical variables related to positive findings at relaparotomy in secondary peritonitis. Methods. We have retrospectively studied 195 cases of patients after relaparotomy. According to the operation’s findings, the patients were divided into two groups: ‘relaparatomy unnecessary’ group A, ‘relaparotomy necessary’ group B. 6 factors (age, sex, leukocyte count, C reactive protein, time of symptoms to index operation, Mannheim Peritonitis Index) were evaluated in respect to their significance in decision making for relaparotomy. The predictive value for positive operation`s findings of these factors was evaluated by logistic multivariate regression analysis. According to this model a risk scoring system was created to support the decision whether to perform a relaparotomy. Results. Relaparotomy was unnecessary (Group A) for 154 (79,0%) patients, for 41 (21,0%) it was necessary (Group B). Comparing the groups A and B, we found a significant difference in patients’ mean age (54 v. 63 years, p=0,002), mean CRP level (133,2 v. 182,8 mg/L, p=0,025), mean time of symptoms to index operation (38,1 v. 67,1 hours, p=0,006) and mean MPI value (22,4 v. 29,4, p&lt;0,0001). According to the above-mentioned predictors, a scoring system was devised: −0,17-(0,003×patient’s age years)+(0.153×time of symptoms to index operation hours)-(0,297×MPI)+(0,192×CRP mg/l). The score was 24,798±25,593 in group A and 36,572±32,543 in group B(p=0,028). Conclusions: Scoring system was devised to assist in creating treatment strategy after secondary peritonitis. If the score is ≥37, a planned relaparotomy should be performed. If the score is ≤24, other diagnostic and therapeutic tactics should be applied.","container-title":"Central European Journal of Medicine","DOI":"10.2478/s11536-013-0180-7","journalAbbreviation":"Central European Journal of Medicine","source":"ResearchGate","title":"Prediction for a planned relaparotomy in secondary peritonitis","volume":"8","author":[{"family":"Sileikis","given":"Audrius"},{"family":"Kazanavičius","given":"Darius"},{"family":"Skrebunas","given":"A."},{"family":"Ostapenko","given":"A."},{"family":"Strupas","given":"K."}],"issued":{"date-parts":[["2013",8,1]]}}}],"schema":"https://github.com/citation-style-language/schema/raw/master/csl-citation.json"} </w:instrText>
      </w:r>
      <w:r w:rsidR="006331EC">
        <w:rPr>
          <w:sz w:val="24"/>
          <w:szCs w:val="24"/>
        </w:rPr>
        <w:fldChar w:fldCharType="separate"/>
      </w:r>
      <w:r w:rsidR="00F60978">
        <w:rPr>
          <w:rFonts w:ascii="Calibri" w:hAnsi="Calibri" w:cs="Calibri"/>
          <w:sz w:val="24"/>
        </w:rPr>
        <w:t>(11</w:t>
      </w:r>
      <w:r w:rsidR="005741F2" w:rsidRPr="005741F2">
        <w:rPr>
          <w:rFonts w:ascii="Calibri" w:hAnsi="Calibri" w:cs="Calibri"/>
          <w:sz w:val="24"/>
        </w:rPr>
        <w:t>)</w:t>
      </w:r>
      <w:r w:rsidR="006331EC">
        <w:rPr>
          <w:sz w:val="24"/>
          <w:szCs w:val="24"/>
        </w:rPr>
        <w:fldChar w:fldCharType="end"/>
      </w:r>
      <w:r w:rsidR="006602C6">
        <w:rPr>
          <w:sz w:val="24"/>
          <w:szCs w:val="24"/>
        </w:rPr>
        <w:t>. In our study duration of surgery showed correlation on univariate analysis</w:t>
      </w:r>
      <w:r w:rsidR="005A6471">
        <w:rPr>
          <w:sz w:val="24"/>
          <w:szCs w:val="24"/>
        </w:rPr>
        <w:t>, but not in l</w:t>
      </w:r>
      <w:r w:rsidR="006602C6">
        <w:rPr>
          <w:sz w:val="24"/>
          <w:szCs w:val="24"/>
        </w:rPr>
        <w:t>ogistic regression</w:t>
      </w:r>
      <w:r w:rsidR="005A6471">
        <w:rPr>
          <w:sz w:val="24"/>
          <w:szCs w:val="24"/>
        </w:rPr>
        <w:t xml:space="preserve">. We did not included CRP and MPI b/c retrospective nature of our study. </w:t>
      </w:r>
    </w:p>
    <w:p w:rsidR="006446ED" w:rsidRDefault="00EF4199" w:rsidP="002F4AB7">
      <w:pPr>
        <w:jc w:val="both"/>
        <w:rPr>
          <w:sz w:val="24"/>
          <w:szCs w:val="24"/>
        </w:rPr>
      </w:pPr>
      <w:r w:rsidRPr="00EF4199">
        <w:rPr>
          <w:sz w:val="24"/>
          <w:szCs w:val="24"/>
        </w:rPr>
        <w:t xml:space="preserve">A systemic review done by lamme </w:t>
      </w:r>
      <w:r w:rsidR="006446ED" w:rsidRPr="00EF4199">
        <w:rPr>
          <w:sz w:val="24"/>
          <w:szCs w:val="24"/>
        </w:rPr>
        <w:t>showed age</w:t>
      </w:r>
      <w:r w:rsidRPr="00EF4199">
        <w:rPr>
          <w:sz w:val="24"/>
          <w:szCs w:val="24"/>
        </w:rPr>
        <w:t xml:space="preserve">, concomitant disease, upper gastrointestinal source of peritonitis, generalized peritonitis, elimination of the focus, bilirubin, creatinine, lactate, PaO2/FiO2 ratio, and albumin showed significant </w:t>
      </w:r>
      <w:r w:rsidR="00D93EC6" w:rsidRPr="00EF4199">
        <w:rPr>
          <w:sz w:val="24"/>
          <w:szCs w:val="24"/>
        </w:rPr>
        <w:t>association</w:t>
      </w:r>
      <w:r w:rsidR="006331EC">
        <w:rPr>
          <w:sz w:val="24"/>
          <w:szCs w:val="24"/>
        </w:rPr>
        <w:fldChar w:fldCharType="begin"/>
      </w:r>
      <w:r w:rsidR="00AA0789">
        <w:rPr>
          <w:sz w:val="24"/>
          <w:szCs w:val="24"/>
        </w:rPr>
        <w:instrText xml:space="preserve"> ADDIN ZOTERO_ITEM CSL_CITATION {"citationID":"SE5LcjMA","properties":{"formattedCitation":"(27)","plainCitation":"(27)","noteIndex":0},"citationItems":[{"id":113,"uris":["http://zotero.org/users/local/OmjLzqcp/items/VZDJDL9B"],"uri":["http://zotero.org/users/local/OmjLzqcp/items/VZDJDL9B"],"itemData":{"id":113,"type":"article-journal","abstract":"INTRODUCTION: The decision to perform a relaparotomy in patients with secondary peritonitis is based on \"clinical judgment\" with inherent variability among surgeons. Our objective was to review the literature on prognostic variables for ongoing abdominal infection. Predictive variables for positive findings at relaparotomy can generate more objective criteria to support the decision whether to perform a relaparotomy in patients with secondary peritonitis.\nMETHODS: Multiple databases were searched for studies assessing the prognostic value of clinical variables predicting outcome of relaparotomy or general outcome in patients with secondary peritonitis. Data on the methodologic quality of the study as well as statistical strength of predictors and validity of individual variables were extracted and scored. A cumulative score was calculated from these three scores, and the variables were ranked.\nRESULTS: A total of 37 of 197 retrieved articles were included for final assessment. The median score for methodologic quality of individual articles was 36 (range 19-54). After calculation of the combined scores, 76 individual variables (patient, peritonitis, surgery, clinical, and laboratory variables) were identified from which the top 10 were eventually selected. These variables were age, concomitant disease, upper gastrointestinal source of peritonitis, generalized peritonitis, elimination of the focus, bilirubin, creatinine, lactate, PaO2/FiO2 ratio, and albumin. This set of variables proved to be moderately predictive for positive findings during relaparotomy in a retrospective cohort of 219 patients operated on for secondary peritonitis (receiver operator curve 0.75, with 95% confidence interval 0.68-0.82).\nCONCLUSIONS: This review generated a hierarchy (weighted ranking) of published variables that could play a role in the decision to perform a relaparotomy in patients with secondary peritonitis. The top sixtile of ranked variables (10 variables) showed promising results in the discrimination between patients having a positive and negative relaparotomy when tested on a peritonitis patient database. This ranking of variables provides evidence for potential inclusion of variables in future predictive scores, although improvement in overall predictive strength of a set of variables in such a score is needed.","container-title":"World Journal of Surgery","DOI":"10.1007/s00268-005-0333-1","ISSN":"0364-2313","issue":"12","journalAbbreviation":"World J Surg","language":"eng","note":"PMID: 17102920","page":"2170-2181","source":"PubMed","title":"Clinical predictors of ongoing infection in secondary peritonitis: systematic review","title-short":"Clinical predictors of ongoing infection in secondary peritonitis","volume":"30","author":[{"family":"Lamme","given":"Bas"},{"family":"Mahler","given":"Cecilia W."},{"family":"Ruler","given":"Oddeke","non-dropping-particle":"van"},{"family":"Gouma","given":"Dirk J."},{"family":"Reitsma","given":"Johannes B."},{"family":"Boermeester","given":"Marja A."}],"issued":{"date-parts":[["2006",12]]}}}],"schema":"https://github.com/citation-style-language/schema/raw/master/csl-citation.json"} </w:instrText>
      </w:r>
      <w:r w:rsidR="006331EC">
        <w:rPr>
          <w:sz w:val="24"/>
          <w:szCs w:val="24"/>
        </w:rPr>
        <w:fldChar w:fldCharType="separate"/>
      </w:r>
      <w:r w:rsidR="00F60978">
        <w:rPr>
          <w:rFonts w:ascii="Calibri" w:hAnsi="Calibri" w:cs="Calibri"/>
          <w:sz w:val="24"/>
        </w:rPr>
        <w:t>(28</w:t>
      </w:r>
      <w:r w:rsidR="00AA0789" w:rsidRPr="00AA0789">
        <w:rPr>
          <w:rFonts w:ascii="Calibri" w:hAnsi="Calibri" w:cs="Calibri"/>
          <w:sz w:val="24"/>
        </w:rPr>
        <w:t>)</w:t>
      </w:r>
      <w:r w:rsidR="006331EC">
        <w:rPr>
          <w:sz w:val="24"/>
          <w:szCs w:val="24"/>
        </w:rPr>
        <w:fldChar w:fldCharType="end"/>
      </w:r>
      <w:r w:rsidRPr="00EF4199">
        <w:rPr>
          <w:sz w:val="24"/>
          <w:szCs w:val="24"/>
        </w:rPr>
        <w:t>.</w:t>
      </w:r>
      <w:r w:rsidRPr="00EF4199">
        <w:rPr>
          <w:sz w:val="24"/>
          <w:szCs w:val="24"/>
        </w:rPr>
        <w:cr/>
      </w:r>
    </w:p>
    <w:p w:rsidR="00EF4199" w:rsidRDefault="00EF4199" w:rsidP="002F4AB7">
      <w:pPr>
        <w:jc w:val="both"/>
        <w:rPr>
          <w:sz w:val="24"/>
          <w:szCs w:val="24"/>
        </w:rPr>
      </w:pPr>
      <w:r w:rsidRPr="00EF4199">
        <w:rPr>
          <w:sz w:val="24"/>
          <w:szCs w:val="24"/>
        </w:rPr>
        <w:lastRenderedPageBreak/>
        <w:t>Fro</w:t>
      </w:r>
      <w:r w:rsidR="006446ED">
        <w:rPr>
          <w:sz w:val="24"/>
          <w:szCs w:val="24"/>
        </w:rPr>
        <w:t xml:space="preserve">m all above mentioned </w:t>
      </w:r>
      <w:r w:rsidR="003E4F94">
        <w:rPr>
          <w:sz w:val="24"/>
          <w:szCs w:val="24"/>
        </w:rPr>
        <w:t>studies</w:t>
      </w:r>
      <w:r w:rsidR="003E4F94" w:rsidRPr="00EF4199">
        <w:rPr>
          <w:sz w:val="24"/>
          <w:szCs w:val="24"/>
        </w:rPr>
        <w:t>,</w:t>
      </w:r>
      <w:r w:rsidRPr="00EF4199">
        <w:rPr>
          <w:sz w:val="24"/>
          <w:szCs w:val="24"/>
        </w:rPr>
        <w:t xml:space="preserve"> we can observe there is no universal model for </w:t>
      </w:r>
      <w:r w:rsidR="003E4F94" w:rsidRPr="00EF4199">
        <w:rPr>
          <w:sz w:val="24"/>
          <w:szCs w:val="24"/>
        </w:rPr>
        <w:t>all;</w:t>
      </w:r>
      <w:r w:rsidRPr="00EF4199">
        <w:rPr>
          <w:sz w:val="24"/>
          <w:szCs w:val="24"/>
        </w:rPr>
        <w:t xml:space="preserve"> it is depend on disease pattern, population distribution and the resources that are available.</w:t>
      </w:r>
      <w:r w:rsidR="00780B66">
        <w:rPr>
          <w:sz w:val="24"/>
          <w:szCs w:val="24"/>
        </w:rPr>
        <w:t xml:space="preserve"> </w:t>
      </w:r>
      <w:r w:rsidR="003E4F94">
        <w:rPr>
          <w:sz w:val="24"/>
          <w:szCs w:val="24"/>
        </w:rPr>
        <w:t>As we can see, 45% of our patients were diagnosed after infectious fluid has leaked through surgical wound. This signifies</w:t>
      </w:r>
      <w:r w:rsidR="00780B66">
        <w:rPr>
          <w:sz w:val="24"/>
          <w:szCs w:val="24"/>
        </w:rPr>
        <w:t>,</w:t>
      </w:r>
      <w:r w:rsidR="003E4F94">
        <w:rPr>
          <w:sz w:val="24"/>
          <w:szCs w:val="24"/>
        </w:rPr>
        <w:t xml:space="preserve"> sign </w:t>
      </w:r>
      <w:r w:rsidR="00780B66">
        <w:rPr>
          <w:sz w:val="24"/>
          <w:szCs w:val="24"/>
        </w:rPr>
        <w:t xml:space="preserve">and symptoms </w:t>
      </w:r>
      <w:r w:rsidR="003E4F94">
        <w:rPr>
          <w:sz w:val="24"/>
          <w:szCs w:val="24"/>
        </w:rPr>
        <w:t>of persistent infection were subtle enough to be missed</w:t>
      </w:r>
      <w:r w:rsidR="000470DE">
        <w:rPr>
          <w:sz w:val="24"/>
          <w:szCs w:val="24"/>
        </w:rPr>
        <w:t xml:space="preserve">. So we can use </w:t>
      </w:r>
      <w:r w:rsidR="00E168EC">
        <w:rPr>
          <w:sz w:val="24"/>
          <w:szCs w:val="24"/>
        </w:rPr>
        <w:t>this model</w:t>
      </w:r>
      <w:r w:rsidR="000470DE">
        <w:rPr>
          <w:sz w:val="24"/>
          <w:szCs w:val="24"/>
        </w:rPr>
        <w:t xml:space="preserve"> to find patients who are at increased risk of post op collection requiring relaparotomy and intervene early </w:t>
      </w:r>
      <w:r w:rsidR="00E168EC">
        <w:rPr>
          <w:sz w:val="24"/>
          <w:szCs w:val="24"/>
        </w:rPr>
        <w:t xml:space="preserve">before MODS occurs. Multiple studies </w:t>
      </w:r>
      <w:r w:rsidR="00AA0789">
        <w:rPr>
          <w:sz w:val="24"/>
          <w:szCs w:val="24"/>
        </w:rPr>
        <w:t>have</w:t>
      </w:r>
      <w:r w:rsidR="00233C07">
        <w:rPr>
          <w:sz w:val="24"/>
          <w:szCs w:val="24"/>
        </w:rPr>
        <w:t xml:space="preserve"> been done to confirm whether</w:t>
      </w:r>
      <w:r w:rsidR="00E168EC">
        <w:rPr>
          <w:sz w:val="24"/>
          <w:szCs w:val="24"/>
        </w:rPr>
        <w:t xml:space="preserve"> planned</w:t>
      </w:r>
      <w:r w:rsidR="00233C07">
        <w:rPr>
          <w:sz w:val="24"/>
          <w:szCs w:val="24"/>
        </w:rPr>
        <w:t xml:space="preserve"> or ondemand relaparotomy is superior, but still </w:t>
      </w:r>
      <w:r w:rsidR="00060F41">
        <w:rPr>
          <w:sz w:val="24"/>
          <w:szCs w:val="24"/>
        </w:rPr>
        <w:t>none</w:t>
      </w:r>
      <w:r w:rsidR="00233C07">
        <w:rPr>
          <w:sz w:val="24"/>
          <w:szCs w:val="24"/>
        </w:rPr>
        <w:t xml:space="preserve"> of them show significant difference on </w:t>
      </w:r>
      <w:r w:rsidR="00780B66">
        <w:rPr>
          <w:sz w:val="24"/>
          <w:szCs w:val="24"/>
        </w:rPr>
        <w:t>mortality</w:t>
      </w:r>
      <w:r w:rsidR="006331EC">
        <w:rPr>
          <w:sz w:val="24"/>
          <w:szCs w:val="24"/>
        </w:rPr>
        <w:fldChar w:fldCharType="begin"/>
      </w:r>
      <w:r w:rsidR="00AA0789">
        <w:rPr>
          <w:sz w:val="24"/>
          <w:szCs w:val="24"/>
        </w:rPr>
        <w:instrText xml:space="preserve"> ADDIN ZOTERO_ITEM CSL_CITATION {"citationID":"mXIxdXFf","properties":{"formattedCitation":"(17\\uc0\\u8211{}20)","plainCitation":"(17–20)","noteIndex":0},"citationItems":[{"id":82,"uris":["http://zotero.org/users/local/OmjLzqcp/items/5WYX848H"],"uri":["http://zotero.org/users/local/OmjLzqcp/items/5WYX848H"],"itemData":{"id":82,"type":"article-journal","abstract":"BACKGROUND: Planned relaparotomy and relaparotomy on demand are two frequently employed surgical treatment strategies for patients with abdominal sepsis.\nMETHODS: The available literature was evaluated to compare the efficacy of both surgical treatment strategies. A systematic search for studies comparing planned and on-demand relaparotomy strategies in adult patients with secondary peritonitis was employed. Studies were reviewed independently for design features, inclusion and exclusion criteria, and outcomes. The primary outcome measure was in-hospital mortality.\nRESULTS: No randomized studies were found; eight observational studies with a total of 1266 patients (planned relaparotomy, 286; relaparotomy on demand, 980) met the inclusion criteria and were included in the meta-analysis. These eight studies were heterogeneous on clinical and statistical grounds (chi2= 40.7, d.f. = 7, P &lt; 0.001). Using a random-effects approach, the combined odds ratio for in-hospital mortality was 0.70 (95 per cent confidence interval 0.27 to 1.80) in favour of the on-demand strategy.\nCONCLUSION: The combined results of observational studies show a statistically non-significant reduction in mortality for the on-demand relaparotomy strategy compared with the planned relaparotomy strategy when corrected for heterogeneity in a random-effects model. Owing to the non-randomized nature of the studies, the limited number of patients per study, and the heterogeneity between studies, the overall evidence generated by the eight studies was inconclusive.","container-title":"The British Journal of Surgery","DOI":"10.1046/j.1365-2168.2002.02293.x","ISSN":"0007-1323","issue":"12","journalAbbreviation":"Br J Surg","language":"eng","note":"PMID: 12445059","page":"1516-1524","source":"PubMed","title":"Meta-analysis of relaparotomy for secondary peritonitis","volume":"89","author":[{"family":"Lamme","given":"B."},{"family":"Boermeester","given":"M. A."},{"family":"Reitsma","given":"J. B."},{"family":"Mahler","given":"C. W."},{"family":"Obertop","given":"H."},{"family":"Gouma","given":"D. J."}],"issued":{"date-parts":[["2002",12]]}},"label":"page"},{"id":80,"uris":["http://zotero.org/users/local/OmjLzqcp/items/YUU7AN36"],"uri":["http://zotero.org/users/local/OmjLzqcp/items/YUU7AN36"],"itemData":{"id":80,"type":"article-journal","abstract":"AIM: To compare morbidity and mortality of patients with severe intra-abdominal infections after two types of surgical treatment, on-demand (\"wait and see\") relaparotomy and modified planned relaparotomy.\nMETHODS: We prospectively analyzed the outcomes of 65 patients with severe peritonitis surgically treated in two Croatian hospitals. In one hospital, 34 patients were treated on-demand, and in another hospital 31 patients were treated by planned relaparotomy. We compared severe postoperative complications, mortality, and length of hospital stay in the two groups of patients.\nRESULTS: Severity of patient's disease, as measured from preoperative group-average Acute Physiology and Chronic Health Evaluation (APACHE) II scores, was comparable in both on-demand and planned relaparotomy groups. The mortality rate was higher in patients operated on-demand (59% vs 29%, P=0.024). In nonadjusted model, the relative risk of dying was 2.5-fold higher for patients treated by on-demand operation in comparison with planned relaparatomy (P=0.030). However, after the adjustment of the survival data for individual patient's sex and APACHE II scores, the difference in the relative risk became non-significant (P=0.178). The patients who died had higher APACHE II scores (26.1+/-8.9 vs 19.7+/-5.9, P=0.009). Relative risk of dying per 5-point increase in APACHE II score was 1.24 (95% confidence interval, 1.01-1.51; P=0.039), irrespective of the surgical technique.\nCONCLUSIONS: Patients with severe peritonitis treated with planned relaparotomy seemed to have lower mortality. However, the relative risk of dying was not statistically different between the on-demand and planned relaparotomy groups after adjustment for preoperative APACHE II scores. The severity of disease rather than surgical approach plays more important role in survival of these patients.","container-title":"Croatian Medical Journal","ISSN":"0353-9504","issue":"6","journalAbbreviation":"Croat Med J","language":"eng","note":"PMID: 16342350","page":"957-963","source":"PubMed","title":"Comparison of on-demand vs planned relaparotomy for treatment of severe intra-abdominal infections","volume":"46","author":[{"family":"Rakić","given":"Mladen"},{"family":"Popović","given":"Drago"},{"family":"Rakić","given":"Mislav"},{"family":"Druzijanić","given":"Nikica"},{"family":"Lojpur","given":"Mihajlo"},{"family":"Hall","given":"Brian A."},{"family":"Williams","given":"Brent A."},{"family":"Sprung","given":"Juraj"}],"issued":{"date-parts":[["2005",12]]}},"label":"page"},{"id":84,"uris":["http://zotero.org/users/local/OmjLzqcp/items/BYJVM6PM"],"uri":["http://zotero.org/users/local/OmjLzqcp/items/BYJVM6PM"],"itemData":{"id":84,"type":"article-journal","abstract":"BACKGROUND: Planned relaparotomy (PR) and relaparotomy on demand (ROD) are both frequently used in the treatment of secondary peritonitis. The aim of this study was to evaluate the mortality, morbidity and long-term outcome associated with PR compared with ROD in patients with secondary peritonitis admitted to a university hospital.\nMETHOD: This retrospective study included 278 consecutive patients who underwent emergency laparotomy for secondary peritonitis between January 1994 and January 2000. Outcome was analysed based on the decision made by the surgeon during the first operation to perform either ROD (197 patients) or PR (81).\nRESULTS: The Acute Physiology And Chronic Health Evaluation II score was comparable in ROD and PR groups (10.8 versus 11.7; P = 0.222). The in-hospital mortality rate was significantly lower with ROD than PR (21.8 versus 36 per cent; P = 0.016). Two-year survival(s.e.) was 65.8(3.4) per cent in the ROD group and 55.5(5.5) per cent in the PR group (P = 0.031).\nCONCLUSION: The in-hospital and long-term survival rates were higher in patients with secondary peritonitis treated by ROD than in those with disease of comparable severity treated by PR. Choice of treatment strategy was an independent predictor of survival.","container-title":"The British Journal of Surgery","DOI":"10.1002/bjs.4517","ISSN":"0007-1323","issue":"8","journalAbbreviation":"Br J Surg","language":"eng","note":"PMID: 15286969","page":"1046-1054","source":"PubMed","title":"Mortality and morbidity of planned relaparotomy versus relaparotomy on demand for secondary peritonitis","volume":"91","author":[{"family":"Lamme","given":"B."},{"family":"Boermeester","given":"M. A."},{"family":"Belt","given":"E. J. T."},{"family":"Till","given":"J. W. O.","non-dropping-particle":"van"},{"family":"Gouma","given":"D. J."},{"family":"Obertop","given":"H."}],"issued":{"date-parts":[["2004",8]]}},"label":"page"},{"id":66,"uris":["http://zotero.org/users/local/OmjLzqcp/items/UJ7I8ZZ8"],"uri":["http://zotero.org/users/local/OmjLzqcp/items/UJ7I8ZZ8"],"itemData":{"id":66,"type":"article-journal","abstract":"CONTEXT: In patients with severe secondary peritonitis, there are 2 surgical treatment strategies following an initial emergency laparotomy: planned relaparotomy and relaparotomy only when the patient's condition demands it (\"on-demand\"). The on-demand strategy may reduce mortality, morbidity, health care utilization, and costs. However, randomized trials have not been performed.\nOBJECTIVE: To compare patient outcome, health care utilization, and costs of on-demand and planned relaparotomy.\nDESIGN, SETTING, AND PATIENTS: Randomized, nonblinded clinical trial at 2 academic and 5 regional teaching hospitals in the Netherlands from November 2001 through February 2005. Patients had severe secondary peritonitis and an Acute Physiology and Chronic Health Evaluation (APACHE-II) score of 11 or greater.\nINTERVENTION: Random allocation to on-demand or planned relaparotomy strategy.\nMAIN OUTCOME MEASURES: The primary end point was death and/or peritonitis-related morbidity within a 12-month follow-up period. Secondary end points included health care utilization and costs.\nRESULTS: A total of 232 patients (116 on-demand and 116 planned) were randomized. One patient in the on-demand group was excluded due to an operative diagnosis of pancreatitis and 3 in each group withdrew or were lost to follow-up. There was no significant difference in primary end point (57% on-demand [n = 64] vs 65% planned [n = 73]; P = .25) or in mortality alone (29% on-demand [n = 32] vs 36% planned [n = 41]; P = .22) or morbidity alone (40% on-demand [n = 32] vs 44% planned [n = 32]; P = .58). A total of 42% of the on-demand patients had a relaparotomy vs 94% of the planned relaparotomy group. A total of 31% of first relaparotomies were negative in the on-demand group vs 66% in the planned group (P &lt;.001). Patients in the on-demand group had shorter median intensive care unit stays (7 vs 11 days; P = .001) and shorter median hospital stays (27 vs 35 days; P = .008). Direct medical costs per patient were reduced by 23% using the on-demand strategy.\nCONCLUSION: Patients in the on-demand relaparotomy group did not have a significantly lower rate of death or major peritonitis-related morbidity compared with the planned relaparotomy group but did have a substantial reduction in relaparotomies, health care utilization, and medical costs.\nTRIAL REGISTRATION: http://isrctn.org Identifier: ISRCTN51729393.","container-title":"JAMA","DOI":"10.1001/jama.298.8.865","ISSN":"1538-3598","issue":"8","journalAbbreviation":"JAMA","language":"eng","note":"PMID: 17712070","page":"865-872","source":"PubMed","title":"Comparison of on-demand vs planned relaparotomy strategy in patients with severe peritonitis: a randomized trial","title-short":"Comparison of on-demand vs planned relaparotomy strategy in patients with severe peritonitis","volume":"298","author":[{"family":"Ruler","given":"Oddeke","non-dropping-particle":"van"},{"family":"Mahler","given":"Cecilia W."},{"family":"Boer","given":"Kimberly R."},{"family":"Reuland","given":"E. Ascelijn"},{"family":"Gooszen","given":"Hein G."},{"family":"Opmeer","given":"Brent C."},{"family":"Graaf","given":"Peter W.","non-dropping-particle":"de"},{"family":"Lamme","given":"Bas"},{"family":"Gerhards","given":"Michael F."},{"family":"Steller","given":"E. Philip"},{"family":"Till","given":"J. W. Olivier","non-dropping-particle":"van"},{"family":"Borgie","given":"Corianne J. A. M.","non-dropping-particle":"de"},{"family":"Gouma","given":"Dirk J."},{"family":"Reitsma","given":"Johannes B."},{"family":"Boermeester","given":"Marja A."},{"literal":"Dutch Peritonitis Study Group"}],"issued":{"date-parts":[["2007",8,22]]}},"label":"page"}],"schema":"https://github.com/citation-style-language/schema/raw/master/csl-citation.json"} </w:instrText>
      </w:r>
      <w:r w:rsidR="006331EC">
        <w:rPr>
          <w:sz w:val="24"/>
          <w:szCs w:val="24"/>
        </w:rPr>
        <w:fldChar w:fldCharType="separate"/>
      </w:r>
      <w:r w:rsidR="00F60978">
        <w:rPr>
          <w:rFonts w:ascii="Calibri" w:hAnsi="Calibri" w:cs="Calibri"/>
          <w:sz w:val="24"/>
          <w:szCs w:val="24"/>
        </w:rPr>
        <w:t>(18–21</w:t>
      </w:r>
      <w:r w:rsidR="00AA0789" w:rsidRPr="00AA0789">
        <w:rPr>
          <w:rFonts w:ascii="Calibri" w:hAnsi="Calibri" w:cs="Calibri"/>
          <w:sz w:val="24"/>
          <w:szCs w:val="24"/>
        </w:rPr>
        <w:t>)</w:t>
      </w:r>
      <w:r w:rsidR="006331EC">
        <w:rPr>
          <w:sz w:val="24"/>
          <w:szCs w:val="24"/>
        </w:rPr>
        <w:fldChar w:fldCharType="end"/>
      </w:r>
      <w:r w:rsidR="00233C07">
        <w:rPr>
          <w:sz w:val="24"/>
          <w:szCs w:val="24"/>
        </w:rPr>
        <w:t xml:space="preserve">. </w:t>
      </w:r>
      <w:r w:rsidRPr="00EF4199">
        <w:rPr>
          <w:sz w:val="24"/>
          <w:szCs w:val="24"/>
        </w:rPr>
        <w:t xml:space="preserve">So we can use this model, to give extra care for </w:t>
      </w:r>
      <w:r w:rsidR="00780B66" w:rsidRPr="00EF4199">
        <w:rPr>
          <w:sz w:val="24"/>
          <w:szCs w:val="24"/>
        </w:rPr>
        <w:t>patients that are</w:t>
      </w:r>
      <w:r w:rsidRPr="00EF4199">
        <w:rPr>
          <w:sz w:val="24"/>
          <w:szCs w:val="24"/>
        </w:rPr>
        <w:t xml:space="preserve"> at higher risk of post op collection</w:t>
      </w:r>
      <w:r w:rsidR="00780B66">
        <w:rPr>
          <w:sz w:val="24"/>
          <w:szCs w:val="24"/>
        </w:rPr>
        <w:t>.</w:t>
      </w:r>
    </w:p>
    <w:p w:rsidR="006419ED" w:rsidRDefault="006419ED" w:rsidP="002F4AB7">
      <w:pPr>
        <w:jc w:val="both"/>
        <w:rPr>
          <w:sz w:val="24"/>
          <w:szCs w:val="24"/>
        </w:rPr>
      </w:pPr>
    </w:p>
    <w:p w:rsidR="009C158A" w:rsidRPr="004A4932" w:rsidRDefault="006419ED" w:rsidP="002F4AB7">
      <w:pPr>
        <w:pStyle w:val="Heading1"/>
        <w:jc w:val="both"/>
      </w:pPr>
      <w:bookmarkStart w:id="20" w:name="_Toc73713188"/>
      <w:r w:rsidRPr="004A4932">
        <w:t>Conclusion</w:t>
      </w:r>
      <w:bookmarkEnd w:id="20"/>
    </w:p>
    <w:p w:rsidR="005E56F3" w:rsidRDefault="002F67A5" w:rsidP="002F4AB7">
      <w:pPr>
        <w:widowControl w:val="0"/>
        <w:autoSpaceDE w:val="0"/>
        <w:autoSpaceDN w:val="0"/>
        <w:adjustRightInd w:val="0"/>
        <w:spacing w:after="0" w:line="240" w:lineRule="auto"/>
        <w:jc w:val="both"/>
        <w:rPr>
          <w:sz w:val="24"/>
          <w:szCs w:val="24"/>
        </w:rPr>
      </w:pPr>
      <w:r>
        <w:rPr>
          <w:sz w:val="24"/>
          <w:szCs w:val="24"/>
        </w:rPr>
        <w:t>Prevention is the best strategy. The first surgery in peritonitis must be complete to prevent post op collection. To achieve this, e</w:t>
      </w:r>
      <w:r w:rsidRPr="002F67A5">
        <w:rPr>
          <w:sz w:val="24"/>
          <w:szCs w:val="24"/>
        </w:rPr>
        <w:t>arly administration of antibiotics; timely and effective surgical intervention and Supportive are paramount</w:t>
      </w:r>
      <w:r>
        <w:rPr>
          <w:sz w:val="24"/>
          <w:szCs w:val="24"/>
        </w:rPr>
        <w:t xml:space="preserve">. Despite maximum effort, some patients develop </w:t>
      </w:r>
      <w:r w:rsidR="00060F41">
        <w:rPr>
          <w:sz w:val="24"/>
          <w:szCs w:val="24"/>
        </w:rPr>
        <w:t>persistent intraabdominal infection. The two main approaches to deal with postop intraabominal infection are planned and on-demand relaparotomy.</w:t>
      </w:r>
      <w:r w:rsidR="00060F41" w:rsidRPr="00060F41">
        <w:rPr>
          <w:sz w:val="24"/>
          <w:szCs w:val="24"/>
        </w:rPr>
        <w:t xml:space="preserve"> </w:t>
      </w:r>
      <w:r w:rsidR="00060F41">
        <w:rPr>
          <w:sz w:val="24"/>
          <w:szCs w:val="24"/>
        </w:rPr>
        <w:t>Multiple studies has been done to confirm whether planned or ondemand relaparotomy is superior, but still none of them show significant difference on mortality</w:t>
      </w:r>
      <w:r w:rsidR="00F60978">
        <w:rPr>
          <w:sz w:val="24"/>
          <w:szCs w:val="24"/>
        </w:rPr>
        <w:t>(18-21</w:t>
      </w:r>
      <w:r w:rsidR="00060F41">
        <w:rPr>
          <w:sz w:val="24"/>
          <w:szCs w:val="24"/>
        </w:rPr>
        <w:t>).</w:t>
      </w:r>
    </w:p>
    <w:p w:rsidR="00C32A34" w:rsidRPr="00C32A34" w:rsidRDefault="00C32A34" w:rsidP="002F4AB7">
      <w:pPr>
        <w:widowControl w:val="0"/>
        <w:autoSpaceDE w:val="0"/>
        <w:autoSpaceDN w:val="0"/>
        <w:adjustRightInd w:val="0"/>
        <w:spacing w:after="0" w:line="240" w:lineRule="auto"/>
        <w:jc w:val="both"/>
        <w:rPr>
          <w:rFonts w:ascii="Times New Roman" w:hAnsi="Times New Roman" w:cs="Times New Roman"/>
          <w:sz w:val="24"/>
          <w:szCs w:val="24"/>
        </w:rPr>
      </w:pPr>
    </w:p>
    <w:p w:rsidR="005E56F3" w:rsidRDefault="005E56F3" w:rsidP="002F4AB7">
      <w:pPr>
        <w:jc w:val="both"/>
        <w:rPr>
          <w:rFonts w:cstheme="minorHAnsi"/>
          <w:sz w:val="24"/>
          <w:szCs w:val="24"/>
        </w:rPr>
      </w:pPr>
      <w:r>
        <w:rPr>
          <w:rFonts w:cstheme="minorHAnsi"/>
          <w:sz w:val="24"/>
          <w:szCs w:val="24"/>
        </w:rPr>
        <w:t xml:space="preserve">Planned relaparotomy detect </w:t>
      </w:r>
      <w:r w:rsidRPr="009176BD">
        <w:rPr>
          <w:rFonts w:cstheme="minorHAnsi"/>
          <w:sz w:val="24"/>
          <w:szCs w:val="24"/>
        </w:rPr>
        <w:t>persistent infection</w:t>
      </w:r>
      <w:r>
        <w:rPr>
          <w:rFonts w:cstheme="minorHAnsi"/>
          <w:sz w:val="24"/>
          <w:szCs w:val="24"/>
        </w:rPr>
        <w:t xml:space="preserve"> early, before occurrence of MODS; while high negative relaparotmy is the drawback. In Ondemand relaparotomy, exploration is limited to patients who developed sign and symptoms of persistant intraabominal infection. The disadvantage of this strategy is late detection of postop collection after SIRS develops. These partly because of lack of standardized</w:t>
      </w:r>
      <w:r w:rsidRPr="0074505D">
        <w:rPr>
          <w:rFonts w:cstheme="minorHAnsi"/>
          <w:sz w:val="24"/>
          <w:szCs w:val="24"/>
        </w:rPr>
        <w:t xml:space="preserve"> criteria to</w:t>
      </w:r>
      <w:r>
        <w:rPr>
          <w:rFonts w:cstheme="minorHAnsi"/>
          <w:sz w:val="24"/>
          <w:szCs w:val="24"/>
        </w:rPr>
        <w:t xml:space="preserve"> define when to perform a relaparotomy during</w:t>
      </w:r>
      <w:r w:rsidRPr="0074505D">
        <w:rPr>
          <w:rFonts w:cstheme="minorHAnsi"/>
          <w:sz w:val="24"/>
          <w:szCs w:val="24"/>
        </w:rPr>
        <w:t xml:space="preserve"> the course of disease.</w:t>
      </w:r>
      <w:r w:rsidR="0050468F">
        <w:rPr>
          <w:rFonts w:cstheme="minorHAnsi"/>
          <w:sz w:val="24"/>
          <w:szCs w:val="24"/>
        </w:rPr>
        <w:t xml:space="preserve"> The variables found in our study can be used as one of the criteria to find patients at increased risk of post op collection</w:t>
      </w:r>
      <w:r w:rsidR="00BD4073">
        <w:rPr>
          <w:rFonts w:cstheme="minorHAnsi"/>
          <w:sz w:val="24"/>
          <w:szCs w:val="24"/>
        </w:rPr>
        <w:t>, so we can plan relaparotomy or work up the patients so as to detect persistent intraabdominal infection before the development of SIRS. This will decrease negative relaparotomy, while detecting persistent infection early before development of MODS</w:t>
      </w:r>
      <w:r w:rsidR="001D50A3">
        <w:rPr>
          <w:rFonts w:cstheme="minorHAnsi"/>
          <w:sz w:val="24"/>
          <w:szCs w:val="24"/>
        </w:rPr>
        <w:t>.</w:t>
      </w:r>
      <w:r w:rsidR="001D50A3" w:rsidRPr="001D50A3">
        <w:t xml:space="preserve"> </w:t>
      </w:r>
      <w:r w:rsidR="001D50A3">
        <w:rPr>
          <w:rFonts w:cstheme="minorHAnsi"/>
          <w:sz w:val="24"/>
          <w:szCs w:val="24"/>
        </w:rPr>
        <w:t>The low sensitivity of the</w:t>
      </w:r>
      <w:r w:rsidR="001D50A3" w:rsidRPr="001D50A3">
        <w:rPr>
          <w:rFonts w:cstheme="minorHAnsi"/>
          <w:sz w:val="24"/>
          <w:szCs w:val="24"/>
        </w:rPr>
        <w:t xml:space="preserve"> model requi</w:t>
      </w:r>
      <w:r w:rsidR="001D50A3">
        <w:rPr>
          <w:rFonts w:cstheme="minorHAnsi"/>
          <w:sz w:val="24"/>
          <w:szCs w:val="24"/>
        </w:rPr>
        <w:t xml:space="preserve">re further studies before </w:t>
      </w:r>
      <w:r w:rsidR="001D50A3" w:rsidRPr="001D50A3">
        <w:rPr>
          <w:rFonts w:cstheme="minorHAnsi"/>
          <w:sz w:val="24"/>
          <w:szCs w:val="24"/>
        </w:rPr>
        <w:t>wide spread use of our predictive model</w:t>
      </w:r>
      <w:r w:rsidR="001D50A3">
        <w:rPr>
          <w:rFonts w:cstheme="minorHAnsi"/>
          <w:sz w:val="24"/>
          <w:szCs w:val="24"/>
        </w:rPr>
        <w:t>.</w:t>
      </w:r>
    </w:p>
    <w:p w:rsidR="00060F41" w:rsidRDefault="00060F41" w:rsidP="002F4AB7">
      <w:pPr>
        <w:jc w:val="both"/>
        <w:rPr>
          <w:sz w:val="24"/>
          <w:szCs w:val="24"/>
        </w:rPr>
      </w:pPr>
      <w:r>
        <w:rPr>
          <w:sz w:val="24"/>
          <w:szCs w:val="24"/>
        </w:rPr>
        <w:t xml:space="preserve"> </w:t>
      </w:r>
    </w:p>
    <w:p w:rsidR="004A4932" w:rsidRDefault="004A4932" w:rsidP="002F4AB7">
      <w:pPr>
        <w:jc w:val="both"/>
        <w:rPr>
          <w:b/>
          <w:sz w:val="28"/>
          <w:szCs w:val="28"/>
        </w:rPr>
      </w:pPr>
    </w:p>
    <w:p w:rsidR="00364967" w:rsidRDefault="00364967" w:rsidP="002F4AB7">
      <w:pPr>
        <w:jc w:val="both"/>
        <w:rPr>
          <w:b/>
          <w:sz w:val="32"/>
          <w:szCs w:val="32"/>
        </w:rPr>
      </w:pPr>
    </w:p>
    <w:p w:rsidR="00364967" w:rsidRDefault="00364967" w:rsidP="002F4AB7">
      <w:pPr>
        <w:jc w:val="both"/>
        <w:rPr>
          <w:b/>
          <w:sz w:val="32"/>
          <w:szCs w:val="32"/>
        </w:rPr>
      </w:pPr>
    </w:p>
    <w:p w:rsidR="00D746CF" w:rsidRPr="004A4932" w:rsidRDefault="00D746CF" w:rsidP="002F4AB7">
      <w:pPr>
        <w:pStyle w:val="Heading1"/>
        <w:jc w:val="both"/>
      </w:pPr>
      <w:bookmarkStart w:id="21" w:name="_Toc73713189"/>
      <w:r w:rsidRPr="004A4932">
        <w:lastRenderedPageBreak/>
        <w:t>Dissemination and utilization of results</w:t>
      </w:r>
      <w:bookmarkEnd w:id="21"/>
    </w:p>
    <w:p w:rsidR="00D746CF" w:rsidRPr="00980E57" w:rsidRDefault="00D746CF" w:rsidP="002F4AB7">
      <w:pPr>
        <w:jc w:val="both"/>
        <w:rPr>
          <w:sz w:val="24"/>
          <w:szCs w:val="24"/>
        </w:rPr>
      </w:pPr>
      <w:r w:rsidRPr="00980E57">
        <w:rPr>
          <w:sz w:val="24"/>
          <w:szCs w:val="24"/>
        </w:rPr>
        <w:t>The finding</w:t>
      </w:r>
      <w:r>
        <w:rPr>
          <w:sz w:val="24"/>
          <w:szCs w:val="24"/>
        </w:rPr>
        <w:t>s</w:t>
      </w:r>
      <w:r w:rsidRPr="00980E57">
        <w:rPr>
          <w:sz w:val="24"/>
          <w:szCs w:val="24"/>
        </w:rPr>
        <w:t xml:space="preserve"> of the study primarily </w:t>
      </w:r>
      <w:r>
        <w:rPr>
          <w:sz w:val="24"/>
          <w:szCs w:val="24"/>
        </w:rPr>
        <w:t xml:space="preserve">will be </w:t>
      </w:r>
      <w:r w:rsidRPr="00980E57">
        <w:rPr>
          <w:sz w:val="24"/>
          <w:szCs w:val="24"/>
        </w:rPr>
        <w:t xml:space="preserve">presented to the </w:t>
      </w:r>
      <w:r>
        <w:rPr>
          <w:sz w:val="24"/>
          <w:szCs w:val="24"/>
        </w:rPr>
        <w:t>surgical departmen</w:t>
      </w:r>
      <w:r w:rsidR="00AC36A8">
        <w:rPr>
          <w:sz w:val="24"/>
          <w:szCs w:val="24"/>
        </w:rPr>
        <w:t>t, College of Medicine, AAU</w:t>
      </w:r>
      <w:r>
        <w:rPr>
          <w:sz w:val="24"/>
          <w:szCs w:val="24"/>
        </w:rPr>
        <w:t>. The findings will</w:t>
      </w:r>
      <w:r w:rsidRPr="00980E57">
        <w:rPr>
          <w:sz w:val="24"/>
          <w:szCs w:val="24"/>
        </w:rPr>
        <w:t xml:space="preserve"> be disseminated to different organizations</w:t>
      </w:r>
      <w:r w:rsidR="008F5078">
        <w:rPr>
          <w:sz w:val="24"/>
          <w:szCs w:val="24"/>
        </w:rPr>
        <w:t xml:space="preserve">, including the involved </w:t>
      </w:r>
      <w:r w:rsidR="00A97DB0">
        <w:rPr>
          <w:sz w:val="24"/>
          <w:szCs w:val="24"/>
        </w:rPr>
        <w:t>hospitals</w:t>
      </w:r>
      <w:r w:rsidRPr="00980E57">
        <w:rPr>
          <w:sz w:val="24"/>
          <w:szCs w:val="24"/>
        </w:rPr>
        <w:t xml:space="preserve"> through different means such using Ethiopia Medical journal or any global once if possible</w:t>
      </w:r>
      <w:r>
        <w:rPr>
          <w:sz w:val="24"/>
          <w:szCs w:val="24"/>
        </w:rPr>
        <w:t>.</w:t>
      </w:r>
    </w:p>
    <w:p w:rsidR="00780B66" w:rsidRDefault="00780B66" w:rsidP="002F4AB7">
      <w:pPr>
        <w:jc w:val="both"/>
        <w:rPr>
          <w:rFonts w:cstheme="minorHAnsi"/>
          <w:b/>
          <w:sz w:val="28"/>
          <w:szCs w:val="28"/>
        </w:rPr>
      </w:pPr>
    </w:p>
    <w:p w:rsidR="00780B66" w:rsidRDefault="00780B66" w:rsidP="002F4AB7">
      <w:pPr>
        <w:jc w:val="both"/>
        <w:rPr>
          <w:rFonts w:cstheme="minorHAnsi"/>
          <w:b/>
          <w:sz w:val="28"/>
          <w:szCs w:val="28"/>
        </w:rPr>
      </w:pPr>
    </w:p>
    <w:p w:rsidR="00780B66" w:rsidRDefault="00780B66" w:rsidP="002F4AB7">
      <w:pPr>
        <w:jc w:val="both"/>
        <w:rPr>
          <w:rFonts w:cstheme="minorHAnsi"/>
          <w:b/>
          <w:sz w:val="28"/>
          <w:szCs w:val="28"/>
        </w:rPr>
      </w:pPr>
    </w:p>
    <w:p w:rsidR="00780B66" w:rsidRDefault="00780B66" w:rsidP="002F4AB7">
      <w:pPr>
        <w:jc w:val="both"/>
        <w:rPr>
          <w:rFonts w:cstheme="minorHAnsi"/>
          <w:b/>
          <w:sz w:val="28"/>
          <w:szCs w:val="28"/>
        </w:rPr>
      </w:pPr>
    </w:p>
    <w:p w:rsidR="00780B66" w:rsidRDefault="00780B66" w:rsidP="002F4AB7">
      <w:pPr>
        <w:jc w:val="both"/>
        <w:rPr>
          <w:rFonts w:cstheme="minorHAnsi"/>
          <w:b/>
          <w:sz w:val="28"/>
          <w:szCs w:val="28"/>
        </w:rPr>
      </w:pPr>
    </w:p>
    <w:p w:rsidR="00780B66" w:rsidRDefault="00780B66" w:rsidP="002F4AB7">
      <w:pPr>
        <w:jc w:val="both"/>
        <w:rPr>
          <w:rFonts w:cstheme="minorHAnsi"/>
          <w:b/>
          <w:sz w:val="28"/>
          <w:szCs w:val="28"/>
        </w:rPr>
      </w:pPr>
    </w:p>
    <w:p w:rsidR="00780B66" w:rsidRDefault="00780B66" w:rsidP="002F4AB7">
      <w:pPr>
        <w:jc w:val="both"/>
        <w:rPr>
          <w:rFonts w:cstheme="minorHAnsi"/>
          <w:b/>
          <w:sz w:val="28"/>
          <w:szCs w:val="28"/>
        </w:rPr>
      </w:pPr>
    </w:p>
    <w:p w:rsidR="00780B66" w:rsidRDefault="00780B66" w:rsidP="002F4AB7">
      <w:pPr>
        <w:jc w:val="both"/>
        <w:rPr>
          <w:rFonts w:cstheme="minorHAnsi"/>
          <w:b/>
          <w:sz w:val="28"/>
          <w:szCs w:val="28"/>
        </w:rPr>
      </w:pPr>
    </w:p>
    <w:p w:rsidR="00780B66" w:rsidRDefault="00780B66" w:rsidP="002F4AB7">
      <w:pPr>
        <w:jc w:val="both"/>
        <w:rPr>
          <w:rFonts w:cstheme="minorHAnsi"/>
          <w:b/>
          <w:sz w:val="28"/>
          <w:szCs w:val="28"/>
        </w:rPr>
      </w:pPr>
    </w:p>
    <w:p w:rsidR="00780B66" w:rsidRDefault="00780B66" w:rsidP="002F4AB7">
      <w:pPr>
        <w:jc w:val="both"/>
        <w:rPr>
          <w:rFonts w:cstheme="minorHAnsi"/>
          <w:b/>
          <w:sz w:val="28"/>
          <w:szCs w:val="28"/>
        </w:rPr>
      </w:pPr>
    </w:p>
    <w:p w:rsidR="00780B66" w:rsidRDefault="00780B66" w:rsidP="002F4AB7">
      <w:pPr>
        <w:jc w:val="both"/>
        <w:rPr>
          <w:rFonts w:cstheme="minorHAnsi"/>
          <w:b/>
          <w:sz w:val="28"/>
          <w:szCs w:val="28"/>
        </w:rPr>
      </w:pPr>
    </w:p>
    <w:p w:rsidR="000658EE" w:rsidRDefault="000658EE" w:rsidP="002F4AB7">
      <w:pPr>
        <w:jc w:val="both"/>
        <w:rPr>
          <w:rFonts w:cstheme="minorHAnsi"/>
          <w:b/>
          <w:sz w:val="28"/>
          <w:szCs w:val="28"/>
        </w:rPr>
      </w:pPr>
    </w:p>
    <w:p w:rsidR="000658EE" w:rsidRDefault="000658EE" w:rsidP="002F4AB7">
      <w:pPr>
        <w:jc w:val="both"/>
        <w:rPr>
          <w:rFonts w:cstheme="minorHAnsi"/>
          <w:b/>
          <w:sz w:val="28"/>
          <w:szCs w:val="28"/>
        </w:rPr>
      </w:pPr>
    </w:p>
    <w:p w:rsidR="000658EE" w:rsidRDefault="000658EE" w:rsidP="002F4AB7">
      <w:pPr>
        <w:jc w:val="both"/>
        <w:rPr>
          <w:rFonts w:cstheme="minorHAnsi"/>
          <w:b/>
          <w:sz w:val="28"/>
          <w:szCs w:val="28"/>
        </w:rPr>
      </w:pPr>
    </w:p>
    <w:p w:rsidR="000658EE" w:rsidRDefault="000658EE" w:rsidP="002F4AB7">
      <w:pPr>
        <w:jc w:val="both"/>
        <w:rPr>
          <w:rFonts w:cstheme="minorHAnsi"/>
          <w:b/>
          <w:sz w:val="28"/>
          <w:szCs w:val="28"/>
        </w:rPr>
      </w:pPr>
    </w:p>
    <w:p w:rsidR="000658EE" w:rsidRDefault="000658EE" w:rsidP="002F4AB7">
      <w:pPr>
        <w:jc w:val="both"/>
        <w:rPr>
          <w:rFonts w:cstheme="minorHAnsi"/>
          <w:b/>
          <w:sz w:val="28"/>
          <w:szCs w:val="28"/>
        </w:rPr>
      </w:pPr>
    </w:p>
    <w:p w:rsidR="004A4932" w:rsidRDefault="004A4932" w:rsidP="002F4AB7">
      <w:pPr>
        <w:jc w:val="both"/>
        <w:rPr>
          <w:rFonts w:cstheme="minorHAnsi"/>
          <w:b/>
          <w:sz w:val="28"/>
          <w:szCs w:val="28"/>
        </w:rPr>
      </w:pPr>
    </w:p>
    <w:p w:rsidR="004A4932" w:rsidRDefault="004A4932" w:rsidP="002F4AB7">
      <w:pPr>
        <w:jc w:val="both"/>
        <w:rPr>
          <w:rFonts w:cstheme="minorHAnsi"/>
          <w:b/>
          <w:sz w:val="28"/>
          <w:szCs w:val="28"/>
        </w:rPr>
      </w:pPr>
    </w:p>
    <w:p w:rsidR="00AC7DD7" w:rsidRPr="004A4932" w:rsidRDefault="00846EF8" w:rsidP="002F4AB7">
      <w:pPr>
        <w:pStyle w:val="Heading1"/>
        <w:jc w:val="both"/>
      </w:pPr>
      <w:bookmarkStart w:id="22" w:name="_Toc73713190"/>
      <w:r w:rsidRPr="004A4932">
        <w:lastRenderedPageBreak/>
        <w:t>References</w:t>
      </w:r>
      <w:bookmarkEnd w:id="22"/>
    </w:p>
    <w:p w:rsidR="00C32A34" w:rsidRPr="00C32A34" w:rsidRDefault="006331EC" w:rsidP="002F4AB7">
      <w:pPr>
        <w:pStyle w:val="Bibliography"/>
        <w:jc w:val="both"/>
        <w:rPr>
          <w:rFonts w:ascii="Calibri" w:hAnsi="Calibri" w:cs="Calibri"/>
          <w:sz w:val="24"/>
        </w:rPr>
      </w:pPr>
      <w:r w:rsidRPr="006331EC">
        <w:rPr>
          <w:rFonts w:cstheme="minorHAnsi"/>
        </w:rPr>
        <w:fldChar w:fldCharType="begin"/>
      </w:r>
      <w:r w:rsidR="00C32A34">
        <w:rPr>
          <w:rFonts w:cstheme="minorHAnsi"/>
        </w:rPr>
        <w:instrText xml:space="preserve"> ADDIN ZOTERO_BIBL {"uncited":[],"omitted":[],"custom":[]} CSL_BIBLIOGRAPHY </w:instrText>
      </w:r>
      <w:r w:rsidRPr="006331EC">
        <w:rPr>
          <w:rFonts w:cstheme="minorHAnsi"/>
        </w:rPr>
        <w:fldChar w:fldCharType="separate"/>
      </w:r>
      <w:r w:rsidR="00C32A34" w:rsidRPr="00C32A34">
        <w:rPr>
          <w:rFonts w:ascii="Calibri" w:hAnsi="Calibri" w:cs="Calibri"/>
          <w:sz w:val="24"/>
        </w:rPr>
        <w:t>1.</w:t>
      </w:r>
      <w:r w:rsidR="00C32A34" w:rsidRPr="00B70CB5">
        <w:rPr>
          <w:rFonts w:ascii="Calibri" w:hAnsi="Calibri" w:cs="Calibri"/>
          <w:sz w:val="24"/>
        </w:rPr>
        <w:t xml:space="preserve"> </w:t>
      </w:r>
      <w:r w:rsidR="00C32A34" w:rsidRPr="00B70CB5">
        <w:rPr>
          <w:rFonts w:ascii="Calibri" w:hAnsi="Calibri" w:cs="Calibri"/>
          <w:sz w:val="24"/>
        </w:rPr>
        <w:tab/>
        <w:t xml:space="preserve">Farthmann EH, Schöffel U. Principles and limitations of operative management of intraabdominal infections. World J Surg. 1990 Mar 1;14(2):210–7. </w:t>
      </w:r>
    </w:p>
    <w:p w:rsidR="00C32A34" w:rsidRPr="00C32A34" w:rsidRDefault="00C32A34" w:rsidP="002F4AB7">
      <w:pPr>
        <w:pStyle w:val="Bibliography"/>
        <w:jc w:val="both"/>
        <w:rPr>
          <w:rFonts w:ascii="Calibri" w:hAnsi="Calibri" w:cs="Calibri"/>
          <w:sz w:val="24"/>
        </w:rPr>
      </w:pPr>
      <w:r w:rsidRPr="00C32A34">
        <w:rPr>
          <w:rFonts w:ascii="Calibri" w:hAnsi="Calibri" w:cs="Calibri"/>
          <w:sz w:val="24"/>
        </w:rPr>
        <w:t xml:space="preserve">2. </w:t>
      </w:r>
      <w:r w:rsidRPr="00C32A34">
        <w:rPr>
          <w:rFonts w:ascii="Calibri" w:hAnsi="Calibri" w:cs="Calibri"/>
          <w:sz w:val="24"/>
        </w:rPr>
        <w:tab/>
        <w:t xml:space="preserve">Wossen MT. Pattern of Emergency Surgical Operations Performed for Non-Traumatic Acute Abdomen at Ayder Referral Hospital, Mekelle University, Tigrai, Ethiopia by the Year 2000-2003 Ec. 2019;9(5):4. </w:t>
      </w:r>
    </w:p>
    <w:p w:rsidR="00B70CB5" w:rsidRDefault="00C32A34" w:rsidP="002F4AB7">
      <w:pPr>
        <w:pStyle w:val="Bibliography"/>
        <w:jc w:val="both"/>
        <w:rPr>
          <w:rFonts w:ascii="Calibri" w:hAnsi="Calibri" w:cs="Calibri"/>
          <w:sz w:val="24"/>
        </w:rPr>
      </w:pPr>
      <w:r w:rsidRPr="00C32A34">
        <w:rPr>
          <w:rFonts w:ascii="Calibri" w:hAnsi="Calibri" w:cs="Calibri"/>
          <w:sz w:val="24"/>
        </w:rPr>
        <w:t xml:space="preserve">3. </w:t>
      </w:r>
      <w:r w:rsidRPr="00C32A34">
        <w:rPr>
          <w:rFonts w:ascii="Calibri" w:hAnsi="Calibri" w:cs="Calibri"/>
          <w:sz w:val="24"/>
        </w:rPr>
        <w:tab/>
      </w:r>
      <w:r w:rsidR="00BC2090" w:rsidRPr="004140B3">
        <w:rPr>
          <w:rFonts w:cstheme="minorHAnsi"/>
          <w:sz w:val="24"/>
          <w:szCs w:val="24"/>
        </w:rPr>
        <w:t>Ge</w:t>
      </w:r>
      <w:r w:rsidR="00BC2090">
        <w:rPr>
          <w:rFonts w:cstheme="minorHAnsi"/>
          <w:sz w:val="24"/>
          <w:szCs w:val="24"/>
        </w:rPr>
        <w:t>brie TA, Handiso TB, Hagisso SN</w:t>
      </w:r>
      <w:r w:rsidRPr="00C32A34">
        <w:rPr>
          <w:rFonts w:ascii="Calibri" w:hAnsi="Calibri" w:cs="Calibri"/>
          <w:sz w:val="24"/>
        </w:rPr>
        <w:t>. Management Outcome and Associated Factors of Surgically Treated Non Traumatic Acute Abdomen at Attat Hospital, Gurage Zone,</w:t>
      </w:r>
      <w:r w:rsidR="00BC2090">
        <w:rPr>
          <w:rFonts w:ascii="Calibri" w:hAnsi="Calibri" w:cs="Calibri"/>
          <w:sz w:val="24"/>
        </w:rPr>
        <w:t xml:space="preserve"> Ethiopia. </w:t>
      </w:r>
      <w:r w:rsidR="00BC2090" w:rsidRPr="004140B3">
        <w:rPr>
          <w:rFonts w:cstheme="minorHAnsi"/>
          <w:sz w:val="24"/>
          <w:szCs w:val="24"/>
        </w:rPr>
        <w:t>Int J Surg Res Pract 6:099</w:t>
      </w:r>
    </w:p>
    <w:p w:rsidR="00C32A34" w:rsidRPr="00C32A34" w:rsidRDefault="00C32A34" w:rsidP="002F4AB7">
      <w:pPr>
        <w:pStyle w:val="Bibliography"/>
        <w:jc w:val="both"/>
        <w:rPr>
          <w:rFonts w:ascii="Calibri" w:hAnsi="Calibri" w:cs="Calibri"/>
          <w:sz w:val="24"/>
        </w:rPr>
      </w:pPr>
      <w:r w:rsidRPr="00C32A34">
        <w:rPr>
          <w:rFonts w:ascii="Calibri" w:hAnsi="Calibri" w:cs="Calibri"/>
          <w:sz w:val="24"/>
        </w:rPr>
        <w:t xml:space="preserve">4. </w:t>
      </w:r>
      <w:r w:rsidRPr="00C32A34">
        <w:rPr>
          <w:rFonts w:ascii="Calibri" w:hAnsi="Calibri" w:cs="Calibri"/>
          <w:sz w:val="24"/>
        </w:rPr>
        <w:tab/>
        <w:t xml:space="preserve">Negash M, Teklewold B, Pawulos W. Assessment of Non-Traumatic Acute Abdominal Cases Treated Operatively at Wolaita Sodo Teaching and Referral Hospital, Southern Ethiopia. 2017 Jan 1; </w:t>
      </w:r>
    </w:p>
    <w:p w:rsidR="00C32A34" w:rsidRPr="00C32A34" w:rsidRDefault="00C32A34" w:rsidP="002F4AB7">
      <w:pPr>
        <w:pStyle w:val="Bibliography"/>
        <w:jc w:val="both"/>
        <w:rPr>
          <w:rFonts w:ascii="Calibri" w:hAnsi="Calibri" w:cs="Calibri"/>
          <w:sz w:val="24"/>
        </w:rPr>
      </w:pPr>
      <w:r w:rsidRPr="00C32A34">
        <w:rPr>
          <w:rFonts w:ascii="Calibri" w:hAnsi="Calibri" w:cs="Calibri"/>
          <w:sz w:val="24"/>
        </w:rPr>
        <w:t xml:space="preserve">5. </w:t>
      </w:r>
      <w:r w:rsidRPr="00C32A34">
        <w:rPr>
          <w:rFonts w:ascii="Calibri" w:hAnsi="Calibri" w:cs="Calibri"/>
          <w:sz w:val="24"/>
        </w:rPr>
        <w:tab/>
        <w:t>Ayenew Z, Gizaw AT, Workneh D, Fentahun N. Outcome of Non-Traumatic Surgical Acute Abdomen in Nekemte Referral Hospital Southwest Ethiopia: A Retrospective Cross-Se</w:t>
      </w:r>
      <w:r w:rsidR="00BC2090">
        <w:rPr>
          <w:rFonts w:ascii="Calibri" w:hAnsi="Calibri" w:cs="Calibri"/>
          <w:sz w:val="24"/>
        </w:rPr>
        <w:t xml:space="preserve">ctional Study. Surg Curr Res </w:t>
      </w:r>
      <w:r w:rsidR="00BC2090" w:rsidRPr="00BC2090">
        <w:rPr>
          <w:rFonts w:ascii="Calibri" w:hAnsi="Calibri" w:cs="Calibri"/>
          <w:sz w:val="24"/>
        </w:rPr>
        <w:t>7: 282.</w:t>
      </w:r>
    </w:p>
    <w:p w:rsidR="00C32A34" w:rsidRDefault="00C32A34" w:rsidP="002F4AB7">
      <w:pPr>
        <w:pStyle w:val="Bibliography"/>
        <w:jc w:val="both"/>
        <w:rPr>
          <w:rFonts w:ascii="Calibri" w:hAnsi="Calibri" w:cs="Calibri"/>
          <w:sz w:val="24"/>
        </w:rPr>
      </w:pPr>
      <w:r w:rsidRPr="00C32A34">
        <w:rPr>
          <w:rFonts w:ascii="Calibri" w:hAnsi="Calibri" w:cs="Calibri"/>
          <w:sz w:val="24"/>
        </w:rPr>
        <w:t xml:space="preserve">6. </w:t>
      </w:r>
      <w:r w:rsidRPr="00C32A34">
        <w:rPr>
          <w:rFonts w:ascii="Calibri" w:hAnsi="Calibri" w:cs="Calibri"/>
          <w:sz w:val="24"/>
        </w:rPr>
        <w:tab/>
        <w:t>Outcome of emergency surgical operations performed for non-traumatic acute abdomen among adults in Mekele Hospital, Tigray, Ethiopia, 2</w:t>
      </w:r>
      <w:r w:rsidR="00BC2090">
        <w:rPr>
          <w:rFonts w:ascii="Calibri" w:hAnsi="Calibri" w:cs="Calibri"/>
          <w:sz w:val="24"/>
        </w:rPr>
        <w:t>013.</w:t>
      </w:r>
      <w:r w:rsidR="00BC2090" w:rsidRPr="00BC2090">
        <w:rPr>
          <w:rFonts w:ascii="Calibri" w:hAnsi="Calibri" w:cs="Calibri"/>
          <w:sz w:val="24"/>
        </w:rPr>
        <w:t xml:space="preserve"> European Journal of Pharmaceutical and Medical Research 3: 106-111.</w:t>
      </w:r>
    </w:p>
    <w:p w:rsidR="00F60978" w:rsidRPr="00AC7DD7" w:rsidRDefault="00F60978" w:rsidP="002F4AB7">
      <w:pPr>
        <w:jc w:val="both"/>
        <w:rPr>
          <w:rFonts w:cstheme="minorHAnsi"/>
          <w:sz w:val="24"/>
          <w:szCs w:val="24"/>
        </w:rPr>
      </w:pPr>
      <w:r>
        <w:t xml:space="preserve">7.       </w:t>
      </w:r>
      <w:r w:rsidRPr="00AC7DD7">
        <w:rPr>
          <w:rFonts w:cstheme="minorHAnsi"/>
          <w:sz w:val="24"/>
          <w:szCs w:val="24"/>
        </w:rPr>
        <w:t xml:space="preserve">Kujath P, Rodloff A: Peritonitis. Second edition, page 36-41. ed Second edition Bremen, </w:t>
      </w:r>
      <w:r>
        <w:rPr>
          <w:rFonts w:cstheme="minorHAnsi"/>
          <w:sz w:val="24"/>
          <w:szCs w:val="24"/>
        </w:rPr>
        <w:t xml:space="preserve">                                  </w:t>
      </w:r>
      <w:r w:rsidRPr="00AC7DD7">
        <w:rPr>
          <w:rFonts w:cstheme="minorHAnsi"/>
          <w:sz w:val="24"/>
          <w:szCs w:val="24"/>
        </w:rPr>
        <w:t>London, Boston, UNIMED, 2005.</w:t>
      </w:r>
    </w:p>
    <w:p w:rsidR="00C32A34" w:rsidRPr="00C32A34" w:rsidRDefault="00F60978" w:rsidP="002F4AB7">
      <w:pPr>
        <w:pStyle w:val="Bibliography"/>
        <w:ind w:left="0" w:firstLine="0"/>
        <w:jc w:val="both"/>
        <w:rPr>
          <w:rFonts w:ascii="Calibri" w:hAnsi="Calibri" w:cs="Calibri"/>
          <w:sz w:val="24"/>
        </w:rPr>
      </w:pPr>
      <w:r>
        <w:rPr>
          <w:rFonts w:ascii="Calibri" w:hAnsi="Calibri" w:cs="Calibri"/>
          <w:sz w:val="24"/>
        </w:rPr>
        <w:t>8</w:t>
      </w:r>
      <w:r w:rsidR="00C32A34" w:rsidRPr="00C32A34">
        <w:rPr>
          <w:rFonts w:ascii="Calibri" w:hAnsi="Calibri" w:cs="Calibri"/>
          <w:sz w:val="24"/>
        </w:rPr>
        <w:t xml:space="preserve">. </w:t>
      </w:r>
      <w:r w:rsidR="00C32A34" w:rsidRPr="00C32A34">
        <w:rPr>
          <w:rFonts w:ascii="Calibri" w:hAnsi="Calibri" w:cs="Calibri"/>
          <w:sz w:val="24"/>
        </w:rPr>
        <w:tab/>
        <w:t xml:space="preserve">Gupta S, Kaushik R. Peritonitis - the Eastern experience. World J Emerg Surg WJES. 2006 </w:t>
      </w:r>
      <w:r w:rsidR="003078F5">
        <w:rPr>
          <w:rFonts w:ascii="Calibri" w:hAnsi="Calibri" w:cs="Calibri"/>
          <w:sz w:val="24"/>
        </w:rPr>
        <w:t xml:space="preserve">            </w:t>
      </w:r>
      <w:r w:rsidR="00C32A34" w:rsidRPr="00C32A34">
        <w:rPr>
          <w:rFonts w:ascii="Calibri" w:hAnsi="Calibri" w:cs="Calibri"/>
          <w:sz w:val="24"/>
        </w:rPr>
        <w:t xml:space="preserve">Apr 26;1:13. </w:t>
      </w:r>
    </w:p>
    <w:p w:rsidR="00C32A34" w:rsidRPr="00C32A34" w:rsidRDefault="00F60978" w:rsidP="002F4AB7">
      <w:pPr>
        <w:pStyle w:val="Bibliography"/>
        <w:jc w:val="both"/>
        <w:rPr>
          <w:rFonts w:ascii="Calibri" w:hAnsi="Calibri" w:cs="Calibri"/>
          <w:sz w:val="24"/>
        </w:rPr>
      </w:pPr>
      <w:r>
        <w:rPr>
          <w:rFonts w:ascii="Calibri" w:hAnsi="Calibri" w:cs="Calibri"/>
          <w:sz w:val="24"/>
        </w:rPr>
        <w:t>9</w:t>
      </w:r>
      <w:r w:rsidR="00C32A34" w:rsidRPr="00C32A34">
        <w:rPr>
          <w:rFonts w:ascii="Calibri" w:hAnsi="Calibri" w:cs="Calibri"/>
          <w:sz w:val="24"/>
        </w:rPr>
        <w:t xml:space="preserve">. </w:t>
      </w:r>
      <w:r w:rsidR="00C32A34" w:rsidRPr="00C32A34">
        <w:rPr>
          <w:rFonts w:ascii="Calibri" w:hAnsi="Calibri" w:cs="Calibri"/>
          <w:sz w:val="24"/>
        </w:rPr>
        <w:tab/>
        <w:t xml:space="preserve">Malangoni MA, Inui T. Peritonitis – the Western experience. World J Emerg Surg. 2006 Sep 5;1(1):25. </w:t>
      </w:r>
    </w:p>
    <w:p w:rsidR="00C32A34" w:rsidRPr="00C32A34" w:rsidRDefault="00F60978" w:rsidP="002F4AB7">
      <w:pPr>
        <w:pStyle w:val="Bibliography"/>
        <w:jc w:val="both"/>
        <w:rPr>
          <w:rFonts w:ascii="Calibri" w:hAnsi="Calibri" w:cs="Calibri"/>
          <w:sz w:val="24"/>
        </w:rPr>
      </w:pPr>
      <w:r>
        <w:rPr>
          <w:rFonts w:ascii="Calibri" w:hAnsi="Calibri" w:cs="Calibri"/>
          <w:sz w:val="24"/>
        </w:rPr>
        <w:t>10</w:t>
      </w:r>
      <w:r w:rsidR="00C32A34" w:rsidRPr="00C32A34">
        <w:rPr>
          <w:rFonts w:ascii="Calibri" w:hAnsi="Calibri" w:cs="Calibri"/>
          <w:sz w:val="24"/>
        </w:rPr>
        <w:t xml:space="preserve">. </w:t>
      </w:r>
      <w:r w:rsidR="00C32A34" w:rsidRPr="00C32A34">
        <w:rPr>
          <w:rFonts w:ascii="Calibri" w:hAnsi="Calibri" w:cs="Calibri"/>
          <w:sz w:val="24"/>
        </w:rPr>
        <w:tab/>
        <w:t xml:space="preserve">Mandell K, Arbabi S. Re-laparotomy for severe intra-abdominal infections. Surg Infect. 2010 Jun;11(3):307–10. </w:t>
      </w:r>
    </w:p>
    <w:p w:rsidR="00C32A34" w:rsidRPr="00C32A34" w:rsidRDefault="00F60978" w:rsidP="002F4AB7">
      <w:pPr>
        <w:pStyle w:val="Bibliography"/>
        <w:jc w:val="both"/>
        <w:rPr>
          <w:rFonts w:ascii="Calibri" w:hAnsi="Calibri" w:cs="Calibri"/>
          <w:sz w:val="24"/>
        </w:rPr>
      </w:pPr>
      <w:r>
        <w:rPr>
          <w:rFonts w:ascii="Calibri" w:hAnsi="Calibri" w:cs="Calibri"/>
          <w:sz w:val="24"/>
        </w:rPr>
        <w:t>11</w:t>
      </w:r>
      <w:r w:rsidR="00C32A34" w:rsidRPr="00C32A34">
        <w:rPr>
          <w:rFonts w:ascii="Calibri" w:hAnsi="Calibri" w:cs="Calibri"/>
          <w:sz w:val="24"/>
        </w:rPr>
        <w:t xml:space="preserve">. </w:t>
      </w:r>
      <w:r w:rsidR="00C32A34" w:rsidRPr="00C32A34">
        <w:rPr>
          <w:rFonts w:ascii="Calibri" w:hAnsi="Calibri" w:cs="Calibri"/>
          <w:sz w:val="24"/>
        </w:rPr>
        <w:tab/>
        <w:t xml:space="preserve">Sileikis A, Kazanavičius D, Skrebunas A, Ostapenko A, Strupas K. Prediction for a planned relaparotomy in secondary peritonitis. Cent Eur J Med. 2013 Aug 1;8. </w:t>
      </w:r>
    </w:p>
    <w:p w:rsidR="00C32A34" w:rsidRPr="00C32A34" w:rsidRDefault="00F60978" w:rsidP="002F4AB7">
      <w:pPr>
        <w:pStyle w:val="Bibliography"/>
        <w:jc w:val="both"/>
        <w:rPr>
          <w:rFonts w:ascii="Calibri" w:hAnsi="Calibri" w:cs="Calibri"/>
          <w:sz w:val="24"/>
        </w:rPr>
      </w:pPr>
      <w:r>
        <w:rPr>
          <w:rFonts w:ascii="Calibri" w:hAnsi="Calibri" w:cs="Calibri"/>
          <w:sz w:val="24"/>
        </w:rPr>
        <w:t>12</w:t>
      </w:r>
      <w:r w:rsidR="00C32A34" w:rsidRPr="00C32A34">
        <w:rPr>
          <w:rFonts w:ascii="Calibri" w:hAnsi="Calibri" w:cs="Calibri"/>
          <w:sz w:val="24"/>
        </w:rPr>
        <w:t xml:space="preserve">. </w:t>
      </w:r>
      <w:r w:rsidR="00C32A34" w:rsidRPr="00C32A34">
        <w:rPr>
          <w:rFonts w:ascii="Calibri" w:hAnsi="Calibri" w:cs="Calibri"/>
          <w:sz w:val="24"/>
        </w:rPr>
        <w:tab/>
        <w:t xml:space="preserve">Unalp HR, Kamer E, Kar H, Bal A, Peskersoy M, Ali Onal M. Urgent Abdominal Re-Explorations. World J Emerg Surg. 2006 Apr 4;1:10. </w:t>
      </w:r>
    </w:p>
    <w:p w:rsidR="00C32A34" w:rsidRPr="00C32A34" w:rsidRDefault="00F60978" w:rsidP="002F4AB7">
      <w:pPr>
        <w:pStyle w:val="Bibliography"/>
        <w:jc w:val="both"/>
        <w:rPr>
          <w:rFonts w:ascii="Calibri" w:hAnsi="Calibri" w:cs="Calibri"/>
          <w:sz w:val="24"/>
        </w:rPr>
      </w:pPr>
      <w:r>
        <w:rPr>
          <w:rFonts w:ascii="Calibri" w:hAnsi="Calibri" w:cs="Calibri"/>
          <w:sz w:val="24"/>
        </w:rPr>
        <w:t>13</w:t>
      </w:r>
      <w:r w:rsidR="00C32A34" w:rsidRPr="00C32A34">
        <w:rPr>
          <w:rFonts w:ascii="Calibri" w:hAnsi="Calibri" w:cs="Calibri"/>
          <w:sz w:val="24"/>
        </w:rPr>
        <w:t xml:space="preserve">. </w:t>
      </w:r>
      <w:r w:rsidR="00C32A34" w:rsidRPr="00C32A34">
        <w:rPr>
          <w:rFonts w:ascii="Calibri" w:hAnsi="Calibri" w:cs="Calibri"/>
          <w:sz w:val="24"/>
        </w:rPr>
        <w:tab/>
        <w:t xml:space="preserve">Koirala R, Mehta N, Varma V, Kapoor S, Kumaran V, Nundy S. Urgent Redo-Laparotomies: Patterns and Outcome-A Single Centre Experience. Indian J Surg. 2015 Jun;77(3):195–9. </w:t>
      </w:r>
    </w:p>
    <w:p w:rsidR="00C32A34" w:rsidRPr="00C32A34" w:rsidRDefault="00F60978" w:rsidP="002F4AB7">
      <w:pPr>
        <w:pStyle w:val="Bibliography"/>
        <w:jc w:val="both"/>
        <w:rPr>
          <w:rFonts w:ascii="Calibri" w:hAnsi="Calibri" w:cs="Calibri"/>
          <w:sz w:val="24"/>
        </w:rPr>
      </w:pPr>
      <w:r>
        <w:rPr>
          <w:rFonts w:ascii="Calibri" w:hAnsi="Calibri" w:cs="Calibri"/>
          <w:sz w:val="24"/>
        </w:rPr>
        <w:lastRenderedPageBreak/>
        <w:t>14</w:t>
      </w:r>
      <w:r w:rsidR="00C32A34" w:rsidRPr="00C32A34">
        <w:rPr>
          <w:rFonts w:ascii="Calibri" w:hAnsi="Calibri" w:cs="Calibri"/>
          <w:sz w:val="24"/>
        </w:rPr>
        <w:t xml:space="preserve">. </w:t>
      </w:r>
      <w:r w:rsidR="00C32A34" w:rsidRPr="00C32A34">
        <w:rPr>
          <w:rFonts w:ascii="Calibri" w:hAnsi="Calibri" w:cs="Calibri"/>
          <w:sz w:val="24"/>
        </w:rPr>
        <w:tab/>
        <w:t xml:space="preserve">Agalar F, Eroglu E, Bulbul M, Agalar C, Tarhan OR, Sari M. Staged Abdominal Repair for Treatment of Moderate to Severe Secondary Peritonitis. World J Surg. 29(2):240–4. </w:t>
      </w:r>
    </w:p>
    <w:p w:rsidR="00C32A34" w:rsidRPr="00C32A34" w:rsidRDefault="00F60978" w:rsidP="002F4AB7">
      <w:pPr>
        <w:pStyle w:val="Bibliography"/>
        <w:jc w:val="both"/>
        <w:rPr>
          <w:rFonts w:ascii="Calibri" w:hAnsi="Calibri" w:cs="Calibri"/>
          <w:sz w:val="24"/>
        </w:rPr>
      </w:pPr>
      <w:r>
        <w:rPr>
          <w:rFonts w:ascii="Calibri" w:hAnsi="Calibri" w:cs="Calibri"/>
          <w:sz w:val="24"/>
        </w:rPr>
        <w:t>15</w:t>
      </w:r>
      <w:r w:rsidR="00C32A34" w:rsidRPr="00C32A34">
        <w:rPr>
          <w:rFonts w:ascii="Calibri" w:hAnsi="Calibri" w:cs="Calibri"/>
          <w:sz w:val="24"/>
        </w:rPr>
        <w:t xml:space="preserve">. </w:t>
      </w:r>
      <w:r w:rsidR="00C32A34" w:rsidRPr="00C32A34">
        <w:rPr>
          <w:rFonts w:ascii="Calibri" w:hAnsi="Calibri" w:cs="Calibri"/>
          <w:sz w:val="24"/>
        </w:rPr>
        <w:tab/>
        <w:t xml:space="preserve">Hutchins RR, Gunning MP, Lucas DN, Allen-Mersh TG, Soni NC. Relaparotomy for suspected intraperitoneal sepsis after abdominal surgery. World J Surg. 2004 Feb;28(2):137–41. </w:t>
      </w:r>
    </w:p>
    <w:p w:rsidR="00C32A34" w:rsidRPr="00C32A34" w:rsidRDefault="00F60978" w:rsidP="002F4AB7">
      <w:pPr>
        <w:pStyle w:val="Bibliography"/>
        <w:jc w:val="both"/>
        <w:rPr>
          <w:rFonts w:ascii="Calibri" w:hAnsi="Calibri" w:cs="Calibri"/>
          <w:sz w:val="24"/>
        </w:rPr>
      </w:pPr>
      <w:r>
        <w:rPr>
          <w:rFonts w:ascii="Calibri" w:hAnsi="Calibri" w:cs="Calibri"/>
          <w:sz w:val="24"/>
        </w:rPr>
        <w:t>16</w:t>
      </w:r>
      <w:r w:rsidR="00C32A34" w:rsidRPr="00C32A34">
        <w:rPr>
          <w:rFonts w:ascii="Calibri" w:hAnsi="Calibri" w:cs="Calibri"/>
          <w:sz w:val="24"/>
        </w:rPr>
        <w:t xml:space="preserve">. </w:t>
      </w:r>
      <w:r w:rsidR="00C32A34" w:rsidRPr="00C32A34">
        <w:rPr>
          <w:rFonts w:ascii="Calibri" w:hAnsi="Calibri" w:cs="Calibri"/>
          <w:sz w:val="24"/>
        </w:rPr>
        <w:tab/>
        <w:t xml:space="preserve">Krivitskiĭ DI, Shuliarenko VA, Babin IA. [Indications for relaparotomy]. Klin Khirurgiia. 1990;(1):18–21. </w:t>
      </w:r>
    </w:p>
    <w:p w:rsidR="00C32A34" w:rsidRPr="00C32A34" w:rsidRDefault="00F60978" w:rsidP="002F4AB7">
      <w:pPr>
        <w:pStyle w:val="Bibliography"/>
        <w:jc w:val="both"/>
        <w:rPr>
          <w:rFonts w:ascii="Calibri" w:hAnsi="Calibri" w:cs="Calibri"/>
          <w:sz w:val="24"/>
        </w:rPr>
      </w:pPr>
      <w:r>
        <w:rPr>
          <w:rFonts w:ascii="Calibri" w:hAnsi="Calibri" w:cs="Calibri"/>
          <w:sz w:val="24"/>
        </w:rPr>
        <w:t>17</w:t>
      </w:r>
      <w:r w:rsidR="00C32A34" w:rsidRPr="00C32A34">
        <w:rPr>
          <w:rFonts w:ascii="Calibri" w:hAnsi="Calibri" w:cs="Calibri"/>
          <w:sz w:val="24"/>
        </w:rPr>
        <w:t xml:space="preserve">. </w:t>
      </w:r>
      <w:r w:rsidR="00C32A34" w:rsidRPr="00C32A34">
        <w:rPr>
          <w:rFonts w:ascii="Calibri" w:hAnsi="Calibri" w:cs="Calibri"/>
          <w:sz w:val="24"/>
        </w:rPr>
        <w:tab/>
      </w:r>
      <w:r w:rsidR="00BC2090" w:rsidRPr="00BC2090">
        <w:rPr>
          <w:rFonts w:ascii="Calibri" w:hAnsi="Calibri" w:cs="Calibri"/>
          <w:sz w:val="24"/>
        </w:rPr>
        <w:t>Mayberry JC, Goldman RK, Mullins RJ, Brand DM, Crass RA, Trunkey DD, et al.</w:t>
      </w:r>
      <w:r w:rsidR="00BC2090">
        <w:rPr>
          <w:rFonts w:ascii="Calibri" w:hAnsi="Calibri" w:cs="Calibri"/>
          <w:sz w:val="24"/>
        </w:rPr>
        <w:t xml:space="preserve"> </w:t>
      </w:r>
      <w:r w:rsidR="00C32A34" w:rsidRPr="00C32A34">
        <w:rPr>
          <w:rFonts w:ascii="Calibri" w:hAnsi="Calibri" w:cs="Calibri"/>
          <w:sz w:val="24"/>
        </w:rPr>
        <w:t>Surveyed opinion of American trauma surgeons on the prevention of the ab</w:t>
      </w:r>
      <w:r w:rsidR="00BC2090">
        <w:rPr>
          <w:rFonts w:ascii="Calibri" w:hAnsi="Calibri" w:cs="Calibri"/>
          <w:sz w:val="24"/>
        </w:rPr>
        <w:t xml:space="preserve">dominal compartment syndrome. </w:t>
      </w:r>
      <w:r w:rsidR="00BC2090" w:rsidRPr="00AC7DD7">
        <w:rPr>
          <w:rFonts w:cstheme="minorHAnsi"/>
          <w:sz w:val="24"/>
          <w:szCs w:val="24"/>
        </w:rPr>
        <w:t>J Trauma 1999;47:509</w:t>
      </w:r>
      <w:r w:rsidR="00BC2090" w:rsidRPr="00AC7DD7">
        <w:rPr>
          <w:rFonts w:cstheme="minorHAnsi" w:hint="eastAsia"/>
          <w:sz w:val="24"/>
          <w:szCs w:val="24"/>
        </w:rPr>
        <w:t>‑</w:t>
      </w:r>
      <w:r w:rsidR="00BC2090" w:rsidRPr="00AC7DD7">
        <w:rPr>
          <w:rFonts w:cstheme="minorHAnsi"/>
          <w:sz w:val="24"/>
          <w:szCs w:val="24"/>
        </w:rPr>
        <w:t>13.</w:t>
      </w:r>
    </w:p>
    <w:p w:rsidR="00C32A34" w:rsidRPr="00C32A34" w:rsidRDefault="00F60978" w:rsidP="002F4AB7">
      <w:pPr>
        <w:pStyle w:val="Bibliography"/>
        <w:jc w:val="both"/>
        <w:rPr>
          <w:rFonts w:ascii="Calibri" w:hAnsi="Calibri" w:cs="Calibri"/>
          <w:sz w:val="24"/>
        </w:rPr>
      </w:pPr>
      <w:r>
        <w:rPr>
          <w:rFonts w:ascii="Calibri" w:hAnsi="Calibri" w:cs="Calibri"/>
          <w:sz w:val="24"/>
        </w:rPr>
        <w:t>18</w:t>
      </w:r>
      <w:r w:rsidR="00C32A34" w:rsidRPr="00C32A34">
        <w:rPr>
          <w:rFonts w:ascii="Calibri" w:hAnsi="Calibri" w:cs="Calibri"/>
          <w:sz w:val="24"/>
        </w:rPr>
        <w:t xml:space="preserve">. </w:t>
      </w:r>
      <w:r w:rsidR="00C32A34" w:rsidRPr="00C32A34">
        <w:rPr>
          <w:rFonts w:ascii="Calibri" w:hAnsi="Calibri" w:cs="Calibri"/>
          <w:sz w:val="24"/>
        </w:rPr>
        <w:tab/>
        <w:t xml:space="preserve">Lamme B, Boermeester MA, Reitsma JB, Mahler CW, Obertop H, Gouma DJ. Meta-analysis of relaparotomy for secondary peritonitis. Br J Surg. 2002 Dec;89(12):1516–24. </w:t>
      </w:r>
    </w:p>
    <w:p w:rsidR="00C32A34" w:rsidRPr="00C32A34" w:rsidRDefault="00F60978" w:rsidP="002F4AB7">
      <w:pPr>
        <w:pStyle w:val="Bibliography"/>
        <w:jc w:val="both"/>
        <w:rPr>
          <w:rFonts w:ascii="Calibri" w:hAnsi="Calibri" w:cs="Calibri"/>
          <w:sz w:val="24"/>
        </w:rPr>
      </w:pPr>
      <w:r>
        <w:rPr>
          <w:rFonts w:ascii="Calibri" w:hAnsi="Calibri" w:cs="Calibri"/>
          <w:sz w:val="24"/>
        </w:rPr>
        <w:t>19</w:t>
      </w:r>
      <w:r w:rsidR="00C32A34" w:rsidRPr="00C32A34">
        <w:rPr>
          <w:rFonts w:ascii="Calibri" w:hAnsi="Calibri" w:cs="Calibri"/>
          <w:sz w:val="24"/>
        </w:rPr>
        <w:t xml:space="preserve">. </w:t>
      </w:r>
      <w:r w:rsidR="00C32A34" w:rsidRPr="00C32A34">
        <w:rPr>
          <w:rFonts w:ascii="Calibri" w:hAnsi="Calibri" w:cs="Calibri"/>
          <w:sz w:val="24"/>
        </w:rPr>
        <w:tab/>
        <w:t xml:space="preserve">Rakić M, Popović D, Rakić M, Druzijanić N, Lojpur M, Hall BA, et al. Comparison of on-demand vs planned relaparotomy for treatment of severe intra-abdominal infections. Croat Med J. 2005 Dec;46(6):957–63. </w:t>
      </w:r>
    </w:p>
    <w:p w:rsidR="00C32A34" w:rsidRPr="00C32A34" w:rsidRDefault="00F60978" w:rsidP="002F4AB7">
      <w:pPr>
        <w:pStyle w:val="Bibliography"/>
        <w:jc w:val="both"/>
        <w:rPr>
          <w:rFonts w:ascii="Calibri" w:hAnsi="Calibri" w:cs="Calibri"/>
          <w:sz w:val="24"/>
        </w:rPr>
      </w:pPr>
      <w:r>
        <w:rPr>
          <w:rFonts w:ascii="Calibri" w:hAnsi="Calibri" w:cs="Calibri"/>
          <w:sz w:val="24"/>
        </w:rPr>
        <w:t>20</w:t>
      </w:r>
      <w:r w:rsidR="00C32A34" w:rsidRPr="00C32A34">
        <w:rPr>
          <w:rFonts w:ascii="Calibri" w:hAnsi="Calibri" w:cs="Calibri"/>
          <w:sz w:val="24"/>
        </w:rPr>
        <w:t xml:space="preserve">. </w:t>
      </w:r>
      <w:r w:rsidR="00C32A34" w:rsidRPr="00C32A34">
        <w:rPr>
          <w:rFonts w:ascii="Calibri" w:hAnsi="Calibri" w:cs="Calibri"/>
          <w:sz w:val="24"/>
        </w:rPr>
        <w:tab/>
        <w:t xml:space="preserve">Lamme B, Boermeester MA, Belt EJT, van Till JWO, Gouma DJ, Obertop H. Mortality and morbidity of planned relaparotomy versus relaparotomy on demand for secondary peritonitis. Br J Surg. 2004 Aug;91(8):1046–54. </w:t>
      </w:r>
    </w:p>
    <w:p w:rsidR="00C32A34" w:rsidRPr="00C32A34" w:rsidRDefault="00F60978" w:rsidP="002F4AB7">
      <w:pPr>
        <w:pStyle w:val="Bibliography"/>
        <w:jc w:val="both"/>
        <w:rPr>
          <w:rFonts w:ascii="Calibri" w:hAnsi="Calibri" w:cs="Calibri"/>
          <w:sz w:val="24"/>
        </w:rPr>
      </w:pPr>
      <w:r>
        <w:rPr>
          <w:rFonts w:ascii="Calibri" w:hAnsi="Calibri" w:cs="Calibri"/>
          <w:sz w:val="24"/>
        </w:rPr>
        <w:t>21</w:t>
      </w:r>
      <w:r w:rsidR="00C32A34" w:rsidRPr="00C32A34">
        <w:rPr>
          <w:rFonts w:ascii="Calibri" w:hAnsi="Calibri" w:cs="Calibri"/>
          <w:sz w:val="24"/>
        </w:rPr>
        <w:t xml:space="preserve">. </w:t>
      </w:r>
      <w:r w:rsidR="00C32A34" w:rsidRPr="00C32A34">
        <w:rPr>
          <w:rFonts w:ascii="Calibri" w:hAnsi="Calibri" w:cs="Calibri"/>
          <w:sz w:val="24"/>
        </w:rPr>
        <w:tab/>
        <w:t xml:space="preserve">van Ruler O, Mahler CW, Boer KR, Reuland EA, Gooszen HG, Opmeer BC, et al. Comparison of on-demand vs planned relaparotomy strategy in patients with severe peritonitis: a randomized trial. JAMA. 2007 Aug 22;298(8):865–72. </w:t>
      </w:r>
    </w:p>
    <w:p w:rsidR="00C32A34" w:rsidRPr="00C32A34" w:rsidRDefault="00F60978" w:rsidP="002F4AB7">
      <w:pPr>
        <w:pStyle w:val="Bibliography"/>
        <w:jc w:val="both"/>
        <w:rPr>
          <w:rFonts w:ascii="Calibri" w:hAnsi="Calibri" w:cs="Calibri"/>
          <w:sz w:val="24"/>
        </w:rPr>
      </w:pPr>
      <w:r>
        <w:rPr>
          <w:rFonts w:ascii="Calibri" w:hAnsi="Calibri" w:cs="Calibri"/>
          <w:sz w:val="24"/>
        </w:rPr>
        <w:t>22</w:t>
      </w:r>
      <w:r w:rsidR="00C32A34" w:rsidRPr="00C32A34">
        <w:rPr>
          <w:rFonts w:ascii="Calibri" w:hAnsi="Calibri" w:cs="Calibri"/>
          <w:sz w:val="24"/>
        </w:rPr>
        <w:t xml:space="preserve">. </w:t>
      </w:r>
      <w:r w:rsidR="00C32A34" w:rsidRPr="00C32A34">
        <w:rPr>
          <w:rFonts w:ascii="Calibri" w:hAnsi="Calibri" w:cs="Calibri"/>
          <w:sz w:val="24"/>
        </w:rPr>
        <w:tab/>
        <w:t xml:space="preserve">Kong VY, Bulajic B, Allorto NL, Handley J, Clarke DL. Acute appendicitis in a developing country. World J Surg. 2012 Sep;36(9):2068–73. </w:t>
      </w:r>
    </w:p>
    <w:p w:rsidR="00C32A34" w:rsidRPr="00C32A34" w:rsidRDefault="00F60978" w:rsidP="002F4AB7">
      <w:pPr>
        <w:pStyle w:val="Bibliography"/>
        <w:jc w:val="both"/>
        <w:rPr>
          <w:rFonts w:ascii="Calibri" w:hAnsi="Calibri" w:cs="Calibri"/>
          <w:sz w:val="24"/>
        </w:rPr>
      </w:pPr>
      <w:r>
        <w:rPr>
          <w:rFonts w:ascii="Calibri" w:hAnsi="Calibri" w:cs="Calibri"/>
          <w:sz w:val="24"/>
        </w:rPr>
        <w:t>23</w:t>
      </w:r>
      <w:r w:rsidR="00C32A34" w:rsidRPr="00C32A34">
        <w:rPr>
          <w:rFonts w:ascii="Calibri" w:hAnsi="Calibri" w:cs="Calibri"/>
          <w:sz w:val="24"/>
        </w:rPr>
        <w:t xml:space="preserve">. </w:t>
      </w:r>
      <w:r w:rsidR="00C32A34" w:rsidRPr="00C32A34">
        <w:rPr>
          <w:rFonts w:ascii="Calibri" w:hAnsi="Calibri" w:cs="Calibri"/>
          <w:sz w:val="24"/>
        </w:rPr>
        <w:tab/>
        <w:t xml:space="preserve">Kong V, Aldous C, Handley J, Clarke D. The cost effectiveness of early management of acute appendicitis underlies the importance of curative surgical services to a primary healthcare programme. Ann R Coll Surg Engl. 2013 May;95(4):280–4. </w:t>
      </w:r>
    </w:p>
    <w:p w:rsidR="00C32A34" w:rsidRPr="00C32A34" w:rsidRDefault="00F60978" w:rsidP="002F4AB7">
      <w:pPr>
        <w:pStyle w:val="Bibliography"/>
        <w:jc w:val="both"/>
        <w:rPr>
          <w:rFonts w:ascii="Calibri" w:hAnsi="Calibri" w:cs="Calibri"/>
          <w:sz w:val="24"/>
        </w:rPr>
      </w:pPr>
      <w:r>
        <w:rPr>
          <w:rFonts w:ascii="Calibri" w:hAnsi="Calibri" w:cs="Calibri"/>
          <w:sz w:val="24"/>
        </w:rPr>
        <w:t>24</w:t>
      </w:r>
      <w:r w:rsidR="00C32A34" w:rsidRPr="00C32A34">
        <w:rPr>
          <w:rFonts w:ascii="Calibri" w:hAnsi="Calibri" w:cs="Calibri"/>
          <w:sz w:val="24"/>
        </w:rPr>
        <w:t xml:space="preserve">. </w:t>
      </w:r>
      <w:r w:rsidR="00C32A34" w:rsidRPr="00C32A34">
        <w:rPr>
          <w:rFonts w:ascii="Calibri" w:hAnsi="Calibri" w:cs="Calibri"/>
          <w:sz w:val="24"/>
        </w:rPr>
        <w:tab/>
        <w:t xml:space="preserve">Kong VY, Van der Linde S, Aldous C, Handley JJ, Clarke DL. Quantifying the disparity in outcome between urban and rural patients with acute appendicitis in South Africa. South Afr Med J Suid-Afr Tydskr Vir Geneeskd. 2013 Jul 29;103(10):742–5. </w:t>
      </w:r>
    </w:p>
    <w:p w:rsidR="00C32A34" w:rsidRPr="00C32A34" w:rsidRDefault="00F60978" w:rsidP="002F4AB7">
      <w:pPr>
        <w:pStyle w:val="Bibliography"/>
        <w:jc w:val="both"/>
        <w:rPr>
          <w:rFonts w:ascii="Calibri" w:hAnsi="Calibri" w:cs="Calibri"/>
          <w:sz w:val="24"/>
        </w:rPr>
      </w:pPr>
      <w:r>
        <w:rPr>
          <w:rFonts w:ascii="Calibri" w:hAnsi="Calibri" w:cs="Calibri"/>
          <w:sz w:val="24"/>
        </w:rPr>
        <w:t>25</w:t>
      </w:r>
      <w:r w:rsidR="00C32A34" w:rsidRPr="00C32A34">
        <w:rPr>
          <w:rFonts w:ascii="Calibri" w:hAnsi="Calibri" w:cs="Calibri"/>
          <w:sz w:val="24"/>
        </w:rPr>
        <w:t xml:space="preserve">. </w:t>
      </w:r>
      <w:r w:rsidR="00C32A34" w:rsidRPr="00C32A34">
        <w:rPr>
          <w:rFonts w:ascii="Calibri" w:hAnsi="Calibri" w:cs="Calibri"/>
          <w:sz w:val="24"/>
        </w:rPr>
        <w:tab/>
        <w:t xml:space="preserve">Kong V, Aldous C, Clarke D. Understanding the reasons for delay to definitive surgical care of patients with acute appendicitis in rural South Africa. S Afr J Surg. 2014 Feb 1;52:2–5. </w:t>
      </w:r>
    </w:p>
    <w:p w:rsidR="00C32A34" w:rsidRPr="00C32A34" w:rsidRDefault="00F60978" w:rsidP="002F4AB7">
      <w:pPr>
        <w:pStyle w:val="Bibliography"/>
        <w:jc w:val="both"/>
        <w:rPr>
          <w:rFonts w:ascii="Calibri" w:hAnsi="Calibri" w:cs="Calibri"/>
          <w:sz w:val="24"/>
        </w:rPr>
      </w:pPr>
      <w:r>
        <w:rPr>
          <w:rFonts w:ascii="Calibri" w:hAnsi="Calibri" w:cs="Calibri"/>
          <w:sz w:val="24"/>
        </w:rPr>
        <w:t>26</w:t>
      </w:r>
      <w:r w:rsidR="00C32A34" w:rsidRPr="00C32A34">
        <w:rPr>
          <w:rFonts w:ascii="Calibri" w:hAnsi="Calibri" w:cs="Calibri"/>
          <w:sz w:val="24"/>
        </w:rPr>
        <w:t xml:space="preserve">. </w:t>
      </w:r>
      <w:r w:rsidR="00C32A34" w:rsidRPr="00C32A34">
        <w:rPr>
          <w:rFonts w:ascii="Calibri" w:hAnsi="Calibri" w:cs="Calibri"/>
          <w:sz w:val="24"/>
        </w:rPr>
        <w:tab/>
        <w:t xml:space="preserve">Kong VY, Van Der Linde S, Aldous C, Handley JJ, Clarke DL. The accuracy of the Alvarado score in predicting acute appendicitis in the black South African population needs to be validated. Can J Surg. 2014 Aug;57(4):E121–5. </w:t>
      </w:r>
    </w:p>
    <w:p w:rsidR="00C32A34" w:rsidRPr="00C32A34" w:rsidRDefault="00F60978" w:rsidP="002F4AB7">
      <w:pPr>
        <w:pStyle w:val="Bibliography"/>
        <w:jc w:val="both"/>
        <w:rPr>
          <w:rFonts w:ascii="Calibri" w:hAnsi="Calibri" w:cs="Calibri"/>
          <w:sz w:val="24"/>
        </w:rPr>
      </w:pPr>
      <w:r>
        <w:rPr>
          <w:rFonts w:ascii="Calibri" w:hAnsi="Calibri" w:cs="Calibri"/>
          <w:sz w:val="24"/>
        </w:rPr>
        <w:lastRenderedPageBreak/>
        <w:t>27</w:t>
      </w:r>
      <w:r w:rsidR="00C32A34" w:rsidRPr="00C32A34">
        <w:rPr>
          <w:rFonts w:ascii="Calibri" w:hAnsi="Calibri" w:cs="Calibri"/>
          <w:sz w:val="24"/>
        </w:rPr>
        <w:t xml:space="preserve">. </w:t>
      </w:r>
      <w:r w:rsidR="00C32A34" w:rsidRPr="00C32A34">
        <w:rPr>
          <w:rFonts w:ascii="Calibri" w:hAnsi="Calibri" w:cs="Calibri"/>
          <w:sz w:val="24"/>
        </w:rPr>
        <w:tab/>
        <w:t xml:space="preserve">Clarke DL, Thomson SR, Bissetty T, Madiba TE, Buccimazza I, Anderson F. A single surgical unit’s experience with abdominal tuberculosis in the HIV/AIDS era. World J Surg. 2007 May;31(5):1087–96; discussion 1097-1098. </w:t>
      </w:r>
    </w:p>
    <w:p w:rsidR="00C32A34" w:rsidRPr="00C32A34" w:rsidRDefault="00F60978" w:rsidP="002F4AB7">
      <w:pPr>
        <w:pStyle w:val="Bibliography"/>
        <w:jc w:val="both"/>
        <w:rPr>
          <w:rFonts w:ascii="Calibri" w:hAnsi="Calibri" w:cs="Calibri"/>
          <w:sz w:val="24"/>
        </w:rPr>
      </w:pPr>
      <w:r>
        <w:rPr>
          <w:rFonts w:ascii="Calibri" w:hAnsi="Calibri" w:cs="Calibri"/>
          <w:sz w:val="24"/>
        </w:rPr>
        <w:t>28</w:t>
      </w:r>
      <w:r w:rsidR="00C32A34" w:rsidRPr="00C32A34">
        <w:rPr>
          <w:rFonts w:ascii="Calibri" w:hAnsi="Calibri" w:cs="Calibri"/>
          <w:sz w:val="24"/>
        </w:rPr>
        <w:t xml:space="preserve">. </w:t>
      </w:r>
      <w:r w:rsidR="00C32A34" w:rsidRPr="00C32A34">
        <w:rPr>
          <w:rFonts w:ascii="Calibri" w:hAnsi="Calibri" w:cs="Calibri"/>
          <w:sz w:val="24"/>
        </w:rPr>
        <w:tab/>
        <w:t xml:space="preserve">Lamme B, Mahler CW, van Ruler O, Gouma DJ, Reitsma JB, Boermeester MA. Clinical predictors of ongoing infection in secondary peritonitis: systematic review. World J Surg. 2006 Dec;30(12):2170–81. </w:t>
      </w:r>
    </w:p>
    <w:p w:rsidR="00C32A34" w:rsidRPr="00C32A34" w:rsidRDefault="00F60978" w:rsidP="002F4AB7">
      <w:pPr>
        <w:pStyle w:val="Bibliography"/>
        <w:jc w:val="both"/>
        <w:rPr>
          <w:rFonts w:ascii="Calibri" w:hAnsi="Calibri" w:cs="Calibri"/>
          <w:sz w:val="24"/>
        </w:rPr>
      </w:pPr>
      <w:r>
        <w:rPr>
          <w:rFonts w:ascii="Calibri" w:hAnsi="Calibri" w:cs="Calibri"/>
          <w:sz w:val="24"/>
        </w:rPr>
        <w:t>29</w:t>
      </w:r>
      <w:r w:rsidR="00C32A34" w:rsidRPr="00C32A34">
        <w:rPr>
          <w:rFonts w:ascii="Calibri" w:hAnsi="Calibri" w:cs="Calibri"/>
          <w:sz w:val="24"/>
        </w:rPr>
        <w:t xml:space="preserve">. </w:t>
      </w:r>
      <w:r w:rsidR="00C32A34" w:rsidRPr="00C32A34">
        <w:rPr>
          <w:rFonts w:ascii="Calibri" w:hAnsi="Calibri" w:cs="Calibri"/>
          <w:sz w:val="24"/>
        </w:rPr>
        <w:tab/>
        <w:t xml:space="preserve">Kim JJ, Liang MK, Subramanian A, Balentine CJ, Sansgiry S, Awad SS. Predictors of relaparotomy after nontrauma emergency general surgery with initial fascial closure. Am J Surg. 2011 Nov;202(5):549–52. </w:t>
      </w:r>
    </w:p>
    <w:p w:rsidR="00C32A34" w:rsidRPr="00C32A34" w:rsidRDefault="00F60978" w:rsidP="002F4AB7">
      <w:pPr>
        <w:pStyle w:val="Bibliography"/>
        <w:jc w:val="both"/>
        <w:rPr>
          <w:rFonts w:ascii="Calibri" w:hAnsi="Calibri" w:cs="Calibri"/>
          <w:sz w:val="24"/>
        </w:rPr>
      </w:pPr>
      <w:r>
        <w:rPr>
          <w:rFonts w:ascii="Calibri" w:hAnsi="Calibri" w:cs="Calibri"/>
          <w:sz w:val="24"/>
        </w:rPr>
        <w:t>30</w:t>
      </w:r>
      <w:r w:rsidR="00C32A34" w:rsidRPr="00C32A34">
        <w:rPr>
          <w:rFonts w:ascii="Calibri" w:hAnsi="Calibri" w:cs="Calibri"/>
          <w:sz w:val="24"/>
        </w:rPr>
        <w:t xml:space="preserve">. </w:t>
      </w:r>
      <w:r w:rsidR="00C32A34" w:rsidRPr="00C32A34">
        <w:rPr>
          <w:rFonts w:ascii="Calibri" w:hAnsi="Calibri" w:cs="Calibri"/>
          <w:sz w:val="24"/>
        </w:rPr>
        <w:tab/>
        <w:t xml:space="preserve">Kong V, Linde S, Aldous C, Handley J, Clarke D. Developing a clinical model to predict the need for relaparotomy in severe intra-abdominal sepsis secondary to complicated appendicitis. S Afr J Surg. 2014 Dec 18;52:2014–91. </w:t>
      </w:r>
    </w:p>
    <w:p w:rsidR="00C32A34" w:rsidRPr="00C32A34" w:rsidRDefault="00F60978" w:rsidP="002F4AB7">
      <w:pPr>
        <w:pStyle w:val="Bibliography"/>
        <w:jc w:val="both"/>
        <w:rPr>
          <w:rFonts w:ascii="Calibri" w:hAnsi="Calibri" w:cs="Calibri"/>
          <w:sz w:val="24"/>
        </w:rPr>
      </w:pPr>
      <w:r>
        <w:rPr>
          <w:rFonts w:ascii="Calibri" w:hAnsi="Calibri" w:cs="Calibri"/>
          <w:sz w:val="24"/>
        </w:rPr>
        <w:t>31</w:t>
      </w:r>
      <w:r w:rsidR="00C32A34" w:rsidRPr="00C32A34">
        <w:rPr>
          <w:rFonts w:ascii="Calibri" w:hAnsi="Calibri" w:cs="Calibri"/>
          <w:sz w:val="24"/>
        </w:rPr>
        <w:t xml:space="preserve">. </w:t>
      </w:r>
      <w:r w:rsidR="00C32A34" w:rsidRPr="00C32A34">
        <w:rPr>
          <w:rFonts w:ascii="Calibri" w:hAnsi="Calibri" w:cs="Calibri"/>
          <w:sz w:val="24"/>
        </w:rPr>
        <w:tab/>
        <w:t xml:space="preserve">Merlino JI, Malangoni MA, Smith CM, Lange RL. Prospective randomized trials affect the outcomes of intraabdominal infection. Ann Surg. 2001 Jun;233(6):859–66. </w:t>
      </w:r>
    </w:p>
    <w:p w:rsidR="00C32A34" w:rsidRPr="00C32A34" w:rsidRDefault="00F60978" w:rsidP="002F4AB7">
      <w:pPr>
        <w:pStyle w:val="Bibliography"/>
        <w:jc w:val="both"/>
        <w:rPr>
          <w:rFonts w:ascii="Calibri" w:hAnsi="Calibri" w:cs="Calibri"/>
          <w:sz w:val="24"/>
        </w:rPr>
      </w:pPr>
      <w:r>
        <w:rPr>
          <w:rFonts w:ascii="Calibri" w:hAnsi="Calibri" w:cs="Calibri"/>
          <w:sz w:val="24"/>
        </w:rPr>
        <w:t>32</w:t>
      </w:r>
      <w:r w:rsidR="00C32A34" w:rsidRPr="00C32A34">
        <w:rPr>
          <w:rFonts w:ascii="Calibri" w:hAnsi="Calibri" w:cs="Calibri"/>
          <w:sz w:val="24"/>
        </w:rPr>
        <w:t xml:space="preserve">. </w:t>
      </w:r>
      <w:r w:rsidR="00C32A34" w:rsidRPr="00C32A34">
        <w:rPr>
          <w:rFonts w:ascii="Calibri" w:hAnsi="Calibri" w:cs="Calibri"/>
          <w:sz w:val="24"/>
        </w:rPr>
        <w:tab/>
        <w:t xml:space="preserve">Christou NV, Barie PS, Dellinger EP, Waymack JP, Stone HH. Surgical Infection Society intra-abdominal infection study. Prospective evaluation of management techniques and outcome. Arch Surg Chic Ill 1960. 1993 Feb;128(2):193–8; discussion 198-199. </w:t>
      </w:r>
    </w:p>
    <w:p w:rsidR="00C32A34" w:rsidRPr="00C32A34" w:rsidRDefault="00F60978" w:rsidP="002F4AB7">
      <w:pPr>
        <w:pStyle w:val="Bibliography"/>
        <w:jc w:val="both"/>
        <w:rPr>
          <w:rFonts w:ascii="Calibri" w:hAnsi="Calibri" w:cs="Calibri"/>
          <w:sz w:val="24"/>
        </w:rPr>
      </w:pPr>
      <w:r>
        <w:rPr>
          <w:rFonts w:ascii="Calibri" w:hAnsi="Calibri" w:cs="Calibri"/>
          <w:sz w:val="24"/>
        </w:rPr>
        <w:t>33</w:t>
      </w:r>
      <w:r w:rsidR="00C32A34" w:rsidRPr="00C32A34">
        <w:rPr>
          <w:rFonts w:ascii="Calibri" w:hAnsi="Calibri" w:cs="Calibri"/>
          <w:sz w:val="24"/>
        </w:rPr>
        <w:t xml:space="preserve">. </w:t>
      </w:r>
      <w:r w:rsidR="00C32A34" w:rsidRPr="00C32A34">
        <w:rPr>
          <w:rFonts w:ascii="Calibri" w:hAnsi="Calibri" w:cs="Calibri"/>
          <w:sz w:val="24"/>
        </w:rPr>
        <w:tab/>
        <w:t xml:space="preserve">Koperna T, Schulz F. Prognosis and treatment of peritonitis. Do we need new scoring systems? Arch Surg Chic Ill 1960. 1996 Feb;131(2):180–6. </w:t>
      </w:r>
    </w:p>
    <w:p w:rsidR="00C32A34" w:rsidRPr="00C32A34" w:rsidRDefault="00F60978" w:rsidP="002F4AB7">
      <w:pPr>
        <w:pStyle w:val="Bibliography"/>
        <w:jc w:val="both"/>
        <w:rPr>
          <w:rFonts w:ascii="Calibri" w:hAnsi="Calibri" w:cs="Calibri"/>
          <w:sz w:val="24"/>
        </w:rPr>
      </w:pPr>
      <w:r>
        <w:rPr>
          <w:rFonts w:ascii="Calibri" w:hAnsi="Calibri" w:cs="Calibri"/>
          <w:sz w:val="24"/>
        </w:rPr>
        <w:t>34</w:t>
      </w:r>
      <w:r w:rsidR="00C32A34" w:rsidRPr="00C32A34">
        <w:rPr>
          <w:rFonts w:ascii="Calibri" w:hAnsi="Calibri" w:cs="Calibri"/>
          <w:sz w:val="24"/>
        </w:rPr>
        <w:t xml:space="preserve">. </w:t>
      </w:r>
      <w:r w:rsidR="00C32A34" w:rsidRPr="00C32A34">
        <w:rPr>
          <w:rFonts w:ascii="Calibri" w:hAnsi="Calibri" w:cs="Calibri"/>
          <w:sz w:val="24"/>
        </w:rPr>
        <w:tab/>
        <w:t xml:space="preserve">Wittmann DH, Schein M, Condon RE. Management of secondary peritonitis. Ann Surg. 1996 Jul;224(1):10–8. </w:t>
      </w:r>
    </w:p>
    <w:p w:rsidR="00C32A34" w:rsidRPr="00C32A34" w:rsidRDefault="00F60978" w:rsidP="002F4AB7">
      <w:pPr>
        <w:pStyle w:val="Bibliography"/>
        <w:jc w:val="both"/>
        <w:rPr>
          <w:rFonts w:ascii="Calibri" w:hAnsi="Calibri" w:cs="Calibri"/>
          <w:sz w:val="24"/>
        </w:rPr>
      </w:pPr>
      <w:r>
        <w:rPr>
          <w:rFonts w:ascii="Calibri" w:hAnsi="Calibri" w:cs="Calibri"/>
          <w:sz w:val="24"/>
        </w:rPr>
        <w:t>35</w:t>
      </w:r>
      <w:r w:rsidR="00C32A34" w:rsidRPr="00C32A34">
        <w:rPr>
          <w:rFonts w:ascii="Calibri" w:hAnsi="Calibri" w:cs="Calibri"/>
          <w:sz w:val="24"/>
        </w:rPr>
        <w:t xml:space="preserve">. </w:t>
      </w:r>
      <w:r w:rsidR="00C32A34" w:rsidRPr="00C32A34">
        <w:rPr>
          <w:rFonts w:ascii="Calibri" w:hAnsi="Calibri" w:cs="Calibri"/>
          <w:sz w:val="24"/>
        </w:rPr>
        <w:tab/>
        <w:t xml:space="preserve">Mulier S, Penninckx F, Verwaest C, Filez L, Aerts R, Fieuws S, et al. Factors Affecting Mortality in Generalized Postoperative Peritonitis: Multivariate Analysis in 96 Patients. World J Surg. 2003 May 1;27:379–84. </w:t>
      </w:r>
    </w:p>
    <w:p w:rsidR="00C32A34" w:rsidRPr="00C32A34" w:rsidRDefault="00F60978" w:rsidP="002F4AB7">
      <w:pPr>
        <w:pStyle w:val="Bibliography"/>
        <w:jc w:val="both"/>
        <w:rPr>
          <w:rFonts w:ascii="Calibri" w:hAnsi="Calibri" w:cs="Calibri"/>
          <w:sz w:val="24"/>
        </w:rPr>
      </w:pPr>
      <w:r>
        <w:rPr>
          <w:rFonts w:ascii="Calibri" w:hAnsi="Calibri" w:cs="Calibri"/>
          <w:sz w:val="24"/>
        </w:rPr>
        <w:t>36</w:t>
      </w:r>
      <w:r w:rsidR="00C32A34" w:rsidRPr="00C32A34">
        <w:rPr>
          <w:rFonts w:ascii="Calibri" w:hAnsi="Calibri" w:cs="Calibri"/>
          <w:sz w:val="24"/>
        </w:rPr>
        <w:t xml:space="preserve">. </w:t>
      </w:r>
      <w:r w:rsidR="00C32A34" w:rsidRPr="00C32A34">
        <w:rPr>
          <w:rFonts w:ascii="Calibri" w:hAnsi="Calibri" w:cs="Calibri"/>
          <w:sz w:val="24"/>
        </w:rPr>
        <w:tab/>
        <w:t>Open management of the septic abdomen: therapeutic and prognostic considerations based on APACHE II. - Abstract - Europe PMC [Internet]. [cited 2020 Oct 22]. Available from: https://europepmc.org/article/med/2721209</w:t>
      </w:r>
    </w:p>
    <w:p w:rsidR="00C32A34" w:rsidRDefault="006331EC" w:rsidP="002F4AB7">
      <w:pPr>
        <w:jc w:val="both"/>
        <w:rPr>
          <w:rFonts w:cstheme="minorHAnsi"/>
          <w:sz w:val="24"/>
          <w:szCs w:val="24"/>
        </w:rPr>
      </w:pPr>
      <w:r>
        <w:rPr>
          <w:rFonts w:cstheme="minorHAnsi"/>
          <w:sz w:val="24"/>
          <w:szCs w:val="24"/>
        </w:rPr>
        <w:fldChar w:fldCharType="end"/>
      </w:r>
    </w:p>
    <w:p w:rsidR="004A4932" w:rsidRDefault="004A4932" w:rsidP="002F4AB7">
      <w:pPr>
        <w:jc w:val="both"/>
        <w:rPr>
          <w:rFonts w:cstheme="minorHAnsi"/>
          <w:b/>
          <w:sz w:val="24"/>
          <w:szCs w:val="24"/>
        </w:rPr>
      </w:pPr>
    </w:p>
    <w:p w:rsidR="004A4932" w:rsidRDefault="004A4932" w:rsidP="002F4AB7">
      <w:pPr>
        <w:jc w:val="both"/>
        <w:rPr>
          <w:rFonts w:cstheme="minorHAnsi"/>
          <w:b/>
          <w:sz w:val="24"/>
          <w:szCs w:val="24"/>
        </w:rPr>
      </w:pPr>
    </w:p>
    <w:p w:rsidR="004A4932" w:rsidRDefault="004A4932" w:rsidP="002F4AB7">
      <w:pPr>
        <w:jc w:val="both"/>
        <w:rPr>
          <w:rFonts w:cstheme="minorHAnsi"/>
          <w:b/>
          <w:sz w:val="24"/>
          <w:szCs w:val="24"/>
        </w:rPr>
      </w:pPr>
    </w:p>
    <w:p w:rsidR="004A4932" w:rsidRDefault="004A4932" w:rsidP="002F4AB7">
      <w:pPr>
        <w:jc w:val="both"/>
        <w:rPr>
          <w:rFonts w:cstheme="minorHAnsi"/>
          <w:b/>
          <w:sz w:val="24"/>
          <w:szCs w:val="24"/>
        </w:rPr>
      </w:pPr>
    </w:p>
    <w:p w:rsidR="00393311" w:rsidRPr="004A4932" w:rsidRDefault="00393311" w:rsidP="002F4AB7">
      <w:pPr>
        <w:pStyle w:val="Heading1"/>
        <w:jc w:val="both"/>
      </w:pPr>
      <w:bookmarkStart w:id="23" w:name="_Toc73713191"/>
      <w:r w:rsidRPr="004A4932">
        <w:lastRenderedPageBreak/>
        <w:t>Annex</w:t>
      </w:r>
      <w:bookmarkEnd w:id="23"/>
    </w:p>
    <w:p w:rsidR="00393311" w:rsidRPr="00393311" w:rsidRDefault="00393311" w:rsidP="002F4AB7">
      <w:pPr>
        <w:jc w:val="both"/>
        <w:rPr>
          <w:rFonts w:cstheme="minorHAnsi"/>
          <w:b/>
          <w:sz w:val="24"/>
          <w:szCs w:val="24"/>
        </w:rPr>
      </w:pPr>
      <w:r w:rsidRPr="00393311">
        <w:rPr>
          <w:rFonts w:cstheme="minorHAnsi"/>
          <w:b/>
          <w:sz w:val="24"/>
          <w:szCs w:val="24"/>
        </w:rPr>
        <w:t>Questionnaire</w:t>
      </w:r>
    </w:p>
    <w:p w:rsidR="00393311" w:rsidRPr="00393311" w:rsidRDefault="00393311" w:rsidP="002F4AB7">
      <w:pPr>
        <w:jc w:val="both"/>
        <w:rPr>
          <w:rFonts w:cstheme="minorHAnsi"/>
          <w:sz w:val="24"/>
          <w:szCs w:val="24"/>
        </w:rPr>
      </w:pPr>
      <w:r w:rsidRPr="00393311">
        <w:rPr>
          <w:rFonts w:cstheme="minorHAnsi"/>
          <w:sz w:val="24"/>
          <w:szCs w:val="24"/>
        </w:rPr>
        <w:t xml:space="preserve">This questionnaire is prepared to identify preoperative and intraoperative clinical factors that predicts the need for relaparotomy in the </w:t>
      </w:r>
      <w:r w:rsidR="00181443">
        <w:rPr>
          <w:rFonts w:cstheme="minorHAnsi"/>
          <w:sz w:val="24"/>
          <w:szCs w:val="24"/>
        </w:rPr>
        <w:t xml:space="preserve">four </w:t>
      </w:r>
      <w:r w:rsidRPr="00393311">
        <w:rPr>
          <w:rFonts w:cstheme="minorHAnsi"/>
          <w:sz w:val="24"/>
          <w:szCs w:val="24"/>
        </w:rPr>
        <w:t>affiliated referral hosp</w:t>
      </w:r>
      <w:r w:rsidR="008F5078">
        <w:rPr>
          <w:rFonts w:cstheme="minorHAnsi"/>
          <w:sz w:val="24"/>
          <w:szCs w:val="24"/>
        </w:rPr>
        <w:t xml:space="preserve">ital of AAU, </w:t>
      </w:r>
      <w:r w:rsidR="008F5078" w:rsidRPr="008F5078">
        <w:rPr>
          <w:rFonts w:cstheme="minorHAnsi"/>
          <w:sz w:val="24"/>
          <w:szCs w:val="24"/>
        </w:rPr>
        <w:t>College of Health Science, School of Medicine</w:t>
      </w:r>
      <w:r w:rsidRPr="00393311">
        <w:rPr>
          <w:rFonts w:cstheme="minorHAnsi"/>
          <w:sz w:val="24"/>
          <w:szCs w:val="24"/>
        </w:rPr>
        <w:t>, Addis Ababa</w:t>
      </w:r>
    </w:p>
    <w:p w:rsidR="00393311" w:rsidRPr="00393311" w:rsidRDefault="00393311" w:rsidP="002F4AB7">
      <w:pPr>
        <w:jc w:val="both"/>
        <w:rPr>
          <w:rFonts w:cstheme="minorHAnsi"/>
          <w:b/>
          <w:sz w:val="24"/>
          <w:szCs w:val="24"/>
        </w:rPr>
      </w:pPr>
      <w:r w:rsidRPr="00393311">
        <w:rPr>
          <w:rFonts w:cstheme="minorHAnsi"/>
          <w:b/>
          <w:sz w:val="24"/>
          <w:szCs w:val="24"/>
        </w:rPr>
        <w:t>Socio-demographic data</w:t>
      </w:r>
    </w:p>
    <w:p w:rsidR="00393311" w:rsidRPr="00393311" w:rsidRDefault="00393311" w:rsidP="002F4AB7">
      <w:pPr>
        <w:jc w:val="both"/>
        <w:rPr>
          <w:rFonts w:cstheme="minorHAnsi"/>
          <w:sz w:val="24"/>
          <w:szCs w:val="24"/>
        </w:rPr>
      </w:pPr>
      <w:r w:rsidRPr="00393311">
        <w:rPr>
          <w:rFonts w:cstheme="minorHAnsi"/>
          <w:sz w:val="24"/>
          <w:szCs w:val="24"/>
        </w:rPr>
        <w:t xml:space="preserve"> Card Number _____________</w:t>
      </w:r>
    </w:p>
    <w:p w:rsidR="00393311" w:rsidRPr="00393311" w:rsidRDefault="00393311" w:rsidP="002F4AB7">
      <w:pPr>
        <w:jc w:val="both"/>
        <w:rPr>
          <w:rFonts w:cstheme="minorHAnsi"/>
          <w:sz w:val="24"/>
          <w:szCs w:val="24"/>
        </w:rPr>
      </w:pPr>
      <w:r w:rsidRPr="00393311">
        <w:rPr>
          <w:rFonts w:cstheme="minorHAnsi"/>
          <w:sz w:val="24"/>
          <w:szCs w:val="24"/>
        </w:rPr>
        <w:t>Telephone No ___________________________</w:t>
      </w:r>
    </w:p>
    <w:p w:rsidR="00393311" w:rsidRPr="00393311" w:rsidRDefault="00393311" w:rsidP="002F4AB7">
      <w:pPr>
        <w:jc w:val="both"/>
        <w:rPr>
          <w:rFonts w:cstheme="minorHAnsi"/>
          <w:b/>
          <w:sz w:val="24"/>
          <w:szCs w:val="24"/>
        </w:rPr>
      </w:pPr>
      <w:r w:rsidRPr="00393311">
        <w:rPr>
          <w:rFonts w:cstheme="minorHAnsi"/>
          <w:sz w:val="24"/>
          <w:szCs w:val="24"/>
        </w:rPr>
        <w:t xml:space="preserve">1. Age ___________                    </w:t>
      </w:r>
      <w:r w:rsidRPr="00393311">
        <w:rPr>
          <w:rFonts w:cstheme="minorHAnsi"/>
          <w:b/>
          <w:sz w:val="24"/>
          <w:szCs w:val="24"/>
        </w:rPr>
        <w:t xml:space="preserve">2. </w:t>
      </w:r>
      <w:r w:rsidRPr="00393311">
        <w:rPr>
          <w:rFonts w:cstheme="minorHAnsi"/>
          <w:sz w:val="24"/>
          <w:szCs w:val="24"/>
        </w:rPr>
        <w:t xml:space="preserve">Sex _____          </w:t>
      </w:r>
    </w:p>
    <w:p w:rsidR="00393311" w:rsidRPr="00393311" w:rsidRDefault="00F457B9" w:rsidP="002F4AB7">
      <w:pPr>
        <w:jc w:val="both"/>
        <w:rPr>
          <w:rFonts w:cstheme="minorHAnsi"/>
          <w:sz w:val="24"/>
          <w:szCs w:val="24"/>
        </w:rPr>
      </w:pPr>
      <w:r>
        <w:rPr>
          <w:rFonts w:cstheme="minorHAnsi"/>
          <w:sz w:val="24"/>
          <w:szCs w:val="24"/>
        </w:rPr>
        <w:t>3</w:t>
      </w:r>
      <w:r w:rsidR="00393311" w:rsidRPr="00393311">
        <w:rPr>
          <w:rFonts w:cstheme="minorHAnsi"/>
          <w:b/>
          <w:sz w:val="24"/>
          <w:szCs w:val="24"/>
        </w:rPr>
        <w:t xml:space="preserve">. </w:t>
      </w:r>
      <w:r w:rsidR="00393311" w:rsidRPr="00393311">
        <w:rPr>
          <w:rFonts w:cstheme="minorHAnsi"/>
          <w:sz w:val="24"/>
          <w:szCs w:val="24"/>
        </w:rPr>
        <w:t>Date of admission _________</w:t>
      </w:r>
      <w:r>
        <w:rPr>
          <w:rFonts w:cstheme="minorHAnsi"/>
          <w:sz w:val="24"/>
          <w:szCs w:val="24"/>
        </w:rPr>
        <w:t>6</w:t>
      </w:r>
      <w:r w:rsidR="00A61A5D">
        <w:rPr>
          <w:rFonts w:cstheme="minorHAnsi"/>
          <w:sz w:val="24"/>
          <w:szCs w:val="24"/>
        </w:rPr>
        <w:t>.</w:t>
      </w:r>
      <w:r w:rsidR="00393311" w:rsidRPr="00393311">
        <w:rPr>
          <w:rFonts w:cstheme="minorHAnsi"/>
          <w:sz w:val="24"/>
          <w:szCs w:val="24"/>
        </w:rPr>
        <w:t xml:space="preserve"> Date of discharge_________</w:t>
      </w:r>
    </w:p>
    <w:p w:rsidR="00393311" w:rsidRPr="00393311" w:rsidRDefault="00A61A5D" w:rsidP="002F4AB7">
      <w:pPr>
        <w:jc w:val="both"/>
        <w:rPr>
          <w:rFonts w:cstheme="minorHAnsi"/>
          <w:sz w:val="24"/>
          <w:szCs w:val="24"/>
        </w:rPr>
      </w:pPr>
      <w:r>
        <w:rPr>
          <w:rFonts w:cstheme="minorHAnsi"/>
          <w:b/>
          <w:sz w:val="24"/>
          <w:szCs w:val="24"/>
        </w:rPr>
        <w:t>6</w:t>
      </w:r>
      <w:r w:rsidR="00393311" w:rsidRPr="00393311">
        <w:rPr>
          <w:rFonts w:cstheme="minorHAnsi"/>
          <w:b/>
          <w:sz w:val="24"/>
          <w:szCs w:val="24"/>
        </w:rPr>
        <w:t>.</w:t>
      </w:r>
      <w:r w:rsidR="00393311" w:rsidRPr="00393311">
        <w:rPr>
          <w:rFonts w:cstheme="minorHAnsi"/>
          <w:sz w:val="24"/>
          <w:szCs w:val="24"/>
        </w:rPr>
        <w:t xml:space="preserve"> Date of surgery ____</w:t>
      </w:r>
      <w:r>
        <w:rPr>
          <w:rFonts w:cstheme="minorHAnsi"/>
          <w:sz w:val="24"/>
          <w:szCs w:val="24"/>
        </w:rPr>
        <w:t>______ 7</w:t>
      </w:r>
      <w:r w:rsidR="00393311" w:rsidRPr="00393311">
        <w:rPr>
          <w:rFonts w:cstheme="minorHAnsi"/>
          <w:sz w:val="24"/>
          <w:szCs w:val="24"/>
        </w:rPr>
        <w:t>. Duration of post-op stay_____________</w:t>
      </w:r>
    </w:p>
    <w:p w:rsidR="00393311" w:rsidRPr="00393311" w:rsidRDefault="00393311" w:rsidP="002F4AB7">
      <w:pPr>
        <w:pStyle w:val="ListParagraph"/>
        <w:ind w:left="768"/>
        <w:jc w:val="both"/>
        <w:rPr>
          <w:rFonts w:cstheme="minorHAnsi"/>
          <w:b/>
          <w:sz w:val="24"/>
          <w:szCs w:val="24"/>
        </w:rPr>
      </w:pPr>
    </w:p>
    <w:tbl>
      <w:tblPr>
        <w:tblW w:w="0" w:type="auto"/>
        <w:tblInd w:w="126" w:type="dxa"/>
        <w:tblCellMar>
          <w:left w:w="10" w:type="dxa"/>
          <w:right w:w="10" w:type="dxa"/>
        </w:tblCellMar>
        <w:tblLook w:val="04A0"/>
      </w:tblPr>
      <w:tblGrid>
        <w:gridCol w:w="3977"/>
        <w:gridCol w:w="5473"/>
      </w:tblGrid>
      <w:tr w:rsidR="00393311" w:rsidRPr="00393311" w:rsidTr="001373A5">
        <w:trPr>
          <w:trHeight w:val="539"/>
        </w:trPr>
        <w:tc>
          <w:tcPr>
            <w:tcW w:w="9450" w:type="dxa"/>
            <w:gridSpan w:val="2"/>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93311" w:rsidRPr="00393311" w:rsidRDefault="00393311" w:rsidP="002F4AB7">
            <w:pPr>
              <w:pStyle w:val="ListParagraph"/>
              <w:ind w:left="768"/>
              <w:jc w:val="both"/>
              <w:rPr>
                <w:rFonts w:cstheme="minorHAnsi"/>
                <w:b/>
                <w:sz w:val="24"/>
                <w:szCs w:val="24"/>
              </w:rPr>
            </w:pPr>
            <w:r w:rsidRPr="00393311">
              <w:rPr>
                <w:rFonts w:cstheme="minorHAnsi"/>
                <w:b/>
                <w:sz w:val="24"/>
                <w:szCs w:val="24"/>
              </w:rPr>
              <w:t>Preoperative Factors</w:t>
            </w:r>
          </w:p>
        </w:tc>
      </w:tr>
      <w:tr w:rsidR="00393311" w:rsidRPr="00393311" w:rsidTr="001373A5">
        <w:trPr>
          <w:trHeight w:val="539"/>
        </w:trPr>
        <w:tc>
          <w:tcPr>
            <w:tcW w:w="397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93311" w:rsidRPr="00597CDD" w:rsidRDefault="00393311" w:rsidP="002F4AB7">
            <w:pPr>
              <w:jc w:val="both"/>
              <w:rPr>
                <w:rFonts w:cstheme="minorHAnsi"/>
                <w:sz w:val="24"/>
                <w:szCs w:val="24"/>
              </w:rPr>
            </w:pPr>
            <w:r w:rsidRPr="00597CDD">
              <w:rPr>
                <w:rFonts w:cstheme="minorHAnsi"/>
                <w:b/>
                <w:sz w:val="24"/>
                <w:szCs w:val="24"/>
              </w:rPr>
              <w:t>1.</w:t>
            </w:r>
            <w:r w:rsidRPr="00597CDD">
              <w:rPr>
                <w:rFonts w:cstheme="minorHAnsi"/>
                <w:sz w:val="24"/>
                <w:szCs w:val="24"/>
              </w:rPr>
              <w:t xml:space="preserve"> Duration of presenting illness</w:t>
            </w:r>
          </w:p>
        </w:tc>
        <w:tc>
          <w:tcPr>
            <w:tcW w:w="547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93311" w:rsidRPr="00181443" w:rsidRDefault="00F457B9" w:rsidP="002F4AB7">
            <w:pPr>
              <w:pStyle w:val="ListParagraph"/>
              <w:ind w:left="768"/>
              <w:jc w:val="both"/>
              <w:rPr>
                <w:rFonts w:cstheme="minorHAnsi"/>
                <w:sz w:val="24"/>
                <w:szCs w:val="24"/>
              </w:rPr>
            </w:pPr>
            <w:r w:rsidRPr="00393311">
              <w:rPr>
                <w:rFonts w:cstheme="minorHAnsi"/>
                <w:b/>
                <w:sz w:val="24"/>
                <w:szCs w:val="24"/>
              </w:rPr>
              <w:t>________</w:t>
            </w:r>
            <w:r w:rsidR="00181443" w:rsidRPr="00181443">
              <w:rPr>
                <w:rFonts w:cstheme="minorHAnsi"/>
                <w:sz w:val="24"/>
                <w:szCs w:val="24"/>
              </w:rPr>
              <w:t>Hrs</w:t>
            </w:r>
          </w:p>
        </w:tc>
      </w:tr>
      <w:tr w:rsidR="00393311" w:rsidRPr="00393311" w:rsidTr="001373A5">
        <w:trPr>
          <w:trHeight w:val="1"/>
        </w:trPr>
        <w:tc>
          <w:tcPr>
            <w:tcW w:w="397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93311" w:rsidRPr="00597CDD" w:rsidRDefault="00393311" w:rsidP="002F4AB7">
            <w:pPr>
              <w:jc w:val="both"/>
              <w:rPr>
                <w:rFonts w:cstheme="minorHAnsi"/>
                <w:sz w:val="24"/>
                <w:szCs w:val="24"/>
              </w:rPr>
            </w:pPr>
            <w:r w:rsidRPr="00597CDD">
              <w:rPr>
                <w:rFonts w:cstheme="minorHAnsi"/>
                <w:b/>
                <w:sz w:val="24"/>
                <w:szCs w:val="24"/>
              </w:rPr>
              <w:t>2</w:t>
            </w:r>
            <w:r w:rsidRPr="00597CDD">
              <w:rPr>
                <w:rFonts w:cstheme="minorHAnsi"/>
                <w:sz w:val="24"/>
                <w:szCs w:val="24"/>
              </w:rPr>
              <w:t>. ASA class of the patient</w:t>
            </w:r>
          </w:p>
        </w:tc>
        <w:tc>
          <w:tcPr>
            <w:tcW w:w="547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93311" w:rsidRPr="00181443" w:rsidRDefault="00181443" w:rsidP="002F4AB7">
            <w:pPr>
              <w:jc w:val="both"/>
              <w:rPr>
                <w:rFonts w:cstheme="minorHAnsi"/>
                <w:sz w:val="24"/>
                <w:szCs w:val="24"/>
              </w:rPr>
            </w:pPr>
            <w:r>
              <w:rPr>
                <w:rFonts w:cstheme="minorHAnsi"/>
                <w:sz w:val="24"/>
                <w:szCs w:val="24"/>
              </w:rPr>
              <w:t xml:space="preserve">               </w:t>
            </w:r>
            <w:r w:rsidR="00F457B9" w:rsidRPr="00393311">
              <w:rPr>
                <w:rFonts w:cstheme="minorHAnsi"/>
                <w:b/>
                <w:sz w:val="24"/>
                <w:szCs w:val="24"/>
              </w:rPr>
              <w:t xml:space="preserve">________ </w:t>
            </w:r>
            <w:r>
              <w:rPr>
                <w:rFonts w:cstheme="minorHAnsi"/>
                <w:sz w:val="24"/>
                <w:szCs w:val="24"/>
              </w:rPr>
              <w:t>Class</w:t>
            </w:r>
          </w:p>
        </w:tc>
      </w:tr>
      <w:tr w:rsidR="00393311" w:rsidRPr="00393311" w:rsidTr="001373A5">
        <w:trPr>
          <w:trHeight w:val="1"/>
        </w:trPr>
        <w:tc>
          <w:tcPr>
            <w:tcW w:w="397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93311" w:rsidRPr="00597CDD" w:rsidRDefault="00393311" w:rsidP="002F4AB7">
            <w:pPr>
              <w:jc w:val="both"/>
              <w:rPr>
                <w:rFonts w:cstheme="minorHAnsi"/>
                <w:sz w:val="24"/>
                <w:szCs w:val="24"/>
              </w:rPr>
            </w:pPr>
            <w:r w:rsidRPr="00597CDD">
              <w:rPr>
                <w:rFonts w:cstheme="minorHAnsi"/>
                <w:b/>
                <w:sz w:val="24"/>
                <w:szCs w:val="24"/>
              </w:rPr>
              <w:t>3</w:t>
            </w:r>
            <w:r w:rsidRPr="00597CDD">
              <w:rPr>
                <w:rFonts w:cstheme="minorHAnsi"/>
                <w:sz w:val="24"/>
                <w:szCs w:val="24"/>
              </w:rPr>
              <w:t>.  Heart rate at time of admission</w:t>
            </w:r>
          </w:p>
        </w:tc>
        <w:tc>
          <w:tcPr>
            <w:tcW w:w="547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93311" w:rsidRPr="00393311" w:rsidRDefault="00F457B9" w:rsidP="002F4AB7">
            <w:pPr>
              <w:pStyle w:val="ListParagraph"/>
              <w:ind w:left="768"/>
              <w:jc w:val="both"/>
              <w:rPr>
                <w:rFonts w:cstheme="minorHAnsi"/>
                <w:sz w:val="24"/>
                <w:szCs w:val="24"/>
              </w:rPr>
            </w:pPr>
            <w:r w:rsidRPr="00393311">
              <w:rPr>
                <w:rFonts w:cstheme="minorHAnsi"/>
                <w:b/>
                <w:sz w:val="24"/>
                <w:szCs w:val="24"/>
              </w:rPr>
              <w:t xml:space="preserve">________ </w:t>
            </w:r>
            <w:r w:rsidR="00393311" w:rsidRPr="00393311">
              <w:rPr>
                <w:rFonts w:cstheme="minorHAnsi"/>
                <w:sz w:val="24"/>
                <w:szCs w:val="24"/>
              </w:rPr>
              <w:t>bpm</w:t>
            </w:r>
          </w:p>
        </w:tc>
      </w:tr>
      <w:tr w:rsidR="00780B66" w:rsidRPr="00393311" w:rsidTr="001373A5">
        <w:trPr>
          <w:trHeight w:val="1"/>
        </w:trPr>
        <w:tc>
          <w:tcPr>
            <w:tcW w:w="397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80B66" w:rsidRPr="00780B66" w:rsidRDefault="00780B66" w:rsidP="002F4AB7">
            <w:pPr>
              <w:jc w:val="both"/>
              <w:rPr>
                <w:rFonts w:cstheme="minorHAnsi"/>
                <w:sz w:val="24"/>
                <w:szCs w:val="24"/>
              </w:rPr>
            </w:pPr>
            <w:r>
              <w:rPr>
                <w:rFonts w:cstheme="minorHAnsi"/>
                <w:b/>
                <w:sz w:val="24"/>
                <w:szCs w:val="24"/>
              </w:rPr>
              <w:t xml:space="preserve">4. </w:t>
            </w:r>
            <w:r>
              <w:rPr>
                <w:rFonts w:cstheme="minorHAnsi"/>
                <w:sz w:val="24"/>
                <w:szCs w:val="24"/>
              </w:rPr>
              <w:t>Blood Pressure(Systolic/Diastolic)</w:t>
            </w:r>
          </w:p>
        </w:tc>
        <w:tc>
          <w:tcPr>
            <w:tcW w:w="547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80B66" w:rsidRPr="00393311" w:rsidRDefault="00780B66" w:rsidP="002F4AB7">
            <w:pPr>
              <w:pStyle w:val="ListParagraph"/>
              <w:ind w:left="768"/>
              <w:jc w:val="both"/>
              <w:rPr>
                <w:rFonts w:cstheme="minorHAnsi"/>
                <w:b/>
                <w:sz w:val="24"/>
                <w:szCs w:val="24"/>
              </w:rPr>
            </w:pPr>
            <w:r w:rsidRPr="00393311">
              <w:rPr>
                <w:rFonts w:cstheme="minorHAnsi"/>
                <w:b/>
                <w:sz w:val="24"/>
                <w:szCs w:val="24"/>
              </w:rPr>
              <w:t>____</w:t>
            </w:r>
            <w:r>
              <w:rPr>
                <w:rFonts w:cstheme="minorHAnsi"/>
                <w:b/>
                <w:sz w:val="24"/>
                <w:szCs w:val="24"/>
              </w:rPr>
              <w:t>/</w:t>
            </w:r>
            <w:r w:rsidRPr="00393311">
              <w:rPr>
                <w:rFonts w:cstheme="minorHAnsi"/>
                <w:b/>
                <w:sz w:val="24"/>
                <w:szCs w:val="24"/>
              </w:rPr>
              <w:t>____</w:t>
            </w:r>
            <w:r>
              <w:rPr>
                <w:rFonts w:cstheme="minorHAnsi"/>
                <w:b/>
                <w:sz w:val="24"/>
                <w:szCs w:val="24"/>
              </w:rPr>
              <w:t xml:space="preserve"> </w:t>
            </w:r>
            <w:r w:rsidRPr="00780B66">
              <w:rPr>
                <w:rFonts w:cstheme="minorHAnsi"/>
                <w:sz w:val="24"/>
                <w:szCs w:val="24"/>
              </w:rPr>
              <w:t>mm Hg</w:t>
            </w:r>
          </w:p>
        </w:tc>
      </w:tr>
      <w:tr w:rsidR="00393311" w:rsidRPr="00393311" w:rsidTr="001373A5">
        <w:trPr>
          <w:trHeight w:val="1026"/>
        </w:trPr>
        <w:tc>
          <w:tcPr>
            <w:tcW w:w="397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93311" w:rsidRPr="00597CDD" w:rsidRDefault="00780B66" w:rsidP="002F4AB7">
            <w:pPr>
              <w:jc w:val="both"/>
              <w:rPr>
                <w:rFonts w:cstheme="minorHAnsi"/>
                <w:sz w:val="24"/>
                <w:szCs w:val="24"/>
              </w:rPr>
            </w:pPr>
            <w:r>
              <w:rPr>
                <w:rFonts w:cstheme="minorHAnsi"/>
                <w:b/>
                <w:sz w:val="24"/>
                <w:szCs w:val="24"/>
              </w:rPr>
              <w:t>5</w:t>
            </w:r>
            <w:r w:rsidR="00393311" w:rsidRPr="00597CDD">
              <w:rPr>
                <w:rFonts w:cstheme="minorHAnsi"/>
                <w:sz w:val="24"/>
                <w:szCs w:val="24"/>
              </w:rPr>
              <w:t>. Place of referral</w:t>
            </w:r>
          </w:p>
        </w:tc>
        <w:tc>
          <w:tcPr>
            <w:tcW w:w="547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93311" w:rsidRPr="00393311" w:rsidRDefault="00393311" w:rsidP="002F4AB7">
            <w:pPr>
              <w:pStyle w:val="ListParagraph"/>
              <w:ind w:left="768"/>
              <w:jc w:val="both"/>
              <w:rPr>
                <w:rFonts w:cstheme="minorHAnsi"/>
                <w:b/>
                <w:sz w:val="24"/>
                <w:szCs w:val="24"/>
              </w:rPr>
            </w:pPr>
            <w:r w:rsidRPr="00393311">
              <w:rPr>
                <w:rFonts w:cstheme="minorHAnsi"/>
                <w:b/>
                <w:sz w:val="24"/>
                <w:szCs w:val="24"/>
              </w:rPr>
              <w:t xml:space="preserve">1. </w:t>
            </w:r>
            <w:r w:rsidRPr="00393311">
              <w:rPr>
                <w:rFonts w:cstheme="minorHAnsi"/>
                <w:sz w:val="24"/>
                <w:szCs w:val="24"/>
              </w:rPr>
              <w:t>With in Addis Ababa</w:t>
            </w:r>
          </w:p>
          <w:p w:rsidR="00393311" w:rsidRPr="00393311" w:rsidRDefault="00393311" w:rsidP="002F4AB7">
            <w:pPr>
              <w:pStyle w:val="ListParagraph"/>
              <w:ind w:left="768"/>
              <w:jc w:val="both"/>
              <w:rPr>
                <w:rFonts w:cstheme="minorHAnsi"/>
                <w:b/>
                <w:sz w:val="24"/>
                <w:szCs w:val="24"/>
              </w:rPr>
            </w:pPr>
            <w:r w:rsidRPr="00393311">
              <w:rPr>
                <w:rFonts w:cstheme="minorHAnsi"/>
                <w:b/>
                <w:sz w:val="24"/>
                <w:szCs w:val="24"/>
              </w:rPr>
              <w:t>2.</w:t>
            </w:r>
            <w:r w:rsidRPr="00393311">
              <w:rPr>
                <w:rFonts w:cstheme="minorHAnsi"/>
                <w:sz w:val="24"/>
                <w:szCs w:val="24"/>
              </w:rPr>
              <w:t xml:space="preserve"> From Rural center</w:t>
            </w:r>
          </w:p>
        </w:tc>
      </w:tr>
      <w:tr w:rsidR="00393311" w:rsidRPr="00393311" w:rsidTr="001373A5">
        <w:trPr>
          <w:trHeight w:val="349"/>
        </w:trPr>
        <w:tc>
          <w:tcPr>
            <w:tcW w:w="397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93311" w:rsidRPr="00597CDD" w:rsidRDefault="00780B66" w:rsidP="002F4AB7">
            <w:pPr>
              <w:jc w:val="both"/>
              <w:rPr>
                <w:rFonts w:cstheme="minorHAnsi"/>
                <w:sz w:val="24"/>
                <w:szCs w:val="24"/>
              </w:rPr>
            </w:pPr>
            <w:r>
              <w:rPr>
                <w:rFonts w:cstheme="minorHAnsi"/>
                <w:b/>
                <w:sz w:val="24"/>
                <w:szCs w:val="24"/>
              </w:rPr>
              <w:t>6</w:t>
            </w:r>
            <w:r w:rsidR="00393311" w:rsidRPr="00597CDD">
              <w:rPr>
                <w:rFonts w:cstheme="minorHAnsi"/>
                <w:b/>
                <w:sz w:val="24"/>
                <w:szCs w:val="24"/>
              </w:rPr>
              <w:t>.</w:t>
            </w:r>
            <w:r w:rsidR="00393311" w:rsidRPr="00597CDD">
              <w:rPr>
                <w:rFonts w:cstheme="minorHAnsi"/>
                <w:sz w:val="24"/>
                <w:szCs w:val="24"/>
              </w:rPr>
              <w:t xml:space="preserve"> White cell count</w:t>
            </w:r>
          </w:p>
        </w:tc>
        <w:tc>
          <w:tcPr>
            <w:tcW w:w="547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93311" w:rsidRPr="00F457B9" w:rsidRDefault="00F457B9" w:rsidP="002F4AB7">
            <w:pPr>
              <w:jc w:val="both"/>
              <w:rPr>
                <w:rFonts w:cstheme="minorHAnsi"/>
                <w:b/>
                <w:sz w:val="24"/>
                <w:szCs w:val="24"/>
              </w:rPr>
            </w:pPr>
            <w:r>
              <w:rPr>
                <w:rFonts w:cstheme="minorHAnsi"/>
                <w:sz w:val="24"/>
                <w:szCs w:val="24"/>
              </w:rPr>
              <w:t xml:space="preserve">               </w:t>
            </w:r>
            <w:r w:rsidRPr="00393311">
              <w:rPr>
                <w:rFonts w:cstheme="minorHAnsi"/>
                <w:b/>
                <w:sz w:val="24"/>
                <w:szCs w:val="24"/>
              </w:rPr>
              <w:t xml:space="preserve">________ </w:t>
            </w:r>
            <w:r>
              <w:rPr>
                <w:rFonts w:cstheme="minorHAnsi"/>
                <w:sz w:val="24"/>
                <w:szCs w:val="24"/>
              </w:rPr>
              <w:t>cells/ L</w:t>
            </w:r>
            <w:r w:rsidR="00393311" w:rsidRPr="00F457B9">
              <w:rPr>
                <w:rFonts w:cstheme="minorHAnsi"/>
                <w:sz w:val="24"/>
                <w:szCs w:val="24"/>
              </w:rPr>
              <w:t xml:space="preserve">    </w:t>
            </w:r>
            <w:r w:rsidR="00393311" w:rsidRPr="00F457B9">
              <w:rPr>
                <w:rFonts w:cstheme="minorHAnsi"/>
                <w:b/>
                <w:sz w:val="24"/>
                <w:szCs w:val="24"/>
              </w:rPr>
              <w:t xml:space="preserve">  </w:t>
            </w:r>
          </w:p>
        </w:tc>
      </w:tr>
      <w:tr w:rsidR="00393311" w:rsidRPr="00393311" w:rsidTr="001373A5">
        <w:trPr>
          <w:trHeight w:val="1"/>
        </w:trPr>
        <w:tc>
          <w:tcPr>
            <w:tcW w:w="397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93311" w:rsidRPr="00597CDD" w:rsidRDefault="00780B66" w:rsidP="002F4AB7">
            <w:pPr>
              <w:jc w:val="both"/>
              <w:rPr>
                <w:rFonts w:cstheme="minorHAnsi"/>
                <w:sz w:val="24"/>
                <w:szCs w:val="24"/>
              </w:rPr>
            </w:pPr>
            <w:r>
              <w:rPr>
                <w:rFonts w:cstheme="minorHAnsi"/>
                <w:b/>
                <w:sz w:val="24"/>
                <w:szCs w:val="24"/>
              </w:rPr>
              <w:t>7</w:t>
            </w:r>
            <w:r w:rsidR="00393311" w:rsidRPr="00597CDD">
              <w:rPr>
                <w:rFonts w:cstheme="minorHAnsi"/>
                <w:sz w:val="24"/>
                <w:szCs w:val="24"/>
              </w:rPr>
              <w:t>. Platelet count</w:t>
            </w:r>
          </w:p>
        </w:tc>
        <w:tc>
          <w:tcPr>
            <w:tcW w:w="547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93311" w:rsidRPr="00F457B9" w:rsidRDefault="00F457B9" w:rsidP="002F4AB7">
            <w:pPr>
              <w:pStyle w:val="ListParagraph"/>
              <w:ind w:left="768"/>
              <w:jc w:val="both"/>
              <w:rPr>
                <w:rFonts w:cstheme="minorHAnsi"/>
                <w:sz w:val="24"/>
                <w:szCs w:val="24"/>
              </w:rPr>
            </w:pPr>
            <w:r w:rsidRPr="00393311">
              <w:rPr>
                <w:rFonts w:cstheme="minorHAnsi"/>
                <w:b/>
                <w:sz w:val="24"/>
                <w:szCs w:val="24"/>
              </w:rPr>
              <w:t xml:space="preserve">________ </w:t>
            </w:r>
            <w:r>
              <w:rPr>
                <w:rFonts w:cstheme="minorHAnsi"/>
                <w:sz w:val="24"/>
                <w:szCs w:val="24"/>
              </w:rPr>
              <w:t>cells/ L</w:t>
            </w:r>
            <w:r w:rsidRPr="00F457B9">
              <w:rPr>
                <w:rFonts w:cstheme="minorHAnsi"/>
                <w:sz w:val="24"/>
                <w:szCs w:val="24"/>
              </w:rPr>
              <w:t xml:space="preserve">    </w:t>
            </w:r>
            <w:r w:rsidRPr="00F457B9">
              <w:rPr>
                <w:rFonts w:cstheme="minorHAnsi"/>
                <w:b/>
                <w:sz w:val="24"/>
                <w:szCs w:val="24"/>
              </w:rPr>
              <w:t xml:space="preserve">  </w:t>
            </w:r>
          </w:p>
        </w:tc>
      </w:tr>
      <w:tr w:rsidR="00393311" w:rsidRPr="00393311" w:rsidTr="001373A5">
        <w:trPr>
          <w:trHeight w:val="623"/>
        </w:trPr>
        <w:tc>
          <w:tcPr>
            <w:tcW w:w="397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93311" w:rsidRPr="00597CDD" w:rsidRDefault="00780B66" w:rsidP="002F4AB7">
            <w:pPr>
              <w:jc w:val="both"/>
              <w:rPr>
                <w:rFonts w:cstheme="minorHAnsi"/>
                <w:sz w:val="24"/>
                <w:szCs w:val="24"/>
              </w:rPr>
            </w:pPr>
            <w:r>
              <w:rPr>
                <w:rFonts w:cstheme="minorHAnsi"/>
                <w:b/>
                <w:sz w:val="24"/>
                <w:szCs w:val="24"/>
              </w:rPr>
              <w:t>8</w:t>
            </w:r>
            <w:r w:rsidR="00393311" w:rsidRPr="00597CDD">
              <w:rPr>
                <w:rFonts w:cstheme="minorHAnsi"/>
                <w:b/>
                <w:sz w:val="24"/>
                <w:szCs w:val="24"/>
              </w:rPr>
              <w:t>.</w:t>
            </w:r>
            <w:r w:rsidR="00393311" w:rsidRPr="00597CDD">
              <w:rPr>
                <w:rFonts w:cstheme="minorHAnsi"/>
                <w:sz w:val="24"/>
                <w:szCs w:val="24"/>
              </w:rPr>
              <w:t xml:space="preserve"> Hemoglobin level</w:t>
            </w:r>
          </w:p>
        </w:tc>
        <w:tc>
          <w:tcPr>
            <w:tcW w:w="547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93311" w:rsidRPr="00F457B9" w:rsidRDefault="00F457B9" w:rsidP="002F4AB7">
            <w:pPr>
              <w:pStyle w:val="ListParagraph"/>
              <w:ind w:left="768"/>
              <w:jc w:val="both"/>
              <w:rPr>
                <w:rFonts w:cstheme="minorHAnsi"/>
                <w:sz w:val="24"/>
                <w:szCs w:val="24"/>
              </w:rPr>
            </w:pPr>
            <w:r w:rsidRPr="00393311">
              <w:rPr>
                <w:rFonts w:cstheme="minorHAnsi"/>
                <w:b/>
                <w:sz w:val="24"/>
                <w:szCs w:val="24"/>
              </w:rPr>
              <w:t xml:space="preserve">________ </w:t>
            </w:r>
            <w:r w:rsidR="00393311" w:rsidRPr="00393311">
              <w:rPr>
                <w:rFonts w:cstheme="minorHAnsi"/>
                <w:sz w:val="24"/>
                <w:szCs w:val="24"/>
              </w:rPr>
              <w:t xml:space="preserve"> g/dl </w:t>
            </w:r>
          </w:p>
        </w:tc>
      </w:tr>
      <w:tr w:rsidR="00393311" w:rsidRPr="00393311" w:rsidTr="001373A5">
        <w:trPr>
          <w:trHeight w:val="1"/>
        </w:trPr>
        <w:tc>
          <w:tcPr>
            <w:tcW w:w="397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93311" w:rsidRPr="00597CDD" w:rsidRDefault="00780B66" w:rsidP="002F4AB7">
            <w:pPr>
              <w:jc w:val="both"/>
              <w:rPr>
                <w:rFonts w:cstheme="minorHAnsi"/>
                <w:sz w:val="24"/>
                <w:szCs w:val="24"/>
              </w:rPr>
            </w:pPr>
            <w:r>
              <w:rPr>
                <w:rFonts w:cstheme="minorHAnsi"/>
                <w:b/>
                <w:sz w:val="24"/>
                <w:szCs w:val="24"/>
              </w:rPr>
              <w:t>9</w:t>
            </w:r>
            <w:r w:rsidR="00393311" w:rsidRPr="00597CDD">
              <w:rPr>
                <w:rFonts w:cstheme="minorHAnsi"/>
                <w:b/>
                <w:sz w:val="24"/>
                <w:szCs w:val="24"/>
              </w:rPr>
              <w:t xml:space="preserve">. </w:t>
            </w:r>
            <w:r w:rsidR="00393311" w:rsidRPr="00597CDD">
              <w:rPr>
                <w:rFonts w:cstheme="minorHAnsi"/>
                <w:sz w:val="24"/>
                <w:szCs w:val="24"/>
              </w:rPr>
              <w:t>Hypertension</w:t>
            </w:r>
          </w:p>
        </w:tc>
        <w:tc>
          <w:tcPr>
            <w:tcW w:w="547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93311" w:rsidRPr="00393311" w:rsidRDefault="00393311" w:rsidP="002F4AB7">
            <w:pPr>
              <w:pStyle w:val="ListParagraph"/>
              <w:ind w:left="768"/>
              <w:jc w:val="both"/>
              <w:rPr>
                <w:rFonts w:cstheme="minorHAnsi"/>
                <w:sz w:val="24"/>
                <w:szCs w:val="24"/>
              </w:rPr>
            </w:pPr>
            <w:r w:rsidRPr="00393311">
              <w:rPr>
                <w:rFonts w:cstheme="minorHAnsi"/>
                <w:b/>
                <w:sz w:val="24"/>
                <w:szCs w:val="24"/>
              </w:rPr>
              <w:t xml:space="preserve">1. </w:t>
            </w:r>
            <w:r w:rsidRPr="00393311">
              <w:rPr>
                <w:rFonts w:cstheme="minorHAnsi"/>
                <w:sz w:val="24"/>
                <w:szCs w:val="24"/>
              </w:rPr>
              <w:t xml:space="preserve">Yes                </w:t>
            </w:r>
            <w:r w:rsidRPr="00393311">
              <w:rPr>
                <w:rFonts w:cstheme="minorHAnsi"/>
                <w:b/>
                <w:sz w:val="24"/>
                <w:szCs w:val="24"/>
              </w:rPr>
              <w:t xml:space="preserve">2. </w:t>
            </w:r>
            <w:r w:rsidRPr="00393311">
              <w:rPr>
                <w:rFonts w:cstheme="minorHAnsi"/>
                <w:sz w:val="24"/>
                <w:szCs w:val="24"/>
              </w:rPr>
              <w:t>No</w:t>
            </w:r>
          </w:p>
        </w:tc>
      </w:tr>
      <w:tr w:rsidR="00393311" w:rsidRPr="00393311" w:rsidTr="001373A5">
        <w:trPr>
          <w:trHeight w:val="1"/>
        </w:trPr>
        <w:tc>
          <w:tcPr>
            <w:tcW w:w="397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93311" w:rsidRPr="00597CDD" w:rsidRDefault="00780B66" w:rsidP="002F4AB7">
            <w:pPr>
              <w:jc w:val="both"/>
              <w:rPr>
                <w:rFonts w:cstheme="minorHAnsi"/>
                <w:sz w:val="24"/>
                <w:szCs w:val="24"/>
              </w:rPr>
            </w:pPr>
            <w:r>
              <w:rPr>
                <w:rFonts w:cstheme="minorHAnsi"/>
                <w:b/>
                <w:sz w:val="24"/>
                <w:szCs w:val="24"/>
              </w:rPr>
              <w:t>10</w:t>
            </w:r>
            <w:r w:rsidR="00393311" w:rsidRPr="00597CDD">
              <w:rPr>
                <w:rFonts w:cstheme="minorHAnsi"/>
                <w:sz w:val="24"/>
                <w:szCs w:val="24"/>
              </w:rPr>
              <w:t>. Diabetes</w:t>
            </w:r>
            <w:r w:rsidR="00597CDD">
              <w:rPr>
                <w:rFonts w:cstheme="minorHAnsi"/>
                <w:sz w:val="24"/>
                <w:szCs w:val="24"/>
              </w:rPr>
              <w:t xml:space="preserve"> Mellitus</w:t>
            </w:r>
          </w:p>
        </w:tc>
        <w:tc>
          <w:tcPr>
            <w:tcW w:w="547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93311" w:rsidRPr="00393311" w:rsidRDefault="00393311" w:rsidP="002F4AB7">
            <w:pPr>
              <w:pStyle w:val="ListParagraph"/>
              <w:ind w:left="768"/>
              <w:jc w:val="both"/>
              <w:rPr>
                <w:rFonts w:cstheme="minorHAnsi"/>
                <w:sz w:val="24"/>
                <w:szCs w:val="24"/>
              </w:rPr>
            </w:pPr>
            <w:r w:rsidRPr="00393311">
              <w:rPr>
                <w:rFonts w:cstheme="minorHAnsi"/>
                <w:b/>
                <w:sz w:val="24"/>
                <w:szCs w:val="24"/>
              </w:rPr>
              <w:t xml:space="preserve">1. </w:t>
            </w:r>
            <w:r w:rsidRPr="00393311">
              <w:rPr>
                <w:rFonts w:cstheme="minorHAnsi"/>
                <w:sz w:val="24"/>
                <w:szCs w:val="24"/>
              </w:rPr>
              <w:t xml:space="preserve">Yes                </w:t>
            </w:r>
            <w:r w:rsidRPr="00393311">
              <w:rPr>
                <w:rFonts w:cstheme="minorHAnsi"/>
                <w:b/>
                <w:sz w:val="24"/>
                <w:szCs w:val="24"/>
              </w:rPr>
              <w:t xml:space="preserve">2. </w:t>
            </w:r>
            <w:r w:rsidRPr="00393311">
              <w:rPr>
                <w:rFonts w:cstheme="minorHAnsi"/>
                <w:sz w:val="24"/>
                <w:szCs w:val="24"/>
              </w:rPr>
              <w:t>No</w:t>
            </w:r>
          </w:p>
        </w:tc>
      </w:tr>
      <w:tr w:rsidR="0004283B" w:rsidRPr="00393311" w:rsidTr="001373A5">
        <w:trPr>
          <w:trHeight w:val="1"/>
        </w:trPr>
        <w:tc>
          <w:tcPr>
            <w:tcW w:w="397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4283B" w:rsidRPr="00597CDD" w:rsidRDefault="00780B66" w:rsidP="002F4AB7">
            <w:pPr>
              <w:jc w:val="both"/>
              <w:rPr>
                <w:rFonts w:cstheme="minorHAnsi"/>
                <w:sz w:val="24"/>
                <w:szCs w:val="24"/>
              </w:rPr>
            </w:pPr>
            <w:r>
              <w:rPr>
                <w:rFonts w:cstheme="minorHAnsi"/>
                <w:b/>
                <w:sz w:val="24"/>
                <w:szCs w:val="24"/>
              </w:rPr>
              <w:t>11</w:t>
            </w:r>
            <w:r w:rsidR="0004283B" w:rsidRPr="00597CDD">
              <w:rPr>
                <w:rFonts w:cstheme="minorHAnsi"/>
                <w:b/>
                <w:sz w:val="24"/>
                <w:szCs w:val="24"/>
              </w:rPr>
              <w:t xml:space="preserve">. </w:t>
            </w:r>
            <w:r w:rsidR="0004283B" w:rsidRPr="00597CDD">
              <w:rPr>
                <w:rFonts w:cstheme="minorHAnsi"/>
                <w:sz w:val="24"/>
                <w:szCs w:val="24"/>
              </w:rPr>
              <w:t>RVI</w:t>
            </w:r>
          </w:p>
        </w:tc>
        <w:tc>
          <w:tcPr>
            <w:tcW w:w="547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4283B" w:rsidRPr="00393311" w:rsidRDefault="0004283B" w:rsidP="002F4AB7">
            <w:pPr>
              <w:pStyle w:val="ListParagraph"/>
              <w:ind w:left="768"/>
              <w:jc w:val="both"/>
              <w:rPr>
                <w:rFonts w:cstheme="minorHAnsi"/>
                <w:b/>
                <w:sz w:val="24"/>
                <w:szCs w:val="24"/>
              </w:rPr>
            </w:pPr>
            <w:r w:rsidRPr="00393311">
              <w:rPr>
                <w:rFonts w:cstheme="minorHAnsi"/>
                <w:b/>
                <w:sz w:val="24"/>
                <w:szCs w:val="24"/>
              </w:rPr>
              <w:t xml:space="preserve">1. </w:t>
            </w:r>
            <w:r w:rsidRPr="00393311">
              <w:rPr>
                <w:rFonts w:cstheme="minorHAnsi"/>
                <w:sz w:val="24"/>
                <w:szCs w:val="24"/>
              </w:rPr>
              <w:t xml:space="preserve">Yes                </w:t>
            </w:r>
            <w:r w:rsidRPr="00393311">
              <w:rPr>
                <w:rFonts w:cstheme="minorHAnsi"/>
                <w:b/>
                <w:sz w:val="24"/>
                <w:szCs w:val="24"/>
              </w:rPr>
              <w:t xml:space="preserve">2. </w:t>
            </w:r>
            <w:r w:rsidRPr="00393311">
              <w:rPr>
                <w:rFonts w:cstheme="minorHAnsi"/>
                <w:sz w:val="24"/>
                <w:szCs w:val="24"/>
              </w:rPr>
              <w:t>No</w:t>
            </w:r>
          </w:p>
        </w:tc>
      </w:tr>
      <w:tr w:rsidR="00393311" w:rsidRPr="00393311" w:rsidTr="001373A5">
        <w:trPr>
          <w:trHeight w:val="632"/>
        </w:trPr>
        <w:tc>
          <w:tcPr>
            <w:tcW w:w="397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93311" w:rsidRPr="00597CDD" w:rsidRDefault="00F457B9" w:rsidP="002F4AB7">
            <w:pPr>
              <w:jc w:val="both"/>
              <w:rPr>
                <w:rFonts w:cstheme="minorHAnsi"/>
                <w:sz w:val="24"/>
                <w:szCs w:val="24"/>
              </w:rPr>
            </w:pPr>
            <w:r w:rsidRPr="00597CDD">
              <w:rPr>
                <w:rFonts w:cstheme="minorHAnsi"/>
                <w:b/>
                <w:sz w:val="24"/>
                <w:szCs w:val="24"/>
              </w:rPr>
              <w:lastRenderedPageBreak/>
              <w:t>1</w:t>
            </w:r>
            <w:r w:rsidR="00780B66">
              <w:rPr>
                <w:rFonts w:cstheme="minorHAnsi"/>
                <w:b/>
                <w:sz w:val="24"/>
                <w:szCs w:val="24"/>
              </w:rPr>
              <w:t>2</w:t>
            </w:r>
            <w:r w:rsidR="00393311" w:rsidRPr="00597CDD">
              <w:rPr>
                <w:rFonts w:cstheme="minorHAnsi"/>
                <w:sz w:val="24"/>
                <w:szCs w:val="24"/>
              </w:rPr>
              <w:t xml:space="preserve">. Tobacco use </w:t>
            </w:r>
          </w:p>
        </w:tc>
        <w:tc>
          <w:tcPr>
            <w:tcW w:w="547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93311" w:rsidRPr="00393311" w:rsidRDefault="00393311" w:rsidP="002F4AB7">
            <w:pPr>
              <w:pStyle w:val="ListParagraph"/>
              <w:ind w:left="768"/>
              <w:jc w:val="both"/>
              <w:rPr>
                <w:rFonts w:cstheme="minorHAnsi"/>
                <w:sz w:val="24"/>
                <w:szCs w:val="24"/>
              </w:rPr>
            </w:pPr>
            <w:r w:rsidRPr="00393311">
              <w:rPr>
                <w:rFonts w:cstheme="minorHAnsi"/>
                <w:b/>
                <w:sz w:val="24"/>
                <w:szCs w:val="24"/>
              </w:rPr>
              <w:t xml:space="preserve">1. </w:t>
            </w:r>
            <w:r w:rsidRPr="00393311">
              <w:rPr>
                <w:rFonts w:cstheme="minorHAnsi"/>
                <w:sz w:val="24"/>
                <w:szCs w:val="24"/>
              </w:rPr>
              <w:t xml:space="preserve">Yes                </w:t>
            </w:r>
            <w:r w:rsidRPr="00393311">
              <w:rPr>
                <w:rFonts w:cstheme="minorHAnsi"/>
                <w:b/>
                <w:sz w:val="24"/>
                <w:szCs w:val="24"/>
              </w:rPr>
              <w:t xml:space="preserve">2. </w:t>
            </w:r>
            <w:r w:rsidRPr="00393311">
              <w:rPr>
                <w:rFonts w:cstheme="minorHAnsi"/>
                <w:sz w:val="24"/>
                <w:szCs w:val="24"/>
              </w:rPr>
              <w:t>No</w:t>
            </w:r>
          </w:p>
        </w:tc>
      </w:tr>
      <w:tr w:rsidR="00393311" w:rsidRPr="00393311" w:rsidTr="001373A5">
        <w:trPr>
          <w:trHeight w:val="1"/>
        </w:trPr>
        <w:tc>
          <w:tcPr>
            <w:tcW w:w="397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93311" w:rsidRPr="00597CDD" w:rsidRDefault="00780B66" w:rsidP="002F4AB7">
            <w:pPr>
              <w:jc w:val="both"/>
              <w:rPr>
                <w:rFonts w:cstheme="minorHAnsi"/>
                <w:sz w:val="24"/>
                <w:szCs w:val="24"/>
              </w:rPr>
            </w:pPr>
            <w:r>
              <w:rPr>
                <w:rFonts w:cstheme="minorHAnsi"/>
                <w:b/>
                <w:sz w:val="24"/>
                <w:szCs w:val="24"/>
              </w:rPr>
              <w:t>13</w:t>
            </w:r>
            <w:r w:rsidR="00393311" w:rsidRPr="00597CDD">
              <w:rPr>
                <w:rFonts w:cstheme="minorHAnsi"/>
                <w:b/>
                <w:sz w:val="24"/>
                <w:szCs w:val="24"/>
              </w:rPr>
              <w:t xml:space="preserve">. </w:t>
            </w:r>
            <w:r w:rsidR="00393311" w:rsidRPr="00597CDD">
              <w:rPr>
                <w:rFonts w:cstheme="minorHAnsi"/>
                <w:sz w:val="24"/>
                <w:szCs w:val="24"/>
              </w:rPr>
              <w:t>Antibiotic treatment before surgery</w:t>
            </w:r>
          </w:p>
        </w:tc>
        <w:tc>
          <w:tcPr>
            <w:tcW w:w="547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93311" w:rsidRPr="00393311" w:rsidRDefault="00393311" w:rsidP="002F4AB7">
            <w:pPr>
              <w:pStyle w:val="ListParagraph"/>
              <w:ind w:left="768"/>
              <w:jc w:val="both"/>
              <w:rPr>
                <w:rFonts w:cstheme="minorHAnsi"/>
                <w:b/>
                <w:sz w:val="24"/>
                <w:szCs w:val="24"/>
              </w:rPr>
            </w:pPr>
            <w:r w:rsidRPr="00393311">
              <w:rPr>
                <w:rFonts w:cstheme="minorHAnsi"/>
                <w:b/>
                <w:sz w:val="24"/>
                <w:szCs w:val="24"/>
              </w:rPr>
              <w:t xml:space="preserve">1. </w:t>
            </w:r>
            <w:r w:rsidRPr="00393311">
              <w:rPr>
                <w:rFonts w:cstheme="minorHAnsi"/>
                <w:sz w:val="24"/>
                <w:szCs w:val="24"/>
              </w:rPr>
              <w:t xml:space="preserve">Yes                </w:t>
            </w:r>
            <w:r w:rsidRPr="00393311">
              <w:rPr>
                <w:rFonts w:cstheme="minorHAnsi"/>
                <w:b/>
                <w:sz w:val="24"/>
                <w:szCs w:val="24"/>
              </w:rPr>
              <w:t xml:space="preserve">2. </w:t>
            </w:r>
            <w:r w:rsidRPr="00393311">
              <w:rPr>
                <w:rFonts w:cstheme="minorHAnsi"/>
                <w:sz w:val="24"/>
                <w:szCs w:val="24"/>
              </w:rPr>
              <w:t>No</w:t>
            </w:r>
          </w:p>
        </w:tc>
      </w:tr>
      <w:tr w:rsidR="00393311" w:rsidRPr="00393311" w:rsidTr="001373A5">
        <w:trPr>
          <w:trHeight w:val="1"/>
        </w:trPr>
        <w:tc>
          <w:tcPr>
            <w:tcW w:w="9450" w:type="dxa"/>
            <w:gridSpan w:val="2"/>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93311" w:rsidRPr="00393311" w:rsidRDefault="00393311" w:rsidP="002F4AB7">
            <w:pPr>
              <w:pStyle w:val="ListParagraph"/>
              <w:ind w:left="768"/>
              <w:jc w:val="both"/>
              <w:rPr>
                <w:rFonts w:cstheme="minorHAnsi"/>
                <w:b/>
                <w:sz w:val="24"/>
                <w:szCs w:val="24"/>
              </w:rPr>
            </w:pPr>
            <w:r w:rsidRPr="00393311">
              <w:rPr>
                <w:rFonts w:cstheme="minorHAnsi"/>
                <w:b/>
                <w:sz w:val="24"/>
                <w:szCs w:val="24"/>
              </w:rPr>
              <w:t>Intraoperative Factors</w:t>
            </w:r>
          </w:p>
        </w:tc>
      </w:tr>
      <w:tr w:rsidR="00393311" w:rsidRPr="00393311" w:rsidTr="001373A5">
        <w:trPr>
          <w:trHeight w:val="1"/>
        </w:trPr>
        <w:tc>
          <w:tcPr>
            <w:tcW w:w="397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93311" w:rsidRPr="00597CDD" w:rsidRDefault="00F457B9" w:rsidP="002F4AB7">
            <w:pPr>
              <w:jc w:val="both"/>
              <w:rPr>
                <w:rFonts w:cstheme="minorHAnsi"/>
                <w:sz w:val="24"/>
                <w:szCs w:val="24"/>
              </w:rPr>
            </w:pPr>
            <w:r w:rsidRPr="00597CDD">
              <w:rPr>
                <w:rFonts w:cstheme="minorHAnsi"/>
                <w:b/>
                <w:sz w:val="24"/>
                <w:szCs w:val="24"/>
              </w:rPr>
              <w:t>1</w:t>
            </w:r>
            <w:r w:rsidR="00780B66">
              <w:rPr>
                <w:rFonts w:cstheme="minorHAnsi"/>
                <w:b/>
                <w:sz w:val="24"/>
                <w:szCs w:val="24"/>
              </w:rPr>
              <w:t>4</w:t>
            </w:r>
            <w:r w:rsidR="00393311" w:rsidRPr="00597CDD">
              <w:rPr>
                <w:rFonts w:cstheme="minorHAnsi"/>
                <w:b/>
                <w:sz w:val="24"/>
                <w:szCs w:val="24"/>
              </w:rPr>
              <w:t xml:space="preserve">. </w:t>
            </w:r>
            <w:r w:rsidR="00393311" w:rsidRPr="00597CDD">
              <w:rPr>
                <w:rFonts w:cstheme="minorHAnsi"/>
                <w:sz w:val="24"/>
                <w:szCs w:val="24"/>
              </w:rPr>
              <w:t>Presence of Ischemic bowl</w:t>
            </w:r>
          </w:p>
        </w:tc>
        <w:tc>
          <w:tcPr>
            <w:tcW w:w="547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93311" w:rsidRPr="00393311" w:rsidRDefault="00393311" w:rsidP="002F4AB7">
            <w:pPr>
              <w:pStyle w:val="ListParagraph"/>
              <w:ind w:left="768"/>
              <w:jc w:val="both"/>
              <w:rPr>
                <w:rFonts w:cstheme="minorHAnsi"/>
                <w:sz w:val="24"/>
                <w:szCs w:val="24"/>
              </w:rPr>
            </w:pPr>
            <w:r w:rsidRPr="00393311">
              <w:rPr>
                <w:rFonts w:cstheme="minorHAnsi"/>
                <w:b/>
                <w:sz w:val="24"/>
                <w:szCs w:val="24"/>
              </w:rPr>
              <w:t xml:space="preserve">1. </w:t>
            </w:r>
            <w:r w:rsidRPr="00393311">
              <w:rPr>
                <w:rFonts w:cstheme="minorHAnsi"/>
                <w:sz w:val="24"/>
                <w:szCs w:val="24"/>
              </w:rPr>
              <w:t xml:space="preserve">Yes                </w:t>
            </w:r>
            <w:r w:rsidRPr="00393311">
              <w:rPr>
                <w:rFonts w:cstheme="minorHAnsi"/>
                <w:b/>
                <w:sz w:val="24"/>
                <w:szCs w:val="24"/>
              </w:rPr>
              <w:t xml:space="preserve">2. </w:t>
            </w:r>
            <w:r w:rsidRPr="00393311">
              <w:rPr>
                <w:rFonts w:cstheme="minorHAnsi"/>
                <w:sz w:val="24"/>
                <w:szCs w:val="24"/>
              </w:rPr>
              <w:t>No</w:t>
            </w:r>
          </w:p>
        </w:tc>
      </w:tr>
      <w:tr w:rsidR="00393311" w:rsidRPr="00393311" w:rsidTr="001373A5">
        <w:trPr>
          <w:trHeight w:val="1"/>
        </w:trPr>
        <w:tc>
          <w:tcPr>
            <w:tcW w:w="397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93311" w:rsidRPr="00597CDD" w:rsidRDefault="00780B66" w:rsidP="002F4AB7">
            <w:pPr>
              <w:jc w:val="both"/>
              <w:rPr>
                <w:rFonts w:cstheme="minorHAnsi"/>
                <w:b/>
                <w:sz w:val="24"/>
                <w:szCs w:val="24"/>
              </w:rPr>
            </w:pPr>
            <w:r>
              <w:rPr>
                <w:rFonts w:cstheme="minorHAnsi"/>
                <w:b/>
                <w:sz w:val="24"/>
                <w:szCs w:val="24"/>
              </w:rPr>
              <w:t>15</w:t>
            </w:r>
            <w:r w:rsidR="00393311" w:rsidRPr="00597CDD">
              <w:rPr>
                <w:rFonts w:cstheme="minorHAnsi"/>
                <w:b/>
                <w:sz w:val="24"/>
                <w:szCs w:val="24"/>
              </w:rPr>
              <w:t xml:space="preserve">. </w:t>
            </w:r>
            <w:r w:rsidR="00393311" w:rsidRPr="00597CDD">
              <w:rPr>
                <w:rFonts w:cstheme="minorHAnsi"/>
                <w:sz w:val="24"/>
                <w:szCs w:val="24"/>
              </w:rPr>
              <w:t>Administration of inotropic / Vasopresive Agents</w:t>
            </w:r>
          </w:p>
        </w:tc>
        <w:tc>
          <w:tcPr>
            <w:tcW w:w="547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93311" w:rsidRPr="00393311" w:rsidRDefault="00393311" w:rsidP="002F4AB7">
            <w:pPr>
              <w:pStyle w:val="ListParagraph"/>
              <w:ind w:left="768"/>
              <w:jc w:val="both"/>
              <w:rPr>
                <w:rFonts w:cstheme="minorHAnsi"/>
                <w:b/>
                <w:sz w:val="24"/>
                <w:szCs w:val="24"/>
              </w:rPr>
            </w:pPr>
            <w:r w:rsidRPr="00393311">
              <w:rPr>
                <w:rFonts w:cstheme="minorHAnsi"/>
                <w:b/>
                <w:sz w:val="24"/>
                <w:szCs w:val="24"/>
              </w:rPr>
              <w:t xml:space="preserve">1. </w:t>
            </w:r>
            <w:r w:rsidRPr="00393311">
              <w:rPr>
                <w:rFonts w:cstheme="minorHAnsi"/>
                <w:sz w:val="24"/>
                <w:szCs w:val="24"/>
              </w:rPr>
              <w:t xml:space="preserve">Yes                </w:t>
            </w:r>
            <w:r w:rsidRPr="00393311">
              <w:rPr>
                <w:rFonts w:cstheme="minorHAnsi"/>
                <w:b/>
                <w:sz w:val="24"/>
                <w:szCs w:val="24"/>
              </w:rPr>
              <w:t xml:space="preserve">2. </w:t>
            </w:r>
            <w:r w:rsidRPr="00393311">
              <w:rPr>
                <w:rFonts w:cstheme="minorHAnsi"/>
                <w:sz w:val="24"/>
                <w:szCs w:val="24"/>
              </w:rPr>
              <w:t>No</w:t>
            </w:r>
          </w:p>
        </w:tc>
      </w:tr>
      <w:tr w:rsidR="00393311" w:rsidRPr="00393311" w:rsidTr="001373A5">
        <w:trPr>
          <w:trHeight w:val="1"/>
        </w:trPr>
        <w:tc>
          <w:tcPr>
            <w:tcW w:w="397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93311" w:rsidRPr="00597CDD" w:rsidRDefault="00780B66" w:rsidP="002F4AB7">
            <w:pPr>
              <w:jc w:val="both"/>
              <w:rPr>
                <w:rFonts w:cstheme="minorHAnsi"/>
                <w:sz w:val="24"/>
                <w:szCs w:val="24"/>
              </w:rPr>
            </w:pPr>
            <w:r>
              <w:rPr>
                <w:rFonts w:cstheme="minorHAnsi"/>
                <w:b/>
                <w:sz w:val="24"/>
                <w:szCs w:val="24"/>
              </w:rPr>
              <w:t>16</w:t>
            </w:r>
            <w:r w:rsidR="00393311" w:rsidRPr="00597CDD">
              <w:rPr>
                <w:rFonts w:cstheme="minorHAnsi"/>
                <w:b/>
                <w:sz w:val="24"/>
                <w:szCs w:val="24"/>
              </w:rPr>
              <w:t xml:space="preserve">. </w:t>
            </w:r>
            <w:r w:rsidR="00393311" w:rsidRPr="00597CDD">
              <w:rPr>
                <w:rFonts w:cstheme="minorHAnsi"/>
                <w:sz w:val="24"/>
                <w:szCs w:val="24"/>
              </w:rPr>
              <w:t>Extent of peritonitis</w:t>
            </w:r>
          </w:p>
        </w:tc>
        <w:tc>
          <w:tcPr>
            <w:tcW w:w="547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93311" w:rsidRPr="00393311" w:rsidRDefault="00393311" w:rsidP="002F4AB7">
            <w:pPr>
              <w:pStyle w:val="ListParagraph"/>
              <w:ind w:left="768"/>
              <w:jc w:val="both"/>
              <w:rPr>
                <w:rFonts w:cstheme="minorHAnsi"/>
                <w:sz w:val="24"/>
                <w:szCs w:val="24"/>
              </w:rPr>
            </w:pPr>
            <w:r w:rsidRPr="00393311">
              <w:rPr>
                <w:rFonts w:cstheme="minorHAnsi"/>
                <w:b/>
                <w:sz w:val="24"/>
                <w:szCs w:val="24"/>
              </w:rPr>
              <w:t xml:space="preserve">1. </w:t>
            </w:r>
            <w:r w:rsidRPr="00393311">
              <w:rPr>
                <w:rFonts w:cstheme="minorHAnsi"/>
                <w:sz w:val="24"/>
                <w:szCs w:val="24"/>
              </w:rPr>
              <w:t xml:space="preserve">Localized peritonitis               </w:t>
            </w:r>
          </w:p>
          <w:p w:rsidR="00393311" w:rsidRPr="00393311" w:rsidRDefault="00393311" w:rsidP="002F4AB7">
            <w:pPr>
              <w:pStyle w:val="ListParagraph"/>
              <w:ind w:left="768"/>
              <w:jc w:val="both"/>
              <w:rPr>
                <w:rFonts w:cstheme="minorHAnsi"/>
                <w:b/>
                <w:sz w:val="24"/>
                <w:szCs w:val="24"/>
              </w:rPr>
            </w:pPr>
            <w:r w:rsidRPr="00393311">
              <w:rPr>
                <w:rFonts w:cstheme="minorHAnsi"/>
                <w:b/>
                <w:sz w:val="24"/>
                <w:szCs w:val="24"/>
              </w:rPr>
              <w:t>2.</w:t>
            </w:r>
            <w:r w:rsidRPr="00393311">
              <w:rPr>
                <w:rFonts w:cstheme="minorHAnsi"/>
                <w:sz w:val="24"/>
                <w:szCs w:val="24"/>
              </w:rPr>
              <w:t>Generalized peritonitis</w:t>
            </w:r>
            <w:r w:rsidRPr="00393311">
              <w:rPr>
                <w:rFonts w:cstheme="minorHAnsi"/>
                <w:b/>
                <w:sz w:val="24"/>
                <w:szCs w:val="24"/>
              </w:rPr>
              <w:t xml:space="preserve"> </w:t>
            </w:r>
          </w:p>
        </w:tc>
      </w:tr>
      <w:tr w:rsidR="00393311" w:rsidRPr="00393311" w:rsidTr="001373A5">
        <w:trPr>
          <w:trHeight w:val="1"/>
        </w:trPr>
        <w:tc>
          <w:tcPr>
            <w:tcW w:w="397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93311" w:rsidRPr="00597CDD" w:rsidRDefault="00780B66" w:rsidP="002F4AB7">
            <w:pPr>
              <w:jc w:val="both"/>
              <w:rPr>
                <w:rFonts w:cstheme="minorHAnsi"/>
                <w:sz w:val="24"/>
                <w:szCs w:val="24"/>
              </w:rPr>
            </w:pPr>
            <w:r>
              <w:rPr>
                <w:rFonts w:cstheme="minorHAnsi"/>
                <w:b/>
                <w:sz w:val="24"/>
                <w:szCs w:val="24"/>
              </w:rPr>
              <w:t>17</w:t>
            </w:r>
            <w:r w:rsidR="00393311" w:rsidRPr="00597CDD">
              <w:rPr>
                <w:rFonts w:cstheme="minorHAnsi"/>
                <w:b/>
                <w:sz w:val="24"/>
                <w:szCs w:val="24"/>
              </w:rPr>
              <w:t xml:space="preserve">. </w:t>
            </w:r>
            <w:r w:rsidR="00393311" w:rsidRPr="00597CDD">
              <w:rPr>
                <w:rFonts w:cstheme="minorHAnsi"/>
                <w:sz w:val="24"/>
                <w:szCs w:val="24"/>
              </w:rPr>
              <w:t>Presence of Malignancy</w:t>
            </w:r>
            <w:r w:rsidR="00393311" w:rsidRPr="00597CDD">
              <w:rPr>
                <w:rFonts w:cstheme="minorHAnsi"/>
                <w:b/>
                <w:sz w:val="24"/>
                <w:szCs w:val="24"/>
              </w:rPr>
              <w:t xml:space="preserve"> </w:t>
            </w:r>
          </w:p>
        </w:tc>
        <w:tc>
          <w:tcPr>
            <w:tcW w:w="547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93311" w:rsidRPr="00393311" w:rsidRDefault="00393311" w:rsidP="002F4AB7">
            <w:pPr>
              <w:pStyle w:val="ListParagraph"/>
              <w:ind w:left="768"/>
              <w:jc w:val="both"/>
              <w:rPr>
                <w:rFonts w:cstheme="minorHAnsi"/>
                <w:b/>
                <w:sz w:val="24"/>
                <w:szCs w:val="24"/>
              </w:rPr>
            </w:pPr>
            <w:r w:rsidRPr="00393311">
              <w:rPr>
                <w:rFonts w:cstheme="minorHAnsi"/>
                <w:b/>
                <w:sz w:val="24"/>
                <w:szCs w:val="24"/>
              </w:rPr>
              <w:t xml:space="preserve">1. </w:t>
            </w:r>
            <w:r w:rsidRPr="00393311">
              <w:rPr>
                <w:rFonts w:cstheme="minorHAnsi"/>
                <w:sz w:val="24"/>
                <w:szCs w:val="24"/>
              </w:rPr>
              <w:t xml:space="preserve">Yes                </w:t>
            </w:r>
            <w:r w:rsidRPr="00393311">
              <w:rPr>
                <w:rFonts w:cstheme="minorHAnsi"/>
                <w:b/>
                <w:sz w:val="24"/>
                <w:szCs w:val="24"/>
              </w:rPr>
              <w:t xml:space="preserve">2. </w:t>
            </w:r>
            <w:r w:rsidRPr="00393311">
              <w:rPr>
                <w:rFonts w:cstheme="minorHAnsi"/>
                <w:sz w:val="24"/>
                <w:szCs w:val="24"/>
              </w:rPr>
              <w:t>No</w:t>
            </w:r>
          </w:p>
        </w:tc>
      </w:tr>
      <w:tr w:rsidR="00393311" w:rsidRPr="00393311" w:rsidTr="001373A5">
        <w:trPr>
          <w:trHeight w:val="1"/>
        </w:trPr>
        <w:tc>
          <w:tcPr>
            <w:tcW w:w="397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93311" w:rsidRPr="00597CDD" w:rsidRDefault="00780B66" w:rsidP="002F4AB7">
            <w:pPr>
              <w:jc w:val="both"/>
              <w:rPr>
                <w:rFonts w:cstheme="minorHAnsi"/>
                <w:sz w:val="24"/>
                <w:szCs w:val="24"/>
              </w:rPr>
            </w:pPr>
            <w:r>
              <w:rPr>
                <w:rFonts w:cstheme="minorHAnsi"/>
                <w:b/>
                <w:sz w:val="24"/>
                <w:szCs w:val="24"/>
              </w:rPr>
              <w:t>18</w:t>
            </w:r>
            <w:r w:rsidR="00393311" w:rsidRPr="00597CDD">
              <w:rPr>
                <w:rFonts w:cstheme="minorHAnsi"/>
                <w:b/>
                <w:sz w:val="24"/>
                <w:szCs w:val="24"/>
              </w:rPr>
              <w:t xml:space="preserve">. </w:t>
            </w:r>
            <w:r w:rsidR="00393311" w:rsidRPr="00597CDD">
              <w:rPr>
                <w:rFonts w:cstheme="minorHAnsi"/>
                <w:sz w:val="24"/>
                <w:szCs w:val="24"/>
              </w:rPr>
              <w:t>Source of contamination</w:t>
            </w:r>
          </w:p>
        </w:tc>
        <w:tc>
          <w:tcPr>
            <w:tcW w:w="547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93311" w:rsidRPr="00393311" w:rsidRDefault="00393311" w:rsidP="002F4AB7">
            <w:pPr>
              <w:pStyle w:val="ListParagraph"/>
              <w:ind w:left="768"/>
              <w:jc w:val="both"/>
              <w:rPr>
                <w:rFonts w:cstheme="minorHAnsi"/>
                <w:sz w:val="24"/>
                <w:szCs w:val="24"/>
              </w:rPr>
            </w:pPr>
            <w:r w:rsidRPr="00393311">
              <w:rPr>
                <w:rFonts w:cstheme="minorHAnsi"/>
                <w:b/>
                <w:sz w:val="24"/>
                <w:szCs w:val="24"/>
              </w:rPr>
              <w:t>1.</w:t>
            </w:r>
            <w:r w:rsidRPr="00393311">
              <w:rPr>
                <w:rFonts w:cstheme="minorHAnsi"/>
                <w:sz w:val="24"/>
                <w:szCs w:val="24"/>
              </w:rPr>
              <w:t>Stomach and duodenum</w:t>
            </w:r>
          </w:p>
          <w:p w:rsidR="00393311" w:rsidRDefault="00393311" w:rsidP="002F4AB7">
            <w:pPr>
              <w:pStyle w:val="ListParagraph"/>
              <w:ind w:left="768"/>
              <w:jc w:val="both"/>
              <w:rPr>
                <w:rFonts w:cstheme="minorHAnsi"/>
                <w:sz w:val="24"/>
                <w:szCs w:val="24"/>
              </w:rPr>
            </w:pPr>
            <w:r w:rsidRPr="00393311">
              <w:rPr>
                <w:rFonts w:cstheme="minorHAnsi"/>
                <w:b/>
                <w:sz w:val="24"/>
                <w:szCs w:val="24"/>
              </w:rPr>
              <w:t>2.</w:t>
            </w:r>
            <w:r w:rsidRPr="00393311">
              <w:rPr>
                <w:rFonts w:cstheme="minorHAnsi"/>
                <w:sz w:val="24"/>
                <w:szCs w:val="24"/>
              </w:rPr>
              <w:t xml:space="preserve"> Jejunum and ileum</w:t>
            </w:r>
          </w:p>
          <w:p w:rsidR="00F457B9" w:rsidRPr="00393311" w:rsidRDefault="00F457B9" w:rsidP="002F4AB7">
            <w:pPr>
              <w:pStyle w:val="ListParagraph"/>
              <w:ind w:left="768"/>
              <w:jc w:val="both"/>
              <w:rPr>
                <w:rFonts w:cstheme="minorHAnsi"/>
                <w:sz w:val="24"/>
                <w:szCs w:val="24"/>
              </w:rPr>
            </w:pPr>
            <w:r>
              <w:rPr>
                <w:rFonts w:cstheme="minorHAnsi"/>
                <w:b/>
                <w:sz w:val="24"/>
                <w:szCs w:val="24"/>
              </w:rPr>
              <w:t>3.</w:t>
            </w:r>
            <w:r>
              <w:rPr>
                <w:rFonts w:cstheme="minorHAnsi"/>
                <w:sz w:val="24"/>
                <w:szCs w:val="24"/>
              </w:rPr>
              <w:t xml:space="preserve"> Appendix</w:t>
            </w:r>
          </w:p>
          <w:p w:rsidR="00393311" w:rsidRPr="00393311" w:rsidRDefault="00F457B9" w:rsidP="002F4AB7">
            <w:pPr>
              <w:pStyle w:val="ListParagraph"/>
              <w:ind w:left="768"/>
              <w:jc w:val="both"/>
              <w:rPr>
                <w:rFonts w:cstheme="minorHAnsi"/>
                <w:sz w:val="24"/>
                <w:szCs w:val="24"/>
              </w:rPr>
            </w:pPr>
            <w:r>
              <w:rPr>
                <w:rFonts w:cstheme="minorHAnsi"/>
                <w:b/>
                <w:sz w:val="24"/>
                <w:szCs w:val="24"/>
              </w:rPr>
              <w:t>4</w:t>
            </w:r>
            <w:r w:rsidR="00393311" w:rsidRPr="00393311">
              <w:rPr>
                <w:rFonts w:cstheme="minorHAnsi"/>
                <w:b/>
                <w:sz w:val="24"/>
                <w:szCs w:val="24"/>
              </w:rPr>
              <w:t xml:space="preserve">. </w:t>
            </w:r>
            <w:r w:rsidR="00393311" w:rsidRPr="00393311">
              <w:rPr>
                <w:rFonts w:cstheme="minorHAnsi"/>
                <w:sz w:val="24"/>
                <w:szCs w:val="24"/>
              </w:rPr>
              <w:t>Colon</w:t>
            </w:r>
          </w:p>
          <w:p w:rsidR="00393311" w:rsidRPr="00393311" w:rsidRDefault="00F457B9" w:rsidP="002F4AB7">
            <w:pPr>
              <w:pStyle w:val="ListParagraph"/>
              <w:ind w:left="768"/>
              <w:jc w:val="both"/>
              <w:rPr>
                <w:rFonts w:cstheme="minorHAnsi"/>
                <w:sz w:val="24"/>
                <w:szCs w:val="24"/>
              </w:rPr>
            </w:pPr>
            <w:r>
              <w:rPr>
                <w:rFonts w:cstheme="minorHAnsi"/>
                <w:b/>
                <w:sz w:val="24"/>
                <w:szCs w:val="24"/>
              </w:rPr>
              <w:t>5</w:t>
            </w:r>
            <w:r w:rsidR="00393311" w:rsidRPr="00393311">
              <w:rPr>
                <w:rFonts w:cstheme="minorHAnsi"/>
                <w:b/>
                <w:sz w:val="24"/>
                <w:szCs w:val="24"/>
              </w:rPr>
              <w:t xml:space="preserve">. </w:t>
            </w:r>
            <w:r w:rsidR="00393311" w:rsidRPr="00393311">
              <w:rPr>
                <w:rFonts w:cstheme="minorHAnsi"/>
                <w:sz w:val="24"/>
                <w:szCs w:val="24"/>
              </w:rPr>
              <w:t>Tubo-ovarian</w:t>
            </w:r>
          </w:p>
          <w:p w:rsidR="00393311" w:rsidRPr="00393311" w:rsidRDefault="00F457B9" w:rsidP="002F4AB7">
            <w:pPr>
              <w:pStyle w:val="ListParagraph"/>
              <w:ind w:left="768"/>
              <w:jc w:val="both"/>
              <w:rPr>
                <w:rFonts w:cstheme="minorHAnsi"/>
                <w:sz w:val="24"/>
                <w:szCs w:val="24"/>
              </w:rPr>
            </w:pPr>
            <w:r>
              <w:rPr>
                <w:rFonts w:cstheme="minorHAnsi"/>
                <w:b/>
                <w:sz w:val="24"/>
                <w:szCs w:val="24"/>
              </w:rPr>
              <w:t>6</w:t>
            </w:r>
            <w:r w:rsidR="00393311" w:rsidRPr="00393311">
              <w:rPr>
                <w:rFonts w:cstheme="minorHAnsi"/>
                <w:b/>
                <w:sz w:val="24"/>
                <w:szCs w:val="24"/>
              </w:rPr>
              <w:t xml:space="preserve">. </w:t>
            </w:r>
            <w:r w:rsidR="00393311" w:rsidRPr="00393311">
              <w:rPr>
                <w:rFonts w:cstheme="minorHAnsi"/>
                <w:sz w:val="24"/>
                <w:szCs w:val="24"/>
              </w:rPr>
              <w:t>Others</w:t>
            </w:r>
          </w:p>
        </w:tc>
      </w:tr>
      <w:tr w:rsidR="00393311" w:rsidRPr="00393311" w:rsidTr="001373A5">
        <w:trPr>
          <w:trHeight w:val="1"/>
        </w:trPr>
        <w:tc>
          <w:tcPr>
            <w:tcW w:w="397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93311" w:rsidRPr="00597CDD" w:rsidRDefault="00780B66" w:rsidP="002F4AB7">
            <w:pPr>
              <w:jc w:val="both"/>
              <w:rPr>
                <w:rFonts w:cstheme="minorHAnsi"/>
                <w:sz w:val="24"/>
                <w:szCs w:val="24"/>
              </w:rPr>
            </w:pPr>
            <w:r>
              <w:rPr>
                <w:rFonts w:cstheme="minorHAnsi"/>
                <w:b/>
                <w:sz w:val="24"/>
                <w:szCs w:val="24"/>
              </w:rPr>
              <w:t>19</w:t>
            </w:r>
            <w:r w:rsidR="00393311" w:rsidRPr="00597CDD">
              <w:rPr>
                <w:rFonts w:cstheme="minorHAnsi"/>
                <w:b/>
                <w:sz w:val="24"/>
                <w:szCs w:val="24"/>
              </w:rPr>
              <w:t>.</w:t>
            </w:r>
            <w:r w:rsidR="00393311" w:rsidRPr="00597CDD">
              <w:rPr>
                <w:rFonts w:cstheme="minorHAnsi"/>
                <w:sz w:val="24"/>
                <w:szCs w:val="24"/>
              </w:rPr>
              <w:t xml:space="preserve"> Type of peritoneal Fluid</w:t>
            </w:r>
          </w:p>
          <w:p w:rsidR="00393311" w:rsidRPr="00393311" w:rsidRDefault="00393311" w:rsidP="002F4AB7">
            <w:pPr>
              <w:pStyle w:val="ListParagraph"/>
              <w:ind w:left="768"/>
              <w:jc w:val="both"/>
              <w:rPr>
                <w:rFonts w:cstheme="minorHAnsi"/>
                <w:sz w:val="24"/>
                <w:szCs w:val="24"/>
              </w:rPr>
            </w:pPr>
            <w:r w:rsidRPr="00393311">
              <w:rPr>
                <w:rFonts w:cstheme="minorHAnsi"/>
                <w:sz w:val="24"/>
                <w:szCs w:val="24"/>
              </w:rPr>
              <w:tab/>
            </w:r>
          </w:p>
        </w:tc>
        <w:tc>
          <w:tcPr>
            <w:tcW w:w="547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93311" w:rsidRPr="00393311" w:rsidRDefault="00393311" w:rsidP="002F4AB7">
            <w:pPr>
              <w:pStyle w:val="ListParagraph"/>
              <w:ind w:left="768"/>
              <w:jc w:val="both"/>
              <w:rPr>
                <w:rFonts w:cstheme="minorHAnsi"/>
                <w:sz w:val="24"/>
                <w:szCs w:val="24"/>
              </w:rPr>
            </w:pPr>
            <w:r w:rsidRPr="00393311">
              <w:rPr>
                <w:rFonts w:cstheme="minorHAnsi"/>
                <w:b/>
                <w:sz w:val="24"/>
                <w:szCs w:val="24"/>
              </w:rPr>
              <w:t xml:space="preserve">1. </w:t>
            </w:r>
            <w:r w:rsidRPr="00393311">
              <w:rPr>
                <w:rFonts w:cstheme="minorHAnsi"/>
                <w:sz w:val="24"/>
                <w:szCs w:val="24"/>
              </w:rPr>
              <w:t>Turbid</w:t>
            </w:r>
          </w:p>
          <w:p w:rsidR="00393311" w:rsidRPr="00393311" w:rsidRDefault="00393311" w:rsidP="002F4AB7">
            <w:pPr>
              <w:pStyle w:val="ListParagraph"/>
              <w:ind w:left="768"/>
              <w:jc w:val="both"/>
              <w:rPr>
                <w:rFonts w:cstheme="minorHAnsi"/>
                <w:sz w:val="24"/>
                <w:szCs w:val="24"/>
              </w:rPr>
            </w:pPr>
            <w:r w:rsidRPr="00393311">
              <w:rPr>
                <w:rFonts w:cstheme="minorHAnsi"/>
                <w:b/>
                <w:sz w:val="24"/>
                <w:szCs w:val="24"/>
              </w:rPr>
              <w:t xml:space="preserve">2. </w:t>
            </w:r>
            <w:r w:rsidRPr="00393311">
              <w:rPr>
                <w:rFonts w:cstheme="minorHAnsi"/>
                <w:sz w:val="24"/>
                <w:szCs w:val="24"/>
              </w:rPr>
              <w:t>Pus</w:t>
            </w:r>
          </w:p>
          <w:p w:rsidR="00393311" w:rsidRPr="00393311" w:rsidRDefault="00393311" w:rsidP="002F4AB7">
            <w:pPr>
              <w:pStyle w:val="ListParagraph"/>
              <w:ind w:left="768"/>
              <w:jc w:val="both"/>
              <w:rPr>
                <w:rFonts w:cstheme="minorHAnsi"/>
                <w:sz w:val="24"/>
                <w:szCs w:val="24"/>
              </w:rPr>
            </w:pPr>
            <w:r w:rsidRPr="00393311">
              <w:rPr>
                <w:rFonts w:cstheme="minorHAnsi"/>
                <w:b/>
                <w:sz w:val="24"/>
                <w:szCs w:val="24"/>
              </w:rPr>
              <w:t xml:space="preserve">3. </w:t>
            </w:r>
            <w:r w:rsidRPr="00393311">
              <w:rPr>
                <w:rFonts w:cstheme="minorHAnsi"/>
                <w:sz w:val="24"/>
                <w:szCs w:val="24"/>
              </w:rPr>
              <w:t>GI content</w:t>
            </w:r>
          </w:p>
        </w:tc>
      </w:tr>
      <w:tr w:rsidR="00393311" w:rsidRPr="00393311" w:rsidTr="001373A5">
        <w:trPr>
          <w:trHeight w:val="1"/>
        </w:trPr>
        <w:tc>
          <w:tcPr>
            <w:tcW w:w="397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93311" w:rsidRPr="00597CDD" w:rsidRDefault="00780B66" w:rsidP="002F4AB7">
            <w:pPr>
              <w:jc w:val="both"/>
              <w:rPr>
                <w:rFonts w:cstheme="minorHAnsi"/>
                <w:sz w:val="24"/>
                <w:szCs w:val="24"/>
              </w:rPr>
            </w:pPr>
            <w:r>
              <w:rPr>
                <w:rFonts w:cstheme="minorHAnsi"/>
                <w:b/>
                <w:sz w:val="24"/>
                <w:szCs w:val="24"/>
              </w:rPr>
              <w:t>20</w:t>
            </w:r>
            <w:r w:rsidR="00393311" w:rsidRPr="00597CDD">
              <w:rPr>
                <w:rFonts w:cstheme="minorHAnsi"/>
                <w:b/>
                <w:sz w:val="24"/>
                <w:szCs w:val="24"/>
              </w:rPr>
              <w:t xml:space="preserve">. </w:t>
            </w:r>
            <w:r w:rsidR="00393311" w:rsidRPr="00597CDD">
              <w:rPr>
                <w:rFonts w:cstheme="minorHAnsi"/>
                <w:sz w:val="24"/>
                <w:szCs w:val="24"/>
              </w:rPr>
              <w:t>Amount of peritoneal fluid</w:t>
            </w:r>
          </w:p>
        </w:tc>
        <w:tc>
          <w:tcPr>
            <w:tcW w:w="547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93311" w:rsidRPr="00393311" w:rsidRDefault="00393311" w:rsidP="002F4AB7">
            <w:pPr>
              <w:pStyle w:val="ListParagraph"/>
              <w:ind w:left="768"/>
              <w:jc w:val="both"/>
              <w:rPr>
                <w:rFonts w:cstheme="minorHAnsi"/>
                <w:sz w:val="24"/>
                <w:szCs w:val="24"/>
              </w:rPr>
            </w:pPr>
            <w:r w:rsidRPr="00393311">
              <w:rPr>
                <w:rFonts w:cstheme="minorHAnsi"/>
                <w:b/>
                <w:sz w:val="24"/>
                <w:szCs w:val="24"/>
              </w:rPr>
              <w:t xml:space="preserve">  ________ </w:t>
            </w:r>
            <w:r w:rsidR="00F457B9">
              <w:rPr>
                <w:rFonts w:cstheme="minorHAnsi"/>
                <w:sz w:val="24"/>
                <w:szCs w:val="24"/>
              </w:rPr>
              <w:t>L.</w:t>
            </w:r>
          </w:p>
        </w:tc>
      </w:tr>
      <w:tr w:rsidR="00393311" w:rsidRPr="00393311" w:rsidTr="001373A5">
        <w:trPr>
          <w:trHeight w:val="1"/>
        </w:trPr>
        <w:tc>
          <w:tcPr>
            <w:tcW w:w="397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93311" w:rsidRPr="00597CDD" w:rsidRDefault="00780B66" w:rsidP="002F4AB7">
            <w:pPr>
              <w:jc w:val="both"/>
              <w:rPr>
                <w:rFonts w:cstheme="minorHAnsi"/>
                <w:b/>
                <w:sz w:val="24"/>
                <w:szCs w:val="24"/>
              </w:rPr>
            </w:pPr>
            <w:r>
              <w:rPr>
                <w:rFonts w:cstheme="minorHAnsi"/>
                <w:b/>
                <w:sz w:val="24"/>
                <w:szCs w:val="24"/>
              </w:rPr>
              <w:t>21</w:t>
            </w:r>
            <w:r w:rsidR="00393311" w:rsidRPr="00597CDD">
              <w:rPr>
                <w:rFonts w:cstheme="minorHAnsi"/>
                <w:b/>
                <w:sz w:val="24"/>
                <w:szCs w:val="24"/>
              </w:rPr>
              <w:t xml:space="preserve">. </w:t>
            </w:r>
            <w:r w:rsidR="00393311" w:rsidRPr="00597CDD">
              <w:rPr>
                <w:rFonts w:cstheme="minorHAnsi"/>
                <w:sz w:val="24"/>
                <w:szCs w:val="24"/>
              </w:rPr>
              <w:t>Surgical access</w:t>
            </w:r>
          </w:p>
        </w:tc>
        <w:tc>
          <w:tcPr>
            <w:tcW w:w="547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93311" w:rsidRPr="00393311" w:rsidRDefault="00393311" w:rsidP="002F4AB7">
            <w:pPr>
              <w:pStyle w:val="ListParagraph"/>
              <w:ind w:left="768"/>
              <w:jc w:val="both"/>
              <w:rPr>
                <w:rFonts w:cstheme="minorHAnsi"/>
                <w:b/>
                <w:sz w:val="24"/>
                <w:szCs w:val="24"/>
              </w:rPr>
            </w:pPr>
            <w:r w:rsidRPr="00393311">
              <w:rPr>
                <w:rFonts w:cstheme="minorHAnsi"/>
                <w:b/>
                <w:sz w:val="24"/>
                <w:szCs w:val="24"/>
              </w:rPr>
              <w:t>1.</w:t>
            </w:r>
            <w:r w:rsidRPr="00393311">
              <w:rPr>
                <w:rFonts w:cstheme="minorHAnsi"/>
                <w:sz w:val="24"/>
                <w:szCs w:val="24"/>
              </w:rPr>
              <w:t>limited incision</w:t>
            </w:r>
            <w:r w:rsidRPr="00393311">
              <w:rPr>
                <w:rFonts w:cstheme="minorHAnsi"/>
                <w:b/>
                <w:sz w:val="24"/>
                <w:szCs w:val="24"/>
              </w:rPr>
              <w:t xml:space="preserve">    </w:t>
            </w:r>
          </w:p>
          <w:p w:rsidR="00393311" w:rsidRPr="00393311" w:rsidRDefault="00393311" w:rsidP="002F4AB7">
            <w:pPr>
              <w:pStyle w:val="ListParagraph"/>
              <w:ind w:left="768"/>
              <w:jc w:val="both"/>
              <w:rPr>
                <w:rFonts w:cstheme="minorHAnsi"/>
                <w:sz w:val="24"/>
                <w:szCs w:val="24"/>
              </w:rPr>
            </w:pPr>
            <w:r w:rsidRPr="00393311">
              <w:rPr>
                <w:rFonts w:cstheme="minorHAnsi"/>
                <w:b/>
                <w:sz w:val="24"/>
                <w:szCs w:val="24"/>
              </w:rPr>
              <w:t xml:space="preserve">2. </w:t>
            </w:r>
            <w:r w:rsidRPr="00393311">
              <w:rPr>
                <w:rFonts w:cstheme="minorHAnsi"/>
                <w:sz w:val="24"/>
                <w:szCs w:val="24"/>
              </w:rPr>
              <w:t>Laparatomy</w:t>
            </w:r>
          </w:p>
        </w:tc>
      </w:tr>
      <w:tr w:rsidR="00393311" w:rsidRPr="00393311" w:rsidTr="001373A5">
        <w:trPr>
          <w:trHeight w:val="1"/>
        </w:trPr>
        <w:tc>
          <w:tcPr>
            <w:tcW w:w="397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93311" w:rsidRPr="00597CDD" w:rsidRDefault="00780B66" w:rsidP="002F4AB7">
            <w:pPr>
              <w:jc w:val="both"/>
              <w:rPr>
                <w:rFonts w:cstheme="minorHAnsi"/>
                <w:sz w:val="24"/>
                <w:szCs w:val="24"/>
              </w:rPr>
            </w:pPr>
            <w:r>
              <w:rPr>
                <w:rFonts w:cstheme="minorHAnsi"/>
                <w:b/>
                <w:sz w:val="24"/>
                <w:szCs w:val="24"/>
              </w:rPr>
              <w:t>22</w:t>
            </w:r>
            <w:r w:rsidR="00393311" w:rsidRPr="00597CDD">
              <w:rPr>
                <w:rFonts w:cstheme="minorHAnsi"/>
                <w:b/>
                <w:sz w:val="24"/>
                <w:szCs w:val="24"/>
              </w:rPr>
              <w:t>.</w:t>
            </w:r>
            <w:r w:rsidR="00393311" w:rsidRPr="00597CDD">
              <w:rPr>
                <w:rFonts w:cstheme="minorHAnsi"/>
                <w:sz w:val="24"/>
                <w:szCs w:val="24"/>
              </w:rPr>
              <w:t>Duration of Surgery</w:t>
            </w:r>
          </w:p>
        </w:tc>
        <w:tc>
          <w:tcPr>
            <w:tcW w:w="547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93311" w:rsidRPr="00393311" w:rsidRDefault="00393311" w:rsidP="002F4AB7">
            <w:pPr>
              <w:pStyle w:val="ListParagraph"/>
              <w:ind w:left="768"/>
              <w:jc w:val="both"/>
              <w:rPr>
                <w:rFonts w:cstheme="minorHAnsi"/>
                <w:sz w:val="24"/>
                <w:szCs w:val="24"/>
              </w:rPr>
            </w:pPr>
            <w:r w:rsidRPr="00393311">
              <w:rPr>
                <w:rFonts w:cstheme="minorHAnsi"/>
                <w:b/>
                <w:sz w:val="24"/>
                <w:szCs w:val="24"/>
              </w:rPr>
              <w:t xml:space="preserve">  ________ </w:t>
            </w:r>
            <w:r w:rsidR="00F457B9">
              <w:rPr>
                <w:rFonts w:cstheme="minorHAnsi"/>
                <w:sz w:val="24"/>
                <w:szCs w:val="24"/>
              </w:rPr>
              <w:t>Hrs</w:t>
            </w:r>
          </w:p>
        </w:tc>
      </w:tr>
      <w:tr w:rsidR="00997BED" w:rsidRPr="00393311" w:rsidTr="001373A5">
        <w:trPr>
          <w:trHeight w:val="1"/>
        </w:trPr>
        <w:tc>
          <w:tcPr>
            <w:tcW w:w="397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997BED" w:rsidRPr="00597CDD" w:rsidRDefault="00780B66" w:rsidP="002F4AB7">
            <w:pPr>
              <w:jc w:val="both"/>
              <w:rPr>
                <w:rFonts w:cstheme="minorHAnsi"/>
                <w:b/>
                <w:sz w:val="24"/>
                <w:szCs w:val="24"/>
              </w:rPr>
            </w:pPr>
            <w:r>
              <w:rPr>
                <w:rFonts w:cstheme="minorHAnsi"/>
                <w:b/>
                <w:sz w:val="24"/>
                <w:szCs w:val="24"/>
              </w:rPr>
              <w:t>23</w:t>
            </w:r>
            <w:r w:rsidR="00997BED" w:rsidRPr="00597CDD">
              <w:rPr>
                <w:rFonts w:cstheme="minorHAnsi"/>
                <w:b/>
                <w:sz w:val="24"/>
                <w:szCs w:val="24"/>
              </w:rPr>
              <w:t xml:space="preserve">. </w:t>
            </w:r>
            <w:r w:rsidR="00997BED" w:rsidRPr="00597CDD">
              <w:rPr>
                <w:rFonts w:cstheme="minorHAnsi"/>
                <w:sz w:val="24"/>
                <w:szCs w:val="24"/>
              </w:rPr>
              <w:t>Level of the surgeon who perform the procedure</w:t>
            </w:r>
          </w:p>
        </w:tc>
        <w:tc>
          <w:tcPr>
            <w:tcW w:w="547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997BED" w:rsidRPr="00393311" w:rsidRDefault="00997BED" w:rsidP="002F4AB7">
            <w:pPr>
              <w:pStyle w:val="ListParagraph"/>
              <w:ind w:left="768"/>
              <w:jc w:val="both"/>
              <w:rPr>
                <w:rFonts w:cstheme="minorHAnsi"/>
                <w:sz w:val="24"/>
                <w:szCs w:val="24"/>
              </w:rPr>
            </w:pPr>
            <w:r w:rsidRPr="00393311">
              <w:rPr>
                <w:rFonts w:cstheme="minorHAnsi"/>
                <w:b/>
                <w:sz w:val="24"/>
                <w:szCs w:val="24"/>
              </w:rPr>
              <w:t>1.</w:t>
            </w:r>
            <w:r w:rsidRPr="00393311">
              <w:rPr>
                <w:rFonts w:cstheme="minorHAnsi"/>
                <w:sz w:val="24"/>
                <w:szCs w:val="24"/>
              </w:rPr>
              <w:t>Consultant</w:t>
            </w:r>
          </w:p>
          <w:p w:rsidR="00997BED" w:rsidRPr="00597CDD" w:rsidRDefault="00997BED" w:rsidP="002F4AB7">
            <w:pPr>
              <w:pStyle w:val="ListParagraph"/>
              <w:ind w:left="768"/>
              <w:jc w:val="both"/>
              <w:rPr>
                <w:rFonts w:cstheme="minorHAnsi"/>
                <w:b/>
                <w:sz w:val="24"/>
                <w:szCs w:val="24"/>
              </w:rPr>
            </w:pPr>
            <w:r w:rsidRPr="00393311">
              <w:rPr>
                <w:rFonts w:cstheme="minorHAnsi"/>
                <w:b/>
                <w:sz w:val="24"/>
                <w:szCs w:val="24"/>
              </w:rPr>
              <w:t xml:space="preserve">2. </w:t>
            </w:r>
            <w:r w:rsidRPr="00393311">
              <w:rPr>
                <w:rFonts w:cstheme="minorHAnsi"/>
                <w:sz w:val="24"/>
                <w:szCs w:val="24"/>
              </w:rPr>
              <w:t>resident</w:t>
            </w:r>
          </w:p>
        </w:tc>
      </w:tr>
      <w:tr w:rsidR="00597CDD" w:rsidRPr="00393311" w:rsidTr="001373A5">
        <w:trPr>
          <w:trHeight w:val="1"/>
        </w:trPr>
        <w:tc>
          <w:tcPr>
            <w:tcW w:w="397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97CDD" w:rsidRPr="00597CDD" w:rsidRDefault="00780B66" w:rsidP="002F4AB7">
            <w:pPr>
              <w:jc w:val="both"/>
              <w:rPr>
                <w:rFonts w:cstheme="minorHAnsi"/>
                <w:sz w:val="24"/>
                <w:szCs w:val="24"/>
              </w:rPr>
            </w:pPr>
            <w:r>
              <w:rPr>
                <w:rFonts w:cstheme="minorHAnsi"/>
                <w:b/>
                <w:sz w:val="24"/>
                <w:szCs w:val="24"/>
              </w:rPr>
              <w:t>24</w:t>
            </w:r>
            <w:r w:rsidR="00597CDD" w:rsidRPr="00597CDD">
              <w:rPr>
                <w:rFonts w:cstheme="minorHAnsi"/>
                <w:b/>
                <w:sz w:val="24"/>
                <w:szCs w:val="24"/>
              </w:rPr>
              <w:t xml:space="preserve">. </w:t>
            </w:r>
            <w:r w:rsidR="00597CDD" w:rsidRPr="00597CDD">
              <w:rPr>
                <w:rFonts w:cstheme="minorHAnsi"/>
                <w:sz w:val="24"/>
                <w:szCs w:val="24"/>
              </w:rPr>
              <w:t>Previous abdominal surgery</w:t>
            </w:r>
          </w:p>
        </w:tc>
        <w:tc>
          <w:tcPr>
            <w:tcW w:w="547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97CDD" w:rsidRPr="00393311" w:rsidRDefault="00597CDD" w:rsidP="002F4AB7">
            <w:pPr>
              <w:pStyle w:val="ListParagraph"/>
              <w:ind w:left="768"/>
              <w:jc w:val="both"/>
              <w:rPr>
                <w:rFonts w:cstheme="minorHAnsi"/>
                <w:b/>
                <w:sz w:val="24"/>
                <w:szCs w:val="24"/>
              </w:rPr>
            </w:pPr>
            <w:r w:rsidRPr="00393311">
              <w:rPr>
                <w:rFonts w:cstheme="minorHAnsi"/>
                <w:b/>
                <w:sz w:val="24"/>
                <w:szCs w:val="24"/>
              </w:rPr>
              <w:t xml:space="preserve">1. </w:t>
            </w:r>
            <w:r w:rsidRPr="00393311">
              <w:rPr>
                <w:rFonts w:cstheme="minorHAnsi"/>
                <w:sz w:val="24"/>
                <w:szCs w:val="24"/>
              </w:rPr>
              <w:t xml:space="preserve">Yes                </w:t>
            </w:r>
            <w:r w:rsidRPr="00393311">
              <w:rPr>
                <w:rFonts w:cstheme="minorHAnsi"/>
                <w:b/>
                <w:sz w:val="24"/>
                <w:szCs w:val="24"/>
              </w:rPr>
              <w:t xml:space="preserve">2. </w:t>
            </w:r>
            <w:r w:rsidRPr="00393311">
              <w:rPr>
                <w:rFonts w:cstheme="minorHAnsi"/>
                <w:sz w:val="24"/>
                <w:szCs w:val="24"/>
              </w:rPr>
              <w:t>No</w:t>
            </w:r>
          </w:p>
        </w:tc>
      </w:tr>
      <w:tr w:rsidR="00997BED" w:rsidRPr="00393311" w:rsidTr="001373A5">
        <w:trPr>
          <w:trHeight w:val="1"/>
        </w:trPr>
        <w:tc>
          <w:tcPr>
            <w:tcW w:w="397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997BED" w:rsidRPr="00597CDD" w:rsidRDefault="00780B66" w:rsidP="002F4AB7">
            <w:pPr>
              <w:jc w:val="both"/>
              <w:rPr>
                <w:rFonts w:cstheme="minorHAnsi"/>
                <w:sz w:val="24"/>
                <w:szCs w:val="24"/>
              </w:rPr>
            </w:pPr>
            <w:r>
              <w:rPr>
                <w:rFonts w:cstheme="minorHAnsi"/>
                <w:b/>
                <w:sz w:val="24"/>
                <w:szCs w:val="24"/>
              </w:rPr>
              <w:t>25</w:t>
            </w:r>
            <w:r w:rsidR="00997BED" w:rsidRPr="00597CDD">
              <w:rPr>
                <w:rFonts w:cstheme="minorHAnsi"/>
                <w:b/>
                <w:sz w:val="24"/>
                <w:szCs w:val="24"/>
              </w:rPr>
              <w:t xml:space="preserve">. </w:t>
            </w:r>
            <w:r w:rsidR="00997BED" w:rsidRPr="00597CDD">
              <w:rPr>
                <w:rFonts w:cstheme="minorHAnsi"/>
                <w:sz w:val="24"/>
                <w:szCs w:val="24"/>
              </w:rPr>
              <w:t>No of relaparotomies</w:t>
            </w:r>
          </w:p>
        </w:tc>
        <w:tc>
          <w:tcPr>
            <w:tcW w:w="547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997BED" w:rsidRPr="00393311" w:rsidRDefault="00997BED" w:rsidP="002F4AB7">
            <w:pPr>
              <w:pStyle w:val="ListParagraph"/>
              <w:ind w:left="768"/>
              <w:jc w:val="both"/>
              <w:rPr>
                <w:rFonts w:cstheme="minorHAnsi"/>
                <w:b/>
                <w:sz w:val="24"/>
                <w:szCs w:val="24"/>
              </w:rPr>
            </w:pPr>
            <w:r w:rsidRPr="00393311">
              <w:rPr>
                <w:rFonts w:cstheme="minorHAnsi"/>
                <w:b/>
                <w:sz w:val="24"/>
                <w:szCs w:val="24"/>
              </w:rPr>
              <w:t>________</w:t>
            </w:r>
          </w:p>
        </w:tc>
      </w:tr>
      <w:tr w:rsidR="00997BED" w:rsidRPr="00393311" w:rsidTr="001373A5">
        <w:trPr>
          <w:trHeight w:val="1"/>
        </w:trPr>
        <w:tc>
          <w:tcPr>
            <w:tcW w:w="397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997BED" w:rsidRPr="00597CDD" w:rsidRDefault="00780B66" w:rsidP="002F4AB7">
            <w:pPr>
              <w:jc w:val="both"/>
              <w:rPr>
                <w:rFonts w:cstheme="minorHAnsi"/>
                <w:sz w:val="24"/>
                <w:szCs w:val="24"/>
              </w:rPr>
            </w:pPr>
            <w:r>
              <w:rPr>
                <w:rFonts w:cstheme="minorHAnsi"/>
                <w:b/>
                <w:sz w:val="24"/>
                <w:szCs w:val="24"/>
              </w:rPr>
              <w:t>26</w:t>
            </w:r>
            <w:r w:rsidR="00997BED" w:rsidRPr="00597CDD">
              <w:rPr>
                <w:rFonts w:cstheme="minorHAnsi"/>
                <w:b/>
                <w:sz w:val="24"/>
                <w:szCs w:val="24"/>
              </w:rPr>
              <w:t xml:space="preserve">. </w:t>
            </w:r>
            <w:r w:rsidR="00997BED" w:rsidRPr="00597CDD">
              <w:rPr>
                <w:rFonts w:cstheme="minorHAnsi"/>
                <w:sz w:val="24"/>
                <w:szCs w:val="24"/>
              </w:rPr>
              <w:t>Outcome of the patient</w:t>
            </w:r>
          </w:p>
        </w:tc>
        <w:tc>
          <w:tcPr>
            <w:tcW w:w="547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997BED" w:rsidRPr="00597CDD" w:rsidRDefault="00997BED" w:rsidP="002F4AB7">
            <w:pPr>
              <w:pStyle w:val="ListParagraph"/>
              <w:ind w:left="768"/>
              <w:jc w:val="both"/>
              <w:rPr>
                <w:rFonts w:cstheme="minorHAnsi"/>
                <w:b/>
                <w:sz w:val="24"/>
                <w:szCs w:val="24"/>
              </w:rPr>
            </w:pPr>
            <w:r>
              <w:rPr>
                <w:rFonts w:cstheme="minorHAnsi"/>
                <w:b/>
                <w:sz w:val="24"/>
                <w:szCs w:val="24"/>
              </w:rPr>
              <w:t xml:space="preserve">1. </w:t>
            </w:r>
            <w:r w:rsidRPr="00997BED">
              <w:rPr>
                <w:rFonts w:cstheme="minorHAnsi"/>
                <w:sz w:val="24"/>
                <w:szCs w:val="24"/>
              </w:rPr>
              <w:t>Dead</w:t>
            </w:r>
            <w:r w:rsidR="00597CDD">
              <w:rPr>
                <w:rFonts w:cstheme="minorHAnsi"/>
                <w:sz w:val="24"/>
                <w:szCs w:val="24"/>
              </w:rPr>
              <w:t xml:space="preserve">     </w:t>
            </w:r>
            <w:r w:rsidRPr="00597CDD">
              <w:rPr>
                <w:rFonts w:cstheme="minorHAnsi"/>
                <w:b/>
                <w:sz w:val="24"/>
                <w:szCs w:val="24"/>
              </w:rPr>
              <w:t xml:space="preserve">2. </w:t>
            </w:r>
            <w:r w:rsidRPr="00597CDD">
              <w:rPr>
                <w:rFonts w:cstheme="minorHAnsi"/>
                <w:sz w:val="24"/>
                <w:szCs w:val="24"/>
              </w:rPr>
              <w:t>Discharged improved</w:t>
            </w:r>
          </w:p>
        </w:tc>
      </w:tr>
    </w:tbl>
    <w:p w:rsidR="00393311" w:rsidRPr="00A97DB0" w:rsidRDefault="00393311" w:rsidP="002F4AB7">
      <w:pPr>
        <w:jc w:val="both"/>
        <w:rPr>
          <w:rFonts w:cstheme="minorHAnsi"/>
          <w:sz w:val="24"/>
          <w:szCs w:val="24"/>
        </w:rPr>
      </w:pPr>
    </w:p>
    <w:sectPr w:rsidR="00393311" w:rsidRPr="00A97DB0" w:rsidSect="00B4041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D0F" w:rsidRDefault="005D5D0F" w:rsidP="00C72B18">
      <w:pPr>
        <w:spacing w:after="0" w:line="240" w:lineRule="auto"/>
      </w:pPr>
      <w:r>
        <w:separator/>
      </w:r>
    </w:p>
  </w:endnote>
  <w:endnote w:type="continuationSeparator" w:id="1">
    <w:p w:rsidR="005D5D0F" w:rsidRDefault="005D5D0F" w:rsidP="00C72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12" w:rsidRDefault="009C2C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12" w:rsidRDefault="009C2C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12" w:rsidRDefault="009C2C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D0F" w:rsidRDefault="005D5D0F" w:rsidP="00C72B18">
      <w:pPr>
        <w:spacing w:after="0" w:line="240" w:lineRule="auto"/>
      </w:pPr>
      <w:r>
        <w:separator/>
      </w:r>
    </w:p>
  </w:footnote>
  <w:footnote w:type="continuationSeparator" w:id="1">
    <w:p w:rsidR="005D5D0F" w:rsidRDefault="005D5D0F" w:rsidP="00C72B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12" w:rsidRDefault="009C2C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12" w:rsidRDefault="009C2C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12" w:rsidRDefault="009C2C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6D7"/>
    <w:multiLevelType w:val="hybridMultilevel"/>
    <w:tmpl w:val="F36E59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6A7EF4"/>
    <w:multiLevelType w:val="hybridMultilevel"/>
    <w:tmpl w:val="5B7AC98E"/>
    <w:lvl w:ilvl="0" w:tplc="E36058FE">
      <w:start w:val="1"/>
      <w:numFmt w:val="bullet"/>
      <w:lvlText w:val="•"/>
      <w:lvlJc w:val="left"/>
      <w:pPr>
        <w:tabs>
          <w:tab w:val="num" w:pos="720"/>
        </w:tabs>
        <w:ind w:left="720" w:hanging="360"/>
      </w:pPr>
      <w:rPr>
        <w:rFonts w:ascii="Arial" w:hAnsi="Arial" w:hint="default"/>
      </w:rPr>
    </w:lvl>
    <w:lvl w:ilvl="1" w:tplc="98B00226" w:tentative="1">
      <w:start w:val="1"/>
      <w:numFmt w:val="bullet"/>
      <w:lvlText w:val="•"/>
      <w:lvlJc w:val="left"/>
      <w:pPr>
        <w:tabs>
          <w:tab w:val="num" w:pos="1440"/>
        </w:tabs>
        <w:ind w:left="1440" w:hanging="360"/>
      </w:pPr>
      <w:rPr>
        <w:rFonts w:ascii="Arial" w:hAnsi="Arial" w:hint="default"/>
      </w:rPr>
    </w:lvl>
    <w:lvl w:ilvl="2" w:tplc="D66EDCCC">
      <w:start w:val="1"/>
      <w:numFmt w:val="bullet"/>
      <w:lvlText w:val="•"/>
      <w:lvlJc w:val="left"/>
      <w:pPr>
        <w:tabs>
          <w:tab w:val="num" w:pos="2160"/>
        </w:tabs>
        <w:ind w:left="2160" w:hanging="360"/>
      </w:pPr>
      <w:rPr>
        <w:rFonts w:ascii="Arial" w:hAnsi="Arial" w:hint="default"/>
      </w:rPr>
    </w:lvl>
    <w:lvl w:ilvl="3" w:tplc="3E521ADA" w:tentative="1">
      <w:start w:val="1"/>
      <w:numFmt w:val="bullet"/>
      <w:lvlText w:val="•"/>
      <w:lvlJc w:val="left"/>
      <w:pPr>
        <w:tabs>
          <w:tab w:val="num" w:pos="2880"/>
        </w:tabs>
        <w:ind w:left="2880" w:hanging="360"/>
      </w:pPr>
      <w:rPr>
        <w:rFonts w:ascii="Arial" w:hAnsi="Arial" w:hint="default"/>
      </w:rPr>
    </w:lvl>
    <w:lvl w:ilvl="4" w:tplc="9FBA4F6E" w:tentative="1">
      <w:start w:val="1"/>
      <w:numFmt w:val="bullet"/>
      <w:lvlText w:val="•"/>
      <w:lvlJc w:val="left"/>
      <w:pPr>
        <w:tabs>
          <w:tab w:val="num" w:pos="3600"/>
        </w:tabs>
        <w:ind w:left="3600" w:hanging="360"/>
      </w:pPr>
      <w:rPr>
        <w:rFonts w:ascii="Arial" w:hAnsi="Arial" w:hint="default"/>
      </w:rPr>
    </w:lvl>
    <w:lvl w:ilvl="5" w:tplc="973E9F12" w:tentative="1">
      <w:start w:val="1"/>
      <w:numFmt w:val="bullet"/>
      <w:lvlText w:val="•"/>
      <w:lvlJc w:val="left"/>
      <w:pPr>
        <w:tabs>
          <w:tab w:val="num" w:pos="4320"/>
        </w:tabs>
        <w:ind w:left="4320" w:hanging="360"/>
      </w:pPr>
      <w:rPr>
        <w:rFonts w:ascii="Arial" w:hAnsi="Arial" w:hint="default"/>
      </w:rPr>
    </w:lvl>
    <w:lvl w:ilvl="6" w:tplc="F0E2BA28" w:tentative="1">
      <w:start w:val="1"/>
      <w:numFmt w:val="bullet"/>
      <w:lvlText w:val="•"/>
      <w:lvlJc w:val="left"/>
      <w:pPr>
        <w:tabs>
          <w:tab w:val="num" w:pos="5040"/>
        </w:tabs>
        <w:ind w:left="5040" w:hanging="360"/>
      </w:pPr>
      <w:rPr>
        <w:rFonts w:ascii="Arial" w:hAnsi="Arial" w:hint="default"/>
      </w:rPr>
    </w:lvl>
    <w:lvl w:ilvl="7" w:tplc="1A186024" w:tentative="1">
      <w:start w:val="1"/>
      <w:numFmt w:val="bullet"/>
      <w:lvlText w:val="•"/>
      <w:lvlJc w:val="left"/>
      <w:pPr>
        <w:tabs>
          <w:tab w:val="num" w:pos="5760"/>
        </w:tabs>
        <w:ind w:left="5760" w:hanging="360"/>
      </w:pPr>
      <w:rPr>
        <w:rFonts w:ascii="Arial" w:hAnsi="Arial" w:hint="default"/>
      </w:rPr>
    </w:lvl>
    <w:lvl w:ilvl="8" w:tplc="E2C2E094" w:tentative="1">
      <w:start w:val="1"/>
      <w:numFmt w:val="bullet"/>
      <w:lvlText w:val="•"/>
      <w:lvlJc w:val="left"/>
      <w:pPr>
        <w:tabs>
          <w:tab w:val="num" w:pos="6480"/>
        </w:tabs>
        <w:ind w:left="6480" w:hanging="360"/>
      </w:pPr>
      <w:rPr>
        <w:rFonts w:ascii="Arial" w:hAnsi="Arial" w:hint="default"/>
      </w:rPr>
    </w:lvl>
  </w:abstractNum>
  <w:abstractNum w:abstractNumId="2">
    <w:nsid w:val="29817D21"/>
    <w:multiLevelType w:val="multilevel"/>
    <w:tmpl w:val="E00826E8"/>
    <w:lvl w:ilvl="0">
      <w:start w:val="1"/>
      <w:numFmt w:val="bullet"/>
      <w:lvlText w:val="•"/>
      <w:lvlJc w:val="left"/>
    </w:lvl>
    <w:lvl w:ilvl="1">
      <w:start w:val="1"/>
      <w:numFmt w:val="bullet"/>
      <w:lvlText w:val=""/>
      <w:lvlJc w:val="left"/>
      <w:rPr>
        <w:rFonts w:ascii="Wingdings" w:hAnsi="Wingding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FE39A7"/>
    <w:multiLevelType w:val="hybridMultilevel"/>
    <w:tmpl w:val="10F6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F7931"/>
    <w:multiLevelType w:val="hybridMultilevel"/>
    <w:tmpl w:val="454CE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680D61"/>
    <w:multiLevelType w:val="multilevel"/>
    <w:tmpl w:val="993644B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96A0DF3"/>
    <w:multiLevelType w:val="hybridMultilevel"/>
    <w:tmpl w:val="AEB287C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nsid w:val="5C81798A"/>
    <w:multiLevelType w:val="hybridMultilevel"/>
    <w:tmpl w:val="0A081A8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5DDD1E9F"/>
    <w:multiLevelType w:val="hybridMultilevel"/>
    <w:tmpl w:val="0450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D276DB"/>
    <w:multiLevelType w:val="hybridMultilevel"/>
    <w:tmpl w:val="0A081A8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643B7FCA"/>
    <w:multiLevelType w:val="hybridMultilevel"/>
    <w:tmpl w:val="6B1E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716505"/>
    <w:multiLevelType w:val="hybridMultilevel"/>
    <w:tmpl w:val="801AC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3711C9"/>
    <w:multiLevelType w:val="multilevel"/>
    <w:tmpl w:val="04D4AA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12"/>
  </w:num>
  <w:num w:numId="4">
    <w:abstractNumId w:val="8"/>
  </w:num>
  <w:num w:numId="5">
    <w:abstractNumId w:val="4"/>
  </w:num>
  <w:num w:numId="6">
    <w:abstractNumId w:val="3"/>
  </w:num>
  <w:num w:numId="7">
    <w:abstractNumId w:val="11"/>
  </w:num>
  <w:num w:numId="8">
    <w:abstractNumId w:val="0"/>
  </w:num>
  <w:num w:numId="9">
    <w:abstractNumId w:val="9"/>
  </w:num>
  <w:num w:numId="10">
    <w:abstractNumId w:val="5"/>
  </w:num>
  <w:num w:numId="11">
    <w:abstractNumId w:val="7"/>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8914"/>
  </w:hdrShapeDefaults>
  <w:footnotePr>
    <w:footnote w:id="0"/>
    <w:footnote w:id="1"/>
  </w:footnotePr>
  <w:endnotePr>
    <w:endnote w:id="0"/>
    <w:endnote w:id="1"/>
  </w:endnotePr>
  <w:compat/>
  <w:rsids>
    <w:rsidRoot w:val="009176BD"/>
    <w:rsid w:val="00000877"/>
    <w:rsid w:val="0000416A"/>
    <w:rsid w:val="00014B05"/>
    <w:rsid w:val="00024160"/>
    <w:rsid w:val="0004283B"/>
    <w:rsid w:val="000470DE"/>
    <w:rsid w:val="00047A1A"/>
    <w:rsid w:val="00055247"/>
    <w:rsid w:val="00060F41"/>
    <w:rsid w:val="00063300"/>
    <w:rsid w:val="000658EE"/>
    <w:rsid w:val="00065C88"/>
    <w:rsid w:val="00065EFD"/>
    <w:rsid w:val="00095973"/>
    <w:rsid w:val="000A5CEE"/>
    <w:rsid w:val="000C07DD"/>
    <w:rsid w:val="000C552E"/>
    <w:rsid w:val="000D26B7"/>
    <w:rsid w:val="000D422A"/>
    <w:rsid w:val="0010200B"/>
    <w:rsid w:val="00112DF0"/>
    <w:rsid w:val="001254EE"/>
    <w:rsid w:val="00125737"/>
    <w:rsid w:val="00127271"/>
    <w:rsid w:val="001343C8"/>
    <w:rsid w:val="001373A5"/>
    <w:rsid w:val="001421A5"/>
    <w:rsid w:val="00147419"/>
    <w:rsid w:val="00152A2B"/>
    <w:rsid w:val="00173DCF"/>
    <w:rsid w:val="00181443"/>
    <w:rsid w:val="001838AE"/>
    <w:rsid w:val="001876D9"/>
    <w:rsid w:val="001B64BE"/>
    <w:rsid w:val="001C2F4C"/>
    <w:rsid w:val="001D1AD9"/>
    <w:rsid w:val="001D50A3"/>
    <w:rsid w:val="001E40D1"/>
    <w:rsid w:val="001E6DA5"/>
    <w:rsid w:val="001F1E56"/>
    <w:rsid w:val="001F65FB"/>
    <w:rsid w:val="0021376A"/>
    <w:rsid w:val="0021797D"/>
    <w:rsid w:val="00233C07"/>
    <w:rsid w:val="00234CEA"/>
    <w:rsid w:val="00253613"/>
    <w:rsid w:val="00272C43"/>
    <w:rsid w:val="00275509"/>
    <w:rsid w:val="002850FA"/>
    <w:rsid w:val="002A153D"/>
    <w:rsid w:val="002A5593"/>
    <w:rsid w:val="002C19AF"/>
    <w:rsid w:val="002C3F47"/>
    <w:rsid w:val="002D41C5"/>
    <w:rsid w:val="002D6884"/>
    <w:rsid w:val="002F4AB7"/>
    <w:rsid w:val="002F67A5"/>
    <w:rsid w:val="003004BD"/>
    <w:rsid w:val="0030226A"/>
    <w:rsid w:val="003078F5"/>
    <w:rsid w:val="00325407"/>
    <w:rsid w:val="00345ADC"/>
    <w:rsid w:val="00346F09"/>
    <w:rsid w:val="00364967"/>
    <w:rsid w:val="0039175B"/>
    <w:rsid w:val="00393311"/>
    <w:rsid w:val="003A0F0A"/>
    <w:rsid w:val="003A37B1"/>
    <w:rsid w:val="003B0E0D"/>
    <w:rsid w:val="003E108C"/>
    <w:rsid w:val="003E4F94"/>
    <w:rsid w:val="003F2409"/>
    <w:rsid w:val="003F4EE4"/>
    <w:rsid w:val="003F5227"/>
    <w:rsid w:val="004140B3"/>
    <w:rsid w:val="00440673"/>
    <w:rsid w:val="00446AB0"/>
    <w:rsid w:val="0045137D"/>
    <w:rsid w:val="004562D8"/>
    <w:rsid w:val="00464755"/>
    <w:rsid w:val="00477429"/>
    <w:rsid w:val="00497543"/>
    <w:rsid w:val="004A3077"/>
    <w:rsid w:val="004A4932"/>
    <w:rsid w:val="0050468F"/>
    <w:rsid w:val="005072D8"/>
    <w:rsid w:val="00515CD8"/>
    <w:rsid w:val="0054120E"/>
    <w:rsid w:val="005741F2"/>
    <w:rsid w:val="005774EF"/>
    <w:rsid w:val="00587190"/>
    <w:rsid w:val="00593621"/>
    <w:rsid w:val="00597CDD"/>
    <w:rsid w:val="005A6471"/>
    <w:rsid w:val="005B378C"/>
    <w:rsid w:val="005C25CD"/>
    <w:rsid w:val="005C6124"/>
    <w:rsid w:val="005D5D0F"/>
    <w:rsid w:val="005D7618"/>
    <w:rsid w:val="005E56F3"/>
    <w:rsid w:val="005E5C7B"/>
    <w:rsid w:val="005F6559"/>
    <w:rsid w:val="00603BAC"/>
    <w:rsid w:val="00617475"/>
    <w:rsid w:val="00617C07"/>
    <w:rsid w:val="006247BB"/>
    <w:rsid w:val="006331EC"/>
    <w:rsid w:val="0063342A"/>
    <w:rsid w:val="00640A60"/>
    <w:rsid w:val="006419ED"/>
    <w:rsid w:val="006446ED"/>
    <w:rsid w:val="00650C72"/>
    <w:rsid w:val="006602C6"/>
    <w:rsid w:val="006810AA"/>
    <w:rsid w:val="006913E9"/>
    <w:rsid w:val="00696D6A"/>
    <w:rsid w:val="006A54E7"/>
    <w:rsid w:val="006C1916"/>
    <w:rsid w:val="006C1EA8"/>
    <w:rsid w:val="006C6EE0"/>
    <w:rsid w:val="006E25D7"/>
    <w:rsid w:val="006F359E"/>
    <w:rsid w:val="006F51DE"/>
    <w:rsid w:val="00712AFF"/>
    <w:rsid w:val="00737106"/>
    <w:rsid w:val="00740A75"/>
    <w:rsid w:val="007416B3"/>
    <w:rsid w:val="0074584E"/>
    <w:rsid w:val="00747D05"/>
    <w:rsid w:val="00776B70"/>
    <w:rsid w:val="00780343"/>
    <w:rsid w:val="00780B66"/>
    <w:rsid w:val="00795F03"/>
    <w:rsid w:val="007B1F1C"/>
    <w:rsid w:val="007B6151"/>
    <w:rsid w:val="007D0D78"/>
    <w:rsid w:val="007D3C51"/>
    <w:rsid w:val="007E14A6"/>
    <w:rsid w:val="007F1345"/>
    <w:rsid w:val="0084181A"/>
    <w:rsid w:val="00846EF8"/>
    <w:rsid w:val="00857B29"/>
    <w:rsid w:val="00857DE6"/>
    <w:rsid w:val="0088790B"/>
    <w:rsid w:val="00896803"/>
    <w:rsid w:val="008978E4"/>
    <w:rsid w:val="008B2D0E"/>
    <w:rsid w:val="008B408C"/>
    <w:rsid w:val="008B5633"/>
    <w:rsid w:val="008C5433"/>
    <w:rsid w:val="008D0DB6"/>
    <w:rsid w:val="008E2B17"/>
    <w:rsid w:val="008F5078"/>
    <w:rsid w:val="00901984"/>
    <w:rsid w:val="009176BD"/>
    <w:rsid w:val="00920457"/>
    <w:rsid w:val="0093154E"/>
    <w:rsid w:val="009330AB"/>
    <w:rsid w:val="00945441"/>
    <w:rsid w:val="00947212"/>
    <w:rsid w:val="00983E38"/>
    <w:rsid w:val="0098481B"/>
    <w:rsid w:val="00997BED"/>
    <w:rsid w:val="009C158A"/>
    <w:rsid w:val="009C2C12"/>
    <w:rsid w:val="009E4332"/>
    <w:rsid w:val="009F0933"/>
    <w:rsid w:val="009F1DBA"/>
    <w:rsid w:val="00A27816"/>
    <w:rsid w:val="00A343D8"/>
    <w:rsid w:val="00A35AD3"/>
    <w:rsid w:val="00A61A5D"/>
    <w:rsid w:val="00A73635"/>
    <w:rsid w:val="00A75AF6"/>
    <w:rsid w:val="00A82565"/>
    <w:rsid w:val="00A93829"/>
    <w:rsid w:val="00A93AA2"/>
    <w:rsid w:val="00A93F4E"/>
    <w:rsid w:val="00A97907"/>
    <w:rsid w:val="00A97DB0"/>
    <w:rsid w:val="00AA0789"/>
    <w:rsid w:val="00AC36A8"/>
    <w:rsid w:val="00AC6F3C"/>
    <w:rsid w:val="00AC7DD7"/>
    <w:rsid w:val="00AD2C8B"/>
    <w:rsid w:val="00AE61D6"/>
    <w:rsid w:val="00AF7408"/>
    <w:rsid w:val="00B041F7"/>
    <w:rsid w:val="00B050BB"/>
    <w:rsid w:val="00B12342"/>
    <w:rsid w:val="00B31005"/>
    <w:rsid w:val="00B3451A"/>
    <w:rsid w:val="00B35CF1"/>
    <w:rsid w:val="00B4041D"/>
    <w:rsid w:val="00B42BE7"/>
    <w:rsid w:val="00B43E5A"/>
    <w:rsid w:val="00B441C0"/>
    <w:rsid w:val="00B61DE2"/>
    <w:rsid w:val="00B639BF"/>
    <w:rsid w:val="00B70CB5"/>
    <w:rsid w:val="00B7371D"/>
    <w:rsid w:val="00B81CFB"/>
    <w:rsid w:val="00B94E57"/>
    <w:rsid w:val="00BA4B88"/>
    <w:rsid w:val="00BB3B00"/>
    <w:rsid w:val="00BB5A90"/>
    <w:rsid w:val="00BC2090"/>
    <w:rsid w:val="00BC24AB"/>
    <w:rsid w:val="00BC5CD2"/>
    <w:rsid w:val="00BD26AF"/>
    <w:rsid w:val="00BD4073"/>
    <w:rsid w:val="00BE4844"/>
    <w:rsid w:val="00BE501D"/>
    <w:rsid w:val="00BE57D4"/>
    <w:rsid w:val="00C27B6C"/>
    <w:rsid w:val="00C32A34"/>
    <w:rsid w:val="00C44C28"/>
    <w:rsid w:val="00C553E8"/>
    <w:rsid w:val="00C62A21"/>
    <w:rsid w:val="00C63A89"/>
    <w:rsid w:val="00C72B18"/>
    <w:rsid w:val="00C8208C"/>
    <w:rsid w:val="00C95A09"/>
    <w:rsid w:val="00CA2857"/>
    <w:rsid w:val="00CD0B5A"/>
    <w:rsid w:val="00D31AE8"/>
    <w:rsid w:val="00D34E84"/>
    <w:rsid w:val="00D43764"/>
    <w:rsid w:val="00D50219"/>
    <w:rsid w:val="00D55CD9"/>
    <w:rsid w:val="00D63039"/>
    <w:rsid w:val="00D704A8"/>
    <w:rsid w:val="00D746CF"/>
    <w:rsid w:val="00D76257"/>
    <w:rsid w:val="00D862A0"/>
    <w:rsid w:val="00D91E4E"/>
    <w:rsid w:val="00D92D4F"/>
    <w:rsid w:val="00D93EC6"/>
    <w:rsid w:val="00DC440D"/>
    <w:rsid w:val="00DD524D"/>
    <w:rsid w:val="00DE1C80"/>
    <w:rsid w:val="00E12CAE"/>
    <w:rsid w:val="00E168EC"/>
    <w:rsid w:val="00E1774E"/>
    <w:rsid w:val="00E51A65"/>
    <w:rsid w:val="00E62ACB"/>
    <w:rsid w:val="00E849F4"/>
    <w:rsid w:val="00EB047B"/>
    <w:rsid w:val="00EB3AC1"/>
    <w:rsid w:val="00EF0A47"/>
    <w:rsid w:val="00EF4199"/>
    <w:rsid w:val="00EF5199"/>
    <w:rsid w:val="00F13C8F"/>
    <w:rsid w:val="00F355E1"/>
    <w:rsid w:val="00F457B9"/>
    <w:rsid w:val="00F50683"/>
    <w:rsid w:val="00F52ABA"/>
    <w:rsid w:val="00F60978"/>
    <w:rsid w:val="00F64E05"/>
    <w:rsid w:val="00F71EA0"/>
    <w:rsid w:val="00F86BE1"/>
    <w:rsid w:val="00F957CE"/>
    <w:rsid w:val="00FD2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6BD"/>
  </w:style>
  <w:style w:type="paragraph" w:styleId="Heading1">
    <w:name w:val="heading 1"/>
    <w:basedOn w:val="Normal"/>
    <w:next w:val="Normal"/>
    <w:link w:val="Heading1Char"/>
    <w:uiPriority w:val="9"/>
    <w:qFormat/>
    <w:rsid w:val="003649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49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6BD"/>
    <w:pPr>
      <w:ind w:left="720"/>
      <w:contextualSpacing/>
    </w:pPr>
  </w:style>
  <w:style w:type="character" w:styleId="Hyperlink">
    <w:name w:val="Hyperlink"/>
    <w:basedOn w:val="DefaultParagraphFont"/>
    <w:uiPriority w:val="99"/>
    <w:unhideWhenUsed/>
    <w:rsid w:val="006C1EA8"/>
    <w:rPr>
      <w:color w:val="0000FF" w:themeColor="hyperlink"/>
      <w:u w:val="single"/>
    </w:rPr>
  </w:style>
  <w:style w:type="paragraph" w:styleId="BalloonText">
    <w:name w:val="Balloon Text"/>
    <w:basedOn w:val="Normal"/>
    <w:link w:val="BalloonTextChar"/>
    <w:uiPriority w:val="99"/>
    <w:semiHidden/>
    <w:unhideWhenUsed/>
    <w:rsid w:val="00B94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E57"/>
    <w:rPr>
      <w:rFonts w:ascii="Tahoma" w:hAnsi="Tahoma" w:cs="Tahoma"/>
      <w:sz w:val="16"/>
      <w:szCs w:val="16"/>
    </w:rPr>
  </w:style>
  <w:style w:type="table" w:styleId="TableGrid">
    <w:name w:val="Table Grid"/>
    <w:basedOn w:val="TableNormal"/>
    <w:uiPriority w:val="59"/>
    <w:rsid w:val="005072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C32A34"/>
    <w:pPr>
      <w:tabs>
        <w:tab w:val="left" w:pos="504"/>
      </w:tabs>
      <w:spacing w:after="240" w:line="240" w:lineRule="auto"/>
      <w:ind w:left="504" w:hanging="504"/>
    </w:pPr>
  </w:style>
  <w:style w:type="paragraph" w:styleId="Header">
    <w:name w:val="header"/>
    <w:basedOn w:val="Normal"/>
    <w:link w:val="HeaderChar"/>
    <w:uiPriority w:val="99"/>
    <w:semiHidden/>
    <w:unhideWhenUsed/>
    <w:rsid w:val="00C72B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2B18"/>
  </w:style>
  <w:style w:type="paragraph" w:styleId="Footer">
    <w:name w:val="footer"/>
    <w:basedOn w:val="Normal"/>
    <w:link w:val="FooterChar"/>
    <w:uiPriority w:val="99"/>
    <w:unhideWhenUsed/>
    <w:rsid w:val="00C72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18"/>
  </w:style>
  <w:style w:type="character" w:customStyle="1" w:styleId="Heading1Char">
    <w:name w:val="Heading 1 Char"/>
    <w:basedOn w:val="DefaultParagraphFont"/>
    <w:link w:val="Heading1"/>
    <w:uiPriority w:val="9"/>
    <w:rsid w:val="003649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496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364967"/>
    <w:pPr>
      <w:outlineLvl w:val="9"/>
    </w:pPr>
  </w:style>
  <w:style w:type="paragraph" w:styleId="TOC1">
    <w:name w:val="toc 1"/>
    <w:basedOn w:val="Normal"/>
    <w:next w:val="Normal"/>
    <w:autoRedefine/>
    <w:uiPriority w:val="39"/>
    <w:unhideWhenUsed/>
    <w:rsid w:val="00364967"/>
    <w:pPr>
      <w:spacing w:after="100"/>
    </w:pPr>
  </w:style>
  <w:style w:type="paragraph" w:styleId="TOC2">
    <w:name w:val="toc 2"/>
    <w:basedOn w:val="Normal"/>
    <w:next w:val="Normal"/>
    <w:autoRedefine/>
    <w:uiPriority w:val="39"/>
    <w:unhideWhenUsed/>
    <w:rsid w:val="00364967"/>
    <w:pPr>
      <w:spacing w:after="100"/>
      <w:ind w:left="220"/>
    </w:pPr>
  </w:style>
</w:styles>
</file>

<file path=word/webSettings.xml><?xml version="1.0" encoding="utf-8"?>
<w:webSettings xmlns:r="http://schemas.openxmlformats.org/officeDocument/2006/relationships" xmlns:w="http://schemas.openxmlformats.org/wordprocessingml/2006/main">
  <w:divs>
    <w:div w:id="723987999">
      <w:bodyDiv w:val="1"/>
      <w:marLeft w:val="0"/>
      <w:marRight w:val="0"/>
      <w:marTop w:val="0"/>
      <w:marBottom w:val="0"/>
      <w:divBdr>
        <w:top w:val="none" w:sz="0" w:space="0" w:color="auto"/>
        <w:left w:val="none" w:sz="0" w:space="0" w:color="auto"/>
        <w:bottom w:val="none" w:sz="0" w:space="0" w:color="auto"/>
        <w:right w:val="none" w:sz="0" w:space="0" w:color="auto"/>
      </w:divBdr>
      <w:divsChild>
        <w:div w:id="1716734202">
          <w:marLeft w:val="360"/>
          <w:marRight w:val="0"/>
          <w:marTop w:val="360"/>
          <w:marBottom w:val="0"/>
          <w:divBdr>
            <w:top w:val="none" w:sz="0" w:space="0" w:color="auto"/>
            <w:left w:val="none" w:sz="0" w:space="0" w:color="auto"/>
            <w:bottom w:val="none" w:sz="0" w:space="0" w:color="auto"/>
            <w:right w:val="none" w:sz="0" w:space="0" w:color="auto"/>
          </w:divBdr>
        </w:div>
      </w:divsChild>
    </w:div>
    <w:div w:id="862940368">
      <w:bodyDiv w:val="1"/>
      <w:marLeft w:val="0"/>
      <w:marRight w:val="0"/>
      <w:marTop w:val="0"/>
      <w:marBottom w:val="0"/>
      <w:divBdr>
        <w:top w:val="none" w:sz="0" w:space="0" w:color="auto"/>
        <w:left w:val="none" w:sz="0" w:space="0" w:color="auto"/>
        <w:bottom w:val="none" w:sz="0" w:space="0" w:color="auto"/>
        <w:right w:val="none" w:sz="0" w:space="0" w:color="auto"/>
      </w:divBdr>
    </w:div>
    <w:div w:id="995064411">
      <w:bodyDiv w:val="1"/>
      <w:marLeft w:val="0"/>
      <w:marRight w:val="0"/>
      <w:marTop w:val="0"/>
      <w:marBottom w:val="0"/>
      <w:divBdr>
        <w:top w:val="none" w:sz="0" w:space="0" w:color="auto"/>
        <w:left w:val="none" w:sz="0" w:space="0" w:color="auto"/>
        <w:bottom w:val="none" w:sz="0" w:space="0" w:color="auto"/>
        <w:right w:val="none" w:sz="0" w:space="0" w:color="auto"/>
      </w:divBdr>
      <w:divsChild>
        <w:div w:id="1935549804">
          <w:marLeft w:val="360"/>
          <w:marRight w:val="0"/>
          <w:marTop w:val="360"/>
          <w:marBottom w:val="0"/>
          <w:divBdr>
            <w:top w:val="none" w:sz="0" w:space="0" w:color="auto"/>
            <w:left w:val="none" w:sz="0" w:space="0" w:color="auto"/>
            <w:bottom w:val="none" w:sz="0" w:space="0" w:color="auto"/>
            <w:right w:val="none" w:sz="0" w:space="0" w:color="auto"/>
          </w:divBdr>
        </w:div>
        <w:div w:id="585310062">
          <w:marLeft w:val="360"/>
          <w:marRight w:val="0"/>
          <w:marTop w:val="360"/>
          <w:marBottom w:val="0"/>
          <w:divBdr>
            <w:top w:val="none" w:sz="0" w:space="0" w:color="auto"/>
            <w:left w:val="none" w:sz="0" w:space="0" w:color="auto"/>
            <w:bottom w:val="none" w:sz="0" w:space="0" w:color="auto"/>
            <w:right w:val="none" w:sz="0" w:space="0" w:color="auto"/>
          </w:divBdr>
        </w:div>
        <w:div w:id="1171523953">
          <w:marLeft w:val="360"/>
          <w:marRight w:val="0"/>
          <w:marTop w:val="360"/>
          <w:marBottom w:val="0"/>
          <w:divBdr>
            <w:top w:val="none" w:sz="0" w:space="0" w:color="auto"/>
            <w:left w:val="none" w:sz="0" w:space="0" w:color="auto"/>
            <w:bottom w:val="none" w:sz="0" w:space="0" w:color="auto"/>
            <w:right w:val="none" w:sz="0" w:space="0" w:color="auto"/>
          </w:divBdr>
        </w:div>
      </w:divsChild>
    </w:div>
    <w:div w:id="1141338629">
      <w:bodyDiv w:val="1"/>
      <w:marLeft w:val="0"/>
      <w:marRight w:val="0"/>
      <w:marTop w:val="0"/>
      <w:marBottom w:val="0"/>
      <w:divBdr>
        <w:top w:val="none" w:sz="0" w:space="0" w:color="auto"/>
        <w:left w:val="none" w:sz="0" w:space="0" w:color="auto"/>
        <w:bottom w:val="none" w:sz="0" w:space="0" w:color="auto"/>
        <w:right w:val="none" w:sz="0" w:space="0" w:color="auto"/>
      </w:divBdr>
      <w:divsChild>
        <w:div w:id="1079450416">
          <w:marLeft w:val="0"/>
          <w:marRight w:val="0"/>
          <w:marTop w:val="0"/>
          <w:marBottom w:val="0"/>
          <w:divBdr>
            <w:top w:val="single" w:sz="4" w:space="0" w:color="5B616B"/>
            <w:left w:val="single" w:sz="4" w:space="0" w:color="5B616B"/>
            <w:bottom w:val="single" w:sz="4" w:space="0" w:color="5B616B"/>
            <w:right w:val="single" w:sz="4" w:space="0" w:color="5B616B"/>
          </w:divBdr>
        </w:div>
      </w:divsChild>
    </w:div>
    <w:div w:id="1208447988">
      <w:bodyDiv w:val="1"/>
      <w:marLeft w:val="0"/>
      <w:marRight w:val="0"/>
      <w:marTop w:val="0"/>
      <w:marBottom w:val="0"/>
      <w:divBdr>
        <w:top w:val="none" w:sz="0" w:space="0" w:color="auto"/>
        <w:left w:val="none" w:sz="0" w:space="0" w:color="auto"/>
        <w:bottom w:val="none" w:sz="0" w:space="0" w:color="auto"/>
        <w:right w:val="none" w:sz="0" w:space="0" w:color="auto"/>
      </w:divBdr>
      <w:divsChild>
        <w:div w:id="481775608">
          <w:marLeft w:val="1800"/>
          <w:marRight w:val="0"/>
          <w:marTop w:val="100"/>
          <w:marBottom w:val="0"/>
          <w:divBdr>
            <w:top w:val="none" w:sz="0" w:space="0" w:color="auto"/>
            <w:left w:val="none" w:sz="0" w:space="0" w:color="auto"/>
            <w:bottom w:val="none" w:sz="0" w:space="0" w:color="auto"/>
            <w:right w:val="none" w:sz="0" w:space="0" w:color="auto"/>
          </w:divBdr>
        </w:div>
        <w:div w:id="2051801442">
          <w:marLeft w:val="1800"/>
          <w:marRight w:val="0"/>
          <w:marTop w:val="100"/>
          <w:marBottom w:val="0"/>
          <w:divBdr>
            <w:top w:val="none" w:sz="0" w:space="0" w:color="auto"/>
            <w:left w:val="none" w:sz="0" w:space="0" w:color="auto"/>
            <w:bottom w:val="none" w:sz="0" w:space="0" w:color="auto"/>
            <w:right w:val="none" w:sz="0" w:space="0" w:color="auto"/>
          </w:divBdr>
        </w:div>
        <w:div w:id="36128891">
          <w:marLeft w:val="1800"/>
          <w:marRight w:val="0"/>
          <w:marTop w:val="100"/>
          <w:marBottom w:val="0"/>
          <w:divBdr>
            <w:top w:val="none" w:sz="0" w:space="0" w:color="auto"/>
            <w:left w:val="none" w:sz="0" w:space="0" w:color="auto"/>
            <w:bottom w:val="none" w:sz="0" w:space="0" w:color="auto"/>
            <w:right w:val="none" w:sz="0" w:space="0" w:color="auto"/>
          </w:divBdr>
        </w:div>
        <w:div w:id="957561706">
          <w:marLeft w:val="1800"/>
          <w:marRight w:val="0"/>
          <w:marTop w:val="100"/>
          <w:marBottom w:val="0"/>
          <w:divBdr>
            <w:top w:val="none" w:sz="0" w:space="0" w:color="auto"/>
            <w:left w:val="none" w:sz="0" w:space="0" w:color="auto"/>
            <w:bottom w:val="none" w:sz="0" w:space="0" w:color="auto"/>
            <w:right w:val="none" w:sz="0" w:space="0" w:color="auto"/>
          </w:divBdr>
        </w:div>
        <w:div w:id="1731075242">
          <w:marLeft w:val="1800"/>
          <w:marRight w:val="0"/>
          <w:marTop w:val="100"/>
          <w:marBottom w:val="0"/>
          <w:divBdr>
            <w:top w:val="none" w:sz="0" w:space="0" w:color="auto"/>
            <w:left w:val="none" w:sz="0" w:space="0" w:color="auto"/>
            <w:bottom w:val="none" w:sz="0" w:space="0" w:color="auto"/>
            <w:right w:val="none" w:sz="0" w:space="0" w:color="auto"/>
          </w:divBdr>
        </w:div>
      </w:divsChild>
    </w:div>
    <w:div w:id="1246526378">
      <w:bodyDiv w:val="1"/>
      <w:marLeft w:val="0"/>
      <w:marRight w:val="0"/>
      <w:marTop w:val="0"/>
      <w:marBottom w:val="0"/>
      <w:divBdr>
        <w:top w:val="none" w:sz="0" w:space="0" w:color="auto"/>
        <w:left w:val="none" w:sz="0" w:space="0" w:color="auto"/>
        <w:bottom w:val="none" w:sz="0" w:space="0" w:color="auto"/>
        <w:right w:val="none" w:sz="0" w:space="0" w:color="auto"/>
      </w:divBdr>
      <w:divsChild>
        <w:div w:id="813329802">
          <w:marLeft w:val="360"/>
          <w:marRight w:val="0"/>
          <w:marTop w:val="360"/>
          <w:marBottom w:val="0"/>
          <w:divBdr>
            <w:top w:val="none" w:sz="0" w:space="0" w:color="auto"/>
            <w:left w:val="none" w:sz="0" w:space="0" w:color="auto"/>
            <w:bottom w:val="none" w:sz="0" w:space="0" w:color="auto"/>
            <w:right w:val="none" w:sz="0" w:space="0" w:color="auto"/>
          </w:divBdr>
        </w:div>
        <w:div w:id="1634941029">
          <w:marLeft w:val="360"/>
          <w:marRight w:val="0"/>
          <w:marTop w:val="360"/>
          <w:marBottom w:val="0"/>
          <w:divBdr>
            <w:top w:val="none" w:sz="0" w:space="0" w:color="auto"/>
            <w:left w:val="none" w:sz="0" w:space="0" w:color="auto"/>
            <w:bottom w:val="none" w:sz="0" w:space="0" w:color="auto"/>
            <w:right w:val="none" w:sz="0" w:space="0" w:color="auto"/>
          </w:divBdr>
        </w:div>
        <w:div w:id="255285762">
          <w:marLeft w:val="360"/>
          <w:marRight w:val="0"/>
          <w:marTop w:val="360"/>
          <w:marBottom w:val="0"/>
          <w:divBdr>
            <w:top w:val="none" w:sz="0" w:space="0" w:color="auto"/>
            <w:left w:val="none" w:sz="0" w:space="0" w:color="auto"/>
            <w:bottom w:val="none" w:sz="0" w:space="0" w:color="auto"/>
            <w:right w:val="none" w:sz="0" w:space="0" w:color="auto"/>
          </w:divBdr>
        </w:div>
        <w:div w:id="591549869">
          <w:marLeft w:val="360"/>
          <w:marRight w:val="0"/>
          <w:marTop w:val="360"/>
          <w:marBottom w:val="0"/>
          <w:divBdr>
            <w:top w:val="none" w:sz="0" w:space="0" w:color="auto"/>
            <w:left w:val="none" w:sz="0" w:space="0" w:color="auto"/>
            <w:bottom w:val="none" w:sz="0" w:space="0" w:color="auto"/>
            <w:right w:val="none" w:sz="0" w:space="0" w:color="auto"/>
          </w:divBdr>
        </w:div>
        <w:div w:id="1807045193">
          <w:marLeft w:val="360"/>
          <w:marRight w:val="0"/>
          <w:marTop w:val="360"/>
          <w:marBottom w:val="0"/>
          <w:divBdr>
            <w:top w:val="none" w:sz="0" w:space="0" w:color="auto"/>
            <w:left w:val="none" w:sz="0" w:space="0" w:color="auto"/>
            <w:bottom w:val="none" w:sz="0" w:space="0" w:color="auto"/>
            <w:right w:val="none" w:sz="0" w:space="0" w:color="auto"/>
          </w:divBdr>
        </w:div>
      </w:divsChild>
    </w:div>
    <w:div w:id="1412198941">
      <w:bodyDiv w:val="1"/>
      <w:marLeft w:val="0"/>
      <w:marRight w:val="0"/>
      <w:marTop w:val="0"/>
      <w:marBottom w:val="0"/>
      <w:divBdr>
        <w:top w:val="none" w:sz="0" w:space="0" w:color="auto"/>
        <w:left w:val="none" w:sz="0" w:space="0" w:color="auto"/>
        <w:bottom w:val="none" w:sz="0" w:space="0" w:color="auto"/>
        <w:right w:val="none" w:sz="0" w:space="0" w:color="auto"/>
      </w:divBdr>
      <w:divsChild>
        <w:div w:id="571546801">
          <w:marLeft w:val="360"/>
          <w:marRight w:val="0"/>
          <w:marTop w:val="360"/>
          <w:marBottom w:val="0"/>
          <w:divBdr>
            <w:top w:val="none" w:sz="0" w:space="0" w:color="auto"/>
            <w:left w:val="none" w:sz="0" w:space="0" w:color="auto"/>
            <w:bottom w:val="none" w:sz="0" w:space="0" w:color="auto"/>
            <w:right w:val="none" w:sz="0" w:space="0" w:color="auto"/>
          </w:divBdr>
        </w:div>
        <w:div w:id="828446245">
          <w:marLeft w:val="360"/>
          <w:marRight w:val="0"/>
          <w:marTop w:val="360"/>
          <w:marBottom w:val="0"/>
          <w:divBdr>
            <w:top w:val="none" w:sz="0" w:space="0" w:color="auto"/>
            <w:left w:val="none" w:sz="0" w:space="0" w:color="auto"/>
            <w:bottom w:val="none" w:sz="0" w:space="0" w:color="auto"/>
            <w:right w:val="none" w:sz="0" w:space="0" w:color="auto"/>
          </w:divBdr>
        </w:div>
        <w:div w:id="447898603">
          <w:marLeft w:val="360"/>
          <w:marRight w:val="0"/>
          <w:marTop w:val="360"/>
          <w:marBottom w:val="0"/>
          <w:divBdr>
            <w:top w:val="none" w:sz="0" w:space="0" w:color="auto"/>
            <w:left w:val="none" w:sz="0" w:space="0" w:color="auto"/>
            <w:bottom w:val="none" w:sz="0" w:space="0" w:color="auto"/>
            <w:right w:val="none" w:sz="0" w:space="0" w:color="auto"/>
          </w:divBdr>
        </w:div>
        <w:div w:id="1680883675">
          <w:marLeft w:val="360"/>
          <w:marRight w:val="0"/>
          <w:marTop w:val="360"/>
          <w:marBottom w:val="0"/>
          <w:divBdr>
            <w:top w:val="none" w:sz="0" w:space="0" w:color="auto"/>
            <w:left w:val="none" w:sz="0" w:space="0" w:color="auto"/>
            <w:bottom w:val="none" w:sz="0" w:space="0" w:color="auto"/>
            <w:right w:val="none" w:sz="0" w:space="0" w:color="auto"/>
          </w:divBdr>
        </w:div>
      </w:divsChild>
    </w:div>
    <w:div w:id="1453212893">
      <w:bodyDiv w:val="1"/>
      <w:marLeft w:val="0"/>
      <w:marRight w:val="0"/>
      <w:marTop w:val="0"/>
      <w:marBottom w:val="0"/>
      <w:divBdr>
        <w:top w:val="none" w:sz="0" w:space="0" w:color="auto"/>
        <w:left w:val="none" w:sz="0" w:space="0" w:color="auto"/>
        <w:bottom w:val="none" w:sz="0" w:space="0" w:color="auto"/>
        <w:right w:val="none" w:sz="0" w:space="0" w:color="auto"/>
      </w:divBdr>
    </w:div>
    <w:div w:id="1886020647">
      <w:bodyDiv w:val="1"/>
      <w:marLeft w:val="0"/>
      <w:marRight w:val="0"/>
      <w:marTop w:val="0"/>
      <w:marBottom w:val="0"/>
      <w:divBdr>
        <w:top w:val="none" w:sz="0" w:space="0" w:color="auto"/>
        <w:left w:val="none" w:sz="0" w:space="0" w:color="auto"/>
        <w:bottom w:val="none" w:sz="0" w:space="0" w:color="auto"/>
        <w:right w:val="none" w:sz="0" w:space="0" w:color="auto"/>
      </w:divBdr>
      <w:divsChild>
        <w:div w:id="1955286137">
          <w:marLeft w:val="0"/>
          <w:marRight w:val="0"/>
          <w:marTop w:val="0"/>
          <w:marBottom w:val="0"/>
          <w:divBdr>
            <w:top w:val="single" w:sz="4" w:space="0" w:color="5B616B"/>
            <w:left w:val="single" w:sz="4" w:space="0" w:color="5B616B"/>
            <w:bottom w:val="single" w:sz="4" w:space="0" w:color="5B616B"/>
            <w:right w:val="single" w:sz="4" w:space="0" w:color="5B616B"/>
          </w:divBdr>
        </w:div>
      </w:divsChild>
    </w:div>
    <w:div w:id="1908832015">
      <w:bodyDiv w:val="1"/>
      <w:marLeft w:val="0"/>
      <w:marRight w:val="0"/>
      <w:marTop w:val="0"/>
      <w:marBottom w:val="0"/>
      <w:divBdr>
        <w:top w:val="none" w:sz="0" w:space="0" w:color="auto"/>
        <w:left w:val="none" w:sz="0" w:space="0" w:color="auto"/>
        <w:bottom w:val="none" w:sz="0" w:space="0" w:color="auto"/>
        <w:right w:val="none" w:sz="0" w:space="0" w:color="auto"/>
      </w:divBdr>
      <w:divsChild>
        <w:div w:id="827281902">
          <w:marLeft w:val="0"/>
          <w:marRight w:val="0"/>
          <w:marTop w:val="0"/>
          <w:marBottom w:val="0"/>
          <w:divBdr>
            <w:top w:val="single" w:sz="4" w:space="0" w:color="5B616B"/>
            <w:left w:val="single" w:sz="4" w:space="0" w:color="5B616B"/>
            <w:bottom w:val="single" w:sz="4" w:space="0" w:color="5B616B"/>
            <w:right w:val="single" w:sz="4" w:space="0" w:color="5B616B"/>
          </w:divBdr>
        </w:div>
      </w:divsChild>
    </w:div>
    <w:div w:id="1928726128">
      <w:bodyDiv w:val="1"/>
      <w:marLeft w:val="0"/>
      <w:marRight w:val="0"/>
      <w:marTop w:val="0"/>
      <w:marBottom w:val="0"/>
      <w:divBdr>
        <w:top w:val="none" w:sz="0" w:space="0" w:color="auto"/>
        <w:left w:val="none" w:sz="0" w:space="0" w:color="auto"/>
        <w:bottom w:val="none" w:sz="0" w:space="0" w:color="auto"/>
        <w:right w:val="none" w:sz="0" w:space="0" w:color="auto"/>
      </w:divBdr>
      <w:divsChild>
        <w:div w:id="1052117814">
          <w:marLeft w:val="360"/>
          <w:marRight w:val="0"/>
          <w:marTop w:val="200"/>
          <w:marBottom w:val="0"/>
          <w:divBdr>
            <w:top w:val="none" w:sz="0" w:space="0" w:color="auto"/>
            <w:left w:val="none" w:sz="0" w:space="0" w:color="auto"/>
            <w:bottom w:val="none" w:sz="0" w:space="0" w:color="auto"/>
            <w:right w:val="none" w:sz="0" w:space="0" w:color="auto"/>
          </w:divBdr>
        </w:div>
        <w:div w:id="819156354">
          <w:marLeft w:val="1080"/>
          <w:marRight w:val="0"/>
          <w:marTop w:val="100"/>
          <w:marBottom w:val="0"/>
          <w:divBdr>
            <w:top w:val="none" w:sz="0" w:space="0" w:color="auto"/>
            <w:left w:val="none" w:sz="0" w:space="0" w:color="auto"/>
            <w:bottom w:val="none" w:sz="0" w:space="0" w:color="auto"/>
            <w:right w:val="none" w:sz="0" w:space="0" w:color="auto"/>
          </w:divBdr>
        </w:div>
        <w:div w:id="67313174">
          <w:marLeft w:val="1080"/>
          <w:marRight w:val="0"/>
          <w:marTop w:val="100"/>
          <w:marBottom w:val="0"/>
          <w:divBdr>
            <w:top w:val="none" w:sz="0" w:space="0" w:color="auto"/>
            <w:left w:val="none" w:sz="0" w:space="0" w:color="auto"/>
            <w:bottom w:val="none" w:sz="0" w:space="0" w:color="auto"/>
            <w:right w:val="none" w:sz="0" w:space="0" w:color="auto"/>
          </w:divBdr>
        </w:div>
        <w:div w:id="800806639">
          <w:marLeft w:val="1080"/>
          <w:marRight w:val="0"/>
          <w:marTop w:val="100"/>
          <w:marBottom w:val="0"/>
          <w:divBdr>
            <w:top w:val="none" w:sz="0" w:space="0" w:color="auto"/>
            <w:left w:val="none" w:sz="0" w:space="0" w:color="auto"/>
            <w:bottom w:val="none" w:sz="0" w:space="0" w:color="auto"/>
            <w:right w:val="none" w:sz="0" w:space="0" w:color="auto"/>
          </w:divBdr>
        </w:div>
        <w:div w:id="885488936">
          <w:marLeft w:val="1080"/>
          <w:marRight w:val="0"/>
          <w:marTop w:val="100"/>
          <w:marBottom w:val="0"/>
          <w:divBdr>
            <w:top w:val="none" w:sz="0" w:space="0" w:color="auto"/>
            <w:left w:val="none" w:sz="0" w:space="0" w:color="auto"/>
            <w:bottom w:val="none" w:sz="0" w:space="0" w:color="auto"/>
            <w:right w:val="none" w:sz="0" w:space="0" w:color="auto"/>
          </w:divBdr>
        </w:div>
        <w:div w:id="373962777">
          <w:marLeft w:val="1080"/>
          <w:marRight w:val="0"/>
          <w:marTop w:val="100"/>
          <w:marBottom w:val="0"/>
          <w:divBdr>
            <w:top w:val="none" w:sz="0" w:space="0" w:color="auto"/>
            <w:left w:val="none" w:sz="0" w:space="0" w:color="auto"/>
            <w:bottom w:val="none" w:sz="0" w:space="0" w:color="auto"/>
            <w:right w:val="none" w:sz="0" w:space="0" w:color="auto"/>
          </w:divBdr>
        </w:div>
        <w:div w:id="502673170">
          <w:marLeft w:val="1080"/>
          <w:marRight w:val="0"/>
          <w:marTop w:val="100"/>
          <w:marBottom w:val="0"/>
          <w:divBdr>
            <w:top w:val="none" w:sz="0" w:space="0" w:color="auto"/>
            <w:left w:val="none" w:sz="0" w:space="0" w:color="auto"/>
            <w:bottom w:val="none" w:sz="0" w:space="0" w:color="auto"/>
            <w:right w:val="none" w:sz="0" w:space="0" w:color="auto"/>
          </w:divBdr>
        </w:div>
        <w:div w:id="1764450911">
          <w:marLeft w:val="1080"/>
          <w:marRight w:val="0"/>
          <w:marTop w:val="100"/>
          <w:marBottom w:val="0"/>
          <w:divBdr>
            <w:top w:val="none" w:sz="0" w:space="0" w:color="auto"/>
            <w:left w:val="none" w:sz="0" w:space="0" w:color="auto"/>
            <w:bottom w:val="none" w:sz="0" w:space="0" w:color="auto"/>
            <w:right w:val="none" w:sz="0" w:space="0" w:color="auto"/>
          </w:divBdr>
        </w:div>
        <w:div w:id="86730535">
          <w:marLeft w:val="1080"/>
          <w:marRight w:val="0"/>
          <w:marTop w:val="100"/>
          <w:marBottom w:val="0"/>
          <w:divBdr>
            <w:top w:val="none" w:sz="0" w:space="0" w:color="auto"/>
            <w:left w:val="none" w:sz="0" w:space="0" w:color="auto"/>
            <w:bottom w:val="none" w:sz="0" w:space="0" w:color="auto"/>
            <w:right w:val="none" w:sz="0" w:space="0" w:color="auto"/>
          </w:divBdr>
        </w:div>
      </w:divsChild>
    </w:div>
    <w:div w:id="2017879924">
      <w:bodyDiv w:val="1"/>
      <w:marLeft w:val="0"/>
      <w:marRight w:val="0"/>
      <w:marTop w:val="0"/>
      <w:marBottom w:val="0"/>
      <w:divBdr>
        <w:top w:val="none" w:sz="0" w:space="0" w:color="auto"/>
        <w:left w:val="none" w:sz="0" w:space="0" w:color="auto"/>
        <w:bottom w:val="none" w:sz="0" w:space="0" w:color="auto"/>
        <w:right w:val="none" w:sz="0" w:space="0" w:color="auto"/>
      </w:divBdr>
      <w:divsChild>
        <w:div w:id="139157072">
          <w:marLeft w:val="360"/>
          <w:marRight w:val="0"/>
          <w:marTop w:val="200"/>
          <w:marBottom w:val="0"/>
          <w:divBdr>
            <w:top w:val="none" w:sz="0" w:space="0" w:color="auto"/>
            <w:left w:val="none" w:sz="0" w:space="0" w:color="auto"/>
            <w:bottom w:val="none" w:sz="0" w:space="0" w:color="auto"/>
            <w:right w:val="none" w:sz="0" w:space="0" w:color="auto"/>
          </w:divBdr>
        </w:div>
        <w:div w:id="130227308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mailto:zelekehenok8@gmai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belshiferaw3417@gmail.com"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CEFD0-F7DB-4ECF-B7E3-F7111CEEA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7599</TotalTime>
  <Pages>27</Pages>
  <Words>30642</Words>
  <Characters>174661</Characters>
  <Application>Microsoft Office Word</Application>
  <DocSecurity>0</DocSecurity>
  <Lines>1455</Lines>
  <Paragraphs>409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75</cp:revision>
  <dcterms:created xsi:type="dcterms:W3CDTF">2019-05-28T14:04:00Z</dcterms:created>
  <dcterms:modified xsi:type="dcterms:W3CDTF">2021-06-04T12:35:00Z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zotero-version="5.0.92"&gt;&lt;session id="nsWUm924"/&gt;&lt;style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