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B065" w14:textId="77777777" w:rsidR="000B6E76" w:rsidRPr="00CE5035" w:rsidRDefault="000B6E76" w:rsidP="00CE5035">
      <w:pPr>
        <w:spacing w:line="240" w:lineRule="auto"/>
        <w:rPr>
          <w:rFonts w:ascii="Arial" w:hAnsi="Arial" w:cs="Arial"/>
          <w:b/>
          <w:sz w:val="24"/>
          <w:szCs w:val="24"/>
        </w:rPr>
      </w:pPr>
      <w:r w:rsidRPr="00CE5035">
        <w:rPr>
          <w:rFonts w:ascii="Arial" w:hAnsi="Arial" w:cs="Arial"/>
          <w:b/>
          <w:sz w:val="24"/>
          <w:szCs w:val="24"/>
        </w:rPr>
        <w:t>TITLE</w:t>
      </w:r>
    </w:p>
    <w:p w14:paraId="38AC0FE5" w14:textId="147E419F" w:rsidR="005A0AE0" w:rsidRPr="00CE5035" w:rsidRDefault="000B6E76" w:rsidP="00CE5035">
      <w:pPr>
        <w:spacing w:line="240" w:lineRule="auto"/>
        <w:rPr>
          <w:rFonts w:ascii="Arial" w:hAnsi="Arial" w:cs="Arial"/>
          <w:b/>
          <w:sz w:val="24"/>
          <w:szCs w:val="24"/>
        </w:rPr>
      </w:pPr>
      <w:r w:rsidRPr="00CE5035">
        <w:rPr>
          <w:rFonts w:ascii="Arial" w:hAnsi="Arial" w:cs="Arial"/>
          <w:b/>
          <w:sz w:val="24"/>
          <w:szCs w:val="24"/>
        </w:rPr>
        <w:t xml:space="preserve">Mitochondrial-targeted methionine sulfoxide reductase overexpression increases production of oxidative stress in mitochondria from skeletal muscle. </w:t>
      </w:r>
      <w:r w:rsidR="00790771" w:rsidRPr="00CE5035">
        <w:rPr>
          <w:rFonts w:ascii="Arial" w:hAnsi="Arial" w:cs="Arial"/>
          <w:b/>
          <w:sz w:val="24"/>
          <w:szCs w:val="24"/>
        </w:rPr>
        <w:t xml:space="preserve"> </w:t>
      </w:r>
    </w:p>
    <w:p w14:paraId="3BEA8AED" w14:textId="77777777" w:rsidR="00790771" w:rsidRPr="00CE5035" w:rsidRDefault="00790771" w:rsidP="00CE5035">
      <w:pPr>
        <w:spacing w:line="240" w:lineRule="auto"/>
        <w:rPr>
          <w:rFonts w:ascii="Arial" w:hAnsi="Arial" w:cs="Arial"/>
          <w:b/>
          <w:sz w:val="24"/>
          <w:szCs w:val="24"/>
        </w:rPr>
      </w:pPr>
      <w:r w:rsidRPr="00CE5035">
        <w:rPr>
          <w:rFonts w:ascii="Arial" w:hAnsi="Arial" w:cs="Arial"/>
          <w:b/>
          <w:sz w:val="24"/>
          <w:szCs w:val="24"/>
        </w:rPr>
        <w:t>AUTHORS</w:t>
      </w:r>
    </w:p>
    <w:p w14:paraId="2FE06B8F" w14:textId="6CD14591" w:rsidR="00FF0AC0" w:rsidRPr="00CE5035" w:rsidRDefault="00550044" w:rsidP="00CE5035">
      <w:pPr>
        <w:spacing w:line="240" w:lineRule="auto"/>
        <w:rPr>
          <w:rFonts w:ascii="Arial" w:hAnsi="Arial" w:cs="Arial"/>
          <w:sz w:val="24"/>
          <w:szCs w:val="24"/>
        </w:rPr>
      </w:pPr>
      <w:r w:rsidRPr="00CE5035">
        <w:rPr>
          <w:rFonts w:ascii="Arial" w:hAnsi="Arial" w:cs="Arial"/>
          <w:sz w:val="24"/>
          <w:szCs w:val="24"/>
        </w:rPr>
        <w:t>Arunabh Bhattacharya</w:t>
      </w:r>
      <w:r w:rsidR="00790771" w:rsidRPr="00CE5035">
        <w:rPr>
          <w:rFonts w:ascii="Arial" w:hAnsi="Arial" w:cs="Arial"/>
          <w:sz w:val="24"/>
          <w:szCs w:val="24"/>
          <w:vertAlign w:val="superscript"/>
        </w:rPr>
        <w:t>1</w:t>
      </w:r>
      <w:r w:rsidR="000C6770" w:rsidRPr="00CE5035">
        <w:rPr>
          <w:rFonts w:ascii="Arial" w:hAnsi="Arial" w:cs="Arial"/>
          <w:sz w:val="24"/>
          <w:szCs w:val="24"/>
          <w:vertAlign w:val="superscript"/>
        </w:rPr>
        <w:t>,2,4</w:t>
      </w:r>
      <w:r w:rsidRPr="00CE5035">
        <w:rPr>
          <w:rFonts w:ascii="Arial" w:hAnsi="Arial" w:cs="Arial"/>
          <w:sz w:val="24"/>
          <w:szCs w:val="24"/>
        </w:rPr>
        <w:t xml:space="preserve">, </w:t>
      </w:r>
      <w:r w:rsidR="00FF0AC0" w:rsidRPr="00CE5035">
        <w:rPr>
          <w:rFonts w:ascii="Arial" w:hAnsi="Arial" w:cs="Arial"/>
          <w:sz w:val="24"/>
          <w:szCs w:val="24"/>
        </w:rPr>
        <w:t>Daniel Pulliam</w:t>
      </w:r>
      <w:r w:rsidR="00790771" w:rsidRPr="00CE5035">
        <w:rPr>
          <w:rFonts w:ascii="Arial" w:hAnsi="Arial" w:cs="Arial"/>
          <w:sz w:val="24"/>
          <w:szCs w:val="24"/>
          <w:vertAlign w:val="superscript"/>
        </w:rPr>
        <w:t>1</w:t>
      </w:r>
      <w:r w:rsidR="00FF0AC0" w:rsidRPr="00CE5035">
        <w:rPr>
          <w:rFonts w:ascii="Arial" w:hAnsi="Arial" w:cs="Arial"/>
          <w:sz w:val="24"/>
          <w:szCs w:val="24"/>
        </w:rPr>
        <w:t xml:space="preserve">, </w:t>
      </w:r>
      <w:r w:rsidR="00790771" w:rsidRPr="00CE5035">
        <w:rPr>
          <w:rFonts w:ascii="Arial" w:hAnsi="Arial" w:cs="Arial"/>
          <w:sz w:val="24"/>
          <w:szCs w:val="24"/>
        </w:rPr>
        <w:t>Yuhong Liu</w:t>
      </w:r>
      <w:r w:rsidR="00790771" w:rsidRPr="00CE5035">
        <w:rPr>
          <w:rFonts w:ascii="Arial" w:hAnsi="Arial" w:cs="Arial"/>
          <w:sz w:val="24"/>
          <w:szCs w:val="24"/>
          <w:vertAlign w:val="superscript"/>
        </w:rPr>
        <w:t>1</w:t>
      </w:r>
      <w:r w:rsidR="00790771" w:rsidRPr="00CE5035">
        <w:rPr>
          <w:rFonts w:ascii="Arial" w:hAnsi="Arial" w:cs="Arial"/>
          <w:sz w:val="24"/>
          <w:szCs w:val="24"/>
        </w:rPr>
        <w:t xml:space="preserve">, </w:t>
      </w:r>
      <w:r w:rsidR="00FF0AC0" w:rsidRPr="00CE5035">
        <w:rPr>
          <w:rFonts w:ascii="Arial" w:hAnsi="Arial" w:cs="Arial"/>
          <w:sz w:val="24"/>
          <w:szCs w:val="24"/>
        </w:rPr>
        <w:t>Adam B. Salmon</w:t>
      </w:r>
      <w:r w:rsidR="000C6770" w:rsidRPr="00CE5035">
        <w:rPr>
          <w:rFonts w:ascii="Arial" w:hAnsi="Arial" w:cs="Arial"/>
          <w:sz w:val="24"/>
          <w:szCs w:val="24"/>
          <w:vertAlign w:val="superscript"/>
        </w:rPr>
        <w:t>1,</w:t>
      </w:r>
      <w:r w:rsidR="00790771" w:rsidRPr="00CE5035">
        <w:rPr>
          <w:rFonts w:ascii="Arial" w:hAnsi="Arial" w:cs="Arial"/>
          <w:sz w:val="24"/>
          <w:szCs w:val="24"/>
          <w:vertAlign w:val="superscript"/>
        </w:rPr>
        <w:t>3</w:t>
      </w:r>
      <w:r w:rsidR="000C6770" w:rsidRPr="00CE5035">
        <w:rPr>
          <w:rFonts w:ascii="Arial" w:hAnsi="Arial" w:cs="Arial"/>
          <w:sz w:val="24"/>
          <w:szCs w:val="24"/>
          <w:vertAlign w:val="superscript"/>
        </w:rPr>
        <w:t>,5</w:t>
      </w:r>
    </w:p>
    <w:p w14:paraId="4F8B0F09" w14:textId="77777777" w:rsidR="00790771" w:rsidRPr="00CE5035" w:rsidRDefault="00790771" w:rsidP="00CE5035">
      <w:pPr>
        <w:spacing w:line="240" w:lineRule="auto"/>
        <w:rPr>
          <w:rFonts w:ascii="Arial" w:hAnsi="Arial" w:cs="Arial"/>
          <w:b/>
          <w:sz w:val="24"/>
          <w:szCs w:val="24"/>
        </w:rPr>
      </w:pPr>
      <w:r w:rsidRPr="00CE5035">
        <w:rPr>
          <w:rFonts w:ascii="Arial" w:hAnsi="Arial" w:cs="Arial"/>
          <w:b/>
          <w:sz w:val="24"/>
          <w:szCs w:val="24"/>
        </w:rPr>
        <w:t>AFFILIATIONS</w:t>
      </w:r>
    </w:p>
    <w:p w14:paraId="24CCAE0E" w14:textId="69DB65D2" w:rsidR="00790771" w:rsidRPr="00CE5035" w:rsidRDefault="00790771" w:rsidP="00CE5035">
      <w:pPr>
        <w:pStyle w:val="ListParagraph"/>
        <w:numPr>
          <w:ilvl w:val="0"/>
          <w:numId w:val="8"/>
        </w:numPr>
        <w:spacing w:after="160" w:line="240" w:lineRule="auto"/>
        <w:rPr>
          <w:rFonts w:ascii="Arial" w:hAnsi="Arial" w:cs="Arial"/>
          <w:sz w:val="24"/>
          <w:szCs w:val="24"/>
        </w:rPr>
      </w:pPr>
      <w:r w:rsidRPr="00CE5035">
        <w:rPr>
          <w:rFonts w:ascii="Arial" w:hAnsi="Arial" w:cs="Arial"/>
          <w:sz w:val="24"/>
          <w:szCs w:val="24"/>
        </w:rPr>
        <w:t>The Sam and Ann Barshop Institute for Longevity and Aging Studies, UT Health San Antonio, San Antonio TX</w:t>
      </w:r>
    </w:p>
    <w:p w14:paraId="20DE1304" w14:textId="65EB8E33" w:rsidR="000C6770" w:rsidRPr="00CE5035" w:rsidRDefault="000C6770" w:rsidP="00CE5035">
      <w:pPr>
        <w:pStyle w:val="ListParagraph"/>
        <w:numPr>
          <w:ilvl w:val="0"/>
          <w:numId w:val="8"/>
        </w:numPr>
        <w:spacing w:after="160" w:line="240" w:lineRule="auto"/>
        <w:rPr>
          <w:rFonts w:ascii="Arial" w:hAnsi="Arial" w:cs="Arial"/>
          <w:sz w:val="24"/>
          <w:szCs w:val="24"/>
        </w:rPr>
      </w:pPr>
      <w:r w:rsidRPr="00CE5035">
        <w:rPr>
          <w:rFonts w:ascii="Arial" w:hAnsi="Arial" w:cs="Arial"/>
          <w:sz w:val="24"/>
          <w:szCs w:val="24"/>
        </w:rPr>
        <w:t>Department of Cellular &amp; Structural Anatomy, UT Health San Antonio, San Antonio TX</w:t>
      </w:r>
    </w:p>
    <w:p w14:paraId="5B3E0422" w14:textId="19EB6D0D" w:rsidR="00790771" w:rsidRPr="00CE5035" w:rsidRDefault="00790771" w:rsidP="00CE5035">
      <w:pPr>
        <w:pStyle w:val="ListParagraph"/>
        <w:numPr>
          <w:ilvl w:val="0"/>
          <w:numId w:val="8"/>
        </w:numPr>
        <w:spacing w:after="160" w:line="240" w:lineRule="auto"/>
        <w:rPr>
          <w:rFonts w:ascii="Arial" w:hAnsi="Arial" w:cs="Arial"/>
          <w:sz w:val="24"/>
          <w:szCs w:val="24"/>
        </w:rPr>
      </w:pPr>
      <w:r w:rsidRPr="00CE5035">
        <w:rPr>
          <w:rFonts w:ascii="Arial" w:hAnsi="Arial" w:cs="Arial"/>
          <w:sz w:val="24"/>
          <w:szCs w:val="24"/>
        </w:rPr>
        <w:t>Department of Molecular Medicine, UT Health San Antonio, San Antonio TX</w:t>
      </w:r>
    </w:p>
    <w:p w14:paraId="77C358AC" w14:textId="6BE6E86E" w:rsidR="000C6770" w:rsidRPr="00CE5035" w:rsidRDefault="000C6770" w:rsidP="00CE5035">
      <w:pPr>
        <w:pStyle w:val="ListParagraph"/>
        <w:numPr>
          <w:ilvl w:val="0"/>
          <w:numId w:val="8"/>
        </w:numPr>
        <w:spacing w:after="160" w:line="240" w:lineRule="auto"/>
        <w:rPr>
          <w:rFonts w:ascii="Arial" w:hAnsi="Arial" w:cs="Arial"/>
          <w:sz w:val="24"/>
          <w:szCs w:val="24"/>
        </w:rPr>
      </w:pPr>
      <w:r w:rsidRPr="00CE5035">
        <w:rPr>
          <w:rFonts w:ascii="Arial" w:hAnsi="Arial" w:cs="Arial"/>
          <w:sz w:val="24"/>
          <w:szCs w:val="24"/>
        </w:rPr>
        <w:t>Department of Clinically Applied Science Education, University of the Incarnate Word School of Osteopathic Medicine, San Antonio, TX</w:t>
      </w:r>
    </w:p>
    <w:p w14:paraId="75317D44" w14:textId="77777777" w:rsidR="00FF0AC0" w:rsidRPr="00CE5035" w:rsidRDefault="00790771" w:rsidP="00CE5035">
      <w:pPr>
        <w:pStyle w:val="ListParagraph"/>
        <w:numPr>
          <w:ilvl w:val="0"/>
          <w:numId w:val="8"/>
        </w:numPr>
        <w:spacing w:after="160" w:line="240" w:lineRule="auto"/>
        <w:rPr>
          <w:rFonts w:ascii="Arial" w:hAnsi="Arial" w:cs="Arial"/>
          <w:sz w:val="24"/>
          <w:szCs w:val="24"/>
        </w:rPr>
      </w:pPr>
      <w:r w:rsidRPr="00CE5035">
        <w:rPr>
          <w:rFonts w:ascii="Arial" w:hAnsi="Arial" w:cs="Arial"/>
          <w:sz w:val="24"/>
          <w:szCs w:val="24"/>
        </w:rPr>
        <w:t>Geriatric Research, Education and Clinical Center, South Texas Veterans Healthcare System, San Antonio TX</w:t>
      </w:r>
    </w:p>
    <w:p w14:paraId="069F8FA5" w14:textId="28AF5C2E" w:rsidR="00790771" w:rsidRPr="00CE5035" w:rsidRDefault="00790771" w:rsidP="00CE5035">
      <w:pPr>
        <w:spacing w:line="240" w:lineRule="auto"/>
        <w:rPr>
          <w:rFonts w:ascii="Arial" w:hAnsi="Arial" w:cs="Arial"/>
          <w:b/>
          <w:sz w:val="24"/>
          <w:szCs w:val="24"/>
        </w:rPr>
      </w:pPr>
      <w:r w:rsidRPr="00CE5035">
        <w:rPr>
          <w:rFonts w:ascii="Arial" w:hAnsi="Arial" w:cs="Arial"/>
          <w:b/>
          <w:sz w:val="24"/>
          <w:szCs w:val="24"/>
        </w:rPr>
        <w:t>ABSTRACT</w:t>
      </w:r>
    </w:p>
    <w:p w14:paraId="6A7023CB" w14:textId="36887AF0" w:rsidR="00D10025" w:rsidRPr="00CE5035" w:rsidRDefault="00D10025" w:rsidP="00CE5035">
      <w:pPr>
        <w:spacing w:line="240" w:lineRule="auto"/>
        <w:rPr>
          <w:rFonts w:ascii="Arial" w:hAnsi="Arial" w:cs="Arial"/>
          <w:sz w:val="24"/>
          <w:szCs w:val="24"/>
        </w:rPr>
      </w:pPr>
      <w:r w:rsidRPr="00CE5035">
        <w:rPr>
          <w:rFonts w:ascii="Arial" w:hAnsi="Arial" w:cs="Arial"/>
          <w:b/>
          <w:sz w:val="24"/>
          <w:szCs w:val="24"/>
        </w:rPr>
        <w:tab/>
      </w:r>
      <w:r w:rsidRPr="00CE5035">
        <w:rPr>
          <w:rFonts w:ascii="Arial" w:hAnsi="Arial" w:cs="Arial"/>
          <w:sz w:val="24"/>
          <w:szCs w:val="24"/>
        </w:rPr>
        <w:t xml:space="preserve">Mitochondrial dysfunction is part of the etiology of myriad health issues particularly those that occur with advancing age. Methionine sulfoxide reductase A (MsrA) </w:t>
      </w:r>
      <w:r w:rsidR="000B6E76" w:rsidRPr="00CE5035">
        <w:rPr>
          <w:rFonts w:ascii="Arial" w:hAnsi="Arial" w:cs="Arial"/>
          <w:sz w:val="24"/>
          <w:szCs w:val="24"/>
        </w:rPr>
        <w:t xml:space="preserve">is a ubiquitous protein oxidation repair enzyme that specifically catalytically reduces a specific epimer of oxidized methionine, </w:t>
      </w:r>
      <w:r w:rsidR="00F83645" w:rsidRPr="00CE5035">
        <w:rPr>
          <w:rFonts w:ascii="Arial" w:hAnsi="Arial" w:cs="Arial"/>
          <w:sz w:val="24"/>
          <w:szCs w:val="24"/>
        </w:rPr>
        <w:t>methionine sulfoxide</w:t>
      </w:r>
      <w:r w:rsidRPr="00CE5035">
        <w:rPr>
          <w:rFonts w:ascii="Arial" w:hAnsi="Arial" w:cs="Arial"/>
          <w:sz w:val="24"/>
          <w:szCs w:val="24"/>
        </w:rPr>
        <w:t xml:space="preserve">. </w:t>
      </w:r>
      <w:r w:rsidR="000B6E76" w:rsidRPr="00CE5035">
        <w:rPr>
          <w:rFonts w:ascii="Arial" w:hAnsi="Arial" w:cs="Arial"/>
          <w:sz w:val="24"/>
          <w:szCs w:val="24"/>
        </w:rPr>
        <w:t xml:space="preserve">MsrA then may play a partial role in maintaining normal protein homeostasis by specifically repairing oxidized proteins. </w:t>
      </w:r>
      <w:r w:rsidRPr="00CE5035">
        <w:rPr>
          <w:rFonts w:ascii="Arial" w:hAnsi="Arial" w:cs="Arial"/>
          <w:sz w:val="24"/>
          <w:szCs w:val="24"/>
        </w:rPr>
        <w:t xml:space="preserve">There is also growing evidence that MsrA is a functional requirement for sustaining optimal mitochondrial respiration and free radical generation. In this study, we tested </w:t>
      </w:r>
      <w:r w:rsidR="000B6E76" w:rsidRPr="00CE5035">
        <w:rPr>
          <w:rFonts w:ascii="Arial" w:hAnsi="Arial" w:cs="Arial"/>
          <w:sz w:val="24"/>
          <w:szCs w:val="24"/>
        </w:rPr>
        <w:t xml:space="preserve">the </w:t>
      </w:r>
      <w:r w:rsidRPr="00CE5035">
        <w:rPr>
          <w:rFonts w:ascii="Arial" w:hAnsi="Arial" w:cs="Arial"/>
          <w:sz w:val="24"/>
          <w:szCs w:val="24"/>
        </w:rPr>
        <w:t xml:space="preserve">function, including free radical generation, ATP production and respiration, of isolated mitochondria from </w:t>
      </w:r>
      <w:r w:rsidR="000C6770" w:rsidRPr="00CE5035">
        <w:rPr>
          <w:rFonts w:ascii="Arial" w:hAnsi="Arial" w:cs="Arial"/>
          <w:sz w:val="24"/>
          <w:szCs w:val="24"/>
        </w:rPr>
        <w:t xml:space="preserve">the skeletal muscle of </w:t>
      </w:r>
      <w:r w:rsidRPr="00CE5035">
        <w:rPr>
          <w:rFonts w:ascii="Arial" w:hAnsi="Arial" w:cs="Arial"/>
          <w:sz w:val="24"/>
          <w:szCs w:val="24"/>
        </w:rPr>
        <w:t xml:space="preserve">two </w:t>
      </w:r>
      <w:r w:rsidR="000C6770" w:rsidRPr="00CE5035">
        <w:rPr>
          <w:rFonts w:ascii="Arial" w:hAnsi="Arial" w:cs="Arial"/>
          <w:sz w:val="24"/>
          <w:szCs w:val="24"/>
        </w:rPr>
        <w:t xml:space="preserve">lines of </w:t>
      </w:r>
      <w:r w:rsidRPr="00CE5035">
        <w:rPr>
          <w:rFonts w:ascii="Arial" w:hAnsi="Arial" w:cs="Arial"/>
          <w:sz w:val="24"/>
          <w:szCs w:val="24"/>
        </w:rPr>
        <w:t xml:space="preserve">transgenic mice with increased MsrA expression. Surprisingly, in </w:t>
      </w:r>
      <w:r w:rsidR="00132562" w:rsidRPr="00CE5035">
        <w:rPr>
          <w:rFonts w:ascii="Arial" w:hAnsi="Arial" w:cs="Arial"/>
          <w:sz w:val="24"/>
          <w:szCs w:val="24"/>
        </w:rPr>
        <w:t xml:space="preserve">samples from </w:t>
      </w:r>
      <w:r w:rsidRPr="00CE5035">
        <w:rPr>
          <w:rFonts w:ascii="Arial" w:hAnsi="Arial" w:cs="Arial"/>
          <w:sz w:val="24"/>
          <w:szCs w:val="24"/>
        </w:rPr>
        <w:t xml:space="preserve">mice with mitochondrial-targeted MsrA overexpression we found </w:t>
      </w:r>
      <w:r w:rsidR="004E2D7B" w:rsidRPr="00CE5035">
        <w:rPr>
          <w:rFonts w:ascii="Arial" w:hAnsi="Arial" w:cs="Arial"/>
          <w:sz w:val="24"/>
          <w:szCs w:val="24"/>
        </w:rPr>
        <w:t xml:space="preserve">dramatically </w:t>
      </w:r>
      <w:r w:rsidRPr="00CE5035">
        <w:rPr>
          <w:rFonts w:ascii="Arial" w:hAnsi="Arial" w:cs="Arial"/>
          <w:sz w:val="24"/>
          <w:szCs w:val="24"/>
        </w:rPr>
        <w:t xml:space="preserve">increased free radical production </w:t>
      </w:r>
      <w:r w:rsidR="00F83645" w:rsidRPr="00CE5035">
        <w:rPr>
          <w:rFonts w:ascii="Arial" w:hAnsi="Arial" w:cs="Arial"/>
          <w:sz w:val="24"/>
          <w:szCs w:val="24"/>
        </w:rPr>
        <w:t>though</w:t>
      </w:r>
      <w:r w:rsidRPr="00CE5035">
        <w:rPr>
          <w:rFonts w:ascii="Arial" w:hAnsi="Arial" w:cs="Arial"/>
          <w:sz w:val="24"/>
          <w:szCs w:val="24"/>
        </w:rPr>
        <w:t xml:space="preserve"> no </w:t>
      </w:r>
      <w:r w:rsidR="00F83645" w:rsidRPr="00CE5035">
        <w:rPr>
          <w:rFonts w:ascii="Arial" w:hAnsi="Arial" w:cs="Arial"/>
          <w:sz w:val="24"/>
          <w:szCs w:val="24"/>
        </w:rPr>
        <w:t xml:space="preserve">specific </w:t>
      </w:r>
      <w:r w:rsidRPr="00CE5035">
        <w:rPr>
          <w:rFonts w:ascii="Arial" w:hAnsi="Arial" w:cs="Arial"/>
          <w:sz w:val="24"/>
          <w:szCs w:val="24"/>
        </w:rPr>
        <w:t xml:space="preserve">defect in respiration, ATP production or membrane potential. </w:t>
      </w:r>
      <w:r w:rsidR="004E2D7B" w:rsidRPr="00CE5035">
        <w:rPr>
          <w:rFonts w:ascii="Arial" w:hAnsi="Arial" w:cs="Arial"/>
          <w:sz w:val="24"/>
          <w:szCs w:val="24"/>
        </w:rPr>
        <w:t>Among t</w:t>
      </w:r>
      <w:r w:rsidR="00F83645" w:rsidRPr="00CE5035">
        <w:rPr>
          <w:rFonts w:ascii="Arial" w:hAnsi="Arial" w:cs="Arial"/>
          <w:sz w:val="24"/>
          <w:szCs w:val="24"/>
        </w:rPr>
        <w:t>he electron transport chain com</w:t>
      </w:r>
      <w:r w:rsidR="004E2D7B" w:rsidRPr="00CE5035">
        <w:rPr>
          <w:rFonts w:ascii="Arial" w:hAnsi="Arial" w:cs="Arial"/>
          <w:sz w:val="24"/>
          <w:szCs w:val="24"/>
        </w:rPr>
        <w:t xml:space="preserve">plexes, we found the activity of complex I specifically was reduced in mitochondrial MsrA transgenic mice. </w:t>
      </w:r>
      <w:r w:rsidRPr="00CE5035">
        <w:rPr>
          <w:rFonts w:ascii="Arial" w:hAnsi="Arial" w:cs="Arial"/>
          <w:sz w:val="24"/>
          <w:szCs w:val="24"/>
        </w:rPr>
        <w:t xml:space="preserve">In mice with cytosolic-targeted MsrA overexpression, we found no significant alteration </w:t>
      </w:r>
      <w:r w:rsidR="004E2D7B" w:rsidRPr="00CE5035">
        <w:rPr>
          <w:rFonts w:ascii="Arial" w:hAnsi="Arial" w:cs="Arial"/>
          <w:sz w:val="24"/>
          <w:szCs w:val="24"/>
        </w:rPr>
        <w:t>to any of these parameters of</w:t>
      </w:r>
      <w:r w:rsidR="00AF6DCF" w:rsidRPr="00CE5035">
        <w:rPr>
          <w:rFonts w:ascii="Arial" w:hAnsi="Arial" w:cs="Arial"/>
          <w:sz w:val="24"/>
          <w:szCs w:val="24"/>
        </w:rPr>
        <w:t xml:space="preserve"> mitochondrial</w:t>
      </w:r>
      <w:r w:rsidR="004E2D7B" w:rsidRPr="00CE5035">
        <w:rPr>
          <w:rFonts w:ascii="Arial" w:hAnsi="Arial" w:cs="Arial"/>
          <w:sz w:val="24"/>
          <w:szCs w:val="24"/>
        </w:rPr>
        <w:t xml:space="preserve"> energetics.</w:t>
      </w:r>
      <w:r w:rsidR="00AF6DCF" w:rsidRPr="00CE5035">
        <w:rPr>
          <w:rFonts w:ascii="Arial" w:hAnsi="Arial" w:cs="Arial"/>
          <w:sz w:val="24"/>
          <w:szCs w:val="24"/>
        </w:rPr>
        <w:t xml:space="preserve"> </w:t>
      </w:r>
      <w:r w:rsidR="004E2D7B" w:rsidRPr="00CE5035">
        <w:rPr>
          <w:rFonts w:ascii="Arial" w:hAnsi="Arial" w:cs="Arial"/>
          <w:sz w:val="24"/>
          <w:szCs w:val="24"/>
        </w:rPr>
        <w:t xml:space="preserve">Our studies highlight a potential novel role for MsrA in regulating the activity of mitochondrial function. </w:t>
      </w:r>
    </w:p>
    <w:p w14:paraId="32565CD2" w14:textId="77777777" w:rsidR="00790771" w:rsidRPr="00CE5035" w:rsidRDefault="00790771" w:rsidP="00CE5035">
      <w:pPr>
        <w:spacing w:line="240" w:lineRule="auto"/>
        <w:rPr>
          <w:rFonts w:ascii="Arial" w:hAnsi="Arial" w:cs="Arial"/>
          <w:b/>
          <w:sz w:val="24"/>
          <w:szCs w:val="24"/>
        </w:rPr>
      </w:pPr>
    </w:p>
    <w:p w14:paraId="3633C0C0" w14:textId="77777777" w:rsidR="00790771" w:rsidRPr="00CE5035" w:rsidRDefault="00790771" w:rsidP="00CE5035">
      <w:pPr>
        <w:spacing w:line="240" w:lineRule="auto"/>
        <w:rPr>
          <w:rFonts w:ascii="Arial" w:hAnsi="Arial" w:cs="Arial"/>
          <w:b/>
          <w:sz w:val="24"/>
          <w:szCs w:val="24"/>
        </w:rPr>
      </w:pPr>
      <w:r w:rsidRPr="00CE5035">
        <w:rPr>
          <w:rFonts w:ascii="Arial" w:hAnsi="Arial" w:cs="Arial"/>
          <w:b/>
          <w:sz w:val="24"/>
          <w:szCs w:val="24"/>
        </w:rPr>
        <w:t>KEYWORDS</w:t>
      </w:r>
    </w:p>
    <w:p w14:paraId="7A766521" w14:textId="3BA98FA2" w:rsidR="00790771" w:rsidRPr="00CE5035" w:rsidRDefault="00790771" w:rsidP="00CE5035">
      <w:pPr>
        <w:spacing w:line="240" w:lineRule="auto"/>
        <w:rPr>
          <w:rFonts w:ascii="Arial" w:hAnsi="Arial" w:cs="Arial"/>
          <w:sz w:val="24"/>
          <w:szCs w:val="24"/>
        </w:rPr>
      </w:pPr>
      <w:r w:rsidRPr="00CE5035">
        <w:rPr>
          <w:rFonts w:ascii="Arial" w:hAnsi="Arial" w:cs="Arial"/>
          <w:sz w:val="24"/>
          <w:szCs w:val="24"/>
        </w:rPr>
        <w:t>Superoxide, oxidative stress, mitochondria, protein homeostasis</w:t>
      </w:r>
      <w:r w:rsidR="00362163" w:rsidRPr="00CE5035">
        <w:rPr>
          <w:rFonts w:ascii="Arial" w:hAnsi="Arial" w:cs="Arial"/>
          <w:sz w:val="24"/>
          <w:szCs w:val="24"/>
        </w:rPr>
        <w:t>, electron transport chain</w:t>
      </w:r>
    </w:p>
    <w:p w14:paraId="2B12ABF5" w14:textId="77777777" w:rsidR="00790771" w:rsidRPr="00CE5035" w:rsidRDefault="00790771" w:rsidP="00CE5035">
      <w:pPr>
        <w:spacing w:line="240" w:lineRule="auto"/>
        <w:rPr>
          <w:rFonts w:ascii="Arial" w:hAnsi="Arial" w:cs="Arial"/>
          <w:b/>
          <w:sz w:val="24"/>
          <w:szCs w:val="24"/>
        </w:rPr>
      </w:pPr>
    </w:p>
    <w:p w14:paraId="065BB158" w14:textId="77777777" w:rsidR="00FF0AC0" w:rsidRPr="00CE5035" w:rsidRDefault="00790771" w:rsidP="00CE5035">
      <w:pPr>
        <w:spacing w:line="240" w:lineRule="auto"/>
        <w:rPr>
          <w:rFonts w:ascii="Arial" w:hAnsi="Arial" w:cs="Arial"/>
          <w:b/>
          <w:sz w:val="24"/>
          <w:szCs w:val="24"/>
        </w:rPr>
      </w:pPr>
      <w:r w:rsidRPr="00CE5035">
        <w:rPr>
          <w:rFonts w:ascii="Arial" w:hAnsi="Arial" w:cs="Arial"/>
          <w:b/>
          <w:sz w:val="24"/>
          <w:szCs w:val="24"/>
        </w:rPr>
        <w:t>INTRODUCTION</w:t>
      </w:r>
    </w:p>
    <w:p w14:paraId="0C4C5B49" w14:textId="6E0BD28A" w:rsidR="00050AB8" w:rsidRPr="00CE5035" w:rsidRDefault="00F75E40" w:rsidP="00CE5035">
      <w:pPr>
        <w:spacing w:line="240" w:lineRule="auto"/>
        <w:ind w:firstLine="720"/>
        <w:rPr>
          <w:rFonts w:ascii="Arial" w:hAnsi="Arial" w:cs="Arial"/>
          <w:sz w:val="24"/>
          <w:szCs w:val="24"/>
        </w:rPr>
      </w:pPr>
      <w:r w:rsidRPr="00CE5035">
        <w:rPr>
          <w:rFonts w:ascii="Arial" w:hAnsi="Arial" w:cs="Arial"/>
          <w:sz w:val="24"/>
          <w:szCs w:val="24"/>
        </w:rPr>
        <w:t xml:space="preserve">Mitochondrial dysfunction is a causative factor for numerous diseases and pathology and </w:t>
      </w:r>
      <w:r w:rsidR="004B362B" w:rsidRPr="00CE5035">
        <w:rPr>
          <w:rFonts w:ascii="Arial" w:hAnsi="Arial" w:cs="Arial"/>
          <w:sz w:val="24"/>
          <w:szCs w:val="24"/>
        </w:rPr>
        <w:t>may</w:t>
      </w:r>
      <w:r w:rsidRPr="00CE5035">
        <w:rPr>
          <w:rFonts w:ascii="Arial" w:hAnsi="Arial" w:cs="Arial"/>
          <w:sz w:val="24"/>
          <w:szCs w:val="24"/>
        </w:rPr>
        <w:t xml:space="preserve"> be a potential primary driver of the aging process itself. One </w:t>
      </w:r>
      <w:r w:rsidR="00F83645" w:rsidRPr="00CE5035">
        <w:rPr>
          <w:rFonts w:ascii="Arial" w:hAnsi="Arial" w:cs="Arial"/>
          <w:sz w:val="24"/>
          <w:szCs w:val="24"/>
        </w:rPr>
        <w:t>cause of</w:t>
      </w:r>
      <w:r w:rsidR="00050AB8" w:rsidRPr="00CE5035">
        <w:rPr>
          <w:rFonts w:ascii="Arial" w:hAnsi="Arial" w:cs="Arial"/>
          <w:sz w:val="24"/>
          <w:szCs w:val="24"/>
        </w:rPr>
        <w:t xml:space="preserve"> mitochondrial dysfunction </w:t>
      </w:r>
      <w:r w:rsidR="00050AB8" w:rsidRPr="00CE5035">
        <w:rPr>
          <w:rFonts w:ascii="Arial" w:hAnsi="Arial" w:cs="Arial"/>
          <w:i/>
          <w:sz w:val="24"/>
          <w:szCs w:val="24"/>
        </w:rPr>
        <w:t>in vivo</w:t>
      </w:r>
      <w:r w:rsidR="00050AB8" w:rsidRPr="00CE5035">
        <w:rPr>
          <w:rFonts w:ascii="Arial" w:hAnsi="Arial" w:cs="Arial"/>
          <w:sz w:val="24"/>
          <w:szCs w:val="24"/>
        </w:rPr>
        <w:t xml:space="preserve"> is loss of mitochondrial protein homeostasis (mito-proteostasis)</w:t>
      </w:r>
      <w:r w:rsidR="004B362B" w:rsidRPr="00CE5035">
        <w:rPr>
          <w:rFonts w:ascii="Arial" w:hAnsi="Arial" w:cs="Arial"/>
          <w:sz w:val="24"/>
          <w:szCs w:val="24"/>
        </w:rPr>
        <w:t xml:space="preserve">, the </w:t>
      </w:r>
      <w:r w:rsidR="00050AB8" w:rsidRPr="00CE5035">
        <w:rPr>
          <w:rFonts w:ascii="Arial" w:hAnsi="Arial" w:cs="Arial"/>
          <w:sz w:val="24"/>
          <w:szCs w:val="24"/>
        </w:rPr>
        <w:t>tightly regulated balance of protein translation, protein quality control</w:t>
      </w:r>
      <w:r w:rsidR="004B362B" w:rsidRPr="00CE5035">
        <w:rPr>
          <w:rFonts w:ascii="Arial" w:hAnsi="Arial" w:cs="Arial"/>
          <w:sz w:val="24"/>
          <w:szCs w:val="24"/>
        </w:rPr>
        <w:t xml:space="preserve"> and protein degradation. I</w:t>
      </w:r>
      <w:r w:rsidR="00050AB8" w:rsidRPr="00CE5035">
        <w:rPr>
          <w:rFonts w:ascii="Arial" w:hAnsi="Arial" w:cs="Arial"/>
          <w:sz w:val="24"/>
          <w:szCs w:val="24"/>
        </w:rPr>
        <w:t>n the case of the mitochondria is complica</w:t>
      </w:r>
      <w:r w:rsidR="004B362B" w:rsidRPr="00CE5035">
        <w:rPr>
          <w:rFonts w:ascii="Arial" w:hAnsi="Arial" w:cs="Arial"/>
          <w:sz w:val="24"/>
          <w:szCs w:val="24"/>
        </w:rPr>
        <w:t xml:space="preserve">ted by two significant factors. </w:t>
      </w:r>
      <w:r w:rsidR="00050AB8" w:rsidRPr="00CE5035">
        <w:rPr>
          <w:rFonts w:ascii="Arial" w:hAnsi="Arial" w:cs="Arial"/>
          <w:sz w:val="24"/>
          <w:szCs w:val="24"/>
        </w:rPr>
        <w:t xml:space="preserve">First, &gt;90% of the mitochondrial proteome is translated in the cytosol and imported to the mitochondria in an unfolded state in which they are highly susceptible to oxidation </w:t>
      </w:r>
      <w:r w:rsidRPr="00CE5035">
        <w:rPr>
          <w:rFonts w:ascii="Arial" w:hAnsi="Arial" w:cs="Arial"/>
          <w:sz w:val="24"/>
          <w:szCs w:val="24"/>
        </w:rPr>
        <w:fldChar w:fldCharType="begin"/>
      </w:r>
      <w:r w:rsidRPr="00CE5035">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sidRPr="00CE5035">
        <w:rPr>
          <w:rFonts w:ascii="Arial" w:hAnsi="Arial" w:cs="Arial"/>
          <w:sz w:val="24"/>
          <w:szCs w:val="24"/>
        </w:rPr>
        <w:fldChar w:fldCharType="separate"/>
      </w:r>
      <w:r w:rsidRPr="00CE5035">
        <w:rPr>
          <w:rFonts w:ascii="Arial" w:hAnsi="Arial" w:cs="Arial"/>
          <w:noProof/>
          <w:sz w:val="24"/>
          <w:szCs w:val="24"/>
        </w:rPr>
        <w:t>(</w:t>
      </w:r>
      <w:hyperlink w:anchor="_ENREF_1" w:tooltip="Schmidt, 2010 #1" w:history="1">
        <w:r w:rsidR="00132562" w:rsidRPr="00CE5035">
          <w:rPr>
            <w:rFonts w:ascii="Arial" w:hAnsi="Arial" w:cs="Arial"/>
            <w:noProof/>
            <w:sz w:val="24"/>
            <w:szCs w:val="24"/>
          </w:rPr>
          <w:t>1</w:t>
        </w:r>
      </w:hyperlink>
      <w:r w:rsidRPr="00CE5035">
        <w:rPr>
          <w:rFonts w:ascii="Arial" w:hAnsi="Arial" w:cs="Arial"/>
          <w:noProof/>
          <w:sz w:val="24"/>
          <w:szCs w:val="24"/>
        </w:rPr>
        <w:t>)</w:t>
      </w:r>
      <w:r w:rsidRPr="00CE5035">
        <w:rPr>
          <w:rFonts w:ascii="Arial" w:hAnsi="Arial" w:cs="Arial"/>
          <w:sz w:val="24"/>
          <w:szCs w:val="24"/>
        </w:rPr>
        <w:fldChar w:fldCharType="end"/>
      </w:r>
      <w:r w:rsidR="00050AB8" w:rsidRPr="00CE5035">
        <w:rPr>
          <w:rFonts w:ascii="Arial" w:hAnsi="Arial" w:cs="Arial"/>
          <w:sz w:val="24"/>
          <w:szCs w:val="24"/>
        </w:rPr>
        <w:t xml:space="preserve">. Second, relative to the cytosolic proteome, the mitochondrial proteome is highly </w:t>
      </w:r>
      <w:r w:rsidR="00050AB8" w:rsidRPr="00CE5035">
        <w:rPr>
          <w:rFonts w:ascii="Arial" w:hAnsi="Arial" w:cs="Arial"/>
          <w:sz w:val="24"/>
          <w:szCs w:val="24"/>
        </w:rPr>
        <w:lastRenderedPageBreak/>
        <w:t xml:space="preserve">enriched in methionine </w:t>
      </w:r>
      <w:r w:rsidR="000C6770" w:rsidRPr="00CE5035">
        <w:rPr>
          <w:rFonts w:ascii="Arial" w:hAnsi="Arial" w:cs="Arial"/>
          <w:sz w:val="24"/>
          <w:szCs w:val="24"/>
        </w:rPr>
        <w:t xml:space="preserve">which is </w:t>
      </w:r>
      <w:r w:rsidR="00050AB8" w:rsidRPr="00CE5035">
        <w:rPr>
          <w:rFonts w:ascii="Arial" w:hAnsi="Arial" w:cs="Arial"/>
          <w:sz w:val="24"/>
          <w:szCs w:val="24"/>
        </w:rPr>
        <w:t>one of the most readily oxidized amino acids due to its side-chain sulfur atom</w:t>
      </w:r>
      <w:r w:rsidR="008C3C77" w:rsidRPr="00CE5035">
        <w:rPr>
          <w:rFonts w:ascii="Arial" w:hAnsi="Arial" w:cs="Arial"/>
          <w:sz w:val="24"/>
          <w:szCs w:val="24"/>
        </w:rPr>
        <w:t xml:space="preserve"> </w:t>
      </w:r>
      <w:r w:rsidR="008C3C77" w:rsidRPr="00CE5035">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sidR="008C3C77" w:rsidRPr="00CE5035">
        <w:rPr>
          <w:rFonts w:ascii="Arial" w:hAnsi="Arial" w:cs="Arial"/>
          <w:sz w:val="24"/>
          <w:szCs w:val="24"/>
        </w:rPr>
        <w:instrText xml:space="preserve"> ADDIN EN.CITE </w:instrText>
      </w:r>
      <w:r w:rsidR="008C3C77" w:rsidRPr="00CE5035">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sidR="008C3C77" w:rsidRPr="00CE5035">
        <w:rPr>
          <w:rFonts w:ascii="Arial" w:hAnsi="Arial" w:cs="Arial"/>
          <w:sz w:val="24"/>
          <w:szCs w:val="24"/>
        </w:rPr>
        <w:instrText xml:space="preserve"> ADDIN EN.CITE.DATA </w:instrText>
      </w:r>
      <w:r w:rsidR="008C3C77" w:rsidRPr="00CE5035">
        <w:rPr>
          <w:rFonts w:ascii="Arial" w:hAnsi="Arial" w:cs="Arial"/>
          <w:sz w:val="24"/>
          <w:szCs w:val="24"/>
        </w:rPr>
      </w:r>
      <w:r w:rsidR="008C3C77" w:rsidRPr="00CE5035">
        <w:rPr>
          <w:rFonts w:ascii="Arial" w:hAnsi="Arial" w:cs="Arial"/>
          <w:sz w:val="24"/>
          <w:szCs w:val="24"/>
        </w:rPr>
        <w:fldChar w:fldCharType="end"/>
      </w:r>
      <w:r w:rsidR="008C3C77" w:rsidRPr="00CE5035">
        <w:rPr>
          <w:rFonts w:ascii="Arial" w:hAnsi="Arial" w:cs="Arial"/>
          <w:sz w:val="24"/>
          <w:szCs w:val="24"/>
        </w:rPr>
      </w:r>
      <w:r w:rsidR="008C3C77" w:rsidRPr="00CE5035">
        <w:rPr>
          <w:rFonts w:ascii="Arial" w:hAnsi="Arial" w:cs="Arial"/>
          <w:sz w:val="24"/>
          <w:szCs w:val="24"/>
        </w:rPr>
        <w:fldChar w:fldCharType="separate"/>
      </w:r>
      <w:r w:rsidR="008C3C77" w:rsidRPr="00CE5035">
        <w:rPr>
          <w:rFonts w:ascii="Arial" w:hAnsi="Arial" w:cs="Arial"/>
          <w:noProof/>
          <w:sz w:val="24"/>
          <w:szCs w:val="24"/>
        </w:rPr>
        <w:t>(</w:t>
      </w:r>
      <w:hyperlink w:anchor="_ENREF_2" w:tooltip="Bender, 2008 #3" w:history="1">
        <w:r w:rsidR="00132562" w:rsidRPr="00CE5035">
          <w:rPr>
            <w:rFonts w:ascii="Arial" w:hAnsi="Arial" w:cs="Arial"/>
            <w:noProof/>
            <w:sz w:val="24"/>
            <w:szCs w:val="24"/>
          </w:rPr>
          <w:t>2</w:t>
        </w:r>
      </w:hyperlink>
      <w:r w:rsidR="008C3C77" w:rsidRPr="00CE5035">
        <w:rPr>
          <w:rFonts w:ascii="Arial" w:hAnsi="Arial" w:cs="Arial"/>
          <w:noProof/>
          <w:sz w:val="24"/>
          <w:szCs w:val="24"/>
        </w:rPr>
        <w:t xml:space="preserve">, </w:t>
      </w:r>
      <w:hyperlink w:anchor="_ENREF_3" w:tooltip="Moosmann, 2011 #2" w:history="1">
        <w:r w:rsidR="00132562" w:rsidRPr="00CE5035">
          <w:rPr>
            <w:rFonts w:ascii="Arial" w:hAnsi="Arial" w:cs="Arial"/>
            <w:noProof/>
            <w:sz w:val="24"/>
            <w:szCs w:val="24"/>
          </w:rPr>
          <w:t>3</w:t>
        </w:r>
      </w:hyperlink>
      <w:r w:rsidR="008C3C77" w:rsidRPr="00CE5035">
        <w:rPr>
          <w:rFonts w:ascii="Arial" w:hAnsi="Arial" w:cs="Arial"/>
          <w:noProof/>
          <w:sz w:val="24"/>
          <w:szCs w:val="24"/>
        </w:rPr>
        <w:t>)</w:t>
      </w:r>
      <w:r w:rsidR="008C3C77" w:rsidRPr="00CE5035">
        <w:rPr>
          <w:rFonts w:ascii="Arial" w:hAnsi="Arial" w:cs="Arial"/>
          <w:sz w:val="24"/>
          <w:szCs w:val="24"/>
        </w:rPr>
        <w:fldChar w:fldCharType="end"/>
      </w:r>
      <w:r w:rsidR="009264BA" w:rsidRPr="00CE5035">
        <w:rPr>
          <w:rFonts w:ascii="Arial" w:hAnsi="Arial" w:cs="Arial"/>
          <w:sz w:val="24"/>
          <w:szCs w:val="24"/>
        </w:rPr>
        <w:t>. The sequence of some of the proteins that make up the electron transport chain complexes have been reported to be 8-13% methionine in contrast to an average usage rate of 2.2-2.8%</w:t>
      </w:r>
      <w:r w:rsidR="008C3C77" w:rsidRPr="00CE5035">
        <w:rPr>
          <w:rFonts w:ascii="Arial" w:hAnsi="Arial" w:cs="Arial"/>
          <w:sz w:val="24"/>
          <w:szCs w:val="24"/>
        </w:rPr>
        <w:t xml:space="preserve"> among all cellular proteins </w:t>
      </w:r>
      <w:r w:rsidR="008C3C77" w:rsidRPr="00CE5035">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
</w:fldData>
        </w:fldChar>
      </w:r>
      <w:r w:rsidR="008C3C77" w:rsidRPr="00CE5035">
        <w:rPr>
          <w:rFonts w:ascii="Arial" w:hAnsi="Arial" w:cs="Arial"/>
          <w:sz w:val="24"/>
          <w:szCs w:val="24"/>
        </w:rPr>
        <w:instrText xml:space="preserve"> ADDIN EN.CITE </w:instrText>
      </w:r>
      <w:r w:rsidR="008C3C77" w:rsidRPr="00CE5035">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
</w:fldData>
        </w:fldChar>
      </w:r>
      <w:r w:rsidR="008C3C77" w:rsidRPr="00CE5035">
        <w:rPr>
          <w:rFonts w:ascii="Arial" w:hAnsi="Arial" w:cs="Arial"/>
          <w:sz w:val="24"/>
          <w:szCs w:val="24"/>
        </w:rPr>
        <w:instrText xml:space="preserve"> ADDIN EN.CITE.DATA </w:instrText>
      </w:r>
      <w:r w:rsidR="008C3C77" w:rsidRPr="00CE5035">
        <w:rPr>
          <w:rFonts w:ascii="Arial" w:hAnsi="Arial" w:cs="Arial"/>
          <w:sz w:val="24"/>
          <w:szCs w:val="24"/>
        </w:rPr>
      </w:r>
      <w:r w:rsidR="008C3C77" w:rsidRPr="00CE5035">
        <w:rPr>
          <w:rFonts w:ascii="Arial" w:hAnsi="Arial" w:cs="Arial"/>
          <w:sz w:val="24"/>
          <w:szCs w:val="24"/>
        </w:rPr>
        <w:fldChar w:fldCharType="end"/>
      </w:r>
      <w:r w:rsidR="008C3C77" w:rsidRPr="00CE5035">
        <w:rPr>
          <w:rFonts w:ascii="Arial" w:hAnsi="Arial" w:cs="Arial"/>
          <w:sz w:val="24"/>
          <w:szCs w:val="24"/>
        </w:rPr>
      </w:r>
      <w:r w:rsidR="008C3C77" w:rsidRPr="00CE5035">
        <w:rPr>
          <w:rFonts w:ascii="Arial" w:hAnsi="Arial" w:cs="Arial"/>
          <w:sz w:val="24"/>
          <w:szCs w:val="24"/>
        </w:rPr>
        <w:fldChar w:fldCharType="separate"/>
      </w:r>
      <w:r w:rsidR="008C3C77" w:rsidRPr="00CE5035">
        <w:rPr>
          <w:rFonts w:ascii="Arial" w:hAnsi="Arial" w:cs="Arial"/>
          <w:noProof/>
          <w:sz w:val="24"/>
          <w:szCs w:val="24"/>
        </w:rPr>
        <w:t>(</w:t>
      </w:r>
      <w:hyperlink w:anchor="_ENREF_2" w:tooltip="Bender, 2008 #3" w:history="1">
        <w:r w:rsidR="00132562" w:rsidRPr="00CE5035">
          <w:rPr>
            <w:rFonts w:ascii="Arial" w:hAnsi="Arial" w:cs="Arial"/>
            <w:noProof/>
            <w:sz w:val="24"/>
            <w:szCs w:val="24"/>
          </w:rPr>
          <w:t>2</w:t>
        </w:r>
      </w:hyperlink>
      <w:r w:rsidR="008C3C77" w:rsidRPr="00CE5035">
        <w:rPr>
          <w:rFonts w:ascii="Arial" w:hAnsi="Arial" w:cs="Arial"/>
          <w:noProof/>
          <w:sz w:val="24"/>
          <w:szCs w:val="24"/>
        </w:rPr>
        <w:t>)</w:t>
      </w:r>
      <w:r w:rsidR="008C3C77" w:rsidRPr="00CE5035">
        <w:rPr>
          <w:rFonts w:ascii="Arial" w:hAnsi="Arial" w:cs="Arial"/>
          <w:sz w:val="24"/>
          <w:szCs w:val="24"/>
        </w:rPr>
        <w:fldChar w:fldCharType="end"/>
      </w:r>
      <w:r w:rsidR="008C3C77" w:rsidRPr="00CE5035">
        <w:rPr>
          <w:rFonts w:ascii="Arial" w:hAnsi="Arial" w:cs="Arial"/>
          <w:sz w:val="24"/>
          <w:szCs w:val="24"/>
        </w:rPr>
        <w:t>. Thus, there is</w:t>
      </w:r>
      <w:r w:rsidR="009264BA" w:rsidRPr="00CE5035">
        <w:rPr>
          <w:rFonts w:ascii="Arial" w:hAnsi="Arial" w:cs="Arial"/>
          <w:sz w:val="24"/>
          <w:szCs w:val="24"/>
        </w:rPr>
        <w:t xml:space="preserve"> conun</w:t>
      </w:r>
      <w:r w:rsidRPr="00CE5035">
        <w:rPr>
          <w:rFonts w:ascii="Arial" w:hAnsi="Arial" w:cs="Arial"/>
          <w:sz w:val="24"/>
          <w:szCs w:val="24"/>
        </w:rPr>
        <w:t xml:space="preserve">drum on why the </w:t>
      </w:r>
      <w:r w:rsidR="009264BA" w:rsidRPr="00CE5035">
        <w:rPr>
          <w:rFonts w:ascii="Arial" w:hAnsi="Arial" w:cs="Arial"/>
          <w:sz w:val="24"/>
          <w:szCs w:val="24"/>
        </w:rPr>
        <w:t xml:space="preserve">highly oxidative environment </w:t>
      </w:r>
      <w:r w:rsidRPr="00CE5035">
        <w:rPr>
          <w:rFonts w:ascii="Arial" w:hAnsi="Arial" w:cs="Arial"/>
          <w:sz w:val="24"/>
          <w:szCs w:val="24"/>
        </w:rPr>
        <w:t xml:space="preserve">of the mitochondria </w:t>
      </w:r>
      <w:r w:rsidR="009264BA" w:rsidRPr="00CE5035">
        <w:rPr>
          <w:rFonts w:ascii="Arial" w:hAnsi="Arial" w:cs="Arial"/>
          <w:sz w:val="24"/>
          <w:szCs w:val="24"/>
        </w:rPr>
        <w:t>would contain such a high amount of easily oxidized proteins.</w:t>
      </w:r>
    </w:p>
    <w:p w14:paraId="347BAF14" w14:textId="0E21FE3A" w:rsidR="00C40F46" w:rsidRPr="00CE5035" w:rsidRDefault="009264BA" w:rsidP="00CE5035">
      <w:pPr>
        <w:spacing w:line="240" w:lineRule="auto"/>
        <w:rPr>
          <w:rFonts w:ascii="Arial" w:hAnsi="Arial" w:cs="Arial"/>
          <w:sz w:val="24"/>
          <w:szCs w:val="24"/>
        </w:rPr>
      </w:pPr>
      <w:r w:rsidRPr="00CE5035">
        <w:rPr>
          <w:rFonts w:ascii="Arial" w:hAnsi="Arial" w:cs="Arial"/>
          <w:sz w:val="24"/>
          <w:szCs w:val="24"/>
        </w:rPr>
        <w:tab/>
      </w:r>
      <w:r w:rsidR="008C3C77" w:rsidRPr="00CE5035">
        <w:rPr>
          <w:rFonts w:ascii="Arial" w:hAnsi="Arial" w:cs="Arial"/>
          <w:sz w:val="24"/>
          <w:szCs w:val="24"/>
        </w:rPr>
        <w:t xml:space="preserve">Among the eukaryotic antioxidant defenses, </w:t>
      </w:r>
      <w:r w:rsidR="000C6770" w:rsidRPr="00CE5035">
        <w:rPr>
          <w:rFonts w:ascii="Arial" w:hAnsi="Arial" w:cs="Arial"/>
          <w:sz w:val="24"/>
          <w:szCs w:val="24"/>
        </w:rPr>
        <w:t>m</w:t>
      </w:r>
      <w:r w:rsidR="006F57FB" w:rsidRPr="00CE5035">
        <w:rPr>
          <w:rFonts w:ascii="Arial" w:hAnsi="Arial" w:cs="Arial"/>
          <w:sz w:val="24"/>
          <w:szCs w:val="24"/>
        </w:rPr>
        <w:t xml:space="preserve">ethionine sulfoxide reductase A </w:t>
      </w:r>
      <w:r w:rsidR="008C3C77" w:rsidRPr="00CE5035">
        <w:rPr>
          <w:rFonts w:ascii="Arial" w:hAnsi="Arial" w:cs="Arial"/>
          <w:sz w:val="24"/>
          <w:szCs w:val="24"/>
        </w:rPr>
        <w:t xml:space="preserve">(MsrA) </w:t>
      </w:r>
      <w:r w:rsidR="00132562" w:rsidRPr="00CE5035">
        <w:rPr>
          <w:rFonts w:ascii="Arial" w:hAnsi="Arial" w:cs="Arial"/>
          <w:sz w:val="24"/>
          <w:szCs w:val="24"/>
        </w:rPr>
        <w:t>plays a unique role in the oxidative repair, and potentially redox regulation, of proteins in the cells</w:t>
      </w:r>
      <w:r w:rsidR="008C3C77" w:rsidRPr="00CE5035">
        <w:rPr>
          <w:rFonts w:ascii="Arial" w:hAnsi="Arial" w:cs="Arial"/>
          <w:sz w:val="24"/>
          <w:szCs w:val="24"/>
        </w:rPr>
        <w:t xml:space="preserve">. </w:t>
      </w:r>
      <w:r w:rsidR="006F57FB" w:rsidRPr="00CE5035">
        <w:rPr>
          <w:rFonts w:ascii="Arial" w:hAnsi="Arial" w:cs="Arial"/>
          <w:sz w:val="24"/>
          <w:szCs w:val="24"/>
        </w:rPr>
        <w:t xml:space="preserve">MsrA </w:t>
      </w:r>
      <w:r w:rsidR="008C3C77" w:rsidRPr="00CE5035">
        <w:rPr>
          <w:rFonts w:ascii="Arial" w:hAnsi="Arial" w:cs="Arial"/>
          <w:sz w:val="24"/>
          <w:szCs w:val="24"/>
        </w:rPr>
        <w:t xml:space="preserve">was classically defined as a repair enzyme capable of catalytic reduction of oxidized methionine, or methionine sulfoxides </w:t>
      </w:r>
      <w:r w:rsidR="008C3C77" w:rsidRPr="00CE5035">
        <w:rPr>
          <w:rFonts w:ascii="Arial" w:hAnsi="Arial" w:cs="Arial"/>
          <w:sz w:val="24"/>
          <w:szCs w:val="24"/>
        </w:rPr>
        <w:fldChar w:fldCharType="begin"/>
      </w:r>
      <w:r w:rsidR="008C3C77" w:rsidRPr="00CE5035">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sidR="008C3C77" w:rsidRPr="00CE5035">
        <w:rPr>
          <w:rFonts w:ascii="Arial" w:hAnsi="Arial" w:cs="Arial"/>
          <w:sz w:val="24"/>
          <w:szCs w:val="24"/>
        </w:rPr>
        <w:fldChar w:fldCharType="separate"/>
      </w:r>
      <w:r w:rsidR="008C3C77" w:rsidRPr="00CE5035">
        <w:rPr>
          <w:rFonts w:ascii="Arial" w:hAnsi="Arial" w:cs="Arial"/>
          <w:noProof/>
          <w:sz w:val="24"/>
          <w:szCs w:val="24"/>
        </w:rPr>
        <w:t>(</w:t>
      </w:r>
      <w:hyperlink w:anchor="_ENREF_4" w:tooltip="Brot, 1981 #4" w:history="1">
        <w:r w:rsidR="00132562" w:rsidRPr="00CE5035">
          <w:rPr>
            <w:rFonts w:ascii="Arial" w:hAnsi="Arial" w:cs="Arial"/>
            <w:noProof/>
            <w:sz w:val="24"/>
            <w:szCs w:val="24"/>
          </w:rPr>
          <w:t>4</w:t>
        </w:r>
      </w:hyperlink>
      <w:r w:rsidR="008C3C77" w:rsidRPr="00CE5035">
        <w:rPr>
          <w:rFonts w:ascii="Arial" w:hAnsi="Arial" w:cs="Arial"/>
          <w:noProof/>
          <w:sz w:val="24"/>
          <w:szCs w:val="24"/>
        </w:rPr>
        <w:t>)</w:t>
      </w:r>
      <w:r w:rsidR="008C3C77" w:rsidRPr="00CE5035">
        <w:rPr>
          <w:rFonts w:ascii="Arial" w:hAnsi="Arial" w:cs="Arial"/>
          <w:sz w:val="24"/>
          <w:szCs w:val="24"/>
        </w:rPr>
        <w:fldChar w:fldCharType="end"/>
      </w:r>
      <w:r w:rsidR="006F57FB" w:rsidRPr="00CE5035">
        <w:rPr>
          <w:rFonts w:ascii="Arial" w:hAnsi="Arial" w:cs="Arial"/>
          <w:sz w:val="24"/>
          <w:szCs w:val="24"/>
        </w:rPr>
        <w:t xml:space="preserve">. </w:t>
      </w:r>
      <w:r w:rsidR="008C3C77" w:rsidRPr="00CE5035">
        <w:rPr>
          <w:rFonts w:ascii="Arial" w:hAnsi="Arial" w:cs="Arial"/>
          <w:sz w:val="24"/>
          <w:szCs w:val="24"/>
        </w:rPr>
        <w:t>Subsequent discovery of other methionine sulfoxide reductases also pointed out that there is stereo-specificity among these enzymes with MsrA capable of reduction of primarily the S-epimer of methionine sulfoxide. However, there is</w:t>
      </w:r>
      <w:r w:rsidR="006F57FB" w:rsidRPr="00CE5035">
        <w:rPr>
          <w:rFonts w:ascii="Arial" w:hAnsi="Arial" w:cs="Arial"/>
          <w:sz w:val="24"/>
          <w:szCs w:val="24"/>
        </w:rPr>
        <w:t xml:space="preserve"> growing evidence th</w:t>
      </w:r>
      <w:r w:rsidR="009B4AF6" w:rsidRPr="00CE5035">
        <w:rPr>
          <w:rFonts w:ascii="Arial" w:hAnsi="Arial" w:cs="Arial"/>
          <w:sz w:val="24"/>
          <w:szCs w:val="24"/>
        </w:rPr>
        <w:t xml:space="preserve">at MsrA </w:t>
      </w:r>
      <w:r w:rsidR="008C3C77" w:rsidRPr="00CE5035">
        <w:rPr>
          <w:rFonts w:ascii="Arial" w:hAnsi="Arial" w:cs="Arial"/>
          <w:sz w:val="24"/>
          <w:szCs w:val="24"/>
        </w:rPr>
        <w:t xml:space="preserve">plays a larger role in the regulation of cellular homeostasis. For example, MsrA has also been shown to have stereo-specific </w:t>
      </w:r>
      <w:r w:rsidR="008C3C77" w:rsidRPr="00CE5035">
        <w:rPr>
          <w:rFonts w:ascii="Arial" w:hAnsi="Arial" w:cs="Arial"/>
          <w:i/>
          <w:sz w:val="24"/>
          <w:szCs w:val="24"/>
        </w:rPr>
        <w:t>oxidase</w:t>
      </w:r>
      <w:r w:rsidR="008C3C77" w:rsidRPr="00CE5035">
        <w:rPr>
          <w:rFonts w:ascii="Arial" w:hAnsi="Arial" w:cs="Arial"/>
          <w:sz w:val="24"/>
          <w:szCs w:val="24"/>
        </w:rPr>
        <w:t xml:space="preserve"> activity targeted to methionine </w:t>
      </w:r>
      <w:r w:rsidR="00C40F46" w:rsidRPr="00CE5035">
        <w:rPr>
          <w:rFonts w:ascii="Arial" w:hAnsi="Arial" w:cs="Arial"/>
          <w:sz w:val="24"/>
          <w:szCs w:val="24"/>
        </w:rPr>
        <w:fldChar w:fldCharType="begin"/>
      </w:r>
      <w:r w:rsidR="00C40F46" w:rsidRPr="00CE5035">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sidR="00C40F46" w:rsidRPr="00CE5035">
        <w:rPr>
          <w:rFonts w:ascii="Arial" w:hAnsi="Arial" w:cs="Arial"/>
          <w:sz w:val="24"/>
          <w:szCs w:val="24"/>
        </w:rPr>
        <w:fldChar w:fldCharType="separate"/>
      </w:r>
      <w:r w:rsidR="00C40F46" w:rsidRPr="00CE5035">
        <w:rPr>
          <w:rFonts w:ascii="Arial" w:hAnsi="Arial" w:cs="Arial"/>
          <w:noProof/>
          <w:sz w:val="24"/>
          <w:szCs w:val="24"/>
        </w:rPr>
        <w:t>(</w:t>
      </w:r>
      <w:hyperlink w:anchor="_ENREF_5" w:tooltip="Lim, 2011 #5" w:history="1">
        <w:r w:rsidR="00132562" w:rsidRPr="00CE5035">
          <w:rPr>
            <w:rFonts w:ascii="Arial" w:hAnsi="Arial" w:cs="Arial"/>
            <w:noProof/>
            <w:sz w:val="24"/>
            <w:szCs w:val="24"/>
          </w:rPr>
          <w:t>5</w:t>
        </w:r>
      </w:hyperlink>
      <w:r w:rsidR="00C40F46" w:rsidRPr="00CE5035">
        <w:rPr>
          <w:rFonts w:ascii="Arial" w:hAnsi="Arial" w:cs="Arial"/>
          <w:noProof/>
          <w:sz w:val="24"/>
          <w:szCs w:val="24"/>
        </w:rPr>
        <w:t>)</w:t>
      </w:r>
      <w:r w:rsidR="00C40F46" w:rsidRPr="00CE5035">
        <w:rPr>
          <w:rFonts w:ascii="Arial" w:hAnsi="Arial" w:cs="Arial"/>
          <w:sz w:val="24"/>
          <w:szCs w:val="24"/>
        </w:rPr>
        <w:fldChar w:fldCharType="end"/>
      </w:r>
      <w:r w:rsidR="00C40F46" w:rsidRPr="00CE5035">
        <w:rPr>
          <w:rFonts w:ascii="Arial" w:hAnsi="Arial" w:cs="Arial"/>
          <w:sz w:val="24"/>
          <w:szCs w:val="24"/>
        </w:rPr>
        <w:t xml:space="preserve">. MsrA may then be capable of regulating protein function through redox regulation of methionine residues </w:t>
      </w:r>
      <w:r w:rsidR="00C40F46" w:rsidRPr="00CE5035">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
</w:fldData>
        </w:fldChar>
      </w:r>
      <w:r w:rsidR="00C40F46" w:rsidRPr="00CE5035">
        <w:rPr>
          <w:rFonts w:ascii="Arial" w:hAnsi="Arial" w:cs="Arial"/>
          <w:sz w:val="24"/>
          <w:szCs w:val="24"/>
        </w:rPr>
        <w:instrText xml:space="preserve"> ADDIN EN.CITE </w:instrText>
      </w:r>
      <w:r w:rsidR="00C40F46" w:rsidRPr="00CE5035">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
</w:fldData>
        </w:fldChar>
      </w:r>
      <w:r w:rsidR="00C40F46" w:rsidRPr="00CE5035">
        <w:rPr>
          <w:rFonts w:ascii="Arial" w:hAnsi="Arial" w:cs="Arial"/>
          <w:sz w:val="24"/>
          <w:szCs w:val="24"/>
        </w:rPr>
        <w:instrText xml:space="preserve"> ADDIN EN.CITE.DATA </w:instrText>
      </w:r>
      <w:r w:rsidR="00C40F46" w:rsidRPr="00CE5035">
        <w:rPr>
          <w:rFonts w:ascii="Arial" w:hAnsi="Arial" w:cs="Arial"/>
          <w:sz w:val="24"/>
          <w:szCs w:val="24"/>
        </w:rPr>
      </w:r>
      <w:r w:rsidR="00C40F46" w:rsidRPr="00CE5035">
        <w:rPr>
          <w:rFonts w:ascii="Arial" w:hAnsi="Arial" w:cs="Arial"/>
          <w:sz w:val="24"/>
          <w:szCs w:val="24"/>
        </w:rPr>
        <w:fldChar w:fldCharType="end"/>
      </w:r>
      <w:r w:rsidR="00C40F46" w:rsidRPr="00CE5035">
        <w:rPr>
          <w:rFonts w:ascii="Arial" w:hAnsi="Arial" w:cs="Arial"/>
          <w:sz w:val="24"/>
          <w:szCs w:val="24"/>
        </w:rPr>
      </w:r>
      <w:r w:rsidR="00C40F46" w:rsidRPr="00CE5035">
        <w:rPr>
          <w:rFonts w:ascii="Arial" w:hAnsi="Arial" w:cs="Arial"/>
          <w:sz w:val="24"/>
          <w:szCs w:val="24"/>
        </w:rPr>
        <w:fldChar w:fldCharType="separate"/>
      </w:r>
      <w:r w:rsidR="00C40F46" w:rsidRPr="00CE5035">
        <w:rPr>
          <w:rFonts w:ascii="Arial" w:hAnsi="Arial" w:cs="Arial"/>
          <w:noProof/>
          <w:sz w:val="24"/>
          <w:szCs w:val="24"/>
        </w:rPr>
        <w:t>(</w:t>
      </w:r>
      <w:hyperlink w:anchor="_ENREF_6" w:tooltip="Manta, 2017 #6" w:history="1">
        <w:r w:rsidR="00132562" w:rsidRPr="00CE5035">
          <w:rPr>
            <w:rFonts w:ascii="Arial" w:hAnsi="Arial" w:cs="Arial"/>
            <w:noProof/>
            <w:sz w:val="24"/>
            <w:szCs w:val="24"/>
          </w:rPr>
          <w:t>6</w:t>
        </w:r>
      </w:hyperlink>
      <w:r w:rsidR="00C40F46" w:rsidRPr="00CE5035">
        <w:rPr>
          <w:rFonts w:ascii="Arial" w:hAnsi="Arial" w:cs="Arial"/>
          <w:noProof/>
          <w:sz w:val="24"/>
          <w:szCs w:val="24"/>
        </w:rPr>
        <w:t>)</w:t>
      </w:r>
      <w:r w:rsidR="00C40F46" w:rsidRPr="00CE5035">
        <w:rPr>
          <w:rFonts w:ascii="Arial" w:hAnsi="Arial" w:cs="Arial"/>
          <w:sz w:val="24"/>
          <w:szCs w:val="24"/>
        </w:rPr>
        <w:fldChar w:fldCharType="end"/>
      </w:r>
      <w:r w:rsidR="00C40F46" w:rsidRPr="00CE5035">
        <w:rPr>
          <w:rFonts w:ascii="Arial" w:hAnsi="Arial" w:cs="Arial"/>
          <w:sz w:val="24"/>
          <w:szCs w:val="24"/>
        </w:rPr>
        <w:t>. In addition, MsrA</w:t>
      </w:r>
      <w:r w:rsidR="00F83645" w:rsidRPr="00CE5035">
        <w:rPr>
          <w:rFonts w:ascii="Arial" w:hAnsi="Arial" w:cs="Arial"/>
          <w:sz w:val="24"/>
          <w:szCs w:val="24"/>
        </w:rPr>
        <w:t xml:space="preserve"> has been shown to play protein </w:t>
      </w:r>
      <w:r w:rsidR="00C40F46" w:rsidRPr="00CE5035">
        <w:rPr>
          <w:rFonts w:ascii="Arial" w:hAnsi="Arial" w:cs="Arial"/>
          <w:sz w:val="24"/>
          <w:szCs w:val="24"/>
        </w:rPr>
        <w:t>chaperone-like role in folding protein</w:t>
      </w:r>
      <w:r w:rsidR="000C6770" w:rsidRPr="00CE5035">
        <w:rPr>
          <w:rFonts w:ascii="Arial" w:hAnsi="Arial" w:cs="Arial"/>
          <w:sz w:val="24"/>
          <w:szCs w:val="24"/>
        </w:rPr>
        <w:t xml:space="preserve">s; MsrA preferentially repairs </w:t>
      </w:r>
      <w:r w:rsidR="00C40F46" w:rsidRPr="00CE5035">
        <w:rPr>
          <w:rFonts w:ascii="Arial" w:hAnsi="Arial" w:cs="Arial"/>
          <w:sz w:val="24"/>
          <w:szCs w:val="24"/>
        </w:rPr>
        <w:t xml:space="preserve">oxidized methionine in unfolded proteins and protect these proteins from oxidative protein misfolding </w:t>
      </w:r>
      <w:r w:rsidR="00C40F46" w:rsidRPr="00CE5035">
        <w:rPr>
          <w:rFonts w:ascii="Arial" w:hAnsi="Arial" w:cs="Arial"/>
          <w:sz w:val="24"/>
          <w:szCs w:val="24"/>
        </w:rPr>
        <w:fldChar w:fldCharType="begin"/>
      </w:r>
      <w:r w:rsidR="00C40F46" w:rsidRPr="00CE5035">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sidR="00C40F46" w:rsidRPr="00CE5035">
        <w:rPr>
          <w:rFonts w:ascii="Arial" w:hAnsi="Arial" w:cs="Arial"/>
          <w:sz w:val="24"/>
          <w:szCs w:val="24"/>
        </w:rPr>
        <w:fldChar w:fldCharType="separate"/>
      </w:r>
      <w:r w:rsidR="00C40F46" w:rsidRPr="00CE5035">
        <w:rPr>
          <w:rFonts w:ascii="Arial" w:hAnsi="Arial" w:cs="Arial"/>
          <w:noProof/>
          <w:sz w:val="24"/>
          <w:szCs w:val="24"/>
        </w:rPr>
        <w:t>(</w:t>
      </w:r>
      <w:hyperlink w:anchor="_ENREF_7" w:tooltip="Tarrago, 2012 #1" w:history="1">
        <w:r w:rsidR="00132562" w:rsidRPr="00CE5035">
          <w:rPr>
            <w:rFonts w:ascii="Arial" w:hAnsi="Arial" w:cs="Arial"/>
            <w:noProof/>
            <w:sz w:val="24"/>
            <w:szCs w:val="24"/>
          </w:rPr>
          <w:t>7</w:t>
        </w:r>
      </w:hyperlink>
      <w:r w:rsidR="00C40F46" w:rsidRPr="00CE5035">
        <w:rPr>
          <w:rFonts w:ascii="Arial" w:hAnsi="Arial" w:cs="Arial"/>
          <w:noProof/>
          <w:sz w:val="24"/>
          <w:szCs w:val="24"/>
        </w:rPr>
        <w:t>)</w:t>
      </w:r>
      <w:r w:rsidR="00C40F46" w:rsidRPr="00CE5035">
        <w:rPr>
          <w:rFonts w:ascii="Arial" w:hAnsi="Arial" w:cs="Arial"/>
          <w:sz w:val="24"/>
          <w:szCs w:val="24"/>
        </w:rPr>
        <w:fldChar w:fldCharType="end"/>
      </w:r>
      <w:r w:rsidR="00C40F46" w:rsidRPr="00CE5035">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sidR="00C40F46" w:rsidRPr="00CE5035">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sidR="00C40F46" w:rsidRPr="00CE5035">
        <w:rPr>
          <w:rFonts w:ascii="Arial" w:hAnsi="Arial" w:cs="Arial"/>
          <w:sz w:val="24"/>
          <w:szCs w:val="24"/>
        </w:rPr>
        <w:instrText xml:space="preserve"> ADDIN EN.CITE </w:instrText>
      </w:r>
      <w:r w:rsidR="00C40F46" w:rsidRPr="00CE5035">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sidR="00C40F46" w:rsidRPr="00CE5035">
        <w:rPr>
          <w:rFonts w:ascii="Arial" w:hAnsi="Arial" w:cs="Arial"/>
          <w:sz w:val="24"/>
          <w:szCs w:val="24"/>
        </w:rPr>
        <w:instrText xml:space="preserve"> ADDIN EN.CITE.DATA </w:instrText>
      </w:r>
      <w:r w:rsidR="00C40F46" w:rsidRPr="00CE5035">
        <w:rPr>
          <w:rFonts w:ascii="Arial" w:hAnsi="Arial" w:cs="Arial"/>
          <w:sz w:val="24"/>
          <w:szCs w:val="24"/>
        </w:rPr>
      </w:r>
      <w:r w:rsidR="00C40F46" w:rsidRPr="00CE5035">
        <w:rPr>
          <w:rFonts w:ascii="Arial" w:hAnsi="Arial" w:cs="Arial"/>
          <w:sz w:val="24"/>
          <w:szCs w:val="24"/>
        </w:rPr>
        <w:fldChar w:fldCharType="end"/>
      </w:r>
      <w:r w:rsidR="00C40F46" w:rsidRPr="00CE5035">
        <w:rPr>
          <w:rFonts w:ascii="Arial" w:hAnsi="Arial" w:cs="Arial"/>
          <w:sz w:val="24"/>
          <w:szCs w:val="24"/>
        </w:rPr>
      </w:r>
      <w:r w:rsidR="00C40F46" w:rsidRPr="00CE5035">
        <w:rPr>
          <w:rFonts w:ascii="Arial" w:hAnsi="Arial" w:cs="Arial"/>
          <w:sz w:val="24"/>
          <w:szCs w:val="24"/>
        </w:rPr>
        <w:fldChar w:fldCharType="separate"/>
      </w:r>
      <w:r w:rsidR="00C40F46" w:rsidRPr="00CE5035">
        <w:rPr>
          <w:rFonts w:ascii="Arial" w:hAnsi="Arial" w:cs="Arial"/>
          <w:noProof/>
          <w:sz w:val="24"/>
          <w:szCs w:val="24"/>
        </w:rPr>
        <w:t>(</w:t>
      </w:r>
      <w:hyperlink w:anchor="_ENREF_8" w:tooltip="Fu, 2017 #2" w:history="1">
        <w:r w:rsidR="00132562" w:rsidRPr="00CE5035">
          <w:rPr>
            <w:rFonts w:ascii="Arial" w:hAnsi="Arial" w:cs="Arial"/>
            <w:noProof/>
            <w:sz w:val="24"/>
            <w:szCs w:val="24"/>
          </w:rPr>
          <w:t>8</w:t>
        </w:r>
      </w:hyperlink>
      <w:r w:rsidR="00C40F46" w:rsidRPr="00CE5035">
        <w:rPr>
          <w:rFonts w:ascii="Arial" w:hAnsi="Arial" w:cs="Arial"/>
          <w:noProof/>
          <w:sz w:val="24"/>
          <w:szCs w:val="24"/>
        </w:rPr>
        <w:t>)</w:t>
      </w:r>
      <w:r w:rsidR="00C40F46" w:rsidRPr="00CE5035">
        <w:rPr>
          <w:rFonts w:ascii="Arial" w:hAnsi="Arial" w:cs="Arial"/>
          <w:sz w:val="24"/>
          <w:szCs w:val="24"/>
        </w:rPr>
        <w:fldChar w:fldCharType="end"/>
      </w:r>
      <w:r w:rsidR="00C40F46" w:rsidRPr="00CE5035">
        <w:rPr>
          <w:rFonts w:ascii="Arial" w:hAnsi="Arial" w:cs="Arial"/>
          <w:sz w:val="24"/>
          <w:szCs w:val="24"/>
        </w:rPr>
        <w:t xml:space="preserve">. </w:t>
      </w:r>
    </w:p>
    <w:p w14:paraId="682BBE22" w14:textId="373A8FD7" w:rsidR="00683C2B" w:rsidRPr="00CE5035" w:rsidRDefault="00C40F46" w:rsidP="00CE5035">
      <w:pPr>
        <w:spacing w:line="240" w:lineRule="auto"/>
        <w:ind w:firstLine="720"/>
        <w:rPr>
          <w:rFonts w:ascii="Arial" w:hAnsi="Arial" w:cs="Arial"/>
          <w:sz w:val="24"/>
          <w:szCs w:val="24"/>
        </w:rPr>
      </w:pPr>
      <w:r w:rsidRPr="00CE5035">
        <w:rPr>
          <w:rFonts w:ascii="Arial" w:hAnsi="Arial" w:cs="Arial"/>
          <w:sz w:val="24"/>
          <w:szCs w:val="24"/>
        </w:rPr>
        <w:t>MsrA is expressed</w:t>
      </w:r>
      <w:r w:rsidR="00F83645" w:rsidRPr="00CE5035">
        <w:rPr>
          <w:rFonts w:ascii="Arial" w:hAnsi="Arial" w:cs="Arial"/>
          <w:sz w:val="24"/>
          <w:szCs w:val="24"/>
        </w:rPr>
        <w:t xml:space="preserve"> ubiquitously in mammals and a</w:t>
      </w:r>
      <w:r w:rsidRPr="00CE5035">
        <w:rPr>
          <w:rFonts w:ascii="Arial" w:hAnsi="Arial" w:cs="Arial"/>
          <w:sz w:val="24"/>
          <w:szCs w:val="24"/>
        </w:rPr>
        <w:t>t the sub-cellular level is locat</w:t>
      </w:r>
      <w:r w:rsidR="000C6770" w:rsidRPr="00CE5035">
        <w:rPr>
          <w:rFonts w:ascii="Arial" w:hAnsi="Arial" w:cs="Arial"/>
          <w:sz w:val="24"/>
          <w:szCs w:val="24"/>
        </w:rPr>
        <w:t xml:space="preserve">ed natively in the </w:t>
      </w:r>
      <w:r w:rsidRPr="00CE5035">
        <w:rPr>
          <w:rFonts w:ascii="Arial" w:hAnsi="Arial" w:cs="Arial"/>
          <w:sz w:val="24"/>
          <w:szCs w:val="24"/>
        </w:rPr>
        <w:t>both</w:t>
      </w:r>
      <w:r w:rsidR="000C6770" w:rsidRPr="00CE5035">
        <w:rPr>
          <w:rFonts w:ascii="Arial" w:hAnsi="Arial" w:cs="Arial"/>
          <w:sz w:val="24"/>
          <w:szCs w:val="24"/>
        </w:rPr>
        <w:t xml:space="preserve"> the</w:t>
      </w:r>
      <w:r w:rsidR="006F57FB" w:rsidRPr="00CE5035">
        <w:rPr>
          <w:rFonts w:ascii="Arial" w:hAnsi="Arial" w:cs="Arial"/>
          <w:sz w:val="24"/>
          <w:szCs w:val="24"/>
        </w:rPr>
        <w:t xml:space="preserve"> cytosol and the mitochondria</w:t>
      </w:r>
      <w:r w:rsidRPr="00CE5035">
        <w:rPr>
          <w:rFonts w:ascii="Arial" w:hAnsi="Arial" w:cs="Arial"/>
          <w:sz w:val="24"/>
          <w:szCs w:val="24"/>
        </w:rPr>
        <w:t xml:space="preserve">. </w:t>
      </w:r>
      <w:r w:rsidR="0025763D" w:rsidRPr="00CE5035">
        <w:rPr>
          <w:rFonts w:ascii="Arial" w:hAnsi="Arial" w:cs="Arial"/>
          <w:sz w:val="24"/>
          <w:szCs w:val="24"/>
        </w:rPr>
        <w:t>In yeast, deletion of MsrA significantly increases production of reactive oxygen species</w:t>
      </w:r>
      <w:r w:rsidR="000C6770" w:rsidRPr="00CE5035">
        <w:rPr>
          <w:rFonts w:ascii="Arial" w:hAnsi="Arial" w:cs="Arial"/>
          <w:sz w:val="24"/>
          <w:szCs w:val="24"/>
        </w:rPr>
        <w:t xml:space="preserve"> (ROS) </w:t>
      </w:r>
      <w:r w:rsidR="0025763D" w:rsidRPr="00CE5035">
        <w:rPr>
          <w:rFonts w:ascii="Arial" w:hAnsi="Arial" w:cs="Arial"/>
          <w:sz w:val="24"/>
          <w:szCs w:val="24"/>
        </w:rPr>
        <w:t>and reduces mitochondrial efficiency when yeast are grown on substrates of the electron transport chain</w:t>
      </w:r>
      <w:r w:rsidR="000C6770" w:rsidRPr="00CE5035">
        <w:rPr>
          <w:rFonts w:ascii="Arial" w:hAnsi="Arial" w:cs="Arial"/>
          <w:sz w:val="24"/>
          <w:szCs w:val="24"/>
        </w:rPr>
        <w:t xml:space="preserve"> (ETC)</w:t>
      </w:r>
      <w:r w:rsidR="0025763D" w:rsidRPr="00CE5035">
        <w:rPr>
          <w:rFonts w:ascii="Arial" w:hAnsi="Arial" w:cs="Arial"/>
          <w:sz w:val="24"/>
          <w:szCs w:val="24"/>
        </w:rPr>
        <w:t xml:space="preserve"> </w:t>
      </w:r>
      <w:r w:rsidR="0025763D" w:rsidRPr="00CE5035">
        <w:rPr>
          <w:rFonts w:ascii="Arial" w:hAnsi="Arial" w:cs="Arial"/>
          <w:sz w:val="24"/>
          <w:szCs w:val="24"/>
        </w:rPr>
        <w:fldChar w:fldCharType="begin"/>
      </w:r>
      <w:r w:rsidR="0025763D" w:rsidRPr="00CE5035">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sidR="0025763D" w:rsidRPr="00CE5035">
        <w:rPr>
          <w:rFonts w:ascii="Arial" w:hAnsi="Arial" w:cs="Arial"/>
          <w:sz w:val="24"/>
          <w:szCs w:val="24"/>
        </w:rPr>
        <w:fldChar w:fldCharType="separate"/>
      </w:r>
      <w:r w:rsidR="0025763D" w:rsidRPr="00CE5035">
        <w:rPr>
          <w:rFonts w:ascii="Arial" w:hAnsi="Arial" w:cs="Arial"/>
          <w:noProof/>
          <w:sz w:val="24"/>
          <w:szCs w:val="24"/>
        </w:rPr>
        <w:t>(</w:t>
      </w:r>
      <w:hyperlink w:anchor="_ENREF_9" w:tooltip="Kaya, 2010 #7" w:history="1">
        <w:r w:rsidR="00132562" w:rsidRPr="00CE5035">
          <w:rPr>
            <w:rFonts w:ascii="Arial" w:hAnsi="Arial" w:cs="Arial"/>
            <w:noProof/>
            <w:sz w:val="24"/>
            <w:szCs w:val="24"/>
          </w:rPr>
          <w:t>9</w:t>
        </w:r>
      </w:hyperlink>
      <w:r w:rsidR="0025763D" w:rsidRPr="00CE5035">
        <w:rPr>
          <w:rFonts w:ascii="Arial" w:hAnsi="Arial" w:cs="Arial"/>
          <w:noProof/>
          <w:sz w:val="24"/>
          <w:szCs w:val="24"/>
        </w:rPr>
        <w:t>)</w:t>
      </w:r>
      <w:r w:rsidR="0025763D" w:rsidRPr="00CE5035">
        <w:rPr>
          <w:rFonts w:ascii="Arial" w:hAnsi="Arial" w:cs="Arial"/>
          <w:sz w:val="24"/>
          <w:szCs w:val="24"/>
        </w:rPr>
        <w:fldChar w:fldCharType="end"/>
      </w:r>
      <w:r w:rsidR="0025763D" w:rsidRPr="00CE5035">
        <w:rPr>
          <w:rFonts w:ascii="Arial" w:hAnsi="Arial" w:cs="Arial"/>
          <w:sz w:val="24"/>
          <w:szCs w:val="24"/>
        </w:rPr>
        <w:t xml:space="preserve">. These defects </w:t>
      </w:r>
      <w:r w:rsidR="00F83645" w:rsidRPr="00CE5035">
        <w:rPr>
          <w:rFonts w:ascii="Arial" w:hAnsi="Arial" w:cs="Arial"/>
          <w:sz w:val="24"/>
          <w:szCs w:val="24"/>
        </w:rPr>
        <w:t>are</w:t>
      </w:r>
      <w:r w:rsidR="0025763D" w:rsidRPr="00CE5035">
        <w:rPr>
          <w:rFonts w:ascii="Arial" w:hAnsi="Arial" w:cs="Arial"/>
          <w:sz w:val="24"/>
          <w:szCs w:val="24"/>
        </w:rPr>
        <w:t xml:space="preserve"> not ascribed to reduced mitochondrial number but rather a reduced number of competent mitochondria in MsrA-deleted yeast. </w:t>
      </w:r>
      <w:r w:rsidR="00200DFE" w:rsidRPr="00CE5035">
        <w:rPr>
          <w:rFonts w:ascii="Arial" w:hAnsi="Arial" w:cs="Arial"/>
          <w:sz w:val="24"/>
          <w:szCs w:val="24"/>
        </w:rPr>
        <w:t>In mammalian retinal pigment epithelial (RPE) cells, knockdown of MsrA reduced mitochondrial ATP content and the activity o</w:t>
      </w:r>
      <w:r w:rsidR="000C6770" w:rsidRPr="00CE5035">
        <w:rPr>
          <w:rFonts w:ascii="Arial" w:hAnsi="Arial" w:cs="Arial"/>
          <w:sz w:val="24"/>
          <w:szCs w:val="24"/>
        </w:rPr>
        <w:t>f ETC</w:t>
      </w:r>
      <w:r w:rsidR="00200DFE" w:rsidRPr="00CE5035">
        <w:rPr>
          <w:rFonts w:ascii="Arial" w:hAnsi="Arial" w:cs="Arial"/>
          <w:sz w:val="24"/>
          <w:szCs w:val="24"/>
        </w:rPr>
        <w:t xml:space="preserve"> complex IV </w:t>
      </w:r>
      <w:r w:rsidR="00200DFE" w:rsidRPr="00CE5035">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sidR="00200DFE" w:rsidRPr="00CE5035">
        <w:rPr>
          <w:rFonts w:ascii="Arial" w:hAnsi="Arial" w:cs="Arial"/>
          <w:sz w:val="24"/>
          <w:szCs w:val="24"/>
        </w:rPr>
        <w:instrText xml:space="preserve"> ADDIN EN.CITE </w:instrText>
      </w:r>
      <w:r w:rsidR="00200DFE" w:rsidRPr="00CE5035">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sidR="00200DFE" w:rsidRPr="00CE5035">
        <w:rPr>
          <w:rFonts w:ascii="Arial" w:hAnsi="Arial" w:cs="Arial"/>
          <w:sz w:val="24"/>
          <w:szCs w:val="24"/>
        </w:rPr>
        <w:instrText xml:space="preserve"> ADDIN EN.CITE.DATA </w:instrText>
      </w:r>
      <w:r w:rsidR="00200DFE" w:rsidRPr="00CE5035">
        <w:rPr>
          <w:rFonts w:ascii="Arial" w:hAnsi="Arial" w:cs="Arial"/>
          <w:sz w:val="24"/>
          <w:szCs w:val="24"/>
        </w:rPr>
      </w:r>
      <w:r w:rsidR="00200DFE" w:rsidRPr="00CE5035">
        <w:rPr>
          <w:rFonts w:ascii="Arial" w:hAnsi="Arial" w:cs="Arial"/>
          <w:sz w:val="24"/>
          <w:szCs w:val="24"/>
        </w:rPr>
        <w:fldChar w:fldCharType="end"/>
      </w:r>
      <w:r w:rsidR="00200DFE" w:rsidRPr="00CE5035">
        <w:rPr>
          <w:rFonts w:ascii="Arial" w:hAnsi="Arial" w:cs="Arial"/>
          <w:sz w:val="24"/>
          <w:szCs w:val="24"/>
        </w:rPr>
      </w:r>
      <w:r w:rsidR="00200DFE" w:rsidRPr="00CE5035">
        <w:rPr>
          <w:rFonts w:ascii="Arial" w:hAnsi="Arial" w:cs="Arial"/>
          <w:sz w:val="24"/>
          <w:szCs w:val="24"/>
        </w:rPr>
        <w:fldChar w:fldCharType="separate"/>
      </w:r>
      <w:r w:rsidR="00200DFE" w:rsidRPr="00CE5035">
        <w:rPr>
          <w:rFonts w:ascii="Arial" w:hAnsi="Arial" w:cs="Arial"/>
          <w:noProof/>
          <w:sz w:val="24"/>
          <w:szCs w:val="24"/>
        </w:rPr>
        <w:t>(</w:t>
      </w:r>
      <w:hyperlink w:anchor="_ENREF_10" w:tooltip="Dun, 2013 #8" w:history="1">
        <w:r w:rsidR="00132562" w:rsidRPr="00CE5035">
          <w:rPr>
            <w:rFonts w:ascii="Arial" w:hAnsi="Arial" w:cs="Arial"/>
            <w:noProof/>
            <w:sz w:val="24"/>
            <w:szCs w:val="24"/>
          </w:rPr>
          <w:t>10</w:t>
        </w:r>
      </w:hyperlink>
      <w:r w:rsidR="00200DFE" w:rsidRPr="00CE5035">
        <w:rPr>
          <w:rFonts w:ascii="Arial" w:hAnsi="Arial" w:cs="Arial"/>
          <w:noProof/>
          <w:sz w:val="24"/>
          <w:szCs w:val="24"/>
        </w:rPr>
        <w:t>)</w:t>
      </w:r>
      <w:r w:rsidR="00200DFE" w:rsidRPr="00CE5035">
        <w:rPr>
          <w:rFonts w:ascii="Arial" w:hAnsi="Arial" w:cs="Arial"/>
          <w:sz w:val="24"/>
          <w:szCs w:val="24"/>
        </w:rPr>
        <w:fldChar w:fldCharType="end"/>
      </w:r>
      <w:r w:rsidR="00200DFE" w:rsidRPr="00CE5035">
        <w:rPr>
          <w:rFonts w:ascii="Arial" w:hAnsi="Arial" w:cs="Arial"/>
          <w:sz w:val="24"/>
          <w:szCs w:val="24"/>
        </w:rPr>
        <w:t xml:space="preserve">. Conversely, adenoviral overexpression of MsrA in RPE cells increased mitochondrial ATP and boosted ETC complex IV activity. Mitochondria isolated from a mouse model of Alzheimer’s disease also lacking MsrA similarly showed reduced oxygen consumption and ETC complex IV activity </w:t>
      </w:r>
      <w:r w:rsidR="00200DFE" w:rsidRPr="00CE5035">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
</w:fldData>
        </w:fldChar>
      </w:r>
      <w:r w:rsidR="00200DFE" w:rsidRPr="00CE5035">
        <w:rPr>
          <w:rFonts w:ascii="Arial" w:hAnsi="Arial" w:cs="Arial"/>
          <w:sz w:val="24"/>
          <w:szCs w:val="24"/>
        </w:rPr>
        <w:instrText xml:space="preserve"> ADDIN EN.CITE </w:instrText>
      </w:r>
      <w:r w:rsidR="00200DFE" w:rsidRPr="00CE5035">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
</w:fldData>
        </w:fldChar>
      </w:r>
      <w:r w:rsidR="00200DFE" w:rsidRPr="00CE5035">
        <w:rPr>
          <w:rFonts w:ascii="Arial" w:hAnsi="Arial" w:cs="Arial"/>
          <w:sz w:val="24"/>
          <w:szCs w:val="24"/>
        </w:rPr>
        <w:instrText xml:space="preserve"> ADDIN EN.CITE.DATA </w:instrText>
      </w:r>
      <w:r w:rsidR="00200DFE" w:rsidRPr="00CE5035">
        <w:rPr>
          <w:rFonts w:ascii="Arial" w:hAnsi="Arial" w:cs="Arial"/>
          <w:sz w:val="24"/>
          <w:szCs w:val="24"/>
        </w:rPr>
      </w:r>
      <w:r w:rsidR="00200DFE" w:rsidRPr="00CE5035">
        <w:rPr>
          <w:rFonts w:ascii="Arial" w:hAnsi="Arial" w:cs="Arial"/>
          <w:sz w:val="24"/>
          <w:szCs w:val="24"/>
        </w:rPr>
        <w:fldChar w:fldCharType="end"/>
      </w:r>
      <w:r w:rsidR="00200DFE" w:rsidRPr="00CE5035">
        <w:rPr>
          <w:rFonts w:ascii="Arial" w:hAnsi="Arial" w:cs="Arial"/>
          <w:sz w:val="24"/>
          <w:szCs w:val="24"/>
        </w:rPr>
      </w:r>
      <w:r w:rsidR="00200DFE" w:rsidRPr="00CE5035">
        <w:rPr>
          <w:rFonts w:ascii="Arial" w:hAnsi="Arial" w:cs="Arial"/>
          <w:sz w:val="24"/>
          <w:szCs w:val="24"/>
        </w:rPr>
        <w:fldChar w:fldCharType="separate"/>
      </w:r>
      <w:r w:rsidR="00200DFE" w:rsidRPr="00CE5035">
        <w:rPr>
          <w:rFonts w:ascii="Arial" w:hAnsi="Arial" w:cs="Arial"/>
          <w:noProof/>
          <w:sz w:val="24"/>
          <w:szCs w:val="24"/>
        </w:rPr>
        <w:t>(</w:t>
      </w:r>
      <w:hyperlink w:anchor="_ENREF_11" w:tooltip="Moskovitz, 2016 #9" w:history="1">
        <w:r w:rsidR="00132562" w:rsidRPr="00CE5035">
          <w:rPr>
            <w:rFonts w:ascii="Arial" w:hAnsi="Arial" w:cs="Arial"/>
            <w:noProof/>
            <w:sz w:val="24"/>
            <w:szCs w:val="24"/>
          </w:rPr>
          <w:t>11</w:t>
        </w:r>
      </w:hyperlink>
      <w:r w:rsidR="00200DFE" w:rsidRPr="00CE5035">
        <w:rPr>
          <w:rFonts w:ascii="Arial" w:hAnsi="Arial" w:cs="Arial"/>
          <w:noProof/>
          <w:sz w:val="24"/>
          <w:szCs w:val="24"/>
        </w:rPr>
        <w:t>)</w:t>
      </w:r>
      <w:r w:rsidR="00200DFE" w:rsidRPr="00CE5035">
        <w:rPr>
          <w:rFonts w:ascii="Arial" w:hAnsi="Arial" w:cs="Arial"/>
          <w:sz w:val="24"/>
          <w:szCs w:val="24"/>
        </w:rPr>
        <w:fldChar w:fldCharType="end"/>
      </w:r>
      <w:r w:rsidR="00C114C8" w:rsidRPr="00CE5035">
        <w:rPr>
          <w:rFonts w:ascii="Arial" w:hAnsi="Arial" w:cs="Arial"/>
          <w:sz w:val="24"/>
          <w:szCs w:val="24"/>
        </w:rPr>
        <w:t xml:space="preserve">. Mice lacking MsrA have also show increased mitochondrial fragmentation and damage following exposure to the DNA damaging agent cisplatin </w:t>
      </w:r>
      <w:r w:rsidR="00C114C8" w:rsidRPr="00CE5035">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sidR="00C114C8" w:rsidRPr="00CE5035">
        <w:rPr>
          <w:rFonts w:ascii="Arial" w:hAnsi="Arial" w:cs="Arial"/>
          <w:sz w:val="24"/>
          <w:szCs w:val="24"/>
        </w:rPr>
        <w:instrText xml:space="preserve"> ADDIN EN.CITE </w:instrText>
      </w:r>
      <w:r w:rsidR="00C114C8" w:rsidRPr="00CE5035">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sidR="00C114C8" w:rsidRPr="00CE5035">
        <w:rPr>
          <w:rFonts w:ascii="Arial" w:hAnsi="Arial" w:cs="Arial"/>
          <w:sz w:val="24"/>
          <w:szCs w:val="24"/>
        </w:rPr>
        <w:instrText xml:space="preserve"> ADDIN EN.CITE.DATA </w:instrText>
      </w:r>
      <w:r w:rsidR="00C114C8" w:rsidRPr="00CE5035">
        <w:rPr>
          <w:rFonts w:ascii="Arial" w:hAnsi="Arial" w:cs="Arial"/>
          <w:sz w:val="24"/>
          <w:szCs w:val="24"/>
        </w:rPr>
      </w:r>
      <w:r w:rsidR="00C114C8" w:rsidRPr="00CE5035">
        <w:rPr>
          <w:rFonts w:ascii="Arial" w:hAnsi="Arial" w:cs="Arial"/>
          <w:sz w:val="24"/>
          <w:szCs w:val="24"/>
        </w:rPr>
        <w:fldChar w:fldCharType="end"/>
      </w:r>
      <w:r w:rsidR="00C114C8" w:rsidRPr="00CE5035">
        <w:rPr>
          <w:rFonts w:ascii="Arial" w:hAnsi="Arial" w:cs="Arial"/>
          <w:sz w:val="24"/>
          <w:szCs w:val="24"/>
        </w:rPr>
      </w:r>
      <w:r w:rsidR="00C114C8" w:rsidRPr="00CE5035">
        <w:rPr>
          <w:rFonts w:ascii="Arial" w:hAnsi="Arial" w:cs="Arial"/>
          <w:sz w:val="24"/>
          <w:szCs w:val="24"/>
        </w:rPr>
        <w:fldChar w:fldCharType="separate"/>
      </w:r>
      <w:r w:rsidR="00C114C8" w:rsidRPr="00CE5035">
        <w:rPr>
          <w:rFonts w:ascii="Arial" w:hAnsi="Arial" w:cs="Arial"/>
          <w:noProof/>
          <w:sz w:val="24"/>
          <w:szCs w:val="24"/>
        </w:rPr>
        <w:t>(</w:t>
      </w:r>
      <w:hyperlink w:anchor="_ENREF_12" w:tooltip="Noh, 2017 #10" w:history="1">
        <w:r w:rsidR="00132562" w:rsidRPr="00CE5035">
          <w:rPr>
            <w:rFonts w:ascii="Arial" w:hAnsi="Arial" w:cs="Arial"/>
            <w:noProof/>
            <w:sz w:val="24"/>
            <w:szCs w:val="24"/>
          </w:rPr>
          <w:t>12</w:t>
        </w:r>
      </w:hyperlink>
      <w:r w:rsidR="00C114C8" w:rsidRPr="00CE5035">
        <w:rPr>
          <w:rFonts w:ascii="Arial" w:hAnsi="Arial" w:cs="Arial"/>
          <w:noProof/>
          <w:sz w:val="24"/>
          <w:szCs w:val="24"/>
        </w:rPr>
        <w:t>)</w:t>
      </w:r>
      <w:r w:rsidR="00C114C8" w:rsidRPr="00CE5035">
        <w:rPr>
          <w:rFonts w:ascii="Arial" w:hAnsi="Arial" w:cs="Arial"/>
          <w:sz w:val="24"/>
          <w:szCs w:val="24"/>
        </w:rPr>
        <w:fldChar w:fldCharType="end"/>
      </w:r>
      <w:r w:rsidR="00C114C8" w:rsidRPr="00CE5035">
        <w:rPr>
          <w:rFonts w:ascii="Arial" w:hAnsi="Arial" w:cs="Arial"/>
          <w:sz w:val="24"/>
          <w:szCs w:val="24"/>
        </w:rPr>
        <w:t>.</w:t>
      </w:r>
      <w:r w:rsidR="004B362B" w:rsidRPr="00CE5035">
        <w:rPr>
          <w:rFonts w:ascii="Arial" w:hAnsi="Arial" w:cs="Arial"/>
          <w:sz w:val="24"/>
          <w:szCs w:val="24"/>
        </w:rPr>
        <w:t xml:space="preserve"> Collectively, these findings suggest a role for MsrA, and regulation of methionine oxidation indirectly, in preserving normal mitochondrial energetic function. </w:t>
      </w:r>
      <w:r w:rsidR="00C114C8" w:rsidRPr="00CE5035">
        <w:rPr>
          <w:rFonts w:ascii="Arial" w:hAnsi="Arial" w:cs="Arial"/>
          <w:sz w:val="24"/>
          <w:szCs w:val="24"/>
        </w:rPr>
        <w:t xml:space="preserve"> </w:t>
      </w:r>
    </w:p>
    <w:p w14:paraId="7129FDBC" w14:textId="4744F687" w:rsidR="006F57FB" w:rsidRPr="00CE5035" w:rsidRDefault="006F57FB" w:rsidP="00CE5035">
      <w:pPr>
        <w:spacing w:line="240" w:lineRule="auto"/>
        <w:ind w:firstLine="720"/>
        <w:rPr>
          <w:rFonts w:ascii="Arial" w:hAnsi="Arial" w:cs="Arial"/>
          <w:sz w:val="24"/>
          <w:szCs w:val="24"/>
        </w:rPr>
      </w:pPr>
      <w:r w:rsidRPr="00CE5035">
        <w:rPr>
          <w:rFonts w:ascii="Arial" w:hAnsi="Arial" w:cs="Arial"/>
          <w:sz w:val="24"/>
          <w:szCs w:val="24"/>
        </w:rPr>
        <w:t>In this study, we used two murine models of increased expression of MsrA</w:t>
      </w:r>
      <w:r w:rsidR="00132562" w:rsidRPr="00CE5035">
        <w:rPr>
          <w:rFonts w:ascii="Arial" w:hAnsi="Arial" w:cs="Arial"/>
          <w:sz w:val="24"/>
          <w:szCs w:val="24"/>
        </w:rPr>
        <w:t xml:space="preserve"> that are targeted primarily either to the mitochondria or to the cytosol</w:t>
      </w:r>
      <w:r w:rsidRPr="00CE5035">
        <w:rPr>
          <w:rFonts w:ascii="Arial" w:hAnsi="Arial" w:cs="Arial"/>
          <w:sz w:val="24"/>
          <w:szCs w:val="24"/>
        </w:rPr>
        <w:t>. Endogenously, the sub-cellular localization of MsrA is determined by the alternative translation start sites that include (or not) of an N-terminal mitochondrial targeting sequence on the native translated protein. While the native distribution of MsrA is ~</w:t>
      </w:r>
      <w:r w:rsidR="00C114C8" w:rsidRPr="00CE5035">
        <w:rPr>
          <w:rFonts w:ascii="Arial" w:hAnsi="Arial" w:cs="Arial"/>
          <w:sz w:val="24"/>
          <w:szCs w:val="24"/>
        </w:rPr>
        <w:t>3:1 cytosolic to mitochondrial, h</w:t>
      </w:r>
      <w:r w:rsidR="00CD7FAE" w:rsidRPr="00CE5035">
        <w:rPr>
          <w:rFonts w:ascii="Arial" w:hAnsi="Arial" w:cs="Arial"/>
          <w:sz w:val="24"/>
          <w:szCs w:val="24"/>
        </w:rPr>
        <w:t>ere, we used two different transgenic MsrA mouse strains to test whether increasing MsrA in either subcellular compartment would alter mitochondrial bioenergetic</w:t>
      </w:r>
      <w:r w:rsidR="00C114C8" w:rsidRPr="00CE5035">
        <w:rPr>
          <w:rFonts w:ascii="Arial" w:hAnsi="Arial" w:cs="Arial"/>
          <w:sz w:val="24"/>
          <w:szCs w:val="24"/>
        </w:rPr>
        <w:t xml:space="preserve">s or function. </w:t>
      </w:r>
      <w:r w:rsidR="00132562" w:rsidRPr="00CE5035">
        <w:rPr>
          <w:rFonts w:ascii="Arial" w:hAnsi="Arial" w:cs="Arial"/>
          <w:sz w:val="24"/>
          <w:szCs w:val="24"/>
        </w:rPr>
        <w:t xml:space="preserve">We and others have reported that </w:t>
      </w:r>
      <w:r w:rsidR="00C114C8" w:rsidRPr="00CE5035">
        <w:rPr>
          <w:rFonts w:ascii="Arial" w:hAnsi="Arial" w:cs="Arial"/>
          <w:sz w:val="24"/>
          <w:szCs w:val="24"/>
        </w:rPr>
        <w:t>TgCyto MsrA mice</w:t>
      </w:r>
      <w:r w:rsidR="00CD7FAE" w:rsidRPr="00CE5035">
        <w:rPr>
          <w:rFonts w:ascii="Arial" w:hAnsi="Arial" w:cs="Arial"/>
          <w:sz w:val="24"/>
          <w:szCs w:val="24"/>
        </w:rPr>
        <w:t xml:space="preserve"> have increased levels of cytosolic MsrA due to a deletion of the endogenous mitochondrial targeting sequence of MsrA in the overexpressed transgene</w:t>
      </w:r>
      <w:r w:rsidR="00C114C8" w:rsidRPr="00CE5035">
        <w:rPr>
          <w:rFonts w:ascii="Arial" w:hAnsi="Arial" w:cs="Arial"/>
          <w:sz w:val="24"/>
          <w:szCs w:val="24"/>
        </w:rPr>
        <w:t xml:space="preserve"> </w:t>
      </w:r>
      <w:r w:rsidR="00C114C8" w:rsidRPr="00CE5035">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C114C8" w:rsidRPr="00CE5035">
        <w:rPr>
          <w:rFonts w:ascii="Arial" w:hAnsi="Arial" w:cs="Arial"/>
          <w:sz w:val="24"/>
          <w:szCs w:val="24"/>
        </w:rPr>
      </w:r>
      <w:r w:rsidR="00C114C8" w:rsidRPr="00CE5035">
        <w:rPr>
          <w:rFonts w:ascii="Arial" w:hAnsi="Arial" w:cs="Arial"/>
          <w:sz w:val="24"/>
          <w:szCs w:val="24"/>
        </w:rPr>
        <w:fldChar w:fldCharType="separate"/>
      </w:r>
      <w:r w:rsidR="00132562" w:rsidRPr="00CE5035">
        <w:rPr>
          <w:rFonts w:ascii="Arial" w:hAnsi="Arial" w:cs="Arial"/>
          <w:noProof/>
          <w:sz w:val="24"/>
          <w:szCs w:val="24"/>
        </w:rPr>
        <w:t>(</w:t>
      </w:r>
      <w:hyperlink w:anchor="_ENREF_13" w:tooltip="Zhao, 2011 #148" w:history="1">
        <w:r w:rsidR="00132562" w:rsidRPr="00CE5035">
          <w:rPr>
            <w:rFonts w:ascii="Arial" w:hAnsi="Arial" w:cs="Arial"/>
            <w:noProof/>
            <w:sz w:val="24"/>
            <w:szCs w:val="24"/>
          </w:rPr>
          <w:t>13-15</w:t>
        </w:r>
      </w:hyperlink>
      <w:r w:rsidR="00132562" w:rsidRPr="00CE5035">
        <w:rPr>
          <w:rFonts w:ascii="Arial" w:hAnsi="Arial" w:cs="Arial"/>
          <w:noProof/>
          <w:sz w:val="24"/>
          <w:szCs w:val="24"/>
        </w:rPr>
        <w:t>)</w:t>
      </w:r>
      <w:r w:rsidR="00C114C8" w:rsidRPr="00CE5035">
        <w:rPr>
          <w:rFonts w:ascii="Arial" w:hAnsi="Arial" w:cs="Arial"/>
          <w:sz w:val="24"/>
          <w:szCs w:val="24"/>
        </w:rPr>
        <w:fldChar w:fldCharType="end"/>
      </w:r>
      <w:r w:rsidR="00CD7FAE" w:rsidRPr="00CE5035">
        <w:rPr>
          <w:rFonts w:ascii="Arial" w:hAnsi="Arial" w:cs="Arial"/>
          <w:sz w:val="24"/>
          <w:szCs w:val="24"/>
        </w:rPr>
        <w:t xml:space="preserve">. </w:t>
      </w:r>
      <w:r w:rsidR="00132562" w:rsidRPr="00CE5035">
        <w:rPr>
          <w:rFonts w:ascii="Arial" w:hAnsi="Arial" w:cs="Arial"/>
          <w:sz w:val="24"/>
          <w:szCs w:val="24"/>
        </w:rPr>
        <w:t xml:space="preserve">Conversely, </w:t>
      </w:r>
      <w:r w:rsidR="00CD7FAE" w:rsidRPr="00CE5035">
        <w:rPr>
          <w:rFonts w:ascii="Arial" w:hAnsi="Arial" w:cs="Arial"/>
          <w:sz w:val="24"/>
          <w:szCs w:val="24"/>
        </w:rPr>
        <w:t>TgMito MsrA have preferential overexpression of mitochondrial-targeted MsrA due to preferential expression of the endogenous mitochondrial targeting sequence of MsrA in the transgene</w:t>
      </w:r>
      <w:r w:rsidR="00C114C8" w:rsidRPr="00CE5035">
        <w:rPr>
          <w:rFonts w:ascii="Arial" w:hAnsi="Arial" w:cs="Arial"/>
          <w:sz w:val="24"/>
          <w:szCs w:val="24"/>
        </w:rPr>
        <w:t xml:space="preserve"> </w:t>
      </w:r>
      <w:r w:rsidR="00C114C8" w:rsidRPr="00CE5035">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C114C8" w:rsidRPr="00CE5035">
        <w:rPr>
          <w:rFonts w:ascii="Arial" w:hAnsi="Arial" w:cs="Arial"/>
          <w:sz w:val="24"/>
          <w:szCs w:val="24"/>
        </w:rPr>
      </w:r>
      <w:r w:rsidR="00C114C8" w:rsidRPr="00CE5035">
        <w:rPr>
          <w:rFonts w:ascii="Arial" w:hAnsi="Arial" w:cs="Arial"/>
          <w:sz w:val="24"/>
          <w:szCs w:val="24"/>
        </w:rPr>
        <w:fldChar w:fldCharType="separate"/>
      </w:r>
      <w:r w:rsidR="00132562" w:rsidRPr="00CE5035">
        <w:rPr>
          <w:rFonts w:ascii="Arial" w:hAnsi="Arial" w:cs="Arial"/>
          <w:noProof/>
          <w:sz w:val="24"/>
          <w:szCs w:val="24"/>
        </w:rPr>
        <w:t>(</w:t>
      </w:r>
      <w:hyperlink w:anchor="_ENREF_13" w:tooltip="Zhao, 2011 #148" w:history="1">
        <w:r w:rsidR="00132562" w:rsidRPr="00CE5035">
          <w:rPr>
            <w:rFonts w:ascii="Arial" w:hAnsi="Arial" w:cs="Arial"/>
            <w:noProof/>
            <w:sz w:val="24"/>
            <w:szCs w:val="24"/>
          </w:rPr>
          <w:t>13</w:t>
        </w:r>
      </w:hyperlink>
      <w:r w:rsidR="00132562" w:rsidRPr="00CE5035">
        <w:rPr>
          <w:rFonts w:ascii="Arial" w:hAnsi="Arial" w:cs="Arial"/>
          <w:noProof/>
          <w:sz w:val="24"/>
          <w:szCs w:val="24"/>
        </w:rPr>
        <w:t xml:space="preserve">, </w:t>
      </w:r>
      <w:hyperlink w:anchor="_ENREF_14" w:tooltip="Salmon, 2016 #14" w:history="1">
        <w:r w:rsidR="00132562" w:rsidRPr="00CE5035">
          <w:rPr>
            <w:rFonts w:ascii="Arial" w:hAnsi="Arial" w:cs="Arial"/>
            <w:noProof/>
            <w:sz w:val="24"/>
            <w:szCs w:val="24"/>
          </w:rPr>
          <w:t>14</w:t>
        </w:r>
      </w:hyperlink>
      <w:r w:rsidR="00132562" w:rsidRPr="00CE5035">
        <w:rPr>
          <w:rFonts w:ascii="Arial" w:hAnsi="Arial" w:cs="Arial"/>
          <w:noProof/>
          <w:sz w:val="24"/>
          <w:szCs w:val="24"/>
        </w:rPr>
        <w:t xml:space="preserve">, </w:t>
      </w:r>
      <w:hyperlink w:anchor="_ENREF_16" w:tooltip="Hunnicut, 2015 #15" w:history="1">
        <w:r w:rsidR="00132562" w:rsidRPr="00CE5035">
          <w:rPr>
            <w:rFonts w:ascii="Arial" w:hAnsi="Arial" w:cs="Arial"/>
            <w:noProof/>
            <w:sz w:val="24"/>
            <w:szCs w:val="24"/>
          </w:rPr>
          <w:t>16</w:t>
        </w:r>
      </w:hyperlink>
      <w:r w:rsidR="00132562" w:rsidRPr="00CE5035">
        <w:rPr>
          <w:rFonts w:ascii="Arial" w:hAnsi="Arial" w:cs="Arial"/>
          <w:noProof/>
          <w:sz w:val="24"/>
          <w:szCs w:val="24"/>
        </w:rPr>
        <w:t>)</w:t>
      </w:r>
      <w:r w:rsidR="00C114C8" w:rsidRPr="00CE5035">
        <w:rPr>
          <w:rFonts w:ascii="Arial" w:hAnsi="Arial" w:cs="Arial"/>
          <w:sz w:val="24"/>
          <w:szCs w:val="24"/>
        </w:rPr>
        <w:fldChar w:fldCharType="end"/>
      </w:r>
      <w:r w:rsidR="00CD7FAE" w:rsidRPr="00CE5035">
        <w:rPr>
          <w:rFonts w:ascii="Arial" w:hAnsi="Arial" w:cs="Arial"/>
          <w:sz w:val="24"/>
          <w:szCs w:val="24"/>
        </w:rPr>
        <w:t xml:space="preserve">. In </w:t>
      </w:r>
      <w:r w:rsidR="00C114C8" w:rsidRPr="00CE5035">
        <w:rPr>
          <w:rFonts w:ascii="Arial" w:hAnsi="Arial" w:cs="Arial"/>
          <w:sz w:val="24"/>
          <w:szCs w:val="24"/>
        </w:rPr>
        <w:t>this study</w:t>
      </w:r>
      <w:r w:rsidR="00CD7FAE" w:rsidRPr="00CE5035">
        <w:rPr>
          <w:rFonts w:ascii="Arial" w:hAnsi="Arial" w:cs="Arial"/>
          <w:sz w:val="24"/>
          <w:szCs w:val="24"/>
        </w:rPr>
        <w:t>, w</w:t>
      </w:r>
      <w:r w:rsidRPr="00CE5035">
        <w:rPr>
          <w:rFonts w:ascii="Arial" w:hAnsi="Arial" w:cs="Arial"/>
          <w:sz w:val="24"/>
          <w:szCs w:val="24"/>
        </w:rPr>
        <w:t>e tested the energetic and oxidative stress characteristics of mitochondria isolated from the</w:t>
      </w:r>
      <w:r w:rsidR="000C6770" w:rsidRPr="00CE5035">
        <w:rPr>
          <w:rFonts w:ascii="Arial" w:hAnsi="Arial" w:cs="Arial"/>
          <w:sz w:val="24"/>
          <w:szCs w:val="24"/>
        </w:rPr>
        <w:t xml:space="preserve"> skeletal</w:t>
      </w:r>
      <w:r w:rsidRPr="00CE5035">
        <w:rPr>
          <w:rFonts w:ascii="Arial" w:hAnsi="Arial" w:cs="Arial"/>
          <w:sz w:val="24"/>
          <w:szCs w:val="24"/>
        </w:rPr>
        <w:t xml:space="preserve"> muscle of these mice to address the potential role of MsrA on murine mitochondrial function.</w:t>
      </w:r>
    </w:p>
    <w:p w14:paraId="66AC4B52" w14:textId="77777777" w:rsidR="00BC7493" w:rsidRPr="00CE5035" w:rsidRDefault="00BC7493" w:rsidP="00CE5035">
      <w:pPr>
        <w:spacing w:line="240" w:lineRule="auto"/>
        <w:rPr>
          <w:rFonts w:ascii="Arial" w:hAnsi="Arial" w:cs="Arial"/>
          <w:b/>
          <w:sz w:val="24"/>
          <w:szCs w:val="24"/>
        </w:rPr>
      </w:pPr>
    </w:p>
    <w:p w14:paraId="72F7F7E6" w14:textId="5D3C2034" w:rsidR="00790771" w:rsidRPr="00CE5035" w:rsidRDefault="00790771" w:rsidP="00CE5035">
      <w:pPr>
        <w:spacing w:line="240" w:lineRule="auto"/>
        <w:rPr>
          <w:rFonts w:ascii="Arial" w:hAnsi="Arial" w:cs="Arial"/>
          <w:b/>
          <w:sz w:val="24"/>
          <w:szCs w:val="24"/>
        </w:rPr>
      </w:pPr>
      <w:r w:rsidRPr="00CE5035">
        <w:rPr>
          <w:rFonts w:ascii="Arial" w:hAnsi="Arial" w:cs="Arial"/>
          <w:b/>
          <w:sz w:val="24"/>
          <w:szCs w:val="24"/>
        </w:rPr>
        <w:t>METHODS</w:t>
      </w:r>
    </w:p>
    <w:p w14:paraId="26578BA4" w14:textId="363C961D" w:rsidR="009B4AF6" w:rsidRPr="00CE5035" w:rsidRDefault="00790771" w:rsidP="00CE5035">
      <w:pPr>
        <w:spacing w:line="240" w:lineRule="auto"/>
        <w:rPr>
          <w:rFonts w:ascii="Arial" w:hAnsi="Arial" w:cs="Arial"/>
          <w:sz w:val="24"/>
          <w:szCs w:val="24"/>
        </w:rPr>
      </w:pPr>
      <w:r w:rsidRPr="00CE5035">
        <w:rPr>
          <w:rFonts w:ascii="Arial" w:hAnsi="Arial" w:cs="Arial"/>
          <w:sz w:val="24"/>
          <w:szCs w:val="24"/>
          <w:u w:val="single"/>
        </w:rPr>
        <w:lastRenderedPageBreak/>
        <w:t>Animals:</w:t>
      </w:r>
      <w:r w:rsidRPr="00CE5035">
        <w:rPr>
          <w:rFonts w:ascii="Arial" w:hAnsi="Arial" w:cs="Arial"/>
          <w:sz w:val="24"/>
          <w:szCs w:val="24"/>
        </w:rPr>
        <w:t xml:space="preserve"> All studies in this research were reviewed and approved by the UT Health San Antonio (UTHSA) Institutional Animal Care and Use Committee (IACUC) that is responsible for monitoring housing and animal condition regularly 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on the generation and breeding of TgCyto MsrA and TgMito MsrA mice</w:t>
      </w:r>
      <w:r w:rsidR="009B4AF6" w:rsidRPr="00CE5035">
        <w:rPr>
          <w:rFonts w:ascii="Arial" w:hAnsi="Arial" w:cs="Arial"/>
          <w:sz w:val="24"/>
          <w:szCs w:val="24"/>
        </w:rPr>
        <w:t xml:space="preserve"> </w:t>
      </w:r>
      <w:r w:rsidR="00BC7493" w:rsidRPr="00CE5035">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BC7493" w:rsidRPr="00CE5035">
        <w:rPr>
          <w:rFonts w:ascii="Arial" w:hAnsi="Arial" w:cs="Arial"/>
          <w:sz w:val="24"/>
          <w:szCs w:val="24"/>
        </w:rPr>
      </w:r>
      <w:r w:rsidR="00BC7493" w:rsidRPr="00CE5035">
        <w:rPr>
          <w:rFonts w:ascii="Arial" w:hAnsi="Arial" w:cs="Arial"/>
          <w:sz w:val="24"/>
          <w:szCs w:val="24"/>
        </w:rPr>
        <w:fldChar w:fldCharType="separate"/>
      </w:r>
      <w:r w:rsidR="00132562" w:rsidRPr="00CE5035">
        <w:rPr>
          <w:rFonts w:ascii="Arial" w:hAnsi="Arial" w:cs="Arial"/>
          <w:noProof/>
          <w:sz w:val="24"/>
          <w:szCs w:val="24"/>
        </w:rPr>
        <w:t>(</w:t>
      </w:r>
      <w:hyperlink w:anchor="_ENREF_13" w:tooltip="Zhao, 2011 #148" w:history="1">
        <w:r w:rsidR="00132562" w:rsidRPr="00CE5035">
          <w:rPr>
            <w:rFonts w:ascii="Arial" w:hAnsi="Arial" w:cs="Arial"/>
            <w:noProof/>
            <w:sz w:val="24"/>
            <w:szCs w:val="24"/>
          </w:rPr>
          <w:t>13</w:t>
        </w:r>
      </w:hyperlink>
      <w:r w:rsidR="00132562" w:rsidRPr="00CE5035">
        <w:rPr>
          <w:rFonts w:ascii="Arial" w:hAnsi="Arial" w:cs="Arial"/>
          <w:noProof/>
          <w:sz w:val="24"/>
          <w:szCs w:val="24"/>
        </w:rPr>
        <w:t xml:space="preserve">, </w:t>
      </w:r>
      <w:hyperlink w:anchor="_ENREF_14" w:tooltip="Salmon, 2016 #14" w:history="1">
        <w:r w:rsidR="00132562" w:rsidRPr="00CE5035">
          <w:rPr>
            <w:rFonts w:ascii="Arial" w:hAnsi="Arial" w:cs="Arial"/>
            <w:noProof/>
            <w:sz w:val="24"/>
            <w:szCs w:val="24"/>
          </w:rPr>
          <w:t>14</w:t>
        </w:r>
      </w:hyperlink>
      <w:r w:rsidR="00132562" w:rsidRPr="00CE5035">
        <w:rPr>
          <w:rFonts w:ascii="Arial" w:hAnsi="Arial" w:cs="Arial"/>
          <w:noProof/>
          <w:sz w:val="24"/>
          <w:szCs w:val="24"/>
        </w:rPr>
        <w:t xml:space="preserve">, </w:t>
      </w:r>
      <w:hyperlink w:anchor="_ENREF_16" w:tooltip="Hunnicut, 2015 #15" w:history="1">
        <w:r w:rsidR="00132562" w:rsidRPr="00CE5035">
          <w:rPr>
            <w:rFonts w:ascii="Arial" w:hAnsi="Arial" w:cs="Arial"/>
            <w:noProof/>
            <w:sz w:val="24"/>
            <w:szCs w:val="24"/>
          </w:rPr>
          <w:t>16</w:t>
        </w:r>
      </w:hyperlink>
      <w:r w:rsidR="00132562" w:rsidRPr="00CE5035">
        <w:rPr>
          <w:rFonts w:ascii="Arial" w:hAnsi="Arial" w:cs="Arial"/>
          <w:noProof/>
          <w:sz w:val="24"/>
          <w:szCs w:val="24"/>
        </w:rPr>
        <w:t>)</w:t>
      </w:r>
      <w:r w:rsidR="00BC7493" w:rsidRPr="00CE5035">
        <w:rPr>
          <w:rFonts w:ascii="Arial" w:hAnsi="Arial" w:cs="Arial"/>
          <w:sz w:val="24"/>
          <w:szCs w:val="24"/>
        </w:rPr>
        <w:fldChar w:fldCharType="end"/>
      </w:r>
      <w:r w:rsidR="006A1555" w:rsidRPr="00CE5035">
        <w:rPr>
          <w:rFonts w:ascii="Arial" w:hAnsi="Arial" w:cs="Arial"/>
          <w:sz w:val="24"/>
          <w:szCs w:val="24"/>
        </w:rPr>
        <w:t>. For young mice (5-7 mo of age) were used and mice were maintained on normal animal chow (NIA-31) for their life. Animals were sacrificed by CO</w:t>
      </w:r>
      <w:r w:rsidR="006A1555" w:rsidRPr="00CE5035">
        <w:rPr>
          <w:rFonts w:ascii="Arial" w:hAnsi="Arial" w:cs="Arial"/>
          <w:sz w:val="24"/>
          <w:szCs w:val="24"/>
          <w:vertAlign w:val="subscript"/>
        </w:rPr>
        <w:t>2</w:t>
      </w:r>
      <w:r w:rsidR="006A1555" w:rsidRPr="00CE5035">
        <w:rPr>
          <w:rFonts w:ascii="Arial" w:hAnsi="Arial" w:cs="Arial"/>
          <w:sz w:val="24"/>
          <w:szCs w:val="24"/>
        </w:rPr>
        <w:t xml:space="preserve"> and muscle and other tissues were collected.</w:t>
      </w:r>
    </w:p>
    <w:p w14:paraId="3E85A16E" w14:textId="5C9A5551" w:rsidR="002C664B" w:rsidRPr="00CE5035" w:rsidRDefault="00A75481" w:rsidP="00CE5035">
      <w:pPr>
        <w:spacing w:line="240" w:lineRule="auto"/>
        <w:rPr>
          <w:sz w:val="24"/>
          <w:szCs w:val="24"/>
        </w:rPr>
      </w:pPr>
      <w:r w:rsidRPr="00CE5035">
        <w:rPr>
          <w:rFonts w:ascii="Arial" w:hAnsi="Arial" w:cs="Arial"/>
          <w:sz w:val="24"/>
          <w:szCs w:val="24"/>
          <w:u w:val="single"/>
        </w:rPr>
        <w:t>Mitochondrial function assays</w:t>
      </w:r>
      <w:r w:rsidR="00477402" w:rsidRPr="00CE5035">
        <w:rPr>
          <w:rFonts w:ascii="Arial" w:hAnsi="Arial" w:cs="Arial"/>
          <w:sz w:val="24"/>
          <w:szCs w:val="24"/>
          <w:u w:val="single"/>
        </w:rPr>
        <w:t>.</w:t>
      </w:r>
      <w:r w:rsidR="006A1555" w:rsidRPr="00CE5035">
        <w:rPr>
          <w:sz w:val="24"/>
          <w:szCs w:val="24"/>
        </w:rPr>
        <w:t xml:space="preserve"> </w:t>
      </w:r>
      <w:r w:rsidR="00F83645" w:rsidRPr="00CE5035">
        <w:rPr>
          <w:rFonts w:ascii="Arial" w:hAnsi="Arial" w:cs="Arial"/>
          <w:sz w:val="24"/>
          <w:szCs w:val="24"/>
        </w:rPr>
        <w:t xml:space="preserve">Mitochondria were isolated from freshly collected hind-limb skeletal muscle (gastrocnemius, tibialis &amp; soleus) using the methods previously described </w:t>
      </w:r>
      <w:r w:rsidR="00F83645"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sidR="00F83645" w:rsidRPr="00CE5035">
        <w:rPr>
          <w:rFonts w:ascii="Arial" w:hAnsi="Arial" w:cs="Arial"/>
          <w:sz w:val="24"/>
          <w:szCs w:val="24"/>
        </w:rPr>
        <w:fldChar w:fldCharType="separate"/>
      </w:r>
      <w:r w:rsidR="00132562" w:rsidRPr="00CE5035">
        <w:rPr>
          <w:rFonts w:ascii="Arial" w:hAnsi="Arial" w:cs="Arial"/>
          <w:noProof/>
          <w:sz w:val="24"/>
          <w:szCs w:val="24"/>
        </w:rPr>
        <w:t>(</w:t>
      </w:r>
      <w:hyperlink w:anchor="_ENREF_17" w:tooltip="Pulliam, 2014 #35" w:history="1">
        <w:r w:rsidR="00132562" w:rsidRPr="00CE5035">
          <w:rPr>
            <w:rFonts w:ascii="Arial" w:hAnsi="Arial" w:cs="Arial"/>
            <w:noProof/>
            <w:sz w:val="24"/>
            <w:szCs w:val="24"/>
          </w:rPr>
          <w:t>17</w:t>
        </w:r>
      </w:hyperlink>
      <w:r w:rsidR="00132562" w:rsidRPr="00CE5035">
        <w:rPr>
          <w:rFonts w:ascii="Arial" w:hAnsi="Arial" w:cs="Arial"/>
          <w:noProof/>
          <w:sz w:val="24"/>
          <w:szCs w:val="24"/>
        </w:rPr>
        <w:t>)</w:t>
      </w:r>
      <w:r w:rsidR="00F83645" w:rsidRPr="00CE5035">
        <w:rPr>
          <w:rFonts w:ascii="Arial" w:hAnsi="Arial" w:cs="Arial"/>
          <w:sz w:val="24"/>
          <w:szCs w:val="24"/>
        </w:rPr>
        <w:fldChar w:fldCharType="end"/>
      </w:r>
      <w:r w:rsidR="00F83645" w:rsidRPr="00CE5035">
        <w:rPr>
          <w:rFonts w:ascii="Arial" w:hAnsi="Arial" w:cs="Arial"/>
          <w:sz w:val="24"/>
          <w:szCs w:val="24"/>
        </w:rPr>
        <w:t xml:space="preserve">. Briefly, muscle were homogenized with protease and </w:t>
      </w:r>
      <w:r w:rsidR="000005EE" w:rsidRPr="00CE5035">
        <w:rPr>
          <w:rFonts w:ascii="Arial" w:hAnsi="Arial" w:cs="Arial"/>
          <w:sz w:val="24"/>
          <w:szCs w:val="24"/>
        </w:rPr>
        <w:t>mitochondria were purified through differential centrifugation. H</w:t>
      </w:r>
      <w:r w:rsidR="000005EE" w:rsidRPr="00CE5035">
        <w:rPr>
          <w:rFonts w:ascii="Arial" w:hAnsi="Arial" w:cs="Arial"/>
          <w:sz w:val="24"/>
          <w:szCs w:val="24"/>
          <w:vertAlign w:val="subscript"/>
        </w:rPr>
        <w:t>2</w:t>
      </w:r>
      <w:r w:rsidR="000005EE" w:rsidRPr="00CE5035">
        <w:rPr>
          <w:rFonts w:ascii="Arial" w:hAnsi="Arial" w:cs="Arial"/>
          <w:sz w:val="24"/>
          <w:szCs w:val="24"/>
        </w:rPr>
        <w:t>O</w:t>
      </w:r>
      <w:r w:rsidR="000005EE" w:rsidRPr="00CE5035">
        <w:rPr>
          <w:rFonts w:ascii="Arial" w:hAnsi="Arial" w:cs="Arial"/>
          <w:sz w:val="24"/>
          <w:szCs w:val="24"/>
          <w:vertAlign w:val="subscript"/>
        </w:rPr>
        <w:t>2</w:t>
      </w:r>
      <w:r w:rsidR="00F83645" w:rsidRPr="00CE5035">
        <w:rPr>
          <w:rFonts w:ascii="Arial" w:hAnsi="Arial" w:cs="Arial"/>
          <w:sz w:val="24"/>
          <w:szCs w:val="24"/>
        </w:rPr>
        <w:t xml:space="preserve"> </w:t>
      </w:r>
      <w:r w:rsidR="000005EE" w:rsidRPr="00CE5035">
        <w:rPr>
          <w:rFonts w:ascii="Arial" w:hAnsi="Arial" w:cs="Arial"/>
          <w:sz w:val="24"/>
          <w:szCs w:val="24"/>
        </w:rPr>
        <w:t xml:space="preserve">release from mitochondria under specified conditions was assessed using the Amplex Red method described elsewhere </w:t>
      </w:r>
      <w:r w:rsidR="000005EE"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sidR="000005EE" w:rsidRPr="00CE5035">
        <w:rPr>
          <w:rFonts w:ascii="Arial" w:hAnsi="Arial" w:cs="Arial"/>
          <w:sz w:val="24"/>
          <w:szCs w:val="24"/>
        </w:rPr>
        <w:fldChar w:fldCharType="separate"/>
      </w:r>
      <w:r w:rsidR="00132562" w:rsidRPr="00CE5035">
        <w:rPr>
          <w:rFonts w:ascii="Arial" w:hAnsi="Arial" w:cs="Arial"/>
          <w:noProof/>
          <w:sz w:val="24"/>
          <w:szCs w:val="24"/>
        </w:rPr>
        <w:t>(</w:t>
      </w:r>
      <w:hyperlink w:anchor="_ENREF_18" w:tooltip="Lustgarten, 2009 #36" w:history="1">
        <w:r w:rsidR="00132562" w:rsidRPr="00CE5035">
          <w:rPr>
            <w:rFonts w:ascii="Arial" w:hAnsi="Arial" w:cs="Arial"/>
            <w:noProof/>
            <w:sz w:val="24"/>
            <w:szCs w:val="24"/>
          </w:rPr>
          <w:t>18</w:t>
        </w:r>
      </w:hyperlink>
      <w:r w:rsidR="00132562" w:rsidRPr="00CE5035">
        <w:rPr>
          <w:rFonts w:ascii="Arial" w:hAnsi="Arial" w:cs="Arial"/>
          <w:noProof/>
          <w:sz w:val="24"/>
          <w:szCs w:val="24"/>
        </w:rPr>
        <w:t>)</w:t>
      </w:r>
      <w:r w:rsidR="000005EE" w:rsidRPr="00CE5035">
        <w:rPr>
          <w:rFonts w:ascii="Arial" w:hAnsi="Arial" w:cs="Arial"/>
          <w:sz w:val="24"/>
          <w:szCs w:val="24"/>
        </w:rPr>
        <w:fldChar w:fldCharType="end"/>
      </w:r>
      <w:r w:rsidR="000005EE" w:rsidRPr="00CE5035">
        <w:rPr>
          <w:rFonts w:ascii="Arial" w:hAnsi="Arial" w:cs="Arial"/>
          <w:sz w:val="24"/>
          <w:szCs w:val="24"/>
        </w:rPr>
        <w:t xml:space="preserve">. Mitochondrial substrates were added at the following concentrations: glutamate (2.5 mM), malate (2.5 mM), succinate (5 mM), rotenone (0.5 µM) and antimycin A (0.5 µM). The same concentrations were used for ATP production, membrane potential and mitochondrial respiration. Superoxide release was measured using electron paramagnetic resonance (EPR) with the use of spin trap 5-diisopropoxyphosphoryl-5-methyl-1-pyrroline-N-oxide (DIPPMPO) as previously described </w:t>
      </w:r>
      <w:r w:rsidR="000005EE"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sidR="000005EE" w:rsidRPr="00CE5035">
        <w:rPr>
          <w:rFonts w:ascii="Arial" w:hAnsi="Arial" w:cs="Arial"/>
          <w:sz w:val="24"/>
          <w:szCs w:val="24"/>
        </w:rPr>
        <w:fldChar w:fldCharType="separate"/>
      </w:r>
      <w:r w:rsidR="00132562" w:rsidRPr="00CE5035">
        <w:rPr>
          <w:rFonts w:ascii="Arial" w:hAnsi="Arial" w:cs="Arial"/>
          <w:noProof/>
          <w:sz w:val="24"/>
          <w:szCs w:val="24"/>
        </w:rPr>
        <w:t>(</w:t>
      </w:r>
      <w:hyperlink w:anchor="_ENREF_17" w:tooltip="Pulliam, 2014 #35" w:history="1">
        <w:r w:rsidR="00132562" w:rsidRPr="00CE5035">
          <w:rPr>
            <w:rFonts w:ascii="Arial" w:hAnsi="Arial" w:cs="Arial"/>
            <w:noProof/>
            <w:sz w:val="24"/>
            <w:szCs w:val="24"/>
          </w:rPr>
          <w:t>17</w:t>
        </w:r>
      </w:hyperlink>
      <w:r w:rsidR="00132562" w:rsidRPr="00CE5035">
        <w:rPr>
          <w:rFonts w:ascii="Arial" w:hAnsi="Arial" w:cs="Arial"/>
          <w:noProof/>
          <w:sz w:val="24"/>
          <w:szCs w:val="24"/>
        </w:rPr>
        <w:t>)</w:t>
      </w:r>
      <w:r w:rsidR="000005EE" w:rsidRPr="00CE5035">
        <w:rPr>
          <w:rFonts w:ascii="Arial" w:hAnsi="Arial" w:cs="Arial"/>
          <w:sz w:val="24"/>
          <w:szCs w:val="24"/>
        </w:rPr>
        <w:fldChar w:fldCharType="end"/>
      </w:r>
      <w:r w:rsidR="000005EE" w:rsidRPr="00CE5035">
        <w:rPr>
          <w:rFonts w:ascii="Arial" w:hAnsi="Arial" w:cs="Arial"/>
          <w:sz w:val="24"/>
          <w:szCs w:val="24"/>
        </w:rPr>
        <w:t>. EPR data are expressed as relative intensity per 20 µg mitochondrial protein then normalized to values generated from control mice. ATP synthesis was measured using the luciferin/luciferase assay from Roche according to manufacturers</w:t>
      </w:r>
      <w:r w:rsidR="000C6770" w:rsidRPr="00CE5035">
        <w:rPr>
          <w:rFonts w:ascii="Arial" w:hAnsi="Arial" w:cs="Arial"/>
          <w:sz w:val="24"/>
          <w:szCs w:val="24"/>
        </w:rPr>
        <w:t>’</w:t>
      </w:r>
      <w:r w:rsidR="000005EE" w:rsidRPr="00CE5035">
        <w:rPr>
          <w:rFonts w:ascii="Arial" w:hAnsi="Arial" w:cs="Arial"/>
          <w:sz w:val="24"/>
          <w:szCs w:val="24"/>
        </w:rPr>
        <w:t xml:space="preserve"> instructions. Slope of kinetic curve generated was converted to ATP measurements using the standards provided in the kit. Membrane potential was measured by the fluorescence of the quench-dye Safarin O as previously described </w:t>
      </w:r>
      <w:r w:rsidR="000005EE"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sidR="000005EE" w:rsidRPr="00CE5035">
        <w:rPr>
          <w:rFonts w:ascii="Arial" w:hAnsi="Arial" w:cs="Arial"/>
          <w:sz w:val="24"/>
          <w:szCs w:val="24"/>
        </w:rPr>
        <w:fldChar w:fldCharType="separate"/>
      </w:r>
      <w:r w:rsidR="00132562" w:rsidRPr="00CE5035">
        <w:rPr>
          <w:rFonts w:ascii="Arial" w:hAnsi="Arial" w:cs="Arial"/>
          <w:noProof/>
          <w:sz w:val="24"/>
          <w:szCs w:val="24"/>
        </w:rPr>
        <w:t>(</w:t>
      </w:r>
      <w:hyperlink w:anchor="_ENREF_18" w:tooltip="Lustgarten, 2009 #36" w:history="1">
        <w:r w:rsidR="00132562" w:rsidRPr="00CE5035">
          <w:rPr>
            <w:rFonts w:ascii="Arial" w:hAnsi="Arial" w:cs="Arial"/>
            <w:noProof/>
            <w:sz w:val="24"/>
            <w:szCs w:val="24"/>
          </w:rPr>
          <w:t>18</w:t>
        </w:r>
      </w:hyperlink>
      <w:r w:rsidR="00132562" w:rsidRPr="00CE5035">
        <w:rPr>
          <w:rFonts w:ascii="Arial" w:hAnsi="Arial" w:cs="Arial"/>
          <w:noProof/>
          <w:sz w:val="24"/>
          <w:szCs w:val="24"/>
        </w:rPr>
        <w:t>)</w:t>
      </w:r>
      <w:r w:rsidR="000005EE" w:rsidRPr="00CE5035">
        <w:rPr>
          <w:rFonts w:ascii="Arial" w:hAnsi="Arial" w:cs="Arial"/>
          <w:sz w:val="24"/>
          <w:szCs w:val="24"/>
        </w:rPr>
        <w:fldChar w:fldCharType="end"/>
      </w:r>
      <w:r w:rsidR="000005EE" w:rsidRPr="00CE5035">
        <w:rPr>
          <w:rFonts w:ascii="Arial" w:hAnsi="Arial" w:cs="Arial"/>
          <w:sz w:val="24"/>
          <w:szCs w:val="24"/>
        </w:rPr>
        <w:t xml:space="preserve">. Respiratory control ratio (RCR) was measured as the ratio of mitochondrial State 3/State 4 respiration rates as measured by Clark electrode as described previously </w:t>
      </w:r>
      <w:r w:rsidR="000005EE" w:rsidRPr="00CE5035">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0005EE" w:rsidRPr="00CE5035">
        <w:rPr>
          <w:rFonts w:ascii="Arial" w:hAnsi="Arial" w:cs="Arial"/>
          <w:sz w:val="24"/>
          <w:szCs w:val="24"/>
        </w:rPr>
      </w:r>
      <w:r w:rsidR="000005EE" w:rsidRPr="00CE5035">
        <w:rPr>
          <w:rFonts w:ascii="Arial" w:hAnsi="Arial" w:cs="Arial"/>
          <w:sz w:val="24"/>
          <w:szCs w:val="24"/>
        </w:rPr>
        <w:fldChar w:fldCharType="separate"/>
      </w:r>
      <w:r w:rsidR="00132562" w:rsidRPr="00CE5035">
        <w:rPr>
          <w:rFonts w:ascii="Arial" w:hAnsi="Arial" w:cs="Arial"/>
          <w:noProof/>
          <w:sz w:val="24"/>
          <w:szCs w:val="24"/>
        </w:rPr>
        <w:t>(</w:t>
      </w:r>
      <w:hyperlink w:anchor="_ENREF_17" w:tooltip="Pulliam, 2014 #35" w:history="1">
        <w:r w:rsidR="00132562" w:rsidRPr="00CE5035">
          <w:rPr>
            <w:rFonts w:ascii="Arial" w:hAnsi="Arial" w:cs="Arial"/>
            <w:noProof/>
            <w:sz w:val="24"/>
            <w:szCs w:val="24"/>
          </w:rPr>
          <w:t>17</w:t>
        </w:r>
      </w:hyperlink>
      <w:r w:rsidR="00132562" w:rsidRPr="00CE5035">
        <w:rPr>
          <w:rFonts w:ascii="Arial" w:hAnsi="Arial" w:cs="Arial"/>
          <w:noProof/>
          <w:sz w:val="24"/>
          <w:szCs w:val="24"/>
        </w:rPr>
        <w:t xml:space="preserve">, </w:t>
      </w:r>
      <w:hyperlink w:anchor="_ENREF_18" w:tooltip="Lustgarten, 2009 #36" w:history="1">
        <w:r w:rsidR="00132562" w:rsidRPr="00CE5035">
          <w:rPr>
            <w:rFonts w:ascii="Arial" w:hAnsi="Arial" w:cs="Arial"/>
            <w:noProof/>
            <w:sz w:val="24"/>
            <w:szCs w:val="24"/>
          </w:rPr>
          <w:t>18</w:t>
        </w:r>
      </w:hyperlink>
      <w:r w:rsidR="00132562" w:rsidRPr="00CE5035">
        <w:rPr>
          <w:rFonts w:ascii="Arial" w:hAnsi="Arial" w:cs="Arial"/>
          <w:noProof/>
          <w:sz w:val="24"/>
          <w:szCs w:val="24"/>
        </w:rPr>
        <w:t>)</w:t>
      </w:r>
      <w:r w:rsidR="000005EE" w:rsidRPr="00CE5035">
        <w:rPr>
          <w:rFonts w:ascii="Arial" w:hAnsi="Arial" w:cs="Arial"/>
          <w:sz w:val="24"/>
          <w:szCs w:val="24"/>
        </w:rPr>
        <w:fldChar w:fldCharType="end"/>
      </w:r>
      <w:r w:rsidR="000005EE" w:rsidRPr="00CE5035">
        <w:rPr>
          <w:rFonts w:ascii="Arial" w:hAnsi="Arial" w:cs="Arial"/>
          <w:sz w:val="24"/>
          <w:szCs w:val="24"/>
        </w:rPr>
        <w:t>. Briefly, State 3 respiration was measured in the presence of 0.3 mM ADP; State 4 respiration was measured as oxygen consumption following the expenditure of ADP.</w:t>
      </w:r>
      <w:r w:rsidR="007058AD" w:rsidRPr="00CE5035">
        <w:rPr>
          <w:rFonts w:ascii="Arial" w:hAnsi="Arial" w:cs="Arial"/>
          <w:sz w:val="24"/>
          <w:szCs w:val="24"/>
        </w:rPr>
        <w:t xml:space="preserve"> Aconitase catalyzes the reversible isomerization of citrate to isocitrate. In most tissues, aconitase is usually present in both the mitochondrial matrix and the cytoplasm. However, in skeletal muscle, only mitochondrial matrix aconitase is present. Aconitase activity was assayed (in Triton-X-100-treated samples) by measuring NADP+ reduction by citrate in the presence of isocitrate dehydrogenase using a fluorometric method (excitation at 355 nm and emission at 460 nm). Skeletal muscle homogenates (</w:t>
      </w:r>
      <w:r w:rsidR="007058AD" w:rsidRPr="00CE5035">
        <w:rPr>
          <w:rFonts w:ascii="Cambria Math" w:hAnsi="Cambria Math" w:cs="Cambria Math"/>
          <w:sz w:val="24"/>
          <w:szCs w:val="24"/>
        </w:rPr>
        <w:t>∼</w:t>
      </w:r>
      <w:r w:rsidR="007058AD" w:rsidRPr="00CE5035">
        <w:rPr>
          <w:rFonts w:ascii="Arial" w:hAnsi="Arial" w:cs="Arial"/>
          <w:sz w:val="24"/>
          <w:szCs w:val="24"/>
        </w:rPr>
        <w:t>1.0 mg of protein/ml) were aliquoted in 96-well plates (100 μl of pH 7.44, 125 mm KCl, 10 mm HEPES, 5 mm MgCl2, 2 mm K2HPO4) and incubated at 30° C up to 40 min. After incubation, aconitase activity measurements were begun by the addition of 1 volume (100 μl) of 50 mm Tris, 0.6 mm MnCl2, 60 mm citrate, 0.2% Triton X-100, 100 μm NADP+, and 1 unit of isocitrate dehydrogenase (Sigma). Fluorometric measurements were then started immediately (Fluoroskan-FL Ascent type 374 microplate reader). Negative blank to measure aconitase-independent NADP+ reduction consisted of the same buffer minus the isocitrate dehydrogenase with the slope of NADPH fluorescence used as assessment of aconitase activity.</w:t>
      </w:r>
    </w:p>
    <w:p w14:paraId="7ED8B1AF" w14:textId="294418C7" w:rsidR="002C664B" w:rsidRPr="00CE5035" w:rsidRDefault="00A75481" w:rsidP="00CE5035">
      <w:pPr>
        <w:spacing w:line="240" w:lineRule="auto"/>
        <w:rPr>
          <w:rFonts w:ascii="Arial" w:hAnsi="Arial" w:cs="Arial"/>
          <w:sz w:val="24"/>
          <w:szCs w:val="24"/>
        </w:rPr>
      </w:pPr>
      <w:r w:rsidRPr="00CE5035">
        <w:rPr>
          <w:rFonts w:ascii="Arial" w:hAnsi="Arial" w:cs="Arial"/>
          <w:sz w:val="24"/>
          <w:szCs w:val="24"/>
          <w:u w:val="single"/>
        </w:rPr>
        <w:t>Mitochondrial complex assays</w:t>
      </w:r>
      <w:r w:rsidR="00477402" w:rsidRPr="00CE5035">
        <w:rPr>
          <w:rFonts w:ascii="Arial" w:hAnsi="Arial" w:cs="Arial"/>
          <w:sz w:val="24"/>
          <w:szCs w:val="24"/>
          <w:u w:val="single"/>
        </w:rPr>
        <w:t>.</w:t>
      </w:r>
      <w:r w:rsidR="00477402" w:rsidRPr="00CE5035">
        <w:rPr>
          <w:rFonts w:ascii="Arial" w:hAnsi="Arial" w:cs="Arial"/>
          <w:sz w:val="24"/>
          <w:szCs w:val="24"/>
        </w:rPr>
        <w:t xml:space="preserve"> </w:t>
      </w:r>
      <w:r w:rsidR="007E4779" w:rsidRPr="00CE5035">
        <w:rPr>
          <w:rFonts w:ascii="Arial" w:hAnsi="Arial" w:cs="Arial"/>
          <w:sz w:val="24"/>
          <w:szCs w:val="24"/>
        </w:rPr>
        <w:t>Acti</w:t>
      </w:r>
      <w:r w:rsidR="000C6770" w:rsidRPr="00CE5035">
        <w:rPr>
          <w:rFonts w:ascii="Arial" w:hAnsi="Arial" w:cs="Arial"/>
          <w:sz w:val="24"/>
          <w:szCs w:val="24"/>
        </w:rPr>
        <w:t>vity of ETC</w:t>
      </w:r>
      <w:r w:rsidR="007E4779" w:rsidRPr="00CE5035">
        <w:rPr>
          <w:rFonts w:ascii="Arial" w:hAnsi="Arial" w:cs="Arial"/>
          <w:sz w:val="24"/>
          <w:szCs w:val="24"/>
        </w:rPr>
        <w:t xml:space="preserve"> complexes were measured as previously described </w:t>
      </w:r>
      <w:r w:rsidR="007E4779"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sidR="007E4779" w:rsidRPr="00CE5035">
        <w:rPr>
          <w:rFonts w:ascii="Arial" w:hAnsi="Arial" w:cs="Arial"/>
          <w:sz w:val="24"/>
          <w:szCs w:val="24"/>
        </w:rPr>
        <w:fldChar w:fldCharType="separate"/>
      </w:r>
      <w:r w:rsidR="00132562" w:rsidRPr="00CE5035">
        <w:rPr>
          <w:rFonts w:ascii="Arial" w:hAnsi="Arial" w:cs="Arial"/>
          <w:noProof/>
          <w:sz w:val="24"/>
          <w:szCs w:val="24"/>
        </w:rPr>
        <w:t>(</w:t>
      </w:r>
      <w:hyperlink w:anchor="_ENREF_17" w:tooltip="Pulliam, 2014 #35" w:history="1">
        <w:r w:rsidR="00132562" w:rsidRPr="00CE5035">
          <w:rPr>
            <w:rFonts w:ascii="Arial" w:hAnsi="Arial" w:cs="Arial"/>
            <w:noProof/>
            <w:sz w:val="24"/>
            <w:szCs w:val="24"/>
          </w:rPr>
          <w:t>17</w:t>
        </w:r>
      </w:hyperlink>
      <w:r w:rsidR="00132562" w:rsidRPr="00CE5035">
        <w:rPr>
          <w:rFonts w:ascii="Arial" w:hAnsi="Arial" w:cs="Arial"/>
          <w:noProof/>
          <w:sz w:val="24"/>
          <w:szCs w:val="24"/>
        </w:rPr>
        <w:t>)</w:t>
      </w:r>
      <w:r w:rsidR="007E4779" w:rsidRPr="00CE5035">
        <w:rPr>
          <w:rFonts w:ascii="Arial" w:hAnsi="Arial" w:cs="Arial"/>
          <w:sz w:val="24"/>
          <w:szCs w:val="24"/>
        </w:rPr>
        <w:fldChar w:fldCharType="end"/>
      </w:r>
      <w:r w:rsidR="007E4779" w:rsidRPr="00CE5035">
        <w:rPr>
          <w:rFonts w:ascii="Arial" w:hAnsi="Arial" w:cs="Arial"/>
          <w:sz w:val="24"/>
          <w:szCs w:val="24"/>
        </w:rPr>
        <w:t>. In brief, mitochondrial protein was assessed from complex I activity by monitoring the oxidation of nicotinomide adenine dinucleotide (NADH) with ubiquinone-2 as the electron acceptor in the presence of diclorophenolindophenol (DCIP). Complex II activity was assessed by measuring succinate-dependent reduction of DCIP using ubiquinone-2 as the electron receptor. Complex III activity was measured by the reduction of cytochrome c3+ at 550 nm using D-ubiquinol-2 as an electron acceptor. Complex IV as measured by monitoring the oxidation of cytochrome c</w:t>
      </w:r>
      <w:r w:rsidR="007E4779" w:rsidRPr="00CE5035">
        <w:rPr>
          <w:rFonts w:ascii="Arial" w:hAnsi="Arial" w:cs="Arial"/>
          <w:sz w:val="24"/>
          <w:szCs w:val="24"/>
          <w:vertAlign w:val="superscript"/>
        </w:rPr>
        <w:t>2+</w:t>
      </w:r>
      <w:r w:rsidR="007E4779" w:rsidRPr="00CE5035">
        <w:rPr>
          <w:rFonts w:ascii="Arial" w:hAnsi="Arial" w:cs="Arial"/>
          <w:sz w:val="24"/>
          <w:szCs w:val="24"/>
        </w:rPr>
        <w:t xml:space="preserve">. All assays were measured by spectrophotometry and they are described in greater details elsewhere </w:t>
      </w:r>
      <w:r w:rsidR="007E4779"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sidR="007E4779" w:rsidRPr="00CE5035">
        <w:rPr>
          <w:rFonts w:ascii="Arial" w:hAnsi="Arial" w:cs="Arial"/>
          <w:sz w:val="24"/>
          <w:szCs w:val="24"/>
        </w:rPr>
        <w:fldChar w:fldCharType="separate"/>
      </w:r>
      <w:r w:rsidR="00132562" w:rsidRPr="00CE5035">
        <w:rPr>
          <w:rFonts w:ascii="Arial" w:hAnsi="Arial" w:cs="Arial"/>
          <w:noProof/>
          <w:sz w:val="24"/>
          <w:szCs w:val="24"/>
        </w:rPr>
        <w:t>(</w:t>
      </w:r>
      <w:hyperlink w:anchor="_ENREF_17" w:tooltip="Pulliam, 2014 #35" w:history="1">
        <w:r w:rsidR="00132562" w:rsidRPr="00CE5035">
          <w:rPr>
            <w:rFonts w:ascii="Arial" w:hAnsi="Arial" w:cs="Arial"/>
            <w:noProof/>
            <w:sz w:val="24"/>
            <w:szCs w:val="24"/>
          </w:rPr>
          <w:t>17</w:t>
        </w:r>
      </w:hyperlink>
      <w:r w:rsidR="00132562" w:rsidRPr="00CE5035">
        <w:rPr>
          <w:rFonts w:ascii="Arial" w:hAnsi="Arial" w:cs="Arial"/>
          <w:noProof/>
          <w:sz w:val="24"/>
          <w:szCs w:val="24"/>
        </w:rPr>
        <w:t>)</w:t>
      </w:r>
      <w:r w:rsidR="007E4779" w:rsidRPr="00CE5035">
        <w:rPr>
          <w:rFonts w:ascii="Arial" w:hAnsi="Arial" w:cs="Arial"/>
          <w:sz w:val="24"/>
          <w:szCs w:val="24"/>
        </w:rPr>
        <w:fldChar w:fldCharType="end"/>
      </w:r>
      <w:r w:rsidR="007E4779" w:rsidRPr="00CE5035">
        <w:rPr>
          <w:rFonts w:ascii="Arial" w:hAnsi="Arial" w:cs="Arial"/>
          <w:sz w:val="24"/>
          <w:szCs w:val="24"/>
        </w:rPr>
        <w:t xml:space="preserve">. The final rates for all activities were normalized to average values obtained from wild type (control) animals. </w:t>
      </w:r>
    </w:p>
    <w:p w14:paraId="788DF913" w14:textId="0D751356" w:rsidR="00BC7493" w:rsidRPr="00CE5035" w:rsidRDefault="004F79BF" w:rsidP="00CE5035">
      <w:pPr>
        <w:spacing w:line="240" w:lineRule="auto"/>
        <w:rPr>
          <w:rFonts w:ascii="Arial" w:hAnsi="Arial" w:cs="Arial"/>
          <w:sz w:val="24"/>
          <w:szCs w:val="24"/>
        </w:rPr>
      </w:pPr>
      <w:r w:rsidRPr="00CE5035">
        <w:rPr>
          <w:rFonts w:ascii="Arial" w:hAnsi="Arial" w:cs="Arial"/>
          <w:sz w:val="24"/>
          <w:szCs w:val="24"/>
          <w:u w:val="single"/>
        </w:rPr>
        <w:lastRenderedPageBreak/>
        <w:t>Statistical analysis.</w:t>
      </w:r>
      <w:r w:rsidRPr="00CE5035">
        <w:rPr>
          <w:rFonts w:ascii="Arial" w:hAnsi="Arial" w:cs="Arial"/>
          <w:sz w:val="24"/>
          <w:szCs w:val="24"/>
        </w:rPr>
        <w:t xml:space="preserve"> </w:t>
      </w:r>
      <w:r w:rsidR="007E4779" w:rsidRPr="00CE5035">
        <w:rPr>
          <w:rFonts w:ascii="Arial" w:hAnsi="Arial" w:cs="Arial"/>
          <w:sz w:val="24"/>
          <w:szCs w:val="24"/>
        </w:rPr>
        <w:t xml:space="preserve"> All data were analyzed by 1 way ANOVA or Student’s t-test as appropriate. Statistical significance was given to those data where p &lt; 0.05. Post-hoc analysis of ANOVA were performed using the method of Holm-Sidak. </w:t>
      </w:r>
    </w:p>
    <w:p w14:paraId="6754F0A9" w14:textId="7AD28039" w:rsidR="0058077F" w:rsidRPr="00CE5035" w:rsidRDefault="00790771" w:rsidP="00CE5035">
      <w:pPr>
        <w:spacing w:line="240" w:lineRule="auto"/>
        <w:rPr>
          <w:rFonts w:ascii="Arial" w:hAnsi="Arial" w:cs="Arial"/>
          <w:b/>
          <w:sz w:val="24"/>
          <w:szCs w:val="24"/>
        </w:rPr>
      </w:pPr>
      <w:r w:rsidRPr="00CE5035">
        <w:rPr>
          <w:rFonts w:ascii="Arial" w:hAnsi="Arial" w:cs="Arial"/>
          <w:b/>
          <w:sz w:val="24"/>
          <w:szCs w:val="24"/>
        </w:rPr>
        <w:t>RESULTS</w:t>
      </w:r>
    </w:p>
    <w:p w14:paraId="40A17C1B" w14:textId="42FB0BA3" w:rsidR="00177FB0" w:rsidRDefault="00CE5035" w:rsidP="00CE5035">
      <w:pPr>
        <w:spacing w:line="240" w:lineRule="auto"/>
        <w:ind w:firstLine="720"/>
        <w:rPr>
          <w:rFonts w:ascii="Arial" w:hAnsi="Arial" w:cs="Arial"/>
          <w:sz w:val="24"/>
          <w:szCs w:val="24"/>
        </w:rPr>
      </w:pPr>
      <w:r w:rsidRPr="00CE5035">
        <w:rPr>
          <w:noProof/>
          <w:sz w:val="24"/>
          <w:szCs w:val="24"/>
        </w:rPr>
        <mc:AlternateContent>
          <mc:Choice Requires="wps">
            <w:drawing>
              <wp:anchor distT="45720" distB="45720" distL="114300" distR="114300" simplePos="0" relativeHeight="251671552" behindDoc="0" locked="0" layoutInCell="1" allowOverlap="1" wp14:anchorId="3ED7E1AC" wp14:editId="33FA3E43">
                <wp:simplePos x="0" y="0"/>
                <wp:positionH relativeFrom="margin">
                  <wp:align>right</wp:align>
                </wp:positionH>
                <wp:positionV relativeFrom="paragraph">
                  <wp:posOffset>6638562</wp:posOffset>
                </wp:positionV>
                <wp:extent cx="6846570" cy="117538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175385"/>
                        </a:xfrm>
                        <a:prstGeom prst="rect">
                          <a:avLst/>
                        </a:prstGeom>
                        <a:solidFill>
                          <a:srgbClr val="FFFFFF"/>
                        </a:solidFill>
                        <a:ln w="9525">
                          <a:solidFill>
                            <a:srgbClr val="000000"/>
                          </a:solidFill>
                          <a:miter lim="800000"/>
                          <a:headEnd/>
                          <a:tailEnd/>
                        </a:ln>
                      </wps:spPr>
                      <wps:txbx>
                        <w:txbxContent>
                          <w:p w14:paraId="5F737852"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1</w:t>
                            </w:r>
                            <w:r w:rsidRPr="00CE5035">
                              <w:rPr>
                                <w:rFonts w:ascii="Arial" w:hAnsi="Arial" w:cs="Arial"/>
                                <w:sz w:val="24"/>
                                <w:szCs w:val="24"/>
                              </w:rPr>
                              <w:t>. Mitochondrial production of H</w:t>
                            </w:r>
                            <w:r w:rsidRPr="00CE5035">
                              <w:rPr>
                                <w:rFonts w:ascii="Arial" w:hAnsi="Arial" w:cs="Arial"/>
                                <w:sz w:val="24"/>
                                <w:szCs w:val="24"/>
                                <w:vertAlign w:val="subscript"/>
                              </w:rPr>
                              <w:t>2</w:t>
                            </w:r>
                            <w:r w:rsidRPr="00CE5035">
                              <w:rPr>
                                <w:rFonts w:ascii="Arial" w:hAnsi="Arial" w:cs="Arial"/>
                                <w:sz w:val="24"/>
                                <w:szCs w:val="24"/>
                              </w:rPr>
                              <w:t>O</w:t>
                            </w:r>
                            <w:r w:rsidRPr="00CE5035">
                              <w:rPr>
                                <w:rFonts w:ascii="Arial" w:hAnsi="Arial" w:cs="Arial"/>
                                <w:sz w:val="24"/>
                                <w:szCs w:val="24"/>
                                <w:vertAlign w:val="subscript"/>
                              </w:rPr>
                              <w:t>2</w:t>
                            </w:r>
                            <w:r w:rsidRPr="00CE5035">
                              <w:rPr>
                                <w:rFonts w:ascii="Arial" w:hAnsi="Arial" w:cs="Arial"/>
                                <w:sz w:val="24"/>
                                <w:szCs w:val="24"/>
                              </w:rPr>
                              <w:t xml:space="preserve"> with no substrates provided (</w:t>
                            </w:r>
                            <w:r w:rsidRPr="00CE5035">
                              <w:rPr>
                                <w:rFonts w:ascii="Arial" w:hAnsi="Arial" w:cs="Arial"/>
                                <w:b/>
                                <w:sz w:val="24"/>
                                <w:szCs w:val="24"/>
                              </w:rPr>
                              <w:t>A; state 1</w:t>
                            </w:r>
                            <w:r w:rsidRPr="00CE5035">
                              <w:rPr>
                                <w:rFonts w:ascii="Arial" w:hAnsi="Arial" w:cs="Arial"/>
                                <w:sz w:val="24"/>
                                <w:szCs w:val="24"/>
                              </w:rPr>
                              <w:t>) or provided with glutamate and malate (</w:t>
                            </w:r>
                            <w:r w:rsidRPr="00CE5035">
                              <w:rPr>
                                <w:rFonts w:ascii="Arial" w:hAnsi="Arial" w:cs="Arial"/>
                                <w:b/>
                                <w:sz w:val="24"/>
                                <w:szCs w:val="24"/>
                              </w:rPr>
                              <w:t>B; Glu/Mal</w:t>
                            </w:r>
                            <w:r w:rsidRPr="00CE5035">
                              <w:rPr>
                                <w:rFonts w:ascii="Arial" w:hAnsi="Arial" w:cs="Arial"/>
                                <w:sz w:val="24"/>
                                <w:szCs w:val="24"/>
                              </w:rPr>
                              <w:t>), glutamate, malate and rotenone (</w:t>
                            </w:r>
                            <w:r w:rsidRPr="00CE5035">
                              <w:rPr>
                                <w:rFonts w:ascii="Arial" w:hAnsi="Arial" w:cs="Arial"/>
                                <w:b/>
                                <w:sz w:val="24"/>
                                <w:szCs w:val="24"/>
                              </w:rPr>
                              <w:t>C; Glu/Mal/Rot</w:t>
                            </w:r>
                            <w:r w:rsidRPr="00CE5035">
                              <w:rPr>
                                <w:rFonts w:ascii="Arial" w:hAnsi="Arial" w:cs="Arial"/>
                                <w:sz w:val="24"/>
                                <w:szCs w:val="24"/>
                              </w:rPr>
                              <w:t>), succinate and rotenone (</w:t>
                            </w:r>
                            <w:r w:rsidRPr="00CE5035">
                              <w:rPr>
                                <w:rFonts w:ascii="Arial" w:hAnsi="Arial" w:cs="Arial"/>
                                <w:b/>
                                <w:sz w:val="24"/>
                                <w:szCs w:val="24"/>
                              </w:rPr>
                              <w:t>D; Suc/Rot</w:t>
                            </w:r>
                            <w:r w:rsidRPr="00CE5035">
                              <w:rPr>
                                <w:rFonts w:ascii="Arial" w:hAnsi="Arial" w:cs="Arial"/>
                                <w:sz w:val="24"/>
                                <w:szCs w:val="24"/>
                              </w:rPr>
                              <w:t>) or succinate, rotenone and antimycin A (</w:t>
                            </w:r>
                            <w:r w:rsidRPr="00CE5035">
                              <w:rPr>
                                <w:rFonts w:ascii="Arial" w:hAnsi="Arial" w:cs="Arial"/>
                                <w:b/>
                                <w:sz w:val="24"/>
                                <w:szCs w:val="24"/>
                              </w:rPr>
                              <w:t>E; Suc/Rot/AA</w:t>
                            </w:r>
                            <w:r w:rsidRPr="00CE5035">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p w14:paraId="6BDBD6D3" w14:textId="77777777" w:rsidR="00CE5035" w:rsidRDefault="00CE5035" w:rsidP="00CE5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7E1AC" id="_x0000_t202" coordsize="21600,21600" o:spt="202" path="m,l,21600r21600,l21600,xe">
                <v:stroke joinstyle="miter"/>
                <v:path gradientshapeok="t" o:connecttype="rect"/>
              </v:shapetype>
              <v:shape id="Text Box 2" o:spid="_x0000_s1026" type="#_x0000_t202" style="position:absolute;left:0;text-align:left;margin-left:487.9pt;margin-top:522.7pt;width:539.1pt;height:92.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8SJQIAAEcEAAAOAAAAZHJzL2Uyb0RvYy54bWysU9uO2yAQfa/Uf0C8N47dOMlacVbbbFNV&#10;2l6k3X4AxjhGBcYFEnv79Ttgb5reXqrygBhmOMycM7O5HrQiJ2GdBFPSdDanRBgOtTSHkn552L9a&#10;U+I8MzVTYERJH4Wj19uXLzZ9V4gMWlC1sARBjCv6rqSt912RJI63QjM3g04YdDZgNfNo2kNSW9Yj&#10;ulZJNp8vkx5s3Vngwjm8vR2ddBvxm0Zw/6lpnPBElRRz83G3ca/Cnmw3rDhY1rWST2mwf8hCM2nw&#10;0zPULfOMHK38DUpLbsFB42ccdAJNI7mINWA16fyXau5b1olYC5LjujNN7v/B8o+nz5bIuqRZuqLE&#10;MI0iPYjBkzcwkCzw03euwLD7DgP9gNeoc6zVdXfAvzpiYNcycxA31kLfClZjfml4mVw8HXFcAKn6&#10;D1DjN+zoIQINjdWBPKSDIDrq9HjWJqTC8XK5XizzFbo4+tJ0lb9e5/EPVjw/76zz7wRoEg4ltSh+&#10;hGenO+dDOqx4Dgm/OVCy3kulomEP1U5ZcmLYKPu4JvSfwpQhfUmv8iwfGfgrxDyuP0Fo6bHjldQl&#10;XZ+DWBF4e2vq2I+eSTWeMWVlJiIDdyOLfqiGSZgK6kek1MLY2TiJeGjBfqekx64uqft2ZFZQot4b&#10;lOUqXSzCGERjka8yNOylp7r0MMMRqqSekvG483F0AmEGblC+RkZig85jJlOu2K2R72mywjhc2jHq&#10;x/xvnwAAAP//AwBQSwMEFAAGAAgAAAAhALS+PuXhAAAACwEAAA8AAABkcnMvZG93bnJldi54bWxM&#10;j81OwzAQhO9IvIO1SFwQtUnTNoQ4FUIC0RsUBFc33iYR/gm2m4a3Z3uC2+7OaPabaj1Zw0YMsfdO&#10;ws1MAEPXeN27VsL72+N1ASwm5bQy3qGEH4ywrs/PKlVqf3SvOG5TyyjExVJJ6FIaSs5j06FVceYH&#10;dKTtfbAq0RparoM6Urg1PBNiya3qHX3o1IAPHTZf24OVUOTP42fczF8+muXe3Kar1fj0HaS8vJju&#10;74AlnNKfGU74hA41Me38wenIjAQqkugq8kUO7KSLVZEB29GUzcUCeF3x/x3qXwAAAP//AwBQSwEC&#10;LQAUAAYACAAAACEAtoM4kv4AAADhAQAAEwAAAAAAAAAAAAAAAAAAAAAAW0NvbnRlbnRfVHlwZXNd&#10;LnhtbFBLAQItABQABgAIAAAAIQA4/SH/1gAAAJQBAAALAAAAAAAAAAAAAAAAAC8BAABfcmVscy8u&#10;cmVsc1BLAQItABQABgAIAAAAIQCqfg8SJQIAAEcEAAAOAAAAAAAAAAAAAAAAAC4CAABkcnMvZTJv&#10;RG9jLnhtbFBLAQItABQABgAIAAAAIQC0vj7l4QAAAAsBAAAPAAAAAAAAAAAAAAAAAH8EAABkcnMv&#10;ZG93bnJldi54bWxQSwUGAAAAAAQABADzAAAAjQUAAAAA&#10;">
                <v:textbox>
                  <w:txbxContent>
                    <w:p w14:paraId="5F737852"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1</w:t>
                      </w:r>
                      <w:r w:rsidRPr="00CE5035">
                        <w:rPr>
                          <w:rFonts w:ascii="Arial" w:hAnsi="Arial" w:cs="Arial"/>
                          <w:sz w:val="24"/>
                          <w:szCs w:val="24"/>
                        </w:rPr>
                        <w:t>. Mitochondrial production of H</w:t>
                      </w:r>
                      <w:r w:rsidRPr="00CE5035">
                        <w:rPr>
                          <w:rFonts w:ascii="Arial" w:hAnsi="Arial" w:cs="Arial"/>
                          <w:sz w:val="24"/>
                          <w:szCs w:val="24"/>
                          <w:vertAlign w:val="subscript"/>
                        </w:rPr>
                        <w:t>2</w:t>
                      </w:r>
                      <w:r w:rsidRPr="00CE5035">
                        <w:rPr>
                          <w:rFonts w:ascii="Arial" w:hAnsi="Arial" w:cs="Arial"/>
                          <w:sz w:val="24"/>
                          <w:szCs w:val="24"/>
                        </w:rPr>
                        <w:t>O</w:t>
                      </w:r>
                      <w:r w:rsidRPr="00CE5035">
                        <w:rPr>
                          <w:rFonts w:ascii="Arial" w:hAnsi="Arial" w:cs="Arial"/>
                          <w:sz w:val="24"/>
                          <w:szCs w:val="24"/>
                          <w:vertAlign w:val="subscript"/>
                        </w:rPr>
                        <w:t>2</w:t>
                      </w:r>
                      <w:r w:rsidRPr="00CE5035">
                        <w:rPr>
                          <w:rFonts w:ascii="Arial" w:hAnsi="Arial" w:cs="Arial"/>
                          <w:sz w:val="24"/>
                          <w:szCs w:val="24"/>
                        </w:rPr>
                        <w:t xml:space="preserve"> with no substrates provided (</w:t>
                      </w:r>
                      <w:r w:rsidRPr="00CE5035">
                        <w:rPr>
                          <w:rFonts w:ascii="Arial" w:hAnsi="Arial" w:cs="Arial"/>
                          <w:b/>
                          <w:sz w:val="24"/>
                          <w:szCs w:val="24"/>
                        </w:rPr>
                        <w:t>A; state 1</w:t>
                      </w:r>
                      <w:r w:rsidRPr="00CE5035">
                        <w:rPr>
                          <w:rFonts w:ascii="Arial" w:hAnsi="Arial" w:cs="Arial"/>
                          <w:sz w:val="24"/>
                          <w:szCs w:val="24"/>
                        </w:rPr>
                        <w:t>) or provided with glutamate and malate (</w:t>
                      </w:r>
                      <w:r w:rsidRPr="00CE5035">
                        <w:rPr>
                          <w:rFonts w:ascii="Arial" w:hAnsi="Arial" w:cs="Arial"/>
                          <w:b/>
                          <w:sz w:val="24"/>
                          <w:szCs w:val="24"/>
                        </w:rPr>
                        <w:t>B; Glu/Mal</w:t>
                      </w:r>
                      <w:r w:rsidRPr="00CE5035">
                        <w:rPr>
                          <w:rFonts w:ascii="Arial" w:hAnsi="Arial" w:cs="Arial"/>
                          <w:sz w:val="24"/>
                          <w:szCs w:val="24"/>
                        </w:rPr>
                        <w:t>), glutamate, malate and rotenone (</w:t>
                      </w:r>
                      <w:r w:rsidRPr="00CE5035">
                        <w:rPr>
                          <w:rFonts w:ascii="Arial" w:hAnsi="Arial" w:cs="Arial"/>
                          <w:b/>
                          <w:sz w:val="24"/>
                          <w:szCs w:val="24"/>
                        </w:rPr>
                        <w:t>C; Glu/Mal/Rot</w:t>
                      </w:r>
                      <w:r w:rsidRPr="00CE5035">
                        <w:rPr>
                          <w:rFonts w:ascii="Arial" w:hAnsi="Arial" w:cs="Arial"/>
                          <w:sz w:val="24"/>
                          <w:szCs w:val="24"/>
                        </w:rPr>
                        <w:t>), succinate and rotenone (</w:t>
                      </w:r>
                      <w:r w:rsidRPr="00CE5035">
                        <w:rPr>
                          <w:rFonts w:ascii="Arial" w:hAnsi="Arial" w:cs="Arial"/>
                          <w:b/>
                          <w:sz w:val="24"/>
                          <w:szCs w:val="24"/>
                        </w:rPr>
                        <w:t>D; Suc/Rot</w:t>
                      </w:r>
                      <w:r w:rsidRPr="00CE5035">
                        <w:rPr>
                          <w:rFonts w:ascii="Arial" w:hAnsi="Arial" w:cs="Arial"/>
                          <w:sz w:val="24"/>
                          <w:szCs w:val="24"/>
                        </w:rPr>
                        <w:t>) or succinate, rotenone and antimycin A (</w:t>
                      </w:r>
                      <w:r w:rsidRPr="00CE5035">
                        <w:rPr>
                          <w:rFonts w:ascii="Arial" w:hAnsi="Arial" w:cs="Arial"/>
                          <w:b/>
                          <w:sz w:val="24"/>
                          <w:szCs w:val="24"/>
                        </w:rPr>
                        <w:t>E; Suc/Rot/AA</w:t>
                      </w:r>
                      <w:r w:rsidRPr="00CE5035">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p w14:paraId="6BDBD6D3" w14:textId="77777777" w:rsidR="00CE5035" w:rsidRDefault="00CE5035" w:rsidP="00CE5035"/>
                  </w:txbxContent>
                </v:textbox>
                <w10:wrap type="square" anchorx="margin"/>
              </v:shape>
            </w:pict>
          </mc:Fallback>
        </mc:AlternateContent>
      </w:r>
      <w:r w:rsidRPr="00CE5035">
        <w:rPr>
          <w:noProof/>
          <w:sz w:val="24"/>
          <w:szCs w:val="24"/>
        </w:rPr>
        <w:drawing>
          <wp:anchor distT="0" distB="0" distL="114300" distR="114300" simplePos="0" relativeHeight="251669504" behindDoc="1" locked="0" layoutInCell="1" allowOverlap="1" wp14:anchorId="1AA233D4" wp14:editId="3948ADF8">
            <wp:simplePos x="0" y="0"/>
            <wp:positionH relativeFrom="margin">
              <wp:posOffset>1491071</wp:posOffset>
            </wp:positionH>
            <wp:positionV relativeFrom="paragraph">
              <wp:posOffset>2821395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975" cy="369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EC0" w:rsidRPr="00CE5035">
        <w:rPr>
          <w:rFonts w:ascii="Arial" w:hAnsi="Arial" w:cs="Arial"/>
          <w:sz w:val="24"/>
          <w:szCs w:val="24"/>
        </w:rPr>
        <w:t xml:space="preserve">Based on reports suggesting the lack of </w:t>
      </w:r>
      <w:r w:rsidR="00191BD8" w:rsidRPr="00CE5035">
        <w:rPr>
          <w:rFonts w:ascii="Arial" w:hAnsi="Arial" w:cs="Arial"/>
          <w:sz w:val="24"/>
          <w:szCs w:val="24"/>
        </w:rPr>
        <w:t xml:space="preserve">MsrA </w:t>
      </w:r>
      <w:r w:rsidR="00D83EC0" w:rsidRPr="00CE5035">
        <w:rPr>
          <w:rFonts w:ascii="Arial" w:hAnsi="Arial" w:cs="Arial"/>
          <w:sz w:val="24"/>
          <w:szCs w:val="24"/>
        </w:rPr>
        <w:t>causes</w:t>
      </w:r>
      <w:r w:rsidR="009B4AF6" w:rsidRPr="00CE5035">
        <w:rPr>
          <w:rFonts w:ascii="Arial" w:hAnsi="Arial" w:cs="Arial"/>
          <w:sz w:val="24"/>
          <w:szCs w:val="24"/>
        </w:rPr>
        <w:t xml:space="preserve"> mitochondrial dysfunction</w:t>
      </w:r>
      <w:r w:rsidR="00D83EC0" w:rsidRPr="00CE5035">
        <w:rPr>
          <w:rFonts w:ascii="Arial" w:hAnsi="Arial" w:cs="Arial"/>
          <w:sz w:val="24"/>
          <w:szCs w:val="24"/>
        </w:rPr>
        <w:t>, we tested whether isolated mitochondria from mice with elevated MsrA levels, either primarily in the cytosol or primarily in the mitochondria, would differ from those of control mice. We first addressed rates of H</w:t>
      </w:r>
      <w:r w:rsidR="00D83EC0" w:rsidRPr="00CE5035">
        <w:rPr>
          <w:rFonts w:ascii="Arial" w:hAnsi="Arial" w:cs="Arial"/>
          <w:sz w:val="24"/>
          <w:szCs w:val="24"/>
          <w:vertAlign w:val="subscript"/>
        </w:rPr>
        <w:t>2</w:t>
      </w:r>
      <w:r w:rsidR="00D83EC0" w:rsidRPr="00CE5035">
        <w:rPr>
          <w:rFonts w:ascii="Arial" w:hAnsi="Arial" w:cs="Arial"/>
          <w:sz w:val="24"/>
          <w:szCs w:val="24"/>
        </w:rPr>
        <w:t>O</w:t>
      </w:r>
      <w:r w:rsidR="00D83EC0" w:rsidRPr="00CE5035">
        <w:rPr>
          <w:rFonts w:ascii="Arial" w:hAnsi="Arial" w:cs="Arial"/>
          <w:sz w:val="24"/>
          <w:szCs w:val="24"/>
          <w:vertAlign w:val="subscript"/>
        </w:rPr>
        <w:t>2</w:t>
      </w:r>
      <w:r w:rsidR="00D83EC0" w:rsidRPr="00CE5035">
        <w:rPr>
          <w:rFonts w:ascii="Arial" w:hAnsi="Arial" w:cs="Arial"/>
          <w:sz w:val="24"/>
          <w:szCs w:val="24"/>
        </w:rPr>
        <w:t xml:space="preserve"> production as marker of mitochondrial-derived reactive oxygen species (ROS)</w:t>
      </w:r>
      <w:r w:rsidR="000C6770" w:rsidRPr="00CE5035">
        <w:rPr>
          <w:rFonts w:ascii="Arial" w:hAnsi="Arial" w:cs="Arial"/>
          <w:sz w:val="24"/>
          <w:szCs w:val="24"/>
        </w:rPr>
        <w:t xml:space="preserve"> production</w:t>
      </w:r>
      <w:r w:rsidR="00D83EC0" w:rsidRPr="00CE5035">
        <w:rPr>
          <w:rFonts w:ascii="Arial" w:hAnsi="Arial" w:cs="Arial"/>
          <w:sz w:val="24"/>
          <w:szCs w:val="24"/>
        </w:rPr>
        <w:t xml:space="preserve">. Under basal respiration, </w:t>
      </w:r>
      <w:r w:rsidR="008E6DF4" w:rsidRPr="00CE5035">
        <w:rPr>
          <w:rFonts w:ascii="Arial" w:hAnsi="Arial" w:cs="Arial"/>
          <w:i/>
          <w:sz w:val="24"/>
          <w:szCs w:val="24"/>
        </w:rPr>
        <w:t xml:space="preserve">i.e., </w:t>
      </w:r>
      <w:r w:rsidR="008E6DF4" w:rsidRPr="00CE5035">
        <w:rPr>
          <w:rFonts w:ascii="Arial" w:hAnsi="Arial" w:cs="Arial"/>
          <w:sz w:val="24"/>
          <w:szCs w:val="24"/>
        </w:rPr>
        <w:t>no mi</w:t>
      </w:r>
      <w:r w:rsidR="00D83EC0" w:rsidRPr="00CE5035">
        <w:rPr>
          <w:rFonts w:ascii="Arial" w:hAnsi="Arial" w:cs="Arial"/>
          <w:sz w:val="24"/>
          <w:szCs w:val="24"/>
        </w:rPr>
        <w:t>tochondrial substrates provided, H</w:t>
      </w:r>
      <w:r w:rsidR="00D83EC0" w:rsidRPr="00CE5035">
        <w:rPr>
          <w:rFonts w:ascii="Arial" w:hAnsi="Arial" w:cs="Arial"/>
          <w:sz w:val="24"/>
          <w:szCs w:val="24"/>
          <w:vertAlign w:val="subscript"/>
        </w:rPr>
        <w:t>2</w:t>
      </w:r>
      <w:r w:rsidR="00D83EC0" w:rsidRPr="00CE5035">
        <w:rPr>
          <w:rFonts w:ascii="Arial" w:hAnsi="Arial" w:cs="Arial"/>
          <w:sz w:val="24"/>
          <w:szCs w:val="24"/>
        </w:rPr>
        <w:t>O</w:t>
      </w:r>
      <w:r w:rsidR="00D83EC0" w:rsidRPr="00CE5035">
        <w:rPr>
          <w:rFonts w:ascii="Arial" w:hAnsi="Arial" w:cs="Arial"/>
          <w:sz w:val="24"/>
          <w:szCs w:val="24"/>
          <w:vertAlign w:val="subscript"/>
        </w:rPr>
        <w:t>2</w:t>
      </w:r>
      <w:r w:rsidR="00D83EC0" w:rsidRPr="00CE5035">
        <w:rPr>
          <w:rFonts w:ascii="Arial" w:hAnsi="Arial" w:cs="Arial"/>
          <w:sz w:val="24"/>
          <w:szCs w:val="24"/>
        </w:rPr>
        <w:t xml:space="preserve"> production was </w:t>
      </w:r>
      <w:r w:rsidR="008E6DF4" w:rsidRPr="00CE5035">
        <w:rPr>
          <w:rFonts w:ascii="Arial" w:hAnsi="Arial" w:cs="Arial"/>
          <w:sz w:val="24"/>
          <w:szCs w:val="24"/>
        </w:rPr>
        <w:t>low and did not differ among genotypes</w:t>
      </w:r>
      <w:r w:rsidR="00956633" w:rsidRPr="00CE5035">
        <w:rPr>
          <w:rFonts w:ascii="Arial" w:hAnsi="Arial" w:cs="Arial"/>
          <w:sz w:val="24"/>
          <w:szCs w:val="24"/>
        </w:rPr>
        <w:t xml:space="preserve"> (</w:t>
      </w:r>
      <w:r w:rsidR="00956633" w:rsidRPr="00CE5035">
        <w:rPr>
          <w:rFonts w:ascii="Arial" w:hAnsi="Arial" w:cs="Arial"/>
          <w:b/>
          <w:sz w:val="24"/>
          <w:szCs w:val="24"/>
        </w:rPr>
        <w:t>Figure 1A</w:t>
      </w:r>
      <w:r w:rsidR="00956633" w:rsidRPr="00CE5035">
        <w:rPr>
          <w:rFonts w:ascii="Arial" w:hAnsi="Arial" w:cs="Arial"/>
          <w:sz w:val="24"/>
          <w:szCs w:val="24"/>
        </w:rPr>
        <w:t>)</w:t>
      </w:r>
      <w:r w:rsidR="008E6DF4" w:rsidRPr="00CE5035">
        <w:rPr>
          <w:rFonts w:ascii="Arial" w:hAnsi="Arial" w:cs="Arial"/>
          <w:sz w:val="24"/>
          <w:szCs w:val="24"/>
        </w:rPr>
        <w:t xml:space="preserve">. </w:t>
      </w:r>
      <w:r w:rsidR="000E4E71" w:rsidRPr="00CE5035">
        <w:rPr>
          <w:rFonts w:ascii="Arial" w:hAnsi="Arial" w:cs="Arial"/>
          <w:sz w:val="24"/>
          <w:szCs w:val="24"/>
        </w:rPr>
        <w:t xml:space="preserve">When provided </w:t>
      </w:r>
      <w:r w:rsidR="008E6DF4" w:rsidRPr="00CE5035">
        <w:rPr>
          <w:rFonts w:ascii="Arial" w:hAnsi="Arial" w:cs="Arial"/>
          <w:sz w:val="24"/>
          <w:szCs w:val="24"/>
        </w:rPr>
        <w:t>g</w:t>
      </w:r>
      <w:r w:rsidR="00D83EC0" w:rsidRPr="00CE5035">
        <w:rPr>
          <w:rFonts w:ascii="Arial" w:hAnsi="Arial" w:cs="Arial"/>
          <w:sz w:val="24"/>
          <w:szCs w:val="24"/>
        </w:rPr>
        <w:t>lutamate and malate (</w:t>
      </w:r>
      <w:r w:rsidR="008E6DF4" w:rsidRPr="00CE5035">
        <w:rPr>
          <w:rFonts w:ascii="Arial" w:hAnsi="Arial" w:cs="Arial"/>
          <w:sz w:val="24"/>
          <w:szCs w:val="24"/>
        </w:rPr>
        <w:t xml:space="preserve">substrates for ETC complex </w:t>
      </w:r>
      <w:r w:rsidR="000C6770" w:rsidRPr="00CE5035">
        <w:rPr>
          <w:rFonts w:ascii="Arial" w:hAnsi="Arial" w:cs="Arial"/>
          <w:sz w:val="24"/>
          <w:szCs w:val="24"/>
        </w:rPr>
        <w:t>I</w:t>
      </w:r>
      <w:r w:rsidR="00D83EC0" w:rsidRPr="00CE5035">
        <w:rPr>
          <w:rFonts w:ascii="Arial" w:hAnsi="Arial" w:cs="Arial"/>
          <w:sz w:val="24"/>
          <w:szCs w:val="24"/>
        </w:rPr>
        <w:t>)</w:t>
      </w:r>
      <w:r w:rsidR="000E4E71" w:rsidRPr="00CE5035">
        <w:rPr>
          <w:rFonts w:ascii="Arial" w:hAnsi="Arial" w:cs="Arial"/>
          <w:sz w:val="24"/>
          <w:szCs w:val="24"/>
        </w:rPr>
        <w:t>, H</w:t>
      </w:r>
      <w:r w:rsidR="000E4E71" w:rsidRPr="00CE5035">
        <w:rPr>
          <w:rFonts w:ascii="Arial" w:hAnsi="Arial" w:cs="Arial"/>
          <w:sz w:val="24"/>
          <w:szCs w:val="24"/>
          <w:vertAlign w:val="subscript"/>
        </w:rPr>
        <w:t>2</w:t>
      </w:r>
      <w:r w:rsidR="000E4E71" w:rsidRPr="00CE5035">
        <w:rPr>
          <w:rFonts w:ascii="Arial" w:hAnsi="Arial" w:cs="Arial"/>
          <w:sz w:val="24"/>
          <w:szCs w:val="24"/>
        </w:rPr>
        <w:t>O</w:t>
      </w:r>
      <w:r w:rsidR="000E4E71" w:rsidRPr="00CE5035">
        <w:rPr>
          <w:rFonts w:ascii="Arial" w:hAnsi="Arial" w:cs="Arial"/>
          <w:sz w:val="24"/>
          <w:szCs w:val="24"/>
          <w:vertAlign w:val="subscript"/>
        </w:rPr>
        <w:t>2</w:t>
      </w:r>
      <w:r w:rsidR="000E4E71" w:rsidRPr="00CE5035">
        <w:rPr>
          <w:rFonts w:ascii="Arial" w:hAnsi="Arial" w:cs="Arial"/>
          <w:sz w:val="24"/>
          <w:szCs w:val="24"/>
        </w:rPr>
        <w:t xml:space="preserve"> production is significantly elevated; interestingly, under these conditions H</w:t>
      </w:r>
      <w:r w:rsidR="000E4E71" w:rsidRPr="00CE5035">
        <w:rPr>
          <w:rFonts w:ascii="Arial" w:hAnsi="Arial" w:cs="Arial"/>
          <w:sz w:val="24"/>
          <w:szCs w:val="24"/>
          <w:vertAlign w:val="subscript"/>
        </w:rPr>
        <w:t>2</w:t>
      </w:r>
      <w:r w:rsidR="000E4E71" w:rsidRPr="00CE5035">
        <w:rPr>
          <w:rFonts w:ascii="Arial" w:hAnsi="Arial" w:cs="Arial"/>
          <w:sz w:val="24"/>
          <w:szCs w:val="24"/>
        </w:rPr>
        <w:t>O</w:t>
      </w:r>
      <w:r w:rsidR="000E4E71" w:rsidRPr="00CE5035">
        <w:rPr>
          <w:rFonts w:ascii="Arial" w:hAnsi="Arial" w:cs="Arial"/>
          <w:sz w:val="24"/>
          <w:szCs w:val="24"/>
          <w:vertAlign w:val="subscript"/>
        </w:rPr>
        <w:t>2</w:t>
      </w:r>
      <w:r w:rsidR="000E4E71" w:rsidRPr="00CE5035">
        <w:rPr>
          <w:rFonts w:ascii="Arial" w:hAnsi="Arial" w:cs="Arial"/>
          <w:sz w:val="24"/>
          <w:szCs w:val="24"/>
        </w:rPr>
        <w:t xml:space="preserve"> production is nearly four-times greater in </w:t>
      </w:r>
      <w:r w:rsidR="008E6DF4" w:rsidRPr="00CE5035">
        <w:rPr>
          <w:rFonts w:ascii="Arial" w:hAnsi="Arial" w:cs="Arial"/>
          <w:sz w:val="24"/>
          <w:szCs w:val="24"/>
        </w:rPr>
        <w:t xml:space="preserve">TgMito MsrA </w:t>
      </w:r>
      <w:r w:rsidR="000E4E71" w:rsidRPr="00CE5035">
        <w:rPr>
          <w:rFonts w:ascii="Arial" w:hAnsi="Arial" w:cs="Arial"/>
          <w:sz w:val="24"/>
          <w:szCs w:val="24"/>
        </w:rPr>
        <w:t>mitochondria than for control or TgCyto MsrA mitochondria</w:t>
      </w:r>
      <w:r w:rsidR="008E6DF4" w:rsidRPr="00CE5035">
        <w:rPr>
          <w:rFonts w:ascii="Arial" w:hAnsi="Arial" w:cs="Arial"/>
          <w:sz w:val="24"/>
          <w:szCs w:val="24"/>
        </w:rPr>
        <w:t xml:space="preserve"> (</w:t>
      </w:r>
      <w:r w:rsidR="008E6DF4" w:rsidRPr="00CE5035">
        <w:rPr>
          <w:rFonts w:ascii="Arial" w:hAnsi="Arial" w:cs="Arial"/>
          <w:b/>
          <w:sz w:val="24"/>
          <w:szCs w:val="24"/>
        </w:rPr>
        <w:t>Figure 1B</w:t>
      </w:r>
      <w:r w:rsidR="008E6DF4" w:rsidRPr="00CE5035">
        <w:rPr>
          <w:rFonts w:ascii="Arial" w:hAnsi="Arial" w:cs="Arial"/>
          <w:sz w:val="24"/>
          <w:szCs w:val="24"/>
        </w:rPr>
        <w:t xml:space="preserve">). </w:t>
      </w:r>
      <w:r w:rsidR="000C6770" w:rsidRPr="00CE5035">
        <w:rPr>
          <w:rFonts w:ascii="Arial" w:hAnsi="Arial" w:cs="Arial"/>
          <w:sz w:val="24"/>
          <w:szCs w:val="24"/>
        </w:rPr>
        <w:t>When provided gluta</w:t>
      </w:r>
      <w:r w:rsidR="000E4E71" w:rsidRPr="00CE5035">
        <w:rPr>
          <w:rFonts w:ascii="Arial" w:hAnsi="Arial" w:cs="Arial"/>
          <w:sz w:val="24"/>
          <w:szCs w:val="24"/>
        </w:rPr>
        <w:t>mate, malate and r</w:t>
      </w:r>
      <w:r w:rsidR="00D83EC0" w:rsidRPr="00CE5035">
        <w:rPr>
          <w:rFonts w:ascii="Arial" w:hAnsi="Arial" w:cs="Arial"/>
          <w:sz w:val="24"/>
          <w:szCs w:val="24"/>
        </w:rPr>
        <w:t>otenone</w:t>
      </w:r>
      <w:r w:rsidR="00F83645" w:rsidRPr="00CE5035">
        <w:rPr>
          <w:rFonts w:ascii="Arial" w:hAnsi="Arial" w:cs="Arial"/>
          <w:sz w:val="24"/>
          <w:szCs w:val="24"/>
        </w:rPr>
        <w:t>, an inhibitor of</w:t>
      </w:r>
      <w:r w:rsidR="000C6770" w:rsidRPr="00CE5035">
        <w:rPr>
          <w:rFonts w:ascii="Arial" w:hAnsi="Arial" w:cs="Arial"/>
          <w:sz w:val="24"/>
          <w:szCs w:val="24"/>
        </w:rPr>
        <w:t xml:space="preserve"> ETC complex I</w:t>
      </w:r>
      <w:r w:rsidR="000E4E71" w:rsidRPr="00CE5035">
        <w:rPr>
          <w:rFonts w:ascii="Arial" w:hAnsi="Arial" w:cs="Arial"/>
          <w:sz w:val="24"/>
          <w:szCs w:val="24"/>
        </w:rPr>
        <w:t>, we found that mitochondria from all three genotypes showed similar high rates of H</w:t>
      </w:r>
      <w:r w:rsidR="000E4E71" w:rsidRPr="00CE5035">
        <w:rPr>
          <w:rFonts w:ascii="Arial" w:hAnsi="Arial" w:cs="Arial"/>
          <w:sz w:val="24"/>
          <w:szCs w:val="24"/>
          <w:vertAlign w:val="subscript"/>
        </w:rPr>
        <w:t>2</w:t>
      </w:r>
      <w:r w:rsidR="000E4E71" w:rsidRPr="00CE5035">
        <w:rPr>
          <w:rFonts w:ascii="Arial" w:hAnsi="Arial" w:cs="Arial"/>
          <w:sz w:val="24"/>
          <w:szCs w:val="24"/>
        </w:rPr>
        <w:t>O</w:t>
      </w:r>
      <w:r w:rsidR="000E4E71" w:rsidRPr="00CE5035">
        <w:rPr>
          <w:rFonts w:ascii="Arial" w:hAnsi="Arial" w:cs="Arial"/>
          <w:sz w:val="24"/>
          <w:szCs w:val="24"/>
          <w:vertAlign w:val="subscript"/>
        </w:rPr>
        <w:t>2</w:t>
      </w:r>
      <w:r w:rsidR="000E4E71" w:rsidRPr="00CE5035">
        <w:rPr>
          <w:rFonts w:ascii="Arial" w:hAnsi="Arial" w:cs="Arial"/>
          <w:sz w:val="24"/>
          <w:szCs w:val="24"/>
        </w:rPr>
        <w:t xml:space="preserve"> production </w:t>
      </w:r>
      <w:r w:rsidR="00956633" w:rsidRPr="00CE5035">
        <w:rPr>
          <w:rFonts w:ascii="Arial" w:hAnsi="Arial" w:cs="Arial"/>
          <w:sz w:val="24"/>
          <w:szCs w:val="24"/>
        </w:rPr>
        <w:t>(</w:t>
      </w:r>
      <w:r w:rsidR="00956633" w:rsidRPr="00CE5035">
        <w:rPr>
          <w:rFonts w:ascii="Arial" w:hAnsi="Arial" w:cs="Arial"/>
          <w:b/>
          <w:sz w:val="24"/>
          <w:szCs w:val="24"/>
        </w:rPr>
        <w:t>Figure 1C</w:t>
      </w:r>
      <w:r w:rsidR="00956633" w:rsidRPr="00CE5035">
        <w:rPr>
          <w:rFonts w:ascii="Arial" w:hAnsi="Arial" w:cs="Arial"/>
          <w:sz w:val="24"/>
          <w:szCs w:val="24"/>
        </w:rPr>
        <w:t xml:space="preserve">). When </w:t>
      </w:r>
      <w:r w:rsidR="000E4E71" w:rsidRPr="00CE5035">
        <w:rPr>
          <w:rFonts w:ascii="Arial" w:hAnsi="Arial" w:cs="Arial"/>
          <w:sz w:val="24"/>
          <w:szCs w:val="24"/>
        </w:rPr>
        <w:t>provided succinate, a substrate for ETC</w:t>
      </w:r>
      <w:r w:rsidR="000C6770" w:rsidRPr="00CE5035">
        <w:rPr>
          <w:rFonts w:ascii="Arial" w:hAnsi="Arial" w:cs="Arial"/>
          <w:sz w:val="24"/>
          <w:szCs w:val="24"/>
        </w:rPr>
        <w:t xml:space="preserve"> complex II</w:t>
      </w:r>
      <w:r w:rsidR="000E4E71" w:rsidRPr="00CE5035">
        <w:rPr>
          <w:rFonts w:ascii="Arial" w:hAnsi="Arial" w:cs="Arial"/>
          <w:sz w:val="24"/>
          <w:szCs w:val="24"/>
        </w:rPr>
        <w:t xml:space="preserve"> which then bypasses </w:t>
      </w:r>
      <w:r w:rsidR="000C6770" w:rsidRPr="00CE5035">
        <w:rPr>
          <w:rFonts w:ascii="Arial" w:hAnsi="Arial" w:cs="Arial"/>
          <w:sz w:val="24"/>
          <w:szCs w:val="24"/>
        </w:rPr>
        <w:t>ETC complex I</w:t>
      </w:r>
      <w:r w:rsidR="000E4E71" w:rsidRPr="00CE5035">
        <w:rPr>
          <w:rFonts w:ascii="Arial" w:hAnsi="Arial" w:cs="Arial"/>
          <w:sz w:val="24"/>
          <w:szCs w:val="24"/>
        </w:rPr>
        <w:t>, H</w:t>
      </w:r>
      <w:r w:rsidR="000E4E71" w:rsidRPr="00CE5035">
        <w:rPr>
          <w:rFonts w:ascii="Arial" w:hAnsi="Arial" w:cs="Arial"/>
          <w:sz w:val="24"/>
          <w:szCs w:val="24"/>
          <w:vertAlign w:val="subscript"/>
        </w:rPr>
        <w:t>2</w:t>
      </w:r>
      <w:r w:rsidR="000E4E71" w:rsidRPr="00CE5035">
        <w:rPr>
          <w:rFonts w:ascii="Arial" w:hAnsi="Arial" w:cs="Arial"/>
          <w:sz w:val="24"/>
          <w:szCs w:val="24"/>
        </w:rPr>
        <w:t>O</w:t>
      </w:r>
      <w:r w:rsidR="000E4E71" w:rsidRPr="00CE5035">
        <w:rPr>
          <w:rFonts w:ascii="Arial" w:hAnsi="Arial" w:cs="Arial"/>
          <w:sz w:val="24"/>
          <w:szCs w:val="24"/>
          <w:vertAlign w:val="subscript"/>
        </w:rPr>
        <w:t>2</w:t>
      </w:r>
      <w:r w:rsidR="000E4E71" w:rsidRPr="00CE5035">
        <w:rPr>
          <w:rFonts w:ascii="Arial" w:hAnsi="Arial" w:cs="Arial"/>
          <w:sz w:val="24"/>
          <w:szCs w:val="24"/>
        </w:rPr>
        <w:t xml:space="preserve"> production</w:t>
      </w:r>
      <w:r w:rsidR="00956633" w:rsidRPr="00CE5035">
        <w:rPr>
          <w:rFonts w:ascii="Arial" w:hAnsi="Arial" w:cs="Arial"/>
          <w:sz w:val="24"/>
          <w:szCs w:val="24"/>
        </w:rPr>
        <w:t xml:space="preserve"> was still </w:t>
      </w:r>
      <w:r w:rsidR="000E4E71" w:rsidRPr="00CE5035">
        <w:rPr>
          <w:rFonts w:ascii="Arial" w:hAnsi="Arial" w:cs="Arial"/>
          <w:sz w:val="24"/>
          <w:szCs w:val="24"/>
        </w:rPr>
        <w:t xml:space="preserve">significantly elevated in </w:t>
      </w:r>
      <w:r w:rsidR="00956633" w:rsidRPr="00CE5035">
        <w:rPr>
          <w:rFonts w:ascii="Arial" w:hAnsi="Arial" w:cs="Arial"/>
          <w:sz w:val="24"/>
          <w:szCs w:val="24"/>
        </w:rPr>
        <w:t xml:space="preserve">TgMito MsrA </w:t>
      </w:r>
      <w:r w:rsidR="000E4E71" w:rsidRPr="00CE5035">
        <w:rPr>
          <w:rFonts w:ascii="Arial" w:hAnsi="Arial" w:cs="Arial"/>
          <w:sz w:val="24"/>
          <w:szCs w:val="24"/>
        </w:rPr>
        <w:t xml:space="preserve">compared to control and TgCyto MsrA mitochondria </w:t>
      </w:r>
      <w:r w:rsidR="00956633" w:rsidRPr="00CE5035">
        <w:rPr>
          <w:rFonts w:ascii="Arial" w:hAnsi="Arial" w:cs="Arial"/>
          <w:sz w:val="24"/>
          <w:szCs w:val="24"/>
        </w:rPr>
        <w:t>(</w:t>
      </w:r>
      <w:r w:rsidR="00956633" w:rsidRPr="00CE5035">
        <w:rPr>
          <w:rFonts w:ascii="Arial" w:hAnsi="Arial" w:cs="Arial"/>
          <w:b/>
          <w:sz w:val="24"/>
          <w:szCs w:val="24"/>
        </w:rPr>
        <w:t>Figure 1D</w:t>
      </w:r>
      <w:r w:rsidR="00273EE9" w:rsidRPr="00CE5035">
        <w:rPr>
          <w:rFonts w:ascii="Arial" w:hAnsi="Arial" w:cs="Arial"/>
          <w:sz w:val="24"/>
          <w:szCs w:val="24"/>
        </w:rPr>
        <w:t xml:space="preserve">). With addition of antimycin </w:t>
      </w:r>
      <w:r w:rsidR="000C6770" w:rsidRPr="00CE5035">
        <w:rPr>
          <w:rFonts w:ascii="Arial" w:hAnsi="Arial" w:cs="Arial"/>
          <w:sz w:val="24"/>
          <w:szCs w:val="24"/>
        </w:rPr>
        <w:t>A, an inhibitor of ETC complex III</w:t>
      </w:r>
      <w:r w:rsidR="00273EE9" w:rsidRPr="00CE5035">
        <w:rPr>
          <w:rFonts w:ascii="Arial" w:hAnsi="Arial" w:cs="Arial"/>
          <w:sz w:val="24"/>
          <w:szCs w:val="24"/>
        </w:rPr>
        <w:t>, we found a similar difference between TgMito MsrA and control ROS production though this did not reach statistical significance (</w:t>
      </w:r>
      <w:r w:rsidR="00273EE9" w:rsidRPr="00CE5035">
        <w:rPr>
          <w:rFonts w:ascii="Arial" w:hAnsi="Arial" w:cs="Arial"/>
          <w:b/>
          <w:sz w:val="24"/>
          <w:szCs w:val="24"/>
        </w:rPr>
        <w:t>Figure 1E</w:t>
      </w:r>
      <w:r w:rsidR="00273EE9" w:rsidRPr="00CE5035">
        <w:rPr>
          <w:rFonts w:ascii="Arial" w:hAnsi="Arial" w:cs="Arial"/>
          <w:sz w:val="24"/>
          <w:szCs w:val="24"/>
        </w:rPr>
        <w:t>). For all assays, we found no difference in ROS production between m</w:t>
      </w:r>
      <w:r w:rsidR="008E6DF4" w:rsidRPr="00CE5035">
        <w:rPr>
          <w:rFonts w:ascii="Arial" w:hAnsi="Arial" w:cs="Arial"/>
          <w:sz w:val="24"/>
          <w:szCs w:val="24"/>
        </w:rPr>
        <w:t xml:space="preserve">itochondria from TgCyto MsrA </w:t>
      </w:r>
      <w:r w:rsidR="00273EE9" w:rsidRPr="00CE5035">
        <w:rPr>
          <w:rFonts w:ascii="Arial" w:hAnsi="Arial" w:cs="Arial"/>
          <w:sz w:val="24"/>
          <w:szCs w:val="24"/>
        </w:rPr>
        <w:t>and control mice.</w:t>
      </w:r>
    </w:p>
    <w:p w14:paraId="429C9218" w14:textId="701078E6" w:rsidR="00CE5035" w:rsidRDefault="00CE5035">
      <w:pPr>
        <w:rPr>
          <w:noProof/>
          <w:sz w:val="24"/>
          <w:szCs w:val="24"/>
        </w:rPr>
      </w:pPr>
      <w:r>
        <w:rPr>
          <w:noProof/>
          <w:sz w:val="24"/>
          <w:szCs w:val="24"/>
        </w:rPr>
        <w:br w:type="page"/>
      </w:r>
    </w:p>
    <w:p w14:paraId="3058E884" w14:textId="506CBD59" w:rsidR="00CE5035" w:rsidRPr="00CE5035" w:rsidRDefault="00CE5035" w:rsidP="00CE5035">
      <w:pPr>
        <w:spacing w:line="240" w:lineRule="auto"/>
        <w:ind w:firstLine="720"/>
        <w:rPr>
          <w:rFonts w:ascii="Arial" w:hAnsi="Arial" w:cs="Arial"/>
          <w:sz w:val="24"/>
          <w:szCs w:val="24"/>
        </w:rPr>
      </w:pPr>
    </w:p>
    <w:p w14:paraId="0E22E331" w14:textId="42CD1CDD" w:rsidR="0058077F" w:rsidRPr="00CE5035" w:rsidRDefault="00CE5035" w:rsidP="00CE5035">
      <w:pPr>
        <w:spacing w:line="240" w:lineRule="auto"/>
        <w:ind w:firstLine="720"/>
        <w:rPr>
          <w:rFonts w:ascii="Arial" w:hAnsi="Arial" w:cs="Arial"/>
          <w:sz w:val="24"/>
          <w:szCs w:val="24"/>
        </w:rPr>
      </w:pPr>
      <w:r w:rsidRPr="00CE5035">
        <w:rPr>
          <w:noProof/>
          <w:sz w:val="24"/>
          <w:szCs w:val="24"/>
        </w:rPr>
        <mc:AlternateContent>
          <mc:Choice Requires="wps">
            <w:drawing>
              <wp:anchor distT="45720" distB="45720" distL="114300" distR="114300" simplePos="0" relativeHeight="251673600" behindDoc="0" locked="0" layoutInCell="1" allowOverlap="1" wp14:anchorId="7A0EA174" wp14:editId="5B946881">
                <wp:simplePos x="0" y="0"/>
                <wp:positionH relativeFrom="margin">
                  <wp:align>right</wp:align>
                </wp:positionH>
                <wp:positionV relativeFrom="paragraph">
                  <wp:posOffset>5836920</wp:posOffset>
                </wp:positionV>
                <wp:extent cx="6846570" cy="9906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headEnd/>
                          <a:tailEnd/>
                        </a:ln>
                      </wps:spPr>
                      <wps:txbx>
                        <w:txbxContent>
                          <w:p w14:paraId="194E1BFD"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2</w:t>
                            </w:r>
                            <w:r w:rsidRPr="00CE5035">
                              <w:rPr>
                                <w:rFonts w:ascii="Arial" w:hAnsi="Arial" w:cs="Arial"/>
                                <w:sz w:val="24"/>
                                <w:szCs w:val="24"/>
                              </w:rPr>
                              <w:t xml:space="preserve">. </w:t>
                            </w:r>
                            <w:r w:rsidRPr="00CE5035">
                              <w:rPr>
                                <w:rFonts w:ascii="Arial" w:hAnsi="Arial" w:cs="Arial"/>
                                <w:b/>
                                <w:sz w:val="24"/>
                                <w:szCs w:val="24"/>
                              </w:rPr>
                              <w:t xml:space="preserve">A. </w:t>
                            </w:r>
                            <w:r w:rsidRPr="00CE5035">
                              <w:rPr>
                                <w:rFonts w:ascii="Arial" w:hAnsi="Arial" w:cs="Arial"/>
                                <w:sz w:val="24"/>
                                <w:szCs w:val="24"/>
                              </w:rPr>
                              <w:t>Superoxide generation from mitochondria isolated from muscle of wild type (Control) and TgMito MsrA (mito) mice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B. Aconitase activity in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Bars represent average values for n=6 for each group ± SEM. Asterisks indicate significant difference as measured by t-test (p &lt; 0.05).</w:t>
                            </w:r>
                          </w:p>
                          <w:p w14:paraId="2E7A30B6" w14:textId="77777777" w:rsidR="00CE5035" w:rsidRDefault="00CE5035" w:rsidP="00CE5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EA174" id="_x0000_s1027" type="#_x0000_t202" style="position:absolute;left:0;text-align:left;margin-left:487.9pt;margin-top:459.6pt;width:539.1pt;height:7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ZfJAIAAEsEAAAOAAAAZHJzL2Uyb0RvYy54bWysVMFu2zAMvQ/YPwi6L3aCJG2MOEWXLsOA&#10;rhvQ7gMYWY6FSaInKbGzrx8lp2nQbZdhPgiiSD09PpJe3vRGs4N0XqEt+XiUcyatwErZXcm/PW3e&#10;XXPmA9gKNFpZ8qP0/Gb19s2yaws5wQZ1JR0jEOuLri15E0JbZJkXjTTgR9hKS84anYFApttllYOO&#10;0I3OJnk+zzp0VetQSO/p9G5w8lXCr2spwpe69jIwXXLiFtLq0rqNa7ZaQrFz0DZKnGjAP7AwoCw9&#10;eoa6gwBs79RvUEYJhx7rMBJoMqxrJWTKgbIZ56+yeWyglSkXEse3Z5n8/4MVD4evjqmq5FPOLBgq&#10;0ZPsA3uPPZtEdbrWFxT02FJY6OmYqpwy9e09iu+eWVw3YHfy1jnsGgkVsRvHm9nF1QHHR5Bt9xkr&#10;egb2ARNQXzsTpSMxGKFTlY7nykQqgg7n19P57IpcgnyLRT7PU+kyKJ5vt86HjxINi5uSO6p8QofD&#10;vQ+RDRTPIfExj1pVG6V1Mtxuu9aOHYC6ZJO+lMCrMG1ZR6/PJrNBgL9C5On7E4RRgdpdK1Py63MQ&#10;FFG2D7ZKzRhA6WFPlLU96RilG0QM/bZPBUsiR423WB1JWIdDd9M00qZB95Ozjjq75P7HHpzkTH+y&#10;VJzFeDqNo5CM6exqQoa79GwvPWAFQZU8cDZs1yGNT9TN4i0VsVZJ3xcmJ8rUsUn203TFkbi0U9TL&#10;P2D1CwAA//8DAFBLAwQUAAYACAAAACEAs8JFx98AAAAKAQAADwAAAGRycy9kb3ducmV2LnhtbEyP&#10;wU7DMBBE70j9B2srcUHUaYA2SeNUCAlEb1AQvbrxNomw18F20/D3uFzgNqsZzb4p16PRbEDnO0sC&#10;5rMEGFJtVUeNgPe3x+sMmA+SlNSWUMA3elhXk4tSFsqe6BWHbWhYLCFfSAFtCH3Bua9bNNLPbI8U&#10;vYN1RoZ4uoYrJ0+x3GieJsmCG9lR/NDKHh9arD+3RyMgu30edn5z8/JRLw46D1fL4enLCXE5He9X&#10;wAKO4S8MZ/yIDlVk2tsjKc+0gDgkCMjneQrsbCfLLKr9r7pLgVcl/z+h+gEAAP//AwBQSwECLQAU&#10;AAYACAAAACEAtoM4kv4AAADhAQAAEwAAAAAAAAAAAAAAAAAAAAAAW0NvbnRlbnRfVHlwZXNdLnht&#10;bFBLAQItABQABgAIAAAAIQA4/SH/1gAAAJQBAAALAAAAAAAAAAAAAAAAAC8BAABfcmVscy8ucmVs&#10;c1BLAQItABQABgAIAAAAIQCzmaZfJAIAAEsEAAAOAAAAAAAAAAAAAAAAAC4CAABkcnMvZTJvRG9j&#10;LnhtbFBLAQItABQABgAIAAAAIQCzwkXH3wAAAAoBAAAPAAAAAAAAAAAAAAAAAH4EAABkcnMvZG93&#10;bnJldi54bWxQSwUGAAAAAAQABADzAAAAigUAAAAA&#10;">
                <v:textbox>
                  <w:txbxContent>
                    <w:p w14:paraId="194E1BFD"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2</w:t>
                      </w:r>
                      <w:r w:rsidRPr="00CE5035">
                        <w:rPr>
                          <w:rFonts w:ascii="Arial" w:hAnsi="Arial" w:cs="Arial"/>
                          <w:sz w:val="24"/>
                          <w:szCs w:val="24"/>
                        </w:rPr>
                        <w:t xml:space="preserve">. </w:t>
                      </w:r>
                      <w:r w:rsidRPr="00CE5035">
                        <w:rPr>
                          <w:rFonts w:ascii="Arial" w:hAnsi="Arial" w:cs="Arial"/>
                          <w:b/>
                          <w:sz w:val="24"/>
                          <w:szCs w:val="24"/>
                        </w:rPr>
                        <w:t xml:space="preserve">A. </w:t>
                      </w:r>
                      <w:r w:rsidRPr="00CE5035">
                        <w:rPr>
                          <w:rFonts w:ascii="Arial" w:hAnsi="Arial" w:cs="Arial"/>
                          <w:sz w:val="24"/>
                          <w:szCs w:val="24"/>
                        </w:rPr>
                        <w:t>Superoxide generation from mitochondria isolated from muscle of wild type (Control) and TgMito MsrA (mito) mice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B. Aconitase activity in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Bars represent average values for n=6 for each group ± SEM. Asterisks indicate significant difference as measured by t-test (p &lt; 0.05).</w:t>
                      </w:r>
                    </w:p>
                    <w:p w14:paraId="2E7A30B6" w14:textId="77777777" w:rsidR="00CE5035" w:rsidRDefault="00CE5035" w:rsidP="00CE5035"/>
                  </w:txbxContent>
                </v:textbox>
                <w10:wrap type="square" anchorx="margin"/>
              </v:shape>
            </w:pict>
          </mc:Fallback>
        </mc:AlternateContent>
      </w:r>
      <w:r w:rsidRPr="00CE5035">
        <w:rPr>
          <w:noProof/>
          <w:sz w:val="24"/>
          <w:szCs w:val="24"/>
        </w:rPr>
        <w:drawing>
          <wp:anchor distT="0" distB="0" distL="114300" distR="114300" simplePos="0" relativeHeight="251667456" behindDoc="1" locked="0" layoutInCell="1" allowOverlap="1" wp14:anchorId="6D8316F5" wp14:editId="6C8E0ABF">
            <wp:simplePos x="0" y="0"/>
            <wp:positionH relativeFrom="margin">
              <wp:posOffset>946150</wp:posOffset>
            </wp:positionH>
            <wp:positionV relativeFrom="paragraph">
              <wp:posOffset>1699714</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305" cy="402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E71" w:rsidRPr="00CE5035">
        <w:rPr>
          <w:rFonts w:ascii="Arial" w:hAnsi="Arial" w:cs="Arial"/>
          <w:sz w:val="24"/>
          <w:szCs w:val="24"/>
        </w:rPr>
        <w:t>Because mitochondria do not produce H</w:t>
      </w:r>
      <w:r w:rsidR="000E4E71" w:rsidRPr="00CE5035">
        <w:rPr>
          <w:rFonts w:ascii="Arial" w:hAnsi="Arial" w:cs="Arial"/>
          <w:sz w:val="24"/>
          <w:szCs w:val="24"/>
          <w:vertAlign w:val="subscript"/>
        </w:rPr>
        <w:t>2</w:t>
      </w:r>
      <w:r w:rsidR="000E4E71" w:rsidRPr="00CE5035">
        <w:rPr>
          <w:rFonts w:ascii="Arial" w:hAnsi="Arial" w:cs="Arial"/>
          <w:sz w:val="24"/>
          <w:szCs w:val="24"/>
        </w:rPr>
        <w:t>O</w:t>
      </w:r>
      <w:r w:rsidR="000E4E71" w:rsidRPr="00CE5035">
        <w:rPr>
          <w:rFonts w:ascii="Arial" w:hAnsi="Arial" w:cs="Arial"/>
          <w:sz w:val="24"/>
          <w:szCs w:val="24"/>
          <w:vertAlign w:val="subscript"/>
        </w:rPr>
        <w:t>2</w:t>
      </w:r>
      <w:r w:rsidR="000E4E71" w:rsidRPr="00CE5035">
        <w:rPr>
          <w:rFonts w:ascii="Arial" w:hAnsi="Arial" w:cs="Arial"/>
          <w:sz w:val="24"/>
          <w:szCs w:val="24"/>
        </w:rPr>
        <w:t xml:space="preserve"> directly, we also measured superoxide production fro</w:t>
      </w:r>
      <w:r w:rsidR="004D1852" w:rsidRPr="00CE5035">
        <w:rPr>
          <w:rFonts w:ascii="Arial" w:hAnsi="Arial" w:cs="Arial"/>
          <w:sz w:val="24"/>
          <w:szCs w:val="24"/>
        </w:rPr>
        <w:t xml:space="preserve">m </w:t>
      </w:r>
      <w:r w:rsidR="000E4E71" w:rsidRPr="00CE5035">
        <w:rPr>
          <w:rFonts w:ascii="Arial" w:hAnsi="Arial" w:cs="Arial"/>
          <w:sz w:val="24"/>
          <w:szCs w:val="24"/>
        </w:rPr>
        <w:t>isolated</w:t>
      </w:r>
      <w:r w:rsidR="004D1852" w:rsidRPr="00CE5035">
        <w:rPr>
          <w:rFonts w:ascii="Arial" w:hAnsi="Arial" w:cs="Arial"/>
          <w:sz w:val="24"/>
          <w:szCs w:val="24"/>
        </w:rPr>
        <w:t xml:space="preserve"> mitochondria</w:t>
      </w:r>
      <w:r w:rsidR="000E4E71" w:rsidRPr="00CE5035">
        <w:rPr>
          <w:rFonts w:ascii="Arial" w:hAnsi="Arial" w:cs="Arial"/>
          <w:sz w:val="24"/>
          <w:szCs w:val="24"/>
        </w:rPr>
        <w:t xml:space="preserve"> using electron paramagnetic resonance (EPR). </w:t>
      </w:r>
      <w:r w:rsidR="00B74CC5" w:rsidRPr="00CE5035">
        <w:rPr>
          <w:rFonts w:ascii="Arial" w:hAnsi="Arial" w:cs="Arial"/>
          <w:sz w:val="24"/>
          <w:szCs w:val="24"/>
        </w:rPr>
        <w:t>Whet</w:t>
      </w:r>
      <w:r w:rsidR="000C6770" w:rsidRPr="00CE5035">
        <w:rPr>
          <w:rFonts w:ascii="Arial" w:hAnsi="Arial" w:cs="Arial"/>
          <w:sz w:val="24"/>
          <w:szCs w:val="24"/>
        </w:rPr>
        <w:t>her substrates for ETC complex I</w:t>
      </w:r>
      <w:r w:rsidR="00B74CC5" w:rsidRPr="00CE5035">
        <w:rPr>
          <w:rFonts w:ascii="Arial" w:hAnsi="Arial" w:cs="Arial"/>
          <w:sz w:val="24"/>
          <w:szCs w:val="24"/>
        </w:rPr>
        <w:t xml:space="preserve"> (glutam</w:t>
      </w:r>
      <w:r w:rsidR="000C6770" w:rsidRPr="00CE5035">
        <w:rPr>
          <w:rFonts w:ascii="Arial" w:hAnsi="Arial" w:cs="Arial"/>
          <w:sz w:val="24"/>
          <w:szCs w:val="24"/>
        </w:rPr>
        <w:t>ate and malate) or for complex II</w:t>
      </w:r>
      <w:r w:rsidR="00B74CC5" w:rsidRPr="00CE5035">
        <w:rPr>
          <w:rFonts w:ascii="Arial" w:hAnsi="Arial" w:cs="Arial"/>
          <w:sz w:val="24"/>
          <w:szCs w:val="24"/>
        </w:rPr>
        <w:t xml:space="preserve"> (succinate with rotenone to inhibit co</w:t>
      </w:r>
      <w:r w:rsidR="000C6770" w:rsidRPr="00CE5035">
        <w:rPr>
          <w:rFonts w:ascii="Arial" w:hAnsi="Arial" w:cs="Arial"/>
          <w:sz w:val="24"/>
          <w:szCs w:val="24"/>
        </w:rPr>
        <w:t>mplex I</w:t>
      </w:r>
      <w:r w:rsidR="00B74CC5" w:rsidRPr="00CE5035">
        <w:rPr>
          <w:rFonts w:ascii="Arial" w:hAnsi="Arial" w:cs="Arial"/>
          <w:sz w:val="24"/>
          <w:szCs w:val="24"/>
        </w:rPr>
        <w:t xml:space="preserve">) were provided, superoxide generation was higher in mitochondria from TgMito MsrA mice relative to control </w:t>
      </w:r>
      <w:r w:rsidR="000E4E71" w:rsidRPr="00CE5035">
        <w:rPr>
          <w:rFonts w:ascii="Arial" w:hAnsi="Arial" w:cs="Arial"/>
          <w:sz w:val="24"/>
          <w:szCs w:val="24"/>
        </w:rPr>
        <w:t xml:space="preserve">using this method </w:t>
      </w:r>
      <w:r w:rsidR="00B74CC5" w:rsidRPr="00CE5035">
        <w:rPr>
          <w:rFonts w:ascii="Arial" w:hAnsi="Arial" w:cs="Arial"/>
          <w:sz w:val="24"/>
          <w:szCs w:val="24"/>
        </w:rPr>
        <w:t>(</w:t>
      </w:r>
      <w:r w:rsidR="00B74CC5" w:rsidRPr="00CE5035">
        <w:rPr>
          <w:rFonts w:ascii="Arial" w:hAnsi="Arial" w:cs="Arial"/>
          <w:b/>
          <w:sz w:val="24"/>
          <w:szCs w:val="24"/>
        </w:rPr>
        <w:t>Figure 2A</w:t>
      </w:r>
      <w:r w:rsidR="000E4E71" w:rsidRPr="00CE5035">
        <w:rPr>
          <w:rFonts w:ascii="Arial" w:hAnsi="Arial" w:cs="Arial"/>
          <w:sz w:val="24"/>
          <w:szCs w:val="24"/>
        </w:rPr>
        <w:t>). W</w:t>
      </w:r>
      <w:r w:rsidR="00B74CC5" w:rsidRPr="00CE5035">
        <w:rPr>
          <w:rFonts w:ascii="Arial" w:hAnsi="Arial" w:cs="Arial"/>
          <w:sz w:val="24"/>
          <w:szCs w:val="24"/>
        </w:rPr>
        <w:t>e also measured whether superoxide are released into the mitochondria through measurement of aconitase activity</w:t>
      </w:r>
      <w:r w:rsidR="00D829EC" w:rsidRPr="00CE5035">
        <w:rPr>
          <w:rFonts w:ascii="Arial" w:hAnsi="Arial" w:cs="Arial"/>
          <w:sz w:val="24"/>
          <w:szCs w:val="24"/>
        </w:rPr>
        <w:t xml:space="preserve"> which is inhibited in the mitochondrial matrix by interaction with superoxide</w:t>
      </w:r>
      <w:r w:rsidR="00BE1A03" w:rsidRPr="00CE5035">
        <w:rPr>
          <w:rFonts w:ascii="Arial" w:hAnsi="Arial" w:cs="Arial"/>
          <w:sz w:val="24"/>
          <w:szCs w:val="24"/>
        </w:rPr>
        <w:t xml:space="preserve"> </w:t>
      </w:r>
      <w:r w:rsidR="00BE1A03"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sidR="00BE1A03" w:rsidRPr="00CE5035">
        <w:rPr>
          <w:rFonts w:ascii="Arial" w:hAnsi="Arial" w:cs="Arial"/>
          <w:sz w:val="24"/>
          <w:szCs w:val="24"/>
        </w:rPr>
        <w:fldChar w:fldCharType="separate"/>
      </w:r>
      <w:r w:rsidR="00132562" w:rsidRPr="00CE5035">
        <w:rPr>
          <w:rFonts w:ascii="Arial" w:hAnsi="Arial" w:cs="Arial"/>
          <w:noProof/>
          <w:sz w:val="24"/>
          <w:szCs w:val="24"/>
        </w:rPr>
        <w:t>(</w:t>
      </w:r>
      <w:hyperlink w:anchor="_ENREF_19" w:tooltip="Gardner, 1995 #32" w:history="1">
        <w:r w:rsidR="00132562" w:rsidRPr="00CE5035">
          <w:rPr>
            <w:rFonts w:ascii="Arial" w:hAnsi="Arial" w:cs="Arial"/>
            <w:noProof/>
            <w:sz w:val="24"/>
            <w:szCs w:val="24"/>
          </w:rPr>
          <w:t>19</w:t>
        </w:r>
      </w:hyperlink>
      <w:r w:rsidR="00132562" w:rsidRPr="00CE5035">
        <w:rPr>
          <w:rFonts w:ascii="Arial" w:hAnsi="Arial" w:cs="Arial"/>
          <w:noProof/>
          <w:sz w:val="24"/>
          <w:szCs w:val="24"/>
        </w:rPr>
        <w:t>)</w:t>
      </w:r>
      <w:r w:rsidR="00BE1A03" w:rsidRPr="00CE5035">
        <w:rPr>
          <w:rFonts w:ascii="Arial" w:hAnsi="Arial" w:cs="Arial"/>
          <w:sz w:val="24"/>
          <w:szCs w:val="24"/>
        </w:rPr>
        <w:fldChar w:fldCharType="end"/>
      </w:r>
      <w:r w:rsidR="00BE1A03" w:rsidRPr="00CE5035">
        <w:rPr>
          <w:rFonts w:ascii="Arial" w:hAnsi="Arial" w:cs="Arial"/>
          <w:sz w:val="24"/>
          <w:szCs w:val="24"/>
        </w:rPr>
        <w:t xml:space="preserve">. </w:t>
      </w:r>
      <w:r w:rsidR="00D829EC" w:rsidRPr="00CE5035">
        <w:rPr>
          <w:rFonts w:ascii="Arial" w:hAnsi="Arial" w:cs="Arial"/>
          <w:sz w:val="24"/>
          <w:szCs w:val="24"/>
        </w:rPr>
        <w:t xml:space="preserve">The significantly reduced activity of aconitase in TgMito MsrA mitochondria suggested again elevated levels of superoxide with increased mitochondrial MsrA </w:t>
      </w:r>
      <w:r w:rsidR="00B74CC5" w:rsidRPr="00CE5035">
        <w:rPr>
          <w:rFonts w:ascii="Arial" w:hAnsi="Arial" w:cs="Arial"/>
          <w:sz w:val="24"/>
          <w:szCs w:val="24"/>
        </w:rPr>
        <w:t>(</w:t>
      </w:r>
      <w:r w:rsidR="00B74CC5" w:rsidRPr="00CE5035">
        <w:rPr>
          <w:rFonts w:ascii="Arial" w:hAnsi="Arial" w:cs="Arial"/>
          <w:b/>
          <w:sz w:val="24"/>
          <w:szCs w:val="24"/>
        </w:rPr>
        <w:t>Figure 2B</w:t>
      </w:r>
      <w:r w:rsidR="00B74CC5" w:rsidRPr="00CE5035">
        <w:rPr>
          <w:rFonts w:ascii="Arial" w:hAnsi="Arial" w:cs="Arial"/>
          <w:sz w:val="24"/>
          <w:szCs w:val="24"/>
        </w:rPr>
        <w:t>).</w:t>
      </w:r>
      <w:r w:rsidR="00D829EC" w:rsidRPr="00CE5035">
        <w:rPr>
          <w:rFonts w:ascii="Arial" w:hAnsi="Arial" w:cs="Arial"/>
          <w:sz w:val="24"/>
          <w:szCs w:val="24"/>
        </w:rPr>
        <w:t xml:space="preserve"> </w:t>
      </w:r>
    </w:p>
    <w:p w14:paraId="19F05E8B" w14:textId="77777777" w:rsidR="00CE5035" w:rsidRDefault="00CE5035">
      <w:pPr>
        <w:rPr>
          <w:rFonts w:ascii="Arial" w:hAnsi="Arial" w:cs="Arial"/>
          <w:sz w:val="24"/>
          <w:szCs w:val="24"/>
        </w:rPr>
      </w:pPr>
      <w:r>
        <w:rPr>
          <w:rFonts w:ascii="Arial" w:hAnsi="Arial" w:cs="Arial"/>
          <w:sz w:val="24"/>
          <w:szCs w:val="24"/>
        </w:rPr>
        <w:br w:type="page"/>
      </w:r>
    </w:p>
    <w:p w14:paraId="21700150" w14:textId="11190BCD" w:rsidR="00A75481" w:rsidRDefault="00CE5035" w:rsidP="00CE5035">
      <w:pPr>
        <w:spacing w:line="240" w:lineRule="auto"/>
        <w:ind w:firstLine="720"/>
        <w:rPr>
          <w:rFonts w:ascii="Arial" w:hAnsi="Arial" w:cs="Arial"/>
          <w:sz w:val="24"/>
          <w:szCs w:val="24"/>
        </w:rPr>
      </w:pPr>
      <w:r w:rsidRPr="00CE5035">
        <w:rPr>
          <w:noProof/>
          <w:sz w:val="24"/>
          <w:szCs w:val="24"/>
        </w:rPr>
        <w:lastRenderedPageBreak/>
        <w:drawing>
          <wp:anchor distT="0" distB="0" distL="114300" distR="114300" simplePos="0" relativeHeight="251674624" behindDoc="0" locked="0" layoutInCell="1" allowOverlap="1" wp14:anchorId="4ADA9E2F" wp14:editId="30BE4AB6">
            <wp:simplePos x="0" y="0"/>
            <wp:positionH relativeFrom="column">
              <wp:posOffset>1599837</wp:posOffset>
            </wp:positionH>
            <wp:positionV relativeFrom="paragraph">
              <wp:posOffset>1110070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0220" cy="319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9EC" w:rsidRPr="00CE5035">
        <w:rPr>
          <w:rFonts w:ascii="Arial" w:hAnsi="Arial" w:cs="Arial"/>
          <w:sz w:val="24"/>
          <w:szCs w:val="24"/>
        </w:rPr>
        <w:t xml:space="preserve">Of the potential sources of mitochondrial superoxide production, we focused on the activity of the </w:t>
      </w:r>
      <w:r w:rsidR="000C6770" w:rsidRPr="00CE5035">
        <w:rPr>
          <w:rFonts w:ascii="Arial" w:hAnsi="Arial" w:cs="Arial"/>
          <w:sz w:val="24"/>
          <w:szCs w:val="24"/>
        </w:rPr>
        <w:t>ETC</w:t>
      </w:r>
      <w:r w:rsidR="00D829EC" w:rsidRPr="00CE5035">
        <w:rPr>
          <w:rFonts w:ascii="Arial" w:hAnsi="Arial" w:cs="Arial"/>
          <w:sz w:val="24"/>
          <w:szCs w:val="24"/>
        </w:rPr>
        <w:t xml:space="preserve"> complexes, especially ETC complex I and III, as potential mechanisms for these differences. In isolated mitochondria, we found a significant reduction in ETC Complex I activity in TgMito MsrA mitochondria compared to control (</w:t>
      </w:r>
      <w:r w:rsidR="00D829EC" w:rsidRPr="00CE5035">
        <w:rPr>
          <w:rFonts w:ascii="Arial" w:hAnsi="Arial" w:cs="Arial"/>
          <w:b/>
          <w:sz w:val="24"/>
          <w:szCs w:val="24"/>
        </w:rPr>
        <w:t>Figure 3</w:t>
      </w:r>
      <w:r w:rsidR="00D829EC" w:rsidRPr="00CE5035">
        <w:rPr>
          <w:rFonts w:ascii="Arial" w:hAnsi="Arial" w:cs="Arial"/>
          <w:sz w:val="24"/>
          <w:szCs w:val="24"/>
        </w:rPr>
        <w:t>). ETC Complex II, III, and IV were all similar between the two genotypes suggesting this could be the potential source of increased superoxide generation in TgMito MsrA mitochondria</w:t>
      </w:r>
      <w:r w:rsidR="00A75481" w:rsidRPr="00CE5035">
        <w:rPr>
          <w:rFonts w:ascii="Arial" w:hAnsi="Arial" w:cs="Arial"/>
          <w:sz w:val="24"/>
          <w:szCs w:val="24"/>
        </w:rPr>
        <w:t xml:space="preserve">. </w:t>
      </w:r>
    </w:p>
    <w:p w14:paraId="51C591D7" w14:textId="3E266545" w:rsidR="00CE5035" w:rsidRDefault="00CE5035" w:rsidP="00CE5035">
      <w:pPr>
        <w:spacing w:line="240" w:lineRule="auto"/>
        <w:ind w:firstLine="720"/>
        <w:rPr>
          <w:rFonts w:ascii="Arial" w:hAnsi="Arial" w:cs="Arial"/>
          <w:sz w:val="24"/>
          <w:szCs w:val="24"/>
        </w:rPr>
      </w:pPr>
      <w:r w:rsidRPr="00CE5035">
        <w:rPr>
          <w:noProof/>
          <w:sz w:val="24"/>
          <w:szCs w:val="24"/>
        </w:rPr>
        <mc:AlternateContent>
          <mc:Choice Requires="wps">
            <w:drawing>
              <wp:anchor distT="45720" distB="45720" distL="114300" distR="114300" simplePos="0" relativeHeight="251676672" behindDoc="0" locked="0" layoutInCell="1" allowOverlap="1" wp14:anchorId="6207E4AD" wp14:editId="63DCAE2B">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headEnd/>
                          <a:tailEnd/>
                        </a:ln>
                      </wps:spPr>
                      <wps:txbx>
                        <w:txbxContent>
                          <w:p w14:paraId="3AE735C2"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3</w:t>
                            </w:r>
                            <w:r w:rsidRPr="00CE5035">
                              <w:rPr>
                                <w:rFonts w:ascii="Arial" w:hAnsi="Arial" w:cs="Arial"/>
                                <w:sz w:val="24"/>
                                <w:szCs w:val="24"/>
                              </w:rPr>
                              <w:t>. Electron transport chain complex activity in isolated mitochondria from wild type (Control) and TgMito MsrA mice (Mito). Bars represent average values for given complex for n=5 for each group ± SEM. Asterisks indicate significant difference as measured by t-test (p &lt; 0.05).</w:t>
                            </w:r>
                          </w:p>
                          <w:p w14:paraId="0A187C6B" w14:textId="77777777" w:rsidR="00CE5035" w:rsidRDefault="00CE5035" w:rsidP="00CE5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7E4AD" id="_x0000_s1028" type="#_x0000_t202" style="position:absolute;left:0;text-align:left;margin-left:0;margin-top:274.15pt;width:539.1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lJAIAAEsEAAAOAAAAZHJzL2Uyb0RvYy54bWysVNuO2jAQfa/Uf7D8XhIQsBARVlu2VJW2&#10;F2m3HzA4DrFqe1LbkNCv79hhKdq2L1XzYHk84+OZc2ayuu2NZkfpvEJb8vEo50xagZWy+5J/fdq+&#10;WXDmA9gKNFpZ8pP0/Hb9+tWqaws5wQZ1JR0jEOuLri15E0JbZJkXjTTgR9hKS84anYFApttnlYOO&#10;0I3OJnk+zzp0VetQSO/p9H5w8nXCr2spwue69jIwXXLKLaTVpXUX12y9gmLvoG2UOKcB/5CFAWXp&#10;0QvUPQRgB6d+gzJKOPRYh5FAk2FdKyFTDVTNOH9RzWMDrUy1EDm+vdDk/x+s+HT84piqSj7jzIIh&#10;iZ5kH9hb7NkkstO1vqCgx5bCQk/HpHKq1LcPKL55ZnHTgN3LO+ewayRUlN043syurg44PoLsuo9Y&#10;0TNwCJiA+tqZSB2RwQidVDpdlImpCDqcL6bz2Q25BPmWy3yeJ+kyKJ5vt86H9xINi5uSO1I+ocPx&#10;wYeYDRTPIfExj1pVW6V1Mtx+t9GOHYG6ZJu+VMCLMG1ZR6/PJrOBgL9C5On7E4RRgdpdK1PyxSUI&#10;ikjbO1ulZgyg9LCnlLU98xipG0gM/a5Pgl3k2WF1ImIdDt1N00ibBt0Pzjrq7JL77wdwkjP9wZI4&#10;y/F0GkchGdPZzYQMd+3ZXXvACoIqeeBs2G5CGp/Im8U7ErFWid+o9pDJOWXq2ET7ebriSFzbKerX&#10;P2D9EwAA//8DAFBLAwQUAAYACAAAACEAr3CPuN8AAAAJAQAADwAAAGRycy9kb3ducmV2LnhtbEyP&#10;wU7DMBBE70j8g7VIXBC1aUITQjYVQgLBDQqCqxu7SYS9Drabhr/HPcFxNKOZN/V6toZN2ofBEcLV&#10;QgDT1Do1UIfw/vZwWQILUZKSxpFG+NEB1s3pSS0r5Q70qqdN7FgqoVBJhD7GseI8tL22MizcqCl5&#10;O+etjEn6jisvD6ncGr4UYsWtHCgt9HLU971uvzZ7i1DmT9NneM5ePtrVztzEi2J6/PaI52fz3S2w&#10;qOf4F4YjfkKHJjFt3Z5UYAYhHYkI13mZATvaoiiXwLYIhcgz4E3N/z9ofgEAAP//AwBQSwECLQAU&#10;AAYACAAAACEAtoM4kv4AAADhAQAAEwAAAAAAAAAAAAAAAAAAAAAAW0NvbnRlbnRfVHlwZXNdLnht&#10;bFBLAQItABQABgAIAAAAIQA4/SH/1gAAAJQBAAALAAAAAAAAAAAAAAAAAC8BAABfcmVscy8ucmVs&#10;c1BLAQItABQABgAIAAAAIQC+F65lJAIAAEsEAAAOAAAAAAAAAAAAAAAAAC4CAABkcnMvZTJvRG9j&#10;LnhtbFBLAQItABQABgAIAAAAIQCvcI+43wAAAAkBAAAPAAAAAAAAAAAAAAAAAH4EAABkcnMvZG93&#10;bnJldi54bWxQSwUGAAAAAAQABADzAAAAigUAAAAA&#10;">
                <v:textbox>
                  <w:txbxContent>
                    <w:p w14:paraId="3AE735C2" w14:textId="77777777" w:rsidR="00CE5035" w:rsidRPr="00CE5035" w:rsidRDefault="00CE5035" w:rsidP="00CE5035">
                      <w:pPr>
                        <w:spacing w:line="240" w:lineRule="auto"/>
                        <w:rPr>
                          <w:rFonts w:ascii="Arial" w:hAnsi="Arial" w:cs="Arial"/>
                          <w:sz w:val="24"/>
                          <w:szCs w:val="24"/>
                        </w:rPr>
                      </w:pPr>
                      <w:r w:rsidRPr="00CE5035">
                        <w:rPr>
                          <w:rFonts w:ascii="Arial" w:hAnsi="Arial" w:cs="Arial"/>
                          <w:b/>
                          <w:sz w:val="24"/>
                          <w:szCs w:val="24"/>
                        </w:rPr>
                        <w:t>Figure 3</w:t>
                      </w:r>
                      <w:r w:rsidRPr="00CE5035">
                        <w:rPr>
                          <w:rFonts w:ascii="Arial" w:hAnsi="Arial" w:cs="Arial"/>
                          <w:sz w:val="24"/>
                          <w:szCs w:val="24"/>
                        </w:rPr>
                        <w:t>. Electron transport chain complex activity in isolated mitochondria from wild type (Control) and TgMito MsrA mice (Mito). Bars represent average values for given complex for n=5 for each group ± SEM. Asterisks indicate significant difference as measured by t-test (p &lt; 0.05).</w:t>
                      </w:r>
                    </w:p>
                    <w:p w14:paraId="0A187C6B" w14:textId="77777777" w:rsidR="00CE5035" w:rsidRDefault="00CE5035" w:rsidP="00CE5035"/>
                  </w:txbxContent>
                </v:textbox>
                <w10:wrap type="square" anchorx="margin"/>
              </v:shape>
            </w:pict>
          </mc:Fallback>
        </mc:AlternateContent>
      </w:r>
    </w:p>
    <w:p w14:paraId="5F5B22D8" w14:textId="53062453" w:rsidR="00CE5035" w:rsidRPr="00CE5035" w:rsidRDefault="00CE5035" w:rsidP="00CE5035">
      <w:pPr>
        <w:spacing w:line="240" w:lineRule="auto"/>
        <w:rPr>
          <w:rFonts w:ascii="Arial" w:hAnsi="Arial" w:cs="Arial"/>
          <w:sz w:val="24"/>
          <w:szCs w:val="24"/>
        </w:rPr>
      </w:pPr>
    </w:p>
    <w:p w14:paraId="32EE3860" w14:textId="4D3F78C7" w:rsidR="00DE7EC1" w:rsidRPr="00CE5035" w:rsidRDefault="005260EA" w:rsidP="00CE5035">
      <w:pPr>
        <w:spacing w:line="240" w:lineRule="auto"/>
        <w:ind w:firstLine="720"/>
        <w:rPr>
          <w:rFonts w:ascii="Arial" w:hAnsi="Arial" w:cs="Arial"/>
          <w:sz w:val="24"/>
          <w:szCs w:val="24"/>
        </w:rPr>
      </w:pPr>
      <w:r w:rsidRPr="00CE5035">
        <w:rPr>
          <w:rFonts w:ascii="Arial" w:hAnsi="Arial" w:cs="Arial"/>
          <w:sz w:val="24"/>
          <w:szCs w:val="24"/>
        </w:rPr>
        <w:t>Despite the increase in free radical production and reduction in ETC Complex I activity, we found little detrimental effect on actual bioenergetics of mitochondria from TgMito MsrA mice. ATP production was not different among the three genotypes of mice when generating ATP from ETC Complex I (glutamate and malate) or complex II (succinate and rotenone to inhibit Complex I). Similarly, increasing MsrA levels had no effect on the respiratory control ratio (RCR) of mitochondria given these substrates or the mitochondrial membrane potential (</w:t>
      </w:r>
      <w:r w:rsidRPr="00CE5035">
        <w:rPr>
          <w:rFonts w:ascii="Arial" w:hAnsi="Arial" w:cs="Arial"/>
          <w:b/>
          <w:sz w:val="24"/>
          <w:szCs w:val="24"/>
        </w:rPr>
        <w:t>Figure 4</w:t>
      </w:r>
      <w:r w:rsidRPr="00CE5035">
        <w:rPr>
          <w:rFonts w:ascii="Arial" w:hAnsi="Arial" w:cs="Arial"/>
          <w:sz w:val="24"/>
          <w:szCs w:val="24"/>
        </w:rPr>
        <w:t>).</w:t>
      </w:r>
    </w:p>
    <w:p w14:paraId="77F5904A" w14:textId="317A0839" w:rsidR="00CE5035" w:rsidRDefault="00CE5035">
      <w:pPr>
        <w:rPr>
          <w:rFonts w:ascii="Arial" w:hAnsi="Arial" w:cs="Arial"/>
          <w:sz w:val="24"/>
          <w:szCs w:val="24"/>
        </w:rPr>
      </w:pPr>
      <w:r>
        <w:rPr>
          <w:rFonts w:ascii="Arial" w:hAnsi="Arial" w:cs="Arial"/>
          <w:sz w:val="24"/>
          <w:szCs w:val="24"/>
        </w:rPr>
        <w:br w:type="page"/>
      </w:r>
    </w:p>
    <w:p w14:paraId="319A329F" w14:textId="1B1E463A" w:rsidR="00DE7EC1" w:rsidRPr="00CE5035" w:rsidRDefault="00CE5035" w:rsidP="00CE5035">
      <w:pPr>
        <w:spacing w:line="240" w:lineRule="auto"/>
        <w:rPr>
          <w:rFonts w:ascii="Arial" w:hAnsi="Arial" w:cs="Arial"/>
          <w:sz w:val="24"/>
          <w:szCs w:val="24"/>
        </w:rPr>
      </w:pPr>
      <w:r w:rsidRPr="00CE5035">
        <w:rPr>
          <w:noProof/>
          <w:sz w:val="24"/>
          <w:szCs w:val="24"/>
        </w:rPr>
        <w:lastRenderedPageBreak/>
        <mc:AlternateContent>
          <mc:Choice Requires="wps">
            <w:drawing>
              <wp:anchor distT="45720" distB="45720" distL="114300" distR="114300" simplePos="0" relativeHeight="251680768" behindDoc="0" locked="0" layoutInCell="1" allowOverlap="1" wp14:anchorId="7378E8DF" wp14:editId="1CB07987">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headEnd/>
                          <a:tailEnd/>
                        </a:ln>
                      </wps:spPr>
                      <wps:txbx>
                        <w:txbxContent>
                          <w:p w14:paraId="60E9F949" w14:textId="7169466B" w:rsidR="00CE5035" w:rsidRDefault="00CE5035" w:rsidP="00CE5035">
                            <w:r w:rsidRPr="00CE5035">
                              <w:rPr>
                                <w:rFonts w:ascii="Arial" w:hAnsi="Arial" w:cs="Arial"/>
                                <w:b/>
                                <w:sz w:val="24"/>
                                <w:szCs w:val="24"/>
                              </w:rPr>
                              <w:t>Figure 4.</w:t>
                            </w:r>
                            <w:r w:rsidRPr="00CE5035">
                              <w:rPr>
                                <w:rFonts w:ascii="Arial" w:hAnsi="Arial" w:cs="Arial"/>
                                <w:sz w:val="24"/>
                                <w:szCs w:val="24"/>
                              </w:rPr>
                              <w:t xml:space="preserve"> </w:t>
                            </w:r>
                            <w:r w:rsidRPr="00CE5035">
                              <w:rPr>
                                <w:rFonts w:ascii="Arial" w:hAnsi="Arial" w:cs="Arial"/>
                                <w:b/>
                                <w:sz w:val="24"/>
                                <w:szCs w:val="24"/>
                              </w:rPr>
                              <w:t xml:space="preserve">A. </w:t>
                            </w:r>
                            <w:r w:rsidRPr="00CE5035">
                              <w:rPr>
                                <w:rFonts w:ascii="Arial" w:hAnsi="Arial" w:cs="Arial"/>
                                <w:sz w:val="24"/>
                                <w:szCs w:val="24"/>
                              </w:rPr>
                              <w:t>ATP production from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xml:space="preserve">). </w:t>
                            </w:r>
                            <w:r w:rsidRPr="00CE5035">
                              <w:rPr>
                                <w:rFonts w:ascii="Arial" w:hAnsi="Arial" w:cs="Arial"/>
                                <w:b/>
                                <w:sz w:val="24"/>
                                <w:szCs w:val="24"/>
                              </w:rPr>
                              <w:t xml:space="preserve">B. </w:t>
                            </w:r>
                            <w:r w:rsidRPr="00CE5035">
                              <w:rPr>
                                <w:rFonts w:ascii="Arial" w:hAnsi="Arial" w:cs="Arial"/>
                                <w:sz w:val="24"/>
                                <w:szCs w:val="24"/>
                              </w:rPr>
                              <w:t xml:space="preserve">Respiratory control ratio (RCR) of mitochondria provided glutamate and malate. </w:t>
                            </w:r>
                            <w:r w:rsidRPr="00CE5035">
                              <w:rPr>
                                <w:rFonts w:ascii="Arial" w:hAnsi="Arial" w:cs="Arial"/>
                                <w:b/>
                                <w:sz w:val="24"/>
                                <w:szCs w:val="24"/>
                              </w:rPr>
                              <w:t xml:space="preserve">C. </w:t>
                            </w:r>
                            <w:r w:rsidRPr="00CE5035">
                              <w:rPr>
                                <w:rFonts w:ascii="Arial" w:hAnsi="Arial" w:cs="Arial"/>
                                <w:sz w:val="24"/>
                                <w:szCs w:val="24"/>
                              </w:rPr>
                              <w:t>Membrane potential of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8E8DF" id="_x0000_s1029" type="#_x0000_t202" style="position:absolute;margin-left:487.9pt;margin-top:458.55pt;width:539.1pt;height:120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85KQIAAEwEAAAOAAAAZHJzL2Uyb0RvYy54bWysVF1v2yAUfZ+0/4B4X+x4SZp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ReUGKbR&#10;okcxBPIOBlJEdXrrS0x6sJgWBtxGl1Ol3t4D/+6JgU3HzE7cOgd9J1iD7KbxZHZxdMTxEaTuP0GD&#10;17B9gAQ0tE5H6VAMgujo0tPZmUiF4+ZiOVvMrzDEMTadF7M8T95lrDwdt86HDwI0iZOKOrQ+wbPD&#10;vQ+RDitPKfE2D0o2W6lUWrhdvVGOHBi2yTZ9qYIXacqQvqLX82I+KvBXCGT3TPC3m7QM2O9K6oou&#10;z0msjLq9N03qxsCkGudIWZmjkFG7UcUw1ENy7O3JnxqaJ1TWwdje+Bxx0oH7SUmPrV1R/2PPnKBE&#10;fTTozvV0NotvIS1m86sCF+4yUl9GmOEIVdFAyTjdhPR+om4GbtHFViZ9o90jkyNlbNkk+/F5xTdx&#10;uU5Zzz+B9S8AAAD//wMAUEsDBBQABgAIAAAAIQA/q6Ch4AAAAAoBAAAPAAAAZHJzL2Rvd25yZXYu&#10;eG1sTI9BT8MwDIXvSPyHyEhcEEs7YO1K0wkhgeAG2wTXrPHaisYpSdaVf493gpvt9/T8vXI12V6M&#10;6EPnSEE6S0Ag1c501CjYbp6ucxAhajK6d4QKfjDAqjo/K3Vh3JHecVzHRnAIhUIraGMcCilD3aLV&#10;YeYGJNb2zlsdefWNNF4fOdz2cp4kC2l1R/yh1QM+tlh/rQ9WQX77Mn6G15u3j3qx75fxKhufv71S&#10;lxfTwz2IiFP8M8MJn9GhYqadO5AJolfARaKCZZqlIE5ykuVzEDue0ju+yaqU/ytUvwAAAP//AwBQ&#10;SwECLQAUAAYACAAAACEAtoM4kv4AAADhAQAAEwAAAAAAAAAAAAAAAAAAAAAAW0NvbnRlbnRfVHlw&#10;ZXNdLnhtbFBLAQItABQABgAIAAAAIQA4/SH/1gAAAJQBAAALAAAAAAAAAAAAAAAAAC8BAABfcmVs&#10;cy8ucmVsc1BLAQItABQABgAIAAAAIQAuB585KQIAAEwEAAAOAAAAAAAAAAAAAAAAAC4CAABkcnMv&#10;ZTJvRG9jLnhtbFBLAQItABQABgAIAAAAIQA/q6Ch4AAAAAoBAAAPAAAAAAAAAAAAAAAAAIMEAABk&#10;cnMvZG93bnJldi54bWxQSwUGAAAAAAQABADzAAAAkAUAAAAA&#10;">
                <v:textbox>
                  <w:txbxContent>
                    <w:p w14:paraId="60E9F949" w14:textId="7169466B" w:rsidR="00CE5035" w:rsidRDefault="00CE5035" w:rsidP="00CE5035">
                      <w:r w:rsidRPr="00CE5035">
                        <w:rPr>
                          <w:rFonts w:ascii="Arial" w:hAnsi="Arial" w:cs="Arial"/>
                          <w:b/>
                          <w:sz w:val="24"/>
                          <w:szCs w:val="24"/>
                        </w:rPr>
                        <w:t>Figure 4.</w:t>
                      </w:r>
                      <w:r w:rsidRPr="00CE5035">
                        <w:rPr>
                          <w:rFonts w:ascii="Arial" w:hAnsi="Arial" w:cs="Arial"/>
                          <w:sz w:val="24"/>
                          <w:szCs w:val="24"/>
                        </w:rPr>
                        <w:t xml:space="preserve"> </w:t>
                      </w:r>
                      <w:r w:rsidRPr="00CE5035">
                        <w:rPr>
                          <w:rFonts w:ascii="Arial" w:hAnsi="Arial" w:cs="Arial"/>
                          <w:b/>
                          <w:sz w:val="24"/>
                          <w:szCs w:val="24"/>
                        </w:rPr>
                        <w:t xml:space="preserve">A. </w:t>
                      </w:r>
                      <w:r w:rsidRPr="00CE5035">
                        <w:rPr>
                          <w:rFonts w:ascii="Arial" w:hAnsi="Arial" w:cs="Arial"/>
                          <w:sz w:val="24"/>
                          <w:szCs w:val="24"/>
                        </w:rPr>
                        <w:t>ATP production from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xml:space="preserve">). </w:t>
                      </w:r>
                      <w:r w:rsidRPr="00CE5035">
                        <w:rPr>
                          <w:rFonts w:ascii="Arial" w:hAnsi="Arial" w:cs="Arial"/>
                          <w:b/>
                          <w:sz w:val="24"/>
                          <w:szCs w:val="24"/>
                        </w:rPr>
                        <w:t xml:space="preserve">B. </w:t>
                      </w:r>
                      <w:r w:rsidRPr="00CE5035">
                        <w:rPr>
                          <w:rFonts w:ascii="Arial" w:hAnsi="Arial" w:cs="Arial"/>
                          <w:sz w:val="24"/>
                          <w:szCs w:val="24"/>
                        </w:rPr>
                        <w:t xml:space="preserve">Respiratory control ratio (RCR) of mitochondria provided glutamate and malate. </w:t>
                      </w:r>
                      <w:r w:rsidRPr="00CE5035">
                        <w:rPr>
                          <w:rFonts w:ascii="Arial" w:hAnsi="Arial" w:cs="Arial"/>
                          <w:b/>
                          <w:sz w:val="24"/>
                          <w:szCs w:val="24"/>
                        </w:rPr>
                        <w:t xml:space="preserve">C. </w:t>
                      </w:r>
                      <w:r w:rsidRPr="00CE5035">
                        <w:rPr>
                          <w:rFonts w:ascii="Arial" w:hAnsi="Arial" w:cs="Arial"/>
                          <w:sz w:val="24"/>
                          <w:szCs w:val="24"/>
                        </w:rPr>
                        <w:t>Membrane potential of isolated mitochondria provided glutamate and malate (</w:t>
                      </w:r>
                      <w:r w:rsidRPr="00CE5035">
                        <w:rPr>
                          <w:rFonts w:ascii="Arial" w:hAnsi="Arial" w:cs="Arial"/>
                          <w:b/>
                          <w:sz w:val="24"/>
                          <w:szCs w:val="24"/>
                        </w:rPr>
                        <w:t>Glu/Mal</w:t>
                      </w:r>
                      <w:r w:rsidRPr="00CE5035">
                        <w:rPr>
                          <w:rFonts w:ascii="Arial" w:hAnsi="Arial" w:cs="Arial"/>
                          <w:sz w:val="24"/>
                          <w:szCs w:val="24"/>
                        </w:rPr>
                        <w:t>) or succinate and rotenone (</w:t>
                      </w:r>
                      <w:r w:rsidRPr="00CE5035">
                        <w:rPr>
                          <w:rFonts w:ascii="Arial" w:hAnsi="Arial" w:cs="Arial"/>
                          <w:b/>
                          <w:sz w:val="24"/>
                          <w:szCs w:val="24"/>
                        </w:rPr>
                        <w:t>Suc/Rot</w:t>
                      </w:r>
                      <w:r w:rsidRPr="00CE5035">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txbxContent>
                </v:textbox>
                <w10:wrap type="square" anchorx="margin"/>
              </v:shape>
            </w:pict>
          </mc:Fallback>
        </mc:AlternateContent>
      </w:r>
      <w:r w:rsidRPr="00CE5035">
        <w:rPr>
          <w:noProof/>
          <w:sz w:val="24"/>
          <w:szCs w:val="24"/>
        </w:rPr>
        <w:drawing>
          <wp:anchor distT="0" distB="0" distL="114300" distR="114300" simplePos="0" relativeHeight="251678720" behindDoc="1" locked="0" layoutInCell="1" allowOverlap="1" wp14:anchorId="36360B79" wp14:editId="5D262E14">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5590" cy="546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D69C9" w14:textId="77777777" w:rsidR="00DE2553" w:rsidRPr="00CE5035" w:rsidRDefault="00A75481" w:rsidP="00CE5035">
      <w:pPr>
        <w:spacing w:line="240" w:lineRule="auto"/>
        <w:rPr>
          <w:rFonts w:ascii="Arial" w:hAnsi="Arial" w:cs="Arial"/>
          <w:b/>
          <w:sz w:val="24"/>
          <w:szCs w:val="24"/>
        </w:rPr>
      </w:pPr>
      <w:r w:rsidRPr="00CE5035">
        <w:rPr>
          <w:rFonts w:ascii="Arial" w:hAnsi="Arial" w:cs="Arial"/>
          <w:b/>
          <w:sz w:val="24"/>
          <w:szCs w:val="24"/>
        </w:rPr>
        <w:t>DISCUSSION</w:t>
      </w:r>
    </w:p>
    <w:p w14:paraId="71C00415" w14:textId="18F4B01D" w:rsidR="00A75481" w:rsidRPr="00CE5035" w:rsidRDefault="0088559E" w:rsidP="00CE5035">
      <w:pPr>
        <w:spacing w:line="240" w:lineRule="auto"/>
        <w:ind w:firstLine="720"/>
        <w:rPr>
          <w:rFonts w:ascii="Arial" w:hAnsi="Arial" w:cs="Arial"/>
          <w:sz w:val="24"/>
          <w:szCs w:val="24"/>
        </w:rPr>
      </w:pPr>
      <w:r w:rsidRPr="00CE5035">
        <w:rPr>
          <w:rFonts w:ascii="Arial" w:hAnsi="Arial" w:cs="Arial"/>
          <w:sz w:val="24"/>
          <w:szCs w:val="24"/>
        </w:rPr>
        <w:t xml:space="preserve">Contrary to our initial prediction, our </w:t>
      </w:r>
      <w:r w:rsidR="004E2D7B" w:rsidRPr="00CE5035">
        <w:rPr>
          <w:rFonts w:ascii="Arial" w:hAnsi="Arial" w:cs="Arial"/>
          <w:sz w:val="24"/>
          <w:szCs w:val="24"/>
        </w:rPr>
        <w:t>findings</w:t>
      </w:r>
      <w:r w:rsidRPr="00CE5035">
        <w:rPr>
          <w:rFonts w:ascii="Arial" w:hAnsi="Arial" w:cs="Arial"/>
          <w:sz w:val="24"/>
          <w:szCs w:val="24"/>
        </w:rPr>
        <w:t xml:space="preserve"> suggest that </w:t>
      </w:r>
      <w:r w:rsidR="004E2D7B" w:rsidRPr="00CE5035">
        <w:rPr>
          <w:rFonts w:ascii="Arial" w:hAnsi="Arial" w:cs="Arial"/>
          <w:sz w:val="24"/>
          <w:szCs w:val="24"/>
        </w:rPr>
        <w:t>elevated</w:t>
      </w:r>
      <w:r w:rsidRPr="00CE5035">
        <w:rPr>
          <w:rFonts w:ascii="Arial" w:hAnsi="Arial" w:cs="Arial"/>
          <w:sz w:val="24"/>
          <w:szCs w:val="24"/>
        </w:rPr>
        <w:t xml:space="preserve"> levels of MsrA in the mitochondria leads to increased generation of mitochondrial-derived free radicals without significantly affecting mitochondrial bioenergetics. </w:t>
      </w:r>
      <w:r w:rsidR="004E2D7B" w:rsidRPr="00CE5035">
        <w:rPr>
          <w:rFonts w:ascii="Arial" w:hAnsi="Arial" w:cs="Arial"/>
          <w:sz w:val="24"/>
          <w:szCs w:val="24"/>
        </w:rPr>
        <w:t xml:space="preserve">These outcomes raise interesting questions, the first of which why might increasing mitochondrial MsrA reduce </w:t>
      </w:r>
      <w:r w:rsidR="000C6770" w:rsidRPr="00CE5035">
        <w:rPr>
          <w:rFonts w:ascii="Arial" w:hAnsi="Arial" w:cs="Arial"/>
          <w:sz w:val="24"/>
          <w:szCs w:val="24"/>
        </w:rPr>
        <w:t>ETC</w:t>
      </w:r>
      <w:r w:rsidR="004E2D7B" w:rsidRPr="00CE5035">
        <w:rPr>
          <w:rFonts w:ascii="Arial" w:hAnsi="Arial" w:cs="Arial"/>
          <w:sz w:val="24"/>
          <w:szCs w:val="24"/>
        </w:rPr>
        <w:t xml:space="preserve"> complex I activity? Of note, </w:t>
      </w:r>
      <w:r w:rsidR="005236B6" w:rsidRPr="00CE5035">
        <w:rPr>
          <w:rFonts w:ascii="Arial" w:hAnsi="Arial" w:cs="Arial"/>
          <w:sz w:val="24"/>
          <w:szCs w:val="24"/>
        </w:rPr>
        <w:t xml:space="preserve">mammalian complex I is highly enriched in methionine content with up to 4X the quantity of methionine compared to the methionine content of the total cellular proteome </w:t>
      </w:r>
      <w:r w:rsidR="005236B6" w:rsidRPr="00CE5035">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
</w:fldData>
        </w:fldChar>
      </w:r>
      <w:r w:rsidR="005236B6" w:rsidRPr="00CE5035">
        <w:rPr>
          <w:rFonts w:ascii="Arial" w:hAnsi="Arial" w:cs="Arial"/>
          <w:sz w:val="24"/>
          <w:szCs w:val="24"/>
        </w:rPr>
        <w:instrText xml:space="preserve"> ADDIN EN.CITE </w:instrText>
      </w:r>
      <w:r w:rsidR="005236B6" w:rsidRPr="00CE5035">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
</w:fldData>
        </w:fldChar>
      </w:r>
      <w:r w:rsidR="005236B6" w:rsidRPr="00CE5035">
        <w:rPr>
          <w:rFonts w:ascii="Arial" w:hAnsi="Arial" w:cs="Arial"/>
          <w:sz w:val="24"/>
          <w:szCs w:val="24"/>
        </w:rPr>
        <w:instrText xml:space="preserve"> ADDIN EN.CITE.DATA </w:instrText>
      </w:r>
      <w:r w:rsidR="005236B6" w:rsidRPr="00CE5035">
        <w:rPr>
          <w:rFonts w:ascii="Arial" w:hAnsi="Arial" w:cs="Arial"/>
          <w:sz w:val="24"/>
          <w:szCs w:val="24"/>
        </w:rPr>
      </w:r>
      <w:r w:rsidR="005236B6" w:rsidRPr="00CE5035">
        <w:rPr>
          <w:rFonts w:ascii="Arial" w:hAnsi="Arial" w:cs="Arial"/>
          <w:sz w:val="24"/>
          <w:szCs w:val="24"/>
        </w:rPr>
        <w:fldChar w:fldCharType="end"/>
      </w:r>
      <w:r w:rsidR="005236B6" w:rsidRPr="00CE5035">
        <w:rPr>
          <w:rFonts w:ascii="Arial" w:hAnsi="Arial" w:cs="Arial"/>
          <w:sz w:val="24"/>
          <w:szCs w:val="24"/>
        </w:rPr>
      </w:r>
      <w:r w:rsidR="005236B6" w:rsidRPr="00CE5035">
        <w:rPr>
          <w:rFonts w:ascii="Arial" w:hAnsi="Arial" w:cs="Arial"/>
          <w:sz w:val="24"/>
          <w:szCs w:val="24"/>
        </w:rPr>
        <w:fldChar w:fldCharType="separate"/>
      </w:r>
      <w:r w:rsidR="005236B6" w:rsidRPr="00CE5035">
        <w:rPr>
          <w:rFonts w:ascii="Arial" w:hAnsi="Arial" w:cs="Arial"/>
          <w:noProof/>
          <w:sz w:val="24"/>
          <w:szCs w:val="24"/>
        </w:rPr>
        <w:t>(</w:t>
      </w:r>
      <w:hyperlink w:anchor="_ENREF_2" w:tooltip="Bender, 2008 #3" w:history="1">
        <w:r w:rsidR="00132562" w:rsidRPr="00CE5035">
          <w:rPr>
            <w:rFonts w:ascii="Arial" w:hAnsi="Arial" w:cs="Arial"/>
            <w:noProof/>
            <w:sz w:val="24"/>
            <w:szCs w:val="24"/>
          </w:rPr>
          <w:t>2</w:t>
        </w:r>
      </w:hyperlink>
      <w:r w:rsidR="005236B6" w:rsidRPr="00CE5035">
        <w:rPr>
          <w:rFonts w:ascii="Arial" w:hAnsi="Arial" w:cs="Arial"/>
          <w:noProof/>
          <w:sz w:val="24"/>
          <w:szCs w:val="24"/>
        </w:rPr>
        <w:t>)</w:t>
      </w:r>
      <w:r w:rsidR="005236B6" w:rsidRPr="00CE5035">
        <w:rPr>
          <w:rFonts w:ascii="Arial" w:hAnsi="Arial" w:cs="Arial"/>
          <w:sz w:val="24"/>
          <w:szCs w:val="24"/>
        </w:rPr>
        <w:fldChar w:fldCharType="end"/>
      </w:r>
      <w:r w:rsidR="005236B6" w:rsidRPr="00CE5035">
        <w:rPr>
          <w:rFonts w:ascii="Arial" w:hAnsi="Arial" w:cs="Arial"/>
          <w:sz w:val="24"/>
          <w:szCs w:val="24"/>
        </w:rPr>
        <w:t xml:space="preserve">. It has been proposed that the high methionine content might act as an antioxidant or “free radical sink” within the highly oxidative environment of the mitochondria </w:t>
      </w:r>
      <w:r w:rsidR="005236B6" w:rsidRPr="00CE5035">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5236B6" w:rsidRPr="00CE5035">
        <w:rPr>
          <w:rFonts w:ascii="Arial" w:hAnsi="Arial" w:cs="Arial"/>
          <w:sz w:val="24"/>
          <w:szCs w:val="24"/>
        </w:rPr>
      </w:r>
      <w:r w:rsidR="005236B6" w:rsidRPr="00CE5035">
        <w:rPr>
          <w:rFonts w:ascii="Arial" w:hAnsi="Arial" w:cs="Arial"/>
          <w:sz w:val="24"/>
          <w:szCs w:val="24"/>
        </w:rPr>
        <w:fldChar w:fldCharType="separate"/>
      </w:r>
      <w:r w:rsidR="00132562" w:rsidRPr="00CE5035">
        <w:rPr>
          <w:rFonts w:ascii="Arial" w:hAnsi="Arial" w:cs="Arial"/>
          <w:noProof/>
          <w:sz w:val="24"/>
          <w:szCs w:val="24"/>
        </w:rPr>
        <w:t>(</w:t>
      </w:r>
      <w:hyperlink w:anchor="_ENREF_2" w:tooltip="Bender, 2008 #3" w:history="1">
        <w:r w:rsidR="00132562" w:rsidRPr="00CE5035">
          <w:rPr>
            <w:rFonts w:ascii="Arial" w:hAnsi="Arial" w:cs="Arial"/>
            <w:noProof/>
            <w:sz w:val="24"/>
            <w:szCs w:val="24"/>
          </w:rPr>
          <w:t>2</w:t>
        </w:r>
      </w:hyperlink>
      <w:r w:rsidR="00132562" w:rsidRPr="00CE5035">
        <w:rPr>
          <w:rFonts w:ascii="Arial" w:hAnsi="Arial" w:cs="Arial"/>
          <w:noProof/>
          <w:sz w:val="24"/>
          <w:szCs w:val="24"/>
        </w:rPr>
        <w:t xml:space="preserve">, </w:t>
      </w:r>
      <w:hyperlink w:anchor="_ENREF_20" w:tooltip="Levine, 1996 #15" w:history="1">
        <w:r w:rsidR="00132562" w:rsidRPr="00CE5035">
          <w:rPr>
            <w:rFonts w:ascii="Arial" w:hAnsi="Arial" w:cs="Arial"/>
            <w:noProof/>
            <w:sz w:val="24"/>
            <w:szCs w:val="24"/>
          </w:rPr>
          <w:t>20</w:t>
        </w:r>
      </w:hyperlink>
      <w:r w:rsidR="00132562" w:rsidRPr="00CE5035">
        <w:rPr>
          <w:rFonts w:ascii="Arial" w:hAnsi="Arial" w:cs="Arial"/>
          <w:noProof/>
          <w:sz w:val="24"/>
          <w:szCs w:val="24"/>
        </w:rPr>
        <w:t>)</w:t>
      </w:r>
      <w:r w:rsidR="005236B6" w:rsidRPr="00CE5035">
        <w:rPr>
          <w:rFonts w:ascii="Arial" w:hAnsi="Arial" w:cs="Arial"/>
          <w:sz w:val="24"/>
          <w:szCs w:val="24"/>
        </w:rPr>
        <w:fldChar w:fldCharType="end"/>
      </w:r>
      <w:r w:rsidR="005236B6" w:rsidRPr="00CE5035">
        <w:rPr>
          <w:rFonts w:ascii="Arial" w:hAnsi="Arial" w:cs="Arial"/>
          <w:sz w:val="24"/>
          <w:szCs w:val="24"/>
        </w:rPr>
        <w:t xml:space="preserve">. Moreover, the majority of the proteins making up this </w:t>
      </w:r>
      <w:r w:rsidR="005236B6" w:rsidRPr="00CE5035">
        <w:rPr>
          <w:rFonts w:ascii="Arial" w:hAnsi="Arial" w:cs="Arial"/>
          <w:sz w:val="24"/>
          <w:szCs w:val="24"/>
        </w:rPr>
        <w:lastRenderedPageBreak/>
        <w:t xml:space="preserve">complex are imported to the mitochondria as unfolded proteins </w:t>
      </w:r>
      <w:r w:rsidR="005236B6" w:rsidRPr="00CE5035">
        <w:rPr>
          <w:rFonts w:ascii="Arial" w:hAnsi="Arial" w:cs="Arial"/>
          <w:sz w:val="24"/>
          <w:szCs w:val="24"/>
        </w:rPr>
        <w:fldChar w:fldCharType="begin"/>
      </w:r>
      <w:r w:rsidR="00132562" w:rsidRPr="00CE5035">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sidR="005236B6" w:rsidRPr="00CE5035">
        <w:rPr>
          <w:rFonts w:ascii="Arial" w:hAnsi="Arial" w:cs="Arial"/>
          <w:sz w:val="24"/>
          <w:szCs w:val="24"/>
        </w:rPr>
        <w:fldChar w:fldCharType="separate"/>
      </w:r>
      <w:r w:rsidR="00132562" w:rsidRPr="00CE5035">
        <w:rPr>
          <w:rFonts w:ascii="Arial" w:hAnsi="Arial" w:cs="Arial"/>
          <w:noProof/>
          <w:sz w:val="24"/>
          <w:szCs w:val="24"/>
        </w:rPr>
        <w:t>(</w:t>
      </w:r>
      <w:hyperlink w:anchor="_ENREF_21" w:tooltip="Martin, 2017 #16" w:history="1">
        <w:r w:rsidR="00132562" w:rsidRPr="00CE5035">
          <w:rPr>
            <w:rFonts w:ascii="Arial" w:hAnsi="Arial" w:cs="Arial"/>
            <w:noProof/>
            <w:sz w:val="24"/>
            <w:szCs w:val="24"/>
          </w:rPr>
          <w:t>21</w:t>
        </w:r>
      </w:hyperlink>
      <w:r w:rsidR="00132562" w:rsidRPr="00CE5035">
        <w:rPr>
          <w:rFonts w:ascii="Arial" w:hAnsi="Arial" w:cs="Arial"/>
          <w:noProof/>
          <w:sz w:val="24"/>
          <w:szCs w:val="24"/>
        </w:rPr>
        <w:t>)</w:t>
      </w:r>
      <w:r w:rsidR="005236B6" w:rsidRPr="00CE5035">
        <w:rPr>
          <w:rFonts w:ascii="Arial" w:hAnsi="Arial" w:cs="Arial"/>
          <w:sz w:val="24"/>
          <w:szCs w:val="24"/>
        </w:rPr>
        <w:fldChar w:fldCharType="end"/>
      </w:r>
      <w:r w:rsidR="00323630" w:rsidRPr="00CE5035">
        <w:rPr>
          <w:rFonts w:ascii="Arial" w:hAnsi="Arial" w:cs="Arial"/>
          <w:sz w:val="24"/>
          <w:szCs w:val="24"/>
        </w:rPr>
        <w:t>.</w:t>
      </w:r>
      <w:r w:rsidR="005236B6" w:rsidRPr="00CE5035">
        <w:rPr>
          <w:rFonts w:ascii="Arial" w:hAnsi="Arial" w:cs="Arial"/>
          <w:sz w:val="24"/>
          <w:szCs w:val="24"/>
        </w:rPr>
        <w:t xml:space="preserve"> As MsrA has been shown to preferentially bind unfolded proteins </w:t>
      </w:r>
      <w:r w:rsidR="005236B6" w:rsidRPr="00CE5035">
        <w:rPr>
          <w:rFonts w:ascii="Arial" w:hAnsi="Arial" w:cs="Arial"/>
          <w:sz w:val="24"/>
          <w:szCs w:val="24"/>
        </w:rPr>
        <w:fldChar w:fldCharType="begin"/>
      </w:r>
      <w:r w:rsidR="005236B6" w:rsidRPr="00CE5035">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sidR="005236B6" w:rsidRPr="00CE5035">
        <w:rPr>
          <w:rFonts w:ascii="Arial" w:hAnsi="Arial" w:cs="Arial"/>
          <w:sz w:val="24"/>
          <w:szCs w:val="24"/>
        </w:rPr>
        <w:fldChar w:fldCharType="separate"/>
      </w:r>
      <w:r w:rsidR="005236B6" w:rsidRPr="00CE5035">
        <w:rPr>
          <w:rFonts w:ascii="Arial" w:hAnsi="Arial" w:cs="Arial"/>
          <w:noProof/>
          <w:sz w:val="24"/>
          <w:szCs w:val="24"/>
        </w:rPr>
        <w:t>(</w:t>
      </w:r>
      <w:hyperlink w:anchor="_ENREF_7" w:tooltip="Tarrago, 2012 #1" w:history="1">
        <w:r w:rsidR="00132562" w:rsidRPr="00CE5035">
          <w:rPr>
            <w:rFonts w:ascii="Arial" w:hAnsi="Arial" w:cs="Arial"/>
            <w:noProof/>
            <w:sz w:val="24"/>
            <w:szCs w:val="24"/>
          </w:rPr>
          <w:t>7</w:t>
        </w:r>
      </w:hyperlink>
      <w:r w:rsidR="005236B6" w:rsidRPr="00CE5035">
        <w:rPr>
          <w:rFonts w:ascii="Arial" w:hAnsi="Arial" w:cs="Arial"/>
          <w:noProof/>
          <w:sz w:val="24"/>
          <w:szCs w:val="24"/>
        </w:rPr>
        <w:t>)</w:t>
      </w:r>
      <w:r w:rsidR="005236B6" w:rsidRPr="00CE5035">
        <w:rPr>
          <w:rFonts w:ascii="Arial" w:hAnsi="Arial" w:cs="Arial"/>
          <w:sz w:val="24"/>
          <w:szCs w:val="24"/>
        </w:rPr>
        <w:fldChar w:fldCharType="end"/>
      </w:r>
      <w:r w:rsidR="005236B6" w:rsidRPr="00CE5035">
        <w:rPr>
          <w:rFonts w:ascii="Arial" w:hAnsi="Arial" w:cs="Arial"/>
          <w:sz w:val="24"/>
          <w:szCs w:val="24"/>
        </w:rPr>
        <w:t xml:space="preserve">, it may be that the overabundance of MsrA in mitochondria from TgMito MsrA mice may be physically bound to these components potentially inhibiting the proper folding of the complex structures. </w:t>
      </w:r>
      <w:r w:rsidR="00706878" w:rsidRPr="00CE5035">
        <w:rPr>
          <w:rFonts w:ascii="Arial" w:hAnsi="Arial" w:cs="Arial"/>
          <w:sz w:val="24"/>
          <w:szCs w:val="24"/>
        </w:rPr>
        <w:t xml:space="preserve">While the levels of MsrA expressed in these mice may be much higher than biological </w:t>
      </w:r>
      <w:r w:rsidR="00706878" w:rsidRPr="00CE5035">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706878" w:rsidRPr="00CE5035">
        <w:rPr>
          <w:rFonts w:ascii="Arial" w:hAnsi="Arial" w:cs="Arial"/>
          <w:sz w:val="24"/>
          <w:szCs w:val="24"/>
        </w:rPr>
      </w:r>
      <w:r w:rsidR="00706878" w:rsidRPr="00CE5035">
        <w:rPr>
          <w:rFonts w:ascii="Arial" w:hAnsi="Arial" w:cs="Arial"/>
          <w:sz w:val="24"/>
          <w:szCs w:val="24"/>
        </w:rPr>
        <w:fldChar w:fldCharType="separate"/>
      </w:r>
      <w:r w:rsidR="00132562" w:rsidRPr="00CE5035">
        <w:rPr>
          <w:rFonts w:ascii="Arial" w:hAnsi="Arial" w:cs="Arial"/>
          <w:noProof/>
          <w:sz w:val="24"/>
          <w:szCs w:val="24"/>
        </w:rPr>
        <w:t>(</w:t>
      </w:r>
      <w:hyperlink w:anchor="_ENREF_14" w:tooltip="Salmon, 2016 #14" w:history="1">
        <w:r w:rsidR="00132562" w:rsidRPr="00CE5035">
          <w:rPr>
            <w:rFonts w:ascii="Arial" w:hAnsi="Arial" w:cs="Arial"/>
            <w:noProof/>
            <w:sz w:val="24"/>
            <w:szCs w:val="24"/>
          </w:rPr>
          <w:t>14</w:t>
        </w:r>
      </w:hyperlink>
      <w:r w:rsidR="00132562" w:rsidRPr="00CE5035">
        <w:rPr>
          <w:rFonts w:ascii="Arial" w:hAnsi="Arial" w:cs="Arial"/>
          <w:noProof/>
          <w:sz w:val="24"/>
          <w:szCs w:val="24"/>
        </w:rPr>
        <w:t xml:space="preserve">, </w:t>
      </w:r>
      <w:hyperlink w:anchor="_ENREF_16" w:tooltip="Hunnicut, 2015 #15" w:history="1">
        <w:r w:rsidR="00132562" w:rsidRPr="00CE5035">
          <w:rPr>
            <w:rFonts w:ascii="Arial" w:hAnsi="Arial" w:cs="Arial"/>
            <w:noProof/>
            <w:sz w:val="24"/>
            <w:szCs w:val="24"/>
          </w:rPr>
          <w:t>16</w:t>
        </w:r>
      </w:hyperlink>
      <w:r w:rsidR="00132562" w:rsidRPr="00CE5035">
        <w:rPr>
          <w:rFonts w:ascii="Arial" w:hAnsi="Arial" w:cs="Arial"/>
          <w:noProof/>
          <w:sz w:val="24"/>
          <w:szCs w:val="24"/>
        </w:rPr>
        <w:t>)</w:t>
      </w:r>
      <w:r w:rsidR="00706878" w:rsidRPr="00CE5035">
        <w:rPr>
          <w:rFonts w:ascii="Arial" w:hAnsi="Arial" w:cs="Arial"/>
          <w:sz w:val="24"/>
          <w:szCs w:val="24"/>
        </w:rPr>
        <w:fldChar w:fldCharType="end"/>
      </w:r>
      <w:r w:rsidR="00706878" w:rsidRPr="00CE5035">
        <w:rPr>
          <w:rFonts w:ascii="Arial" w:hAnsi="Arial" w:cs="Arial"/>
          <w:sz w:val="24"/>
          <w:szCs w:val="24"/>
        </w:rPr>
        <w:t>, these results raise the intriguing possibility that MsrA plays a protein chaperone-like function in assembly of mitochondrial protein complexes.</w:t>
      </w:r>
    </w:p>
    <w:p w14:paraId="189C1FB0" w14:textId="162D90E6" w:rsidR="00D829EC" w:rsidRPr="00CE5035" w:rsidRDefault="00706878" w:rsidP="00CE5035">
      <w:pPr>
        <w:spacing w:line="240" w:lineRule="auto"/>
        <w:ind w:firstLine="720"/>
        <w:rPr>
          <w:rFonts w:ascii="Arial" w:hAnsi="Arial" w:cs="Arial"/>
          <w:sz w:val="24"/>
          <w:szCs w:val="24"/>
        </w:rPr>
      </w:pPr>
      <w:r w:rsidRPr="00CE5035">
        <w:rPr>
          <w:rFonts w:ascii="Arial" w:hAnsi="Arial" w:cs="Arial"/>
          <w:sz w:val="24"/>
          <w:szCs w:val="24"/>
        </w:rPr>
        <w:t xml:space="preserve">We have previously shown that </w:t>
      </w:r>
      <w:r w:rsidR="004D3E50" w:rsidRPr="00CE5035">
        <w:rPr>
          <w:rFonts w:ascii="Arial" w:hAnsi="Arial" w:cs="Arial"/>
          <w:sz w:val="24"/>
          <w:szCs w:val="24"/>
        </w:rPr>
        <w:t xml:space="preserve">TgMito MsrA </w:t>
      </w:r>
      <w:r w:rsidR="009573A6" w:rsidRPr="00CE5035">
        <w:rPr>
          <w:rFonts w:ascii="Arial" w:hAnsi="Arial" w:cs="Arial"/>
          <w:sz w:val="24"/>
          <w:szCs w:val="24"/>
        </w:rPr>
        <w:t xml:space="preserve">are protected against glucose metabolic dysfunction caused by either high fat diet or advanced age </w:t>
      </w:r>
      <w:r w:rsidR="009573A6" w:rsidRPr="00CE5035">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9573A6" w:rsidRPr="00CE5035">
        <w:rPr>
          <w:rFonts w:ascii="Arial" w:hAnsi="Arial" w:cs="Arial"/>
          <w:sz w:val="24"/>
          <w:szCs w:val="24"/>
        </w:rPr>
      </w:r>
      <w:r w:rsidR="009573A6" w:rsidRPr="00CE5035">
        <w:rPr>
          <w:rFonts w:ascii="Arial" w:hAnsi="Arial" w:cs="Arial"/>
          <w:sz w:val="24"/>
          <w:szCs w:val="24"/>
        </w:rPr>
        <w:fldChar w:fldCharType="separate"/>
      </w:r>
      <w:r w:rsidR="00132562" w:rsidRPr="00CE5035">
        <w:rPr>
          <w:rFonts w:ascii="Arial" w:hAnsi="Arial" w:cs="Arial"/>
          <w:noProof/>
          <w:sz w:val="24"/>
          <w:szCs w:val="24"/>
        </w:rPr>
        <w:t>(</w:t>
      </w:r>
      <w:hyperlink w:anchor="_ENREF_14" w:tooltip="Salmon, 2016 #14" w:history="1">
        <w:r w:rsidR="00132562" w:rsidRPr="00CE5035">
          <w:rPr>
            <w:rFonts w:ascii="Arial" w:hAnsi="Arial" w:cs="Arial"/>
            <w:noProof/>
            <w:sz w:val="24"/>
            <w:szCs w:val="24"/>
          </w:rPr>
          <w:t>14</w:t>
        </w:r>
      </w:hyperlink>
      <w:r w:rsidR="00132562" w:rsidRPr="00CE5035">
        <w:rPr>
          <w:rFonts w:ascii="Arial" w:hAnsi="Arial" w:cs="Arial"/>
          <w:noProof/>
          <w:sz w:val="24"/>
          <w:szCs w:val="24"/>
        </w:rPr>
        <w:t xml:space="preserve">, </w:t>
      </w:r>
      <w:hyperlink w:anchor="_ENREF_16" w:tooltip="Hunnicut, 2015 #15" w:history="1">
        <w:r w:rsidR="00132562" w:rsidRPr="00CE5035">
          <w:rPr>
            <w:rFonts w:ascii="Arial" w:hAnsi="Arial" w:cs="Arial"/>
            <w:noProof/>
            <w:sz w:val="24"/>
            <w:szCs w:val="24"/>
          </w:rPr>
          <w:t>16</w:t>
        </w:r>
      </w:hyperlink>
      <w:r w:rsidR="00132562" w:rsidRPr="00CE5035">
        <w:rPr>
          <w:rFonts w:ascii="Arial" w:hAnsi="Arial" w:cs="Arial"/>
          <w:noProof/>
          <w:sz w:val="24"/>
          <w:szCs w:val="24"/>
        </w:rPr>
        <w:t>)</w:t>
      </w:r>
      <w:r w:rsidR="009573A6" w:rsidRPr="00CE5035">
        <w:rPr>
          <w:rFonts w:ascii="Arial" w:hAnsi="Arial" w:cs="Arial"/>
          <w:sz w:val="24"/>
          <w:szCs w:val="24"/>
        </w:rPr>
        <w:fldChar w:fldCharType="end"/>
      </w:r>
      <w:r w:rsidR="009573A6" w:rsidRPr="00CE5035">
        <w:rPr>
          <w:rFonts w:ascii="Arial" w:hAnsi="Arial" w:cs="Arial"/>
          <w:sz w:val="24"/>
          <w:szCs w:val="24"/>
        </w:rPr>
        <w:t>.</w:t>
      </w:r>
      <w:r w:rsidR="004D3E50" w:rsidRPr="00CE5035">
        <w:rPr>
          <w:rFonts w:ascii="Arial" w:hAnsi="Arial" w:cs="Arial"/>
          <w:sz w:val="24"/>
          <w:szCs w:val="24"/>
        </w:rPr>
        <w:t xml:space="preserve"> In light of the results </w:t>
      </w:r>
      <w:r w:rsidR="009573A6" w:rsidRPr="00CE5035">
        <w:rPr>
          <w:rFonts w:ascii="Arial" w:hAnsi="Arial" w:cs="Arial"/>
          <w:sz w:val="24"/>
          <w:szCs w:val="24"/>
        </w:rPr>
        <w:t>presented here, these physiological outcomes are intriguing because there has been</w:t>
      </w:r>
      <w:r w:rsidR="004D3E50" w:rsidRPr="00CE5035">
        <w:rPr>
          <w:rFonts w:ascii="Arial" w:hAnsi="Arial" w:cs="Arial"/>
          <w:sz w:val="24"/>
          <w:szCs w:val="24"/>
        </w:rPr>
        <w:t xml:space="preserve"> some consensus that oxidative stress is associated with, and may be causative for, metabolic dysfunction including insulin resistance</w:t>
      </w:r>
      <w:r w:rsidR="009573A6" w:rsidRPr="00CE5035">
        <w:rPr>
          <w:rFonts w:ascii="Arial" w:hAnsi="Arial" w:cs="Arial"/>
          <w:sz w:val="24"/>
          <w:szCs w:val="24"/>
        </w:rPr>
        <w:t xml:space="preserve"> </w:t>
      </w:r>
      <w:r w:rsidR="00021592" w:rsidRPr="00CE5035">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
</w:fldData>
        </w:fldChar>
      </w:r>
      <w:r w:rsidR="00132562" w:rsidRPr="00CE5035">
        <w:rPr>
          <w:rFonts w:ascii="Arial" w:hAnsi="Arial" w:cs="Arial"/>
          <w:sz w:val="24"/>
          <w:szCs w:val="24"/>
        </w:rPr>
        <w:instrText xml:space="preserve"> ADDIN EN.CITE </w:instrText>
      </w:r>
      <w:r w:rsidR="00132562" w:rsidRPr="00CE5035">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
</w:fldData>
        </w:fldChar>
      </w:r>
      <w:r w:rsidR="00132562" w:rsidRPr="00CE5035">
        <w:rPr>
          <w:rFonts w:ascii="Arial" w:hAnsi="Arial" w:cs="Arial"/>
          <w:sz w:val="24"/>
          <w:szCs w:val="24"/>
        </w:rPr>
        <w:instrText xml:space="preserve"> ADDIN EN.CITE.DATA </w:instrText>
      </w:r>
      <w:r w:rsidR="00132562" w:rsidRPr="00CE5035">
        <w:rPr>
          <w:rFonts w:ascii="Arial" w:hAnsi="Arial" w:cs="Arial"/>
          <w:sz w:val="24"/>
          <w:szCs w:val="24"/>
        </w:rPr>
      </w:r>
      <w:r w:rsidR="00132562" w:rsidRPr="00CE5035">
        <w:rPr>
          <w:rFonts w:ascii="Arial" w:hAnsi="Arial" w:cs="Arial"/>
          <w:sz w:val="24"/>
          <w:szCs w:val="24"/>
        </w:rPr>
        <w:fldChar w:fldCharType="end"/>
      </w:r>
      <w:r w:rsidR="00021592" w:rsidRPr="00CE5035">
        <w:rPr>
          <w:rFonts w:ascii="Arial" w:hAnsi="Arial" w:cs="Arial"/>
          <w:sz w:val="24"/>
          <w:szCs w:val="24"/>
        </w:rPr>
      </w:r>
      <w:r w:rsidR="00021592" w:rsidRPr="00CE5035">
        <w:rPr>
          <w:rFonts w:ascii="Arial" w:hAnsi="Arial" w:cs="Arial"/>
          <w:sz w:val="24"/>
          <w:szCs w:val="24"/>
        </w:rPr>
        <w:fldChar w:fldCharType="separate"/>
      </w:r>
      <w:r w:rsidR="00132562" w:rsidRPr="00CE5035">
        <w:rPr>
          <w:rFonts w:ascii="Arial" w:hAnsi="Arial" w:cs="Arial"/>
          <w:noProof/>
          <w:sz w:val="24"/>
          <w:szCs w:val="24"/>
        </w:rPr>
        <w:t>(</w:t>
      </w:r>
      <w:hyperlink w:anchor="_ENREF_15" w:tooltip="Styskal, 2013 #12" w:history="1">
        <w:r w:rsidR="00132562" w:rsidRPr="00CE5035">
          <w:rPr>
            <w:rFonts w:ascii="Arial" w:hAnsi="Arial" w:cs="Arial"/>
            <w:noProof/>
            <w:sz w:val="24"/>
            <w:szCs w:val="24"/>
          </w:rPr>
          <w:t>15</w:t>
        </w:r>
      </w:hyperlink>
      <w:r w:rsidR="00132562" w:rsidRPr="00CE5035">
        <w:rPr>
          <w:rFonts w:ascii="Arial" w:hAnsi="Arial" w:cs="Arial"/>
          <w:noProof/>
          <w:sz w:val="24"/>
          <w:szCs w:val="24"/>
        </w:rPr>
        <w:t xml:space="preserve">, </w:t>
      </w:r>
      <w:hyperlink w:anchor="_ENREF_22" w:tooltip="Fazakerley, 2018 #33" w:history="1">
        <w:r w:rsidR="00132562" w:rsidRPr="00CE5035">
          <w:rPr>
            <w:rFonts w:ascii="Arial" w:hAnsi="Arial" w:cs="Arial"/>
            <w:noProof/>
            <w:sz w:val="24"/>
            <w:szCs w:val="24"/>
          </w:rPr>
          <w:t>22</w:t>
        </w:r>
      </w:hyperlink>
      <w:r w:rsidR="00132562" w:rsidRPr="00CE5035">
        <w:rPr>
          <w:rFonts w:ascii="Arial" w:hAnsi="Arial" w:cs="Arial"/>
          <w:noProof/>
          <w:sz w:val="24"/>
          <w:szCs w:val="24"/>
        </w:rPr>
        <w:t>)</w:t>
      </w:r>
      <w:r w:rsidR="00021592" w:rsidRPr="00CE5035">
        <w:rPr>
          <w:rFonts w:ascii="Arial" w:hAnsi="Arial" w:cs="Arial"/>
          <w:sz w:val="24"/>
          <w:szCs w:val="24"/>
        </w:rPr>
        <w:fldChar w:fldCharType="end"/>
      </w:r>
      <w:r w:rsidR="004D3E50" w:rsidRPr="00CE5035">
        <w:rPr>
          <w:rFonts w:ascii="Arial" w:hAnsi="Arial" w:cs="Arial"/>
          <w:sz w:val="24"/>
          <w:szCs w:val="24"/>
        </w:rPr>
        <w:t xml:space="preserve">. </w:t>
      </w:r>
      <w:r w:rsidR="009573A6" w:rsidRPr="00CE5035">
        <w:rPr>
          <w:rFonts w:ascii="Arial" w:hAnsi="Arial" w:cs="Arial"/>
          <w:sz w:val="24"/>
          <w:szCs w:val="24"/>
        </w:rPr>
        <w:t xml:space="preserve">However, there is also growing evidence that </w:t>
      </w:r>
      <w:r w:rsidR="00D829EC" w:rsidRPr="00CE5035">
        <w:rPr>
          <w:rFonts w:ascii="Arial" w:hAnsi="Arial" w:cs="Arial"/>
          <w:sz w:val="24"/>
          <w:szCs w:val="24"/>
        </w:rPr>
        <w:t>H</w:t>
      </w:r>
      <w:r w:rsidR="00D829EC" w:rsidRPr="00CE5035">
        <w:rPr>
          <w:rFonts w:ascii="Arial" w:hAnsi="Arial" w:cs="Arial"/>
          <w:sz w:val="24"/>
          <w:szCs w:val="24"/>
          <w:vertAlign w:val="subscript"/>
        </w:rPr>
        <w:t>2</w:t>
      </w:r>
      <w:r w:rsidR="00D829EC" w:rsidRPr="00CE5035">
        <w:rPr>
          <w:rFonts w:ascii="Arial" w:hAnsi="Arial" w:cs="Arial"/>
          <w:sz w:val="24"/>
          <w:szCs w:val="24"/>
        </w:rPr>
        <w:t>O</w:t>
      </w:r>
      <w:r w:rsidR="00D829EC" w:rsidRPr="00CE5035">
        <w:rPr>
          <w:rFonts w:ascii="Arial" w:hAnsi="Arial" w:cs="Arial"/>
          <w:sz w:val="24"/>
          <w:szCs w:val="24"/>
          <w:vertAlign w:val="subscript"/>
        </w:rPr>
        <w:t>2</w:t>
      </w:r>
      <w:r w:rsidR="00D829EC" w:rsidRPr="00CE5035">
        <w:rPr>
          <w:rFonts w:ascii="Arial" w:hAnsi="Arial" w:cs="Arial"/>
          <w:sz w:val="24"/>
          <w:szCs w:val="24"/>
        </w:rPr>
        <w:t xml:space="preserve"> signaling</w:t>
      </w:r>
      <w:r w:rsidR="009573A6" w:rsidRPr="00CE5035">
        <w:rPr>
          <w:rFonts w:ascii="Arial" w:hAnsi="Arial" w:cs="Arial"/>
          <w:sz w:val="24"/>
          <w:szCs w:val="24"/>
        </w:rPr>
        <w:t xml:space="preserve"> is required for many normal cellular functions including metabolic function </w:t>
      </w:r>
      <w:r w:rsidR="009573A6" w:rsidRPr="00CE5035">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9573A6" w:rsidRPr="00CE5035">
        <w:rPr>
          <w:rFonts w:ascii="Arial" w:hAnsi="Arial" w:cs="Arial"/>
          <w:sz w:val="24"/>
          <w:szCs w:val="24"/>
        </w:rPr>
      </w:r>
      <w:r w:rsidR="009573A6" w:rsidRPr="00CE5035">
        <w:rPr>
          <w:rFonts w:ascii="Arial" w:hAnsi="Arial" w:cs="Arial"/>
          <w:sz w:val="24"/>
          <w:szCs w:val="24"/>
        </w:rPr>
        <w:fldChar w:fldCharType="separate"/>
      </w:r>
      <w:r w:rsidR="000005EE" w:rsidRPr="00CE5035">
        <w:rPr>
          <w:rFonts w:ascii="Arial" w:hAnsi="Arial" w:cs="Arial"/>
          <w:noProof/>
          <w:sz w:val="24"/>
          <w:szCs w:val="24"/>
        </w:rPr>
        <w:t>(</w:t>
      </w:r>
      <w:hyperlink w:anchor="_ENREF_23" w:tooltip="Lee, 2011 #17" w:history="1">
        <w:r w:rsidR="00132562" w:rsidRPr="00CE5035">
          <w:rPr>
            <w:rFonts w:ascii="Arial" w:hAnsi="Arial" w:cs="Arial"/>
            <w:noProof/>
            <w:sz w:val="24"/>
            <w:szCs w:val="24"/>
          </w:rPr>
          <w:t>23</w:t>
        </w:r>
      </w:hyperlink>
      <w:r w:rsidR="000005EE" w:rsidRPr="00CE5035">
        <w:rPr>
          <w:rFonts w:ascii="Arial" w:hAnsi="Arial" w:cs="Arial"/>
          <w:noProof/>
          <w:sz w:val="24"/>
          <w:szCs w:val="24"/>
        </w:rPr>
        <w:t xml:space="preserve">, </w:t>
      </w:r>
      <w:hyperlink w:anchor="_ENREF_24" w:tooltip="Pi, 2007 #18" w:history="1">
        <w:r w:rsidR="00132562" w:rsidRPr="00CE5035">
          <w:rPr>
            <w:rFonts w:ascii="Arial" w:hAnsi="Arial" w:cs="Arial"/>
            <w:noProof/>
            <w:sz w:val="24"/>
            <w:szCs w:val="24"/>
          </w:rPr>
          <w:t>24</w:t>
        </w:r>
      </w:hyperlink>
      <w:r w:rsidR="000005EE" w:rsidRPr="00CE5035">
        <w:rPr>
          <w:rFonts w:ascii="Arial" w:hAnsi="Arial" w:cs="Arial"/>
          <w:noProof/>
          <w:sz w:val="24"/>
          <w:szCs w:val="24"/>
        </w:rPr>
        <w:t>)</w:t>
      </w:r>
      <w:r w:rsidR="009573A6" w:rsidRPr="00CE5035">
        <w:rPr>
          <w:rFonts w:ascii="Arial" w:hAnsi="Arial" w:cs="Arial"/>
          <w:sz w:val="24"/>
          <w:szCs w:val="24"/>
        </w:rPr>
        <w:fldChar w:fldCharType="end"/>
      </w:r>
      <w:r w:rsidR="009573A6" w:rsidRPr="00CE5035">
        <w:rPr>
          <w:rFonts w:ascii="Arial" w:hAnsi="Arial" w:cs="Arial"/>
          <w:sz w:val="24"/>
          <w:szCs w:val="24"/>
        </w:rPr>
        <w:t xml:space="preserve">. Because our assays were performed using isolated mitochondria, it is still possible that these findings are an artifact of the experimental procedure. It would be of interest to determine </w:t>
      </w:r>
      <w:r w:rsidR="009573A6" w:rsidRPr="00CE5035">
        <w:rPr>
          <w:rFonts w:ascii="Arial" w:hAnsi="Arial" w:cs="Arial"/>
          <w:i/>
          <w:sz w:val="24"/>
          <w:szCs w:val="24"/>
        </w:rPr>
        <w:t xml:space="preserve">in vivo </w:t>
      </w:r>
      <w:r w:rsidR="009573A6" w:rsidRPr="00CE5035">
        <w:rPr>
          <w:rFonts w:ascii="Arial" w:hAnsi="Arial" w:cs="Arial"/>
          <w:sz w:val="24"/>
          <w:szCs w:val="24"/>
        </w:rPr>
        <w:t>free radical production in living TgMito MsrA mice to better define this potential relationship.</w:t>
      </w:r>
    </w:p>
    <w:p w14:paraId="197B7982" w14:textId="29ABD904" w:rsidR="00206497" w:rsidRPr="00CE5035" w:rsidRDefault="008A0D9D" w:rsidP="00CE5035">
      <w:pPr>
        <w:spacing w:line="240" w:lineRule="auto"/>
        <w:ind w:firstLine="720"/>
        <w:rPr>
          <w:rFonts w:ascii="Arial" w:hAnsi="Arial" w:cs="Arial"/>
          <w:sz w:val="24"/>
          <w:szCs w:val="24"/>
        </w:rPr>
      </w:pPr>
      <w:r w:rsidRPr="00CE5035">
        <w:rPr>
          <w:rFonts w:ascii="Arial" w:hAnsi="Arial" w:cs="Arial"/>
          <w:sz w:val="24"/>
          <w:szCs w:val="24"/>
        </w:rPr>
        <w:t xml:space="preserve">More broadly, our data align with an expanding number of findings that seem to refute the oxidative stress theory of aging at least in murine models. </w:t>
      </w:r>
      <w:r w:rsidR="004D3E50" w:rsidRPr="00CE5035">
        <w:rPr>
          <w:rFonts w:ascii="Arial" w:hAnsi="Arial" w:cs="Arial"/>
          <w:sz w:val="24"/>
          <w:szCs w:val="24"/>
        </w:rPr>
        <w:t xml:space="preserve">While </w:t>
      </w:r>
      <w:r w:rsidRPr="00CE5035">
        <w:rPr>
          <w:rFonts w:ascii="Arial" w:hAnsi="Arial" w:cs="Arial"/>
          <w:sz w:val="24"/>
          <w:szCs w:val="24"/>
        </w:rPr>
        <w:t>this theory originally received muc</w:t>
      </w:r>
      <w:r w:rsidR="00F83645" w:rsidRPr="00CE5035">
        <w:rPr>
          <w:rFonts w:ascii="Arial" w:hAnsi="Arial" w:cs="Arial"/>
          <w:sz w:val="24"/>
          <w:szCs w:val="24"/>
        </w:rPr>
        <w:t xml:space="preserve">h attention, in part due to </w:t>
      </w:r>
      <w:r w:rsidRPr="00CE5035">
        <w:rPr>
          <w:rFonts w:ascii="Arial" w:hAnsi="Arial" w:cs="Arial"/>
          <w:sz w:val="24"/>
          <w:szCs w:val="24"/>
        </w:rPr>
        <w:t xml:space="preserve">its simplicity, the support for this theory has been largely equivocal. Most aging studies conducted in mice with genetically altered enzymatic antioxidants have shown no </w:t>
      </w:r>
      <w:r w:rsidR="00F83645" w:rsidRPr="00CE5035">
        <w:rPr>
          <w:rFonts w:ascii="Arial" w:hAnsi="Arial" w:cs="Arial"/>
          <w:sz w:val="24"/>
          <w:szCs w:val="24"/>
        </w:rPr>
        <w:t>consistent</w:t>
      </w:r>
      <w:r w:rsidRPr="00CE5035">
        <w:rPr>
          <w:rFonts w:ascii="Arial" w:hAnsi="Arial" w:cs="Arial"/>
          <w:sz w:val="24"/>
          <w:szCs w:val="24"/>
        </w:rPr>
        <w:t xml:space="preserve"> effect on longevity </w:t>
      </w:r>
      <w:r w:rsidRPr="00CE5035">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Pr="00CE5035">
        <w:rPr>
          <w:rFonts w:ascii="Arial" w:hAnsi="Arial" w:cs="Arial"/>
          <w:sz w:val="24"/>
          <w:szCs w:val="24"/>
        </w:rPr>
      </w:r>
      <w:r w:rsidRPr="00CE5035">
        <w:rPr>
          <w:rFonts w:ascii="Arial" w:hAnsi="Arial" w:cs="Arial"/>
          <w:sz w:val="24"/>
          <w:szCs w:val="24"/>
        </w:rPr>
        <w:fldChar w:fldCharType="separate"/>
      </w:r>
      <w:r w:rsidR="000005EE" w:rsidRPr="00CE5035">
        <w:rPr>
          <w:rFonts w:ascii="Arial" w:hAnsi="Arial" w:cs="Arial"/>
          <w:noProof/>
          <w:sz w:val="24"/>
          <w:szCs w:val="24"/>
        </w:rPr>
        <w:t>(</w:t>
      </w:r>
      <w:hyperlink w:anchor="_ENREF_25" w:tooltip="Edrey, 2014 #19" w:history="1">
        <w:r w:rsidR="00132562" w:rsidRPr="00CE5035">
          <w:rPr>
            <w:rFonts w:ascii="Arial" w:hAnsi="Arial" w:cs="Arial"/>
            <w:noProof/>
            <w:sz w:val="24"/>
            <w:szCs w:val="24"/>
          </w:rPr>
          <w:t>25</w:t>
        </w:r>
      </w:hyperlink>
      <w:r w:rsidR="000005EE" w:rsidRPr="00CE5035">
        <w:rPr>
          <w:rFonts w:ascii="Arial" w:hAnsi="Arial" w:cs="Arial"/>
          <w:noProof/>
          <w:sz w:val="24"/>
          <w:szCs w:val="24"/>
        </w:rPr>
        <w:t>)</w:t>
      </w:r>
      <w:r w:rsidRPr="00CE5035">
        <w:rPr>
          <w:rFonts w:ascii="Arial" w:hAnsi="Arial" w:cs="Arial"/>
          <w:sz w:val="24"/>
          <w:szCs w:val="24"/>
        </w:rPr>
        <w:fldChar w:fldCharType="end"/>
      </w:r>
      <w:r w:rsidRPr="00CE5035">
        <w:rPr>
          <w:rFonts w:ascii="Arial" w:hAnsi="Arial" w:cs="Arial"/>
          <w:sz w:val="24"/>
          <w:szCs w:val="24"/>
        </w:rPr>
        <w:t xml:space="preserve">. </w:t>
      </w:r>
      <w:r w:rsidR="0057650D" w:rsidRPr="00CE5035">
        <w:rPr>
          <w:rFonts w:ascii="Arial" w:hAnsi="Arial" w:cs="Arial"/>
          <w:sz w:val="24"/>
          <w:szCs w:val="24"/>
        </w:rPr>
        <w:t xml:space="preserve">Even in transgenic mice with mitochondrial-targeted antioxidant overexpression there has been little consensus to their effect on lifespan </w:t>
      </w:r>
      <w:r w:rsidR="0057650D" w:rsidRPr="00CE5035">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57650D" w:rsidRPr="00CE5035">
        <w:rPr>
          <w:rFonts w:ascii="Arial" w:hAnsi="Arial" w:cs="Arial"/>
          <w:sz w:val="24"/>
          <w:szCs w:val="24"/>
        </w:rPr>
      </w:r>
      <w:r w:rsidR="0057650D" w:rsidRPr="00CE5035">
        <w:rPr>
          <w:rFonts w:ascii="Arial" w:hAnsi="Arial" w:cs="Arial"/>
          <w:sz w:val="24"/>
          <w:szCs w:val="24"/>
        </w:rPr>
        <w:fldChar w:fldCharType="separate"/>
      </w:r>
      <w:r w:rsidR="000005EE" w:rsidRPr="00CE5035">
        <w:rPr>
          <w:rFonts w:ascii="Arial" w:hAnsi="Arial" w:cs="Arial"/>
          <w:noProof/>
          <w:sz w:val="24"/>
          <w:szCs w:val="24"/>
        </w:rPr>
        <w:t>(</w:t>
      </w:r>
      <w:hyperlink w:anchor="_ENREF_14" w:tooltip="Salmon, 2016 #14" w:history="1">
        <w:r w:rsidR="00132562" w:rsidRPr="00CE5035">
          <w:rPr>
            <w:rFonts w:ascii="Arial" w:hAnsi="Arial" w:cs="Arial"/>
            <w:noProof/>
            <w:sz w:val="24"/>
            <w:szCs w:val="24"/>
          </w:rPr>
          <w:t>14</w:t>
        </w:r>
      </w:hyperlink>
      <w:r w:rsidR="000005EE" w:rsidRPr="00CE5035">
        <w:rPr>
          <w:rFonts w:ascii="Arial" w:hAnsi="Arial" w:cs="Arial"/>
          <w:noProof/>
          <w:sz w:val="24"/>
          <w:szCs w:val="24"/>
        </w:rPr>
        <w:t xml:space="preserve">, </w:t>
      </w:r>
      <w:hyperlink w:anchor="_ENREF_26" w:tooltip="Cunningham, 2018 #20" w:history="1">
        <w:r w:rsidR="00132562" w:rsidRPr="00CE5035">
          <w:rPr>
            <w:rFonts w:ascii="Arial" w:hAnsi="Arial" w:cs="Arial"/>
            <w:noProof/>
            <w:sz w:val="24"/>
            <w:szCs w:val="24"/>
          </w:rPr>
          <w:t>26</w:t>
        </w:r>
      </w:hyperlink>
      <w:r w:rsidR="000005EE" w:rsidRPr="00CE5035">
        <w:rPr>
          <w:rFonts w:ascii="Arial" w:hAnsi="Arial" w:cs="Arial"/>
          <w:noProof/>
          <w:sz w:val="24"/>
          <w:szCs w:val="24"/>
        </w:rPr>
        <w:t xml:space="preserve">, </w:t>
      </w:r>
      <w:hyperlink w:anchor="_ENREF_27" w:tooltip="Schriner, 2005 #21" w:history="1">
        <w:r w:rsidR="00132562" w:rsidRPr="00CE5035">
          <w:rPr>
            <w:rFonts w:ascii="Arial" w:hAnsi="Arial" w:cs="Arial"/>
            <w:noProof/>
            <w:sz w:val="24"/>
            <w:szCs w:val="24"/>
          </w:rPr>
          <w:t>27</w:t>
        </w:r>
      </w:hyperlink>
      <w:r w:rsidR="000005EE" w:rsidRPr="00CE5035">
        <w:rPr>
          <w:rFonts w:ascii="Arial" w:hAnsi="Arial" w:cs="Arial"/>
          <w:noProof/>
          <w:sz w:val="24"/>
          <w:szCs w:val="24"/>
        </w:rPr>
        <w:t>)</w:t>
      </w:r>
      <w:r w:rsidR="0057650D" w:rsidRPr="00CE5035">
        <w:rPr>
          <w:rFonts w:ascii="Arial" w:hAnsi="Arial" w:cs="Arial"/>
          <w:sz w:val="24"/>
          <w:szCs w:val="24"/>
        </w:rPr>
        <w:fldChar w:fldCharType="end"/>
      </w:r>
      <w:r w:rsidR="0057650D" w:rsidRPr="00CE5035">
        <w:rPr>
          <w:rFonts w:ascii="Arial" w:hAnsi="Arial" w:cs="Arial"/>
          <w:sz w:val="24"/>
          <w:szCs w:val="24"/>
        </w:rPr>
        <w:t xml:space="preserve">. On the other hand, aging is a biological process and there is clear interest in understanding how age-related changes in health, and not just lifespan, might be regulated by processes such as mitochondrial oxidative stress </w:t>
      </w:r>
      <w:r w:rsidR="0057650D" w:rsidRPr="00CE5035">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57650D" w:rsidRPr="00CE5035">
        <w:rPr>
          <w:rFonts w:ascii="Arial" w:hAnsi="Arial" w:cs="Arial"/>
          <w:sz w:val="24"/>
          <w:szCs w:val="24"/>
        </w:rPr>
      </w:r>
      <w:r w:rsidR="0057650D" w:rsidRPr="00CE5035">
        <w:rPr>
          <w:rFonts w:ascii="Arial" w:hAnsi="Arial" w:cs="Arial"/>
          <w:sz w:val="24"/>
          <w:szCs w:val="24"/>
        </w:rPr>
        <w:fldChar w:fldCharType="separate"/>
      </w:r>
      <w:r w:rsidR="000005EE" w:rsidRPr="00CE5035">
        <w:rPr>
          <w:rFonts w:ascii="Arial" w:hAnsi="Arial" w:cs="Arial"/>
          <w:noProof/>
          <w:sz w:val="24"/>
          <w:szCs w:val="24"/>
        </w:rPr>
        <w:t>(</w:t>
      </w:r>
      <w:hyperlink w:anchor="_ENREF_28" w:tooltip="Kaeberlein, 2018 #22" w:history="1">
        <w:r w:rsidR="00132562" w:rsidRPr="00CE5035">
          <w:rPr>
            <w:rFonts w:ascii="Arial" w:hAnsi="Arial" w:cs="Arial"/>
            <w:noProof/>
            <w:sz w:val="24"/>
            <w:szCs w:val="24"/>
          </w:rPr>
          <w:t>28</w:t>
        </w:r>
      </w:hyperlink>
      <w:r w:rsidR="000005EE" w:rsidRPr="00CE5035">
        <w:rPr>
          <w:rFonts w:ascii="Arial" w:hAnsi="Arial" w:cs="Arial"/>
          <w:noProof/>
          <w:sz w:val="24"/>
          <w:szCs w:val="24"/>
        </w:rPr>
        <w:t xml:space="preserve">, </w:t>
      </w:r>
      <w:hyperlink w:anchor="_ENREF_29" w:tooltip="Davies, 2017 #28" w:history="1">
        <w:r w:rsidR="00132562" w:rsidRPr="00CE5035">
          <w:rPr>
            <w:rFonts w:ascii="Arial" w:hAnsi="Arial" w:cs="Arial"/>
            <w:noProof/>
            <w:sz w:val="24"/>
            <w:szCs w:val="24"/>
          </w:rPr>
          <w:t>29</w:t>
        </w:r>
      </w:hyperlink>
      <w:r w:rsidR="000005EE" w:rsidRPr="00CE5035">
        <w:rPr>
          <w:rFonts w:ascii="Arial" w:hAnsi="Arial" w:cs="Arial"/>
          <w:noProof/>
          <w:sz w:val="24"/>
          <w:szCs w:val="24"/>
        </w:rPr>
        <w:t>)</w:t>
      </w:r>
      <w:r w:rsidR="0057650D" w:rsidRPr="00CE5035">
        <w:rPr>
          <w:rFonts w:ascii="Arial" w:hAnsi="Arial" w:cs="Arial"/>
          <w:sz w:val="24"/>
          <w:szCs w:val="24"/>
        </w:rPr>
        <w:fldChar w:fldCharType="end"/>
      </w:r>
      <w:r w:rsidR="0057650D" w:rsidRPr="00CE5035">
        <w:rPr>
          <w:rFonts w:ascii="Arial" w:hAnsi="Arial" w:cs="Arial"/>
          <w:sz w:val="24"/>
          <w:szCs w:val="24"/>
        </w:rPr>
        <w:t xml:space="preserve">. In this regard, there is evidence that increased oxidative stress drives multiple health deficits in mouse models of aging </w:t>
      </w:r>
      <w:r w:rsidR="00005D37" w:rsidRPr="00CE5035">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005D37" w:rsidRPr="00CE5035">
        <w:rPr>
          <w:rFonts w:ascii="Arial" w:hAnsi="Arial" w:cs="Arial"/>
          <w:sz w:val="24"/>
          <w:szCs w:val="24"/>
        </w:rPr>
      </w:r>
      <w:r w:rsidR="00005D37" w:rsidRPr="00CE5035">
        <w:rPr>
          <w:rFonts w:ascii="Arial" w:hAnsi="Arial" w:cs="Arial"/>
          <w:sz w:val="24"/>
          <w:szCs w:val="24"/>
        </w:rPr>
        <w:fldChar w:fldCharType="separate"/>
      </w:r>
      <w:r w:rsidR="000005EE" w:rsidRPr="00CE5035">
        <w:rPr>
          <w:rFonts w:ascii="Arial" w:hAnsi="Arial" w:cs="Arial"/>
          <w:noProof/>
          <w:sz w:val="24"/>
          <w:szCs w:val="24"/>
        </w:rPr>
        <w:t>(</w:t>
      </w:r>
      <w:hyperlink w:anchor="_ENREF_30" w:tooltip="Deepa, 2017 #24" w:history="1">
        <w:r w:rsidR="00132562" w:rsidRPr="00CE5035">
          <w:rPr>
            <w:rFonts w:ascii="Arial" w:hAnsi="Arial" w:cs="Arial"/>
            <w:noProof/>
            <w:sz w:val="24"/>
            <w:szCs w:val="24"/>
          </w:rPr>
          <w:t>30</w:t>
        </w:r>
      </w:hyperlink>
      <w:r w:rsidR="000005EE" w:rsidRPr="00CE5035">
        <w:rPr>
          <w:rFonts w:ascii="Arial" w:hAnsi="Arial" w:cs="Arial"/>
          <w:noProof/>
          <w:sz w:val="24"/>
          <w:szCs w:val="24"/>
        </w:rPr>
        <w:t xml:space="preserve">, </w:t>
      </w:r>
      <w:hyperlink w:anchor="_ENREF_31" w:tooltip="Snider, 2018 #23" w:history="1">
        <w:r w:rsidR="00132562" w:rsidRPr="00CE5035">
          <w:rPr>
            <w:rFonts w:ascii="Arial" w:hAnsi="Arial" w:cs="Arial"/>
            <w:noProof/>
            <w:sz w:val="24"/>
            <w:szCs w:val="24"/>
          </w:rPr>
          <w:t>31</w:t>
        </w:r>
      </w:hyperlink>
      <w:r w:rsidR="000005EE" w:rsidRPr="00CE5035">
        <w:rPr>
          <w:rFonts w:ascii="Arial" w:hAnsi="Arial" w:cs="Arial"/>
          <w:noProof/>
          <w:sz w:val="24"/>
          <w:szCs w:val="24"/>
        </w:rPr>
        <w:t>)</w:t>
      </w:r>
      <w:r w:rsidR="00005D37" w:rsidRPr="00CE5035">
        <w:rPr>
          <w:rFonts w:ascii="Arial" w:hAnsi="Arial" w:cs="Arial"/>
          <w:sz w:val="24"/>
          <w:szCs w:val="24"/>
        </w:rPr>
        <w:fldChar w:fldCharType="end"/>
      </w:r>
      <w:r w:rsidR="0057650D" w:rsidRPr="00CE5035">
        <w:rPr>
          <w:rFonts w:ascii="Arial" w:hAnsi="Arial" w:cs="Arial"/>
          <w:sz w:val="24"/>
          <w:szCs w:val="24"/>
        </w:rPr>
        <w:t>.</w:t>
      </w:r>
      <w:r w:rsidR="00323630" w:rsidRPr="00CE5035">
        <w:rPr>
          <w:rFonts w:ascii="Arial" w:hAnsi="Arial" w:cs="Arial"/>
          <w:sz w:val="24"/>
          <w:szCs w:val="24"/>
        </w:rPr>
        <w:t xml:space="preserve"> </w:t>
      </w:r>
      <w:r w:rsidR="00005D37" w:rsidRPr="00CE5035">
        <w:rPr>
          <w:rFonts w:ascii="Arial" w:hAnsi="Arial" w:cs="Arial"/>
          <w:sz w:val="24"/>
          <w:szCs w:val="24"/>
        </w:rPr>
        <w:t>We have reported a potential aging benefit of TgMito MsrA mice on metabolic function, while others have shown these mice to not be protec</w:t>
      </w:r>
      <w:r w:rsidR="003B7F05" w:rsidRPr="00CE5035">
        <w:rPr>
          <w:rFonts w:ascii="Arial" w:hAnsi="Arial" w:cs="Arial"/>
          <w:sz w:val="24"/>
          <w:szCs w:val="24"/>
        </w:rPr>
        <w:t>ted from a cardiac ischemia-repe</w:t>
      </w:r>
      <w:r w:rsidR="00005D37" w:rsidRPr="00CE5035">
        <w:rPr>
          <w:rFonts w:ascii="Arial" w:hAnsi="Arial" w:cs="Arial"/>
          <w:sz w:val="24"/>
          <w:szCs w:val="24"/>
        </w:rPr>
        <w:t xml:space="preserve">rfusion model </w:t>
      </w:r>
      <w:r w:rsidR="00005D37" w:rsidRPr="00CE5035">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005D37" w:rsidRPr="00CE5035">
        <w:rPr>
          <w:rFonts w:ascii="Arial" w:hAnsi="Arial" w:cs="Arial"/>
          <w:sz w:val="24"/>
          <w:szCs w:val="24"/>
        </w:rPr>
      </w:r>
      <w:r w:rsidR="00005D37" w:rsidRPr="00CE5035">
        <w:rPr>
          <w:rFonts w:ascii="Arial" w:hAnsi="Arial" w:cs="Arial"/>
          <w:sz w:val="24"/>
          <w:szCs w:val="24"/>
        </w:rPr>
        <w:fldChar w:fldCharType="separate"/>
      </w:r>
      <w:r w:rsidR="000005EE" w:rsidRPr="00CE5035">
        <w:rPr>
          <w:rFonts w:ascii="Arial" w:hAnsi="Arial" w:cs="Arial"/>
          <w:noProof/>
          <w:sz w:val="24"/>
          <w:szCs w:val="24"/>
        </w:rPr>
        <w:t>(</w:t>
      </w:r>
      <w:hyperlink w:anchor="_ENREF_14" w:tooltip="Salmon, 2016 #14" w:history="1">
        <w:r w:rsidR="00132562" w:rsidRPr="00CE5035">
          <w:rPr>
            <w:rFonts w:ascii="Arial" w:hAnsi="Arial" w:cs="Arial"/>
            <w:noProof/>
            <w:sz w:val="24"/>
            <w:szCs w:val="24"/>
          </w:rPr>
          <w:t>14</w:t>
        </w:r>
      </w:hyperlink>
      <w:r w:rsidR="000005EE" w:rsidRPr="00CE5035">
        <w:rPr>
          <w:rFonts w:ascii="Arial" w:hAnsi="Arial" w:cs="Arial"/>
          <w:noProof/>
          <w:sz w:val="24"/>
          <w:szCs w:val="24"/>
        </w:rPr>
        <w:t xml:space="preserve">, </w:t>
      </w:r>
      <w:hyperlink w:anchor="_ENREF_32" w:tooltip="Zhao, 2011 #25" w:history="1">
        <w:r w:rsidR="00132562" w:rsidRPr="00CE5035">
          <w:rPr>
            <w:rFonts w:ascii="Arial" w:hAnsi="Arial" w:cs="Arial"/>
            <w:noProof/>
            <w:sz w:val="24"/>
            <w:szCs w:val="24"/>
          </w:rPr>
          <w:t>32</w:t>
        </w:r>
      </w:hyperlink>
      <w:r w:rsidR="000005EE" w:rsidRPr="00CE5035">
        <w:rPr>
          <w:rFonts w:ascii="Arial" w:hAnsi="Arial" w:cs="Arial"/>
          <w:noProof/>
          <w:sz w:val="24"/>
          <w:szCs w:val="24"/>
        </w:rPr>
        <w:t>)</w:t>
      </w:r>
      <w:r w:rsidR="00005D37" w:rsidRPr="00CE5035">
        <w:rPr>
          <w:rFonts w:ascii="Arial" w:hAnsi="Arial" w:cs="Arial"/>
          <w:sz w:val="24"/>
          <w:szCs w:val="24"/>
        </w:rPr>
        <w:fldChar w:fldCharType="end"/>
      </w:r>
      <w:r w:rsidR="00005D37" w:rsidRPr="00CE5035">
        <w:rPr>
          <w:rFonts w:ascii="Arial" w:hAnsi="Arial" w:cs="Arial"/>
          <w:sz w:val="24"/>
          <w:szCs w:val="24"/>
        </w:rPr>
        <w:t>. It would be of interest to take a more holistic approach towards</w:t>
      </w:r>
      <w:r w:rsidR="000C6770" w:rsidRPr="00CE5035">
        <w:rPr>
          <w:rFonts w:ascii="Arial" w:hAnsi="Arial" w:cs="Arial"/>
          <w:sz w:val="24"/>
          <w:szCs w:val="24"/>
        </w:rPr>
        <w:t xml:space="preserve"> functional aging assessments toward determining</w:t>
      </w:r>
      <w:r w:rsidR="00005D37" w:rsidRPr="00CE5035">
        <w:rPr>
          <w:rFonts w:ascii="Arial" w:hAnsi="Arial" w:cs="Arial"/>
          <w:sz w:val="24"/>
          <w:szCs w:val="24"/>
        </w:rPr>
        <w:t xml:space="preserve"> how increasing mitochondrial MsrA alters aging as a whole in these mice.</w:t>
      </w:r>
    </w:p>
    <w:p w14:paraId="104A9634" w14:textId="522002B4" w:rsidR="0025763D" w:rsidRPr="00CE5035" w:rsidRDefault="00B91AF1" w:rsidP="00CE5035">
      <w:pPr>
        <w:spacing w:line="240" w:lineRule="auto"/>
        <w:ind w:firstLine="720"/>
        <w:rPr>
          <w:rFonts w:ascii="Arial" w:hAnsi="Arial" w:cs="Arial"/>
          <w:sz w:val="24"/>
          <w:szCs w:val="24"/>
        </w:rPr>
      </w:pPr>
      <w:r w:rsidRPr="00CE5035">
        <w:rPr>
          <w:rFonts w:ascii="Arial" w:hAnsi="Arial" w:cs="Arial"/>
          <w:sz w:val="24"/>
          <w:szCs w:val="24"/>
        </w:rPr>
        <w:t>T</w:t>
      </w:r>
      <w:r w:rsidR="00206497" w:rsidRPr="00CE5035">
        <w:rPr>
          <w:rFonts w:ascii="Arial" w:hAnsi="Arial" w:cs="Arial"/>
          <w:sz w:val="24"/>
          <w:szCs w:val="24"/>
        </w:rPr>
        <w:t xml:space="preserve">here </w:t>
      </w:r>
      <w:r w:rsidRPr="00CE5035">
        <w:rPr>
          <w:rFonts w:ascii="Arial" w:hAnsi="Arial" w:cs="Arial"/>
          <w:sz w:val="24"/>
          <w:szCs w:val="24"/>
        </w:rPr>
        <w:t xml:space="preserve">actions of MsrA in the mitochondria may be beyond that of </w:t>
      </w:r>
      <w:r w:rsidR="00206497" w:rsidRPr="00CE5035">
        <w:rPr>
          <w:rFonts w:ascii="Arial" w:hAnsi="Arial" w:cs="Arial"/>
          <w:sz w:val="24"/>
          <w:szCs w:val="24"/>
        </w:rPr>
        <w:t>catalytic reduction of methionine sulfoxide</w:t>
      </w:r>
      <w:r w:rsidRPr="00CE5035">
        <w:rPr>
          <w:rFonts w:ascii="Arial" w:hAnsi="Arial" w:cs="Arial"/>
          <w:sz w:val="24"/>
          <w:szCs w:val="24"/>
        </w:rPr>
        <w:t xml:space="preserve">. There is a developing set of evidence that methionine oxidation can regulate protein function with stereo-specific oxidation and reduction by methionine sulfoxide reductases as a key regulator </w:t>
      </w:r>
      <w:r w:rsidRPr="00CE5035">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Pr="00CE5035">
        <w:rPr>
          <w:rFonts w:ascii="Arial" w:hAnsi="Arial" w:cs="Arial"/>
          <w:sz w:val="24"/>
          <w:szCs w:val="24"/>
        </w:rPr>
      </w:r>
      <w:r w:rsidRPr="00CE5035">
        <w:rPr>
          <w:rFonts w:ascii="Arial" w:hAnsi="Arial" w:cs="Arial"/>
          <w:sz w:val="24"/>
          <w:szCs w:val="24"/>
        </w:rPr>
        <w:fldChar w:fldCharType="separate"/>
      </w:r>
      <w:r w:rsidR="000005EE" w:rsidRPr="00CE5035">
        <w:rPr>
          <w:rFonts w:ascii="Arial" w:hAnsi="Arial" w:cs="Arial"/>
          <w:noProof/>
          <w:sz w:val="24"/>
          <w:szCs w:val="24"/>
        </w:rPr>
        <w:t>(</w:t>
      </w:r>
      <w:hyperlink w:anchor="_ENREF_5" w:tooltip="Lim, 2011 #5" w:history="1">
        <w:r w:rsidR="00132562" w:rsidRPr="00CE5035">
          <w:rPr>
            <w:rFonts w:ascii="Arial" w:hAnsi="Arial" w:cs="Arial"/>
            <w:noProof/>
            <w:sz w:val="24"/>
            <w:szCs w:val="24"/>
          </w:rPr>
          <w:t>5</w:t>
        </w:r>
      </w:hyperlink>
      <w:r w:rsidR="000005EE" w:rsidRPr="00CE5035">
        <w:rPr>
          <w:rFonts w:ascii="Arial" w:hAnsi="Arial" w:cs="Arial"/>
          <w:noProof/>
          <w:sz w:val="24"/>
          <w:szCs w:val="24"/>
        </w:rPr>
        <w:t xml:space="preserve">, </w:t>
      </w:r>
      <w:hyperlink w:anchor="_ENREF_6" w:tooltip="Manta, 2017 #6" w:history="1">
        <w:r w:rsidR="00132562" w:rsidRPr="00CE5035">
          <w:rPr>
            <w:rFonts w:ascii="Arial" w:hAnsi="Arial" w:cs="Arial"/>
            <w:noProof/>
            <w:sz w:val="24"/>
            <w:szCs w:val="24"/>
          </w:rPr>
          <w:t>6</w:t>
        </w:r>
      </w:hyperlink>
      <w:r w:rsidR="000005EE" w:rsidRPr="00CE5035">
        <w:rPr>
          <w:rFonts w:ascii="Arial" w:hAnsi="Arial" w:cs="Arial"/>
          <w:noProof/>
          <w:sz w:val="24"/>
          <w:szCs w:val="24"/>
        </w:rPr>
        <w:t xml:space="preserve">, </w:t>
      </w:r>
      <w:hyperlink w:anchor="_ENREF_33" w:tooltip="Lee, 2013 #29" w:history="1">
        <w:r w:rsidR="00132562" w:rsidRPr="00CE5035">
          <w:rPr>
            <w:rFonts w:ascii="Arial" w:hAnsi="Arial" w:cs="Arial"/>
            <w:noProof/>
            <w:sz w:val="24"/>
            <w:szCs w:val="24"/>
          </w:rPr>
          <w:t>33</w:t>
        </w:r>
      </w:hyperlink>
      <w:r w:rsidR="000005EE" w:rsidRPr="00CE5035">
        <w:rPr>
          <w:rFonts w:ascii="Arial" w:hAnsi="Arial" w:cs="Arial"/>
          <w:noProof/>
          <w:sz w:val="24"/>
          <w:szCs w:val="24"/>
        </w:rPr>
        <w:t>)</w:t>
      </w:r>
      <w:r w:rsidRPr="00CE5035">
        <w:rPr>
          <w:rFonts w:ascii="Arial" w:hAnsi="Arial" w:cs="Arial"/>
          <w:sz w:val="24"/>
          <w:szCs w:val="24"/>
        </w:rPr>
        <w:fldChar w:fldCharType="end"/>
      </w:r>
      <w:r w:rsidRPr="00CE5035">
        <w:rPr>
          <w:rFonts w:ascii="Arial" w:hAnsi="Arial" w:cs="Arial"/>
          <w:sz w:val="24"/>
          <w:szCs w:val="24"/>
        </w:rPr>
        <w:t xml:space="preserve">. In addition, the burgeoning clues that MsrA directs protein degradation through ubiquitin-like modifications suggest that </w:t>
      </w:r>
      <w:r w:rsidR="00206497" w:rsidRPr="00CE5035">
        <w:rPr>
          <w:rFonts w:ascii="Arial" w:hAnsi="Arial" w:cs="Arial"/>
          <w:sz w:val="24"/>
          <w:szCs w:val="24"/>
        </w:rPr>
        <w:t xml:space="preserve">MsrA </w:t>
      </w:r>
      <w:r w:rsidRPr="00CE5035">
        <w:rPr>
          <w:rFonts w:ascii="Arial" w:hAnsi="Arial" w:cs="Arial"/>
          <w:sz w:val="24"/>
          <w:szCs w:val="24"/>
        </w:rPr>
        <w:t xml:space="preserve">have a far more central role in proteostasis than previously thought </w:t>
      </w:r>
      <w:r w:rsidRPr="00CE5035">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sidRPr="00CE5035">
        <w:rPr>
          <w:rFonts w:ascii="Arial" w:hAnsi="Arial" w:cs="Arial"/>
          <w:sz w:val="24"/>
          <w:szCs w:val="24"/>
        </w:rPr>
        <w:instrText xml:space="preserve"> ADDIN EN.CITE </w:instrText>
      </w:r>
      <w:r w:rsidRPr="00CE5035">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sidRPr="00CE5035">
        <w:rPr>
          <w:rFonts w:ascii="Arial" w:hAnsi="Arial" w:cs="Arial"/>
          <w:sz w:val="24"/>
          <w:szCs w:val="24"/>
        </w:rPr>
        <w:instrText xml:space="preserve"> ADDIN EN.CITE.DATA </w:instrText>
      </w:r>
      <w:r w:rsidRPr="00CE5035">
        <w:rPr>
          <w:rFonts w:ascii="Arial" w:hAnsi="Arial" w:cs="Arial"/>
          <w:sz w:val="24"/>
          <w:szCs w:val="24"/>
        </w:rPr>
      </w:r>
      <w:r w:rsidRPr="00CE5035">
        <w:rPr>
          <w:rFonts w:ascii="Arial" w:hAnsi="Arial" w:cs="Arial"/>
          <w:sz w:val="24"/>
          <w:szCs w:val="24"/>
        </w:rPr>
        <w:fldChar w:fldCharType="end"/>
      </w:r>
      <w:r w:rsidRPr="00CE5035">
        <w:rPr>
          <w:rFonts w:ascii="Arial" w:hAnsi="Arial" w:cs="Arial"/>
          <w:sz w:val="24"/>
          <w:szCs w:val="24"/>
        </w:rPr>
      </w:r>
      <w:r w:rsidRPr="00CE5035">
        <w:rPr>
          <w:rFonts w:ascii="Arial" w:hAnsi="Arial" w:cs="Arial"/>
          <w:sz w:val="24"/>
          <w:szCs w:val="24"/>
        </w:rPr>
        <w:fldChar w:fldCharType="separate"/>
      </w:r>
      <w:r w:rsidRPr="00CE5035">
        <w:rPr>
          <w:rFonts w:ascii="Arial" w:hAnsi="Arial" w:cs="Arial"/>
          <w:noProof/>
          <w:sz w:val="24"/>
          <w:szCs w:val="24"/>
        </w:rPr>
        <w:t>(</w:t>
      </w:r>
      <w:hyperlink w:anchor="_ENREF_8" w:tooltip="Fu, 2017 #2" w:history="1">
        <w:r w:rsidR="00132562" w:rsidRPr="00CE5035">
          <w:rPr>
            <w:rFonts w:ascii="Arial" w:hAnsi="Arial" w:cs="Arial"/>
            <w:noProof/>
            <w:sz w:val="24"/>
            <w:szCs w:val="24"/>
          </w:rPr>
          <w:t>8</w:t>
        </w:r>
      </w:hyperlink>
      <w:r w:rsidRPr="00CE5035">
        <w:rPr>
          <w:rFonts w:ascii="Arial" w:hAnsi="Arial" w:cs="Arial"/>
          <w:noProof/>
          <w:sz w:val="24"/>
          <w:szCs w:val="24"/>
        </w:rPr>
        <w:t>)</w:t>
      </w:r>
      <w:r w:rsidRPr="00CE5035">
        <w:rPr>
          <w:rFonts w:ascii="Arial" w:hAnsi="Arial" w:cs="Arial"/>
          <w:sz w:val="24"/>
          <w:szCs w:val="24"/>
        </w:rPr>
        <w:fldChar w:fldCharType="end"/>
      </w:r>
      <w:r w:rsidR="004D3E50" w:rsidRPr="00CE5035">
        <w:rPr>
          <w:rFonts w:ascii="Arial" w:hAnsi="Arial" w:cs="Arial"/>
          <w:sz w:val="24"/>
          <w:szCs w:val="24"/>
        </w:rPr>
        <w:t xml:space="preserve">. </w:t>
      </w:r>
      <w:r w:rsidRPr="00CE5035">
        <w:rPr>
          <w:rFonts w:ascii="Arial" w:hAnsi="Arial" w:cs="Arial"/>
          <w:sz w:val="24"/>
          <w:szCs w:val="24"/>
        </w:rPr>
        <w:t xml:space="preserve">Moreover, the importance of methionine metabolism in regulating cellular homeostasis, for example transsulfuration and hydrogen sulfide generation, suggest methionine sulfoxide reductases could be at previously unrecognized pivotal regulatory mode for maintaining normal cellular function and communication </w:t>
      </w:r>
      <w:r w:rsidR="000D36DC" w:rsidRPr="00CE5035">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
</w:fldData>
        </w:fldChar>
      </w:r>
      <w:r w:rsidR="000005EE" w:rsidRPr="00CE5035">
        <w:rPr>
          <w:rFonts w:ascii="Arial" w:hAnsi="Arial" w:cs="Arial"/>
          <w:sz w:val="24"/>
          <w:szCs w:val="24"/>
        </w:rPr>
        <w:instrText xml:space="preserve"> ADDIN EN.CITE </w:instrText>
      </w:r>
      <w:r w:rsidR="000005EE" w:rsidRPr="00CE5035">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
</w:fldData>
        </w:fldChar>
      </w:r>
      <w:r w:rsidR="000005EE" w:rsidRPr="00CE5035">
        <w:rPr>
          <w:rFonts w:ascii="Arial" w:hAnsi="Arial" w:cs="Arial"/>
          <w:sz w:val="24"/>
          <w:szCs w:val="24"/>
        </w:rPr>
        <w:instrText xml:space="preserve"> ADDIN EN.CITE.DATA </w:instrText>
      </w:r>
      <w:r w:rsidR="000005EE" w:rsidRPr="00CE5035">
        <w:rPr>
          <w:rFonts w:ascii="Arial" w:hAnsi="Arial" w:cs="Arial"/>
          <w:sz w:val="24"/>
          <w:szCs w:val="24"/>
        </w:rPr>
      </w:r>
      <w:r w:rsidR="000005EE" w:rsidRPr="00CE5035">
        <w:rPr>
          <w:rFonts w:ascii="Arial" w:hAnsi="Arial" w:cs="Arial"/>
          <w:sz w:val="24"/>
          <w:szCs w:val="24"/>
        </w:rPr>
        <w:fldChar w:fldCharType="end"/>
      </w:r>
      <w:r w:rsidR="000D36DC" w:rsidRPr="00CE5035">
        <w:rPr>
          <w:rFonts w:ascii="Arial" w:hAnsi="Arial" w:cs="Arial"/>
          <w:sz w:val="24"/>
          <w:szCs w:val="24"/>
        </w:rPr>
      </w:r>
      <w:r w:rsidR="000D36DC" w:rsidRPr="00CE5035">
        <w:rPr>
          <w:rFonts w:ascii="Arial" w:hAnsi="Arial" w:cs="Arial"/>
          <w:sz w:val="24"/>
          <w:szCs w:val="24"/>
        </w:rPr>
        <w:fldChar w:fldCharType="separate"/>
      </w:r>
      <w:r w:rsidR="000005EE" w:rsidRPr="00CE5035">
        <w:rPr>
          <w:rFonts w:ascii="Arial" w:hAnsi="Arial" w:cs="Arial"/>
          <w:noProof/>
          <w:sz w:val="24"/>
          <w:szCs w:val="24"/>
        </w:rPr>
        <w:t>(</w:t>
      </w:r>
      <w:hyperlink w:anchor="_ENREF_34" w:tooltip="Olecka, 2018 #31" w:history="1">
        <w:r w:rsidR="00132562" w:rsidRPr="00CE5035">
          <w:rPr>
            <w:rFonts w:ascii="Arial" w:hAnsi="Arial" w:cs="Arial"/>
            <w:noProof/>
            <w:sz w:val="24"/>
            <w:szCs w:val="24"/>
          </w:rPr>
          <w:t>34</w:t>
        </w:r>
      </w:hyperlink>
      <w:r w:rsidR="000005EE" w:rsidRPr="00CE5035">
        <w:rPr>
          <w:rFonts w:ascii="Arial" w:hAnsi="Arial" w:cs="Arial"/>
          <w:noProof/>
          <w:sz w:val="24"/>
          <w:szCs w:val="24"/>
        </w:rPr>
        <w:t xml:space="preserve">, </w:t>
      </w:r>
      <w:hyperlink w:anchor="_ENREF_35" w:tooltip="Lee, 2018 #30" w:history="1">
        <w:r w:rsidR="00132562" w:rsidRPr="00CE5035">
          <w:rPr>
            <w:rFonts w:ascii="Arial" w:hAnsi="Arial" w:cs="Arial"/>
            <w:noProof/>
            <w:sz w:val="24"/>
            <w:szCs w:val="24"/>
          </w:rPr>
          <w:t>35</w:t>
        </w:r>
      </w:hyperlink>
      <w:r w:rsidR="000005EE" w:rsidRPr="00CE5035">
        <w:rPr>
          <w:rFonts w:ascii="Arial" w:hAnsi="Arial" w:cs="Arial"/>
          <w:noProof/>
          <w:sz w:val="24"/>
          <w:szCs w:val="24"/>
        </w:rPr>
        <w:t>)</w:t>
      </w:r>
      <w:r w:rsidR="000D36DC" w:rsidRPr="00CE5035">
        <w:rPr>
          <w:rFonts w:ascii="Arial" w:hAnsi="Arial" w:cs="Arial"/>
          <w:sz w:val="24"/>
          <w:szCs w:val="24"/>
        </w:rPr>
        <w:fldChar w:fldCharType="end"/>
      </w:r>
      <w:r w:rsidR="000D36DC" w:rsidRPr="00CE5035">
        <w:rPr>
          <w:rFonts w:ascii="Arial" w:hAnsi="Arial" w:cs="Arial"/>
          <w:sz w:val="24"/>
          <w:szCs w:val="24"/>
        </w:rPr>
        <w:t xml:space="preserve">. </w:t>
      </w:r>
    </w:p>
    <w:p w14:paraId="5D5CCF77" w14:textId="79951C1A" w:rsidR="0088559E" w:rsidRPr="00CE5035" w:rsidRDefault="0088559E" w:rsidP="00CE5035">
      <w:pPr>
        <w:spacing w:line="240" w:lineRule="auto"/>
        <w:rPr>
          <w:rFonts w:ascii="Arial" w:hAnsi="Arial" w:cs="Arial"/>
          <w:sz w:val="24"/>
          <w:szCs w:val="24"/>
        </w:rPr>
      </w:pPr>
    </w:p>
    <w:p w14:paraId="68640C7A" w14:textId="77777777" w:rsidR="000D36DC" w:rsidRPr="00CE5035" w:rsidRDefault="000D36DC" w:rsidP="00CE5035">
      <w:pPr>
        <w:spacing w:line="240" w:lineRule="auto"/>
        <w:rPr>
          <w:rFonts w:ascii="Arial" w:hAnsi="Arial" w:cs="Arial"/>
          <w:sz w:val="24"/>
          <w:szCs w:val="24"/>
        </w:rPr>
      </w:pPr>
    </w:p>
    <w:p w14:paraId="303CD209" w14:textId="7E31FCE0" w:rsidR="00C65751" w:rsidRPr="00CE5035" w:rsidRDefault="00C65751" w:rsidP="00CE5035">
      <w:pPr>
        <w:spacing w:line="240" w:lineRule="auto"/>
        <w:rPr>
          <w:rFonts w:ascii="Arial" w:hAnsi="Arial" w:cs="Arial"/>
          <w:b/>
          <w:sz w:val="24"/>
          <w:szCs w:val="24"/>
        </w:rPr>
      </w:pPr>
      <w:r w:rsidRPr="00CE5035">
        <w:rPr>
          <w:rFonts w:ascii="Arial" w:hAnsi="Arial" w:cs="Arial"/>
          <w:b/>
          <w:sz w:val="24"/>
          <w:szCs w:val="24"/>
        </w:rPr>
        <w:t>ACKNOWLEDGEMENTS</w:t>
      </w:r>
    </w:p>
    <w:p w14:paraId="206A73F7" w14:textId="126A8292" w:rsidR="00C65751" w:rsidRPr="00CE5035" w:rsidRDefault="00C65751" w:rsidP="00CE5035">
      <w:pPr>
        <w:spacing w:line="240" w:lineRule="auto"/>
        <w:ind w:firstLine="720"/>
        <w:rPr>
          <w:rFonts w:ascii="Arial" w:hAnsi="Arial" w:cs="Arial"/>
          <w:sz w:val="24"/>
          <w:szCs w:val="24"/>
        </w:rPr>
      </w:pPr>
      <w:r w:rsidRPr="00CE5035">
        <w:rPr>
          <w:rFonts w:ascii="Arial" w:hAnsi="Arial" w:cs="Arial"/>
          <w:sz w:val="24"/>
          <w:szCs w:val="24"/>
        </w:rPr>
        <w:t>The animal care provided by the Department of Lab Animal Research (LAR) at UTHSCSA is acknowledged. Research was supported by NIH R01 AG050797, R01 AG05431, a grant from the American Heart Association (</w:t>
      </w:r>
      <w:r w:rsidR="00BE1A03" w:rsidRPr="00CE5035">
        <w:rPr>
          <w:rFonts w:ascii="Arial" w:hAnsi="Arial" w:cs="Arial"/>
          <w:sz w:val="24"/>
          <w:szCs w:val="24"/>
        </w:rPr>
        <w:t>15BGIA23220016</w:t>
      </w:r>
      <w:r w:rsidRPr="00CE5035">
        <w:rPr>
          <w:rFonts w:ascii="Arial" w:hAnsi="Arial" w:cs="Arial"/>
          <w:sz w:val="24"/>
          <w:szCs w:val="24"/>
        </w:rPr>
        <w:t xml:space="preserve">) and a grant from the San Antonio Area Foundation. Effort was also supported in part by the San Antonio Nathan Shock Center for Excellence in the Biology of Aging (P30 AG013319) and the San Antonio Claude A. Pepper Older </w:t>
      </w:r>
      <w:r w:rsidR="000C6770" w:rsidRPr="00CE5035">
        <w:rPr>
          <w:rFonts w:ascii="Arial" w:hAnsi="Arial" w:cs="Arial"/>
          <w:sz w:val="24"/>
          <w:szCs w:val="24"/>
        </w:rPr>
        <w:t>Americans Independence Center (</w:t>
      </w:r>
      <w:r w:rsidRPr="00CE5035">
        <w:rPr>
          <w:rFonts w:ascii="Arial" w:hAnsi="Arial" w:cs="Arial"/>
          <w:sz w:val="24"/>
          <w:szCs w:val="24"/>
        </w:rPr>
        <w:t xml:space="preserve">P30 AG044271). ABS was also supported </w:t>
      </w:r>
      <w:r w:rsidR="000C6770" w:rsidRPr="00CE5035">
        <w:rPr>
          <w:rFonts w:ascii="Arial" w:hAnsi="Arial" w:cs="Arial"/>
          <w:sz w:val="24"/>
          <w:szCs w:val="24"/>
        </w:rPr>
        <w:t xml:space="preserve">by the </w:t>
      </w:r>
      <w:r w:rsidRPr="00CE5035">
        <w:rPr>
          <w:rFonts w:ascii="Arial" w:hAnsi="Arial" w:cs="Arial"/>
          <w:sz w:val="24"/>
          <w:szCs w:val="24"/>
        </w:rPr>
        <w:t xml:space="preserve">Geriatric Research, </w:t>
      </w:r>
      <w:r w:rsidRPr="00CE5035">
        <w:rPr>
          <w:rFonts w:ascii="Arial" w:hAnsi="Arial" w:cs="Arial"/>
          <w:sz w:val="24"/>
          <w:szCs w:val="24"/>
        </w:rPr>
        <w:lastRenderedPageBreak/>
        <w:t>Education and Clinical Center of the South Texas Veterans Health Care System. This material is the result of work supported with resources and the use of facilities at South Texas Veterans Health Care System, San Antonio, Texas. The contents do not represent the views of the U.S. Department of Veterans Affairs or the United States Government.</w:t>
      </w:r>
    </w:p>
    <w:p w14:paraId="412D9F6E" w14:textId="77777777" w:rsidR="00314FBC" w:rsidRPr="00CE5035" w:rsidRDefault="00314FBC" w:rsidP="00CE5035">
      <w:pPr>
        <w:spacing w:line="240" w:lineRule="auto"/>
        <w:rPr>
          <w:rFonts w:ascii="Arial" w:hAnsi="Arial" w:cs="Arial"/>
          <w:sz w:val="24"/>
          <w:szCs w:val="24"/>
        </w:rPr>
      </w:pPr>
    </w:p>
    <w:p w14:paraId="41FF3D54" w14:textId="77777777" w:rsidR="00132562" w:rsidRPr="00CE5035" w:rsidRDefault="00F75E40" w:rsidP="00CE5035">
      <w:pPr>
        <w:spacing w:after="0" w:line="240" w:lineRule="auto"/>
        <w:jc w:val="center"/>
        <w:rPr>
          <w:rFonts w:ascii="Arial" w:hAnsi="Arial" w:cs="Arial"/>
          <w:b/>
          <w:noProof/>
          <w:sz w:val="24"/>
          <w:szCs w:val="24"/>
        </w:rPr>
      </w:pPr>
      <w:r w:rsidRPr="00CE5035">
        <w:rPr>
          <w:rFonts w:ascii="Arial" w:hAnsi="Arial" w:cs="Arial"/>
          <w:sz w:val="24"/>
          <w:szCs w:val="24"/>
        </w:rPr>
        <w:fldChar w:fldCharType="begin"/>
      </w:r>
      <w:r w:rsidRPr="00CE5035">
        <w:rPr>
          <w:rFonts w:ascii="Arial" w:hAnsi="Arial" w:cs="Arial"/>
          <w:sz w:val="24"/>
          <w:szCs w:val="24"/>
        </w:rPr>
        <w:instrText xml:space="preserve"> ADDIN EN.REFLIST </w:instrText>
      </w:r>
      <w:r w:rsidRPr="00CE5035">
        <w:rPr>
          <w:rFonts w:ascii="Arial" w:hAnsi="Arial" w:cs="Arial"/>
          <w:sz w:val="24"/>
          <w:szCs w:val="24"/>
        </w:rPr>
        <w:fldChar w:fldCharType="separate"/>
      </w:r>
      <w:r w:rsidR="00132562" w:rsidRPr="00CE5035">
        <w:rPr>
          <w:rFonts w:ascii="Arial" w:hAnsi="Arial" w:cs="Arial"/>
          <w:b/>
          <w:noProof/>
          <w:sz w:val="24"/>
          <w:szCs w:val="24"/>
        </w:rPr>
        <w:t>REFERENCES</w:t>
      </w:r>
    </w:p>
    <w:p w14:paraId="7D0399C3" w14:textId="77777777" w:rsidR="00132562" w:rsidRPr="00CE5035" w:rsidRDefault="00132562" w:rsidP="00CE5035">
      <w:pPr>
        <w:spacing w:after="0" w:line="240" w:lineRule="auto"/>
        <w:jc w:val="center"/>
        <w:rPr>
          <w:rFonts w:ascii="Arial" w:hAnsi="Arial" w:cs="Arial"/>
          <w:b/>
          <w:noProof/>
          <w:sz w:val="24"/>
          <w:szCs w:val="24"/>
        </w:rPr>
      </w:pPr>
    </w:p>
    <w:p w14:paraId="366F390D" w14:textId="77777777" w:rsidR="00132562" w:rsidRPr="00CE5035" w:rsidRDefault="00132562" w:rsidP="00CE5035">
      <w:pPr>
        <w:spacing w:after="0" w:line="240" w:lineRule="auto"/>
        <w:rPr>
          <w:rFonts w:ascii="Arial" w:hAnsi="Arial" w:cs="Arial"/>
          <w:noProof/>
          <w:sz w:val="24"/>
          <w:szCs w:val="24"/>
        </w:rPr>
      </w:pPr>
      <w:bookmarkStart w:id="0" w:name="_ENREF_1"/>
      <w:r w:rsidRPr="00CE5035">
        <w:rPr>
          <w:rFonts w:ascii="Arial" w:hAnsi="Arial" w:cs="Arial"/>
          <w:noProof/>
          <w:sz w:val="24"/>
          <w:szCs w:val="24"/>
        </w:rPr>
        <w:t>1.</w:t>
      </w:r>
      <w:r w:rsidRPr="00CE5035">
        <w:rPr>
          <w:rFonts w:ascii="Arial" w:hAnsi="Arial" w:cs="Arial"/>
          <w:noProof/>
          <w:sz w:val="24"/>
          <w:szCs w:val="24"/>
        </w:rPr>
        <w:tab/>
        <w:t>Schmidt O, Pfanner N, Meisinger C. Mitochondrial protein import: from proteomics to functional mechanisms. Nature reviews Molecular cell biology. 2010;11(9):655-67. doi: 10.1038/nrm2959. PubMed PMID: 20729931.</w:t>
      </w:r>
      <w:bookmarkEnd w:id="0"/>
    </w:p>
    <w:p w14:paraId="7B057196" w14:textId="77777777" w:rsidR="00132562" w:rsidRPr="00CE5035" w:rsidRDefault="00132562" w:rsidP="00CE5035">
      <w:pPr>
        <w:spacing w:after="0" w:line="240" w:lineRule="auto"/>
        <w:rPr>
          <w:rFonts w:ascii="Arial" w:hAnsi="Arial" w:cs="Arial"/>
          <w:noProof/>
          <w:sz w:val="24"/>
          <w:szCs w:val="24"/>
        </w:rPr>
      </w:pPr>
      <w:bookmarkStart w:id="1" w:name="_ENREF_2"/>
      <w:r w:rsidRPr="00CE5035">
        <w:rPr>
          <w:rFonts w:ascii="Arial" w:hAnsi="Arial" w:cs="Arial"/>
          <w:noProof/>
          <w:sz w:val="24"/>
          <w:szCs w:val="24"/>
        </w:rPr>
        <w:t>2.</w:t>
      </w:r>
      <w:r w:rsidRPr="00CE5035">
        <w:rPr>
          <w:rFonts w:ascii="Arial" w:hAnsi="Arial" w:cs="Arial"/>
          <w:noProof/>
          <w:sz w:val="24"/>
          <w:szCs w:val="24"/>
        </w:rPr>
        <w:tab/>
        <w:t>Bender A, Hajieva P, Moosmann B. Adaptive antioxidant methionine accumulation in respiratory chain complexes explains the use of a deviant genetic code in mitochondria. Proceedings of the National Academy of Sciences of the United States of America. 2008;105(43):16496-501. doi: 10.1073/pnas.0802779105. PubMed PMID: 18946048; PubMed Central PMCID: PMC2575448.</w:t>
      </w:r>
      <w:bookmarkEnd w:id="1"/>
    </w:p>
    <w:p w14:paraId="098D2860" w14:textId="77777777" w:rsidR="00132562" w:rsidRPr="00CE5035" w:rsidRDefault="00132562" w:rsidP="00CE5035">
      <w:pPr>
        <w:spacing w:after="0" w:line="240" w:lineRule="auto"/>
        <w:rPr>
          <w:rFonts w:ascii="Arial" w:hAnsi="Arial" w:cs="Arial"/>
          <w:noProof/>
          <w:sz w:val="24"/>
          <w:szCs w:val="24"/>
        </w:rPr>
      </w:pPr>
      <w:bookmarkStart w:id="2" w:name="_ENREF_3"/>
      <w:r w:rsidRPr="00CE5035">
        <w:rPr>
          <w:rFonts w:ascii="Arial" w:hAnsi="Arial" w:cs="Arial"/>
          <w:noProof/>
          <w:sz w:val="24"/>
          <w:szCs w:val="24"/>
        </w:rPr>
        <w:t>3.</w:t>
      </w:r>
      <w:r w:rsidRPr="00CE5035">
        <w:rPr>
          <w:rFonts w:ascii="Arial" w:hAnsi="Arial" w:cs="Arial"/>
          <w:noProof/>
          <w:sz w:val="24"/>
          <w:szCs w:val="24"/>
        </w:rPr>
        <w:tab/>
        <w:t>Moosmann B. Respiratory chain cysteine and methionine usage indicate a causal role for thiyl radicals in aging. Experimental gerontology. 2011;46(2-3):164-9. doi: 10.1016/j.exger.2010.08.034. PubMed PMID: 20850516.</w:t>
      </w:r>
      <w:bookmarkEnd w:id="2"/>
    </w:p>
    <w:p w14:paraId="6FDB86B9" w14:textId="77777777" w:rsidR="00132562" w:rsidRPr="00CE5035" w:rsidRDefault="00132562" w:rsidP="00CE5035">
      <w:pPr>
        <w:spacing w:after="0" w:line="240" w:lineRule="auto"/>
        <w:rPr>
          <w:rFonts w:ascii="Arial" w:hAnsi="Arial" w:cs="Arial"/>
          <w:noProof/>
          <w:sz w:val="24"/>
          <w:szCs w:val="24"/>
        </w:rPr>
      </w:pPr>
      <w:bookmarkStart w:id="3" w:name="_ENREF_4"/>
      <w:r w:rsidRPr="00CE5035">
        <w:rPr>
          <w:rFonts w:ascii="Arial" w:hAnsi="Arial" w:cs="Arial"/>
          <w:noProof/>
          <w:sz w:val="24"/>
          <w:szCs w:val="24"/>
        </w:rPr>
        <w:t>4.</w:t>
      </w:r>
      <w:r w:rsidRPr="00CE5035">
        <w:rPr>
          <w:rFonts w:ascii="Arial" w:hAnsi="Arial" w:cs="Arial"/>
          <w:noProof/>
          <w:sz w:val="24"/>
          <w:szCs w:val="24"/>
        </w:rPr>
        <w:tab/>
        <w:t>Brot N, Weissbach L, Werth J, Weissbach H. Enzymatic reduction of protein-bound methionine sulfoxide. Proceedings of the National Academy of Sciences of the United States of America. 1981;78(4):2155-8. PubMed PMID: 7017726; PubMed Central PMCID: PMC319302.</w:t>
      </w:r>
      <w:bookmarkEnd w:id="3"/>
    </w:p>
    <w:p w14:paraId="3DE22635" w14:textId="77777777" w:rsidR="00132562" w:rsidRPr="00CE5035" w:rsidRDefault="00132562" w:rsidP="00CE5035">
      <w:pPr>
        <w:spacing w:after="0" w:line="240" w:lineRule="auto"/>
        <w:rPr>
          <w:rFonts w:ascii="Arial" w:hAnsi="Arial" w:cs="Arial"/>
          <w:noProof/>
          <w:sz w:val="24"/>
          <w:szCs w:val="24"/>
        </w:rPr>
      </w:pPr>
      <w:bookmarkStart w:id="4" w:name="_ENREF_5"/>
      <w:r w:rsidRPr="00CE5035">
        <w:rPr>
          <w:rFonts w:ascii="Arial" w:hAnsi="Arial" w:cs="Arial"/>
          <w:noProof/>
          <w:sz w:val="24"/>
          <w:szCs w:val="24"/>
        </w:rPr>
        <w:t>5.</w:t>
      </w:r>
      <w:r w:rsidRPr="00CE5035">
        <w:rPr>
          <w:rFonts w:ascii="Arial" w:hAnsi="Arial" w:cs="Arial"/>
          <w:noProof/>
          <w:sz w:val="24"/>
          <w:szCs w:val="24"/>
        </w:rPr>
        <w:tab/>
        <w:t>Lim JC, You Z, Kim G, Levine RL. Methionine sulfoxide reductase A is a stereospecific methionine oxidase. Proceedings of the National Academy of Sciences of the United States of America. 2011;108(26):10472-7. doi: 10.1073/pnas.1101275108. PubMed PMID: 21670260; PubMed Central PMCID: PMC3127874.</w:t>
      </w:r>
      <w:bookmarkEnd w:id="4"/>
    </w:p>
    <w:p w14:paraId="61DDCA21" w14:textId="77777777" w:rsidR="00132562" w:rsidRPr="00CE5035" w:rsidRDefault="00132562" w:rsidP="00CE5035">
      <w:pPr>
        <w:spacing w:after="0" w:line="240" w:lineRule="auto"/>
        <w:rPr>
          <w:rFonts w:ascii="Arial" w:hAnsi="Arial" w:cs="Arial"/>
          <w:noProof/>
          <w:sz w:val="24"/>
          <w:szCs w:val="24"/>
        </w:rPr>
      </w:pPr>
      <w:bookmarkStart w:id="5" w:name="_ENREF_6"/>
      <w:r w:rsidRPr="00CE5035">
        <w:rPr>
          <w:rFonts w:ascii="Arial" w:hAnsi="Arial" w:cs="Arial"/>
          <w:noProof/>
          <w:sz w:val="24"/>
          <w:szCs w:val="24"/>
        </w:rPr>
        <w:t>6.</w:t>
      </w:r>
      <w:r w:rsidRPr="00CE5035">
        <w:rPr>
          <w:rFonts w:ascii="Arial" w:hAnsi="Arial" w:cs="Arial"/>
          <w:noProof/>
          <w:sz w:val="24"/>
          <w:szCs w:val="24"/>
        </w:rPr>
        <w:tab/>
        <w:t>Manta B, Gladyshev VN. Regulated methionine oxidation by monooxygenases. Free radical biology &amp; medicine. 2017;109:141-55. doi: 10.1016/j.freeradbiomed.2017.02.010. PubMed PMID: 28229915; PubMed Central PMCID: PMC5540442.</w:t>
      </w:r>
      <w:bookmarkEnd w:id="5"/>
    </w:p>
    <w:p w14:paraId="61362835" w14:textId="77777777" w:rsidR="00132562" w:rsidRPr="00CE5035" w:rsidRDefault="00132562" w:rsidP="00CE5035">
      <w:pPr>
        <w:spacing w:after="0" w:line="240" w:lineRule="auto"/>
        <w:rPr>
          <w:rFonts w:ascii="Arial" w:hAnsi="Arial" w:cs="Arial"/>
          <w:noProof/>
          <w:sz w:val="24"/>
          <w:szCs w:val="24"/>
        </w:rPr>
      </w:pPr>
      <w:bookmarkStart w:id="6" w:name="_ENREF_7"/>
      <w:r w:rsidRPr="00CE5035">
        <w:rPr>
          <w:rFonts w:ascii="Arial" w:hAnsi="Arial" w:cs="Arial"/>
          <w:noProof/>
          <w:sz w:val="24"/>
          <w:szCs w:val="24"/>
        </w:rPr>
        <w:t>7.</w:t>
      </w:r>
      <w:r w:rsidRPr="00CE5035">
        <w:rPr>
          <w:rFonts w:ascii="Arial" w:hAnsi="Arial" w:cs="Arial"/>
          <w:noProof/>
          <w:sz w:val="24"/>
          <w:szCs w:val="24"/>
        </w:rPr>
        <w:tab/>
        <w:t>Tarrago L, Kaya A, Weerapana E, Marino SM, Gladyshev VN. Methionine sulfoxide reductases preferentially reduce unfolded oxidized proteins and protect cells from oxidative protein unfolding. J Biol Chem. 2012;287(29):24448-59. doi: 10.1074/jbc.M112.374520. PubMed PMID: 22628550; PubMed Central PMCID: PMC3397870.</w:t>
      </w:r>
      <w:bookmarkEnd w:id="6"/>
    </w:p>
    <w:p w14:paraId="1AE62922" w14:textId="77777777" w:rsidR="00132562" w:rsidRPr="00CE5035" w:rsidRDefault="00132562" w:rsidP="00CE5035">
      <w:pPr>
        <w:spacing w:after="0" w:line="240" w:lineRule="auto"/>
        <w:rPr>
          <w:rFonts w:ascii="Arial" w:hAnsi="Arial" w:cs="Arial"/>
          <w:noProof/>
          <w:sz w:val="24"/>
          <w:szCs w:val="24"/>
        </w:rPr>
      </w:pPr>
      <w:bookmarkStart w:id="7" w:name="_ENREF_8"/>
      <w:r w:rsidRPr="00CE5035">
        <w:rPr>
          <w:rFonts w:ascii="Arial" w:hAnsi="Arial" w:cs="Arial"/>
          <w:noProof/>
          <w:sz w:val="24"/>
          <w:szCs w:val="24"/>
        </w:rPr>
        <w:t>8.</w:t>
      </w:r>
      <w:r w:rsidRPr="00CE5035">
        <w:rPr>
          <w:rFonts w:ascii="Arial" w:hAnsi="Arial" w:cs="Arial"/>
          <w:noProof/>
          <w:sz w:val="24"/>
          <w:szCs w:val="24"/>
        </w:rPr>
        <w:tab/>
        <w:t>Fu X, Adams Z, Liu R, Hepowit NL, Wu Y, Bowmann CF, et al. Methionine Sulfoxide Reductase A (MsrA) and Its Function in Ubiquitin-Like Protein Modification in Archaea. MBio. 2017;8(5). doi: 10.1128/mBio.01169-17. PubMed PMID: 28874471; PubMed Central PMCID: PMC5587910.</w:t>
      </w:r>
      <w:bookmarkEnd w:id="7"/>
    </w:p>
    <w:p w14:paraId="2E37F1C2" w14:textId="77777777" w:rsidR="00132562" w:rsidRPr="00CE5035" w:rsidRDefault="00132562" w:rsidP="00CE5035">
      <w:pPr>
        <w:spacing w:after="0" w:line="240" w:lineRule="auto"/>
        <w:rPr>
          <w:rFonts w:ascii="Arial" w:hAnsi="Arial" w:cs="Arial"/>
          <w:noProof/>
          <w:sz w:val="24"/>
          <w:szCs w:val="24"/>
        </w:rPr>
      </w:pPr>
      <w:bookmarkStart w:id="8" w:name="_ENREF_9"/>
      <w:r w:rsidRPr="00CE5035">
        <w:rPr>
          <w:rFonts w:ascii="Arial" w:hAnsi="Arial" w:cs="Arial"/>
          <w:noProof/>
          <w:sz w:val="24"/>
          <w:szCs w:val="24"/>
        </w:rPr>
        <w:t>9.</w:t>
      </w:r>
      <w:r w:rsidRPr="00CE5035">
        <w:rPr>
          <w:rFonts w:ascii="Arial" w:hAnsi="Arial" w:cs="Arial"/>
          <w:noProof/>
          <w:sz w:val="24"/>
          <w:szCs w:val="24"/>
        </w:rPr>
        <w:tab/>
        <w:t>Kaya A, Koc A, Lee BC, Fomenko DE, Rederstorff M, Krol A, et al. Compartmentalization and regulation of mitochondrial function by methionine sulfoxide reductases in yeast. Biochemistry. 2010;49(39):8618-25. doi: 10.1021/bi100908v. PubMed PMID: 20799725; PubMed Central PMCID: PMC3061818.</w:t>
      </w:r>
      <w:bookmarkEnd w:id="8"/>
    </w:p>
    <w:p w14:paraId="6AE82185" w14:textId="77777777" w:rsidR="00132562" w:rsidRPr="00CE5035" w:rsidRDefault="00132562" w:rsidP="00CE5035">
      <w:pPr>
        <w:spacing w:after="0" w:line="240" w:lineRule="auto"/>
        <w:rPr>
          <w:rFonts w:ascii="Arial" w:hAnsi="Arial" w:cs="Arial"/>
          <w:noProof/>
          <w:sz w:val="24"/>
          <w:szCs w:val="24"/>
        </w:rPr>
      </w:pPr>
      <w:bookmarkStart w:id="9" w:name="_ENREF_10"/>
      <w:r w:rsidRPr="00CE5035">
        <w:rPr>
          <w:rFonts w:ascii="Arial" w:hAnsi="Arial" w:cs="Arial"/>
          <w:noProof/>
          <w:sz w:val="24"/>
          <w:szCs w:val="24"/>
        </w:rPr>
        <w:t>10.</w:t>
      </w:r>
      <w:r w:rsidRPr="00CE5035">
        <w:rPr>
          <w:rFonts w:ascii="Arial" w:hAnsi="Arial" w:cs="Arial"/>
          <w:noProof/>
          <w:sz w:val="24"/>
          <w:szCs w:val="24"/>
        </w:rPr>
        <w:tab/>
        <w:t>Dun Y, Vargas J, Brot N, Finnemann SC. Independent roles of methionine sulfoxide reductase A in mitochondrial ATP synthesis and as antioxidant in retinal pigment epithelial cells. Free radical biology &amp; medicine. 2013;65:1340-51. doi: 10.1016/j.freeradbiomed.2013.10.006. PubMed PMID: 24120970; PubMed Central PMCID: PMC3859712.</w:t>
      </w:r>
      <w:bookmarkEnd w:id="9"/>
    </w:p>
    <w:p w14:paraId="37F2854A" w14:textId="77777777" w:rsidR="00132562" w:rsidRPr="00CE5035" w:rsidRDefault="00132562" w:rsidP="00CE5035">
      <w:pPr>
        <w:spacing w:after="0" w:line="240" w:lineRule="auto"/>
        <w:rPr>
          <w:rFonts w:ascii="Arial" w:hAnsi="Arial" w:cs="Arial"/>
          <w:noProof/>
          <w:sz w:val="24"/>
          <w:szCs w:val="24"/>
        </w:rPr>
      </w:pPr>
      <w:bookmarkStart w:id="10" w:name="_ENREF_11"/>
      <w:r w:rsidRPr="00CE5035">
        <w:rPr>
          <w:rFonts w:ascii="Arial" w:hAnsi="Arial" w:cs="Arial"/>
          <w:noProof/>
          <w:sz w:val="24"/>
          <w:szCs w:val="24"/>
        </w:rPr>
        <w:t>11.</w:t>
      </w:r>
      <w:r w:rsidRPr="00CE5035">
        <w:rPr>
          <w:rFonts w:ascii="Arial" w:hAnsi="Arial" w:cs="Arial"/>
          <w:noProof/>
          <w:sz w:val="24"/>
          <w:szCs w:val="24"/>
        </w:rPr>
        <w:tab/>
        <w:t>Moskovitz J, Du F, Bowman CF, Yan SS. Methionine sulfoxide reductase A affects beta-amyloid solubility and mitochondrial function in a mouse model of Alzheimer's disease. American journal of physiology Endocrinology and metabolism. 2016;310(6):E388-93. doi: 10.1152/ajpendo.00453.2015. PubMed PMID: 26786779; PubMed Central PMCID: PMC4796266.</w:t>
      </w:r>
      <w:bookmarkEnd w:id="10"/>
    </w:p>
    <w:p w14:paraId="21FFD249" w14:textId="77777777" w:rsidR="00132562" w:rsidRPr="00CE5035" w:rsidRDefault="00132562" w:rsidP="00CE5035">
      <w:pPr>
        <w:spacing w:after="0" w:line="240" w:lineRule="auto"/>
        <w:rPr>
          <w:rFonts w:ascii="Arial" w:hAnsi="Arial" w:cs="Arial"/>
          <w:noProof/>
          <w:sz w:val="24"/>
          <w:szCs w:val="24"/>
        </w:rPr>
      </w:pPr>
      <w:bookmarkStart w:id="11" w:name="_ENREF_12"/>
      <w:r w:rsidRPr="00CE5035">
        <w:rPr>
          <w:rFonts w:ascii="Arial" w:hAnsi="Arial" w:cs="Arial"/>
          <w:noProof/>
          <w:sz w:val="24"/>
          <w:szCs w:val="24"/>
        </w:rPr>
        <w:t>12.</w:t>
      </w:r>
      <w:r w:rsidRPr="00CE5035">
        <w:rPr>
          <w:rFonts w:ascii="Arial" w:hAnsi="Arial" w:cs="Arial"/>
          <w:noProof/>
          <w:sz w:val="24"/>
          <w:szCs w:val="24"/>
        </w:rPr>
        <w:tab/>
        <w:t xml:space="preserve">Noh MR, Kim KY, Han SJ, Kim JI, Kim HY, Park KM. Methionine Sulfoxide Reductase A Deficiency Exacerbates Cisplatin-Induced Nephrotoxicity via Increased Mitochondrial Damage and </w:t>
      </w:r>
      <w:r w:rsidRPr="00CE5035">
        <w:rPr>
          <w:rFonts w:ascii="Arial" w:hAnsi="Arial" w:cs="Arial"/>
          <w:noProof/>
          <w:sz w:val="24"/>
          <w:szCs w:val="24"/>
        </w:rPr>
        <w:lastRenderedPageBreak/>
        <w:t>Renal Cell Death. Antioxidants &amp; redox signaling. 2017;27(11):727-41. doi: 10.1089/ars.2016.6874. PubMed PMID: 28158949.</w:t>
      </w:r>
      <w:bookmarkEnd w:id="11"/>
    </w:p>
    <w:p w14:paraId="10A1765B" w14:textId="77777777" w:rsidR="00132562" w:rsidRPr="00CE5035" w:rsidRDefault="00132562" w:rsidP="00CE5035">
      <w:pPr>
        <w:spacing w:after="0" w:line="240" w:lineRule="auto"/>
        <w:rPr>
          <w:rFonts w:ascii="Arial" w:hAnsi="Arial" w:cs="Arial"/>
          <w:noProof/>
          <w:sz w:val="24"/>
          <w:szCs w:val="24"/>
        </w:rPr>
      </w:pPr>
      <w:bookmarkStart w:id="12" w:name="_ENREF_13"/>
      <w:r w:rsidRPr="00CE5035">
        <w:rPr>
          <w:rFonts w:ascii="Arial" w:hAnsi="Arial" w:cs="Arial"/>
          <w:noProof/>
          <w:sz w:val="24"/>
          <w:szCs w:val="24"/>
        </w:rPr>
        <w:t>13.</w:t>
      </w:r>
      <w:r w:rsidRPr="00CE5035">
        <w:rPr>
          <w:rFonts w:ascii="Arial" w:hAnsi="Arial" w:cs="Arial"/>
          <w:noProof/>
          <w:sz w:val="24"/>
          <w:szCs w:val="24"/>
        </w:rPr>
        <w:tab/>
        <w:t>Zhao H, Sun J, Deschamps AM, Kim G, Liu C, Murphy E, et al. Myristoylated methionine sulfoxide reductase A protects the heart from ischemia-reperfusion injury. Am J Physiol Heart C. 2011;301(4):H1513-H8. doi: 10.1152/ajpheart.00441.2011.</w:t>
      </w:r>
      <w:bookmarkEnd w:id="12"/>
    </w:p>
    <w:p w14:paraId="67D81A17" w14:textId="77777777" w:rsidR="00132562" w:rsidRPr="00CE5035" w:rsidRDefault="00132562" w:rsidP="00CE5035">
      <w:pPr>
        <w:spacing w:after="0" w:line="240" w:lineRule="auto"/>
        <w:rPr>
          <w:rFonts w:ascii="Arial" w:hAnsi="Arial" w:cs="Arial"/>
          <w:noProof/>
          <w:sz w:val="24"/>
          <w:szCs w:val="24"/>
        </w:rPr>
      </w:pPr>
      <w:bookmarkStart w:id="13" w:name="_ENREF_14"/>
      <w:r w:rsidRPr="00CE5035">
        <w:rPr>
          <w:rFonts w:ascii="Arial" w:hAnsi="Arial" w:cs="Arial"/>
          <w:noProof/>
          <w:sz w:val="24"/>
          <w:szCs w:val="24"/>
        </w:rPr>
        <w:t>14.</w:t>
      </w:r>
      <w:r w:rsidRPr="00CE5035">
        <w:rPr>
          <w:rFonts w:ascii="Arial" w:hAnsi="Arial" w:cs="Arial"/>
          <w:noProof/>
          <w:sz w:val="24"/>
          <w:szCs w:val="24"/>
        </w:rPr>
        <w:tab/>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PMC5099276.</w:t>
      </w:r>
      <w:bookmarkEnd w:id="13"/>
    </w:p>
    <w:p w14:paraId="2D4368BC" w14:textId="77777777" w:rsidR="00132562" w:rsidRPr="00CE5035" w:rsidRDefault="00132562" w:rsidP="00CE5035">
      <w:pPr>
        <w:spacing w:after="0" w:line="240" w:lineRule="auto"/>
        <w:rPr>
          <w:rFonts w:ascii="Arial" w:hAnsi="Arial" w:cs="Arial"/>
          <w:noProof/>
          <w:sz w:val="24"/>
          <w:szCs w:val="24"/>
        </w:rPr>
      </w:pPr>
      <w:bookmarkStart w:id="14" w:name="_ENREF_15"/>
      <w:r w:rsidRPr="00CE5035">
        <w:rPr>
          <w:rFonts w:ascii="Arial" w:hAnsi="Arial" w:cs="Arial"/>
          <w:noProof/>
          <w:sz w:val="24"/>
          <w:szCs w:val="24"/>
        </w:rPr>
        <w:t>15.</w:t>
      </w:r>
      <w:r w:rsidRPr="00CE5035">
        <w:rPr>
          <w:rFonts w:ascii="Arial" w:hAnsi="Arial" w:cs="Arial"/>
          <w:noProof/>
          <w:sz w:val="24"/>
          <w:szCs w:val="24"/>
        </w:rPr>
        <w:tab/>
        <w:t>Styskal J, Nwagwu FA, Watkins YN, Liang H, Richardson A, Musi N, et al. Methionine sulfoxide reductase A affects insulin resistance by protecting insulin receptor function. Free radical biology &amp; medicine. 2013;56:123-32. doi: 10.1016/j.freeradbiomed.2012.10.544. PubMed PMID: 23089224; PubMed Central PMCID: PMC3578155.</w:t>
      </w:r>
      <w:bookmarkEnd w:id="14"/>
    </w:p>
    <w:p w14:paraId="0B18F093" w14:textId="77777777" w:rsidR="00132562" w:rsidRPr="00CE5035" w:rsidRDefault="00132562" w:rsidP="00CE5035">
      <w:pPr>
        <w:spacing w:after="0" w:line="240" w:lineRule="auto"/>
        <w:rPr>
          <w:rFonts w:ascii="Arial" w:hAnsi="Arial" w:cs="Arial"/>
          <w:noProof/>
          <w:sz w:val="24"/>
          <w:szCs w:val="24"/>
        </w:rPr>
      </w:pPr>
      <w:bookmarkStart w:id="15" w:name="_ENREF_16"/>
      <w:r w:rsidRPr="00CE5035">
        <w:rPr>
          <w:rFonts w:ascii="Arial" w:hAnsi="Arial" w:cs="Arial"/>
          <w:noProof/>
          <w:sz w:val="24"/>
          <w:szCs w:val="24"/>
        </w:rPr>
        <w:t>16.</w:t>
      </w:r>
      <w:r w:rsidRPr="00CE5035">
        <w:rPr>
          <w:rFonts w:ascii="Arial" w:hAnsi="Arial" w:cs="Arial"/>
          <w:noProof/>
          <w:sz w:val="24"/>
          <w:szCs w:val="24"/>
        </w:rPr>
        <w:tab/>
        <w:t>Hunnicut J, Liu Y, Richardson A, Salmon AB. MsrA Overexpression Targeted to the Mitochondria, but Not Cytosol, Preserves Insulin Sensitivity in Diet-Induced Obese Mice. PLoS One. 2015;10(10):e0139844. doi: 10.1371/journal.pone.0139844. PubMed PMID: 26448611; PubMed Central PMCID: PMC4598006.</w:t>
      </w:r>
      <w:bookmarkEnd w:id="15"/>
    </w:p>
    <w:p w14:paraId="2DA0A979" w14:textId="77777777" w:rsidR="00132562" w:rsidRPr="00CE5035" w:rsidRDefault="00132562" w:rsidP="00CE5035">
      <w:pPr>
        <w:spacing w:after="0" w:line="240" w:lineRule="auto"/>
        <w:rPr>
          <w:rFonts w:ascii="Arial" w:hAnsi="Arial" w:cs="Arial"/>
          <w:noProof/>
          <w:sz w:val="24"/>
          <w:szCs w:val="24"/>
        </w:rPr>
      </w:pPr>
      <w:bookmarkStart w:id="16" w:name="_ENREF_17"/>
      <w:r w:rsidRPr="00CE5035">
        <w:rPr>
          <w:rFonts w:ascii="Arial" w:hAnsi="Arial" w:cs="Arial"/>
          <w:noProof/>
          <w:sz w:val="24"/>
          <w:szCs w:val="24"/>
        </w:rPr>
        <w:t>17.</w:t>
      </w:r>
      <w:r w:rsidRPr="00CE5035">
        <w:rPr>
          <w:rFonts w:ascii="Arial" w:hAnsi="Arial" w:cs="Arial"/>
          <w:noProof/>
          <w:sz w:val="24"/>
          <w:szCs w:val="24"/>
        </w:rPr>
        <w:tab/>
        <w:t>Pulliam DA, Deepa SS, Liu Y, Hill S, Lin A-L, Bhattacharya A, et al. Complex IV Deficient Surf1(−/−) Mice Initiate Mitochondrial Stress Responses. The Biochemical journal. 2014;462(2):359-71. doi: 10.1042/BJ20140291. PubMed PMID: PMC4145821.</w:t>
      </w:r>
      <w:bookmarkEnd w:id="16"/>
    </w:p>
    <w:p w14:paraId="174CF4B0" w14:textId="77777777" w:rsidR="00132562" w:rsidRPr="00CE5035" w:rsidRDefault="00132562" w:rsidP="00CE5035">
      <w:pPr>
        <w:spacing w:after="0" w:line="240" w:lineRule="auto"/>
        <w:rPr>
          <w:rFonts w:ascii="Arial" w:hAnsi="Arial" w:cs="Arial"/>
          <w:noProof/>
          <w:sz w:val="24"/>
          <w:szCs w:val="24"/>
        </w:rPr>
      </w:pPr>
      <w:bookmarkStart w:id="17" w:name="_ENREF_18"/>
      <w:r w:rsidRPr="00CE5035">
        <w:rPr>
          <w:rFonts w:ascii="Arial" w:hAnsi="Arial" w:cs="Arial"/>
          <w:noProof/>
          <w:sz w:val="24"/>
          <w:szCs w:val="24"/>
        </w:rPr>
        <w:t>18.</w:t>
      </w:r>
      <w:r w:rsidRPr="00CE5035">
        <w:rPr>
          <w:rFonts w:ascii="Arial" w:hAnsi="Arial" w:cs="Arial"/>
          <w:noProof/>
          <w:sz w:val="24"/>
          <w:szCs w:val="24"/>
        </w:rPr>
        <w:tab/>
        <w:t>Lustgarten MS, Jang YC, Liu Y, Muller FL, Qi W, Steinhelper M, et al. Conditional knockout of Mn-SOD targeted to type IIB skeletal muscle fibers increases oxidative stress and is sufficient to alter aerobic exercise capacity. American Journal of Physiology - Cell Physiology. 2009;297(6):C1520-C32. doi: 10.1152/ajpcell.00372.2009. PubMed PMID: PMC2793066.</w:t>
      </w:r>
      <w:bookmarkEnd w:id="17"/>
    </w:p>
    <w:p w14:paraId="379F7645" w14:textId="77777777" w:rsidR="00132562" w:rsidRPr="00CE5035" w:rsidRDefault="00132562" w:rsidP="00CE5035">
      <w:pPr>
        <w:spacing w:after="0" w:line="240" w:lineRule="auto"/>
        <w:rPr>
          <w:rFonts w:ascii="Arial" w:hAnsi="Arial" w:cs="Arial"/>
          <w:noProof/>
          <w:sz w:val="24"/>
          <w:szCs w:val="24"/>
        </w:rPr>
      </w:pPr>
      <w:bookmarkStart w:id="18" w:name="_ENREF_19"/>
      <w:r w:rsidRPr="00CE5035">
        <w:rPr>
          <w:rFonts w:ascii="Arial" w:hAnsi="Arial" w:cs="Arial"/>
          <w:noProof/>
          <w:sz w:val="24"/>
          <w:szCs w:val="24"/>
        </w:rPr>
        <w:t>19.</w:t>
      </w:r>
      <w:r w:rsidRPr="00CE5035">
        <w:rPr>
          <w:rFonts w:ascii="Arial" w:hAnsi="Arial" w:cs="Arial"/>
          <w:noProof/>
          <w:sz w:val="24"/>
          <w:szCs w:val="24"/>
        </w:rPr>
        <w:tab/>
        <w:t>Gardner PR, Raineri I, Epstein LB, White CW. Superoxide Radical and Iron Modulate Aconitase Activity in Mammalian Cells. Journal of Biological Chemistry. 1995;270(22):13399-405. doi: 10.1074/jbc.270.22.13399.</w:t>
      </w:r>
      <w:bookmarkEnd w:id="18"/>
    </w:p>
    <w:p w14:paraId="0E86B7CC" w14:textId="77777777" w:rsidR="00132562" w:rsidRPr="00CE5035" w:rsidRDefault="00132562" w:rsidP="00CE5035">
      <w:pPr>
        <w:spacing w:after="0" w:line="240" w:lineRule="auto"/>
        <w:rPr>
          <w:rFonts w:ascii="Arial" w:hAnsi="Arial" w:cs="Arial"/>
          <w:noProof/>
          <w:sz w:val="24"/>
          <w:szCs w:val="24"/>
        </w:rPr>
      </w:pPr>
      <w:bookmarkStart w:id="19" w:name="_ENREF_20"/>
      <w:r w:rsidRPr="00CE5035">
        <w:rPr>
          <w:rFonts w:ascii="Arial" w:hAnsi="Arial" w:cs="Arial"/>
          <w:noProof/>
          <w:sz w:val="24"/>
          <w:szCs w:val="24"/>
        </w:rPr>
        <w:t>20.</w:t>
      </w:r>
      <w:r w:rsidRPr="00CE5035">
        <w:rPr>
          <w:rFonts w:ascii="Arial" w:hAnsi="Arial" w:cs="Arial"/>
          <w:noProof/>
          <w:sz w:val="24"/>
          <w:szCs w:val="24"/>
        </w:rPr>
        <w:tab/>
        <w:t>Levine RL, Mosoni L, Berlett BS, Stadtman ER. Methionine residues as endogenous antioxidants in proteins. Proceedings of the National Academy of Sciences of the United States of America. 1996;93(26):15036-40. PubMed PMID: PMC26351.</w:t>
      </w:r>
      <w:bookmarkEnd w:id="19"/>
    </w:p>
    <w:p w14:paraId="42A09463" w14:textId="77777777" w:rsidR="00132562" w:rsidRPr="00CE5035" w:rsidRDefault="00132562" w:rsidP="00CE5035">
      <w:pPr>
        <w:spacing w:after="0" w:line="240" w:lineRule="auto"/>
        <w:rPr>
          <w:rFonts w:ascii="Arial" w:hAnsi="Arial" w:cs="Arial"/>
          <w:noProof/>
          <w:sz w:val="24"/>
          <w:szCs w:val="24"/>
        </w:rPr>
      </w:pPr>
      <w:bookmarkStart w:id="20" w:name="_ENREF_21"/>
      <w:r w:rsidRPr="00CE5035">
        <w:rPr>
          <w:rFonts w:ascii="Arial" w:hAnsi="Arial" w:cs="Arial"/>
          <w:noProof/>
          <w:sz w:val="24"/>
          <w:szCs w:val="24"/>
        </w:rPr>
        <w:t>21.</w:t>
      </w:r>
      <w:r w:rsidRPr="00CE5035">
        <w:rPr>
          <w:rFonts w:ascii="Arial" w:hAnsi="Arial" w:cs="Arial"/>
          <w:noProof/>
          <w:sz w:val="24"/>
          <w:szCs w:val="24"/>
        </w:rPr>
        <w:tab/>
        <w:t>Martin DR, Matyushov DV. Electron-transfer chain in respiratory complex I. Scientific reports. 2017;7(1):5495. doi: 10.1038/s41598-017-05779-y. PubMed PMID: 28710385; PubMed Central PMCID: PMC5511282.</w:t>
      </w:r>
      <w:bookmarkEnd w:id="20"/>
    </w:p>
    <w:p w14:paraId="5B070D3F" w14:textId="77777777" w:rsidR="00132562" w:rsidRPr="00CE5035" w:rsidRDefault="00132562" w:rsidP="00CE5035">
      <w:pPr>
        <w:spacing w:after="0" w:line="240" w:lineRule="auto"/>
        <w:rPr>
          <w:rFonts w:ascii="Arial" w:hAnsi="Arial" w:cs="Arial"/>
          <w:noProof/>
          <w:sz w:val="24"/>
          <w:szCs w:val="24"/>
        </w:rPr>
      </w:pPr>
      <w:bookmarkStart w:id="21" w:name="_ENREF_22"/>
      <w:r w:rsidRPr="00CE5035">
        <w:rPr>
          <w:rFonts w:ascii="Arial" w:hAnsi="Arial" w:cs="Arial"/>
          <w:noProof/>
          <w:sz w:val="24"/>
          <w:szCs w:val="24"/>
        </w:rPr>
        <w:t>22.</w:t>
      </w:r>
      <w:r w:rsidRPr="00CE5035">
        <w:rPr>
          <w:rFonts w:ascii="Arial" w:hAnsi="Arial" w:cs="Arial"/>
          <w:noProof/>
          <w:sz w:val="24"/>
          <w:szCs w:val="24"/>
        </w:rPr>
        <w:tab/>
        <w:t>Fazakerley DJ, Minard AY, Krycer JR, Thomas KC, Stöckli J, Harney DJ, et al. Mitochondrial oxidative stress causes insulin resistance without disrupting oxidative phosphorylation. Journal of Biological Chemistry. 2018;293(19):7315-28. doi: 10.1074/jbc.RA117.001254.</w:t>
      </w:r>
      <w:bookmarkEnd w:id="21"/>
    </w:p>
    <w:p w14:paraId="78275AFF" w14:textId="77777777" w:rsidR="00132562" w:rsidRPr="00CE5035" w:rsidRDefault="00132562" w:rsidP="00CE5035">
      <w:pPr>
        <w:spacing w:after="0" w:line="240" w:lineRule="auto"/>
        <w:rPr>
          <w:rFonts w:ascii="Arial" w:hAnsi="Arial" w:cs="Arial"/>
          <w:noProof/>
          <w:sz w:val="24"/>
          <w:szCs w:val="24"/>
        </w:rPr>
      </w:pPr>
      <w:bookmarkStart w:id="22" w:name="_ENREF_23"/>
      <w:r w:rsidRPr="00CE5035">
        <w:rPr>
          <w:rFonts w:ascii="Arial" w:hAnsi="Arial" w:cs="Arial"/>
          <w:noProof/>
          <w:sz w:val="24"/>
          <w:szCs w:val="24"/>
        </w:rPr>
        <w:t>23.</w:t>
      </w:r>
      <w:r w:rsidRPr="00CE5035">
        <w:rPr>
          <w:rFonts w:ascii="Arial" w:hAnsi="Arial" w:cs="Arial"/>
          <w:noProof/>
          <w:sz w:val="24"/>
          <w:szCs w:val="24"/>
        </w:rPr>
        <w:tab/>
        <w:t>Lee S, Tak E, Lee J, Rashid MA, Murphy MP, Ha J, et al. Mitochondrial H2O2 generated from electron transport chain complex I stimulates muscle differentiation. Cell research. 2011;21(5):817-34. doi: 10.1038/cr.2011.55. PubMed PMID: 21445095; PubMed Central PMCID: PMC3203677.</w:t>
      </w:r>
      <w:bookmarkEnd w:id="22"/>
    </w:p>
    <w:p w14:paraId="1D9CBA77" w14:textId="77777777" w:rsidR="00132562" w:rsidRPr="00CE5035" w:rsidRDefault="00132562" w:rsidP="00CE5035">
      <w:pPr>
        <w:spacing w:after="0" w:line="240" w:lineRule="auto"/>
        <w:rPr>
          <w:rFonts w:ascii="Arial" w:hAnsi="Arial" w:cs="Arial"/>
          <w:noProof/>
          <w:sz w:val="24"/>
          <w:szCs w:val="24"/>
        </w:rPr>
      </w:pPr>
      <w:bookmarkStart w:id="23" w:name="_ENREF_24"/>
      <w:r w:rsidRPr="00CE5035">
        <w:rPr>
          <w:rFonts w:ascii="Arial" w:hAnsi="Arial" w:cs="Arial"/>
          <w:noProof/>
          <w:sz w:val="24"/>
          <w:szCs w:val="24"/>
        </w:rPr>
        <w:t>24.</w:t>
      </w:r>
      <w:r w:rsidRPr="00CE5035">
        <w:rPr>
          <w:rFonts w:ascii="Arial" w:hAnsi="Arial" w:cs="Arial"/>
          <w:noProof/>
          <w:sz w:val="24"/>
          <w:szCs w:val="24"/>
        </w:rPr>
        <w:tab/>
        <w:t>Pi J, Bai Y, Zhang Q, Wong V, Floering LM, Daniel K, et al. Reactive Oxygen Species as a Signal in Glucose-Stimulated Insulin Secretion. Diabetes. 2007;56(7):1783.</w:t>
      </w:r>
      <w:bookmarkEnd w:id="23"/>
    </w:p>
    <w:p w14:paraId="0F1F0D91" w14:textId="77777777" w:rsidR="00132562" w:rsidRPr="00CE5035" w:rsidRDefault="00132562" w:rsidP="00CE5035">
      <w:pPr>
        <w:spacing w:after="0" w:line="240" w:lineRule="auto"/>
        <w:rPr>
          <w:rFonts w:ascii="Arial" w:hAnsi="Arial" w:cs="Arial"/>
          <w:noProof/>
          <w:sz w:val="24"/>
          <w:szCs w:val="24"/>
        </w:rPr>
      </w:pPr>
      <w:bookmarkStart w:id="24" w:name="_ENREF_25"/>
      <w:r w:rsidRPr="00CE5035">
        <w:rPr>
          <w:rFonts w:ascii="Arial" w:hAnsi="Arial" w:cs="Arial"/>
          <w:noProof/>
          <w:sz w:val="24"/>
          <w:szCs w:val="24"/>
        </w:rPr>
        <w:t>25.</w:t>
      </w:r>
      <w:r w:rsidRPr="00CE5035">
        <w:rPr>
          <w:rFonts w:ascii="Arial" w:hAnsi="Arial" w:cs="Arial"/>
          <w:noProof/>
          <w:sz w:val="24"/>
          <w:szCs w:val="24"/>
        </w:rPr>
        <w:tab/>
        <w:t>Edrey YH, Salmon AB. Revisiting an age-old question regarding oxidative stress. Free radical biology &amp; medicine. 2014;71:368-78. doi: 10.1016/j.freeradbiomed.2014.03.038. PubMed PMID: 24704971; PubMed Central PMCID: PMC4049226.</w:t>
      </w:r>
      <w:bookmarkEnd w:id="24"/>
    </w:p>
    <w:p w14:paraId="361A4658" w14:textId="77777777" w:rsidR="00132562" w:rsidRPr="00CE5035" w:rsidRDefault="00132562" w:rsidP="00CE5035">
      <w:pPr>
        <w:spacing w:after="0" w:line="240" w:lineRule="auto"/>
        <w:rPr>
          <w:rFonts w:ascii="Arial" w:hAnsi="Arial" w:cs="Arial"/>
          <w:noProof/>
          <w:sz w:val="24"/>
          <w:szCs w:val="24"/>
        </w:rPr>
      </w:pPr>
      <w:bookmarkStart w:id="25" w:name="_ENREF_26"/>
      <w:r w:rsidRPr="00CE5035">
        <w:rPr>
          <w:rFonts w:ascii="Arial" w:hAnsi="Arial" w:cs="Arial"/>
          <w:noProof/>
          <w:sz w:val="24"/>
          <w:szCs w:val="24"/>
        </w:rPr>
        <w:t>26.</w:t>
      </w:r>
      <w:r w:rsidRPr="00CE5035">
        <w:rPr>
          <w:rFonts w:ascii="Arial" w:hAnsi="Arial" w:cs="Arial"/>
          <w:noProof/>
          <w:sz w:val="24"/>
          <w:szCs w:val="24"/>
        </w:rPr>
        <w:tab/>
        <w:t>Cunningham GM, Flores LC, Roman MG, Cheng C, Dube S, Allen C, et al. Thioredoxin overexpression in both the cytosol and mitochondria accelerates age-related disease and shortens lifespan in male C57BL/6 mice. GeroScience. 2018. doi: 10.1007/s11357-018-0039-6. PubMed PMID: 30121784.</w:t>
      </w:r>
      <w:bookmarkEnd w:id="25"/>
    </w:p>
    <w:p w14:paraId="58F98091" w14:textId="77777777" w:rsidR="00132562" w:rsidRPr="00CE5035" w:rsidRDefault="00132562" w:rsidP="00CE5035">
      <w:pPr>
        <w:spacing w:after="0" w:line="240" w:lineRule="auto"/>
        <w:rPr>
          <w:rFonts w:ascii="Arial" w:hAnsi="Arial" w:cs="Arial"/>
          <w:noProof/>
          <w:sz w:val="24"/>
          <w:szCs w:val="24"/>
        </w:rPr>
      </w:pPr>
      <w:bookmarkStart w:id="26" w:name="_ENREF_27"/>
      <w:r w:rsidRPr="00CE5035">
        <w:rPr>
          <w:rFonts w:ascii="Arial" w:hAnsi="Arial" w:cs="Arial"/>
          <w:noProof/>
          <w:sz w:val="24"/>
          <w:szCs w:val="24"/>
        </w:rPr>
        <w:t>27.</w:t>
      </w:r>
      <w:r w:rsidRPr="00CE5035">
        <w:rPr>
          <w:rFonts w:ascii="Arial" w:hAnsi="Arial" w:cs="Arial"/>
          <w:noProof/>
          <w:sz w:val="24"/>
          <w:szCs w:val="24"/>
        </w:rPr>
        <w:tab/>
        <w:t>Schriner SE, Linford NJ, Martin GM, Treuting P, Ogburn CE, Emond M, et al. Extension of murine life span by overexpression of catalase targeted to mitochondria. Science. 2005;308(5730):1909-11. doi: 10.1126/science.1106653. PubMed PMID: 15879174.</w:t>
      </w:r>
      <w:bookmarkEnd w:id="26"/>
    </w:p>
    <w:p w14:paraId="6616DB7A" w14:textId="77777777" w:rsidR="00132562" w:rsidRPr="00CE5035" w:rsidRDefault="00132562" w:rsidP="00CE5035">
      <w:pPr>
        <w:spacing w:after="0" w:line="240" w:lineRule="auto"/>
        <w:rPr>
          <w:rFonts w:ascii="Arial" w:hAnsi="Arial" w:cs="Arial"/>
          <w:noProof/>
          <w:sz w:val="24"/>
          <w:szCs w:val="24"/>
        </w:rPr>
      </w:pPr>
      <w:bookmarkStart w:id="27" w:name="_ENREF_28"/>
      <w:r w:rsidRPr="00CE5035">
        <w:rPr>
          <w:rFonts w:ascii="Arial" w:hAnsi="Arial" w:cs="Arial"/>
          <w:noProof/>
          <w:sz w:val="24"/>
          <w:szCs w:val="24"/>
        </w:rPr>
        <w:lastRenderedPageBreak/>
        <w:t>28.</w:t>
      </w:r>
      <w:r w:rsidRPr="00CE5035">
        <w:rPr>
          <w:rFonts w:ascii="Arial" w:hAnsi="Arial" w:cs="Arial"/>
          <w:noProof/>
          <w:sz w:val="24"/>
          <w:szCs w:val="24"/>
        </w:rPr>
        <w:tab/>
        <w:t>Kaeberlein M. How healthy is the healthspan concept? GeroScience. 2018. doi: 10.1007/s11357-018-0036-9.</w:t>
      </w:r>
      <w:bookmarkEnd w:id="27"/>
    </w:p>
    <w:p w14:paraId="07AC77C2" w14:textId="77777777" w:rsidR="00132562" w:rsidRPr="00CE5035" w:rsidRDefault="00132562" w:rsidP="00CE5035">
      <w:pPr>
        <w:spacing w:after="0" w:line="240" w:lineRule="auto"/>
        <w:rPr>
          <w:rFonts w:ascii="Arial" w:hAnsi="Arial" w:cs="Arial"/>
          <w:noProof/>
          <w:sz w:val="24"/>
          <w:szCs w:val="24"/>
        </w:rPr>
      </w:pPr>
      <w:bookmarkStart w:id="28" w:name="_ENREF_29"/>
      <w:r w:rsidRPr="00CE5035">
        <w:rPr>
          <w:rFonts w:ascii="Arial" w:hAnsi="Arial" w:cs="Arial"/>
          <w:noProof/>
          <w:sz w:val="24"/>
          <w:szCs w:val="24"/>
        </w:rPr>
        <w:t>29.</w:t>
      </w:r>
      <w:r w:rsidRPr="00CE5035">
        <w:rPr>
          <w:rFonts w:ascii="Arial" w:hAnsi="Arial" w:cs="Arial"/>
          <w:noProof/>
          <w:sz w:val="24"/>
          <w:szCs w:val="24"/>
        </w:rPr>
        <w:tab/>
        <w:t>Davies JMS, Cillard J, Friguet B, Cadenas E, Cadet J, Cayce R, et al. The Oxygen Paradox, the French Paradox, and age-related diseases. GeroScience. 2017;39(5-6):499-550. doi: 10.1007/s11357-017-0002-y. PubMed PMID: PMC5745211.</w:t>
      </w:r>
      <w:bookmarkEnd w:id="28"/>
    </w:p>
    <w:p w14:paraId="5475F2EA" w14:textId="77777777" w:rsidR="00132562" w:rsidRPr="00CE5035" w:rsidRDefault="00132562" w:rsidP="00CE5035">
      <w:pPr>
        <w:spacing w:after="0" w:line="240" w:lineRule="auto"/>
        <w:rPr>
          <w:rFonts w:ascii="Arial" w:hAnsi="Arial" w:cs="Arial"/>
          <w:noProof/>
          <w:sz w:val="24"/>
          <w:szCs w:val="24"/>
        </w:rPr>
      </w:pPr>
      <w:bookmarkStart w:id="29" w:name="_ENREF_30"/>
      <w:r w:rsidRPr="00CE5035">
        <w:rPr>
          <w:rFonts w:ascii="Arial" w:hAnsi="Arial" w:cs="Arial"/>
          <w:noProof/>
          <w:sz w:val="24"/>
          <w:szCs w:val="24"/>
        </w:rPr>
        <w:t>30.</w:t>
      </w:r>
      <w:r w:rsidRPr="00CE5035">
        <w:rPr>
          <w:rFonts w:ascii="Arial" w:hAnsi="Arial" w:cs="Arial"/>
          <w:noProof/>
          <w:sz w:val="24"/>
          <w:szCs w:val="24"/>
        </w:rPr>
        <w:tab/>
        <w:t>Deepa SS, Bhaskaran S, Espinoza S, Brooks SV, McArdle A, Jackson MJ, et al. A new mouse model of frailty: the Cu/Zn superoxide dismutase knockout mouse. GeroScience. 2017;39(2):187-98. doi: 10.1007/s11357-017-9975-9. PubMed PMID: PMC5411367.</w:t>
      </w:r>
      <w:bookmarkEnd w:id="29"/>
    </w:p>
    <w:p w14:paraId="1F253E70" w14:textId="77777777" w:rsidR="00132562" w:rsidRPr="00CE5035" w:rsidRDefault="00132562" w:rsidP="00CE5035">
      <w:pPr>
        <w:spacing w:after="0" w:line="240" w:lineRule="auto"/>
        <w:rPr>
          <w:rFonts w:ascii="Arial" w:hAnsi="Arial" w:cs="Arial"/>
          <w:noProof/>
          <w:sz w:val="24"/>
          <w:szCs w:val="24"/>
        </w:rPr>
      </w:pPr>
      <w:bookmarkStart w:id="30" w:name="_ENREF_31"/>
      <w:r w:rsidRPr="00CE5035">
        <w:rPr>
          <w:rFonts w:ascii="Arial" w:hAnsi="Arial" w:cs="Arial"/>
          <w:noProof/>
          <w:sz w:val="24"/>
          <w:szCs w:val="24"/>
        </w:rPr>
        <w:t>31.</w:t>
      </w:r>
      <w:r w:rsidRPr="00CE5035">
        <w:rPr>
          <w:rFonts w:ascii="Arial" w:hAnsi="Arial" w:cs="Arial"/>
          <w:noProof/>
          <w:sz w:val="24"/>
          <w:szCs w:val="24"/>
        </w:rPr>
        <w:tab/>
        <w:t>Snider TA, Richardson A, Stoner JA, Deepa SS. The Geropathology Grading Platform demonstrates that mice null for Cu/Zn-superoxide dismutase show accelerated biological aging. GeroScience. 2018;40(2):97-103. doi: 10.1007/s11357-018-0008-0. PubMed PMID: PMC5964058.</w:t>
      </w:r>
      <w:bookmarkEnd w:id="30"/>
    </w:p>
    <w:p w14:paraId="0C106BD4" w14:textId="77777777" w:rsidR="00132562" w:rsidRPr="00CE5035" w:rsidRDefault="00132562" w:rsidP="00CE5035">
      <w:pPr>
        <w:spacing w:after="0" w:line="240" w:lineRule="auto"/>
        <w:rPr>
          <w:rFonts w:ascii="Arial" w:hAnsi="Arial" w:cs="Arial"/>
          <w:noProof/>
          <w:sz w:val="24"/>
          <w:szCs w:val="24"/>
        </w:rPr>
      </w:pPr>
      <w:bookmarkStart w:id="31" w:name="_ENREF_32"/>
      <w:r w:rsidRPr="00CE5035">
        <w:rPr>
          <w:rFonts w:ascii="Arial" w:hAnsi="Arial" w:cs="Arial"/>
          <w:noProof/>
          <w:sz w:val="24"/>
          <w:szCs w:val="24"/>
        </w:rPr>
        <w:t>32.</w:t>
      </w:r>
      <w:r w:rsidRPr="00CE5035">
        <w:rPr>
          <w:rFonts w:ascii="Arial" w:hAnsi="Arial" w:cs="Arial"/>
          <w:noProof/>
          <w:sz w:val="24"/>
          <w:szCs w:val="24"/>
        </w:rPr>
        <w:tab/>
        <w:t>Zhao H, Sun J, Deschamps AM, Kim G, Liu C, Murphy E, et al. Myristoylated methionine sulfoxide reductase A protects the heart from ischemia-reperfusion injury. American Journal of Physiology - Heart and Circulatory Physiology. 2011;301(4):H1513-H8. doi: 10.1152/ajpheart.00441.2011. PubMed PMID: PMC3197367.</w:t>
      </w:r>
      <w:bookmarkEnd w:id="31"/>
    </w:p>
    <w:p w14:paraId="453E908C" w14:textId="77777777" w:rsidR="00132562" w:rsidRPr="00CE5035" w:rsidRDefault="00132562" w:rsidP="00CE5035">
      <w:pPr>
        <w:spacing w:after="0" w:line="240" w:lineRule="auto"/>
        <w:rPr>
          <w:rFonts w:ascii="Arial" w:hAnsi="Arial" w:cs="Arial"/>
          <w:noProof/>
          <w:sz w:val="24"/>
          <w:szCs w:val="24"/>
        </w:rPr>
      </w:pPr>
      <w:bookmarkStart w:id="32" w:name="_ENREF_33"/>
      <w:r w:rsidRPr="00CE5035">
        <w:rPr>
          <w:rFonts w:ascii="Arial" w:hAnsi="Arial" w:cs="Arial"/>
          <w:noProof/>
          <w:sz w:val="24"/>
          <w:szCs w:val="24"/>
        </w:rPr>
        <w:t>33.</w:t>
      </w:r>
      <w:r w:rsidRPr="00CE5035">
        <w:rPr>
          <w:rFonts w:ascii="Arial" w:hAnsi="Arial" w:cs="Arial"/>
          <w:noProof/>
          <w:sz w:val="24"/>
          <w:szCs w:val="24"/>
        </w:rPr>
        <w:tab/>
        <w:t>Lee BC, Peterfi Z, Hoffmann FW, Moore RE, Kaya A, Avanesov A, et al. MsrB1 and MICALs regulate actin assembly and macrophage function via reversible stereoselective methionine oxidation. Molecular cell. 2013;51(3):397-404. doi: 10.1016/j.molcel.2013.06.019. PubMed PMID: 23911929; PubMed Central PMCID: PMC4262529.</w:t>
      </w:r>
      <w:bookmarkEnd w:id="32"/>
    </w:p>
    <w:p w14:paraId="44D68B71" w14:textId="77777777" w:rsidR="00132562" w:rsidRPr="00CE5035" w:rsidRDefault="00132562" w:rsidP="00CE5035">
      <w:pPr>
        <w:spacing w:after="0" w:line="240" w:lineRule="auto"/>
        <w:rPr>
          <w:rFonts w:ascii="Arial" w:hAnsi="Arial" w:cs="Arial"/>
          <w:noProof/>
          <w:sz w:val="24"/>
          <w:szCs w:val="24"/>
        </w:rPr>
      </w:pPr>
      <w:bookmarkStart w:id="33" w:name="_ENREF_34"/>
      <w:r w:rsidRPr="00CE5035">
        <w:rPr>
          <w:rFonts w:ascii="Arial" w:hAnsi="Arial" w:cs="Arial"/>
          <w:noProof/>
          <w:sz w:val="24"/>
          <w:szCs w:val="24"/>
        </w:rPr>
        <w:t>34.</w:t>
      </w:r>
      <w:r w:rsidRPr="00CE5035">
        <w:rPr>
          <w:rFonts w:ascii="Arial" w:hAnsi="Arial" w:cs="Arial"/>
          <w:noProof/>
          <w:sz w:val="24"/>
          <w:szCs w:val="24"/>
        </w:rPr>
        <w:tab/>
        <w:t>Olecka M, Huse K, Platzer M. The high degree of cystathionine beta-synthase (CBS) activation by S-adenosylmethionine (SAM) may explain naked mole-rat's distinct methionine metabolite profile compared to mouse. GeroScience. 2018. doi: 10.1007/s11357-018-0035-x. PubMed PMID: 30088182.</w:t>
      </w:r>
      <w:bookmarkEnd w:id="33"/>
    </w:p>
    <w:p w14:paraId="796C5309" w14:textId="77777777" w:rsidR="00132562" w:rsidRPr="00CE5035" w:rsidRDefault="00132562" w:rsidP="00CE5035">
      <w:pPr>
        <w:spacing w:after="0" w:line="240" w:lineRule="auto"/>
        <w:rPr>
          <w:rFonts w:ascii="Arial" w:hAnsi="Arial" w:cs="Arial"/>
          <w:noProof/>
          <w:sz w:val="24"/>
          <w:szCs w:val="24"/>
        </w:rPr>
      </w:pPr>
      <w:bookmarkStart w:id="34" w:name="_ENREF_35"/>
      <w:r w:rsidRPr="00CE5035">
        <w:rPr>
          <w:rFonts w:ascii="Arial" w:hAnsi="Arial" w:cs="Arial"/>
          <w:noProof/>
          <w:sz w:val="24"/>
          <w:szCs w:val="24"/>
        </w:rPr>
        <w:t>35.</w:t>
      </w:r>
      <w:r w:rsidRPr="00CE5035">
        <w:rPr>
          <w:rFonts w:ascii="Arial" w:hAnsi="Arial" w:cs="Arial"/>
          <w:noProof/>
          <w:sz w:val="24"/>
          <w:szCs w:val="24"/>
        </w:rPr>
        <w:tab/>
        <w:t>Lee HJ, Feliers D, Barnes JL, Oh S, Choudhury GG, Diaz V, et al. Hydrogen sulfide ameliorates aging-associated changes in the kidney. GeroScience. 2018;40(2):163-76. doi: 10.1007/s11357-018-0018-y. PubMed PMID: 29717417; PubMed Central PMCID: PMC5964063.</w:t>
      </w:r>
      <w:bookmarkEnd w:id="34"/>
    </w:p>
    <w:p w14:paraId="06AE7826" w14:textId="06C2C781" w:rsidR="00132562" w:rsidRPr="00CE5035" w:rsidRDefault="00132562" w:rsidP="00CE5035">
      <w:pPr>
        <w:spacing w:after="0" w:line="240" w:lineRule="auto"/>
        <w:rPr>
          <w:rFonts w:ascii="Arial" w:hAnsi="Arial" w:cs="Arial"/>
          <w:b/>
          <w:noProof/>
          <w:sz w:val="24"/>
          <w:szCs w:val="24"/>
        </w:rPr>
      </w:pPr>
    </w:p>
    <w:p w14:paraId="4673FFCD" w14:textId="6440028B" w:rsidR="000D36DC" w:rsidRPr="00CE5035" w:rsidRDefault="00F75E40" w:rsidP="00CE5035">
      <w:pPr>
        <w:spacing w:line="240" w:lineRule="auto"/>
        <w:rPr>
          <w:rFonts w:ascii="Arial" w:hAnsi="Arial" w:cs="Arial"/>
          <w:sz w:val="24"/>
          <w:szCs w:val="24"/>
        </w:rPr>
      </w:pPr>
      <w:r w:rsidRPr="00CE5035">
        <w:rPr>
          <w:rFonts w:ascii="Arial" w:hAnsi="Arial" w:cs="Arial"/>
          <w:sz w:val="24"/>
          <w:szCs w:val="24"/>
        </w:rPr>
        <w:fldChar w:fldCharType="end"/>
      </w:r>
    </w:p>
    <w:p w14:paraId="4C71B17C" w14:textId="59565A54" w:rsidR="000D36DC" w:rsidRPr="00CE5035" w:rsidRDefault="000D36DC" w:rsidP="00CE5035">
      <w:pPr>
        <w:spacing w:line="240" w:lineRule="auto"/>
        <w:rPr>
          <w:rFonts w:ascii="Arial" w:hAnsi="Arial" w:cs="Arial"/>
          <w:sz w:val="24"/>
          <w:szCs w:val="24"/>
        </w:rPr>
      </w:pPr>
      <w:bookmarkStart w:id="35" w:name="_GoBack"/>
      <w:bookmarkEnd w:id="35"/>
    </w:p>
    <w:sectPr w:rsidR="000D36DC" w:rsidRPr="00CE5035" w:rsidSect="007907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943B" w14:textId="77777777" w:rsidR="00A172F5" w:rsidRDefault="00A172F5" w:rsidP="00E8785A">
      <w:pPr>
        <w:spacing w:after="0" w:line="240" w:lineRule="auto"/>
      </w:pPr>
      <w:r>
        <w:separator/>
      </w:r>
    </w:p>
  </w:endnote>
  <w:endnote w:type="continuationSeparator" w:id="0">
    <w:p w14:paraId="691AD412" w14:textId="77777777" w:rsidR="00A172F5" w:rsidRDefault="00A172F5" w:rsidP="00E8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66E7" w14:textId="77777777" w:rsidR="00A172F5" w:rsidRDefault="00A172F5" w:rsidP="00E8785A">
      <w:pPr>
        <w:spacing w:after="0" w:line="240" w:lineRule="auto"/>
      </w:pPr>
      <w:r>
        <w:separator/>
      </w:r>
    </w:p>
  </w:footnote>
  <w:footnote w:type="continuationSeparator" w:id="0">
    <w:p w14:paraId="7589EDA5" w14:textId="77777777" w:rsidR="00A172F5" w:rsidRDefault="00A172F5" w:rsidP="00E8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83C"/>
    <w:multiLevelType w:val="hybridMultilevel"/>
    <w:tmpl w:val="CA58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62B"/>
    <w:multiLevelType w:val="hybridMultilevel"/>
    <w:tmpl w:val="EB3A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708DF"/>
    <w:multiLevelType w:val="hybridMultilevel"/>
    <w:tmpl w:val="235E1CA4"/>
    <w:lvl w:ilvl="0" w:tplc="1958B3F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0A964F1"/>
    <w:multiLevelType w:val="hybridMultilevel"/>
    <w:tmpl w:val="89C6DBB4"/>
    <w:lvl w:ilvl="0" w:tplc="5BCC09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35A0"/>
    <w:multiLevelType w:val="hybridMultilevel"/>
    <w:tmpl w:val="8A4E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E5255"/>
    <w:multiLevelType w:val="hybridMultilevel"/>
    <w:tmpl w:val="08DE6604"/>
    <w:lvl w:ilvl="0" w:tplc="B50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2C5E49"/>
    <w:multiLevelType w:val="hybridMultilevel"/>
    <w:tmpl w:val="CA84DB6A"/>
    <w:lvl w:ilvl="0" w:tplc="4AF64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38782D"/>
    <w:multiLevelType w:val="hybridMultilevel"/>
    <w:tmpl w:val="4372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B0E39"/>
    <w:multiLevelType w:val="hybridMultilevel"/>
    <w:tmpl w:val="8696CD42"/>
    <w:lvl w:ilvl="0" w:tplc="30D6E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2"/>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6E76"/>
    <w:rsid w:val="000C48CC"/>
    <w:rsid w:val="000C6770"/>
    <w:rsid w:val="000D1040"/>
    <w:rsid w:val="000D36DC"/>
    <w:rsid w:val="000E4E71"/>
    <w:rsid w:val="00127E38"/>
    <w:rsid w:val="00132562"/>
    <w:rsid w:val="001461C3"/>
    <w:rsid w:val="00177FB0"/>
    <w:rsid w:val="00191BD8"/>
    <w:rsid w:val="00192187"/>
    <w:rsid w:val="00200DFE"/>
    <w:rsid w:val="00206497"/>
    <w:rsid w:val="00236A0A"/>
    <w:rsid w:val="0025763D"/>
    <w:rsid w:val="00273EE9"/>
    <w:rsid w:val="0029172B"/>
    <w:rsid w:val="002B6405"/>
    <w:rsid w:val="002C3F49"/>
    <w:rsid w:val="002C664B"/>
    <w:rsid w:val="00314FBC"/>
    <w:rsid w:val="00323630"/>
    <w:rsid w:val="00362163"/>
    <w:rsid w:val="003B7F05"/>
    <w:rsid w:val="003C0587"/>
    <w:rsid w:val="003F173F"/>
    <w:rsid w:val="00477402"/>
    <w:rsid w:val="00493C0D"/>
    <w:rsid w:val="004B362B"/>
    <w:rsid w:val="004D1852"/>
    <w:rsid w:val="004D3E50"/>
    <w:rsid w:val="004E2D7B"/>
    <w:rsid w:val="004F79BF"/>
    <w:rsid w:val="00513A9B"/>
    <w:rsid w:val="005150EA"/>
    <w:rsid w:val="005236B6"/>
    <w:rsid w:val="005260EA"/>
    <w:rsid w:val="00527A20"/>
    <w:rsid w:val="00550044"/>
    <w:rsid w:val="0056738B"/>
    <w:rsid w:val="0057650D"/>
    <w:rsid w:val="0058077F"/>
    <w:rsid w:val="005A0AE0"/>
    <w:rsid w:val="0061590D"/>
    <w:rsid w:val="006421CB"/>
    <w:rsid w:val="00683C2B"/>
    <w:rsid w:val="00684ECF"/>
    <w:rsid w:val="006A1555"/>
    <w:rsid w:val="006F57FB"/>
    <w:rsid w:val="007058AD"/>
    <w:rsid w:val="00706878"/>
    <w:rsid w:val="00720FDE"/>
    <w:rsid w:val="0072148B"/>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A172F5"/>
    <w:rsid w:val="00A52A67"/>
    <w:rsid w:val="00A75481"/>
    <w:rsid w:val="00A76105"/>
    <w:rsid w:val="00AF6DCF"/>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D7FAE"/>
    <w:rsid w:val="00CE5035"/>
    <w:rsid w:val="00D10025"/>
    <w:rsid w:val="00D829EC"/>
    <w:rsid w:val="00D83EC0"/>
    <w:rsid w:val="00D93B8C"/>
    <w:rsid w:val="00DA3BF3"/>
    <w:rsid w:val="00DE2553"/>
    <w:rsid w:val="00DE3A81"/>
    <w:rsid w:val="00DE7EC1"/>
    <w:rsid w:val="00E20AA8"/>
    <w:rsid w:val="00E346F7"/>
    <w:rsid w:val="00E716BC"/>
    <w:rsid w:val="00E8785A"/>
    <w:rsid w:val="00E92132"/>
    <w:rsid w:val="00E93765"/>
    <w:rsid w:val="00EA39AA"/>
    <w:rsid w:val="00ED6793"/>
    <w:rsid w:val="00F75E40"/>
    <w:rsid w:val="00F77524"/>
    <w:rsid w:val="00F83645"/>
    <w:rsid w:val="00FA2200"/>
    <w:rsid w:val="00FD6140"/>
    <w:rsid w:val="00FE6262"/>
    <w:rsid w:val="00F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8D1"/>
  <w15:docId w15:val="{465BBED4-7D79-4ED6-A378-B3307523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BC"/>
  </w:style>
  <w:style w:type="paragraph" w:styleId="Heading1">
    <w:name w:val="heading 1"/>
    <w:basedOn w:val="Normal"/>
    <w:link w:val="Heading1Char"/>
    <w:uiPriority w:val="9"/>
    <w:qFormat/>
    <w:rsid w:val="00D829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236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85A"/>
  </w:style>
  <w:style w:type="paragraph" w:styleId="Footer">
    <w:name w:val="footer"/>
    <w:basedOn w:val="Normal"/>
    <w:link w:val="FooterChar"/>
    <w:uiPriority w:val="99"/>
    <w:semiHidden/>
    <w:unhideWhenUsed/>
    <w:rsid w:val="00E878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85A"/>
  </w:style>
  <w:style w:type="paragraph" w:styleId="ListParagraph">
    <w:name w:val="List Paragraph"/>
    <w:basedOn w:val="Normal"/>
    <w:uiPriority w:val="34"/>
    <w:qFormat/>
    <w:rsid w:val="0072148B"/>
    <w:pPr>
      <w:ind w:left="720"/>
      <w:contextualSpacing/>
    </w:pPr>
  </w:style>
  <w:style w:type="character" w:styleId="CommentReference">
    <w:name w:val="annotation reference"/>
    <w:basedOn w:val="DefaultParagraphFont"/>
    <w:uiPriority w:val="99"/>
    <w:semiHidden/>
    <w:unhideWhenUsed/>
    <w:rsid w:val="009B4AF6"/>
    <w:rPr>
      <w:sz w:val="16"/>
      <w:szCs w:val="16"/>
    </w:rPr>
  </w:style>
  <w:style w:type="paragraph" w:styleId="CommentText">
    <w:name w:val="annotation text"/>
    <w:basedOn w:val="Normal"/>
    <w:link w:val="CommentTextChar"/>
    <w:uiPriority w:val="99"/>
    <w:semiHidden/>
    <w:unhideWhenUsed/>
    <w:rsid w:val="009B4AF6"/>
    <w:pPr>
      <w:spacing w:line="240" w:lineRule="auto"/>
    </w:pPr>
    <w:rPr>
      <w:sz w:val="20"/>
      <w:szCs w:val="20"/>
    </w:rPr>
  </w:style>
  <w:style w:type="character" w:customStyle="1" w:styleId="CommentTextChar">
    <w:name w:val="Comment Text Char"/>
    <w:basedOn w:val="DefaultParagraphFont"/>
    <w:link w:val="CommentText"/>
    <w:uiPriority w:val="99"/>
    <w:semiHidden/>
    <w:rsid w:val="009B4AF6"/>
    <w:rPr>
      <w:sz w:val="20"/>
      <w:szCs w:val="20"/>
    </w:rPr>
  </w:style>
  <w:style w:type="paragraph" w:styleId="CommentSubject">
    <w:name w:val="annotation subject"/>
    <w:basedOn w:val="CommentText"/>
    <w:next w:val="CommentText"/>
    <w:link w:val="CommentSubjectChar"/>
    <w:uiPriority w:val="99"/>
    <w:semiHidden/>
    <w:unhideWhenUsed/>
    <w:rsid w:val="009B4AF6"/>
    <w:rPr>
      <w:b/>
      <w:bCs/>
    </w:rPr>
  </w:style>
  <w:style w:type="character" w:customStyle="1" w:styleId="CommentSubjectChar">
    <w:name w:val="Comment Subject Char"/>
    <w:basedOn w:val="CommentTextChar"/>
    <w:link w:val="CommentSubject"/>
    <w:uiPriority w:val="99"/>
    <w:semiHidden/>
    <w:rsid w:val="009B4AF6"/>
    <w:rPr>
      <w:b/>
      <w:bCs/>
      <w:sz w:val="20"/>
      <w:szCs w:val="20"/>
    </w:rPr>
  </w:style>
  <w:style w:type="paragraph" w:styleId="BalloonText">
    <w:name w:val="Balloon Text"/>
    <w:basedOn w:val="Normal"/>
    <w:link w:val="BalloonTextChar"/>
    <w:uiPriority w:val="99"/>
    <w:semiHidden/>
    <w:unhideWhenUsed/>
    <w:rsid w:val="009B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F6"/>
    <w:rPr>
      <w:rFonts w:ascii="Segoe UI" w:hAnsi="Segoe UI" w:cs="Segoe UI"/>
      <w:sz w:val="18"/>
      <w:szCs w:val="18"/>
    </w:rPr>
  </w:style>
  <w:style w:type="character" w:customStyle="1" w:styleId="Heading1Char">
    <w:name w:val="Heading 1 Char"/>
    <w:basedOn w:val="DefaultParagraphFont"/>
    <w:link w:val="Heading1"/>
    <w:uiPriority w:val="9"/>
    <w:rsid w:val="00D829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2363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23630"/>
    <w:rPr>
      <w:color w:val="0000FF"/>
      <w:u w:val="single"/>
    </w:rPr>
  </w:style>
  <w:style w:type="character" w:customStyle="1" w:styleId="authors">
    <w:name w:val="authors"/>
    <w:basedOn w:val="DefaultParagraphFont"/>
    <w:rsid w:val="00323630"/>
  </w:style>
  <w:style w:type="paragraph" w:customStyle="1" w:styleId="p">
    <w:name w:val="p"/>
    <w:basedOn w:val="Normal"/>
    <w:rsid w:val="002C66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64B"/>
    <w:rPr>
      <w:i/>
      <w:iCs/>
    </w:rPr>
  </w:style>
  <w:style w:type="character" w:styleId="SubtleEmphasis">
    <w:name w:val="Subtle Emphasis"/>
    <w:basedOn w:val="DefaultParagraphFont"/>
    <w:uiPriority w:val="19"/>
    <w:qFormat/>
    <w:rsid w:val="000C67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6184">
      <w:bodyDiv w:val="1"/>
      <w:marLeft w:val="0"/>
      <w:marRight w:val="0"/>
      <w:marTop w:val="0"/>
      <w:marBottom w:val="0"/>
      <w:divBdr>
        <w:top w:val="none" w:sz="0" w:space="0" w:color="auto"/>
        <w:left w:val="none" w:sz="0" w:space="0" w:color="auto"/>
        <w:bottom w:val="none" w:sz="0" w:space="0" w:color="auto"/>
        <w:right w:val="none" w:sz="0" w:space="0" w:color="auto"/>
      </w:divBdr>
    </w:div>
    <w:div w:id="1663854853">
      <w:bodyDiv w:val="1"/>
      <w:marLeft w:val="0"/>
      <w:marRight w:val="0"/>
      <w:marTop w:val="0"/>
      <w:marBottom w:val="0"/>
      <w:divBdr>
        <w:top w:val="none" w:sz="0" w:space="0" w:color="auto"/>
        <w:left w:val="none" w:sz="0" w:space="0" w:color="auto"/>
        <w:bottom w:val="none" w:sz="0" w:space="0" w:color="auto"/>
        <w:right w:val="none" w:sz="0" w:space="0" w:color="auto"/>
      </w:divBdr>
    </w:div>
    <w:div w:id="1700357797">
      <w:bodyDiv w:val="1"/>
      <w:marLeft w:val="0"/>
      <w:marRight w:val="0"/>
      <w:marTop w:val="0"/>
      <w:marBottom w:val="0"/>
      <w:divBdr>
        <w:top w:val="none" w:sz="0" w:space="0" w:color="auto"/>
        <w:left w:val="none" w:sz="0" w:space="0" w:color="auto"/>
        <w:bottom w:val="none" w:sz="0" w:space="0" w:color="auto"/>
        <w:right w:val="none" w:sz="0" w:space="0" w:color="auto"/>
      </w:divBdr>
      <w:divsChild>
        <w:div w:id="1709797155">
          <w:marLeft w:val="0"/>
          <w:marRight w:val="0"/>
          <w:marTop w:val="0"/>
          <w:marBottom w:val="240"/>
          <w:divBdr>
            <w:top w:val="none" w:sz="0" w:space="0" w:color="auto"/>
            <w:left w:val="none" w:sz="0" w:space="0" w:color="auto"/>
            <w:bottom w:val="none" w:sz="0" w:space="0" w:color="auto"/>
            <w:right w:val="none" w:sz="0" w:space="0" w:color="auto"/>
          </w:divBdr>
          <w:divsChild>
            <w:div w:id="1715497847">
              <w:marLeft w:val="0"/>
              <w:marRight w:val="0"/>
              <w:marTop w:val="0"/>
              <w:marBottom w:val="0"/>
              <w:divBdr>
                <w:top w:val="none" w:sz="0" w:space="0" w:color="auto"/>
                <w:left w:val="none" w:sz="0" w:space="0" w:color="auto"/>
                <w:bottom w:val="none" w:sz="0" w:space="0" w:color="auto"/>
                <w:right w:val="none" w:sz="0" w:space="0" w:color="auto"/>
              </w:divBdr>
            </w:div>
          </w:divsChild>
        </w:div>
        <w:div w:id="1179613976">
          <w:marLeft w:val="0"/>
          <w:marRight w:val="0"/>
          <w:marTop w:val="0"/>
          <w:marBottom w:val="0"/>
          <w:divBdr>
            <w:top w:val="none" w:sz="0" w:space="0" w:color="auto"/>
            <w:left w:val="none" w:sz="0" w:space="0" w:color="auto"/>
            <w:bottom w:val="none" w:sz="0" w:space="0" w:color="auto"/>
            <w:right w:val="none" w:sz="0" w:space="0" w:color="auto"/>
          </w:divBdr>
          <w:divsChild>
            <w:div w:id="115830784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846701381">
      <w:bodyDiv w:val="1"/>
      <w:marLeft w:val="0"/>
      <w:marRight w:val="0"/>
      <w:marTop w:val="0"/>
      <w:marBottom w:val="0"/>
      <w:divBdr>
        <w:top w:val="none" w:sz="0" w:space="0" w:color="auto"/>
        <w:left w:val="none" w:sz="0" w:space="0" w:color="auto"/>
        <w:bottom w:val="none" w:sz="0" w:space="0" w:color="auto"/>
        <w:right w:val="none" w:sz="0" w:space="0" w:color="auto"/>
      </w:divBdr>
    </w:div>
    <w:div w:id="19583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791A-C10C-4AA9-AE2F-B7102F20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Salmon, Adam</cp:lastModifiedBy>
  <cp:revision>4</cp:revision>
  <cp:lastPrinted>2018-09-16T14:47:00Z</cp:lastPrinted>
  <dcterms:created xsi:type="dcterms:W3CDTF">2020-02-21T17:45:00Z</dcterms:created>
  <dcterms:modified xsi:type="dcterms:W3CDTF">2020-02-21T20:17:00Z</dcterms:modified>
</cp:coreProperties>
</file>