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C2D2E" w14:textId="76FBD207" w:rsidR="00CA5D69" w:rsidRPr="004D451E" w:rsidRDefault="002C3D03" w:rsidP="004D451E">
      <w:pPr>
        <w:spacing w:after="0" w:line="240" w:lineRule="auto"/>
        <w:rPr>
          <w:rFonts w:cstheme="minorHAnsi"/>
          <w:b/>
          <w:bCs/>
          <w:sz w:val="24"/>
          <w:szCs w:val="24"/>
        </w:rPr>
      </w:pPr>
      <w:bookmarkStart w:id="0" w:name="_GoBack"/>
      <w:r>
        <w:rPr>
          <w:rFonts w:cstheme="minorHAnsi"/>
          <w:b/>
          <w:bCs/>
          <w:sz w:val="24"/>
          <w:szCs w:val="24"/>
        </w:rPr>
        <w:t>Development of a</w:t>
      </w:r>
      <w:r w:rsidR="00760547" w:rsidRPr="004D451E">
        <w:rPr>
          <w:rFonts w:cstheme="minorHAnsi"/>
          <w:b/>
          <w:bCs/>
          <w:sz w:val="24"/>
          <w:szCs w:val="24"/>
        </w:rPr>
        <w:t xml:space="preserve"> </w:t>
      </w:r>
      <w:r w:rsidR="002659E1" w:rsidRPr="004D451E">
        <w:rPr>
          <w:rFonts w:cstheme="minorHAnsi"/>
          <w:b/>
          <w:bCs/>
          <w:sz w:val="24"/>
          <w:szCs w:val="24"/>
        </w:rPr>
        <w:t>G</w:t>
      </w:r>
      <w:r w:rsidR="009A7733" w:rsidRPr="004D451E">
        <w:rPr>
          <w:rFonts w:cstheme="minorHAnsi"/>
          <w:b/>
          <w:bCs/>
          <w:sz w:val="24"/>
          <w:szCs w:val="24"/>
        </w:rPr>
        <w:t>eropathology</w:t>
      </w:r>
      <w:r w:rsidR="002659E1" w:rsidRPr="004D451E">
        <w:rPr>
          <w:rFonts w:cstheme="minorHAnsi"/>
          <w:b/>
          <w:bCs/>
          <w:sz w:val="24"/>
          <w:szCs w:val="24"/>
        </w:rPr>
        <w:t xml:space="preserve"> G</w:t>
      </w:r>
      <w:r w:rsidR="00AB72A7" w:rsidRPr="004D451E">
        <w:rPr>
          <w:rFonts w:cstheme="minorHAnsi"/>
          <w:b/>
          <w:bCs/>
          <w:sz w:val="24"/>
          <w:szCs w:val="24"/>
        </w:rPr>
        <w:t xml:space="preserve">rading </w:t>
      </w:r>
      <w:r w:rsidR="002659E1" w:rsidRPr="004D451E">
        <w:rPr>
          <w:rFonts w:cstheme="minorHAnsi"/>
          <w:b/>
          <w:bCs/>
          <w:sz w:val="24"/>
          <w:szCs w:val="24"/>
        </w:rPr>
        <w:t>P</w:t>
      </w:r>
      <w:r w:rsidR="00760547" w:rsidRPr="004D451E">
        <w:rPr>
          <w:rFonts w:cstheme="minorHAnsi"/>
          <w:b/>
          <w:bCs/>
          <w:sz w:val="24"/>
          <w:szCs w:val="24"/>
        </w:rPr>
        <w:t>latform</w:t>
      </w:r>
      <w:r w:rsidR="00AB72A7" w:rsidRPr="004D451E">
        <w:rPr>
          <w:rFonts w:cstheme="minorHAnsi"/>
          <w:b/>
          <w:bCs/>
          <w:sz w:val="24"/>
          <w:szCs w:val="24"/>
        </w:rPr>
        <w:t xml:space="preserve"> </w:t>
      </w:r>
      <w:r w:rsidR="00760547" w:rsidRPr="004D451E">
        <w:rPr>
          <w:rFonts w:cstheme="minorHAnsi"/>
          <w:b/>
          <w:bCs/>
          <w:sz w:val="24"/>
          <w:szCs w:val="24"/>
        </w:rPr>
        <w:t xml:space="preserve">for </w:t>
      </w:r>
      <w:r w:rsidR="00AB72A7" w:rsidRPr="004D451E">
        <w:rPr>
          <w:rFonts w:cstheme="minorHAnsi"/>
          <w:b/>
          <w:bCs/>
          <w:sz w:val="24"/>
          <w:szCs w:val="24"/>
        </w:rPr>
        <w:t>nonhuman primates</w:t>
      </w:r>
      <w:r w:rsidR="000E0E7D" w:rsidRPr="004D451E">
        <w:rPr>
          <w:rFonts w:cstheme="minorHAnsi"/>
          <w:b/>
          <w:bCs/>
          <w:sz w:val="24"/>
          <w:szCs w:val="24"/>
        </w:rPr>
        <w:t xml:space="preserve"> </w:t>
      </w:r>
    </w:p>
    <w:bookmarkEnd w:id="0"/>
    <w:p w14:paraId="358E0545" w14:textId="4E9D24FC" w:rsidR="00AB72A7" w:rsidRDefault="00AB72A7" w:rsidP="004D451E">
      <w:pPr>
        <w:spacing w:after="0" w:line="240" w:lineRule="auto"/>
        <w:rPr>
          <w:rFonts w:cstheme="minorHAnsi"/>
          <w:sz w:val="24"/>
          <w:szCs w:val="24"/>
        </w:rPr>
      </w:pPr>
    </w:p>
    <w:p w14:paraId="7DA0B7C0" w14:textId="325AB6E0" w:rsidR="00EF63E5" w:rsidRDefault="00EF63E5" w:rsidP="004D451E">
      <w:pPr>
        <w:spacing w:after="0" w:line="240" w:lineRule="auto"/>
        <w:rPr>
          <w:rFonts w:cstheme="minorHAnsi"/>
          <w:sz w:val="24"/>
          <w:szCs w:val="24"/>
        </w:rPr>
      </w:pPr>
      <w:r w:rsidRPr="00885A25">
        <w:rPr>
          <w:rFonts w:cstheme="minorHAnsi"/>
          <w:b/>
          <w:bCs/>
          <w:sz w:val="24"/>
          <w:szCs w:val="24"/>
        </w:rPr>
        <w:t>Running title</w:t>
      </w:r>
      <w:r>
        <w:rPr>
          <w:rFonts w:cstheme="minorHAnsi"/>
          <w:sz w:val="24"/>
          <w:szCs w:val="24"/>
        </w:rPr>
        <w:t>: Nonhuman primate geropathology</w:t>
      </w:r>
    </w:p>
    <w:p w14:paraId="5D268850" w14:textId="77777777" w:rsidR="00EF63E5" w:rsidRPr="004D451E" w:rsidRDefault="00EF63E5" w:rsidP="004D451E">
      <w:pPr>
        <w:spacing w:after="0" w:line="240" w:lineRule="auto"/>
        <w:rPr>
          <w:rFonts w:cstheme="minorHAnsi"/>
          <w:sz w:val="24"/>
          <w:szCs w:val="24"/>
        </w:rPr>
      </w:pPr>
    </w:p>
    <w:p w14:paraId="246CED74" w14:textId="01B764BA" w:rsidR="00D01A6D" w:rsidRPr="004D451E" w:rsidRDefault="00D01A6D" w:rsidP="004D451E">
      <w:pPr>
        <w:spacing w:after="0" w:line="240" w:lineRule="auto"/>
        <w:rPr>
          <w:rFonts w:cstheme="minorHAnsi"/>
          <w:sz w:val="24"/>
          <w:szCs w:val="24"/>
          <w:vertAlign w:val="superscript"/>
        </w:rPr>
      </w:pPr>
      <w:r w:rsidRPr="004D451E">
        <w:rPr>
          <w:rFonts w:cstheme="minorHAnsi"/>
          <w:sz w:val="24"/>
          <w:szCs w:val="24"/>
        </w:rPr>
        <w:t xml:space="preserve">Katie </w:t>
      </w:r>
      <w:r w:rsidR="002B6E68" w:rsidRPr="004D451E">
        <w:rPr>
          <w:rFonts w:cstheme="minorHAnsi"/>
          <w:sz w:val="24"/>
          <w:szCs w:val="24"/>
        </w:rPr>
        <w:t xml:space="preserve">J. </w:t>
      </w:r>
      <w:r w:rsidRPr="004D451E">
        <w:rPr>
          <w:rFonts w:cstheme="minorHAnsi"/>
          <w:sz w:val="24"/>
          <w:szCs w:val="24"/>
        </w:rPr>
        <w:t>Olstad</w:t>
      </w:r>
      <w:r w:rsidR="006F0AB4" w:rsidRPr="004D451E">
        <w:rPr>
          <w:rFonts w:cstheme="minorHAnsi"/>
          <w:sz w:val="24"/>
          <w:szCs w:val="24"/>
          <w:vertAlign w:val="superscript"/>
        </w:rPr>
        <w:t>1</w:t>
      </w:r>
      <w:r w:rsidRPr="004D451E">
        <w:rPr>
          <w:rFonts w:cstheme="minorHAnsi"/>
          <w:sz w:val="24"/>
          <w:szCs w:val="24"/>
        </w:rPr>
        <w:t>,</w:t>
      </w:r>
      <w:r w:rsidR="00E16C3C" w:rsidRPr="004D451E">
        <w:rPr>
          <w:rFonts w:cstheme="minorHAnsi"/>
          <w:sz w:val="24"/>
          <w:szCs w:val="24"/>
        </w:rPr>
        <w:t xml:space="preserve"> Denise M. Imai</w:t>
      </w:r>
      <w:r w:rsidR="006F0AB4" w:rsidRPr="004D451E">
        <w:rPr>
          <w:rFonts w:cstheme="minorHAnsi"/>
          <w:sz w:val="24"/>
          <w:szCs w:val="24"/>
          <w:vertAlign w:val="superscript"/>
        </w:rPr>
        <w:t>2</w:t>
      </w:r>
      <w:r w:rsidR="00E16C3C" w:rsidRPr="004D451E">
        <w:rPr>
          <w:rFonts w:cstheme="minorHAnsi"/>
          <w:sz w:val="24"/>
          <w:szCs w:val="24"/>
        </w:rPr>
        <w:t>,</w:t>
      </w:r>
      <w:r w:rsidRPr="004D451E">
        <w:rPr>
          <w:rFonts w:cstheme="minorHAnsi"/>
          <w:sz w:val="24"/>
          <w:szCs w:val="24"/>
        </w:rPr>
        <w:t xml:space="preserve"> </w:t>
      </w:r>
      <w:r w:rsidR="003B4172" w:rsidRPr="004D451E">
        <w:rPr>
          <w:rFonts w:cstheme="minorHAnsi"/>
          <w:sz w:val="24"/>
          <w:szCs w:val="24"/>
        </w:rPr>
        <w:t>Rebekah</w:t>
      </w:r>
      <w:r w:rsidR="002B6E68" w:rsidRPr="004D451E">
        <w:rPr>
          <w:rFonts w:cstheme="minorHAnsi"/>
          <w:sz w:val="24"/>
          <w:szCs w:val="24"/>
        </w:rPr>
        <w:t xml:space="preserve"> I.</w:t>
      </w:r>
      <w:r w:rsidR="003B4172" w:rsidRPr="004D451E">
        <w:rPr>
          <w:rFonts w:cstheme="minorHAnsi"/>
          <w:sz w:val="24"/>
          <w:szCs w:val="24"/>
        </w:rPr>
        <w:t xml:space="preserve"> Keesler</w:t>
      </w:r>
      <w:r w:rsidR="006F0AB4" w:rsidRPr="004D451E">
        <w:rPr>
          <w:rFonts w:cstheme="minorHAnsi"/>
          <w:sz w:val="24"/>
          <w:szCs w:val="24"/>
          <w:vertAlign w:val="superscript"/>
        </w:rPr>
        <w:t>1</w:t>
      </w:r>
      <w:r w:rsidR="003F08C7" w:rsidRPr="004D451E">
        <w:rPr>
          <w:rFonts w:cstheme="minorHAnsi"/>
          <w:sz w:val="24"/>
          <w:szCs w:val="24"/>
        </w:rPr>
        <w:t xml:space="preserve">, </w:t>
      </w:r>
      <w:r w:rsidR="00C83215" w:rsidRPr="004D451E">
        <w:rPr>
          <w:rFonts w:cstheme="minorHAnsi"/>
          <w:sz w:val="24"/>
          <w:szCs w:val="24"/>
        </w:rPr>
        <w:t>Rachel</w:t>
      </w:r>
      <w:r w:rsidR="002B6E68" w:rsidRPr="004D451E">
        <w:rPr>
          <w:rFonts w:cstheme="minorHAnsi"/>
          <w:sz w:val="24"/>
          <w:szCs w:val="24"/>
        </w:rPr>
        <w:t xml:space="preserve"> </w:t>
      </w:r>
      <w:r w:rsidR="003B4172" w:rsidRPr="004D451E">
        <w:rPr>
          <w:rFonts w:cstheme="minorHAnsi"/>
          <w:sz w:val="24"/>
          <w:szCs w:val="24"/>
        </w:rPr>
        <w:t>Reade</w:t>
      </w:r>
      <w:r w:rsidR="00266806" w:rsidRPr="004D451E">
        <w:rPr>
          <w:rFonts w:cstheme="minorHAnsi"/>
          <w:sz w:val="24"/>
          <w:szCs w:val="24"/>
        </w:rPr>
        <w:t>r</w:t>
      </w:r>
      <w:r w:rsidR="006F0AB4" w:rsidRPr="004D451E">
        <w:rPr>
          <w:rFonts w:cstheme="minorHAnsi"/>
          <w:sz w:val="24"/>
          <w:szCs w:val="24"/>
          <w:vertAlign w:val="superscript"/>
        </w:rPr>
        <w:t>1</w:t>
      </w:r>
      <w:r w:rsidR="00B77F7E" w:rsidRPr="004D451E">
        <w:rPr>
          <w:rFonts w:cstheme="minorHAnsi"/>
          <w:sz w:val="24"/>
          <w:szCs w:val="24"/>
        </w:rPr>
        <w:t xml:space="preserve">, John </w:t>
      </w:r>
      <w:r w:rsidR="002B6E68" w:rsidRPr="004D451E">
        <w:rPr>
          <w:rFonts w:cstheme="minorHAnsi"/>
          <w:sz w:val="24"/>
          <w:szCs w:val="24"/>
        </w:rPr>
        <w:t xml:space="preserve">H. </w:t>
      </w:r>
      <w:r w:rsidR="00B77F7E" w:rsidRPr="004D451E">
        <w:rPr>
          <w:rFonts w:cstheme="minorHAnsi"/>
          <w:sz w:val="24"/>
          <w:szCs w:val="24"/>
        </w:rPr>
        <w:t>Morrison</w:t>
      </w:r>
      <w:r w:rsidR="006F0AB4" w:rsidRPr="004D451E">
        <w:rPr>
          <w:rFonts w:cstheme="minorHAnsi"/>
          <w:sz w:val="24"/>
          <w:szCs w:val="24"/>
          <w:vertAlign w:val="superscript"/>
        </w:rPr>
        <w:t>1</w:t>
      </w:r>
      <w:r w:rsidR="00B77F7E" w:rsidRPr="004D451E">
        <w:rPr>
          <w:rFonts w:cstheme="minorHAnsi"/>
          <w:sz w:val="24"/>
          <w:szCs w:val="24"/>
        </w:rPr>
        <w:t>,</w:t>
      </w:r>
      <w:r w:rsidR="00D10413" w:rsidRPr="004D451E">
        <w:rPr>
          <w:rFonts w:cstheme="minorHAnsi"/>
          <w:sz w:val="24"/>
          <w:szCs w:val="24"/>
        </w:rPr>
        <w:t xml:space="preserve"> Jeff</w:t>
      </w:r>
      <w:r w:rsidR="001E1301" w:rsidRPr="004D451E">
        <w:rPr>
          <w:rFonts w:cstheme="minorHAnsi"/>
          <w:sz w:val="24"/>
          <w:szCs w:val="24"/>
        </w:rPr>
        <w:t>ery</w:t>
      </w:r>
      <w:r w:rsidR="002B6E68" w:rsidRPr="004D451E">
        <w:rPr>
          <w:rFonts w:cstheme="minorHAnsi"/>
          <w:sz w:val="24"/>
          <w:szCs w:val="24"/>
        </w:rPr>
        <w:t xml:space="preserve"> A.</w:t>
      </w:r>
      <w:r w:rsidR="00D10413" w:rsidRPr="004D451E">
        <w:rPr>
          <w:rFonts w:cstheme="minorHAnsi"/>
          <w:sz w:val="24"/>
          <w:szCs w:val="24"/>
        </w:rPr>
        <w:t xml:space="preserve"> Roberts</w:t>
      </w:r>
      <w:r w:rsidR="006F0AB4" w:rsidRPr="004D451E">
        <w:rPr>
          <w:rFonts w:cstheme="minorHAnsi"/>
          <w:sz w:val="24"/>
          <w:szCs w:val="24"/>
          <w:vertAlign w:val="superscript"/>
        </w:rPr>
        <w:t>1</w:t>
      </w:r>
      <w:r w:rsidR="00D10413" w:rsidRPr="004D451E">
        <w:rPr>
          <w:rFonts w:cstheme="minorHAnsi"/>
          <w:sz w:val="24"/>
          <w:szCs w:val="24"/>
        </w:rPr>
        <w:t>,</w:t>
      </w:r>
      <w:r w:rsidR="00B77F7E" w:rsidRPr="004D451E">
        <w:rPr>
          <w:rFonts w:cstheme="minorHAnsi"/>
          <w:sz w:val="24"/>
          <w:szCs w:val="24"/>
        </w:rPr>
        <w:t xml:space="preserve"> J</w:t>
      </w:r>
      <w:r w:rsidR="00266806" w:rsidRPr="004D451E">
        <w:rPr>
          <w:rFonts w:cstheme="minorHAnsi"/>
          <w:sz w:val="24"/>
          <w:szCs w:val="24"/>
        </w:rPr>
        <w:t xml:space="preserve">ohn </w:t>
      </w:r>
      <w:r w:rsidR="002B6E68" w:rsidRPr="004D451E">
        <w:rPr>
          <w:rFonts w:cstheme="minorHAnsi"/>
          <w:sz w:val="24"/>
          <w:szCs w:val="24"/>
        </w:rPr>
        <w:t xml:space="preserve">P. </w:t>
      </w:r>
      <w:r w:rsidR="00B77F7E" w:rsidRPr="004D451E">
        <w:rPr>
          <w:rFonts w:cstheme="minorHAnsi"/>
          <w:sz w:val="24"/>
          <w:szCs w:val="24"/>
        </w:rPr>
        <w:t>Capitanio</w:t>
      </w:r>
      <w:r w:rsidR="006F0AB4" w:rsidRPr="004D451E">
        <w:rPr>
          <w:rFonts w:cstheme="minorHAnsi"/>
          <w:sz w:val="24"/>
          <w:szCs w:val="24"/>
          <w:vertAlign w:val="superscript"/>
        </w:rPr>
        <w:t>1</w:t>
      </w:r>
      <w:r w:rsidR="006F0AB4" w:rsidRPr="004D451E">
        <w:rPr>
          <w:rFonts w:cstheme="minorHAnsi"/>
          <w:sz w:val="24"/>
          <w:szCs w:val="24"/>
        </w:rPr>
        <w:t xml:space="preserve">, </w:t>
      </w:r>
      <w:r w:rsidR="00B77F7E" w:rsidRPr="004D451E">
        <w:rPr>
          <w:rFonts w:cstheme="minorHAnsi"/>
          <w:sz w:val="24"/>
          <w:szCs w:val="24"/>
        </w:rPr>
        <w:t xml:space="preserve">Elizabeth </w:t>
      </w:r>
      <w:r w:rsidR="003B00D0" w:rsidRPr="004D451E">
        <w:rPr>
          <w:rFonts w:cstheme="minorHAnsi"/>
          <w:sz w:val="24"/>
          <w:szCs w:val="24"/>
        </w:rPr>
        <w:t xml:space="preserve">S. </w:t>
      </w:r>
      <w:r w:rsidR="00B77F7E" w:rsidRPr="004D451E">
        <w:rPr>
          <w:rFonts w:cstheme="minorHAnsi"/>
          <w:sz w:val="24"/>
          <w:szCs w:val="24"/>
        </w:rPr>
        <w:t>Didier</w:t>
      </w:r>
      <w:r w:rsidR="006F0AB4" w:rsidRPr="004D451E">
        <w:rPr>
          <w:rFonts w:cstheme="minorHAnsi"/>
          <w:sz w:val="24"/>
          <w:szCs w:val="24"/>
          <w:vertAlign w:val="superscript"/>
        </w:rPr>
        <w:t>1</w:t>
      </w:r>
      <w:r w:rsidR="00B77F7E" w:rsidRPr="004D451E">
        <w:rPr>
          <w:rFonts w:cstheme="minorHAnsi"/>
          <w:sz w:val="24"/>
          <w:szCs w:val="24"/>
        </w:rPr>
        <w:t xml:space="preserve">, Marcelo </w:t>
      </w:r>
      <w:r w:rsidR="003B00D0" w:rsidRPr="004D451E">
        <w:rPr>
          <w:rFonts w:cstheme="minorHAnsi"/>
          <w:sz w:val="24"/>
          <w:szCs w:val="24"/>
        </w:rPr>
        <w:t xml:space="preserve">J. </w:t>
      </w:r>
      <w:r w:rsidR="00B77F7E" w:rsidRPr="004D451E">
        <w:rPr>
          <w:rFonts w:cstheme="minorHAnsi"/>
          <w:sz w:val="24"/>
          <w:szCs w:val="24"/>
        </w:rPr>
        <w:t>Kuroda</w:t>
      </w:r>
      <w:r w:rsidR="006F0AB4" w:rsidRPr="004D451E">
        <w:rPr>
          <w:rFonts w:cstheme="minorHAnsi"/>
          <w:sz w:val="24"/>
          <w:szCs w:val="24"/>
          <w:vertAlign w:val="superscript"/>
        </w:rPr>
        <w:t>1</w:t>
      </w:r>
      <w:r w:rsidR="00266806" w:rsidRPr="004D451E">
        <w:rPr>
          <w:rFonts w:cstheme="minorHAnsi"/>
          <w:sz w:val="24"/>
          <w:szCs w:val="24"/>
        </w:rPr>
        <w:t>,</w:t>
      </w:r>
      <w:r w:rsidR="006F0AB4" w:rsidRPr="004D451E">
        <w:rPr>
          <w:rFonts w:cstheme="minorHAnsi"/>
          <w:sz w:val="24"/>
          <w:szCs w:val="24"/>
        </w:rPr>
        <w:t xml:space="preserve"> Heather Simmons</w:t>
      </w:r>
      <w:r w:rsidR="006F0AB4" w:rsidRPr="004D451E">
        <w:rPr>
          <w:rFonts w:cstheme="minorHAnsi"/>
          <w:sz w:val="24"/>
          <w:szCs w:val="24"/>
          <w:vertAlign w:val="superscript"/>
        </w:rPr>
        <w:t>3</w:t>
      </w:r>
      <w:r w:rsidR="006F0AB4" w:rsidRPr="004D451E">
        <w:rPr>
          <w:rFonts w:cstheme="minorHAnsi"/>
          <w:sz w:val="24"/>
          <w:szCs w:val="24"/>
        </w:rPr>
        <w:t>, Shabnam Salimi</w:t>
      </w:r>
      <w:r w:rsidR="006F0AB4" w:rsidRPr="004D451E">
        <w:rPr>
          <w:rFonts w:cstheme="minorHAnsi"/>
          <w:sz w:val="24"/>
          <w:szCs w:val="24"/>
          <w:vertAlign w:val="superscript"/>
        </w:rPr>
        <w:t>4</w:t>
      </w:r>
      <w:r w:rsidR="006F0AB4" w:rsidRPr="004D451E">
        <w:rPr>
          <w:rFonts w:cstheme="minorHAnsi"/>
          <w:sz w:val="24"/>
          <w:szCs w:val="24"/>
        </w:rPr>
        <w:t xml:space="preserve">, </w:t>
      </w:r>
      <w:r w:rsidR="00FA7E73" w:rsidRPr="004D451E">
        <w:rPr>
          <w:rFonts w:cstheme="minorHAnsi"/>
          <w:sz w:val="24"/>
          <w:szCs w:val="24"/>
        </w:rPr>
        <w:t>Julie A. Mattison</w:t>
      </w:r>
      <w:r w:rsidR="00FA7E73" w:rsidRPr="004D451E">
        <w:rPr>
          <w:rFonts w:cstheme="minorHAnsi"/>
          <w:sz w:val="24"/>
          <w:szCs w:val="24"/>
          <w:vertAlign w:val="superscript"/>
        </w:rPr>
        <w:t>5</w:t>
      </w:r>
      <w:r w:rsidR="00FA7E73" w:rsidRPr="004D451E">
        <w:rPr>
          <w:rFonts w:cstheme="minorHAnsi"/>
          <w:sz w:val="24"/>
          <w:szCs w:val="24"/>
        </w:rPr>
        <w:t xml:space="preserve">, </w:t>
      </w:r>
      <w:r w:rsidR="006451E6" w:rsidRPr="004D451E">
        <w:rPr>
          <w:rFonts w:cstheme="minorHAnsi"/>
          <w:sz w:val="24"/>
          <w:szCs w:val="24"/>
        </w:rPr>
        <w:t>Yuji Ikeno</w:t>
      </w:r>
      <w:r w:rsidR="00FA7E73" w:rsidRPr="004D451E">
        <w:rPr>
          <w:rFonts w:cstheme="minorHAnsi"/>
          <w:sz w:val="24"/>
          <w:szCs w:val="24"/>
          <w:vertAlign w:val="superscript"/>
        </w:rPr>
        <w:t>6</w:t>
      </w:r>
      <w:r w:rsidR="006451E6" w:rsidRPr="004D451E">
        <w:rPr>
          <w:rFonts w:cstheme="minorHAnsi"/>
          <w:sz w:val="24"/>
          <w:szCs w:val="24"/>
        </w:rPr>
        <w:t>,</w:t>
      </w:r>
      <w:r w:rsidR="003B4172" w:rsidRPr="004D451E">
        <w:rPr>
          <w:rFonts w:cstheme="minorHAnsi"/>
          <w:sz w:val="24"/>
          <w:szCs w:val="24"/>
          <w:vertAlign w:val="superscript"/>
        </w:rPr>
        <w:t xml:space="preserve"> </w:t>
      </w:r>
      <w:r w:rsidR="003B4172" w:rsidRPr="004D451E">
        <w:rPr>
          <w:rFonts w:cstheme="minorHAnsi"/>
          <w:sz w:val="24"/>
          <w:szCs w:val="24"/>
        </w:rPr>
        <w:t>Warren Ladiges</w:t>
      </w:r>
      <w:r w:rsidR="00FA7E73" w:rsidRPr="004D451E">
        <w:rPr>
          <w:rFonts w:cstheme="minorHAnsi"/>
          <w:sz w:val="24"/>
          <w:szCs w:val="24"/>
          <w:vertAlign w:val="superscript"/>
        </w:rPr>
        <w:t>7</w:t>
      </w:r>
      <w:r w:rsidR="009D319A" w:rsidRPr="004D451E">
        <w:rPr>
          <w:rFonts w:cstheme="minorHAnsi"/>
          <w:sz w:val="24"/>
          <w:szCs w:val="24"/>
          <w:vertAlign w:val="superscript"/>
        </w:rPr>
        <w:t>#</w:t>
      </w:r>
    </w:p>
    <w:p w14:paraId="01DE3643" w14:textId="77777777" w:rsidR="00D01A6D" w:rsidRPr="004D451E" w:rsidRDefault="00D01A6D" w:rsidP="004D451E">
      <w:pPr>
        <w:spacing w:after="0" w:line="240" w:lineRule="auto"/>
        <w:rPr>
          <w:rFonts w:cstheme="minorHAnsi"/>
          <w:sz w:val="24"/>
          <w:szCs w:val="24"/>
        </w:rPr>
      </w:pPr>
    </w:p>
    <w:p w14:paraId="44D467E1" w14:textId="54F018E3" w:rsidR="003B4172" w:rsidRPr="004D451E" w:rsidRDefault="003B4172" w:rsidP="004D451E">
      <w:pPr>
        <w:spacing w:after="0" w:line="240" w:lineRule="auto"/>
        <w:rPr>
          <w:rFonts w:cstheme="minorHAnsi"/>
          <w:sz w:val="24"/>
          <w:szCs w:val="24"/>
        </w:rPr>
      </w:pPr>
      <w:r w:rsidRPr="004D451E">
        <w:rPr>
          <w:rFonts w:cstheme="minorHAnsi"/>
          <w:sz w:val="24"/>
          <w:szCs w:val="24"/>
          <w:vertAlign w:val="superscript"/>
        </w:rPr>
        <w:t>1</w:t>
      </w:r>
      <w:r w:rsidRPr="004D451E">
        <w:rPr>
          <w:rFonts w:cstheme="minorHAnsi"/>
          <w:sz w:val="24"/>
          <w:szCs w:val="24"/>
        </w:rPr>
        <w:t xml:space="preserve"> California National Primate </w:t>
      </w:r>
      <w:r w:rsidR="00796467" w:rsidRPr="004D451E">
        <w:rPr>
          <w:rFonts w:cstheme="minorHAnsi"/>
          <w:sz w:val="24"/>
          <w:szCs w:val="24"/>
        </w:rPr>
        <w:t xml:space="preserve">Research </w:t>
      </w:r>
      <w:r w:rsidRPr="004D451E">
        <w:rPr>
          <w:rFonts w:cstheme="minorHAnsi"/>
          <w:sz w:val="24"/>
          <w:szCs w:val="24"/>
        </w:rPr>
        <w:t xml:space="preserve">Center, University </w:t>
      </w:r>
      <w:r w:rsidR="001A2B48" w:rsidRPr="004D451E">
        <w:rPr>
          <w:rFonts w:cstheme="minorHAnsi"/>
          <w:sz w:val="24"/>
          <w:szCs w:val="24"/>
        </w:rPr>
        <w:t xml:space="preserve">of </w:t>
      </w:r>
      <w:r w:rsidRPr="004D451E">
        <w:rPr>
          <w:rFonts w:cstheme="minorHAnsi"/>
          <w:sz w:val="24"/>
          <w:szCs w:val="24"/>
        </w:rPr>
        <w:t>California, Davis, CA, USA</w:t>
      </w:r>
    </w:p>
    <w:p w14:paraId="29C4893F" w14:textId="4111ACA0" w:rsidR="001A2B48" w:rsidRPr="004D451E" w:rsidRDefault="001A2B48" w:rsidP="004D451E">
      <w:pPr>
        <w:spacing w:after="0" w:line="240" w:lineRule="auto"/>
        <w:rPr>
          <w:rFonts w:cstheme="minorHAnsi"/>
          <w:sz w:val="24"/>
          <w:szCs w:val="24"/>
        </w:rPr>
      </w:pPr>
      <w:r w:rsidRPr="004D451E">
        <w:rPr>
          <w:rFonts w:cstheme="minorHAnsi"/>
          <w:sz w:val="24"/>
          <w:szCs w:val="24"/>
          <w:vertAlign w:val="superscript"/>
        </w:rPr>
        <w:t xml:space="preserve">2 </w:t>
      </w:r>
      <w:r w:rsidRPr="004D451E">
        <w:rPr>
          <w:rFonts w:cstheme="minorHAnsi"/>
          <w:sz w:val="24"/>
          <w:szCs w:val="24"/>
        </w:rPr>
        <w:t>Comparative Pathology Laboratory, University of California, Davis, CA USA</w:t>
      </w:r>
    </w:p>
    <w:p w14:paraId="5E183E21" w14:textId="305800C4" w:rsidR="006F0AB4" w:rsidRPr="004D451E" w:rsidRDefault="006F0AB4" w:rsidP="004D451E">
      <w:pPr>
        <w:spacing w:after="0" w:line="240" w:lineRule="auto"/>
        <w:rPr>
          <w:rFonts w:cstheme="minorHAnsi"/>
          <w:sz w:val="24"/>
          <w:szCs w:val="24"/>
        </w:rPr>
      </w:pPr>
      <w:r w:rsidRPr="004D451E">
        <w:rPr>
          <w:rFonts w:cstheme="minorHAnsi"/>
          <w:sz w:val="24"/>
          <w:szCs w:val="24"/>
          <w:vertAlign w:val="superscript"/>
        </w:rPr>
        <w:t>3</w:t>
      </w:r>
      <w:r w:rsidR="00B477D4" w:rsidRPr="004D451E">
        <w:rPr>
          <w:rFonts w:cstheme="minorHAnsi"/>
          <w:sz w:val="24"/>
          <w:szCs w:val="24"/>
          <w:vertAlign w:val="superscript"/>
        </w:rPr>
        <w:t xml:space="preserve"> </w:t>
      </w:r>
      <w:r w:rsidR="00B477D4" w:rsidRPr="004D451E">
        <w:rPr>
          <w:rFonts w:cstheme="minorHAnsi"/>
          <w:sz w:val="24"/>
          <w:szCs w:val="24"/>
          <w:shd w:val="clear" w:color="auto" w:fill="FFFFFF"/>
        </w:rPr>
        <w:t>Wisconsin National Primate Research Center</w:t>
      </w:r>
      <w:r w:rsidR="00046BB9" w:rsidRPr="004D451E">
        <w:rPr>
          <w:rFonts w:cstheme="minorHAnsi"/>
          <w:color w:val="201F1E"/>
          <w:sz w:val="24"/>
          <w:szCs w:val="24"/>
        </w:rPr>
        <w:t xml:space="preserve">, </w:t>
      </w:r>
      <w:r w:rsidR="00B477D4" w:rsidRPr="004D451E">
        <w:rPr>
          <w:rFonts w:cstheme="minorHAnsi"/>
          <w:sz w:val="24"/>
          <w:szCs w:val="24"/>
          <w:shd w:val="clear" w:color="auto" w:fill="FFFFFF"/>
        </w:rPr>
        <w:t>University of Wisconsin-Madison</w:t>
      </w:r>
      <w:r w:rsidR="00046BB9" w:rsidRPr="004D451E">
        <w:rPr>
          <w:rFonts w:cstheme="minorHAnsi"/>
          <w:sz w:val="24"/>
          <w:szCs w:val="24"/>
          <w:shd w:val="clear" w:color="auto" w:fill="FFFFFF"/>
        </w:rPr>
        <w:t>,</w:t>
      </w:r>
      <w:r w:rsidRPr="004D451E">
        <w:rPr>
          <w:rFonts w:cstheme="minorHAnsi"/>
          <w:sz w:val="24"/>
          <w:szCs w:val="24"/>
        </w:rPr>
        <w:t xml:space="preserve"> Madison, WI</w:t>
      </w:r>
      <w:r w:rsidR="00EA0B2B" w:rsidRPr="004D451E">
        <w:rPr>
          <w:rFonts w:cstheme="minorHAnsi"/>
          <w:sz w:val="24"/>
          <w:szCs w:val="24"/>
        </w:rPr>
        <w:t xml:space="preserve"> USA</w:t>
      </w:r>
    </w:p>
    <w:p w14:paraId="754B24C9" w14:textId="739FD403" w:rsidR="00EA0B2B" w:rsidRPr="004D451E" w:rsidRDefault="00EA0B2B" w:rsidP="004D451E">
      <w:pPr>
        <w:spacing w:after="0" w:line="240" w:lineRule="auto"/>
        <w:textAlignment w:val="baseline"/>
        <w:rPr>
          <w:rFonts w:cstheme="minorHAnsi"/>
          <w:sz w:val="24"/>
          <w:szCs w:val="24"/>
        </w:rPr>
      </w:pPr>
      <w:r w:rsidRPr="004D451E">
        <w:rPr>
          <w:rFonts w:cstheme="minorHAnsi"/>
          <w:sz w:val="24"/>
          <w:szCs w:val="24"/>
          <w:vertAlign w:val="superscript"/>
        </w:rPr>
        <w:t>4</w:t>
      </w:r>
      <w:r w:rsidR="00046BB9" w:rsidRPr="004D451E">
        <w:rPr>
          <w:rFonts w:cstheme="minorHAnsi"/>
          <w:sz w:val="24"/>
          <w:szCs w:val="24"/>
          <w:vertAlign w:val="superscript"/>
        </w:rPr>
        <w:t xml:space="preserve"> </w:t>
      </w:r>
      <w:r w:rsidR="00046BB9" w:rsidRPr="004D451E">
        <w:rPr>
          <w:rFonts w:eastAsia="Times New Roman" w:cstheme="minorHAnsi"/>
          <w:color w:val="212121"/>
          <w:sz w:val="24"/>
          <w:szCs w:val="24"/>
          <w:bdr w:val="none" w:sz="0" w:space="0" w:color="auto" w:frame="1"/>
        </w:rPr>
        <w:t>School of Medicine</w:t>
      </w:r>
      <w:r w:rsidR="00046BB9" w:rsidRPr="004D451E">
        <w:rPr>
          <w:rFonts w:ascii="Helvetica" w:eastAsia="Times New Roman" w:hAnsi="Helvetica" w:cs="Times New Roman"/>
          <w:color w:val="212121"/>
          <w:sz w:val="24"/>
          <w:szCs w:val="24"/>
        </w:rPr>
        <w:t xml:space="preserve">, </w:t>
      </w:r>
      <w:r w:rsidRPr="004D451E">
        <w:rPr>
          <w:rFonts w:cstheme="minorHAnsi"/>
          <w:sz w:val="24"/>
          <w:szCs w:val="24"/>
        </w:rPr>
        <w:t>University of Maryland, Baltimore, MD USA</w:t>
      </w:r>
    </w:p>
    <w:p w14:paraId="559569E2" w14:textId="0E93C755" w:rsidR="00FA7E73" w:rsidRPr="004D451E" w:rsidRDefault="00FA7E73" w:rsidP="004D451E">
      <w:pPr>
        <w:spacing w:after="0" w:line="240" w:lineRule="auto"/>
        <w:rPr>
          <w:rFonts w:cstheme="minorHAnsi"/>
          <w:sz w:val="24"/>
          <w:szCs w:val="24"/>
        </w:rPr>
      </w:pPr>
      <w:r w:rsidRPr="004D451E">
        <w:rPr>
          <w:rFonts w:cstheme="minorHAnsi"/>
          <w:sz w:val="24"/>
          <w:szCs w:val="24"/>
          <w:vertAlign w:val="superscript"/>
        </w:rPr>
        <w:t>5</w:t>
      </w:r>
      <w:r w:rsidRPr="004D451E">
        <w:rPr>
          <w:rFonts w:cstheme="minorHAnsi"/>
          <w:sz w:val="24"/>
          <w:szCs w:val="24"/>
        </w:rPr>
        <w:t xml:space="preserve">Translational Gerontology Branch, National Institute on Aging, NIH, Dickerson, MD, USA </w:t>
      </w:r>
    </w:p>
    <w:p w14:paraId="789DF777" w14:textId="41D5C21B" w:rsidR="00190C45" w:rsidRPr="004D451E" w:rsidRDefault="00FA7E73" w:rsidP="004D451E">
      <w:pPr>
        <w:spacing w:after="0" w:line="240" w:lineRule="auto"/>
        <w:rPr>
          <w:rFonts w:cstheme="minorHAnsi"/>
          <w:sz w:val="24"/>
          <w:szCs w:val="24"/>
        </w:rPr>
      </w:pPr>
      <w:r w:rsidRPr="004D451E">
        <w:rPr>
          <w:rFonts w:cstheme="minorHAnsi"/>
          <w:sz w:val="24"/>
          <w:szCs w:val="24"/>
          <w:vertAlign w:val="superscript"/>
        </w:rPr>
        <w:t>6</w:t>
      </w:r>
      <w:r w:rsidR="006451E6" w:rsidRPr="004D451E">
        <w:rPr>
          <w:rFonts w:cstheme="minorHAnsi"/>
          <w:sz w:val="24"/>
          <w:szCs w:val="24"/>
        </w:rPr>
        <w:t xml:space="preserve"> </w:t>
      </w:r>
      <w:r w:rsidR="00190C45" w:rsidRPr="004D451E">
        <w:rPr>
          <w:rFonts w:cstheme="minorHAnsi"/>
          <w:sz w:val="24"/>
          <w:szCs w:val="24"/>
        </w:rPr>
        <w:t xml:space="preserve">Barshop Institute for Longevity and Aging Studies and Department of </w:t>
      </w:r>
      <w:r w:rsidR="00046BB9" w:rsidRPr="004D451E">
        <w:rPr>
          <w:rFonts w:cstheme="minorHAnsi"/>
          <w:sz w:val="24"/>
          <w:szCs w:val="24"/>
        </w:rPr>
        <w:t>P</w:t>
      </w:r>
      <w:r w:rsidR="00190C45" w:rsidRPr="004D451E">
        <w:rPr>
          <w:rFonts w:cstheme="minorHAnsi"/>
          <w:sz w:val="24"/>
          <w:szCs w:val="24"/>
        </w:rPr>
        <w:t xml:space="preserve">athology, The University of Texas Health Science Center at San Antonio, San Antonio, TX 78229, USA; </w:t>
      </w:r>
      <w:r w:rsidR="00190C45" w:rsidRPr="004D451E">
        <w:rPr>
          <w:rFonts w:cstheme="minorHAnsi"/>
          <w:sz w:val="24"/>
          <w:szCs w:val="24"/>
          <w:vertAlign w:val="superscript"/>
        </w:rPr>
        <w:t>4</w:t>
      </w:r>
      <w:r w:rsidR="00190C45" w:rsidRPr="004D451E">
        <w:rPr>
          <w:rFonts w:cstheme="minorHAnsi"/>
          <w:sz w:val="24"/>
          <w:szCs w:val="24"/>
        </w:rPr>
        <w:t>Geriatric Research Education and Clinical Center (GRECC), Audie L. Murphy VA Hospital, South Texas Veterans Health Care System, San Antonio, TX 78229, USA</w:t>
      </w:r>
    </w:p>
    <w:p w14:paraId="23A1FDC8" w14:textId="31AC7119" w:rsidR="003B4172" w:rsidRPr="004D451E" w:rsidRDefault="00190C45" w:rsidP="004D451E">
      <w:pPr>
        <w:spacing w:after="0" w:line="240" w:lineRule="auto"/>
        <w:rPr>
          <w:rFonts w:cstheme="minorHAnsi"/>
          <w:sz w:val="24"/>
          <w:szCs w:val="24"/>
        </w:rPr>
      </w:pPr>
      <w:r w:rsidRPr="004D451E">
        <w:rPr>
          <w:rFonts w:cstheme="minorHAnsi"/>
          <w:sz w:val="24"/>
          <w:szCs w:val="24"/>
          <w:vertAlign w:val="superscript"/>
        </w:rPr>
        <w:t xml:space="preserve"> </w:t>
      </w:r>
      <w:r w:rsidR="00FA7E73" w:rsidRPr="004D451E">
        <w:rPr>
          <w:rFonts w:cstheme="minorHAnsi"/>
          <w:sz w:val="24"/>
          <w:szCs w:val="24"/>
          <w:vertAlign w:val="superscript"/>
        </w:rPr>
        <w:t>7</w:t>
      </w:r>
      <w:r w:rsidR="003B4172" w:rsidRPr="004D451E">
        <w:rPr>
          <w:rFonts w:cstheme="minorHAnsi"/>
          <w:sz w:val="24"/>
          <w:szCs w:val="24"/>
          <w:vertAlign w:val="superscript"/>
        </w:rPr>
        <w:t xml:space="preserve"> </w:t>
      </w:r>
      <w:r w:rsidR="00796467" w:rsidRPr="004D451E">
        <w:rPr>
          <w:rFonts w:cstheme="minorHAnsi"/>
          <w:sz w:val="24"/>
          <w:szCs w:val="24"/>
        </w:rPr>
        <w:t>Department o</w:t>
      </w:r>
      <w:r w:rsidR="003B4172" w:rsidRPr="004D451E">
        <w:rPr>
          <w:rFonts w:cstheme="minorHAnsi"/>
          <w:sz w:val="24"/>
          <w:szCs w:val="24"/>
        </w:rPr>
        <w:t xml:space="preserve">f Comparative Medicine, </w:t>
      </w:r>
      <w:r w:rsidR="00444A9F" w:rsidRPr="004D451E">
        <w:rPr>
          <w:rFonts w:cstheme="minorHAnsi"/>
          <w:sz w:val="24"/>
          <w:szCs w:val="24"/>
        </w:rPr>
        <w:t xml:space="preserve">School of Medicine, </w:t>
      </w:r>
      <w:r w:rsidR="003B4172" w:rsidRPr="004D451E">
        <w:rPr>
          <w:rFonts w:cstheme="minorHAnsi"/>
          <w:sz w:val="24"/>
          <w:szCs w:val="24"/>
        </w:rPr>
        <w:t>University of Washington, Seattle, WA, USA</w:t>
      </w:r>
    </w:p>
    <w:p w14:paraId="7B30B7EE" w14:textId="77777777" w:rsidR="009667B9" w:rsidRPr="004D451E" w:rsidRDefault="009667B9" w:rsidP="004D451E">
      <w:pPr>
        <w:spacing w:after="0" w:line="240" w:lineRule="auto"/>
        <w:rPr>
          <w:rFonts w:cstheme="minorHAnsi"/>
          <w:sz w:val="24"/>
          <w:szCs w:val="24"/>
        </w:rPr>
      </w:pPr>
    </w:p>
    <w:p w14:paraId="6C335FC0" w14:textId="1A447084" w:rsidR="00F50F39" w:rsidRPr="004D451E" w:rsidRDefault="009D319A" w:rsidP="004D451E">
      <w:pPr>
        <w:spacing w:after="0" w:line="240" w:lineRule="auto"/>
        <w:rPr>
          <w:rFonts w:cstheme="minorHAnsi"/>
          <w:sz w:val="24"/>
          <w:szCs w:val="24"/>
        </w:rPr>
      </w:pPr>
      <w:r w:rsidRPr="004D451E">
        <w:rPr>
          <w:rFonts w:cstheme="minorHAnsi"/>
          <w:sz w:val="24"/>
          <w:szCs w:val="24"/>
        </w:rPr>
        <w:t>#</w:t>
      </w:r>
      <w:r w:rsidR="00EF63E5">
        <w:rPr>
          <w:rFonts w:cstheme="minorHAnsi"/>
          <w:sz w:val="24"/>
          <w:szCs w:val="24"/>
        </w:rPr>
        <w:t>Correspondence:</w:t>
      </w:r>
      <w:r w:rsidRPr="004D451E">
        <w:rPr>
          <w:rFonts w:cstheme="minorHAnsi"/>
          <w:sz w:val="24"/>
          <w:szCs w:val="24"/>
        </w:rPr>
        <w:t xml:space="preserve"> Warren Ladiges, wladiges@uw.edu</w:t>
      </w:r>
    </w:p>
    <w:p w14:paraId="3AD444DE" w14:textId="541C9F25" w:rsidR="00F50F39" w:rsidRPr="004D451E" w:rsidRDefault="00F50F39" w:rsidP="004D451E">
      <w:pPr>
        <w:spacing w:after="0" w:line="240" w:lineRule="auto"/>
        <w:rPr>
          <w:rFonts w:cstheme="minorHAnsi"/>
          <w:sz w:val="24"/>
          <w:szCs w:val="24"/>
        </w:rPr>
      </w:pPr>
    </w:p>
    <w:p w14:paraId="691227AE" w14:textId="4A6F1D83" w:rsidR="00F50F39" w:rsidRPr="004D451E" w:rsidRDefault="00F50F39" w:rsidP="004D451E">
      <w:pPr>
        <w:spacing w:after="0" w:line="240" w:lineRule="auto"/>
        <w:rPr>
          <w:rFonts w:cstheme="minorHAnsi"/>
          <w:sz w:val="24"/>
          <w:szCs w:val="24"/>
        </w:rPr>
      </w:pPr>
    </w:p>
    <w:p w14:paraId="072DA80D" w14:textId="77777777" w:rsidR="009B109A" w:rsidRDefault="009B109A" w:rsidP="004D451E">
      <w:pPr>
        <w:spacing w:after="0" w:line="240" w:lineRule="auto"/>
        <w:rPr>
          <w:rFonts w:cstheme="minorHAnsi"/>
          <w:b/>
          <w:bCs/>
          <w:sz w:val="24"/>
          <w:szCs w:val="24"/>
        </w:rPr>
      </w:pPr>
    </w:p>
    <w:p w14:paraId="4108B7DA" w14:textId="5BF9548E" w:rsidR="00503A0D" w:rsidRPr="004D451E" w:rsidRDefault="00F50F39" w:rsidP="004D451E">
      <w:pPr>
        <w:spacing w:after="0" w:line="240" w:lineRule="auto"/>
        <w:rPr>
          <w:rFonts w:cstheme="minorHAnsi"/>
          <w:b/>
          <w:bCs/>
          <w:sz w:val="24"/>
          <w:szCs w:val="24"/>
        </w:rPr>
      </w:pPr>
      <w:r w:rsidRPr="004D451E">
        <w:rPr>
          <w:rFonts w:cstheme="minorHAnsi"/>
          <w:b/>
          <w:bCs/>
          <w:sz w:val="24"/>
          <w:szCs w:val="24"/>
        </w:rPr>
        <w:t>Abstract</w:t>
      </w:r>
    </w:p>
    <w:p w14:paraId="2145A7B8" w14:textId="42FEEDFF" w:rsidR="003449BC" w:rsidRPr="004D451E" w:rsidRDefault="00503A0D" w:rsidP="004D451E">
      <w:pPr>
        <w:spacing w:after="0" w:line="240" w:lineRule="auto"/>
        <w:rPr>
          <w:rFonts w:cstheme="minorHAnsi"/>
          <w:sz w:val="24"/>
          <w:szCs w:val="24"/>
          <w:shd w:val="clear" w:color="auto" w:fill="FFFFFF"/>
        </w:rPr>
      </w:pPr>
      <w:r w:rsidRPr="004D451E">
        <w:rPr>
          <w:rFonts w:cstheme="minorHAnsi"/>
          <w:sz w:val="24"/>
          <w:szCs w:val="24"/>
          <w:shd w:val="clear" w:color="auto" w:fill="FFFFFF"/>
        </w:rPr>
        <w:t xml:space="preserve">A geropathology grading platform (GGP) for assessing age-related lesions </w:t>
      </w:r>
      <w:r w:rsidR="002C3D03">
        <w:rPr>
          <w:rFonts w:cstheme="minorHAnsi"/>
          <w:sz w:val="24"/>
          <w:szCs w:val="24"/>
          <w:shd w:val="clear" w:color="auto" w:fill="FFFFFF"/>
        </w:rPr>
        <w:t xml:space="preserve">has been established and validated for </w:t>
      </w:r>
      <w:r w:rsidR="004A6D29" w:rsidRPr="004D451E">
        <w:rPr>
          <w:rFonts w:cstheme="minorHAnsi"/>
          <w:sz w:val="24"/>
          <w:szCs w:val="24"/>
          <w:shd w:val="clear" w:color="auto" w:fill="FFFFFF"/>
        </w:rPr>
        <w:t>in inbred strain of mice</w:t>
      </w:r>
      <w:r w:rsidRPr="004D451E">
        <w:rPr>
          <w:rFonts w:cstheme="minorHAnsi"/>
          <w:sz w:val="24"/>
          <w:szCs w:val="24"/>
          <w:shd w:val="clear" w:color="auto" w:fill="FFFFFF"/>
        </w:rPr>
        <w:t>. Because n</w:t>
      </w:r>
      <w:r w:rsidR="003449BC" w:rsidRPr="004D451E">
        <w:rPr>
          <w:rFonts w:cstheme="minorHAnsi"/>
          <w:sz w:val="24"/>
          <w:szCs w:val="24"/>
          <w:shd w:val="clear" w:color="auto" w:fill="FFFFFF"/>
        </w:rPr>
        <w:t>onhuman primates (NHPs) share significant similarities in aging and spontaneous chronic diseases</w:t>
      </w:r>
      <w:r w:rsidRPr="004D451E">
        <w:rPr>
          <w:rFonts w:cstheme="minorHAnsi"/>
          <w:sz w:val="24"/>
          <w:szCs w:val="24"/>
          <w:bdr w:val="none" w:sz="0" w:space="0" w:color="auto" w:frame="1"/>
        </w:rPr>
        <w:t xml:space="preserve"> with humans, they provide excellent translational value</w:t>
      </w:r>
      <w:r w:rsidR="003449BC" w:rsidRPr="004D451E">
        <w:rPr>
          <w:rFonts w:cstheme="minorHAnsi"/>
          <w:sz w:val="24"/>
          <w:szCs w:val="24"/>
          <w:shd w:val="clear" w:color="auto" w:fill="FFFFFF"/>
        </w:rPr>
        <w:t xml:space="preserve"> </w:t>
      </w:r>
      <w:r w:rsidRPr="004D451E">
        <w:rPr>
          <w:rFonts w:cstheme="minorHAnsi"/>
          <w:sz w:val="24"/>
          <w:szCs w:val="24"/>
          <w:shd w:val="clear" w:color="auto" w:fill="FFFFFF"/>
        </w:rPr>
        <w:t xml:space="preserve">for correlating </w:t>
      </w:r>
      <w:r w:rsidR="004A6D29" w:rsidRPr="004D451E">
        <w:rPr>
          <w:rFonts w:cstheme="minorHAnsi"/>
          <w:sz w:val="24"/>
          <w:szCs w:val="24"/>
          <w:shd w:val="clear" w:color="auto" w:fill="FFFFFF"/>
        </w:rPr>
        <w:t xml:space="preserve">histopathology with biological and pathological events associated with increasing age. </w:t>
      </w:r>
      <w:r w:rsidR="003449BC" w:rsidRPr="004D451E">
        <w:rPr>
          <w:rFonts w:cstheme="minorHAnsi"/>
          <w:sz w:val="24"/>
          <w:szCs w:val="24"/>
          <w:shd w:val="clear" w:color="auto" w:fill="FFFFFF"/>
        </w:rPr>
        <w:t>Descriptive age-as</w:t>
      </w:r>
      <w:r w:rsidR="004A6D29" w:rsidRPr="004D451E">
        <w:rPr>
          <w:rFonts w:cstheme="minorHAnsi"/>
          <w:sz w:val="24"/>
          <w:szCs w:val="24"/>
          <w:shd w:val="clear" w:color="auto" w:fill="FFFFFF"/>
        </w:rPr>
        <w:t>sociated pathology has been described for rhesus macaques and marmosets</w:t>
      </w:r>
      <w:r w:rsidR="003449BC" w:rsidRPr="004D451E">
        <w:rPr>
          <w:rFonts w:cstheme="minorHAnsi"/>
          <w:sz w:val="24"/>
          <w:szCs w:val="24"/>
          <w:shd w:val="clear" w:color="auto" w:fill="FFFFFF"/>
        </w:rPr>
        <w:t>, but a grading platform similar to the mouse GGP does not exist.</w:t>
      </w:r>
      <w:r w:rsidR="003449BC" w:rsidRPr="004D451E">
        <w:rPr>
          <w:rFonts w:cstheme="minorHAnsi"/>
          <w:sz w:val="24"/>
          <w:szCs w:val="24"/>
          <w:bdr w:val="none" w:sz="0" w:space="0" w:color="auto" w:frame="1"/>
        </w:rPr>
        <w:t xml:space="preserve">  </w:t>
      </w:r>
      <w:r w:rsidR="003449BC" w:rsidRPr="004D451E">
        <w:rPr>
          <w:rFonts w:cstheme="minorHAnsi"/>
          <w:sz w:val="24"/>
          <w:szCs w:val="24"/>
          <w:shd w:val="clear" w:color="auto" w:fill="FFFFFF"/>
        </w:rPr>
        <w:t>The value of the</w:t>
      </w:r>
      <w:r w:rsidR="005E2F5A" w:rsidRPr="004D451E">
        <w:rPr>
          <w:rFonts w:cstheme="minorHAnsi"/>
          <w:sz w:val="24"/>
          <w:szCs w:val="24"/>
          <w:shd w:val="clear" w:color="auto" w:fill="FFFFFF"/>
        </w:rPr>
        <w:t>se NHP models is enhanced by</w:t>
      </w:r>
      <w:r w:rsidR="003449BC" w:rsidRPr="004D451E">
        <w:rPr>
          <w:rFonts w:cstheme="minorHAnsi"/>
          <w:sz w:val="24"/>
          <w:szCs w:val="24"/>
          <w:shd w:val="clear" w:color="auto" w:fill="FFFFFF"/>
        </w:rPr>
        <w:t xml:space="preserve"> considerable historical d</w:t>
      </w:r>
      <w:r w:rsidR="004A6D29" w:rsidRPr="004D451E">
        <w:rPr>
          <w:rFonts w:cstheme="minorHAnsi"/>
          <w:sz w:val="24"/>
          <w:szCs w:val="24"/>
          <w:shd w:val="clear" w:color="auto" w:fill="FFFFFF"/>
        </w:rPr>
        <w:t xml:space="preserve">ata from </w:t>
      </w:r>
      <w:r w:rsidR="003449BC" w:rsidRPr="004D451E">
        <w:rPr>
          <w:rFonts w:cstheme="minorHAnsi"/>
          <w:sz w:val="24"/>
          <w:szCs w:val="24"/>
          <w:shd w:val="clear" w:color="auto" w:fill="FFFFFF"/>
        </w:rPr>
        <w:t xml:space="preserve">clinical, bio-behavioral, </w:t>
      </w:r>
      <w:r w:rsidR="004A6D29" w:rsidRPr="004D451E">
        <w:rPr>
          <w:rFonts w:cstheme="minorHAnsi"/>
          <w:sz w:val="24"/>
          <w:szCs w:val="24"/>
          <w:shd w:val="clear" w:color="auto" w:fill="FFFFFF"/>
        </w:rPr>
        <w:t>and social domains</w:t>
      </w:r>
      <w:r w:rsidR="005E2F5A" w:rsidRPr="004D451E">
        <w:rPr>
          <w:rFonts w:cstheme="minorHAnsi"/>
          <w:sz w:val="24"/>
          <w:szCs w:val="24"/>
          <w:shd w:val="clear" w:color="auto" w:fill="FFFFFF"/>
        </w:rPr>
        <w:t xml:space="preserve"> that align with</w:t>
      </w:r>
      <w:r w:rsidR="003449BC" w:rsidRPr="004D451E">
        <w:rPr>
          <w:rFonts w:cstheme="minorHAnsi"/>
          <w:sz w:val="24"/>
          <w:szCs w:val="24"/>
          <w:shd w:val="clear" w:color="auto" w:fill="FFFFFF"/>
        </w:rPr>
        <w:t xml:space="preserve"> health span in these animals. </w:t>
      </w:r>
      <w:r w:rsidR="005E2F5A" w:rsidRPr="004D451E">
        <w:rPr>
          <w:rFonts w:cstheme="minorHAnsi"/>
          <w:sz w:val="24"/>
          <w:szCs w:val="24"/>
          <w:shd w:val="clear" w:color="auto" w:fill="FFFFFF"/>
        </w:rPr>
        <w:t>Successful adaptation of the mouse GGP for NHPs will include</w:t>
      </w:r>
      <w:r w:rsidR="003449BC" w:rsidRPr="004D451E">
        <w:rPr>
          <w:rFonts w:cstheme="minorHAnsi"/>
          <w:sz w:val="24"/>
          <w:szCs w:val="24"/>
          <w:shd w:val="clear" w:color="auto" w:fill="FFFFFF"/>
        </w:rPr>
        <w:t xml:space="preserve"> 1) expanding the range of organs examined; 2) standardizing ne</w:t>
      </w:r>
      <w:r w:rsidR="00550B11" w:rsidRPr="004D451E">
        <w:rPr>
          <w:rFonts w:cstheme="minorHAnsi"/>
          <w:sz w:val="24"/>
          <w:szCs w:val="24"/>
          <w:shd w:val="clear" w:color="auto" w:fill="FFFFFF"/>
        </w:rPr>
        <w:t xml:space="preserve">cropsy collection, </w:t>
      </w:r>
      <w:r w:rsidR="003449BC" w:rsidRPr="004D451E">
        <w:rPr>
          <w:rFonts w:cstheme="minorHAnsi"/>
          <w:sz w:val="24"/>
          <w:szCs w:val="24"/>
          <w:shd w:val="clear" w:color="auto" w:fill="FFFFFF"/>
        </w:rPr>
        <w:t>tissue trimming</w:t>
      </w:r>
      <w:r w:rsidR="00550B11" w:rsidRPr="004D451E">
        <w:rPr>
          <w:rFonts w:cstheme="minorHAnsi"/>
          <w:sz w:val="24"/>
          <w:szCs w:val="24"/>
          <w:shd w:val="clear" w:color="auto" w:fill="FFFFFF"/>
        </w:rPr>
        <w:t>, and descriptive lesion terminology</w:t>
      </w:r>
      <w:r w:rsidR="003449BC" w:rsidRPr="004D451E">
        <w:rPr>
          <w:rFonts w:cstheme="minorHAnsi"/>
          <w:sz w:val="24"/>
          <w:szCs w:val="24"/>
          <w:shd w:val="clear" w:color="auto" w:fill="FFFFFF"/>
        </w:rPr>
        <w:t>; 3) expanding beyond rhesus macaques and marmosets to include other commonly used NHPs</w:t>
      </w:r>
      <w:r w:rsidR="005E2F5A" w:rsidRPr="004D451E">
        <w:rPr>
          <w:rFonts w:cstheme="minorHAnsi"/>
          <w:sz w:val="24"/>
          <w:szCs w:val="24"/>
          <w:shd w:val="clear" w:color="auto" w:fill="FFFFFF"/>
        </w:rPr>
        <w:t xml:space="preserve"> in research; and 4) creating a national resource for age</w:t>
      </w:r>
      <w:r w:rsidR="00FA7E73" w:rsidRPr="004D451E">
        <w:rPr>
          <w:rFonts w:cstheme="minorHAnsi"/>
          <w:sz w:val="24"/>
          <w:szCs w:val="24"/>
          <w:shd w:val="clear" w:color="auto" w:fill="FFFFFF"/>
        </w:rPr>
        <w:t>-</w:t>
      </w:r>
      <w:r w:rsidR="005E2F5A" w:rsidRPr="004D451E">
        <w:rPr>
          <w:rFonts w:cstheme="minorHAnsi"/>
          <w:sz w:val="24"/>
          <w:szCs w:val="24"/>
          <w:shd w:val="clear" w:color="auto" w:fill="FFFFFF"/>
        </w:rPr>
        <w:t xml:space="preserve">related pathology to complement the extensive in-life datasets. </w:t>
      </w:r>
      <w:r w:rsidR="005E2F5A" w:rsidRPr="004D451E">
        <w:rPr>
          <w:rFonts w:cstheme="minorHAnsi"/>
          <w:sz w:val="24"/>
          <w:szCs w:val="24"/>
          <w:bdr w:val="none" w:sz="0" w:space="0" w:color="auto" w:frame="1"/>
        </w:rPr>
        <w:t> </w:t>
      </w:r>
      <w:r w:rsidR="003449BC" w:rsidRPr="004D451E">
        <w:rPr>
          <w:rFonts w:cstheme="minorHAnsi"/>
          <w:sz w:val="24"/>
          <w:szCs w:val="24"/>
          <w:shd w:val="clear" w:color="auto" w:fill="FFFFFF"/>
        </w:rPr>
        <w:t>Adaptation of the GGP to include translational models other than mice will be crucial to advance geropathology designed to enhance aging research.</w:t>
      </w:r>
    </w:p>
    <w:p w14:paraId="3AC61E79" w14:textId="77777777" w:rsidR="00190C45" w:rsidRPr="004D451E" w:rsidRDefault="00190C45" w:rsidP="004D451E">
      <w:pPr>
        <w:spacing w:after="0" w:line="240" w:lineRule="auto"/>
        <w:rPr>
          <w:rFonts w:cstheme="minorHAnsi"/>
          <w:sz w:val="24"/>
          <w:szCs w:val="24"/>
        </w:rPr>
      </w:pPr>
    </w:p>
    <w:p w14:paraId="4ACB93AE" w14:textId="4ADE8755" w:rsidR="00AC5403" w:rsidRPr="004D451E" w:rsidRDefault="00AC5403" w:rsidP="004D451E">
      <w:pPr>
        <w:spacing w:after="0" w:line="240" w:lineRule="auto"/>
        <w:rPr>
          <w:rFonts w:cstheme="minorHAnsi"/>
          <w:sz w:val="24"/>
          <w:szCs w:val="24"/>
        </w:rPr>
      </w:pPr>
      <w:r w:rsidRPr="004D451E">
        <w:rPr>
          <w:rFonts w:cstheme="minorHAnsi"/>
          <w:b/>
          <w:bCs/>
          <w:sz w:val="24"/>
          <w:szCs w:val="24"/>
        </w:rPr>
        <w:t>Key words:</w:t>
      </w:r>
      <w:r w:rsidRPr="004D451E">
        <w:rPr>
          <w:rFonts w:cstheme="minorHAnsi"/>
          <w:sz w:val="24"/>
          <w:szCs w:val="24"/>
        </w:rPr>
        <w:t xml:space="preserve"> Aging, Ge</w:t>
      </w:r>
      <w:r w:rsidR="00550B11" w:rsidRPr="004D451E">
        <w:rPr>
          <w:rFonts w:cstheme="minorHAnsi"/>
          <w:sz w:val="24"/>
          <w:szCs w:val="24"/>
        </w:rPr>
        <w:t>ropathology, Nonhuman primates,</w:t>
      </w:r>
      <w:r w:rsidRPr="004D451E">
        <w:rPr>
          <w:rFonts w:cstheme="minorHAnsi"/>
          <w:sz w:val="24"/>
          <w:szCs w:val="24"/>
        </w:rPr>
        <w:t xml:space="preserve"> </w:t>
      </w:r>
      <w:r w:rsidR="003449BC" w:rsidRPr="004D451E">
        <w:rPr>
          <w:rFonts w:cstheme="minorHAnsi"/>
          <w:sz w:val="24"/>
          <w:szCs w:val="24"/>
        </w:rPr>
        <w:t>Age-related diseases, Geroscience</w:t>
      </w:r>
      <w:r w:rsidR="00550B11" w:rsidRPr="004D451E">
        <w:rPr>
          <w:rFonts w:cstheme="minorHAnsi"/>
          <w:sz w:val="24"/>
          <w:szCs w:val="24"/>
        </w:rPr>
        <w:t>, Rhesus macaques, Marmosets</w:t>
      </w:r>
      <w:r w:rsidR="00585DAD">
        <w:rPr>
          <w:rFonts w:cstheme="minorHAnsi"/>
          <w:sz w:val="24"/>
          <w:szCs w:val="24"/>
        </w:rPr>
        <w:t>, Mice</w:t>
      </w:r>
    </w:p>
    <w:p w14:paraId="1E5B0D41" w14:textId="77777777" w:rsidR="00AC5403" w:rsidRPr="004D451E" w:rsidRDefault="00AC5403" w:rsidP="004D451E">
      <w:pPr>
        <w:spacing w:after="0" w:line="240" w:lineRule="auto"/>
        <w:rPr>
          <w:rFonts w:cstheme="minorHAnsi"/>
          <w:sz w:val="24"/>
          <w:szCs w:val="24"/>
        </w:rPr>
      </w:pPr>
    </w:p>
    <w:p w14:paraId="668FE585" w14:textId="77777777" w:rsidR="00AC5403" w:rsidRPr="004D451E" w:rsidRDefault="00AC5403" w:rsidP="004D451E">
      <w:pPr>
        <w:spacing w:after="0" w:line="240" w:lineRule="auto"/>
        <w:rPr>
          <w:rFonts w:cstheme="minorHAnsi"/>
          <w:sz w:val="24"/>
          <w:szCs w:val="24"/>
        </w:rPr>
      </w:pPr>
    </w:p>
    <w:p w14:paraId="3F01FEC6" w14:textId="77777777" w:rsidR="00AC5403" w:rsidRPr="004D451E" w:rsidRDefault="00AC5403" w:rsidP="004D451E">
      <w:pPr>
        <w:spacing w:after="0" w:line="240" w:lineRule="auto"/>
        <w:rPr>
          <w:rFonts w:cstheme="minorHAnsi"/>
          <w:sz w:val="24"/>
          <w:szCs w:val="24"/>
        </w:rPr>
      </w:pPr>
    </w:p>
    <w:p w14:paraId="2FB82DB2" w14:textId="65D8A94F" w:rsidR="00A33C32" w:rsidRPr="00A33C32" w:rsidRDefault="00317860" w:rsidP="004D451E">
      <w:pPr>
        <w:spacing w:after="0" w:line="240" w:lineRule="auto"/>
        <w:rPr>
          <w:rFonts w:cstheme="minorHAnsi"/>
          <w:b/>
          <w:bCs/>
          <w:sz w:val="24"/>
          <w:szCs w:val="24"/>
        </w:rPr>
      </w:pPr>
      <w:bookmarkStart w:id="1" w:name="_Hlk33278899"/>
      <w:r>
        <w:rPr>
          <w:rFonts w:cstheme="minorHAnsi"/>
          <w:b/>
          <w:bCs/>
          <w:sz w:val="24"/>
          <w:szCs w:val="24"/>
        </w:rPr>
        <w:lastRenderedPageBreak/>
        <w:t>G</w:t>
      </w:r>
      <w:r w:rsidR="00A33C32" w:rsidRPr="00A33C32">
        <w:rPr>
          <w:rFonts w:cstheme="minorHAnsi"/>
          <w:b/>
          <w:bCs/>
          <w:sz w:val="24"/>
          <w:szCs w:val="24"/>
        </w:rPr>
        <w:t xml:space="preserve">eropathology </w:t>
      </w:r>
      <w:r>
        <w:rPr>
          <w:rFonts w:cstheme="minorHAnsi"/>
          <w:b/>
          <w:bCs/>
          <w:sz w:val="24"/>
          <w:szCs w:val="24"/>
        </w:rPr>
        <w:t>and the aging human population</w:t>
      </w:r>
    </w:p>
    <w:bookmarkEnd w:id="1"/>
    <w:p w14:paraId="6CEA77CC" w14:textId="2B02657F" w:rsidR="00FC1B60" w:rsidRPr="004D451E" w:rsidRDefault="009B109A" w:rsidP="004D451E">
      <w:pPr>
        <w:spacing w:after="0" w:line="240" w:lineRule="auto"/>
        <w:rPr>
          <w:rFonts w:cstheme="minorHAnsi"/>
          <w:sz w:val="24"/>
          <w:szCs w:val="24"/>
        </w:rPr>
      </w:pPr>
      <w:r>
        <w:rPr>
          <w:rFonts w:cstheme="minorHAnsi"/>
          <w:sz w:val="24"/>
          <w:szCs w:val="24"/>
        </w:rPr>
        <w:t>Geropathology is defined as</w:t>
      </w:r>
      <w:r w:rsidR="00D624BF">
        <w:rPr>
          <w:rFonts w:cstheme="minorHAnsi"/>
          <w:sz w:val="24"/>
          <w:szCs w:val="24"/>
        </w:rPr>
        <w:t xml:space="preserve"> the anatomic and molecular assessment of pathology in tissues from aging animals including humans. This report focuses on anatomic geropathology in commonly used animal models for aging research. The need for geropathology and biology of aging research is driven by the rapidly expanding aged</w:t>
      </w:r>
      <w:r w:rsidR="00FC1B60" w:rsidRPr="004D451E">
        <w:rPr>
          <w:rFonts w:cstheme="minorHAnsi"/>
          <w:sz w:val="24"/>
          <w:szCs w:val="24"/>
        </w:rPr>
        <w:t xml:space="preserve"> human population, with a projected </w:t>
      </w:r>
      <w:r w:rsidR="00F34833" w:rsidRPr="004D451E">
        <w:rPr>
          <w:rFonts w:cstheme="minorHAnsi"/>
          <w:sz w:val="24"/>
          <w:szCs w:val="24"/>
        </w:rPr>
        <w:t>20 percent increase in</w:t>
      </w:r>
      <w:r w:rsidR="00FC1B60" w:rsidRPr="004D451E">
        <w:rPr>
          <w:rFonts w:cstheme="minorHAnsi"/>
          <w:sz w:val="24"/>
          <w:szCs w:val="24"/>
        </w:rPr>
        <w:t xml:space="preserve"> people over 65 years of age by 20</w:t>
      </w:r>
      <w:r w:rsidR="00F34833" w:rsidRPr="004D451E">
        <w:rPr>
          <w:rFonts w:cstheme="minorHAnsi"/>
          <w:sz w:val="24"/>
          <w:szCs w:val="24"/>
        </w:rPr>
        <w:t>3</w:t>
      </w:r>
      <w:r w:rsidR="00FC1B60" w:rsidRPr="004D451E">
        <w:rPr>
          <w:rFonts w:cstheme="minorHAnsi"/>
          <w:sz w:val="24"/>
          <w:szCs w:val="24"/>
        </w:rPr>
        <w:t xml:space="preserve">0 </w:t>
      </w:r>
      <w:r w:rsidR="00F34833" w:rsidRPr="004D451E">
        <w:rPr>
          <w:rFonts w:cstheme="minorHAnsi"/>
          <w:sz w:val="24"/>
          <w:szCs w:val="24"/>
        </w:rPr>
        <w:t xml:space="preserve"> (</w:t>
      </w:r>
      <w:hyperlink r:id="rId6" w:history="1">
        <w:r w:rsidR="00F34833" w:rsidRPr="004D451E">
          <w:rPr>
            <w:rStyle w:val="Hyperlink"/>
            <w:color w:val="auto"/>
            <w:sz w:val="24"/>
            <w:szCs w:val="24"/>
          </w:rPr>
          <w:t>https://www.census.gov/newsroom/press-releases/2018/cb18-41-population-projections.html</w:t>
        </w:r>
      </w:hyperlink>
      <w:r w:rsidR="00F34833" w:rsidRPr="004D451E">
        <w:rPr>
          <w:rStyle w:val="Hyperlink"/>
          <w:color w:val="auto"/>
          <w:sz w:val="24"/>
          <w:szCs w:val="24"/>
        </w:rPr>
        <w:t>)</w:t>
      </w:r>
      <w:r w:rsidR="00FC1B60" w:rsidRPr="004D451E">
        <w:rPr>
          <w:rFonts w:cstheme="minorHAnsi"/>
          <w:sz w:val="24"/>
          <w:szCs w:val="24"/>
        </w:rPr>
        <w:t>. This is in part due to advancements in medical interventions which increase lifespan; however, a longer lifespan is not always associated with a longer health</w:t>
      </w:r>
      <w:r w:rsidR="00D203C9" w:rsidRPr="004D451E">
        <w:rPr>
          <w:rFonts w:cstheme="minorHAnsi"/>
          <w:sz w:val="24"/>
          <w:szCs w:val="24"/>
        </w:rPr>
        <w:t xml:space="preserve"> </w:t>
      </w:r>
      <w:r w:rsidR="00FC1B60" w:rsidRPr="004D451E">
        <w:rPr>
          <w:rFonts w:cstheme="minorHAnsi"/>
          <w:sz w:val="24"/>
          <w:szCs w:val="24"/>
        </w:rPr>
        <w:t>span</w:t>
      </w:r>
      <w:r w:rsidR="00104876" w:rsidRPr="004D451E">
        <w:rPr>
          <w:rFonts w:cstheme="minorHAnsi"/>
          <w:sz w:val="24"/>
          <w:szCs w:val="24"/>
        </w:rPr>
        <w:t xml:space="preserve"> </w:t>
      </w:r>
      <w:r w:rsidR="002D5D89">
        <w:rPr>
          <w:rFonts w:cstheme="minorHAnsi"/>
          <w:sz w:val="24"/>
          <w:szCs w:val="24"/>
        </w:rPr>
        <w:t>[1]</w:t>
      </w:r>
      <w:r w:rsidR="00FC1B60" w:rsidRPr="004D451E">
        <w:rPr>
          <w:rFonts w:cstheme="minorHAnsi"/>
          <w:sz w:val="24"/>
          <w:szCs w:val="24"/>
        </w:rPr>
        <w:t xml:space="preserve">. According to a 2015 report by the Center for Disease Control, approximately 85% of adults aged 65 years and older are afflicted </w:t>
      </w:r>
      <w:r w:rsidR="00D624BF">
        <w:rPr>
          <w:rFonts w:cstheme="minorHAnsi"/>
          <w:sz w:val="24"/>
          <w:szCs w:val="24"/>
        </w:rPr>
        <w:t>with</w:t>
      </w:r>
      <w:r w:rsidR="00FC1B60" w:rsidRPr="004D451E">
        <w:rPr>
          <w:rFonts w:cstheme="minorHAnsi"/>
          <w:sz w:val="24"/>
          <w:szCs w:val="24"/>
        </w:rPr>
        <w:t xml:space="preserve"> at least 1 chronic disease</w:t>
      </w:r>
      <w:r w:rsidR="00104876" w:rsidRPr="004D451E">
        <w:rPr>
          <w:rFonts w:cstheme="minorHAnsi"/>
          <w:sz w:val="24"/>
          <w:szCs w:val="24"/>
        </w:rPr>
        <w:t xml:space="preserve"> </w:t>
      </w:r>
      <w:r w:rsidR="00FC452A">
        <w:rPr>
          <w:rFonts w:cstheme="minorHAnsi"/>
          <w:sz w:val="24"/>
          <w:szCs w:val="24"/>
        </w:rPr>
        <w:t>[2]</w:t>
      </w:r>
      <w:r w:rsidR="00FC1B60" w:rsidRPr="004D451E">
        <w:rPr>
          <w:rFonts w:cstheme="minorHAnsi"/>
          <w:sz w:val="24"/>
          <w:szCs w:val="24"/>
        </w:rPr>
        <w:t>, but the relationship between the biology of aging and the initiation of the progression of pathological aging and chronic disease is not well understood. Recently, there has been a paradigm shift in aging research, focusing on enhancing health span rather than lifespan in order to better understand changes that precede the onset of frailty</w:t>
      </w:r>
      <w:r w:rsidR="00104876" w:rsidRPr="004D451E">
        <w:rPr>
          <w:rFonts w:cstheme="minorHAnsi"/>
          <w:sz w:val="24"/>
          <w:szCs w:val="24"/>
        </w:rPr>
        <w:t xml:space="preserve"> </w:t>
      </w:r>
      <w:r w:rsidR="00FC452A">
        <w:rPr>
          <w:rFonts w:cstheme="minorHAnsi"/>
          <w:sz w:val="24"/>
          <w:szCs w:val="24"/>
        </w:rPr>
        <w:t>[1]</w:t>
      </w:r>
      <w:r w:rsidR="00FC1B60" w:rsidRPr="004D451E">
        <w:rPr>
          <w:rFonts w:cstheme="minorHAnsi"/>
          <w:sz w:val="24"/>
          <w:szCs w:val="24"/>
        </w:rPr>
        <w:t xml:space="preserve">. The determination of health status in human studies is intensive, time-consuming, and complicated by differences in </w:t>
      </w:r>
      <w:r w:rsidR="00D624BF">
        <w:rPr>
          <w:rFonts w:cstheme="minorHAnsi"/>
          <w:sz w:val="24"/>
          <w:szCs w:val="24"/>
        </w:rPr>
        <w:t>numerous</w:t>
      </w:r>
      <w:r w:rsidR="00FC1B60" w:rsidRPr="004D451E">
        <w:rPr>
          <w:rFonts w:cstheme="minorHAnsi"/>
          <w:sz w:val="24"/>
          <w:szCs w:val="24"/>
        </w:rPr>
        <w:t xml:space="preserve"> variables including socioeconomic backgrounds and environmental factors. Therefore, develop</w:t>
      </w:r>
      <w:r w:rsidR="00550B11" w:rsidRPr="004D451E">
        <w:rPr>
          <w:rFonts w:cstheme="minorHAnsi"/>
          <w:sz w:val="24"/>
          <w:szCs w:val="24"/>
        </w:rPr>
        <w:t xml:space="preserve">ment of aging animal models </w:t>
      </w:r>
      <w:r w:rsidR="00FC1B60" w:rsidRPr="004D451E">
        <w:rPr>
          <w:rFonts w:cstheme="minorHAnsi"/>
          <w:sz w:val="24"/>
          <w:szCs w:val="24"/>
        </w:rPr>
        <w:t>phylogen</w:t>
      </w:r>
      <w:r w:rsidR="00E42559" w:rsidRPr="004D451E">
        <w:rPr>
          <w:rFonts w:cstheme="minorHAnsi"/>
          <w:sz w:val="24"/>
          <w:szCs w:val="24"/>
        </w:rPr>
        <w:t>e</w:t>
      </w:r>
      <w:r w:rsidR="00FC1B60" w:rsidRPr="004D451E">
        <w:rPr>
          <w:rFonts w:cstheme="minorHAnsi"/>
          <w:sz w:val="24"/>
          <w:szCs w:val="24"/>
        </w:rPr>
        <w:t>tically similar to humans is imperative</w:t>
      </w:r>
      <w:r w:rsidR="00104876" w:rsidRPr="004D451E">
        <w:rPr>
          <w:rFonts w:cstheme="minorHAnsi"/>
          <w:sz w:val="24"/>
          <w:szCs w:val="24"/>
        </w:rPr>
        <w:t xml:space="preserve"> </w:t>
      </w:r>
      <w:r w:rsidR="00FC452A">
        <w:rPr>
          <w:rFonts w:cstheme="minorHAnsi"/>
          <w:sz w:val="24"/>
          <w:szCs w:val="24"/>
        </w:rPr>
        <w:t>[3]</w:t>
      </w:r>
      <w:r w:rsidR="00FC1B60" w:rsidRPr="004D451E">
        <w:rPr>
          <w:rFonts w:cstheme="minorHAnsi"/>
          <w:sz w:val="24"/>
          <w:szCs w:val="24"/>
        </w:rPr>
        <w:t xml:space="preserve">. </w:t>
      </w:r>
    </w:p>
    <w:p w14:paraId="4D2EE81F" w14:textId="77777777" w:rsidR="00317860" w:rsidRDefault="00317860" w:rsidP="004D451E">
      <w:pPr>
        <w:spacing w:after="0" w:line="240" w:lineRule="auto"/>
        <w:rPr>
          <w:rFonts w:cstheme="minorHAnsi"/>
          <w:sz w:val="24"/>
          <w:szCs w:val="24"/>
        </w:rPr>
      </w:pPr>
    </w:p>
    <w:p w14:paraId="5A9616CF" w14:textId="31BC8F0C" w:rsidR="00317860" w:rsidRPr="00317860" w:rsidRDefault="00317860" w:rsidP="004D451E">
      <w:pPr>
        <w:spacing w:after="0" w:line="240" w:lineRule="auto"/>
        <w:rPr>
          <w:rFonts w:cstheme="minorHAnsi"/>
          <w:b/>
          <w:bCs/>
          <w:sz w:val="24"/>
          <w:szCs w:val="24"/>
        </w:rPr>
      </w:pPr>
      <w:r>
        <w:rPr>
          <w:rFonts w:cstheme="minorHAnsi"/>
          <w:b/>
          <w:bCs/>
          <w:sz w:val="24"/>
          <w:szCs w:val="24"/>
        </w:rPr>
        <w:t>Urgent</w:t>
      </w:r>
      <w:r w:rsidRPr="00A33C32">
        <w:rPr>
          <w:rFonts w:cstheme="minorHAnsi"/>
          <w:b/>
          <w:bCs/>
          <w:sz w:val="24"/>
          <w:szCs w:val="24"/>
        </w:rPr>
        <w:t xml:space="preserve"> need for geropathology of animal models in aging research</w:t>
      </w:r>
    </w:p>
    <w:p w14:paraId="7F44B3AD" w14:textId="2EA1C01E" w:rsidR="00567A45" w:rsidRPr="00FC452A" w:rsidRDefault="0096725B" w:rsidP="004D451E">
      <w:pPr>
        <w:spacing w:after="0" w:line="240" w:lineRule="auto"/>
        <w:rPr>
          <w:rFonts w:cstheme="minorHAnsi"/>
          <w:sz w:val="24"/>
          <w:szCs w:val="24"/>
          <w:u w:val="single"/>
        </w:rPr>
      </w:pPr>
      <w:r w:rsidRPr="004D451E">
        <w:rPr>
          <w:rFonts w:cstheme="minorHAnsi"/>
          <w:sz w:val="24"/>
          <w:szCs w:val="24"/>
        </w:rPr>
        <w:t>While human indice</w:t>
      </w:r>
      <w:r w:rsidR="009A7733" w:rsidRPr="004D451E">
        <w:rPr>
          <w:rFonts w:cstheme="minorHAnsi"/>
          <w:sz w:val="24"/>
          <w:szCs w:val="24"/>
        </w:rPr>
        <w:t>s of aging</w:t>
      </w:r>
      <w:r w:rsidR="001A2B48" w:rsidRPr="004D451E">
        <w:rPr>
          <w:rFonts w:cstheme="minorHAnsi"/>
          <w:sz w:val="24"/>
          <w:szCs w:val="24"/>
        </w:rPr>
        <w:t>,</w:t>
      </w:r>
      <w:r w:rsidR="009A7733" w:rsidRPr="004D451E">
        <w:rPr>
          <w:rFonts w:cstheme="minorHAnsi"/>
          <w:sz w:val="24"/>
          <w:szCs w:val="24"/>
        </w:rPr>
        <w:t xml:space="preserve"> such as biomarkers and the</w:t>
      </w:r>
      <w:r w:rsidRPr="004D451E">
        <w:rPr>
          <w:rFonts w:cstheme="minorHAnsi"/>
          <w:sz w:val="24"/>
          <w:szCs w:val="24"/>
        </w:rPr>
        <w:t xml:space="preserve"> frailty index</w:t>
      </w:r>
      <w:r w:rsidR="001A2B48" w:rsidRPr="004D451E">
        <w:rPr>
          <w:rFonts w:cstheme="minorHAnsi"/>
          <w:sz w:val="24"/>
          <w:szCs w:val="24"/>
        </w:rPr>
        <w:t>,</w:t>
      </w:r>
      <w:r w:rsidRPr="004D451E">
        <w:rPr>
          <w:rFonts w:cstheme="minorHAnsi"/>
          <w:sz w:val="24"/>
          <w:szCs w:val="24"/>
        </w:rPr>
        <w:t xml:space="preserve"> have successfully been adapted for animal models, </w:t>
      </w:r>
      <w:r w:rsidR="00D624BF">
        <w:rPr>
          <w:rFonts w:cstheme="minorHAnsi"/>
          <w:sz w:val="24"/>
          <w:szCs w:val="24"/>
        </w:rPr>
        <w:t xml:space="preserve">anatomic </w:t>
      </w:r>
      <w:r w:rsidR="00F073C6">
        <w:rPr>
          <w:rFonts w:cstheme="minorHAnsi"/>
          <w:sz w:val="24"/>
          <w:szCs w:val="24"/>
        </w:rPr>
        <w:t>histo</w:t>
      </w:r>
      <w:r w:rsidRPr="004D451E">
        <w:rPr>
          <w:rFonts w:cstheme="minorHAnsi"/>
          <w:sz w:val="24"/>
          <w:szCs w:val="24"/>
        </w:rPr>
        <w:t>pathology remains largely under</w:t>
      </w:r>
      <w:r w:rsidR="001A2B48" w:rsidRPr="004D451E">
        <w:rPr>
          <w:rFonts w:cstheme="minorHAnsi"/>
          <w:sz w:val="24"/>
          <w:szCs w:val="24"/>
        </w:rPr>
        <w:t>-</w:t>
      </w:r>
      <w:r w:rsidRPr="004D451E">
        <w:rPr>
          <w:rFonts w:cstheme="minorHAnsi"/>
          <w:sz w:val="24"/>
          <w:szCs w:val="24"/>
        </w:rPr>
        <w:t xml:space="preserve">utilized. </w:t>
      </w:r>
      <w:r w:rsidR="004A5C5F" w:rsidRPr="004D451E">
        <w:rPr>
          <w:rFonts w:cstheme="minorHAnsi"/>
          <w:sz w:val="24"/>
          <w:szCs w:val="24"/>
        </w:rPr>
        <w:t>In 2016</w:t>
      </w:r>
      <w:r w:rsidR="001A2B48" w:rsidRPr="004D451E">
        <w:rPr>
          <w:rFonts w:cstheme="minorHAnsi"/>
          <w:sz w:val="24"/>
          <w:szCs w:val="24"/>
        </w:rPr>
        <w:t xml:space="preserve">, </w:t>
      </w:r>
      <w:r w:rsidRPr="004D451E">
        <w:rPr>
          <w:rFonts w:cstheme="minorHAnsi"/>
          <w:sz w:val="24"/>
          <w:szCs w:val="24"/>
        </w:rPr>
        <w:t>a</w:t>
      </w:r>
      <w:r w:rsidR="00B67B17" w:rsidRPr="004D451E">
        <w:rPr>
          <w:rFonts w:cstheme="minorHAnsi"/>
          <w:sz w:val="24"/>
          <w:szCs w:val="24"/>
        </w:rPr>
        <w:t xml:space="preserve"> </w:t>
      </w:r>
      <w:r w:rsidR="00D16E0A" w:rsidRPr="004D451E">
        <w:rPr>
          <w:rFonts w:cstheme="minorHAnsi"/>
          <w:sz w:val="24"/>
          <w:szCs w:val="24"/>
        </w:rPr>
        <w:t xml:space="preserve">geropathology </w:t>
      </w:r>
      <w:r w:rsidR="00B67B17" w:rsidRPr="004D451E">
        <w:rPr>
          <w:rFonts w:cstheme="minorHAnsi"/>
          <w:sz w:val="24"/>
          <w:szCs w:val="24"/>
        </w:rPr>
        <w:t>working group funde</w:t>
      </w:r>
      <w:r w:rsidR="00550B11" w:rsidRPr="004D451E">
        <w:rPr>
          <w:rFonts w:cstheme="minorHAnsi"/>
          <w:sz w:val="24"/>
          <w:szCs w:val="24"/>
        </w:rPr>
        <w:t>d by the National Institute on Aging</w:t>
      </w:r>
      <w:r w:rsidR="00B67B17" w:rsidRPr="004D451E">
        <w:rPr>
          <w:rFonts w:cstheme="minorHAnsi"/>
          <w:sz w:val="24"/>
          <w:szCs w:val="24"/>
        </w:rPr>
        <w:t xml:space="preserve"> constructed a descriptive, semi-quantitative, </w:t>
      </w:r>
      <w:r w:rsidRPr="004D451E">
        <w:rPr>
          <w:rFonts w:cstheme="minorHAnsi"/>
          <w:sz w:val="24"/>
          <w:szCs w:val="24"/>
        </w:rPr>
        <w:t xml:space="preserve">and reproducible </w:t>
      </w:r>
      <w:r w:rsidR="00F073C6">
        <w:rPr>
          <w:rFonts w:cstheme="minorHAnsi"/>
          <w:sz w:val="24"/>
          <w:szCs w:val="24"/>
        </w:rPr>
        <w:t xml:space="preserve">histological </w:t>
      </w:r>
      <w:r w:rsidRPr="004D451E">
        <w:rPr>
          <w:rFonts w:cstheme="minorHAnsi"/>
          <w:sz w:val="24"/>
          <w:szCs w:val="24"/>
        </w:rPr>
        <w:t xml:space="preserve">grading scheme </w:t>
      </w:r>
      <w:r w:rsidR="00B67B17" w:rsidRPr="004D451E">
        <w:rPr>
          <w:rFonts w:cstheme="minorHAnsi"/>
          <w:sz w:val="24"/>
          <w:szCs w:val="24"/>
        </w:rPr>
        <w:t>known as the “Geropathology Grading Platform” (GGP)</w:t>
      </w:r>
      <w:r w:rsidR="00104876" w:rsidRPr="004D451E">
        <w:rPr>
          <w:rFonts w:cstheme="minorHAnsi"/>
          <w:sz w:val="24"/>
          <w:szCs w:val="24"/>
        </w:rPr>
        <w:t xml:space="preserve"> </w:t>
      </w:r>
      <w:r w:rsidR="00FC452A">
        <w:rPr>
          <w:rFonts w:cstheme="minorHAnsi"/>
          <w:sz w:val="24"/>
          <w:szCs w:val="24"/>
        </w:rPr>
        <w:t>[4]</w:t>
      </w:r>
      <w:r w:rsidR="00B67B17" w:rsidRPr="004D451E">
        <w:rPr>
          <w:rFonts w:cstheme="minorHAnsi"/>
          <w:sz w:val="24"/>
          <w:szCs w:val="24"/>
        </w:rPr>
        <w:t xml:space="preserve">. The GGP was developed </w:t>
      </w:r>
      <w:r w:rsidRPr="004D451E">
        <w:rPr>
          <w:rFonts w:cstheme="minorHAnsi"/>
          <w:sz w:val="24"/>
          <w:szCs w:val="24"/>
        </w:rPr>
        <w:t>t</w:t>
      </w:r>
      <w:r w:rsidR="00D01A6D" w:rsidRPr="004D451E">
        <w:rPr>
          <w:rFonts w:cstheme="minorHAnsi"/>
          <w:sz w:val="24"/>
          <w:szCs w:val="24"/>
        </w:rPr>
        <w:t>o act as a guideline to predict</w:t>
      </w:r>
      <w:r w:rsidR="009A7733" w:rsidRPr="004D451E">
        <w:rPr>
          <w:rFonts w:cstheme="minorHAnsi"/>
          <w:sz w:val="24"/>
          <w:szCs w:val="24"/>
        </w:rPr>
        <w:t xml:space="preserve"> health</w:t>
      </w:r>
      <w:r w:rsidR="00A33C32">
        <w:rPr>
          <w:rFonts w:cstheme="minorHAnsi"/>
          <w:sz w:val="24"/>
          <w:szCs w:val="24"/>
        </w:rPr>
        <w:t xml:space="preserve"> </w:t>
      </w:r>
      <w:r w:rsidR="009A7733" w:rsidRPr="004D451E">
        <w:rPr>
          <w:rFonts w:cstheme="minorHAnsi"/>
          <w:sz w:val="24"/>
          <w:szCs w:val="24"/>
        </w:rPr>
        <w:t xml:space="preserve">span by </w:t>
      </w:r>
      <w:r w:rsidR="002659E1" w:rsidRPr="004D451E">
        <w:rPr>
          <w:rFonts w:cstheme="minorHAnsi"/>
          <w:sz w:val="24"/>
          <w:szCs w:val="24"/>
        </w:rPr>
        <w:t>examining</w:t>
      </w:r>
      <w:r w:rsidR="009A7733" w:rsidRPr="004D451E">
        <w:rPr>
          <w:rFonts w:cstheme="minorHAnsi"/>
          <w:sz w:val="24"/>
          <w:szCs w:val="24"/>
        </w:rPr>
        <w:t xml:space="preserve"> clinical</w:t>
      </w:r>
      <w:r w:rsidRPr="004D451E">
        <w:rPr>
          <w:rFonts w:cstheme="minorHAnsi"/>
          <w:sz w:val="24"/>
          <w:szCs w:val="24"/>
        </w:rPr>
        <w:t xml:space="preserve"> and subclinical lesions of</w:t>
      </w:r>
      <w:r w:rsidR="00B67B17" w:rsidRPr="004D451E">
        <w:rPr>
          <w:rFonts w:cstheme="minorHAnsi"/>
          <w:sz w:val="24"/>
          <w:szCs w:val="24"/>
        </w:rPr>
        <w:t xml:space="preserve"> </w:t>
      </w:r>
      <w:r w:rsidRPr="004D451E">
        <w:rPr>
          <w:rFonts w:cstheme="minorHAnsi"/>
          <w:sz w:val="24"/>
          <w:szCs w:val="24"/>
        </w:rPr>
        <w:t>aging at the tissue level</w:t>
      </w:r>
      <w:r w:rsidR="005C7EAD" w:rsidRPr="004D451E">
        <w:rPr>
          <w:rFonts w:cstheme="minorHAnsi"/>
          <w:sz w:val="24"/>
          <w:szCs w:val="24"/>
        </w:rPr>
        <w:t xml:space="preserve">. </w:t>
      </w:r>
      <w:r w:rsidR="000D7247" w:rsidRPr="004D451E">
        <w:rPr>
          <w:rFonts w:cstheme="minorHAnsi"/>
          <w:sz w:val="24"/>
          <w:szCs w:val="24"/>
        </w:rPr>
        <w:t>The GGP currently uses up to 25 organs</w:t>
      </w:r>
      <w:r w:rsidR="00F073C6">
        <w:rPr>
          <w:rFonts w:cstheme="minorHAnsi"/>
          <w:sz w:val="24"/>
          <w:szCs w:val="24"/>
        </w:rPr>
        <w:t xml:space="preserve"> and </w:t>
      </w:r>
      <w:r w:rsidR="000D7247" w:rsidRPr="004D451E">
        <w:rPr>
          <w:rFonts w:cstheme="minorHAnsi"/>
          <w:sz w:val="24"/>
          <w:szCs w:val="24"/>
        </w:rPr>
        <w:t>tissues to creat</w:t>
      </w:r>
      <w:r w:rsidR="001349D1" w:rsidRPr="004D451E">
        <w:rPr>
          <w:rFonts w:cstheme="minorHAnsi"/>
          <w:sz w:val="24"/>
          <w:szCs w:val="24"/>
        </w:rPr>
        <w:t xml:space="preserve">e semi-quantitative </w:t>
      </w:r>
      <w:r w:rsidR="000D7247" w:rsidRPr="004D451E">
        <w:rPr>
          <w:rFonts w:cstheme="minorHAnsi"/>
          <w:sz w:val="24"/>
          <w:szCs w:val="24"/>
        </w:rPr>
        <w:t>lesion score</w:t>
      </w:r>
      <w:r w:rsidR="001349D1" w:rsidRPr="004D451E">
        <w:rPr>
          <w:rFonts w:cstheme="minorHAnsi"/>
          <w:sz w:val="24"/>
          <w:szCs w:val="24"/>
        </w:rPr>
        <w:t>s</w:t>
      </w:r>
      <w:r w:rsidR="000D7247" w:rsidRPr="004D451E">
        <w:rPr>
          <w:rFonts w:cstheme="minorHAnsi"/>
          <w:sz w:val="24"/>
          <w:szCs w:val="24"/>
        </w:rPr>
        <w:t xml:space="preserve"> utilizing descriptive guidelines generated by the Geropathology Grading Committee</w:t>
      </w:r>
      <w:r w:rsidR="00104876" w:rsidRPr="004D451E">
        <w:rPr>
          <w:rFonts w:cstheme="minorHAnsi"/>
          <w:sz w:val="24"/>
          <w:szCs w:val="24"/>
        </w:rPr>
        <w:t xml:space="preserve"> </w:t>
      </w:r>
      <w:r w:rsidR="00FC452A">
        <w:rPr>
          <w:rFonts w:cstheme="minorHAnsi"/>
          <w:sz w:val="24"/>
          <w:szCs w:val="24"/>
        </w:rPr>
        <w:t>[5]</w:t>
      </w:r>
      <w:r w:rsidR="000D7247" w:rsidRPr="004D451E">
        <w:rPr>
          <w:rFonts w:cstheme="minorHAnsi"/>
          <w:sz w:val="24"/>
          <w:szCs w:val="24"/>
        </w:rPr>
        <w:t xml:space="preserve">. </w:t>
      </w:r>
      <w:r w:rsidR="001349D1" w:rsidRPr="004D451E">
        <w:rPr>
          <w:rFonts w:cstheme="minorHAnsi"/>
          <w:sz w:val="24"/>
          <w:szCs w:val="24"/>
        </w:rPr>
        <w:t xml:space="preserve">These </w:t>
      </w:r>
      <w:r w:rsidR="00CE5B08" w:rsidRPr="004D451E">
        <w:rPr>
          <w:rFonts w:cstheme="minorHAnsi"/>
          <w:sz w:val="24"/>
          <w:szCs w:val="24"/>
        </w:rPr>
        <w:t xml:space="preserve">lesion </w:t>
      </w:r>
      <w:r w:rsidR="001349D1" w:rsidRPr="004D451E">
        <w:rPr>
          <w:rFonts w:cstheme="minorHAnsi"/>
          <w:sz w:val="24"/>
          <w:szCs w:val="24"/>
        </w:rPr>
        <w:t>scores can be summarized into a composite lesion score per tissue or can be dissected by criterion</w:t>
      </w:r>
      <w:r w:rsidR="00FC1B60" w:rsidRPr="004D451E">
        <w:rPr>
          <w:rFonts w:cstheme="minorHAnsi"/>
          <w:sz w:val="24"/>
          <w:szCs w:val="24"/>
        </w:rPr>
        <w:t xml:space="preserve">, for example lesion severity, to </w:t>
      </w:r>
      <w:r w:rsidR="001349D1" w:rsidRPr="004D451E">
        <w:rPr>
          <w:rFonts w:cstheme="minorHAnsi"/>
          <w:sz w:val="24"/>
          <w:szCs w:val="24"/>
        </w:rPr>
        <w:t xml:space="preserve">increase the sensitivity to subtle aging changes. </w:t>
      </w:r>
      <w:r w:rsidR="008B774E" w:rsidRPr="004D451E">
        <w:rPr>
          <w:rFonts w:cstheme="minorHAnsi"/>
          <w:sz w:val="24"/>
          <w:szCs w:val="24"/>
        </w:rPr>
        <w:t>Direct association of composite lesion scores to age</w:t>
      </w:r>
      <w:r w:rsidR="00DE5553" w:rsidRPr="004D451E">
        <w:rPr>
          <w:rFonts w:cstheme="minorHAnsi"/>
          <w:sz w:val="24"/>
          <w:szCs w:val="24"/>
        </w:rPr>
        <w:t>, inter-observer repeatability, and alignment with physiologic metrics of aging</w:t>
      </w:r>
      <w:r w:rsidR="008B774E" w:rsidRPr="004D451E">
        <w:rPr>
          <w:rFonts w:cstheme="minorHAnsi"/>
          <w:sz w:val="24"/>
          <w:szCs w:val="24"/>
        </w:rPr>
        <w:t xml:space="preserve"> has been demonstrated in two prototypical mouse strains (C57BL6 and C57BL6 x BALB/c F1) commonly used in aging research</w:t>
      </w:r>
      <w:r w:rsidR="00692588" w:rsidRPr="004D451E">
        <w:rPr>
          <w:rFonts w:cstheme="minorHAnsi"/>
          <w:sz w:val="24"/>
          <w:szCs w:val="24"/>
        </w:rPr>
        <w:t xml:space="preserve"> </w:t>
      </w:r>
      <w:r w:rsidR="00FC452A">
        <w:rPr>
          <w:rFonts w:cstheme="minorHAnsi"/>
          <w:sz w:val="24"/>
          <w:szCs w:val="24"/>
        </w:rPr>
        <w:t>[6]</w:t>
      </w:r>
      <w:r w:rsidR="008B774E" w:rsidRPr="004D451E">
        <w:rPr>
          <w:rFonts w:cstheme="minorHAnsi"/>
          <w:sz w:val="24"/>
          <w:szCs w:val="24"/>
        </w:rPr>
        <w:t xml:space="preserve">. </w:t>
      </w:r>
      <w:r w:rsidR="00CE5B08" w:rsidRPr="004D451E">
        <w:rPr>
          <w:rFonts w:cstheme="minorHAnsi"/>
          <w:sz w:val="24"/>
          <w:szCs w:val="24"/>
        </w:rPr>
        <w:t xml:space="preserve">The strength of the platform </w:t>
      </w:r>
      <w:r w:rsidR="00AE1275">
        <w:rPr>
          <w:rFonts w:cstheme="minorHAnsi"/>
          <w:sz w:val="24"/>
          <w:szCs w:val="24"/>
        </w:rPr>
        <w:t xml:space="preserve">for laboratory mice </w:t>
      </w:r>
      <w:r w:rsidR="00CE5B08" w:rsidRPr="004D451E">
        <w:rPr>
          <w:rFonts w:cstheme="minorHAnsi"/>
          <w:sz w:val="24"/>
          <w:szCs w:val="24"/>
        </w:rPr>
        <w:t xml:space="preserve">lies in the ability to assess response </w:t>
      </w:r>
      <w:r w:rsidR="008B774E" w:rsidRPr="004D451E">
        <w:rPr>
          <w:rFonts w:cstheme="minorHAnsi"/>
          <w:sz w:val="24"/>
          <w:szCs w:val="24"/>
        </w:rPr>
        <w:t xml:space="preserve">over time </w:t>
      </w:r>
      <w:r w:rsidR="00317860">
        <w:rPr>
          <w:rFonts w:cstheme="minorHAnsi"/>
          <w:sz w:val="24"/>
          <w:szCs w:val="24"/>
        </w:rPr>
        <w:t>in</w:t>
      </w:r>
      <w:r w:rsidR="00CE5B08" w:rsidRPr="004D451E">
        <w:rPr>
          <w:rFonts w:cstheme="minorHAnsi"/>
          <w:sz w:val="24"/>
          <w:szCs w:val="24"/>
        </w:rPr>
        <w:t xml:space="preserve"> experimental </w:t>
      </w:r>
      <w:r w:rsidR="00317860">
        <w:rPr>
          <w:rFonts w:cstheme="minorHAnsi"/>
          <w:sz w:val="24"/>
          <w:szCs w:val="24"/>
        </w:rPr>
        <w:t>investigations</w:t>
      </w:r>
      <w:r w:rsidR="00CE5B08" w:rsidRPr="004D451E">
        <w:rPr>
          <w:rFonts w:cstheme="minorHAnsi"/>
          <w:sz w:val="24"/>
          <w:szCs w:val="24"/>
        </w:rPr>
        <w:t xml:space="preserve">, including </w:t>
      </w:r>
      <w:r w:rsidR="00317860">
        <w:rPr>
          <w:rFonts w:cstheme="minorHAnsi"/>
          <w:sz w:val="24"/>
          <w:szCs w:val="24"/>
        </w:rPr>
        <w:t xml:space="preserve">genetic manipulation </w:t>
      </w:r>
      <w:r w:rsidR="00FC452A">
        <w:rPr>
          <w:rFonts w:cstheme="minorHAnsi"/>
          <w:sz w:val="24"/>
          <w:szCs w:val="24"/>
        </w:rPr>
        <w:t>[7]</w:t>
      </w:r>
      <w:r w:rsidR="00317860">
        <w:rPr>
          <w:rFonts w:cstheme="minorHAnsi"/>
          <w:sz w:val="24"/>
          <w:szCs w:val="24"/>
        </w:rPr>
        <w:t xml:space="preserve"> and </w:t>
      </w:r>
      <w:r w:rsidR="00CE5B08" w:rsidRPr="004D451E">
        <w:rPr>
          <w:rFonts w:cstheme="minorHAnsi"/>
          <w:sz w:val="24"/>
          <w:szCs w:val="24"/>
        </w:rPr>
        <w:t>interventional therapy</w:t>
      </w:r>
      <w:r w:rsidR="00DE5553" w:rsidRPr="004D451E">
        <w:rPr>
          <w:rFonts w:cstheme="minorHAnsi"/>
          <w:sz w:val="24"/>
          <w:szCs w:val="24"/>
        </w:rPr>
        <w:t xml:space="preserve"> with a response time as narrow as 2 months</w:t>
      </w:r>
      <w:r w:rsidR="006567D9" w:rsidRPr="004D451E">
        <w:rPr>
          <w:rFonts w:cstheme="minorHAnsi"/>
          <w:sz w:val="24"/>
          <w:szCs w:val="24"/>
        </w:rPr>
        <w:t xml:space="preserve"> </w:t>
      </w:r>
      <w:r w:rsidR="00FC452A">
        <w:rPr>
          <w:rFonts w:cstheme="minorHAnsi"/>
          <w:sz w:val="24"/>
          <w:szCs w:val="24"/>
        </w:rPr>
        <w:t>[8]</w:t>
      </w:r>
      <w:r w:rsidR="00CE5B08" w:rsidRPr="004D451E">
        <w:rPr>
          <w:rFonts w:cstheme="minorHAnsi"/>
          <w:sz w:val="24"/>
          <w:szCs w:val="24"/>
        </w:rPr>
        <w:t xml:space="preserve">. </w:t>
      </w:r>
      <w:r w:rsidR="004C39C9" w:rsidRPr="004D451E">
        <w:rPr>
          <w:rFonts w:cstheme="minorHAnsi"/>
          <w:sz w:val="24"/>
          <w:szCs w:val="24"/>
        </w:rPr>
        <w:t>To ensure consistency of this new grading sys</w:t>
      </w:r>
      <w:r w:rsidR="00D01A6D" w:rsidRPr="004D451E">
        <w:rPr>
          <w:rFonts w:cstheme="minorHAnsi"/>
          <w:sz w:val="24"/>
          <w:szCs w:val="24"/>
        </w:rPr>
        <w:t>tem among different pathologist</w:t>
      </w:r>
      <w:r w:rsidR="00D66716" w:rsidRPr="004D451E">
        <w:rPr>
          <w:rFonts w:cstheme="minorHAnsi"/>
          <w:sz w:val="24"/>
          <w:szCs w:val="24"/>
        </w:rPr>
        <w:t>s</w:t>
      </w:r>
      <w:r w:rsidR="001A2B48" w:rsidRPr="004D451E">
        <w:rPr>
          <w:rFonts w:cstheme="minorHAnsi"/>
          <w:sz w:val="24"/>
          <w:szCs w:val="24"/>
        </w:rPr>
        <w:t>,</w:t>
      </w:r>
      <w:r w:rsidR="004C39C9" w:rsidRPr="004D451E">
        <w:rPr>
          <w:rFonts w:cstheme="minorHAnsi"/>
          <w:sz w:val="24"/>
          <w:szCs w:val="24"/>
        </w:rPr>
        <w:t xml:space="preserve"> proper training</w:t>
      </w:r>
      <w:r w:rsidR="00A00603" w:rsidRPr="004D451E">
        <w:rPr>
          <w:rFonts w:cstheme="minorHAnsi"/>
          <w:sz w:val="24"/>
          <w:szCs w:val="24"/>
        </w:rPr>
        <w:t xml:space="preserve"> </w:t>
      </w:r>
      <w:r w:rsidR="000D7247" w:rsidRPr="004D451E">
        <w:rPr>
          <w:rFonts w:cstheme="minorHAnsi"/>
          <w:sz w:val="24"/>
          <w:szCs w:val="24"/>
        </w:rPr>
        <w:t xml:space="preserve">is </w:t>
      </w:r>
      <w:r w:rsidR="00A00603" w:rsidRPr="004D451E">
        <w:rPr>
          <w:rFonts w:cstheme="minorHAnsi"/>
          <w:sz w:val="24"/>
          <w:szCs w:val="24"/>
        </w:rPr>
        <w:t>considered</w:t>
      </w:r>
      <w:r w:rsidR="004C39C9" w:rsidRPr="004D451E">
        <w:rPr>
          <w:rFonts w:cstheme="minorHAnsi"/>
          <w:sz w:val="24"/>
          <w:szCs w:val="24"/>
        </w:rPr>
        <w:t xml:space="preserve"> </w:t>
      </w:r>
      <w:r w:rsidR="00BC0F6F" w:rsidRPr="004D451E">
        <w:rPr>
          <w:rFonts w:cstheme="minorHAnsi"/>
          <w:sz w:val="24"/>
          <w:szCs w:val="24"/>
        </w:rPr>
        <w:t>crucial</w:t>
      </w:r>
      <w:r w:rsidR="004C39C9" w:rsidRPr="004D451E">
        <w:rPr>
          <w:rFonts w:cstheme="minorHAnsi"/>
          <w:sz w:val="24"/>
          <w:szCs w:val="24"/>
        </w:rPr>
        <w:t>.</w:t>
      </w:r>
      <w:r w:rsidR="004A5C5F" w:rsidRPr="004D451E">
        <w:rPr>
          <w:rFonts w:cstheme="minorHAnsi"/>
          <w:sz w:val="24"/>
          <w:szCs w:val="24"/>
        </w:rPr>
        <w:t xml:space="preserve"> </w:t>
      </w:r>
      <w:r w:rsidR="008E6C8E" w:rsidRPr="004D451E">
        <w:rPr>
          <w:rFonts w:cstheme="minorHAnsi"/>
          <w:sz w:val="24"/>
          <w:szCs w:val="24"/>
        </w:rPr>
        <w:t xml:space="preserve">To address this, </w:t>
      </w:r>
      <w:r w:rsidR="00F073C6">
        <w:rPr>
          <w:rFonts w:cstheme="minorHAnsi"/>
          <w:sz w:val="24"/>
          <w:szCs w:val="24"/>
        </w:rPr>
        <w:t>numerous</w:t>
      </w:r>
      <w:r w:rsidR="008E6C8E" w:rsidRPr="004D451E">
        <w:rPr>
          <w:rFonts w:cstheme="minorHAnsi"/>
          <w:sz w:val="24"/>
          <w:szCs w:val="24"/>
        </w:rPr>
        <w:t xml:space="preserve"> training tools</w:t>
      </w:r>
      <w:r w:rsidR="006567D9" w:rsidRPr="004D451E">
        <w:rPr>
          <w:rFonts w:cstheme="minorHAnsi"/>
          <w:sz w:val="24"/>
          <w:szCs w:val="24"/>
        </w:rPr>
        <w:t xml:space="preserve"> and venues</w:t>
      </w:r>
      <w:r w:rsidR="000D7247" w:rsidRPr="004D451E">
        <w:rPr>
          <w:rFonts w:cstheme="minorHAnsi"/>
          <w:sz w:val="24"/>
          <w:szCs w:val="24"/>
        </w:rPr>
        <w:t xml:space="preserve"> to complement the GGP</w:t>
      </w:r>
      <w:r w:rsidR="008E6C8E" w:rsidRPr="004D451E">
        <w:rPr>
          <w:rFonts w:cstheme="minorHAnsi"/>
          <w:sz w:val="24"/>
          <w:szCs w:val="24"/>
        </w:rPr>
        <w:t xml:space="preserve"> have been created</w:t>
      </w:r>
      <w:r w:rsidR="000D7247" w:rsidRPr="004D451E">
        <w:rPr>
          <w:rFonts w:cstheme="minorHAnsi"/>
          <w:sz w:val="24"/>
          <w:szCs w:val="24"/>
        </w:rPr>
        <w:t xml:space="preserve">, including workshops that offer practice-based learning </w:t>
      </w:r>
      <w:r w:rsidR="008E6C8E" w:rsidRPr="004D451E">
        <w:rPr>
          <w:rFonts w:cstheme="minorHAnsi"/>
          <w:sz w:val="24"/>
          <w:szCs w:val="24"/>
        </w:rPr>
        <w:t>and a Geropathology Research Network website containing “tissue collection guidelines”</w:t>
      </w:r>
      <w:r w:rsidR="00F073C6">
        <w:rPr>
          <w:rFonts w:cstheme="minorHAnsi"/>
          <w:sz w:val="24"/>
          <w:szCs w:val="24"/>
        </w:rPr>
        <w:t>,</w:t>
      </w:r>
      <w:r w:rsidR="008E6C8E" w:rsidRPr="004D451E">
        <w:rPr>
          <w:rFonts w:cstheme="minorHAnsi"/>
          <w:sz w:val="24"/>
          <w:szCs w:val="24"/>
        </w:rPr>
        <w:t xml:space="preserve"> “necropsy protocols”</w:t>
      </w:r>
      <w:r w:rsidR="00F073C6">
        <w:rPr>
          <w:rFonts w:cstheme="minorHAnsi"/>
          <w:sz w:val="24"/>
          <w:szCs w:val="24"/>
        </w:rPr>
        <w:t xml:space="preserve">, and a venue for publishing geropathology research notes. </w:t>
      </w:r>
      <w:r w:rsidR="00A00603" w:rsidRPr="004D451E">
        <w:rPr>
          <w:rFonts w:cstheme="minorHAnsi"/>
          <w:sz w:val="24"/>
          <w:szCs w:val="24"/>
        </w:rPr>
        <w:t xml:space="preserve"> </w:t>
      </w:r>
      <w:r w:rsidR="000D7247" w:rsidRPr="004D451E">
        <w:rPr>
          <w:rFonts w:cstheme="minorHAnsi"/>
          <w:sz w:val="24"/>
          <w:szCs w:val="24"/>
        </w:rPr>
        <w:t xml:space="preserve">A Mouse Geropathology Atlas is in development. </w:t>
      </w:r>
      <w:r w:rsidR="00F073C6">
        <w:rPr>
          <w:rFonts w:cstheme="minorHAnsi"/>
          <w:sz w:val="24"/>
          <w:szCs w:val="24"/>
        </w:rPr>
        <w:t xml:space="preserve">Details can be obtained from the </w:t>
      </w:r>
      <w:r w:rsidR="00F073C6" w:rsidRPr="004D451E">
        <w:rPr>
          <w:rFonts w:cstheme="minorHAnsi"/>
          <w:sz w:val="24"/>
          <w:szCs w:val="24"/>
        </w:rPr>
        <w:t>Geropathology Research Network website</w:t>
      </w:r>
      <w:r w:rsidR="00F073C6">
        <w:rPr>
          <w:rFonts w:cstheme="minorHAnsi"/>
          <w:sz w:val="24"/>
          <w:szCs w:val="24"/>
        </w:rPr>
        <w:t xml:space="preserve"> </w:t>
      </w:r>
      <w:r w:rsidR="00F073C6" w:rsidRPr="00FC452A">
        <w:rPr>
          <w:rFonts w:cstheme="minorHAnsi"/>
          <w:sz w:val="24"/>
          <w:szCs w:val="24"/>
          <w:u w:val="single"/>
        </w:rPr>
        <w:t>http://www.geropathology.org/.</w:t>
      </w:r>
    </w:p>
    <w:p w14:paraId="09ADEECF" w14:textId="77777777" w:rsidR="003F08C7" w:rsidRPr="004D451E" w:rsidRDefault="003F08C7" w:rsidP="004D451E">
      <w:pPr>
        <w:spacing w:after="0" w:line="240" w:lineRule="auto"/>
        <w:rPr>
          <w:rFonts w:cstheme="minorHAnsi"/>
          <w:sz w:val="24"/>
          <w:szCs w:val="24"/>
        </w:rPr>
      </w:pPr>
    </w:p>
    <w:p w14:paraId="550F8B26" w14:textId="1AB229B8" w:rsidR="0090766D" w:rsidRPr="004D451E" w:rsidRDefault="00FA7E73" w:rsidP="004D451E">
      <w:pPr>
        <w:spacing w:after="0" w:line="240" w:lineRule="auto"/>
        <w:rPr>
          <w:rFonts w:cstheme="minorHAnsi"/>
          <w:sz w:val="24"/>
          <w:szCs w:val="24"/>
        </w:rPr>
      </w:pPr>
      <w:r w:rsidRPr="004D451E">
        <w:rPr>
          <w:rFonts w:cstheme="minorHAnsi"/>
          <w:sz w:val="24"/>
          <w:szCs w:val="24"/>
        </w:rPr>
        <w:t>The laboratory mouse,</w:t>
      </w:r>
      <w:r w:rsidR="00E94942" w:rsidRPr="004D451E">
        <w:rPr>
          <w:rFonts w:cstheme="minorHAnsi"/>
          <w:sz w:val="24"/>
          <w:szCs w:val="24"/>
        </w:rPr>
        <w:t xml:space="preserve"> as an aging animal model</w:t>
      </w:r>
      <w:r w:rsidRPr="004D451E">
        <w:rPr>
          <w:rFonts w:cstheme="minorHAnsi"/>
          <w:sz w:val="24"/>
          <w:szCs w:val="24"/>
        </w:rPr>
        <w:t>,</w:t>
      </w:r>
      <w:r w:rsidR="00E94942" w:rsidRPr="004D451E">
        <w:rPr>
          <w:rFonts w:cstheme="minorHAnsi"/>
          <w:sz w:val="24"/>
          <w:szCs w:val="24"/>
        </w:rPr>
        <w:t xml:space="preserve"> provide</w:t>
      </w:r>
      <w:r w:rsidRPr="004D451E">
        <w:rPr>
          <w:rFonts w:cstheme="minorHAnsi"/>
          <w:sz w:val="24"/>
          <w:szCs w:val="24"/>
        </w:rPr>
        <w:t>s</w:t>
      </w:r>
      <w:r w:rsidR="00E94942" w:rsidRPr="004D451E">
        <w:rPr>
          <w:rFonts w:cstheme="minorHAnsi"/>
          <w:sz w:val="24"/>
          <w:szCs w:val="24"/>
        </w:rPr>
        <w:t xml:space="preserve"> </w:t>
      </w:r>
      <w:r w:rsidR="00FC1B60" w:rsidRPr="004D451E">
        <w:rPr>
          <w:rFonts w:cstheme="minorHAnsi"/>
          <w:sz w:val="24"/>
          <w:szCs w:val="24"/>
        </w:rPr>
        <w:t>numerous</w:t>
      </w:r>
      <w:r w:rsidR="00E94942" w:rsidRPr="004D451E">
        <w:rPr>
          <w:rFonts w:cstheme="minorHAnsi"/>
          <w:sz w:val="24"/>
          <w:szCs w:val="24"/>
        </w:rPr>
        <w:t xml:space="preserve"> advantages such as short lifespan, low price point, </w:t>
      </w:r>
      <w:r w:rsidR="00E03FE7" w:rsidRPr="004D451E">
        <w:rPr>
          <w:rFonts w:cstheme="minorHAnsi"/>
          <w:sz w:val="24"/>
          <w:szCs w:val="24"/>
        </w:rPr>
        <w:t xml:space="preserve">large sample size, </w:t>
      </w:r>
      <w:r w:rsidR="00E94942" w:rsidRPr="004D451E">
        <w:rPr>
          <w:rFonts w:cstheme="minorHAnsi"/>
          <w:sz w:val="24"/>
          <w:szCs w:val="24"/>
        </w:rPr>
        <w:t>and ease of en</w:t>
      </w:r>
      <w:r w:rsidR="00E03FE7" w:rsidRPr="004D451E">
        <w:rPr>
          <w:rFonts w:cstheme="minorHAnsi"/>
          <w:sz w:val="24"/>
          <w:szCs w:val="24"/>
        </w:rPr>
        <w:t xml:space="preserve">vironmental and genetic control. </w:t>
      </w:r>
      <w:r w:rsidR="002659E1" w:rsidRPr="004D451E">
        <w:rPr>
          <w:rFonts w:cstheme="minorHAnsi"/>
          <w:sz w:val="24"/>
          <w:szCs w:val="24"/>
        </w:rPr>
        <w:t xml:space="preserve">While </w:t>
      </w:r>
      <w:r w:rsidR="00E03FE7" w:rsidRPr="004D451E">
        <w:rPr>
          <w:rFonts w:cstheme="minorHAnsi"/>
          <w:sz w:val="24"/>
          <w:szCs w:val="24"/>
        </w:rPr>
        <w:t>mice</w:t>
      </w:r>
      <w:r w:rsidR="002659E1" w:rsidRPr="004D451E">
        <w:rPr>
          <w:rFonts w:cstheme="minorHAnsi"/>
          <w:sz w:val="24"/>
          <w:szCs w:val="24"/>
        </w:rPr>
        <w:t xml:space="preserve"> develop an array of age-related diseases and lesions, </w:t>
      </w:r>
      <w:r w:rsidR="00D92B21" w:rsidRPr="004D451E">
        <w:rPr>
          <w:rFonts w:cstheme="minorHAnsi"/>
          <w:sz w:val="24"/>
          <w:szCs w:val="24"/>
        </w:rPr>
        <w:t>there are variable differences from several</w:t>
      </w:r>
      <w:r w:rsidR="00D66716" w:rsidRPr="004D451E">
        <w:rPr>
          <w:rFonts w:cstheme="minorHAnsi"/>
          <w:sz w:val="24"/>
          <w:szCs w:val="24"/>
        </w:rPr>
        <w:t xml:space="preserve"> </w:t>
      </w:r>
      <w:r w:rsidR="002659E1" w:rsidRPr="004D451E">
        <w:rPr>
          <w:rFonts w:cstheme="minorHAnsi"/>
          <w:sz w:val="24"/>
          <w:szCs w:val="24"/>
        </w:rPr>
        <w:t>common human age-</w:t>
      </w:r>
      <w:r w:rsidR="00E94942" w:rsidRPr="004D451E">
        <w:rPr>
          <w:rFonts w:cstheme="minorHAnsi"/>
          <w:sz w:val="24"/>
          <w:szCs w:val="24"/>
        </w:rPr>
        <w:t>related disease</w:t>
      </w:r>
      <w:r w:rsidR="00D92B21" w:rsidRPr="004D451E">
        <w:rPr>
          <w:rFonts w:cstheme="minorHAnsi"/>
          <w:sz w:val="24"/>
          <w:szCs w:val="24"/>
        </w:rPr>
        <w:t xml:space="preserve"> conditions</w:t>
      </w:r>
      <w:r w:rsidR="00D01A6D" w:rsidRPr="004D451E">
        <w:rPr>
          <w:rFonts w:cstheme="minorHAnsi"/>
          <w:sz w:val="24"/>
          <w:szCs w:val="24"/>
        </w:rPr>
        <w:t>. Therefore, n</w:t>
      </w:r>
      <w:r w:rsidR="00E94942" w:rsidRPr="004D451E">
        <w:rPr>
          <w:rFonts w:cstheme="minorHAnsi"/>
          <w:sz w:val="24"/>
          <w:szCs w:val="24"/>
        </w:rPr>
        <w:t>onhuman primates</w:t>
      </w:r>
      <w:r w:rsidR="00266806" w:rsidRPr="004D451E">
        <w:rPr>
          <w:rFonts w:cstheme="minorHAnsi"/>
          <w:sz w:val="24"/>
          <w:szCs w:val="24"/>
        </w:rPr>
        <w:t xml:space="preserve"> (NHP</w:t>
      </w:r>
      <w:r w:rsidR="00D01A6D" w:rsidRPr="004D451E">
        <w:rPr>
          <w:rFonts w:cstheme="minorHAnsi"/>
          <w:sz w:val="24"/>
          <w:szCs w:val="24"/>
        </w:rPr>
        <w:t>s)</w:t>
      </w:r>
      <w:r w:rsidR="00A54CB3" w:rsidRPr="004D451E">
        <w:rPr>
          <w:rFonts w:cstheme="minorHAnsi"/>
          <w:sz w:val="24"/>
          <w:szCs w:val="24"/>
        </w:rPr>
        <w:t xml:space="preserve"> are considered an excellent</w:t>
      </w:r>
      <w:r w:rsidR="00E94942" w:rsidRPr="004D451E">
        <w:rPr>
          <w:rFonts w:cstheme="minorHAnsi"/>
          <w:sz w:val="24"/>
          <w:szCs w:val="24"/>
        </w:rPr>
        <w:t xml:space="preserve"> translational model as they share </w:t>
      </w:r>
      <w:r w:rsidR="00A54CB3" w:rsidRPr="004D451E">
        <w:rPr>
          <w:rFonts w:cstheme="minorHAnsi"/>
          <w:sz w:val="24"/>
          <w:szCs w:val="24"/>
        </w:rPr>
        <w:t>many</w:t>
      </w:r>
      <w:r w:rsidR="00E94942" w:rsidRPr="004D451E">
        <w:rPr>
          <w:rFonts w:cstheme="minorHAnsi"/>
          <w:sz w:val="24"/>
          <w:szCs w:val="24"/>
        </w:rPr>
        <w:t xml:space="preserve"> similarities in aging and </w:t>
      </w:r>
      <w:r w:rsidR="000D7247" w:rsidRPr="004D451E">
        <w:rPr>
          <w:rFonts w:cstheme="minorHAnsi"/>
          <w:sz w:val="24"/>
          <w:szCs w:val="24"/>
        </w:rPr>
        <w:t xml:space="preserve">spontaneous </w:t>
      </w:r>
      <w:r w:rsidR="00E94942" w:rsidRPr="004D451E">
        <w:rPr>
          <w:rFonts w:cstheme="minorHAnsi"/>
          <w:sz w:val="24"/>
          <w:szCs w:val="24"/>
        </w:rPr>
        <w:t xml:space="preserve">chronic </w:t>
      </w:r>
      <w:r w:rsidR="005C7EAD" w:rsidRPr="004D451E">
        <w:rPr>
          <w:rFonts w:cstheme="minorHAnsi"/>
          <w:sz w:val="24"/>
          <w:szCs w:val="24"/>
        </w:rPr>
        <w:lastRenderedPageBreak/>
        <w:t>diseases</w:t>
      </w:r>
      <w:r w:rsidR="00A54CB3" w:rsidRPr="004D451E">
        <w:rPr>
          <w:rFonts w:cstheme="minorHAnsi"/>
          <w:sz w:val="24"/>
          <w:szCs w:val="24"/>
        </w:rPr>
        <w:t xml:space="preserve"> with humans</w:t>
      </w:r>
      <w:r w:rsidR="006567D9" w:rsidRPr="004D451E">
        <w:rPr>
          <w:rFonts w:cstheme="minorHAnsi"/>
          <w:sz w:val="24"/>
          <w:szCs w:val="24"/>
        </w:rPr>
        <w:t xml:space="preserve"> </w:t>
      </w:r>
      <w:r w:rsidR="00FC452A">
        <w:rPr>
          <w:rFonts w:cstheme="minorHAnsi"/>
          <w:sz w:val="24"/>
          <w:szCs w:val="24"/>
        </w:rPr>
        <w:t>[3, 9]</w:t>
      </w:r>
      <w:r w:rsidR="00986240" w:rsidRPr="004D451E">
        <w:rPr>
          <w:rStyle w:val="CommentReference"/>
          <w:rFonts w:cstheme="minorHAnsi"/>
          <w:sz w:val="24"/>
          <w:szCs w:val="24"/>
        </w:rPr>
        <w:t>.</w:t>
      </w:r>
      <w:r w:rsidR="00E94942" w:rsidRPr="004D451E">
        <w:rPr>
          <w:rFonts w:cstheme="minorHAnsi"/>
          <w:sz w:val="24"/>
          <w:szCs w:val="24"/>
        </w:rPr>
        <w:t xml:space="preserve"> </w:t>
      </w:r>
      <w:r w:rsidR="0029338A" w:rsidRPr="004D451E">
        <w:rPr>
          <w:rFonts w:cstheme="minorHAnsi"/>
          <w:sz w:val="24"/>
          <w:szCs w:val="24"/>
        </w:rPr>
        <w:t xml:space="preserve">For example, the interactive nature of cognitive aging, synaptic aging, and endocrine status </w:t>
      </w:r>
      <w:r w:rsidR="000A5343" w:rsidRPr="004D451E">
        <w:rPr>
          <w:rFonts w:cstheme="minorHAnsi"/>
          <w:sz w:val="24"/>
          <w:szCs w:val="24"/>
        </w:rPr>
        <w:t>has been described</w:t>
      </w:r>
      <w:r w:rsidR="0029338A" w:rsidRPr="004D451E">
        <w:rPr>
          <w:rFonts w:cstheme="minorHAnsi"/>
          <w:sz w:val="24"/>
          <w:szCs w:val="24"/>
        </w:rPr>
        <w:t xml:space="preserve"> in NHPs</w:t>
      </w:r>
      <w:r w:rsidR="006567D9" w:rsidRPr="004D451E">
        <w:rPr>
          <w:rFonts w:cstheme="minorHAnsi"/>
          <w:sz w:val="24"/>
          <w:szCs w:val="24"/>
        </w:rPr>
        <w:t xml:space="preserve"> </w:t>
      </w:r>
      <w:r w:rsidR="00FC452A">
        <w:rPr>
          <w:rFonts w:cstheme="minorHAnsi"/>
          <w:sz w:val="24"/>
          <w:szCs w:val="24"/>
        </w:rPr>
        <w:t>[10]</w:t>
      </w:r>
      <w:r w:rsidRPr="004D451E">
        <w:rPr>
          <w:rFonts w:cstheme="minorHAnsi"/>
          <w:sz w:val="24"/>
          <w:szCs w:val="24"/>
        </w:rPr>
        <w:t>,</w:t>
      </w:r>
      <w:r w:rsidR="0029338A" w:rsidRPr="004D451E">
        <w:rPr>
          <w:rFonts w:cstheme="minorHAnsi"/>
          <w:sz w:val="24"/>
          <w:szCs w:val="24"/>
        </w:rPr>
        <w:t xml:space="preserve"> </w:t>
      </w:r>
      <w:r w:rsidR="000A5343" w:rsidRPr="004D451E">
        <w:rPr>
          <w:rFonts w:cstheme="minorHAnsi"/>
          <w:sz w:val="24"/>
          <w:szCs w:val="24"/>
        </w:rPr>
        <w:t>and</w:t>
      </w:r>
      <w:r w:rsidR="00BD48F6" w:rsidRPr="004D451E">
        <w:rPr>
          <w:rFonts w:cstheme="minorHAnsi"/>
          <w:sz w:val="24"/>
          <w:szCs w:val="24"/>
        </w:rPr>
        <w:t xml:space="preserve"> a relationship between increasing </w:t>
      </w:r>
      <w:r w:rsidR="00986240" w:rsidRPr="004D451E">
        <w:rPr>
          <w:rFonts w:cstheme="minorHAnsi"/>
          <w:sz w:val="24"/>
          <w:szCs w:val="24"/>
        </w:rPr>
        <w:t>tissue macrophages in heart during aging</w:t>
      </w:r>
      <w:r w:rsidR="000A5343" w:rsidRPr="004D451E">
        <w:rPr>
          <w:rFonts w:cstheme="minorHAnsi"/>
          <w:sz w:val="24"/>
          <w:szCs w:val="24"/>
        </w:rPr>
        <w:t xml:space="preserve"> has been identified</w:t>
      </w:r>
      <w:r w:rsidR="006567D9" w:rsidRPr="004D451E">
        <w:rPr>
          <w:rFonts w:cstheme="minorHAnsi"/>
          <w:sz w:val="24"/>
          <w:szCs w:val="24"/>
        </w:rPr>
        <w:t xml:space="preserve"> </w:t>
      </w:r>
      <w:r w:rsidR="00FC452A">
        <w:rPr>
          <w:rFonts w:cstheme="minorHAnsi"/>
          <w:sz w:val="24"/>
          <w:szCs w:val="24"/>
        </w:rPr>
        <w:t>[11]</w:t>
      </w:r>
      <w:r w:rsidR="00986240" w:rsidRPr="004D451E">
        <w:rPr>
          <w:rFonts w:cstheme="minorHAnsi"/>
          <w:sz w:val="24"/>
          <w:szCs w:val="24"/>
        </w:rPr>
        <w:t>.  H</w:t>
      </w:r>
      <w:r w:rsidR="0029338A" w:rsidRPr="004D451E">
        <w:rPr>
          <w:rFonts w:cstheme="minorHAnsi"/>
          <w:sz w:val="24"/>
          <w:szCs w:val="24"/>
        </w:rPr>
        <w:t>owever,</w:t>
      </w:r>
      <w:r w:rsidR="006567D9" w:rsidRPr="004D451E">
        <w:rPr>
          <w:rFonts w:cstheme="minorHAnsi"/>
          <w:sz w:val="24"/>
          <w:szCs w:val="24"/>
        </w:rPr>
        <w:t xml:space="preserve"> there</w:t>
      </w:r>
      <w:r w:rsidR="0029338A" w:rsidRPr="004D451E">
        <w:rPr>
          <w:rFonts w:cstheme="minorHAnsi"/>
          <w:sz w:val="24"/>
          <w:szCs w:val="24"/>
        </w:rPr>
        <w:t xml:space="preserve"> </w:t>
      </w:r>
      <w:r w:rsidRPr="004D451E">
        <w:rPr>
          <w:rFonts w:cstheme="minorHAnsi"/>
          <w:sz w:val="24"/>
          <w:szCs w:val="24"/>
        </w:rPr>
        <w:t xml:space="preserve">are </w:t>
      </w:r>
      <w:r w:rsidR="0029338A" w:rsidRPr="004D451E">
        <w:rPr>
          <w:rFonts w:cstheme="minorHAnsi"/>
          <w:sz w:val="24"/>
          <w:szCs w:val="24"/>
        </w:rPr>
        <w:t xml:space="preserve">very few detailed analyses of </w:t>
      </w:r>
      <w:r w:rsidR="006E056A" w:rsidRPr="004D451E">
        <w:rPr>
          <w:rFonts w:cstheme="minorHAnsi"/>
          <w:sz w:val="24"/>
          <w:szCs w:val="24"/>
        </w:rPr>
        <w:t xml:space="preserve">NHP </w:t>
      </w:r>
      <w:r w:rsidR="00310581" w:rsidRPr="004D451E">
        <w:rPr>
          <w:rFonts w:cstheme="minorHAnsi"/>
          <w:sz w:val="24"/>
          <w:szCs w:val="24"/>
        </w:rPr>
        <w:t xml:space="preserve">peripheral </w:t>
      </w:r>
      <w:r w:rsidR="0029338A" w:rsidRPr="004D451E">
        <w:rPr>
          <w:rFonts w:cstheme="minorHAnsi"/>
          <w:sz w:val="24"/>
          <w:szCs w:val="24"/>
        </w:rPr>
        <w:t>organ</w:t>
      </w:r>
      <w:r w:rsidR="00310581" w:rsidRPr="004D451E">
        <w:rPr>
          <w:rFonts w:cstheme="minorHAnsi"/>
          <w:sz w:val="24"/>
          <w:szCs w:val="24"/>
        </w:rPr>
        <w:t>s</w:t>
      </w:r>
      <w:r w:rsidR="0029338A" w:rsidRPr="004D451E">
        <w:rPr>
          <w:rFonts w:cstheme="minorHAnsi"/>
          <w:sz w:val="24"/>
          <w:szCs w:val="24"/>
        </w:rPr>
        <w:t xml:space="preserve"> </w:t>
      </w:r>
      <w:r w:rsidR="00310581" w:rsidRPr="004D451E">
        <w:rPr>
          <w:rFonts w:cstheme="minorHAnsi"/>
          <w:sz w:val="24"/>
          <w:szCs w:val="24"/>
        </w:rPr>
        <w:t>on</w:t>
      </w:r>
      <w:r w:rsidR="0029338A" w:rsidRPr="004D451E">
        <w:rPr>
          <w:rFonts w:cstheme="minorHAnsi"/>
          <w:sz w:val="24"/>
          <w:szCs w:val="24"/>
        </w:rPr>
        <w:t xml:space="preserve"> how </w:t>
      </w:r>
      <w:r w:rsidR="0090766D" w:rsidRPr="004D451E">
        <w:rPr>
          <w:rFonts w:cstheme="minorHAnsi"/>
          <w:sz w:val="24"/>
          <w:szCs w:val="24"/>
        </w:rPr>
        <w:t xml:space="preserve">systemic </w:t>
      </w:r>
      <w:r w:rsidR="0029338A" w:rsidRPr="004D451E">
        <w:rPr>
          <w:rFonts w:cstheme="minorHAnsi"/>
          <w:sz w:val="24"/>
          <w:szCs w:val="24"/>
        </w:rPr>
        <w:t xml:space="preserve">pathologic alterations </w:t>
      </w:r>
      <w:r w:rsidR="0090766D" w:rsidRPr="004D451E">
        <w:rPr>
          <w:rFonts w:cstheme="minorHAnsi"/>
          <w:sz w:val="24"/>
          <w:szCs w:val="24"/>
        </w:rPr>
        <w:t>may be associated with</w:t>
      </w:r>
      <w:r w:rsidR="0029338A" w:rsidRPr="004D451E">
        <w:rPr>
          <w:rFonts w:cstheme="minorHAnsi"/>
          <w:sz w:val="24"/>
          <w:szCs w:val="24"/>
        </w:rPr>
        <w:t xml:space="preserve"> </w:t>
      </w:r>
      <w:r w:rsidR="0090766D" w:rsidRPr="004D451E">
        <w:rPr>
          <w:rFonts w:cstheme="minorHAnsi"/>
          <w:sz w:val="24"/>
          <w:szCs w:val="24"/>
        </w:rPr>
        <w:t xml:space="preserve">neuronal </w:t>
      </w:r>
      <w:r w:rsidR="0029338A" w:rsidRPr="004D451E">
        <w:rPr>
          <w:rFonts w:cstheme="minorHAnsi"/>
          <w:sz w:val="24"/>
          <w:szCs w:val="24"/>
        </w:rPr>
        <w:t xml:space="preserve">changes. </w:t>
      </w:r>
      <w:r w:rsidR="006E056A" w:rsidRPr="004D451E">
        <w:rPr>
          <w:rFonts w:cstheme="minorHAnsi"/>
          <w:sz w:val="24"/>
          <w:szCs w:val="24"/>
        </w:rPr>
        <w:t>Archived</w:t>
      </w:r>
      <w:r w:rsidR="0029338A" w:rsidRPr="004D451E">
        <w:rPr>
          <w:rFonts w:cstheme="minorHAnsi"/>
          <w:sz w:val="24"/>
          <w:szCs w:val="24"/>
        </w:rPr>
        <w:t xml:space="preserve"> tissue samples are available</w:t>
      </w:r>
      <w:r w:rsidR="006E056A" w:rsidRPr="004D451E">
        <w:rPr>
          <w:rFonts w:cstheme="minorHAnsi"/>
          <w:sz w:val="24"/>
          <w:szCs w:val="24"/>
        </w:rPr>
        <w:t xml:space="preserve"> for analysis</w:t>
      </w:r>
      <w:r w:rsidR="0029338A" w:rsidRPr="004D451E">
        <w:rPr>
          <w:rFonts w:cstheme="minorHAnsi"/>
          <w:sz w:val="24"/>
          <w:szCs w:val="24"/>
        </w:rPr>
        <w:t xml:space="preserve">, but there has been no systematic approach to a more comprehensive pathologic survey in studies targeting the brain, even though one would expect cardiac </w:t>
      </w:r>
      <w:r w:rsidR="006E056A" w:rsidRPr="004D451E">
        <w:rPr>
          <w:rFonts w:cstheme="minorHAnsi"/>
          <w:sz w:val="24"/>
          <w:szCs w:val="24"/>
        </w:rPr>
        <w:t>and/</w:t>
      </w:r>
      <w:r w:rsidR="0029338A" w:rsidRPr="004D451E">
        <w:rPr>
          <w:rFonts w:cstheme="minorHAnsi"/>
          <w:sz w:val="24"/>
          <w:szCs w:val="24"/>
        </w:rPr>
        <w:t>or pulmonary health status to contribute to brain health.</w:t>
      </w:r>
      <w:r w:rsidR="00B77F7E" w:rsidRPr="004D451E">
        <w:rPr>
          <w:rFonts w:cstheme="minorHAnsi"/>
          <w:sz w:val="24"/>
          <w:szCs w:val="24"/>
        </w:rPr>
        <w:t xml:space="preserve"> </w:t>
      </w:r>
      <w:r w:rsidR="00A46457" w:rsidRPr="004D451E">
        <w:rPr>
          <w:rFonts w:cstheme="minorHAnsi"/>
          <w:sz w:val="24"/>
          <w:szCs w:val="24"/>
        </w:rPr>
        <w:t>Studies of HIV-associated aging provide another valuable but underutilized resource.</w:t>
      </w:r>
      <w:r w:rsidR="000A5343" w:rsidRPr="004D451E">
        <w:rPr>
          <w:rFonts w:cstheme="minorHAnsi"/>
          <w:sz w:val="24"/>
          <w:szCs w:val="24"/>
        </w:rPr>
        <w:t xml:space="preserve"> </w:t>
      </w:r>
      <w:r w:rsidR="00B77F7E" w:rsidRPr="004D451E">
        <w:rPr>
          <w:rFonts w:cstheme="minorHAnsi"/>
          <w:sz w:val="24"/>
          <w:szCs w:val="24"/>
        </w:rPr>
        <w:t>Persons living with HIV have been surviving longer due to the efficacy of anti-retroviral therapy</w:t>
      </w:r>
      <w:r w:rsidR="00A46457" w:rsidRPr="004D451E">
        <w:rPr>
          <w:rFonts w:cstheme="minorHAnsi"/>
          <w:sz w:val="24"/>
          <w:szCs w:val="24"/>
        </w:rPr>
        <w:t>,</w:t>
      </w:r>
      <w:r w:rsidR="00B77F7E" w:rsidRPr="004D451E">
        <w:rPr>
          <w:rFonts w:cstheme="minorHAnsi"/>
          <w:sz w:val="24"/>
          <w:szCs w:val="24"/>
        </w:rPr>
        <w:t xml:space="preserve"> but </w:t>
      </w:r>
      <w:r w:rsidR="00A46457" w:rsidRPr="004D451E">
        <w:rPr>
          <w:rFonts w:cstheme="minorHAnsi"/>
          <w:sz w:val="24"/>
          <w:szCs w:val="24"/>
        </w:rPr>
        <w:t xml:space="preserve">they </w:t>
      </w:r>
      <w:r w:rsidR="00B77F7E" w:rsidRPr="004D451E">
        <w:rPr>
          <w:rFonts w:cstheme="minorHAnsi"/>
          <w:sz w:val="24"/>
          <w:szCs w:val="24"/>
        </w:rPr>
        <w:t>also develop aging-like chr</w:t>
      </w:r>
      <w:r w:rsidR="00266806" w:rsidRPr="004D451E">
        <w:rPr>
          <w:rFonts w:cstheme="minorHAnsi"/>
          <w:sz w:val="24"/>
          <w:szCs w:val="24"/>
        </w:rPr>
        <w:t>onic inflammatory diseases earlier</w:t>
      </w:r>
      <w:r w:rsidR="00B77F7E" w:rsidRPr="004D451E">
        <w:rPr>
          <w:rFonts w:cstheme="minorHAnsi"/>
          <w:sz w:val="24"/>
          <w:szCs w:val="24"/>
        </w:rPr>
        <w:t xml:space="preserve"> than non-HIV-infected individuals, often referred to as accelerated or accentuated aging</w:t>
      </w:r>
      <w:r w:rsidR="006567D9" w:rsidRPr="004D451E">
        <w:rPr>
          <w:rFonts w:cstheme="minorHAnsi"/>
          <w:sz w:val="24"/>
          <w:szCs w:val="24"/>
        </w:rPr>
        <w:t xml:space="preserve"> </w:t>
      </w:r>
      <w:r w:rsidR="00FC452A">
        <w:rPr>
          <w:rFonts w:cstheme="minorHAnsi"/>
          <w:sz w:val="24"/>
          <w:szCs w:val="24"/>
        </w:rPr>
        <w:t>[12]</w:t>
      </w:r>
      <w:r w:rsidR="00B77F7E" w:rsidRPr="004D451E">
        <w:rPr>
          <w:rFonts w:cstheme="minorHAnsi"/>
          <w:sz w:val="24"/>
          <w:szCs w:val="24"/>
        </w:rPr>
        <w:t xml:space="preserve">. </w:t>
      </w:r>
      <w:r w:rsidR="00A46457" w:rsidRPr="004D451E">
        <w:rPr>
          <w:rFonts w:cstheme="minorHAnsi"/>
          <w:sz w:val="24"/>
          <w:szCs w:val="24"/>
        </w:rPr>
        <w:t>Thus far, s</w:t>
      </w:r>
      <w:r w:rsidR="00B77F7E" w:rsidRPr="004D451E">
        <w:rPr>
          <w:rFonts w:cstheme="minorHAnsi"/>
          <w:sz w:val="24"/>
          <w:szCs w:val="24"/>
        </w:rPr>
        <w:t>tudies using SIV-infected rhesus macaques to address accelerated aging a</w:t>
      </w:r>
      <w:r w:rsidR="00A46457" w:rsidRPr="004D451E">
        <w:rPr>
          <w:rFonts w:cstheme="minorHAnsi"/>
          <w:sz w:val="24"/>
          <w:szCs w:val="24"/>
        </w:rPr>
        <w:t>nd</w:t>
      </w:r>
      <w:r w:rsidR="00B77F7E" w:rsidRPr="004D451E">
        <w:rPr>
          <w:rFonts w:cstheme="minorHAnsi"/>
          <w:sz w:val="24"/>
          <w:szCs w:val="24"/>
        </w:rPr>
        <w:t xml:space="preserve"> macrophage-associated pathogenesis in lung and gut </w:t>
      </w:r>
      <w:r w:rsidR="000A5343" w:rsidRPr="004D451E">
        <w:rPr>
          <w:rFonts w:cstheme="minorHAnsi"/>
          <w:sz w:val="24"/>
          <w:szCs w:val="24"/>
        </w:rPr>
        <w:t xml:space="preserve">have </w:t>
      </w:r>
      <w:r w:rsidR="00B77F7E" w:rsidRPr="004D451E">
        <w:rPr>
          <w:rFonts w:cstheme="minorHAnsi"/>
          <w:sz w:val="24"/>
          <w:szCs w:val="24"/>
        </w:rPr>
        <w:t xml:space="preserve">demonstrated that increased blood monocyte turnover </w:t>
      </w:r>
      <w:r w:rsidR="000A5343" w:rsidRPr="004D451E">
        <w:rPr>
          <w:rFonts w:cstheme="minorHAnsi"/>
          <w:sz w:val="24"/>
          <w:szCs w:val="24"/>
        </w:rPr>
        <w:t>is</w:t>
      </w:r>
      <w:r w:rsidR="00B77F7E" w:rsidRPr="004D451E">
        <w:rPr>
          <w:rFonts w:cstheme="minorHAnsi"/>
          <w:sz w:val="24"/>
          <w:szCs w:val="24"/>
        </w:rPr>
        <w:t xml:space="preserve"> associated with increased destruction of shorter-lived</w:t>
      </w:r>
      <w:r w:rsidR="000A5343" w:rsidRPr="004D451E">
        <w:rPr>
          <w:rFonts w:cstheme="minorHAnsi"/>
          <w:sz w:val="24"/>
          <w:szCs w:val="24"/>
        </w:rPr>
        <w:t>, viral infected</w:t>
      </w:r>
      <w:r w:rsidR="00B77F7E" w:rsidRPr="004D451E">
        <w:rPr>
          <w:rFonts w:cstheme="minorHAnsi"/>
          <w:sz w:val="24"/>
          <w:szCs w:val="24"/>
        </w:rPr>
        <w:t xml:space="preserve"> tissue macrophages</w:t>
      </w:r>
      <w:r w:rsidR="006567D9" w:rsidRPr="004D451E">
        <w:rPr>
          <w:rFonts w:cstheme="minorHAnsi"/>
          <w:sz w:val="24"/>
          <w:szCs w:val="24"/>
        </w:rPr>
        <w:t xml:space="preserve"> </w:t>
      </w:r>
      <w:r w:rsidR="002A0CD5">
        <w:rPr>
          <w:rFonts w:cstheme="minorHAnsi"/>
          <w:sz w:val="24"/>
          <w:szCs w:val="24"/>
        </w:rPr>
        <w:t>[</w:t>
      </w:r>
      <w:r w:rsidR="00FC452A">
        <w:rPr>
          <w:rFonts w:cstheme="minorHAnsi"/>
          <w:sz w:val="24"/>
          <w:szCs w:val="24"/>
        </w:rPr>
        <w:t>13-16]</w:t>
      </w:r>
      <w:r w:rsidR="000A5343" w:rsidRPr="004D451E">
        <w:rPr>
          <w:rFonts w:cstheme="minorHAnsi"/>
          <w:sz w:val="24"/>
          <w:szCs w:val="24"/>
        </w:rPr>
        <w:t xml:space="preserve">. </w:t>
      </w:r>
      <w:r w:rsidR="00B77F7E" w:rsidRPr="004D451E">
        <w:rPr>
          <w:rFonts w:cstheme="minorHAnsi"/>
          <w:sz w:val="24"/>
          <w:szCs w:val="24"/>
        </w:rPr>
        <w:t xml:space="preserve"> Such studies on “</w:t>
      </w:r>
      <w:proofErr w:type="spellStart"/>
      <w:r w:rsidR="00B77F7E" w:rsidRPr="004D451E">
        <w:rPr>
          <w:rFonts w:cstheme="minorHAnsi"/>
          <w:sz w:val="24"/>
          <w:szCs w:val="24"/>
        </w:rPr>
        <w:t>inflamm</w:t>
      </w:r>
      <w:proofErr w:type="spellEnd"/>
      <w:r w:rsidR="00B77F7E" w:rsidRPr="004D451E">
        <w:rPr>
          <w:rFonts w:cstheme="minorHAnsi"/>
          <w:sz w:val="24"/>
          <w:szCs w:val="24"/>
        </w:rPr>
        <w:t xml:space="preserve">-aging” would benefit from </w:t>
      </w:r>
      <w:r w:rsidR="006E056A" w:rsidRPr="004D451E">
        <w:rPr>
          <w:rFonts w:cstheme="minorHAnsi"/>
          <w:sz w:val="24"/>
          <w:szCs w:val="24"/>
        </w:rPr>
        <w:t xml:space="preserve">the </w:t>
      </w:r>
      <w:r w:rsidR="00B77F7E" w:rsidRPr="004D451E">
        <w:rPr>
          <w:rFonts w:cstheme="minorHAnsi"/>
          <w:sz w:val="24"/>
          <w:szCs w:val="24"/>
        </w:rPr>
        <w:t xml:space="preserve">application of a geropathology grading platform to help </w:t>
      </w:r>
      <w:r w:rsidR="006E056A" w:rsidRPr="004D451E">
        <w:rPr>
          <w:rFonts w:cstheme="minorHAnsi"/>
          <w:sz w:val="24"/>
          <w:szCs w:val="24"/>
        </w:rPr>
        <w:t xml:space="preserve">better </w:t>
      </w:r>
      <w:r w:rsidR="00B77F7E" w:rsidRPr="004D451E">
        <w:rPr>
          <w:rFonts w:cstheme="minorHAnsi"/>
          <w:sz w:val="24"/>
          <w:szCs w:val="24"/>
        </w:rPr>
        <w:t>define the mechanisms and impact of macrophages on diseases of aging in specific tissues.</w:t>
      </w:r>
      <w:r w:rsidR="00C61A70" w:rsidRPr="004D451E">
        <w:rPr>
          <w:rFonts w:cstheme="minorHAnsi"/>
          <w:sz w:val="24"/>
          <w:szCs w:val="24"/>
        </w:rPr>
        <w:t xml:space="preserve"> </w:t>
      </w:r>
    </w:p>
    <w:p w14:paraId="0C0BAF9C" w14:textId="1B230C9B" w:rsidR="003F08C7" w:rsidRDefault="003F08C7" w:rsidP="004D451E">
      <w:pPr>
        <w:spacing w:after="0" w:line="240" w:lineRule="auto"/>
        <w:rPr>
          <w:rFonts w:cstheme="minorHAnsi"/>
          <w:sz w:val="24"/>
          <w:szCs w:val="24"/>
        </w:rPr>
      </w:pPr>
    </w:p>
    <w:p w14:paraId="2AA759E5" w14:textId="601A13B5" w:rsidR="009F1688" w:rsidRPr="009F1688" w:rsidRDefault="009F1688" w:rsidP="004D451E">
      <w:pPr>
        <w:spacing w:after="0" w:line="240" w:lineRule="auto"/>
        <w:rPr>
          <w:rFonts w:cstheme="minorHAnsi"/>
          <w:b/>
          <w:bCs/>
          <w:sz w:val="24"/>
          <w:szCs w:val="24"/>
        </w:rPr>
      </w:pPr>
      <w:r w:rsidRPr="009F1688">
        <w:rPr>
          <w:rFonts w:cstheme="minorHAnsi"/>
          <w:b/>
          <w:bCs/>
          <w:sz w:val="24"/>
          <w:szCs w:val="24"/>
        </w:rPr>
        <w:t>Geropathology in Rhesus macaques</w:t>
      </w:r>
    </w:p>
    <w:p w14:paraId="757987FA" w14:textId="17D9BACB" w:rsidR="006451E6" w:rsidRPr="004D451E" w:rsidRDefault="002659E1" w:rsidP="004D451E">
      <w:pPr>
        <w:spacing w:after="0" w:line="240" w:lineRule="auto"/>
        <w:rPr>
          <w:rFonts w:cstheme="minorHAnsi"/>
          <w:sz w:val="24"/>
          <w:szCs w:val="24"/>
        </w:rPr>
      </w:pPr>
      <w:r w:rsidRPr="004D451E">
        <w:rPr>
          <w:rFonts w:cstheme="minorHAnsi"/>
          <w:sz w:val="24"/>
          <w:szCs w:val="24"/>
        </w:rPr>
        <w:t>Descriptive a</w:t>
      </w:r>
      <w:r w:rsidR="00BD1B33" w:rsidRPr="004D451E">
        <w:rPr>
          <w:rFonts w:cstheme="minorHAnsi"/>
          <w:sz w:val="24"/>
          <w:szCs w:val="24"/>
        </w:rPr>
        <w:t xml:space="preserve">ge-associated pathology in </w:t>
      </w:r>
      <w:r w:rsidR="00A510C2" w:rsidRPr="004D451E">
        <w:rPr>
          <w:rFonts w:cstheme="minorHAnsi"/>
          <w:sz w:val="24"/>
          <w:szCs w:val="24"/>
        </w:rPr>
        <w:t>NHP</w:t>
      </w:r>
      <w:r w:rsidR="00BD1B33" w:rsidRPr="004D451E">
        <w:rPr>
          <w:rFonts w:cstheme="minorHAnsi"/>
          <w:sz w:val="24"/>
          <w:szCs w:val="24"/>
        </w:rPr>
        <w:t>s has been successfully documented in the literature, but a grading platform</w:t>
      </w:r>
      <w:r w:rsidR="00BC0F6F" w:rsidRPr="004D451E">
        <w:rPr>
          <w:rFonts w:cstheme="minorHAnsi"/>
          <w:sz w:val="24"/>
          <w:szCs w:val="24"/>
        </w:rPr>
        <w:t xml:space="preserve"> similar to the GGP</w:t>
      </w:r>
      <w:r w:rsidR="00BD1B33" w:rsidRPr="004D451E">
        <w:rPr>
          <w:rFonts w:cstheme="minorHAnsi"/>
          <w:sz w:val="24"/>
          <w:szCs w:val="24"/>
        </w:rPr>
        <w:t xml:space="preserve"> does not yet exist.  </w:t>
      </w:r>
      <w:r w:rsidR="00BC0F6F" w:rsidRPr="004D451E">
        <w:rPr>
          <w:rFonts w:cstheme="minorHAnsi"/>
          <w:sz w:val="24"/>
          <w:szCs w:val="24"/>
        </w:rPr>
        <w:t>To gauge the</w:t>
      </w:r>
      <w:r w:rsidRPr="004D451E">
        <w:rPr>
          <w:rFonts w:cstheme="minorHAnsi"/>
          <w:sz w:val="24"/>
          <w:szCs w:val="24"/>
        </w:rPr>
        <w:t xml:space="preserve"> potential</w:t>
      </w:r>
      <w:r w:rsidR="00BC0F6F" w:rsidRPr="004D451E">
        <w:rPr>
          <w:rFonts w:cstheme="minorHAnsi"/>
          <w:sz w:val="24"/>
          <w:szCs w:val="24"/>
        </w:rPr>
        <w:t xml:space="preserve"> </w:t>
      </w:r>
      <w:r w:rsidR="006E056A" w:rsidRPr="004D451E">
        <w:rPr>
          <w:rFonts w:cstheme="minorHAnsi"/>
          <w:sz w:val="24"/>
          <w:szCs w:val="24"/>
        </w:rPr>
        <w:t xml:space="preserve">utility </w:t>
      </w:r>
      <w:r w:rsidR="00BC0F6F" w:rsidRPr="004D451E">
        <w:rPr>
          <w:rFonts w:cstheme="minorHAnsi"/>
          <w:sz w:val="24"/>
          <w:szCs w:val="24"/>
        </w:rPr>
        <w:t xml:space="preserve">of </w:t>
      </w:r>
      <w:r w:rsidR="004A5C5F" w:rsidRPr="004D451E">
        <w:rPr>
          <w:rFonts w:cstheme="minorHAnsi"/>
          <w:sz w:val="24"/>
          <w:szCs w:val="24"/>
        </w:rPr>
        <w:t>a modified NHP GGP</w:t>
      </w:r>
      <w:r w:rsidR="006E056A" w:rsidRPr="004D451E">
        <w:rPr>
          <w:rFonts w:cstheme="minorHAnsi"/>
          <w:sz w:val="24"/>
          <w:szCs w:val="24"/>
        </w:rPr>
        <w:t xml:space="preserve"> in rhesus macaques, </w:t>
      </w:r>
      <w:r w:rsidR="00BC0F6F" w:rsidRPr="004D451E">
        <w:rPr>
          <w:rFonts w:cstheme="minorHAnsi"/>
          <w:sz w:val="24"/>
          <w:szCs w:val="24"/>
        </w:rPr>
        <w:t xml:space="preserve">two organs, kidney and heart, were examined </w:t>
      </w:r>
      <w:r w:rsidR="006E056A" w:rsidRPr="004D451E">
        <w:rPr>
          <w:rFonts w:cstheme="minorHAnsi"/>
          <w:sz w:val="24"/>
          <w:szCs w:val="24"/>
        </w:rPr>
        <w:t xml:space="preserve">in </w:t>
      </w:r>
      <w:r w:rsidR="00BC0F6F" w:rsidRPr="004D451E">
        <w:rPr>
          <w:rFonts w:cstheme="minorHAnsi"/>
          <w:sz w:val="24"/>
          <w:szCs w:val="24"/>
        </w:rPr>
        <w:t xml:space="preserve">3 different </w:t>
      </w:r>
      <w:r w:rsidR="006E056A" w:rsidRPr="004D451E">
        <w:rPr>
          <w:rFonts w:cstheme="minorHAnsi"/>
          <w:sz w:val="24"/>
          <w:szCs w:val="24"/>
        </w:rPr>
        <w:t xml:space="preserve">age groups </w:t>
      </w:r>
      <w:r w:rsidR="00DD10E1" w:rsidRPr="004D451E">
        <w:rPr>
          <w:rFonts w:cstheme="minorHAnsi"/>
          <w:sz w:val="24"/>
          <w:szCs w:val="24"/>
        </w:rPr>
        <w:t xml:space="preserve">(1-9 years old, 10-18 years old, and </w:t>
      </w:r>
      <w:r w:rsidR="006E056A" w:rsidRPr="004D451E">
        <w:rPr>
          <w:rFonts w:cstheme="minorHAnsi"/>
          <w:sz w:val="24"/>
          <w:szCs w:val="24"/>
        </w:rPr>
        <w:sym w:font="Symbol" w:char="F0B3"/>
      </w:r>
      <w:r w:rsidR="00DD10E1" w:rsidRPr="004D451E">
        <w:rPr>
          <w:rFonts w:cstheme="minorHAnsi"/>
          <w:sz w:val="24"/>
          <w:szCs w:val="24"/>
        </w:rPr>
        <w:t>19 years</w:t>
      </w:r>
      <w:r w:rsidR="006E056A" w:rsidRPr="004D451E">
        <w:rPr>
          <w:rFonts w:cstheme="minorHAnsi"/>
          <w:sz w:val="24"/>
          <w:szCs w:val="24"/>
        </w:rPr>
        <w:t xml:space="preserve"> old</w:t>
      </w:r>
      <w:r w:rsidR="00DD10E1" w:rsidRPr="004D451E">
        <w:rPr>
          <w:rFonts w:cstheme="minorHAnsi"/>
          <w:sz w:val="24"/>
          <w:szCs w:val="24"/>
        </w:rPr>
        <w:t>)</w:t>
      </w:r>
      <w:r w:rsidR="00BC0F6F" w:rsidRPr="004D451E">
        <w:rPr>
          <w:rFonts w:cstheme="minorHAnsi"/>
          <w:sz w:val="24"/>
          <w:szCs w:val="24"/>
        </w:rPr>
        <w:t xml:space="preserve">. </w:t>
      </w:r>
      <w:r w:rsidR="00DD10E1" w:rsidRPr="004D451E">
        <w:rPr>
          <w:rFonts w:cstheme="minorHAnsi"/>
          <w:sz w:val="24"/>
          <w:szCs w:val="24"/>
        </w:rPr>
        <w:t>Ten animals were assessed per age group</w:t>
      </w:r>
      <w:r w:rsidR="00A46457" w:rsidRPr="004D451E">
        <w:rPr>
          <w:rFonts w:cstheme="minorHAnsi"/>
          <w:sz w:val="24"/>
          <w:szCs w:val="24"/>
        </w:rPr>
        <w:t xml:space="preserve"> separately by two veterinary pathologists</w:t>
      </w:r>
      <w:r w:rsidR="00DD10E1" w:rsidRPr="004D451E">
        <w:rPr>
          <w:rFonts w:cstheme="minorHAnsi"/>
          <w:sz w:val="24"/>
          <w:szCs w:val="24"/>
        </w:rPr>
        <w:t xml:space="preserve">. </w:t>
      </w:r>
      <w:r w:rsidR="00BC0F6F" w:rsidRPr="004D451E">
        <w:rPr>
          <w:rFonts w:cstheme="minorHAnsi"/>
          <w:sz w:val="24"/>
          <w:szCs w:val="24"/>
        </w:rPr>
        <w:t xml:space="preserve">Organ composite scores were created using </w:t>
      </w:r>
      <w:r w:rsidR="004A5C5F" w:rsidRPr="004D451E">
        <w:rPr>
          <w:rFonts w:cstheme="minorHAnsi"/>
          <w:sz w:val="24"/>
          <w:szCs w:val="24"/>
        </w:rPr>
        <w:t>published aged</w:t>
      </w:r>
      <w:r w:rsidR="003F08C7" w:rsidRPr="004D451E">
        <w:rPr>
          <w:rFonts w:cstheme="minorHAnsi"/>
          <w:sz w:val="24"/>
          <w:szCs w:val="24"/>
        </w:rPr>
        <w:t xml:space="preserve"> lesions from</w:t>
      </w:r>
      <w:r w:rsidR="00BC0F6F" w:rsidRPr="004D451E">
        <w:rPr>
          <w:rFonts w:cstheme="minorHAnsi"/>
          <w:sz w:val="24"/>
          <w:szCs w:val="24"/>
        </w:rPr>
        <w:t xml:space="preserve"> each organ as a general </w:t>
      </w:r>
      <w:r w:rsidR="000F4A6D" w:rsidRPr="004D451E">
        <w:rPr>
          <w:rFonts w:cstheme="minorHAnsi"/>
          <w:sz w:val="24"/>
          <w:szCs w:val="24"/>
        </w:rPr>
        <w:t>guideline</w:t>
      </w:r>
      <w:r w:rsidR="0063600D" w:rsidRPr="004D451E">
        <w:rPr>
          <w:rFonts w:cstheme="minorHAnsi"/>
          <w:sz w:val="24"/>
          <w:szCs w:val="24"/>
        </w:rPr>
        <w:t xml:space="preserve"> </w:t>
      </w:r>
      <w:r w:rsidR="00927247">
        <w:rPr>
          <w:rFonts w:cstheme="minorHAnsi"/>
          <w:sz w:val="24"/>
          <w:szCs w:val="24"/>
        </w:rPr>
        <w:t>[17]</w:t>
      </w:r>
      <w:r w:rsidR="00BC0F6F" w:rsidRPr="004D451E">
        <w:rPr>
          <w:rFonts w:cstheme="minorHAnsi"/>
          <w:sz w:val="24"/>
          <w:szCs w:val="24"/>
        </w:rPr>
        <w:t xml:space="preserve">. </w:t>
      </w:r>
      <w:r w:rsidR="001A0B1B" w:rsidRPr="004D451E">
        <w:rPr>
          <w:rFonts w:cstheme="minorHAnsi"/>
          <w:sz w:val="24"/>
          <w:szCs w:val="24"/>
        </w:rPr>
        <w:t>Lesions assessed in the renal composite score include</w:t>
      </w:r>
      <w:r w:rsidR="00DD10E1" w:rsidRPr="004D451E">
        <w:rPr>
          <w:rFonts w:cstheme="minorHAnsi"/>
          <w:sz w:val="24"/>
          <w:szCs w:val="24"/>
        </w:rPr>
        <w:t>d</w:t>
      </w:r>
      <w:r w:rsidR="001A0B1B" w:rsidRPr="004D451E">
        <w:rPr>
          <w:rFonts w:cstheme="minorHAnsi"/>
          <w:sz w:val="24"/>
          <w:szCs w:val="24"/>
        </w:rPr>
        <w:t xml:space="preserve"> glomerular changes</w:t>
      </w:r>
      <w:r w:rsidR="00DD10E1" w:rsidRPr="004D451E">
        <w:rPr>
          <w:rFonts w:cstheme="minorHAnsi"/>
          <w:sz w:val="24"/>
          <w:szCs w:val="24"/>
        </w:rPr>
        <w:t xml:space="preserve"> (membranous thickening of Bowman’s capsule, </w:t>
      </w:r>
      <w:proofErr w:type="spellStart"/>
      <w:r w:rsidR="00DD10E1" w:rsidRPr="004D451E">
        <w:rPr>
          <w:rFonts w:cstheme="minorHAnsi"/>
          <w:sz w:val="24"/>
          <w:szCs w:val="24"/>
        </w:rPr>
        <w:t>synechiation</w:t>
      </w:r>
      <w:proofErr w:type="spellEnd"/>
      <w:r w:rsidR="00DD10E1" w:rsidRPr="004D451E">
        <w:rPr>
          <w:rFonts w:cstheme="minorHAnsi"/>
          <w:sz w:val="24"/>
          <w:szCs w:val="24"/>
        </w:rPr>
        <w:t>, and glomerulosclerosis)</w:t>
      </w:r>
      <w:r w:rsidR="001A0B1B" w:rsidRPr="004D451E">
        <w:rPr>
          <w:rFonts w:cstheme="minorHAnsi"/>
          <w:sz w:val="24"/>
          <w:szCs w:val="24"/>
        </w:rPr>
        <w:t xml:space="preserve">, </w:t>
      </w:r>
      <w:r w:rsidR="00DD10E1" w:rsidRPr="004D451E">
        <w:rPr>
          <w:rFonts w:cstheme="minorHAnsi"/>
          <w:sz w:val="24"/>
          <w:szCs w:val="24"/>
        </w:rPr>
        <w:t xml:space="preserve">degree of </w:t>
      </w:r>
      <w:r w:rsidR="001A0B1B" w:rsidRPr="004D451E">
        <w:rPr>
          <w:rFonts w:cstheme="minorHAnsi"/>
          <w:sz w:val="24"/>
          <w:szCs w:val="24"/>
        </w:rPr>
        <w:t xml:space="preserve">medullary interstitial accumulations (fibrosis </w:t>
      </w:r>
      <w:r w:rsidR="00D01A6D" w:rsidRPr="004D451E">
        <w:rPr>
          <w:rFonts w:cstheme="minorHAnsi"/>
          <w:sz w:val="24"/>
          <w:szCs w:val="24"/>
        </w:rPr>
        <w:t>and/</w:t>
      </w:r>
      <w:r w:rsidR="001A0B1B" w:rsidRPr="004D451E">
        <w:rPr>
          <w:rFonts w:cstheme="minorHAnsi"/>
          <w:sz w:val="24"/>
          <w:szCs w:val="24"/>
        </w:rPr>
        <w:t xml:space="preserve">or amyloid), degree of infarction, and </w:t>
      </w:r>
      <w:r w:rsidR="00DD10E1" w:rsidRPr="004D451E">
        <w:rPr>
          <w:rFonts w:cstheme="minorHAnsi"/>
          <w:sz w:val="24"/>
          <w:szCs w:val="24"/>
        </w:rPr>
        <w:t xml:space="preserve">presence of </w:t>
      </w:r>
      <w:r w:rsidR="001A0B1B" w:rsidRPr="004D451E">
        <w:rPr>
          <w:rFonts w:cstheme="minorHAnsi"/>
          <w:sz w:val="24"/>
          <w:szCs w:val="24"/>
        </w:rPr>
        <w:t>vascular changes. Lesions assessed in the heart composite score include</w:t>
      </w:r>
      <w:r w:rsidR="003F08C7" w:rsidRPr="004D451E">
        <w:rPr>
          <w:rFonts w:cstheme="minorHAnsi"/>
          <w:sz w:val="24"/>
          <w:szCs w:val="24"/>
        </w:rPr>
        <w:t>d</w:t>
      </w:r>
      <w:r w:rsidR="006E056A" w:rsidRPr="004D451E">
        <w:rPr>
          <w:rFonts w:cstheme="minorHAnsi"/>
          <w:sz w:val="24"/>
          <w:szCs w:val="24"/>
        </w:rPr>
        <w:t>:</w:t>
      </w:r>
      <w:r w:rsidR="001A0B1B" w:rsidRPr="004D451E">
        <w:rPr>
          <w:rFonts w:cstheme="minorHAnsi"/>
          <w:sz w:val="24"/>
          <w:szCs w:val="24"/>
        </w:rPr>
        <w:t xml:space="preserve"> degree of interstitial fibrosis</w:t>
      </w:r>
      <w:r w:rsidR="00DD10E1" w:rsidRPr="004D451E">
        <w:rPr>
          <w:rFonts w:cstheme="minorHAnsi"/>
          <w:sz w:val="24"/>
          <w:szCs w:val="24"/>
        </w:rPr>
        <w:t xml:space="preserve">, </w:t>
      </w:r>
      <w:r w:rsidRPr="004D451E">
        <w:rPr>
          <w:rFonts w:cstheme="minorHAnsi"/>
          <w:sz w:val="24"/>
          <w:szCs w:val="24"/>
        </w:rPr>
        <w:t>cardio</w:t>
      </w:r>
      <w:r w:rsidR="00DD10E1" w:rsidRPr="004D451E">
        <w:rPr>
          <w:rFonts w:cstheme="minorHAnsi"/>
          <w:sz w:val="24"/>
          <w:szCs w:val="24"/>
        </w:rPr>
        <w:t xml:space="preserve">myocyte degeneration, </w:t>
      </w:r>
      <w:r w:rsidRPr="004D451E">
        <w:rPr>
          <w:rFonts w:cstheme="minorHAnsi"/>
          <w:sz w:val="24"/>
          <w:szCs w:val="24"/>
        </w:rPr>
        <w:t xml:space="preserve">karyomegaly, </w:t>
      </w:r>
      <w:r w:rsidR="00DD10E1" w:rsidRPr="004D451E">
        <w:rPr>
          <w:rFonts w:cstheme="minorHAnsi"/>
          <w:sz w:val="24"/>
          <w:szCs w:val="24"/>
        </w:rPr>
        <w:t>and presence of lipofuscin. Composite lesion scores for both organs i</w:t>
      </w:r>
      <w:r w:rsidR="004A5C5F" w:rsidRPr="004D451E">
        <w:rPr>
          <w:rFonts w:cstheme="minorHAnsi"/>
          <w:sz w:val="24"/>
          <w:szCs w:val="24"/>
        </w:rPr>
        <w:t>ncreased with</w:t>
      </w:r>
      <w:r w:rsidR="00DD10E1" w:rsidRPr="004D451E">
        <w:rPr>
          <w:rFonts w:cstheme="minorHAnsi"/>
          <w:sz w:val="24"/>
          <w:szCs w:val="24"/>
        </w:rPr>
        <w:t xml:space="preserve"> age</w:t>
      </w:r>
      <w:r w:rsidR="004A5C5F" w:rsidRPr="004D451E">
        <w:rPr>
          <w:rFonts w:cstheme="minorHAnsi"/>
          <w:sz w:val="24"/>
          <w:szCs w:val="24"/>
        </w:rPr>
        <w:t xml:space="preserve"> (Figure 1)</w:t>
      </w:r>
      <w:r w:rsidR="00DD10E1" w:rsidRPr="004D451E">
        <w:rPr>
          <w:rFonts w:cstheme="minorHAnsi"/>
          <w:sz w:val="24"/>
          <w:szCs w:val="24"/>
        </w:rPr>
        <w:t xml:space="preserve"> similar to </w:t>
      </w:r>
      <w:r w:rsidR="009B109A">
        <w:rPr>
          <w:rFonts w:cstheme="minorHAnsi"/>
          <w:sz w:val="24"/>
          <w:szCs w:val="24"/>
        </w:rPr>
        <w:t xml:space="preserve">what is seen in mice using </w:t>
      </w:r>
      <w:r w:rsidR="00DD10E1" w:rsidRPr="004D451E">
        <w:rPr>
          <w:rFonts w:cstheme="minorHAnsi"/>
          <w:sz w:val="24"/>
          <w:szCs w:val="24"/>
        </w:rPr>
        <w:t xml:space="preserve">the </w:t>
      </w:r>
      <w:r w:rsidR="009B109A">
        <w:rPr>
          <w:rFonts w:cstheme="minorHAnsi"/>
          <w:sz w:val="24"/>
          <w:szCs w:val="24"/>
        </w:rPr>
        <w:t>mouse</w:t>
      </w:r>
      <w:r w:rsidR="00DD10E1" w:rsidRPr="004D451E">
        <w:rPr>
          <w:rFonts w:cstheme="minorHAnsi"/>
          <w:sz w:val="24"/>
          <w:szCs w:val="24"/>
        </w:rPr>
        <w:t xml:space="preserve"> GGP</w:t>
      </w:r>
      <w:r w:rsidR="004A5C5F" w:rsidRPr="004D451E">
        <w:rPr>
          <w:rFonts w:cstheme="minorHAnsi"/>
          <w:sz w:val="24"/>
          <w:szCs w:val="24"/>
        </w:rPr>
        <w:t>.</w:t>
      </w:r>
      <w:r w:rsidR="00193619" w:rsidRPr="004D451E">
        <w:rPr>
          <w:rFonts w:cstheme="minorHAnsi"/>
          <w:sz w:val="24"/>
          <w:szCs w:val="24"/>
        </w:rPr>
        <w:t xml:space="preserve"> Although age and composite lesion scores in </w:t>
      </w:r>
      <w:r w:rsidR="006E056A" w:rsidRPr="004D451E">
        <w:rPr>
          <w:rFonts w:cstheme="minorHAnsi"/>
          <w:sz w:val="24"/>
          <w:szCs w:val="24"/>
        </w:rPr>
        <w:t xml:space="preserve">the </w:t>
      </w:r>
      <w:r w:rsidR="00193619" w:rsidRPr="004D451E">
        <w:rPr>
          <w:rFonts w:cstheme="minorHAnsi"/>
          <w:sz w:val="24"/>
          <w:szCs w:val="24"/>
        </w:rPr>
        <w:t>heart (Pearson r=0.78, R</w:t>
      </w:r>
      <w:r w:rsidR="00193619" w:rsidRPr="004D451E">
        <w:rPr>
          <w:rFonts w:cstheme="minorHAnsi"/>
          <w:sz w:val="24"/>
          <w:szCs w:val="24"/>
          <w:vertAlign w:val="superscript"/>
        </w:rPr>
        <w:t>2</w:t>
      </w:r>
      <w:r w:rsidR="00193619" w:rsidRPr="004D451E">
        <w:rPr>
          <w:rFonts w:cstheme="minorHAnsi"/>
          <w:sz w:val="24"/>
          <w:szCs w:val="24"/>
        </w:rPr>
        <w:t xml:space="preserve">=0.61, p&lt;0.0001) and </w:t>
      </w:r>
      <w:r w:rsidR="006E056A" w:rsidRPr="004D451E">
        <w:rPr>
          <w:rFonts w:cstheme="minorHAnsi"/>
          <w:sz w:val="24"/>
          <w:szCs w:val="24"/>
        </w:rPr>
        <w:t xml:space="preserve">the </w:t>
      </w:r>
      <w:r w:rsidR="00193619" w:rsidRPr="004D451E">
        <w:rPr>
          <w:rFonts w:cstheme="minorHAnsi"/>
          <w:sz w:val="24"/>
          <w:szCs w:val="24"/>
        </w:rPr>
        <w:t>kidney (Pearson r=0.81, R</w:t>
      </w:r>
      <w:r w:rsidR="00193619" w:rsidRPr="004D451E">
        <w:rPr>
          <w:rFonts w:cstheme="minorHAnsi"/>
          <w:sz w:val="24"/>
          <w:szCs w:val="24"/>
          <w:vertAlign w:val="superscript"/>
        </w:rPr>
        <w:t>2</w:t>
      </w:r>
      <w:r w:rsidR="00193619" w:rsidRPr="004D451E">
        <w:rPr>
          <w:rFonts w:cstheme="minorHAnsi"/>
          <w:sz w:val="24"/>
          <w:szCs w:val="24"/>
        </w:rPr>
        <w:t>=0.65, p&lt;0.0001) show a positive and strong correlation</w:t>
      </w:r>
      <w:r w:rsidR="00D01A6D" w:rsidRPr="004D451E">
        <w:rPr>
          <w:rFonts w:cstheme="minorHAnsi"/>
          <w:sz w:val="24"/>
          <w:szCs w:val="24"/>
        </w:rPr>
        <w:t>,</w:t>
      </w:r>
      <w:r w:rsidR="00193619" w:rsidRPr="004D451E">
        <w:rPr>
          <w:rFonts w:cstheme="minorHAnsi"/>
          <w:sz w:val="24"/>
          <w:szCs w:val="24"/>
        </w:rPr>
        <w:t xml:space="preserve"> </w:t>
      </w:r>
      <w:r w:rsidR="009B109A">
        <w:rPr>
          <w:rFonts w:cstheme="minorHAnsi"/>
          <w:sz w:val="24"/>
          <w:szCs w:val="24"/>
        </w:rPr>
        <w:t>extensive</w:t>
      </w:r>
      <w:r w:rsidR="007E0426" w:rsidRPr="004D451E">
        <w:rPr>
          <w:rFonts w:cstheme="minorHAnsi"/>
          <w:sz w:val="24"/>
          <w:szCs w:val="24"/>
        </w:rPr>
        <w:t xml:space="preserve"> work </w:t>
      </w:r>
      <w:r w:rsidR="009B109A">
        <w:rPr>
          <w:rFonts w:cstheme="minorHAnsi"/>
          <w:sz w:val="24"/>
          <w:szCs w:val="24"/>
        </w:rPr>
        <w:t xml:space="preserve">is needed to develop and </w:t>
      </w:r>
      <w:r w:rsidR="007E0426" w:rsidRPr="004D451E">
        <w:rPr>
          <w:rFonts w:cstheme="minorHAnsi"/>
          <w:sz w:val="24"/>
          <w:szCs w:val="24"/>
        </w:rPr>
        <w:t xml:space="preserve">strengthen </w:t>
      </w:r>
      <w:r w:rsidR="0018348B">
        <w:rPr>
          <w:rFonts w:cstheme="minorHAnsi"/>
          <w:sz w:val="24"/>
          <w:szCs w:val="24"/>
        </w:rPr>
        <w:t>a</w:t>
      </w:r>
      <w:r w:rsidR="007E0426" w:rsidRPr="004D451E">
        <w:rPr>
          <w:rFonts w:cstheme="minorHAnsi"/>
          <w:sz w:val="24"/>
          <w:szCs w:val="24"/>
        </w:rPr>
        <w:t xml:space="preserve"> </w:t>
      </w:r>
      <w:r w:rsidR="0018348B">
        <w:rPr>
          <w:rFonts w:cstheme="minorHAnsi"/>
          <w:sz w:val="24"/>
          <w:szCs w:val="24"/>
        </w:rPr>
        <w:t xml:space="preserve">geropathology grading </w:t>
      </w:r>
      <w:r w:rsidR="007E0426" w:rsidRPr="004D451E">
        <w:rPr>
          <w:rFonts w:cstheme="minorHAnsi"/>
          <w:sz w:val="24"/>
          <w:szCs w:val="24"/>
        </w:rPr>
        <w:t>platform</w:t>
      </w:r>
      <w:r w:rsidR="0018348B">
        <w:rPr>
          <w:rFonts w:cstheme="minorHAnsi"/>
          <w:sz w:val="24"/>
          <w:szCs w:val="24"/>
        </w:rPr>
        <w:t xml:space="preserve"> adapted for rhesus macaques and nonhuman primates in general</w:t>
      </w:r>
      <w:r w:rsidR="007E0426" w:rsidRPr="004D451E">
        <w:rPr>
          <w:rFonts w:cstheme="minorHAnsi"/>
          <w:sz w:val="24"/>
          <w:szCs w:val="24"/>
        </w:rPr>
        <w:t xml:space="preserve">. </w:t>
      </w:r>
    </w:p>
    <w:p w14:paraId="41AFEA50" w14:textId="28DEC9C6" w:rsidR="006451E6" w:rsidRDefault="006451E6" w:rsidP="004D451E">
      <w:pPr>
        <w:spacing w:after="0" w:line="240" w:lineRule="auto"/>
        <w:rPr>
          <w:rFonts w:cstheme="minorHAnsi"/>
          <w:sz w:val="24"/>
          <w:szCs w:val="24"/>
        </w:rPr>
      </w:pPr>
    </w:p>
    <w:p w14:paraId="05EF6E73" w14:textId="4D6CEA1F" w:rsidR="009B109A" w:rsidRDefault="009B109A" w:rsidP="004D451E">
      <w:pPr>
        <w:spacing w:after="0" w:line="240" w:lineRule="auto"/>
        <w:rPr>
          <w:rFonts w:cstheme="minorHAnsi"/>
          <w:sz w:val="24"/>
          <w:szCs w:val="24"/>
        </w:rPr>
      </w:pPr>
    </w:p>
    <w:p w14:paraId="665E97E0" w14:textId="55F56CCD" w:rsidR="009B109A" w:rsidRDefault="009B109A" w:rsidP="004D451E">
      <w:pPr>
        <w:spacing w:after="0" w:line="240" w:lineRule="auto"/>
        <w:rPr>
          <w:rFonts w:cstheme="minorHAnsi"/>
          <w:sz w:val="24"/>
          <w:szCs w:val="24"/>
        </w:rPr>
      </w:pPr>
    </w:p>
    <w:p w14:paraId="435BDB0D" w14:textId="35EF4EC0" w:rsidR="009B109A" w:rsidRDefault="009B109A" w:rsidP="004D451E">
      <w:pPr>
        <w:spacing w:after="0" w:line="240" w:lineRule="auto"/>
        <w:rPr>
          <w:rFonts w:cstheme="minorHAnsi"/>
          <w:sz w:val="24"/>
          <w:szCs w:val="24"/>
        </w:rPr>
      </w:pPr>
    </w:p>
    <w:p w14:paraId="38ACEB1A" w14:textId="5CC405A2" w:rsidR="009B109A" w:rsidRDefault="009B109A" w:rsidP="004D451E">
      <w:pPr>
        <w:spacing w:after="0" w:line="240" w:lineRule="auto"/>
        <w:rPr>
          <w:rFonts w:cstheme="minorHAnsi"/>
          <w:sz w:val="24"/>
          <w:szCs w:val="24"/>
        </w:rPr>
      </w:pPr>
    </w:p>
    <w:p w14:paraId="6718F2BD" w14:textId="4325232A" w:rsidR="009B109A" w:rsidRDefault="009B109A" w:rsidP="004D451E">
      <w:pPr>
        <w:spacing w:after="0" w:line="240" w:lineRule="auto"/>
        <w:rPr>
          <w:rFonts w:cstheme="minorHAnsi"/>
          <w:sz w:val="24"/>
          <w:szCs w:val="24"/>
        </w:rPr>
      </w:pPr>
    </w:p>
    <w:p w14:paraId="5D2C10FA" w14:textId="77777777" w:rsidR="009B109A" w:rsidRPr="004D451E" w:rsidRDefault="009B109A" w:rsidP="004D451E">
      <w:pPr>
        <w:spacing w:after="0" w:line="240" w:lineRule="auto"/>
        <w:rPr>
          <w:rFonts w:cstheme="minorHAnsi"/>
          <w:sz w:val="24"/>
          <w:szCs w:val="24"/>
        </w:rPr>
      </w:pPr>
    </w:p>
    <w:p w14:paraId="75F99C5D" w14:textId="1605EA6E" w:rsidR="000E4CAA" w:rsidRDefault="009F1688" w:rsidP="004D451E">
      <w:pPr>
        <w:spacing w:after="0" w:line="240" w:lineRule="auto"/>
        <w:rPr>
          <w:rFonts w:cstheme="minorHAnsi"/>
          <w:sz w:val="24"/>
          <w:szCs w:val="24"/>
        </w:rPr>
      </w:pPr>
      <w:r>
        <w:rPr>
          <w:rFonts w:cstheme="minorHAnsi"/>
          <w:noProof/>
          <w:sz w:val="24"/>
          <w:szCs w:val="24"/>
        </w:rPr>
        <w:lastRenderedPageBreak/>
        <mc:AlternateContent>
          <mc:Choice Requires="wps">
            <w:drawing>
              <wp:anchor distT="0" distB="0" distL="114300" distR="114300" simplePos="0" relativeHeight="251664384" behindDoc="0" locked="0" layoutInCell="1" allowOverlap="1" wp14:anchorId="29099276" wp14:editId="7E943017">
                <wp:simplePos x="0" y="0"/>
                <wp:positionH relativeFrom="margin">
                  <wp:align>right</wp:align>
                </wp:positionH>
                <wp:positionV relativeFrom="paragraph">
                  <wp:posOffset>3804</wp:posOffset>
                </wp:positionV>
                <wp:extent cx="6387465" cy="2852578"/>
                <wp:effectExtent l="0" t="0" r="13335" b="24130"/>
                <wp:wrapSquare wrapText="bothSides"/>
                <wp:docPr id="5" name="Text Box 5"/>
                <wp:cNvGraphicFramePr/>
                <a:graphic xmlns:a="http://schemas.openxmlformats.org/drawingml/2006/main">
                  <a:graphicData uri="http://schemas.microsoft.com/office/word/2010/wordprocessingShape">
                    <wps:wsp>
                      <wps:cNvSpPr txBox="1"/>
                      <wps:spPr>
                        <a:xfrm>
                          <a:off x="0" y="0"/>
                          <a:ext cx="6387465" cy="2852578"/>
                        </a:xfrm>
                        <a:prstGeom prst="rect">
                          <a:avLst/>
                        </a:prstGeom>
                        <a:solidFill>
                          <a:sysClr val="window" lastClr="FFFFFF"/>
                        </a:solidFill>
                        <a:ln w="6350">
                          <a:solidFill>
                            <a:prstClr val="black"/>
                          </a:solidFill>
                        </a:ln>
                      </wps:spPr>
                      <wps:txbx>
                        <w:txbxContent>
                          <w:p w14:paraId="6DE33ADE" w14:textId="11C9FE0D" w:rsidR="00C83DE7" w:rsidRDefault="009B109A" w:rsidP="00C83DE7">
                            <w:r w:rsidRPr="00193555">
                              <w:rPr>
                                <w:rFonts w:cstheme="minorHAnsi"/>
                                <w:noProof/>
                              </w:rPr>
                              <w:object w:dxaOrig="5256" w:dyaOrig="5011" w14:anchorId="41CAE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5.95pt;height:218.05pt;mso-width-percent:0;mso-height-percent:0;mso-width-percent:0;mso-height-percent:0">
                                  <v:imagedata r:id="rId7" o:title="" croptop="2048f" cropbottom="1081f" cropright="4255f"/>
                                </v:shape>
                                <o:OLEObject Type="Embed" ProgID="Prism7.Document" ShapeID="_x0000_i1026" DrawAspect="Content" ObjectID="_1644999196" r:id="rId8"/>
                              </w:object>
                            </w:r>
                            <w:r w:rsidR="009F1688" w:rsidRPr="004D451E">
                              <w:rPr>
                                <w:rFonts w:cstheme="minorHAnsi"/>
                                <w:noProof/>
                                <w:sz w:val="24"/>
                                <w:szCs w:val="24"/>
                              </w:rPr>
                              <w:object w:dxaOrig="5371" w:dyaOrig="5011" w14:anchorId="1F788717">
                                <v:shape id="_x0000_i1028" type="#_x0000_t75" alt="" style="width:227.7pt;height:221.15pt;mso-width-percent:0;mso-height-percent:0;mso-width-percent:0;mso-height-percent:0">
                                  <v:imagedata r:id="rId9" o:title="" croptop="2077f" cropright="3385f"/>
                                </v:shape>
                                <o:OLEObject Type="Embed" ProgID="Prism7.Document" ShapeID="_x0000_i1028" DrawAspect="Content" ObjectID="_1644999197" r:id="rId10"/>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99276" id="_x0000_t202" coordsize="21600,21600" o:spt="202" path="m,l,21600r21600,l21600,xe">
                <v:stroke joinstyle="miter"/>
                <v:path gradientshapeok="t" o:connecttype="rect"/>
              </v:shapetype>
              <v:shape id="Text Box 5" o:spid="_x0000_s1026" type="#_x0000_t202" style="position:absolute;margin-left:451.75pt;margin-top:.3pt;width:502.95pt;height:224.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" fillcolor="window" strokeweight=".5pt">
                <v:textbox>
                  <w:txbxContent>
                    <w:p w14:paraId="6DE33ADE" w14:textId="11C9FE0D" w:rsidR="00C83DE7" w:rsidRDefault="009B109A" w:rsidP="00C83DE7">
                      <w:r w:rsidRPr="00193555">
                        <w:rPr>
                          <w:rFonts w:cstheme="minorHAnsi"/>
                          <w:noProof/>
                        </w:rPr>
                        <w:object w:dxaOrig="5256" w:dyaOrig="5011" w14:anchorId="41CAE323">
                          <v:shape id="_x0000_i1026" type="#_x0000_t75" alt="" style="width:245.95pt;height:218.05pt;mso-width-percent:0;mso-height-percent:0;mso-width-percent:0;mso-height-percent:0">
                            <v:imagedata r:id="rId7" o:title="" croptop="2048f" cropbottom="1081f" cropright="4255f"/>
                          </v:shape>
                          <o:OLEObject Type="Embed" ProgID="Prism7.Document" ShapeID="_x0000_i1026" DrawAspect="Content" ObjectID="_1644999196" r:id="rId11"/>
                        </w:object>
                      </w:r>
                      <w:r w:rsidR="009F1688" w:rsidRPr="004D451E">
                        <w:rPr>
                          <w:rFonts w:cstheme="minorHAnsi"/>
                          <w:noProof/>
                          <w:sz w:val="24"/>
                          <w:szCs w:val="24"/>
                        </w:rPr>
                        <w:object w:dxaOrig="5371" w:dyaOrig="5011" w14:anchorId="1F788717">
                          <v:shape id="_x0000_i1028" type="#_x0000_t75" alt="" style="width:227.7pt;height:221.15pt;mso-width-percent:0;mso-height-percent:0;mso-width-percent:0;mso-height-percent:0">
                            <v:imagedata r:id="rId9" o:title="" croptop="2077f" cropright="3385f"/>
                          </v:shape>
                          <o:OLEObject Type="Embed" ProgID="Prism7.Document" ShapeID="_x0000_i1028" DrawAspect="Content" ObjectID="_1644999197" r:id="rId12"/>
                        </w:object>
                      </w:r>
                    </w:p>
                  </w:txbxContent>
                </v:textbox>
                <w10:wrap type="square" anchorx="margin"/>
              </v:shape>
            </w:pict>
          </mc:Fallback>
        </mc:AlternateContent>
      </w:r>
    </w:p>
    <w:p w14:paraId="3C7066AE" w14:textId="53EE812C" w:rsidR="00C83DE7" w:rsidRPr="002A0CD5" w:rsidRDefault="00C83DE7" w:rsidP="00C83DE7">
      <w:pPr>
        <w:spacing w:after="0" w:line="240" w:lineRule="auto"/>
        <w:rPr>
          <w:rFonts w:cstheme="minorHAnsi"/>
        </w:rPr>
      </w:pPr>
      <w:r w:rsidRPr="002A0CD5">
        <w:rPr>
          <w:rFonts w:cstheme="minorHAnsi"/>
          <w:b/>
          <w:bCs/>
        </w:rPr>
        <w:t>Figure 1.</w:t>
      </w:r>
      <w:r w:rsidRPr="002A0CD5">
        <w:rPr>
          <w:rFonts w:cstheme="minorHAnsi"/>
        </w:rPr>
        <w:t xml:space="preserve"> Composite lesion scores (CLS) of kidney and heart from 3 age groups of rhesus macaques increase with age (n=10/age group). </w:t>
      </w:r>
      <w:bookmarkStart w:id="2" w:name="OLE_LINK1"/>
      <w:r w:rsidRPr="002A0CD5">
        <w:rPr>
          <w:rFonts w:cstheme="minorHAnsi"/>
        </w:rPr>
        <w:t>For kidney, CLS was significantly greater in the 10</w:t>
      </w:r>
      <w:r w:rsidR="00EF63E5">
        <w:rPr>
          <w:rFonts w:cstheme="minorHAnsi"/>
        </w:rPr>
        <w:t xml:space="preserve"> to </w:t>
      </w:r>
      <w:r w:rsidRPr="002A0CD5">
        <w:rPr>
          <w:rFonts w:cstheme="minorHAnsi"/>
        </w:rPr>
        <w:t>18</w:t>
      </w:r>
      <w:r w:rsidR="00B31B94">
        <w:rPr>
          <w:rFonts w:cstheme="minorHAnsi"/>
        </w:rPr>
        <w:t>-</w:t>
      </w:r>
      <w:r w:rsidRPr="002A0CD5">
        <w:rPr>
          <w:rFonts w:cstheme="minorHAnsi"/>
        </w:rPr>
        <w:t>year (p=0.016) and 19+ year (p&lt;0.0001) age groups than in the 1</w:t>
      </w:r>
      <w:r w:rsidR="00B31B94">
        <w:rPr>
          <w:rFonts w:cstheme="minorHAnsi"/>
        </w:rPr>
        <w:t xml:space="preserve"> to </w:t>
      </w:r>
      <w:r w:rsidRPr="002A0CD5">
        <w:rPr>
          <w:rFonts w:cstheme="minorHAnsi"/>
        </w:rPr>
        <w:t>9</w:t>
      </w:r>
      <w:r w:rsidR="00B31B94">
        <w:rPr>
          <w:rFonts w:cstheme="minorHAnsi"/>
        </w:rPr>
        <w:t>-</w:t>
      </w:r>
      <w:r w:rsidRPr="002A0CD5">
        <w:rPr>
          <w:rFonts w:cstheme="minorHAnsi"/>
        </w:rPr>
        <w:t>year age group. For heart, CLS was significantly greater in the 19+ year (p=0.0001) age group than in the 1</w:t>
      </w:r>
      <w:r w:rsidR="00B31B94">
        <w:rPr>
          <w:rFonts w:cstheme="minorHAnsi"/>
        </w:rPr>
        <w:t xml:space="preserve"> to </w:t>
      </w:r>
      <w:r w:rsidRPr="002A0CD5">
        <w:rPr>
          <w:rFonts w:cstheme="minorHAnsi"/>
        </w:rPr>
        <w:t>9</w:t>
      </w:r>
      <w:r w:rsidR="00B31B94">
        <w:rPr>
          <w:rFonts w:cstheme="minorHAnsi"/>
        </w:rPr>
        <w:t>-</w:t>
      </w:r>
      <w:r w:rsidRPr="002A0CD5">
        <w:rPr>
          <w:rFonts w:cstheme="minorHAnsi"/>
        </w:rPr>
        <w:t xml:space="preserve">year age group. Kruskal-Wallis Analysis of Variance with Dunn’s multiple comparisons test. </w:t>
      </w:r>
      <w:bookmarkEnd w:id="2"/>
    </w:p>
    <w:p w14:paraId="074970AD" w14:textId="77777777" w:rsidR="009B109A" w:rsidRDefault="009B109A" w:rsidP="004D451E">
      <w:pPr>
        <w:spacing w:after="0" w:line="240" w:lineRule="auto"/>
        <w:rPr>
          <w:rFonts w:cstheme="minorHAnsi"/>
          <w:b/>
          <w:bCs/>
          <w:sz w:val="24"/>
          <w:szCs w:val="24"/>
        </w:rPr>
      </w:pPr>
    </w:p>
    <w:p w14:paraId="68CD50C7" w14:textId="7BFF2C0A" w:rsidR="000E4CAA" w:rsidRPr="009F1688" w:rsidRDefault="009F1688" w:rsidP="004D451E">
      <w:pPr>
        <w:spacing w:after="0" w:line="240" w:lineRule="auto"/>
        <w:rPr>
          <w:rFonts w:cstheme="minorHAnsi"/>
          <w:b/>
          <w:bCs/>
          <w:sz w:val="24"/>
          <w:szCs w:val="24"/>
        </w:rPr>
      </w:pPr>
      <w:r w:rsidRPr="009F1688">
        <w:rPr>
          <w:rFonts w:cstheme="minorHAnsi"/>
          <w:b/>
          <w:bCs/>
          <w:sz w:val="24"/>
          <w:szCs w:val="24"/>
        </w:rPr>
        <w:t>A geropathology platform would be valuable for common marmosets</w:t>
      </w:r>
    </w:p>
    <w:p w14:paraId="32845D5B" w14:textId="213F4B1E" w:rsidR="006451E6" w:rsidRPr="004D451E" w:rsidRDefault="006E056A" w:rsidP="004D451E">
      <w:pPr>
        <w:spacing w:after="0" w:line="240" w:lineRule="auto"/>
        <w:rPr>
          <w:rFonts w:cstheme="minorHAnsi"/>
          <w:sz w:val="24"/>
          <w:szCs w:val="24"/>
        </w:rPr>
      </w:pPr>
      <w:r w:rsidRPr="004D451E">
        <w:rPr>
          <w:rFonts w:cstheme="minorHAnsi"/>
          <w:sz w:val="24"/>
          <w:szCs w:val="24"/>
        </w:rPr>
        <w:t>Common m</w:t>
      </w:r>
      <w:r w:rsidR="00515BE9" w:rsidRPr="004D451E">
        <w:rPr>
          <w:rFonts w:cstheme="minorHAnsi"/>
          <w:sz w:val="24"/>
          <w:szCs w:val="24"/>
        </w:rPr>
        <w:t>armosets</w:t>
      </w:r>
      <w:r w:rsidR="00657881" w:rsidRPr="004D451E">
        <w:rPr>
          <w:rFonts w:cstheme="minorHAnsi"/>
          <w:sz w:val="24"/>
          <w:szCs w:val="24"/>
        </w:rPr>
        <w:t>,</w:t>
      </w:r>
      <w:r w:rsidR="002E48D3" w:rsidRPr="004D451E">
        <w:rPr>
          <w:rFonts w:cstheme="minorHAnsi"/>
          <w:sz w:val="24"/>
          <w:szCs w:val="24"/>
        </w:rPr>
        <w:t xml:space="preserve"> </w:t>
      </w:r>
      <w:r w:rsidR="00657881" w:rsidRPr="004D451E">
        <w:rPr>
          <w:rFonts w:cstheme="minorHAnsi"/>
          <w:sz w:val="24"/>
          <w:szCs w:val="24"/>
        </w:rPr>
        <w:t>small</w:t>
      </w:r>
      <w:r w:rsidR="002E48D3" w:rsidRPr="004D451E">
        <w:rPr>
          <w:rFonts w:cstheme="minorHAnsi"/>
          <w:sz w:val="24"/>
          <w:szCs w:val="24"/>
        </w:rPr>
        <w:t>er</w:t>
      </w:r>
      <w:r w:rsidR="00657881" w:rsidRPr="004D451E">
        <w:rPr>
          <w:rFonts w:cstheme="minorHAnsi"/>
          <w:sz w:val="24"/>
          <w:szCs w:val="24"/>
        </w:rPr>
        <w:t xml:space="preserve"> and short</w:t>
      </w:r>
      <w:r w:rsidR="002E48D3" w:rsidRPr="004D451E">
        <w:rPr>
          <w:rFonts w:cstheme="minorHAnsi"/>
          <w:sz w:val="24"/>
          <w:szCs w:val="24"/>
        </w:rPr>
        <w:t>er</w:t>
      </w:r>
      <w:r w:rsidR="00657881" w:rsidRPr="004D451E">
        <w:rPr>
          <w:rFonts w:cstheme="minorHAnsi"/>
          <w:sz w:val="24"/>
          <w:szCs w:val="24"/>
        </w:rPr>
        <w:t xml:space="preserve"> lived</w:t>
      </w:r>
      <w:r w:rsidRPr="004D451E">
        <w:rPr>
          <w:rFonts w:cstheme="minorHAnsi"/>
          <w:sz w:val="24"/>
          <w:szCs w:val="24"/>
        </w:rPr>
        <w:t xml:space="preserve"> </w:t>
      </w:r>
      <w:r w:rsidR="002E48D3" w:rsidRPr="004D451E">
        <w:rPr>
          <w:rFonts w:cstheme="minorHAnsi"/>
          <w:sz w:val="24"/>
          <w:szCs w:val="24"/>
        </w:rPr>
        <w:t>than rhesus macaques,</w:t>
      </w:r>
      <w:r w:rsidR="00515BE9" w:rsidRPr="004D451E">
        <w:rPr>
          <w:rFonts w:cstheme="minorHAnsi"/>
          <w:sz w:val="24"/>
          <w:szCs w:val="24"/>
        </w:rPr>
        <w:t xml:space="preserve"> are a second species of </w:t>
      </w:r>
      <w:r w:rsidR="00A46457" w:rsidRPr="004D451E">
        <w:rPr>
          <w:rFonts w:cstheme="minorHAnsi"/>
          <w:sz w:val="24"/>
          <w:szCs w:val="24"/>
        </w:rPr>
        <w:t>NHPs</w:t>
      </w:r>
      <w:r w:rsidR="00515BE9" w:rsidRPr="004D451E">
        <w:rPr>
          <w:rFonts w:cstheme="minorHAnsi"/>
          <w:sz w:val="24"/>
          <w:szCs w:val="24"/>
        </w:rPr>
        <w:t xml:space="preserve"> used in</w:t>
      </w:r>
      <w:r w:rsidR="00DD5B67" w:rsidRPr="004D451E">
        <w:rPr>
          <w:rFonts w:cstheme="minorHAnsi"/>
          <w:sz w:val="24"/>
          <w:szCs w:val="24"/>
        </w:rPr>
        <w:t xml:space="preserve"> research are</w:t>
      </w:r>
      <w:r w:rsidR="00203CED" w:rsidRPr="004D451E">
        <w:rPr>
          <w:rFonts w:cstheme="minorHAnsi"/>
          <w:sz w:val="24"/>
          <w:szCs w:val="24"/>
        </w:rPr>
        <w:t>a</w:t>
      </w:r>
      <w:r w:rsidR="00DD5B67" w:rsidRPr="004D451E">
        <w:rPr>
          <w:rFonts w:cstheme="minorHAnsi"/>
          <w:sz w:val="24"/>
          <w:szCs w:val="24"/>
        </w:rPr>
        <w:t xml:space="preserve">s </w:t>
      </w:r>
      <w:r w:rsidR="00A33C32">
        <w:rPr>
          <w:rFonts w:cstheme="minorHAnsi"/>
          <w:sz w:val="24"/>
          <w:szCs w:val="24"/>
        </w:rPr>
        <w:t>such as</w:t>
      </w:r>
      <w:r w:rsidR="002E48D3" w:rsidRPr="004D451E">
        <w:rPr>
          <w:rFonts w:cstheme="minorHAnsi"/>
          <w:sz w:val="24"/>
          <w:szCs w:val="24"/>
        </w:rPr>
        <w:t xml:space="preserve"> </w:t>
      </w:r>
      <w:r w:rsidR="00203CED" w:rsidRPr="004D451E">
        <w:rPr>
          <w:rFonts w:cstheme="minorHAnsi"/>
          <w:sz w:val="24"/>
          <w:szCs w:val="24"/>
        </w:rPr>
        <w:t xml:space="preserve">infectious diseases, social behavior, cognitive function, </w:t>
      </w:r>
      <w:r w:rsidR="002E48D3" w:rsidRPr="004D451E">
        <w:rPr>
          <w:rFonts w:cstheme="minorHAnsi"/>
          <w:sz w:val="24"/>
          <w:szCs w:val="24"/>
        </w:rPr>
        <w:t xml:space="preserve">and </w:t>
      </w:r>
      <w:r w:rsidR="00203CED" w:rsidRPr="004D451E">
        <w:rPr>
          <w:rFonts w:cstheme="minorHAnsi"/>
          <w:sz w:val="24"/>
          <w:szCs w:val="24"/>
        </w:rPr>
        <w:t xml:space="preserve">reproduction.  There is a growing interest in conducting </w:t>
      </w:r>
      <w:r w:rsidR="00515BE9" w:rsidRPr="004D451E">
        <w:rPr>
          <w:rFonts w:cstheme="minorHAnsi"/>
          <w:sz w:val="24"/>
          <w:szCs w:val="24"/>
        </w:rPr>
        <w:t>aging research</w:t>
      </w:r>
      <w:r w:rsidR="00203CED" w:rsidRPr="004D451E">
        <w:rPr>
          <w:rFonts w:cstheme="minorHAnsi"/>
          <w:sz w:val="24"/>
          <w:szCs w:val="24"/>
        </w:rPr>
        <w:t xml:space="preserve"> and intervention of aging</w:t>
      </w:r>
      <w:r w:rsidR="002E48D3" w:rsidRPr="004D451E">
        <w:rPr>
          <w:rFonts w:cstheme="minorHAnsi"/>
          <w:sz w:val="24"/>
          <w:szCs w:val="24"/>
        </w:rPr>
        <w:t xml:space="preserve"> and </w:t>
      </w:r>
      <w:r w:rsidR="00203CED" w:rsidRPr="004D451E">
        <w:rPr>
          <w:rFonts w:cstheme="minorHAnsi"/>
          <w:sz w:val="24"/>
          <w:szCs w:val="24"/>
        </w:rPr>
        <w:t xml:space="preserve">age-related pathology </w:t>
      </w:r>
      <w:r w:rsidR="002E48D3" w:rsidRPr="004D451E">
        <w:rPr>
          <w:rFonts w:cstheme="minorHAnsi"/>
          <w:sz w:val="24"/>
          <w:szCs w:val="24"/>
        </w:rPr>
        <w:t>with</w:t>
      </w:r>
      <w:r w:rsidR="00203CED" w:rsidRPr="004D451E">
        <w:rPr>
          <w:rFonts w:cstheme="minorHAnsi"/>
          <w:sz w:val="24"/>
          <w:szCs w:val="24"/>
        </w:rPr>
        <w:t xml:space="preserve"> marmoset</w:t>
      </w:r>
      <w:r w:rsidR="002E48D3" w:rsidRPr="004D451E">
        <w:rPr>
          <w:rFonts w:cstheme="minorHAnsi"/>
          <w:sz w:val="24"/>
          <w:szCs w:val="24"/>
        </w:rPr>
        <w:t>s</w:t>
      </w:r>
      <w:r w:rsidR="00515BE9" w:rsidRPr="004D451E">
        <w:rPr>
          <w:rFonts w:cstheme="minorHAnsi"/>
          <w:sz w:val="24"/>
          <w:szCs w:val="24"/>
        </w:rPr>
        <w:t xml:space="preserve">. </w:t>
      </w:r>
      <w:r w:rsidR="00203CED" w:rsidRPr="004D451E">
        <w:rPr>
          <w:rFonts w:cstheme="minorHAnsi"/>
          <w:sz w:val="24"/>
          <w:szCs w:val="24"/>
        </w:rPr>
        <w:t xml:space="preserve"> </w:t>
      </w:r>
      <w:r w:rsidR="00515BE9" w:rsidRPr="004D451E">
        <w:rPr>
          <w:rFonts w:cstheme="minorHAnsi"/>
          <w:sz w:val="24"/>
          <w:szCs w:val="24"/>
        </w:rPr>
        <w:t xml:space="preserve">Ross et al </w:t>
      </w:r>
      <w:r w:rsidR="00927247">
        <w:rPr>
          <w:rFonts w:cstheme="minorHAnsi"/>
          <w:sz w:val="24"/>
          <w:szCs w:val="24"/>
        </w:rPr>
        <w:t>[18]</w:t>
      </w:r>
      <w:r w:rsidR="00515BE9" w:rsidRPr="004D451E">
        <w:rPr>
          <w:rFonts w:cstheme="minorHAnsi"/>
          <w:sz w:val="24"/>
          <w:szCs w:val="24"/>
        </w:rPr>
        <w:t xml:space="preserve"> recently described lesions in a group of young (average age of 3.3 years) and old (average age of 16.5 years) marmosets</w:t>
      </w:r>
      <w:r w:rsidR="00FE5BB3" w:rsidRPr="004D451E">
        <w:rPr>
          <w:rFonts w:cstheme="minorHAnsi"/>
          <w:sz w:val="24"/>
          <w:szCs w:val="24"/>
        </w:rPr>
        <w:t>. In general, lesions were encountered more frequently in the geriatric cohort, but no descriptions of lesion severity were provided nor was there any indication of how these lesions may have been contributing to the</w:t>
      </w:r>
      <w:r w:rsidR="00C417CE" w:rsidRPr="004D451E">
        <w:rPr>
          <w:rFonts w:cstheme="minorHAnsi"/>
          <w:sz w:val="24"/>
          <w:szCs w:val="24"/>
        </w:rPr>
        <w:t xml:space="preserve"> age-related</w:t>
      </w:r>
      <w:r w:rsidR="00FE5BB3" w:rsidRPr="004D451E">
        <w:rPr>
          <w:rFonts w:cstheme="minorHAnsi"/>
          <w:sz w:val="24"/>
          <w:szCs w:val="24"/>
        </w:rPr>
        <w:t xml:space="preserve"> </w:t>
      </w:r>
      <w:r w:rsidR="00C417CE" w:rsidRPr="004D451E">
        <w:rPr>
          <w:rFonts w:cstheme="minorHAnsi"/>
          <w:sz w:val="24"/>
          <w:szCs w:val="24"/>
        </w:rPr>
        <w:t xml:space="preserve">functional decline and </w:t>
      </w:r>
      <w:r w:rsidR="00FE5BB3" w:rsidRPr="004D451E">
        <w:rPr>
          <w:rFonts w:cstheme="minorHAnsi"/>
          <w:sz w:val="24"/>
          <w:szCs w:val="24"/>
        </w:rPr>
        <w:t>overall morbidity of the animal</w:t>
      </w:r>
      <w:r w:rsidRPr="004D451E">
        <w:rPr>
          <w:rFonts w:cstheme="minorHAnsi"/>
          <w:sz w:val="24"/>
          <w:szCs w:val="24"/>
        </w:rPr>
        <w:t>s</w:t>
      </w:r>
      <w:r w:rsidR="00FE5BB3" w:rsidRPr="004D451E">
        <w:rPr>
          <w:rFonts w:cstheme="minorHAnsi"/>
          <w:sz w:val="24"/>
          <w:szCs w:val="24"/>
        </w:rPr>
        <w:t xml:space="preserve">. </w:t>
      </w:r>
      <w:r w:rsidR="00C417CE" w:rsidRPr="004D451E">
        <w:rPr>
          <w:rFonts w:cstheme="minorHAnsi"/>
          <w:sz w:val="24"/>
          <w:szCs w:val="24"/>
        </w:rPr>
        <w:t xml:space="preserve">Thus, it is essential to develop a method to quantitatively assess the severity of the lesions and </w:t>
      </w:r>
      <w:r w:rsidRPr="004D451E">
        <w:rPr>
          <w:rFonts w:cstheme="minorHAnsi"/>
          <w:sz w:val="24"/>
          <w:szCs w:val="24"/>
        </w:rPr>
        <w:t>their</w:t>
      </w:r>
      <w:r w:rsidR="00C417CE" w:rsidRPr="004D451E">
        <w:rPr>
          <w:rFonts w:cstheme="minorHAnsi"/>
          <w:sz w:val="24"/>
          <w:szCs w:val="24"/>
        </w:rPr>
        <w:t xml:space="preserve"> impacts on functional changes in various tissues</w:t>
      </w:r>
      <w:r w:rsidR="002E48D3" w:rsidRPr="004D451E">
        <w:rPr>
          <w:rFonts w:cstheme="minorHAnsi"/>
          <w:sz w:val="24"/>
          <w:szCs w:val="24"/>
        </w:rPr>
        <w:t xml:space="preserve"> and </w:t>
      </w:r>
      <w:r w:rsidR="00C417CE" w:rsidRPr="004D451E">
        <w:rPr>
          <w:rFonts w:cstheme="minorHAnsi"/>
          <w:sz w:val="24"/>
          <w:szCs w:val="24"/>
        </w:rPr>
        <w:t>organ</w:t>
      </w:r>
      <w:r w:rsidRPr="004D451E">
        <w:rPr>
          <w:rFonts w:cstheme="minorHAnsi"/>
          <w:sz w:val="24"/>
          <w:szCs w:val="24"/>
        </w:rPr>
        <w:t xml:space="preserve"> systems</w:t>
      </w:r>
      <w:r w:rsidR="00C417CE" w:rsidRPr="004D451E">
        <w:rPr>
          <w:rFonts w:cstheme="minorHAnsi"/>
          <w:sz w:val="24"/>
          <w:szCs w:val="24"/>
        </w:rPr>
        <w:t xml:space="preserve">.   </w:t>
      </w:r>
      <w:r w:rsidR="00A54CB3" w:rsidRPr="004D451E">
        <w:rPr>
          <w:rFonts w:cstheme="minorHAnsi"/>
          <w:sz w:val="24"/>
          <w:szCs w:val="24"/>
        </w:rPr>
        <w:t>A grading system would enhance these types of observations and provide</w:t>
      </w:r>
      <w:r w:rsidR="00FE5BB3" w:rsidRPr="004D451E">
        <w:rPr>
          <w:rFonts w:cstheme="minorHAnsi"/>
          <w:sz w:val="24"/>
          <w:szCs w:val="24"/>
        </w:rPr>
        <w:t xml:space="preserve"> a semi-quantitative comparison of lesion-based aging.  </w:t>
      </w:r>
    </w:p>
    <w:p w14:paraId="7736FB67" w14:textId="77777777" w:rsidR="00927616" w:rsidRPr="004D451E" w:rsidRDefault="00927616" w:rsidP="004D451E">
      <w:pPr>
        <w:spacing w:after="0" w:line="240" w:lineRule="auto"/>
        <w:rPr>
          <w:rFonts w:cstheme="minorHAnsi"/>
          <w:sz w:val="24"/>
          <w:szCs w:val="24"/>
        </w:rPr>
      </w:pPr>
    </w:p>
    <w:p w14:paraId="20B0648F" w14:textId="7044DD98" w:rsidR="00927616" w:rsidRPr="00317860" w:rsidRDefault="009F1688" w:rsidP="004D451E">
      <w:pPr>
        <w:spacing w:after="0" w:line="240" w:lineRule="auto"/>
        <w:rPr>
          <w:rFonts w:cstheme="minorHAnsi"/>
          <w:b/>
          <w:bCs/>
          <w:sz w:val="24"/>
          <w:szCs w:val="24"/>
        </w:rPr>
      </w:pPr>
      <w:r w:rsidRPr="009F1688">
        <w:rPr>
          <w:rFonts w:cstheme="minorHAnsi"/>
          <w:b/>
          <w:bCs/>
          <w:sz w:val="24"/>
          <w:szCs w:val="24"/>
        </w:rPr>
        <w:t>Summary and future directions</w:t>
      </w:r>
    </w:p>
    <w:p w14:paraId="0C781516" w14:textId="3339D38E" w:rsidR="00927616" w:rsidRPr="004D451E" w:rsidRDefault="00927616" w:rsidP="004D451E">
      <w:pPr>
        <w:spacing w:after="0" w:line="240" w:lineRule="auto"/>
        <w:rPr>
          <w:rFonts w:cstheme="minorHAnsi"/>
          <w:sz w:val="24"/>
          <w:szCs w:val="24"/>
        </w:rPr>
      </w:pPr>
      <w:r w:rsidRPr="004D451E">
        <w:rPr>
          <w:rFonts w:cstheme="minorHAnsi"/>
          <w:sz w:val="24"/>
          <w:szCs w:val="24"/>
        </w:rPr>
        <w:t xml:space="preserve">The successful adaptation of the mouse GGP for NHPs will include (1) expanding the range of organs examined, (2) standardizing necropsy collections, tissue trimming protocols, and descriptive lesion terminology, (3) expanding NHP species beyond rhesus macaques and common marmosets to include other NHPs used in research, and (4) creating a NHP Geropathology Atlas. </w:t>
      </w:r>
      <w:r w:rsidR="00E03FE7" w:rsidRPr="004D451E">
        <w:rPr>
          <w:rFonts w:cstheme="minorHAnsi"/>
          <w:sz w:val="24"/>
          <w:szCs w:val="24"/>
        </w:rPr>
        <w:t>Adaptation of the GGP</w:t>
      </w:r>
      <w:r w:rsidR="00C10765" w:rsidRPr="004D451E">
        <w:rPr>
          <w:rFonts w:cstheme="minorHAnsi"/>
          <w:sz w:val="24"/>
          <w:szCs w:val="24"/>
        </w:rPr>
        <w:t xml:space="preserve"> </w:t>
      </w:r>
      <w:r w:rsidR="004A5C5F" w:rsidRPr="004D451E">
        <w:rPr>
          <w:rFonts w:cstheme="minorHAnsi"/>
          <w:sz w:val="24"/>
          <w:szCs w:val="24"/>
        </w:rPr>
        <w:t xml:space="preserve">to include translational models other than mice will be </w:t>
      </w:r>
      <w:r w:rsidR="00E03FE7" w:rsidRPr="004D451E">
        <w:rPr>
          <w:rFonts w:cstheme="minorHAnsi"/>
          <w:sz w:val="24"/>
          <w:szCs w:val="24"/>
        </w:rPr>
        <w:t>crucia</w:t>
      </w:r>
      <w:r w:rsidR="001137BC" w:rsidRPr="004D451E">
        <w:rPr>
          <w:rFonts w:cstheme="minorHAnsi"/>
          <w:sz w:val="24"/>
          <w:szCs w:val="24"/>
        </w:rPr>
        <w:t xml:space="preserve">l to advancing geropathology for </w:t>
      </w:r>
      <w:r w:rsidR="004A5C5F" w:rsidRPr="004D451E">
        <w:rPr>
          <w:rFonts w:cstheme="minorHAnsi"/>
          <w:sz w:val="24"/>
          <w:szCs w:val="24"/>
        </w:rPr>
        <w:t>research communit</w:t>
      </w:r>
      <w:r w:rsidR="001137BC" w:rsidRPr="004D451E">
        <w:rPr>
          <w:rFonts w:cstheme="minorHAnsi"/>
          <w:sz w:val="24"/>
          <w:szCs w:val="24"/>
        </w:rPr>
        <w:t>ies interested in investigating aging and intervention</w:t>
      </w:r>
      <w:r w:rsidR="00EB50D8" w:rsidRPr="004D451E">
        <w:rPr>
          <w:rFonts w:cstheme="minorHAnsi"/>
          <w:sz w:val="24"/>
          <w:szCs w:val="24"/>
        </w:rPr>
        <w:t>s</w:t>
      </w:r>
      <w:r w:rsidR="001137BC" w:rsidRPr="004D451E">
        <w:rPr>
          <w:rFonts w:cstheme="minorHAnsi"/>
          <w:sz w:val="24"/>
          <w:szCs w:val="24"/>
        </w:rPr>
        <w:t xml:space="preserve"> of age-related diseases</w:t>
      </w:r>
      <w:r w:rsidR="004A5C5F" w:rsidRPr="004D451E">
        <w:rPr>
          <w:rFonts w:cstheme="minorHAnsi"/>
          <w:sz w:val="24"/>
          <w:szCs w:val="24"/>
        </w:rPr>
        <w:t xml:space="preserve">. </w:t>
      </w:r>
    </w:p>
    <w:p w14:paraId="7F1324C0" w14:textId="1C75C952" w:rsidR="00317860" w:rsidRPr="004D451E" w:rsidRDefault="00317860" w:rsidP="00317860">
      <w:pPr>
        <w:spacing w:after="0" w:line="240" w:lineRule="auto"/>
        <w:rPr>
          <w:rFonts w:cstheme="minorHAnsi"/>
          <w:sz w:val="24"/>
          <w:szCs w:val="24"/>
        </w:rPr>
      </w:pPr>
      <w:r w:rsidRPr="004D451E">
        <w:rPr>
          <w:rFonts w:cstheme="minorHAnsi"/>
          <w:sz w:val="24"/>
          <w:szCs w:val="24"/>
        </w:rPr>
        <w:t xml:space="preserve">The value of NHP models is currently enhanced by extensive historical data from a variety of clinical, bio-behavioral and social domains that align with health span in these aged animals. The best example </w:t>
      </w:r>
      <w:r w:rsidRPr="004D451E">
        <w:rPr>
          <w:rFonts w:cstheme="minorHAnsi"/>
          <w:sz w:val="24"/>
          <w:szCs w:val="24"/>
        </w:rPr>
        <w:lastRenderedPageBreak/>
        <w:t xml:space="preserve">of such a data set is the National Institute on Aging (NIA) Primate Aging Database which includes basic health and husbandry data from multiple institutions on primates across their lifespan. The establishment of a national resource for age related pathology would complement this type of in-life dataset.  </w:t>
      </w:r>
    </w:p>
    <w:p w14:paraId="6D556478" w14:textId="77777777" w:rsidR="00927616" w:rsidRPr="004D451E" w:rsidRDefault="00927616" w:rsidP="004D451E">
      <w:pPr>
        <w:spacing w:after="0" w:line="240" w:lineRule="auto"/>
        <w:rPr>
          <w:rFonts w:cstheme="minorHAnsi"/>
          <w:sz w:val="24"/>
          <w:szCs w:val="24"/>
        </w:rPr>
      </w:pPr>
    </w:p>
    <w:p w14:paraId="341FED5F" w14:textId="00DDDCD9" w:rsidR="00EF63E5" w:rsidRPr="002C3D03" w:rsidRDefault="00EF63E5" w:rsidP="00DF3DBD">
      <w:pPr>
        <w:spacing w:after="0" w:line="240" w:lineRule="auto"/>
        <w:rPr>
          <w:rFonts w:cstheme="minorHAnsi"/>
          <w:b/>
          <w:sz w:val="24"/>
          <w:szCs w:val="24"/>
        </w:rPr>
      </w:pPr>
      <w:bookmarkStart w:id="3" w:name="_Hlk24534947"/>
      <w:r w:rsidRPr="002C3D03">
        <w:rPr>
          <w:rFonts w:cstheme="minorHAnsi"/>
          <w:b/>
          <w:sz w:val="24"/>
          <w:szCs w:val="24"/>
        </w:rPr>
        <w:t>Acknowledgements</w:t>
      </w:r>
    </w:p>
    <w:p w14:paraId="76E2D764" w14:textId="1D2CA4F3" w:rsidR="00B31B94" w:rsidRPr="002C3D03" w:rsidRDefault="00B31B94" w:rsidP="00B31B94">
      <w:pPr>
        <w:spacing w:after="0" w:line="240" w:lineRule="auto"/>
        <w:rPr>
          <w:rFonts w:cstheme="minorHAnsi"/>
          <w:sz w:val="24"/>
          <w:szCs w:val="24"/>
        </w:rPr>
      </w:pPr>
      <w:r w:rsidRPr="002C3D03">
        <w:rPr>
          <w:rFonts w:cstheme="minorHAnsi"/>
          <w:sz w:val="24"/>
          <w:szCs w:val="24"/>
        </w:rPr>
        <w:t xml:space="preserve">This work was supported, in part, by </w:t>
      </w:r>
      <w:r w:rsidR="002C3D03" w:rsidRPr="002C3D03">
        <w:rPr>
          <w:sz w:val="24"/>
          <w:szCs w:val="24"/>
        </w:rPr>
        <w:t>R24 AG047115</w:t>
      </w:r>
      <w:r w:rsidR="002C3D03" w:rsidRPr="002C3D03">
        <w:rPr>
          <w:sz w:val="24"/>
          <w:szCs w:val="24"/>
        </w:rPr>
        <w:t xml:space="preserve"> (Ladiges PI), and </w:t>
      </w:r>
      <w:r w:rsidRPr="002C3D03">
        <w:rPr>
          <w:rFonts w:cstheme="minorHAnsi"/>
          <w:sz w:val="24"/>
          <w:szCs w:val="24"/>
        </w:rPr>
        <w:t>the Intramural Research Program, National Institute o</w:t>
      </w:r>
      <w:r w:rsidRPr="002C3D03">
        <w:rPr>
          <w:rFonts w:cstheme="minorHAnsi"/>
          <w:sz w:val="24"/>
          <w:szCs w:val="24"/>
        </w:rPr>
        <w:t>n</w:t>
      </w:r>
      <w:r w:rsidRPr="002C3D03">
        <w:rPr>
          <w:rFonts w:cstheme="minorHAnsi"/>
          <w:sz w:val="24"/>
          <w:szCs w:val="24"/>
        </w:rPr>
        <w:t xml:space="preserve"> Aging, NIH</w:t>
      </w:r>
      <w:r w:rsidRPr="002C3D03">
        <w:rPr>
          <w:rFonts w:cstheme="minorHAnsi"/>
          <w:sz w:val="24"/>
          <w:szCs w:val="24"/>
        </w:rPr>
        <w:t xml:space="preserve"> (JM)</w:t>
      </w:r>
      <w:r w:rsidRPr="002C3D03">
        <w:rPr>
          <w:rFonts w:cstheme="minorHAnsi"/>
          <w:sz w:val="24"/>
          <w:szCs w:val="24"/>
        </w:rPr>
        <w:t xml:space="preserve">. </w:t>
      </w:r>
    </w:p>
    <w:p w14:paraId="5A6E12B3" w14:textId="77777777" w:rsidR="00EF63E5" w:rsidRDefault="00EF63E5" w:rsidP="00DF3DBD">
      <w:pPr>
        <w:spacing w:after="0" w:line="240" w:lineRule="auto"/>
        <w:rPr>
          <w:rFonts w:cstheme="minorHAnsi"/>
          <w:b/>
          <w:sz w:val="24"/>
          <w:szCs w:val="24"/>
        </w:rPr>
      </w:pPr>
    </w:p>
    <w:p w14:paraId="48D55D2C" w14:textId="77777777" w:rsidR="00EF63E5" w:rsidRDefault="00EF63E5" w:rsidP="00DF3DBD">
      <w:pPr>
        <w:spacing w:after="0" w:line="240" w:lineRule="auto"/>
        <w:rPr>
          <w:rFonts w:cstheme="minorHAnsi"/>
          <w:b/>
          <w:sz w:val="24"/>
          <w:szCs w:val="24"/>
        </w:rPr>
      </w:pPr>
    </w:p>
    <w:p w14:paraId="09C03B65" w14:textId="47E21F3E" w:rsidR="00DF3DBD" w:rsidRPr="00DF3DBD" w:rsidRDefault="00DF3DBD" w:rsidP="00DF3DBD">
      <w:pPr>
        <w:spacing w:after="0" w:line="240" w:lineRule="auto"/>
        <w:rPr>
          <w:rFonts w:cstheme="minorHAnsi"/>
          <w:b/>
          <w:sz w:val="24"/>
          <w:szCs w:val="24"/>
        </w:rPr>
      </w:pPr>
      <w:r w:rsidRPr="00DF3DBD">
        <w:rPr>
          <w:rFonts w:cstheme="minorHAnsi"/>
          <w:b/>
          <w:sz w:val="24"/>
          <w:szCs w:val="24"/>
        </w:rPr>
        <w:t xml:space="preserve">References </w:t>
      </w:r>
    </w:p>
    <w:p w14:paraId="2EB34385" w14:textId="77777777" w:rsidR="00DF3DBD" w:rsidRPr="002606D3" w:rsidRDefault="00DF3DBD" w:rsidP="00DF3DBD">
      <w:pPr>
        <w:pStyle w:val="EndNoteBibliography"/>
        <w:spacing w:after="0"/>
        <w:ind w:left="547" w:hanging="547"/>
        <w:rPr>
          <w:rFonts w:asciiTheme="minorHAnsi" w:hAnsiTheme="minorHAnsi" w:cstheme="minorHAnsi"/>
          <w:sz w:val="24"/>
          <w:szCs w:val="24"/>
        </w:rPr>
      </w:pPr>
      <w:r w:rsidRPr="002606D3">
        <w:rPr>
          <w:sz w:val="24"/>
          <w:szCs w:val="24"/>
        </w:rPr>
        <w:t>1. Hansen M and Kennedy BK. Does Longer Lifespan Mean Longer Healthspan? Trends in Cell Biology, 2016. 26(8): p. 565-568.</w:t>
      </w:r>
    </w:p>
    <w:p w14:paraId="2E321724" w14:textId="77777777" w:rsidR="00DF3DBD" w:rsidRPr="002606D3" w:rsidRDefault="00DF3DBD" w:rsidP="00DF3DBD">
      <w:pPr>
        <w:pStyle w:val="EndNoteBibliography"/>
        <w:spacing w:after="0"/>
        <w:ind w:left="547" w:hanging="547"/>
        <w:rPr>
          <w:rFonts w:asciiTheme="minorHAnsi" w:hAnsiTheme="minorHAnsi" w:cstheme="minorHAnsi"/>
          <w:sz w:val="24"/>
          <w:szCs w:val="24"/>
        </w:rPr>
      </w:pPr>
      <w:r w:rsidRPr="002606D3">
        <w:rPr>
          <w:rFonts w:asciiTheme="minorHAnsi" w:hAnsiTheme="minorHAnsi" w:cstheme="minorHAnsi"/>
          <w:sz w:val="24"/>
          <w:szCs w:val="24"/>
        </w:rPr>
        <w:t>2. Deeks SG, Verdin E, and McCune JM. Immunosenescence and HIV. Current opinion in immunology, 2012.</w:t>
      </w:r>
    </w:p>
    <w:p w14:paraId="52AE810A" w14:textId="77777777" w:rsidR="00DF3DBD" w:rsidRPr="002606D3" w:rsidRDefault="00DF3DBD" w:rsidP="00DF3DBD">
      <w:pPr>
        <w:pStyle w:val="EndNoteBibliography"/>
        <w:spacing w:after="0"/>
        <w:ind w:left="547" w:hanging="547"/>
        <w:rPr>
          <w:rFonts w:asciiTheme="minorHAnsi" w:hAnsiTheme="minorHAnsi" w:cstheme="minorHAnsi"/>
          <w:sz w:val="24"/>
          <w:szCs w:val="24"/>
        </w:rPr>
      </w:pPr>
      <w:r w:rsidRPr="002606D3">
        <w:rPr>
          <w:sz w:val="24"/>
          <w:szCs w:val="24"/>
        </w:rPr>
        <w:t>3. Messaoudi I and Ingram DK. Overview of aging research using nonhuman primate models. Age, 2012. 34(5): p. 1047-1049.</w:t>
      </w:r>
    </w:p>
    <w:p w14:paraId="0B9948FC" w14:textId="77777777" w:rsidR="00DF3DBD" w:rsidRPr="002606D3" w:rsidRDefault="00DF3DBD" w:rsidP="00DF3DBD">
      <w:pPr>
        <w:pStyle w:val="EndNoteBibliography"/>
        <w:spacing w:after="0"/>
        <w:ind w:left="547" w:hanging="547"/>
        <w:rPr>
          <w:rFonts w:asciiTheme="minorHAnsi" w:hAnsiTheme="minorHAnsi" w:cstheme="minorHAnsi"/>
          <w:sz w:val="24"/>
          <w:szCs w:val="24"/>
        </w:rPr>
      </w:pPr>
      <w:r w:rsidRPr="002606D3">
        <w:rPr>
          <w:sz w:val="24"/>
          <w:szCs w:val="24"/>
        </w:rPr>
        <w:t>4. Ladiges W. Pathology assessment is necessary to validate translational endpoints in preclinical aging studies. Pathobiology of Aging and Age-Related Diseases, 2016. 6</w:t>
      </w:r>
    </w:p>
    <w:p w14:paraId="129191B0" w14:textId="77777777" w:rsidR="00DF3DBD" w:rsidRPr="002606D3" w:rsidRDefault="00DF3DBD" w:rsidP="00DF3DBD">
      <w:pPr>
        <w:spacing w:after="0" w:line="240" w:lineRule="auto"/>
        <w:ind w:left="547" w:hanging="547"/>
        <w:rPr>
          <w:sz w:val="24"/>
          <w:szCs w:val="24"/>
        </w:rPr>
      </w:pPr>
      <w:r w:rsidRPr="002606D3">
        <w:rPr>
          <w:sz w:val="24"/>
          <w:szCs w:val="24"/>
        </w:rPr>
        <w:t>5. Ladiges W. The emerging role of geropathology in preclinical aging studies. Pathobiology of Aging and Age-Related Diseases, 2017. 7.</w:t>
      </w:r>
    </w:p>
    <w:p w14:paraId="758ED1DE" w14:textId="77777777" w:rsidR="00DF3DBD" w:rsidRPr="002606D3" w:rsidRDefault="00DF3DBD" w:rsidP="00DF3DBD">
      <w:pPr>
        <w:spacing w:after="0" w:line="240" w:lineRule="auto"/>
        <w:ind w:left="547" w:hanging="547"/>
        <w:rPr>
          <w:rFonts w:eastAsia="Times New Roman"/>
          <w:sz w:val="24"/>
          <w:szCs w:val="24"/>
        </w:rPr>
      </w:pPr>
      <w:r w:rsidRPr="002606D3">
        <w:rPr>
          <w:rFonts w:eastAsia="Times New Roman"/>
          <w:sz w:val="24"/>
          <w:szCs w:val="24"/>
        </w:rPr>
        <w:t xml:space="preserve">6. Snyder JM, Snider TA, </w:t>
      </w:r>
      <w:proofErr w:type="spellStart"/>
      <w:r w:rsidRPr="002606D3">
        <w:rPr>
          <w:rFonts w:eastAsia="Times New Roman"/>
          <w:sz w:val="24"/>
          <w:szCs w:val="24"/>
        </w:rPr>
        <w:t>Ciol</w:t>
      </w:r>
      <w:proofErr w:type="spellEnd"/>
      <w:r w:rsidRPr="002606D3">
        <w:rPr>
          <w:rFonts w:eastAsia="Times New Roman"/>
          <w:sz w:val="24"/>
          <w:szCs w:val="24"/>
        </w:rPr>
        <w:t xml:space="preserve"> MA, Wilkinson JE, Imai DM, Casey KM, </w:t>
      </w:r>
      <w:proofErr w:type="spellStart"/>
      <w:r w:rsidRPr="002606D3">
        <w:rPr>
          <w:rFonts w:eastAsia="Times New Roman"/>
          <w:sz w:val="24"/>
          <w:szCs w:val="24"/>
        </w:rPr>
        <w:t>Vilches</w:t>
      </w:r>
      <w:proofErr w:type="spellEnd"/>
      <w:r w:rsidRPr="002606D3">
        <w:rPr>
          <w:rFonts w:eastAsia="Times New Roman"/>
          <w:sz w:val="24"/>
          <w:szCs w:val="24"/>
        </w:rPr>
        <w:t xml:space="preserve">-Moure JG, </w:t>
      </w:r>
      <w:proofErr w:type="spellStart"/>
      <w:r w:rsidRPr="002606D3">
        <w:rPr>
          <w:rFonts w:eastAsia="Times New Roman"/>
          <w:sz w:val="24"/>
          <w:szCs w:val="24"/>
        </w:rPr>
        <w:t>Pettan</w:t>
      </w:r>
      <w:proofErr w:type="spellEnd"/>
      <w:r w:rsidRPr="002606D3">
        <w:rPr>
          <w:rFonts w:eastAsia="Times New Roman"/>
          <w:sz w:val="24"/>
          <w:szCs w:val="24"/>
        </w:rPr>
        <w:t xml:space="preserve">-Brewer C, Pillai SPS, Carrasco SE, </w:t>
      </w:r>
      <w:proofErr w:type="spellStart"/>
      <w:r w:rsidRPr="002606D3">
        <w:rPr>
          <w:rFonts w:eastAsia="Times New Roman"/>
          <w:sz w:val="24"/>
          <w:szCs w:val="24"/>
        </w:rPr>
        <w:t>Salimi</w:t>
      </w:r>
      <w:proofErr w:type="spellEnd"/>
      <w:r w:rsidRPr="002606D3">
        <w:rPr>
          <w:rFonts w:eastAsia="Times New Roman"/>
          <w:sz w:val="24"/>
          <w:szCs w:val="24"/>
        </w:rPr>
        <w:t xml:space="preserve"> S, Ladiges W. </w:t>
      </w:r>
      <w:hyperlink r:id="rId13" w:history="1">
        <w:r w:rsidRPr="002606D3">
          <w:rPr>
            <w:sz w:val="24"/>
            <w:szCs w:val="24"/>
          </w:rPr>
          <w:t>Validation of a geropathology grading system for aging mouse studies.</w:t>
        </w:r>
      </w:hyperlink>
      <w:r w:rsidRPr="002606D3">
        <w:rPr>
          <w:rFonts w:eastAsia="Times New Roman"/>
          <w:sz w:val="24"/>
          <w:szCs w:val="24"/>
        </w:rPr>
        <w:t xml:space="preserve"> Geroscience. 2019 Aug 29. </w:t>
      </w:r>
      <w:proofErr w:type="spellStart"/>
      <w:r w:rsidRPr="002606D3">
        <w:rPr>
          <w:rFonts w:eastAsia="Times New Roman"/>
          <w:sz w:val="24"/>
          <w:szCs w:val="24"/>
        </w:rPr>
        <w:t>doi</w:t>
      </w:r>
      <w:proofErr w:type="spellEnd"/>
      <w:r w:rsidRPr="002606D3">
        <w:rPr>
          <w:rFonts w:eastAsia="Times New Roman"/>
          <w:sz w:val="24"/>
          <w:szCs w:val="24"/>
        </w:rPr>
        <w:t>: 10.1007/s11357-019-00088-w. [</w:t>
      </w:r>
      <w:proofErr w:type="spellStart"/>
      <w:r w:rsidRPr="002606D3">
        <w:rPr>
          <w:rFonts w:eastAsia="Times New Roman"/>
          <w:sz w:val="24"/>
          <w:szCs w:val="24"/>
        </w:rPr>
        <w:t>Epub</w:t>
      </w:r>
      <w:proofErr w:type="spellEnd"/>
      <w:r w:rsidRPr="002606D3">
        <w:rPr>
          <w:rFonts w:eastAsia="Times New Roman"/>
          <w:sz w:val="24"/>
          <w:szCs w:val="24"/>
        </w:rPr>
        <w:t xml:space="preserve"> ahead of print] PMID:31468322</w:t>
      </w:r>
    </w:p>
    <w:p w14:paraId="0316360D" w14:textId="77777777" w:rsidR="00DF3DBD" w:rsidRPr="002606D3" w:rsidRDefault="00DF3DBD" w:rsidP="00DF3DBD">
      <w:pPr>
        <w:spacing w:after="0" w:line="240" w:lineRule="auto"/>
        <w:ind w:left="547" w:hanging="547"/>
        <w:rPr>
          <w:rFonts w:eastAsia="Times New Roman" w:cstheme="minorHAnsi"/>
          <w:sz w:val="24"/>
          <w:szCs w:val="24"/>
        </w:rPr>
      </w:pPr>
      <w:r w:rsidRPr="002606D3">
        <w:rPr>
          <w:rFonts w:eastAsia="Times New Roman"/>
          <w:sz w:val="24"/>
          <w:szCs w:val="24"/>
        </w:rPr>
        <w:t xml:space="preserve">7. </w:t>
      </w:r>
      <w:r w:rsidRPr="002606D3">
        <w:rPr>
          <w:rFonts w:ascii="Arial" w:eastAsia="Times New Roman" w:hAnsi="Arial" w:cs="Arial"/>
          <w:color w:val="000000"/>
          <w:sz w:val="24"/>
          <w:szCs w:val="24"/>
        </w:rPr>
        <w:t xml:space="preserve"> </w:t>
      </w:r>
      <w:r w:rsidRPr="007474D8">
        <w:rPr>
          <w:rFonts w:eastAsia="Times New Roman" w:cstheme="minorHAnsi"/>
          <w:sz w:val="24"/>
          <w:szCs w:val="24"/>
        </w:rPr>
        <w:t>Snider TA, Richardson A, Stoner JA, Deepa SS.</w:t>
      </w:r>
      <w:r w:rsidRPr="002606D3">
        <w:rPr>
          <w:rFonts w:eastAsia="Times New Roman" w:cstheme="minorHAnsi"/>
          <w:sz w:val="24"/>
          <w:szCs w:val="24"/>
        </w:rPr>
        <w:t xml:space="preserve"> </w:t>
      </w:r>
      <w:hyperlink r:id="rId14" w:history="1">
        <w:r w:rsidRPr="002606D3">
          <w:rPr>
            <w:rFonts w:eastAsia="Times New Roman" w:cstheme="minorHAnsi"/>
            <w:sz w:val="24"/>
            <w:szCs w:val="24"/>
          </w:rPr>
          <w:t>The Geropathology Grading Platform demonstrates that mice null for Cu/Zn-superoxide dismutase show accelerated biological aging.</w:t>
        </w:r>
      </w:hyperlink>
      <w:r w:rsidRPr="002606D3">
        <w:rPr>
          <w:rFonts w:eastAsia="Times New Roman" w:cstheme="minorHAnsi"/>
          <w:sz w:val="24"/>
          <w:szCs w:val="24"/>
        </w:rPr>
        <w:t xml:space="preserve"> </w:t>
      </w:r>
      <w:r w:rsidRPr="007474D8">
        <w:rPr>
          <w:rFonts w:eastAsia="Times New Roman" w:cstheme="minorHAnsi"/>
          <w:sz w:val="24"/>
          <w:szCs w:val="24"/>
        </w:rPr>
        <w:t>Geroscience. 2018 Apr;40(2):97-103</w:t>
      </w:r>
    </w:p>
    <w:p w14:paraId="062442B4" w14:textId="77777777" w:rsidR="00DF3DBD" w:rsidRPr="002606D3" w:rsidRDefault="00DF3DBD" w:rsidP="00DF3DBD">
      <w:pPr>
        <w:spacing w:after="0" w:line="240" w:lineRule="auto"/>
        <w:ind w:left="547" w:hanging="547"/>
        <w:rPr>
          <w:sz w:val="24"/>
          <w:szCs w:val="24"/>
        </w:rPr>
      </w:pPr>
      <w:r w:rsidRPr="002606D3">
        <w:rPr>
          <w:sz w:val="24"/>
          <w:szCs w:val="24"/>
        </w:rPr>
        <w:t xml:space="preserve">8. Ladiges W, et al., A New Preclinical Paradigm for Testing Anti-Aging Therapeutics. J </w:t>
      </w:r>
      <w:proofErr w:type="spellStart"/>
      <w:r w:rsidRPr="002606D3">
        <w:rPr>
          <w:sz w:val="24"/>
          <w:szCs w:val="24"/>
        </w:rPr>
        <w:t>Gerontol</w:t>
      </w:r>
      <w:proofErr w:type="spellEnd"/>
      <w:r w:rsidRPr="002606D3">
        <w:rPr>
          <w:sz w:val="24"/>
          <w:szCs w:val="24"/>
        </w:rPr>
        <w:t xml:space="preserve"> A Biol Sci Med Sci, 2017. 72(6): p. 760-762.</w:t>
      </w:r>
    </w:p>
    <w:p w14:paraId="381FACCA" w14:textId="77777777" w:rsidR="00DF3DBD" w:rsidRPr="002606D3" w:rsidRDefault="00DF3DBD" w:rsidP="00DF3DBD">
      <w:pPr>
        <w:spacing w:after="0" w:line="240" w:lineRule="auto"/>
        <w:ind w:left="547" w:hanging="547"/>
        <w:rPr>
          <w:sz w:val="24"/>
          <w:szCs w:val="24"/>
        </w:rPr>
      </w:pPr>
      <w:r w:rsidRPr="002606D3">
        <w:rPr>
          <w:rFonts w:cstheme="minorHAnsi"/>
          <w:sz w:val="24"/>
          <w:szCs w:val="24"/>
        </w:rPr>
        <w:t xml:space="preserve">9. Didier ES, et al. Contributions of Nonhuman Primates to Research on Aging. Vet </w:t>
      </w:r>
      <w:proofErr w:type="spellStart"/>
      <w:r w:rsidRPr="002606D3">
        <w:rPr>
          <w:rFonts w:cstheme="minorHAnsi"/>
          <w:sz w:val="24"/>
          <w:szCs w:val="24"/>
        </w:rPr>
        <w:t>Pathol</w:t>
      </w:r>
      <w:proofErr w:type="spellEnd"/>
      <w:r w:rsidRPr="002606D3">
        <w:rPr>
          <w:rFonts w:cstheme="minorHAnsi"/>
          <w:sz w:val="24"/>
          <w:szCs w:val="24"/>
        </w:rPr>
        <w:t>, 2016. 53(2): p. 277-90.</w:t>
      </w:r>
    </w:p>
    <w:p w14:paraId="32349119" w14:textId="77777777" w:rsidR="00DF3DBD" w:rsidRPr="002606D3" w:rsidRDefault="00DF3DBD" w:rsidP="00DF3DBD">
      <w:pPr>
        <w:spacing w:after="0" w:line="240" w:lineRule="auto"/>
        <w:ind w:left="547" w:hanging="547"/>
        <w:rPr>
          <w:sz w:val="24"/>
          <w:szCs w:val="24"/>
        </w:rPr>
      </w:pPr>
      <w:r w:rsidRPr="002606D3">
        <w:rPr>
          <w:sz w:val="24"/>
          <w:szCs w:val="24"/>
        </w:rPr>
        <w:t xml:space="preserve">10. Hara Y, et al. Estrogen Effects on Cognitive and Synaptic Health Over the </w:t>
      </w:r>
      <w:proofErr w:type="spellStart"/>
      <w:r w:rsidRPr="002606D3">
        <w:rPr>
          <w:sz w:val="24"/>
          <w:szCs w:val="24"/>
        </w:rPr>
        <w:t>Lifecourse</w:t>
      </w:r>
      <w:proofErr w:type="spellEnd"/>
      <w:r w:rsidRPr="002606D3">
        <w:rPr>
          <w:sz w:val="24"/>
          <w:szCs w:val="24"/>
        </w:rPr>
        <w:t xml:space="preserve">. </w:t>
      </w:r>
      <w:proofErr w:type="spellStart"/>
      <w:r w:rsidRPr="002606D3">
        <w:rPr>
          <w:sz w:val="24"/>
          <w:szCs w:val="24"/>
        </w:rPr>
        <w:t>Physiol</w:t>
      </w:r>
      <w:proofErr w:type="spellEnd"/>
      <w:r w:rsidRPr="002606D3">
        <w:rPr>
          <w:sz w:val="24"/>
          <w:szCs w:val="24"/>
        </w:rPr>
        <w:t xml:space="preserve"> Rev, 2015. 95(3): p. 785-807.</w:t>
      </w:r>
    </w:p>
    <w:p w14:paraId="25AF40D4" w14:textId="77777777" w:rsidR="00DF3DBD" w:rsidRPr="002606D3" w:rsidRDefault="00DF3DBD" w:rsidP="00DF3DBD">
      <w:pPr>
        <w:spacing w:after="0" w:line="240" w:lineRule="auto"/>
        <w:ind w:left="547" w:hanging="547"/>
        <w:rPr>
          <w:sz w:val="24"/>
          <w:szCs w:val="24"/>
        </w:rPr>
      </w:pPr>
      <w:r w:rsidRPr="002606D3">
        <w:rPr>
          <w:sz w:val="24"/>
          <w:szCs w:val="24"/>
        </w:rPr>
        <w:t xml:space="preserve">11. </w:t>
      </w:r>
      <w:proofErr w:type="spellStart"/>
      <w:r w:rsidRPr="002606D3">
        <w:rPr>
          <w:sz w:val="24"/>
          <w:szCs w:val="24"/>
        </w:rPr>
        <w:t>Petkov</w:t>
      </w:r>
      <w:proofErr w:type="spellEnd"/>
      <w:r w:rsidRPr="002606D3">
        <w:rPr>
          <w:sz w:val="24"/>
          <w:szCs w:val="24"/>
        </w:rPr>
        <w:t xml:space="preserve"> DI, et al., Characterization of heart macrophages in rhesus macaques as a model to study cardiovascular disease in humans. J </w:t>
      </w:r>
      <w:proofErr w:type="spellStart"/>
      <w:r w:rsidRPr="002606D3">
        <w:rPr>
          <w:sz w:val="24"/>
          <w:szCs w:val="24"/>
        </w:rPr>
        <w:t>Leukoc</w:t>
      </w:r>
      <w:proofErr w:type="spellEnd"/>
      <w:r w:rsidRPr="002606D3">
        <w:rPr>
          <w:sz w:val="24"/>
          <w:szCs w:val="24"/>
        </w:rPr>
        <w:t xml:space="preserve"> Biol, 2019.</w:t>
      </w:r>
    </w:p>
    <w:p w14:paraId="4F56C933" w14:textId="77777777" w:rsidR="00DF3DBD" w:rsidRPr="002606D3" w:rsidRDefault="00DF3DBD" w:rsidP="00DF3DBD">
      <w:pPr>
        <w:spacing w:after="0" w:line="240" w:lineRule="auto"/>
        <w:ind w:left="547" w:hanging="547"/>
        <w:rPr>
          <w:sz w:val="24"/>
          <w:szCs w:val="24"/>
        </w:rPr>
      </w:pPr>
      <w:r w:rsidRPr="002606D3">
        <w:rPr>
          <w:sz w:val="24"/>
          <w:szCs w:val="24"/>
        </w:rPr>
        <w:t>12. High KP, et al. HIV and aging: state of knowledge and areas of critical need for research. A report to the NIH Office of AIDS Research by the HIV and Aging Working Group. Journal of acquired immune deficiency syndromes (1999), 2012. 60 Suppl 1(Suppl 1): p. S1-S18.</w:t>
      </w:r>
    </w:p>
    <w:p w14:paraId="4F718E9B" w14:textId="77777777" w:rsidR="00DF3DBD" w:rsidRPr="002606D3" w:rsidRDefault="00DF3DBD" w:rsidP="00DF3DBD">
      <w:pPr>
        <w:pStyle w:val="EndNoteBibliography"/>
        <w:spacing w:after="0"/>
        <w:ind w:left="547" w:hanging="547"/>
        <w:rPr>
          <w:rFonts w:asciiTheme="minorHAnsi" w:hAnsiTheme="minorHAnsi" w:cstheme="minorHAnsi"/>
          <w:sz w:val="24"/>
          <w:szCs w:val="24"/>
        </w:rPr>
      </w:pPr>
      <w:r w:rsidRPr="002606D3">
        <w:rPr>
          <w:rFonts w:asciiTheme="minorHAnsi" w:hAnsiTheme="minorHAnsi" w:cstheme="minorHAnsi"/>
          <w:sz w:val="24"/>
          <w:szCs w:val="24"/>
        </w:rPr>
        <w:t>13. Cai Y, et al. In vivo characterization of alveolar and interstitial lung macrophages in rhesus macaques: implications for understanding lung disease in humans. J Immunol, 2014. 192(6): p. 2821-9.</w:t>
      </w:r>
    </w:p>
    <w:p w14:paraId="5278AB6C" w14:textId="77777777" w:rsidR="00DF3DBD" w:rsidRPr="002606D3" w:rsidRDefault="00DF3DBD" w:rsidP="00DF3DBD">
      <w:pPr>
        <w:pStyle w:val="EndNoteBibliography"/>
        <w:spacing w:after="0"/>
        <w:ind w:left="547" w:hanging="547"/>
        <w:rPr>
          <w:rFonts w:asciiTheme="minorHAnsi" w:hAnsiTheme="minorHAnsi" w:cstheme="minorHAnsi"/>
          <w:sz w:val="24"/>
          <w:szCs w:val="24"/>
        </w:rPr>
      </w:pPr>
      <w:r w:rsidRPr="002606D3">
        <w:rPr>
          <w:rFonts w:asciiTheme="minorHAnsi" w:hAnsiTheme="minorHAnsi" w:cstheme="minorHAnsi"/>
          <w:sz w:val="24"/>
          <w:szCs w:val="24"/>
        </w:rPr>
        <w:lastRenderedPageBreak/>
        <w:t>14. Cai Y, et al. Preferential Destruction of Interstitial Macrophages over Alveolar Macrophages as a Cause of Pulmonary Disease in Simian Immunodeficiency Virus-Infected Rhesus Macaques. J Immunol, 2015. 195(10): p. 4884-91. A</w:t>
      </w:r>
    </w:p>
    <w:p w14:paraId="7A552346" w14:textId="77777777" w:rsidR="00DF3DBD" w:rsidRPr="002606D3" w:rsidRDefault="00DF3DBD" w:rsidP="00DF3DBD">
      <w:pPr>
        <w:pStyle w:val="EndNoteBibliography"/>
        <w:spacing w:after="0"/>
        <w:ind w:left="547" w:hanging="547"/>
        <w:rPr>
          <w:rFonts w:asciiTheme="minorHAnsi" w:hAnsiTheme="minorHAnsi" w:cstheme="minorHAnsi"/>
          <w:sz w:val="24"/>
          <w:szCs w:val="24"/>
        </w:rPr>
      </w:pPr>
      <w:r w:rsidRPr="002606D3">
        <w:rPr>
          <w:rFonts w:asciiTheme="minorHAnsi" w:hAnsiTheme="minorHAnsi" w:cstheme="minorHAnsi"/>
          <w:sz w:val="24"/>
          <w:szCs w:val="24"/>
        </w:rPr>
        <w:t>15. Cai Y, et al. Increased monocyte turnover is associated with interstitial macrophage accumulation and pulmonary tissue damage in SIV-infected rhesus macaques. J Leukoc Biol, 2015. 97(6): p. 1147-53. B</w:t>
      </w:r>
    </w:p>
    <w:p w14:paraId="2F373ADA" w14:textId="77777777" w:rsidR="00DF3DBD" w:rsidRPr="002606D3" w:rsidRDefault="00DF3DBD" w:rsidP="00DF3DBD">
      <w:pPr>
        <w:spacing w:after="0" w:line="240" w:lineRule="auto"/>
        <w:ind w:left="547" w:hanging="547"/>
        <w:rPr>
          <w:sz w:val="24"/>
          <w:szCs w:val="24"/>
        </w:rPr>
      </w:pPr>
      <w:r w:rsidRPr="002606D3">
        <w:rPr>
          <w:sz w:val="24"/>
          <w:szCs w:val="24"/>
        </w:rPr>
        <w:t>16. Takahashi N., et al., Shifting Dynamics of Intestinal Macrophages during Simian Immunodeficiency Virus Infection in Adult Rhesus Macaques. J Immunol, 2019. 202(9): p. 2682-2689.</w:t>
      </w:r>
    </w:p>
    <w:p w14:paraId="74D991F0" w14:textId="77777777" w:rsidR="00DF3DBD" w:rsidRPr="002606D3" w:rsidRDefault="00DF3DBD" w:rsidP="00DF3DBD">
      <w:pPr>
        <w:spacing w:after="0" w:line="240" w:lineRule="auto"/>
        <w:ind w:left="547" w:hanging="547"/>
        <w:rPr>
          <w:sz w:val="24"/>
          <w:szCs w:val="24"/>
        </w:rPr>
      </w:pPr>
      <w:r w:rsidRPr="002606D3">
        <w:rPr>
          <w:sz w:val="24"/>
          <w:szCs w:val="24"/>
        </w:rPr>
        <w:t>17. Simmons HA, Age-Associated Pathology in Rhesus Macaques (</w:t>
      </w:r>
      <w:proofErr w:type="spellStart"/>
      <w:r w:rsidRPr="002606D3">
        <w:rPr>
          <w:sz w:val="24"/>
          <w:szCs w:val="24"/>
        </w:rPr>
        <w:t>Macaca</w:t>
      </w:r>
      <w:proofErr w:type="spellEnd"/>
      <w:r w:rsidRPr="002606D3">
        <w:rPr>
          <w:sz w:val="24"/>
          <w:szCs w:val="24"/>
        </w:rPr>
        <w:t xml:space="preserve"> mulatta). Veterinary Pathology, 2016. 53(2): p. 399-416.</w:t>
      </w:r>
    </w:p>
    <w:p w14:paraId="59C08EBC" w14:textId="77777777" w:rsidR="00DF3DBD" w:rsidRPr="002606D3" w:rsidRDefault="00DF3DBD" w:rsidP="00DF3DBD">
      <w:pPr>
        <w:spacing w:after="0" w:line="240" w:lineRule="auto"/>
        <w:ind w:left="547" w:hanging="547"/>
        <w:rPr>
          <w:sz w:val="24"/>
          <w:szCs w:val="24"/>
        </w:rPr>
      </w:pPr>
      <w:r w:rsidRPr="002606D3">
        <w:rPr>
          <w:rFonts w:eastAsia="Times New Roman"/>
          <w:sz w:val="24"/>
          <w:szCs w:val="24"/>
        </w:rPr>
        <w:t xml:space="preserve">18. Ross C, </w:t>
      </w:r>
      <w:hyperlink r:id="rId15" w:tooltip="Jessica Adams" w:history="1">
        <w:r w:rsidRPr="002606D3">
          <w:rPr>
            <w:rFonts w:eastAsia="Times New Roman"/>
            <w:sz w:val="24"/>
            <w:szCs w:val="24"/>
          </w:rPr>
          <w:t>Adams</w:t>
        </w:r>
      </w:hyperlink>
      <w:r w:rsidRPr="002606D3">
        <w:rPr>
          <w:rFonts w:eastAsia="Times New Roman"/>
          <w:sz w:val="24"/>
          <w:szCs w:val="24"/>
        </w:rPr>
        <w:t xml:space="preserve"> J, </w:t>
      </w:r>
      <w:hyperlink r:id="rId16" w:tooltip="Olga Gonzalez" w:history="1">
        <w:r w:rsidRPr="002606D3">
          <w:rPr>
            <w:rFonts w:eastAsia="Times New Roman"/>
            <w:sz w:val="24"/>
            <w:szCs w:val="24"/>
          </w:rPr>
          <w:t>Gonzalez</w:t>
        </w:r>
      </w:hyperlink>
      <w:r w:rsidRPr="002606D3">
        <w:rPr>
          <w:rFonts w:eastAsia="Times New Roman"/>
          <w:sz w:val="24"/>
          <w:szCs w:val="24"/>
        </w:rPr>
        <w:t xml:space="preserve"> O, </w:t>
      </w:r>
      <w:hyperlink r:id="rId17" w:tooltip="Edward Dick" w:history="1">
        <w:r w:rsidRPr="002606D3">
          <w:rPr>
            <w:rFonts w:eastAsia="Times New Roman"/>
            <w:sz w:val="24"/>
            <w:szCs w:val="24"/>
          </w:rPr>
          <w:t>Dick</w:t>
        </w:r>
      </w:hyperlink>
      <w:r w:rsidRPr="002606D3">
        <w:rPr>
          <w:rFonts w:eastAsia="Times New Roman"/>
          <w:sz w:val="24"/>
          <w:szCs w:val="24"/>
        </w:rPr>
        <w:t xml:space="preserve"> E, </w:t>
      </w:r>
      <w:hyperlink r:id="rId18" w:tooltip="Luis Giavedoni" w:history="1">
        <w:proofErr w:type="spellStart"/>
        <w:r w:rsidRPr="002606D3">
          <w:rPr>
            <w:rFonts w:eastAsia="Times New Roman"/>
            <w:sz w:val="24"/>
            <w:szCs w:val="24"/>
          </w:rPr>
          <w:t>Giavedoni</w:t>
        </w:r>
        <w:proofErr w:type="spellEnd"/>
      </w:hyperlink>
      <w:r w:rsidRPr="002606D3">
        <w:rPr>
          <w:rFonts w:eastAsia="Times New Roman"/>
          <w:sz w:val="24"/>
          <w:szCs w:val="24"/>
        </w:rPr>
        <w:t xml:space="preserve"> L, </w:t>
      </w:r>
      <w:hyperlink r:id="rId19" w:tooltip="Vida L. Hodara" w:history="1">
        <w:proofErr w:type="spellStart"/>
        <w:r w:rsidRPr="002606D3">
          <w:rPr>
            <w:rFonts w:eastAsia="Times New Roman"/>
            <w:sz w:val="24"/>
            <w:szCs w:val="24"/>
          </w:rPr>
          <w:t>Hodara</w:t>
        </w:r>
        <w:proofErr w:type="spellEnd"/>
        <w:r w:rsidRPr="002606D3">
          <w:rPr>
            <w:rFonts w:eastAsia="Times New Roman"/>
            <w:sz w:val="24"/>
            <w:szCs w:val="24"/>
          </w:rPr>
          <w:t xml:space="preserve"> VL, </w:t>
        </w:r>
      </w:hyperlink>
      <w:hyperlink r:id="rId20" w:tooltip="Kimberley Phillips" w:history="1">
        <w:r w:rsidRPr="002606D3">
          <w:rPr>
            <w:rFonts w:eastAsia="Times New Roman"/>
            <w:sz w:val="24"/>
            <w:szCs w:val="24"/>
          </w:rPr>
          <w:t>Phillips</w:t>
        </w:r>
      </w:hyperlink>
      <w:r w:rsidRPr="002606D3">
        <w:rPr>
          <w:rFonts w:eastAsia="Times New Roman"/>
          <w:sz w:val="24"/>
          <w:szCs w:val="24"/>
        </w:rPr>
        <w:t xml:space="preserve"> K, </w:t>
      </w:r>
      <w:hyperlink r:id="rId21" w:tooltip="Anna D Rigodanzo" w:history="1">
        <w:proofErr w:type="spellStart"/>
        <w:r w:rsidRPr="002606D3">
          <w:rPr>
            <w:rFonts w:eastAsia="Times New Roman"/>
            <w:sz w:val="24"/>
            <w:szCs w:val="24"/>
          </w:rPr>
          <w:t>Rigodanzo</w:t>
        </w:r>
        <w:proofErr w:type="spellEnd"/>
      </w:hyperlink>
      <w:r w:rsidRPr="002606D3">
        <w:rPr>
          <w:rFonts w:eastAsia="Times New Roman"/>
          <w:sz w:val="24"/>
          <w:szCs w:val="24"/>
        </w:rPr>
        <w:t xml:space="preserve"> AD, </w:t>
      </w:r>
      <w:hyperlink r:id="rId22" w:tooltip="Balakuntalam Kasinath" w:history="1">
        <w:r w:rsidRPr="002606D3">
          <w:rPr>
            <w:rFonts w:eastAsia="Times New Roman"/>
            <w:sz w:val="24"/>
            <w:szCs w:val="24"/>
          </w:rPr>
          <w:t xml:space="preserve"> </w:t>
        </w:r>
        <w:proofErr w:type="spellStart"/>
        <w:r w:rsidRPr="002606D3">
          <w:rPr>
            <w:rFonts w:eastAsia="Times New Roman"/>
            <w:sz w:val="24"/>
            <w:szCs w:val="24"/>
          </w:rPr>
          <w:t>Kasinath</w:t>
        </w:r>
        <w:proofErr w:type="spellEnd"/>
      </w:hyperlink>
      <w:r w:rsidRPr="002606D3">
        <w:rPr>
          <w:rFonts w:eastAsia="Times New Roman"/>
          <w:sz w:val="24"/>
          <w:szCs w:val="24"/>
        </w:rPr>
        <w:t xml:space="preserve"> B, </w:t>
      </w:r>
      <w:hyperlink r:id="rId23" w:tooltip="Suzette D. Tardif" w:history="1">
        <w:r w:rsidRPr="002606D3">
          <w:rPr>
            <w:rFonts w:eastAsia="Times New Roman"/>
            <w:sz w:val="24"/>
            <w:szCs w:val="24"/>
          </w:rPr>
          <w:t>Tardif</w:t>
        </w:r>
      </w:hyperlink>
      <w:r w:rsidRPr="002606D3">
        <w:rPr>
          <w:rFonts w:eastAsia="Times New Roman"/>
          <w:sz w:val="24"/>
          <w:szCs w:val="24"/>
        </w:rPr>
        <w:t xml:space="preserve"> SD. Cross‐sectional comparison of health‐span phenotypes in young versus geriatric marmosets. American J Primatology, 2019, 81 (1):1-16.</w:t>
      </w:r>
    </w:p>
    <w:p w14:paraId="0B40CF91" w14:textId="77777777" w:rsidR="00DF3DBD" w:rsidRDefault="00DF3DBD" w:rsidP="004D451E">
      <w:pPr>
        <w:spacing w:after="0" w:line="240" w:lineRule="auto"/>
        <w:rPr>
          <w:rFonts w:cstheme="minorHAnsi"/>
          <w:b/>
          <w:bCs/>
          <w:sz w:val="24"/>
          <w:szCs w:val="24"/>
        </w:rPr>
      </w:pPr>
    </w:p>
    <w:p w14:paraId="5067AAD1" w14:textId="77777777" w:rsidR="00DF3DBD" w:rsidRDefault="00DF3DBD" w:rsidP="004D451E">
      <w:pPr>
        <w:spacing w:after="0" w:line="240" w:lineRule="auto"/>
        <w:rPr>
          <w:rFonts w:cstheme="minorHAnsi"/>
          <w:b/>
          <w:bCs/>
          <w:sz w:val="24"/>
          <w:szCs w:val="24"/>
        </w:rPr>
      </w:pPr>
    </w:p>
    <w:p w14:paraId="3410F628" w14:textId="77777777" w:rsidR="00DF3DBD" w:rsidRDefault="00DF3DBD" w:rsidP="004D451E">
      <w:pPr>
        <w:spacing w:after="0" w:line="240" w:lineRule="auto"/>
        <w:rPr>
          <w:rFonts w:cstheme="minorHAnsi"/>
          <w:b/>
          <w:bCs/>
          <w:sz w:val="24"/>
          <w:szCs w:val="24"/>
        </w:rPr>
      </w:pPr>
    </w:p>
    <w:bookmarkEnd w:id="3"/>
    <w:p w14:paraId="14A79200" w14:textId="4B30A786" w:rsidR="001F4720" w:rsidRPr="004D451E" w:rsidRDefault="001F4720" w:rsidP="004D451E">
      <w:pPr>
        <w:spacing w:after="0" w:line="240" w:lineRule="auto"/>
        <w:rPr>
          <w:rFonts w:eastAsia="Times New Roman" w:cstheme="minorHAnsi"/>
          <w:color w:val="767676"/>
          <w:sz w:val="24"/>
          <w:szCs w:val="24"/>
        </w:rPr>
      </w:pPr>
    </w:p>
    <w:p w14:paraId="7F1E0E0A" w14:textId="68BE45F1" w:rsidR="001F4720" w:rsidRPr="004D451E" w:rsidRDefault="001F4720" w:rsidP="004D451E">
      <w:pPr>
        <w:spacing w:after="0" w:line="240" w:lineRule="auto"/>
        <w:rPr>
          <w:rFonts w:cstheme="minorHAnsi"/>
          <w:sz w:val="24"/>
          <w:szCs w:val="24"/>
        </w:rPr>
      </w:pPr>
    </w:p>
    <w:p w14:paraId="668E2FA6" w14:textId="2B6214A7" w:rsidR="001F4720" w:rsidRPr="004D451E" w:rsidRDefault="001F4720" w:rsidP="004D451E">
      <w:pPr>
        <w:spacing w:after="0" w:line="240" w:lineRule="auto"/>
        <w:rPr>
          <w:rFonts w:cstheme="minorHAnsi"/>
          <w:sz w:val="24"/>
          <w:szCs w:val="24"/>
        </w:rPr>
      </w:pPr>
    </w:p>
    <w:p w14:paraId="6CBF12AC" w14:textId="2A490935" w:rsidR="001F4720" w:rsidRPr="004D451E" w:rsidRDefault="001F4720" w:rsidP="004D451E">
      <w:pPr>
        <w:spacing w:after="0" w:line="240" w:lineRule="auto"/>
        <w:rPr>
          <w:rFonts w:cstheme="minorHAnsi"/>
          <w:sz w:val="24"/>
          <w:szCs w:val="24"/>
        </w:rPr>
      </w:pPr>
    </w:p>
    <w:p w14:paraId="3AEBCE12" w14:textId="77777777" w:rsidR="0041063D" w:rsidRPr="004D451E" w:rsidRDefault="0041063D" w:rsidP="004D451E">
      <w:pPr>
        <w:spacing w:after="0" w:line="240" w:lineRule="auto"/>
        <w:rPr>
          <w:rFonts w:cstheme="minorHAnsi"/>
          <w:sz w:val="24"/>
          <w:szCs w:val="24"/>
        </w:rPr>
      </w:pPr>
    </w:p>
    <w:p w14:paraId="639B6590" w14:textId="77777777" w:rsidR="00104876" w:rsidRPr="004D451E" w:rsidRDefault="00104876" w:rsidP="004D451E">
      <w:pPr>
        <w:spacing w:after="0" w:line="240" w:lineRule="auto"/>
        <w:rPr>
          <w:rFonts w:cstheme="minorHAnsi"/>
          <w:sz w:val="24"/>
          <w:szCs w:val="24"/>
        </w:rPr>
      </w:pPr>
    </w:p>
    <w:p w14:paraId="63F4238A" w14:textId="77777777" w:rsidR="000E4CAA" w:rsidRDefault="000E4CAA" w:rsidP="004D451E">
      <w:pPr>
        <w:spacing w:after="0" w:line="240" w:lineRule="auto"/>
        <w:rPr>
          <w:rFonts w:cstheme="minorHAnsi"/>
          <w:noProof/>
          <w:sz w:val="24"/>
          <w:szCs w:val="24"/>
        </w:rPr>
      </w:pPr>
    </w:p>
    <w:sectPr w:rsidR="000E4CAA" w:rsidSect="004D451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324E6"/>
    <w:multiLevelType w:val="multilevel"/>
    <w:tmpl w:val="AACE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12A69"/>
    <w:multiLevelType w:val="multilevel"/>
    <w:tmpl w:val="85CC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ps2rw0wbv2svze0098x5z5vfvwf2frfdr0z&quot;&gt;R01 macrophage mechs of aging&lt;record-ids&gt;&lt;item&gt;42&lt;/item&gt;&lt;item&gt;45&lt;/item&gt;&lt;item&gt;46&lt;/item&gt;&lt;item&gt;54&lt;/item&gt;&lt;item&gt;68&lt;/item&gt;&lt;item&gt;185&lt;/item&gt;&lt;item&gt;331&lt;/item&gt;&lt;item&gt;338&lt;/item&gt;&lt;/record-ids&gt;&lt;/item&gt;&lt;/Libraries&gt;"/>
  </w:docVars>
  <w:rsids>
    <w:rsidRoot w:val="00AB72A7"/>
    <w:rsid w:val="000228C6"/>
    <w:rsid w:val="00046BB9"/>
    <w:rsid w:val="0004732B"/>
    <w:rsid w:val="000A5343"/>
    <w:rsid w:val="000D7247"/>
    <w:rsid w:val="000E0E7D"/>
    <w:rsid w:val="000E4CAA"/>
    <w:rsid w:val="000F4A6D"/>
    <w:rsid w:val="00103227"/>
    <w:rsid w:val="00104876"/>
    <w:rsid w:val="001137BC"/>
    <w:rsid w:val="00113BC1"/>
    <w:rsid w:val="0012710E"/>
    <w:rsid w:val="001349D1"/>
    <w:rsid w:val="00143E5E"/>
    <w:rsid w:val="00153D55"/>
    <w:rsid w:val="0018348B"/>
    <w:rsid w:val="00190C45"/>
    <w:rsid w:val="00193555"/>
    <w:rsid w:val="00193619"/>
    <w:rsid w:val="001A0B1B"/>
    <w:rsid w:val="001A2B48"/>
    <w:rsid w:val="001B7032"/>
    <w:rsid w:val="001E1301"/>
    <w:rsid w:val="001F4720"/>
    <w:rsid w:val="001F69AA"/>
    <w:rsid w:val="00203CED"/>
    <w:rsid w:val="002130D5"/>
    <w:rsid w:val="002279CC"/>
    <w:rsid w:val="0024480E"/>
    <w:rsid w:val="002659E1"/>
    <w:rsid w:val="00266806"/>
    <w:rsid w:val="002904A0"/>
    <w:rsid w:val="0029338A"/>
    <w:rsid w:val="002A0CD5"/>
    <w:rsid w:val="002A6BD5"/>
    <w:rsid w:val="002B6E68"/>
    <w:rsid w:val="002C00E1"/>
    <w:rsid w:val="002C3D03"/>
    <w:rsid w:val="002C4937"/>
    <w:rsid w:val="002D5D89"/>
    <w:rsid w:val="002E48D3"/>
    <w:rsid w:val="002F1A49"/>
    <w:rsid w:val="00310581"/>
    <w:rsid w:val="00317860"/>
    <w:rsid w:val="00343AAF"/>
    <w:rsid w:val="003449BC"/>
    <w:rsid w:val="00360C05"/>
    <w:rsid w:val="003612F3"/>
    <w:rsid w:val="00380363"/>
    <w:rsid w:val="003B00D0"/>
    <w:rsid w:val="003B33B9"/>
    <w:rsid w:val="003B4172"/>
    <w:rsid w:val="003C14E3"/>
    <w:rsid w:val="003C3CE8"/>
    <w:rsid w:val="003F08C7"/>
    <w:rsid w:val="003F2F62"/>
    <w:rsid w:val="0041063D"/>
    <w:rsid w:val="00444A9F"/>
    <w:rsid w:val="00445566"/>
    <w:rsid w:val="00452149"/>
    <w:rsid w:val="00484CC6"/>
    <w:rsid w:val="004A5C5F"/>
    <w:rsid w:val="004A6129"/>
    <w:rsid w:val="004A6D29"/>
    <w:rsid w:val="004C3501"/>
    <w:rsid w:val="004C39C9"/>
    <w:rsid w:val="004D43E8"/>
    <w:rsid w:val="004D451E"/>
    <w:rsid w:val="00503A0D"/>
    <w:rsid w:val="00513B2D"/>
    <w:rsid w:val="00515BE9"/>
    <w:rsid w:val="00550B11"/>
    <w:rsid w:val="00567A45"/>
    <w:rsid w:val="00585DAD"/>
    <w:rsid w:val="005A20F7"/>
    <w:rsid w:val="005A658F"/>
    <w:rsid w:val="005C7130"/>
    <w:rsid w:val="005C7EAD"/>
    <w:rsid w:val="005E2F5A"/>
    <w:rsid w:val="006328D3"/>
    <w:rsid w:val="0063600D"/>
    <w:rsid w:val="00643EE1"/>
    <w:rsid w:val="006451E6"/>
    <w:rsid w:val="006567D9"/>
    <w:rsid w:val="00657881"/>
    <w:rsid w:val="00657F77"/>
    <w:rsid w:val="006664BC"/>
    <w:rsid w:val="00682AD3"/>
    <w:rsid w:val="00683896"/>
    <w:rsid w:val="00692588"/>
    <w:rsid w:val="006B32D0"/>
    <w:rsid w:val="006E056A"/>
    <w:rsid w:val="006F0AB4"/>
    <w:rsid w:val="007029D7"/>
    <w:rsid w:val="00732FAF"/>
    <w:rsid w:val="007338FC"/>
    <w:rsid w:val="00760547"/>
    <w:rsid w:val="00772BEB"/>
    <w:rsid w:val="00796467"/>
    <w:rsid w:val="007B637F"/>
    <w:rsid w:val="007E0221"/>
    <w:rsid w:val="007E0426"/>
    <w:rsid w:val="00832518"/>
    <w:rsid w:val="00870166"/>
    <w:rsid w:val="00885A25"/>
    <w:rsid w:val="00890004"/>
    <w:rsid w:val="00896263"/>
    <w:rsid w:val="008B774E"/>
    <w:rsid w:val="008B7D3B"/>
    <w:rsid w:val="008E07C0"/>
    <w:rsid w:val="008E6C8E"/>
    <w:rsid w:val="00903DF8"/>
    <w:rsid w:val="0090766D"/>
    <w:rsid w:val="0091428E"/>
    <w:rsid w:val="00927247"/>
    <w:rsid w:val="00927616"/>
    <w:rsid w:val="0093036E"/>
    <w:rsid w:val="009315A5"/>
    <w:rsid w:val="0095076A"/>
    <w:rsid w:val="009667B9"/>
    <w:rsid w:val="0096725B"/>
    <w:rsid w:val="00986240"/>
    <w:rsid w:val="009A7733"/>
    <w:rsid w:val="009B109A"/>
    <w:rsid w:val="009B5156"/>
    <w:rsid w:val="009C7337"/>
    <w:rsid w:val="009D319A"/>
    <w:rsid w:val="009F1688"/>
    <w:rsid w:val="00A00603"/>
    <w:rsid w:val="00A02898"/>
    <w:rsid w:val="00A1333A"/>
    <w:rsid w:val="00A33C32"/>
    <w:rsid w:val="00A46457"/>
    <w:rsid w:val="00A510C2"/>
    <w:rsid w:val="00A54CB3"/>
    <w:rsid w:val="00AA7843"/>
    <w:rsid w:val="00AB72A7"/>
    <w:rsid w:val="00AC5403"/>
    <w:rsid w:val="00AE1275"/>
    <w:rsid w:val="00B27F5C"/>
    <w:rsid w:val="00B31B94"/>
    <w:rsid w:val="00B4721D"/>
    <w:rsid w:val="00B477D4"/>
    <w:rsid w:val="00B67B17"/>
    <w:rsid w:val="00B77F7E"/>
    <w:rsid w:val="00BA3F91"/>
    <w:rsid w:val="00BC0F6F"/>
    <w:rsid w:val="00BD0BD3"/>
    <w:rsid w:val="00BD172D"/>
    <w:rsid w:val="00BD1B33"/>
    <w:rsid w:val="00BD48F6"/>
    <w:rsid w:val="00C10765"/>
    <w:rsid w:val="00C10BE1"/>
    <w:rsid w:val="00C1604B"/>
    <w:rsid w:val="00C310B6"/>
    <w:rsid w:val="00C34E76"/>
    <w:rsid w:val="00C417CE"/>
    <w:rsid w:val="00C56813"/>
    <w:rsid w:val="00C56B99"/>
    <w:rsid w:val="00C61A70"/>
    <w:rsid w:val="00C83215"/>
    <w:rsid w:val="00C83DE7"/>
    <w:rsid w:val="00CA1353"/>
    <w:rsid w:val="00CA5207"/>
    <w:rsid w:val="00CA5D69"/>
    <w:rsid w:val="00CB7820"/>
    <w:rsid w:val="00CC765E"/>
    <w:rsid w:val="00CE5B08"/>
    <w:rsid w:val="00D01A6D"/>
    <w:rsid w:val="00D10413"/>
    <w:rsid w:val="00D16E0A"/>
    <w:rsid w:val="00D203C9"/>
    <w:rsid w:val="00D2557A"/>
    <w:rsid w:val="00D32076"/>
    <w:rsid w:val="00D45A6B"/>
    <w:rsid w:val="00D624BF"/>
    <w:rsid w:val="00D66716"/>
    <w:rsid w:val="00D7298A"/>
    <w:rsid w:val="00D92B21"/>
    <w:rsid w:val="00DC0B75"/>
    <w:rsid w:val="00DD10E1"/>
    <w:rsid w:val="00DD5B67"/>
    <w:rsid w:val="00DE5553"/>
    <w:rsid w:val="00DF3DBD"/>
    <w:rsid w:val="00E01507"/>
    <w:rsid w:val="00E03FE7"/>
    <w:rsid w:val="00E12B0A"/>
    <w:rsid w:val="00E16C3C"/>
    <w:rsid w:val="00E42559"/>
    <w:rsid w:val="00E8034E"/>
    <w:rsid w:val="00E80D85"/>
    <w:rsid w:val="00E937AD"/>
    <w:rsid w:val="00E94942"/>
    <w:rsid w:val="00E94D77"/>
    <w:rsid w:val="00EA0B2B"/>
    <w:rsid w:val="00EA4522"/>
    <w:rsid w:val="00EB50D8"/>
    <w:rsid w:val="00EE3138"/>
    <w:rsid w:val="00EF63E5"/>
    <w:rsid w:val="00F073C6"/>
    <w:rsid w:val="00F1414D"/>
    <w:rsid w:val="00F34833"/>
    <w:rsid w:val="00F46427"/>
    <w:rsid w:val="00F50F39"/>
    <w:rsid w:val="00F60BC4"/>
    <w:rsid w:val="00FA7E73"/>
    <w:rsid w:val="00FC1B60"/>
    <w:rsid w:val="00FC452A"/>
    <w:rsid w:val="00FE5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A80814A"/>
  <w15:docId w15:val="{F0EDE2DF-D8CE-4775-B144-99BE7524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8C6"/>
    <w:rPr>
      <w:color w:val="0000FF"/>
      <w:u w:val="single"/>
    </w:rPr>
  </w:style>
  <w:style w:type="character" w:styleId="LineNumber">
    <w:name w:val="line number"/>
    <w:basedOn w:val="DefaultParagraphFont"/>
    <w:uiPriority w:val="99"/>
    <w:semiHidden/>
    <w:unhideWhenUsed/>
    <w:rsid w:val="00CB7820"/>
  </w:style>
  <w:style w:type="paragraph" w:customStyle="1" w:styleId="EndNoteBibliographyTitle">
    <w:name w:val="EndNote Bibliography Title"/>
    <w:basedOn w:val="Normal"/>
    <w:link w:val="EndNoteBibliographyTitleChar"/>
    <w:rsid w:val="00D45A6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45A6B"/>
    <w:rPr>
      <w:rFonts w:ascii="Calibri" w:hAnsi="Calibri" w:cs="Calibri"/>
      <w:noProof/>
    </w:rPr>
  </w:style>
  <w:style w:type="paragraph" w:customStyle="1" w:styleId="EndNoteBibliography">
    <w:name w:val="EndNote Bibliography"/>
    <w:basedOn w:val="Normal"/>
    <w:link w:val="EndNoteBibliographyChar"/>
    <w:rsid w:val="00D45A6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45A6B"/>
    <w:rPr>
      <w:rFonts w:ascii="Calibri" w:hAnsi="Calibri" w:cs="Calibri"/>
      <w:noProof/>
    </w:rPr>
  </w:style>
  <w:style w:type="character" w:styleId="FollowedHyperlink">
    <w:name w:val="FollowedHyperlink"/>
    <w:basedOn w:val="DefaultParagraphFont"/>
    <w:uiPriority w:val="99"/>
    <w:semiHidden/>
    <w:unhideWhenUsed/>
    <w:rsid w:val="00E12B0A"/>
    <w:rPr>
      <w:color w:val="954F72" w:themeColor="followedHyperlink"/>
      <w:u w:val="single"/>
    </w:rPr>
  </w:style>
  <w:style w:type="paragraph" w:styleId="BalloonText">
    <w:name w:val="Balloon Text"/>
    <w:basedOn w:val="Normal"/>
    <w:link w:val="BalloonTextChar"/>
    <w:uiPriority w:val="99"/>
    <w:semiHidden/>
    <w:unhideWhenUsed/>
    <w:rsid w:val="00D667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671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B00D0"/>
    <w:rPr>
      <w:sz w:val="16"/>
      <w:szCs w:val="16"/>
    </w:rPr>
  </w:style>
  <w:style w:type="paragraph" w:styleId="CommentText">
    <w:name w:val="annotation text"/>
    <w:basedOn w:val="Normal"/>
    <w:link w:val="CommentTextChar"/>
    <w:uiPriority w:val="99"/>
    <w:semiHidden/>
    <w:unhideWhenUsed/>
    <w:rsid w:val="003B00D0"/>
    <w:pPr>
      <w:spacing w:line="240" w:lineRule="auto"/>
    </w:pPr>
    <w:rPr>
      <w:sz w:val="20"/>
      <w:szCs w:val="20"/>
    </w:rPr>
  </w:style>
  <w:style w:type="character" w:customStyle="1" w:styleId="CommentTextChar">
    <w:name w:val="Comment Text Char"/>
    <w:basedOn w:val="DefaultParagraphFont"/>
    <w:link w:val="CommentText"/>
    <w:uiPriority w:val="99"/>
    <w:semiHidden/>
    <w:rsid w:val="003B00D0"/>
    <w:rPr>
      <w:sz w:val="20"/>
      <w:szCs w:val="20"/>
    </w:rPr>
  </w:style>
  <w:style w:type="paragraph" w:styleId="CommentSubject">
    <w:name w:val="annotation subject"/>
    <w:basedOn w:val="CommentText"/>
    <w:next w:val="CommentText"/>
    <w:link w:val="CommentSubjectChar"/>
    <w:uiPriority w:val="99"/>
    <w:semiHidden/>
    <w:unhideWhenUsed/>
    <w:rsid w:val="003B00D0"/>
    <w:rPr>
      <w:b/>
      <w:bCs/>
    </w:rPr>
  </w:style>
  <w:style w:type="character" w:customStyle="1" w:styleId="CommentSubjectChar">
    <w:name w:val="Comment Subject Char"/>
    <w:basedOn w:val="CommentTextChar"/>
    <w:link w:val="CommentSubject"/>
    <w:uiPriority w:val="99"/>
    <w:semiHidden/>
    <w:rsid w:val="003B00D0"/>
    <w:rPr>
      <w:b/>
      <w:bCs/>
      <w:sz w:val="20"/>
      <w:szCs w:val="20"/>
    </w:rPr>
  </w:style>
  <w:style w:type="paragraph" w:customStyle="1" w:styleId="Title1">
    <w:name w:val="Title1"/>
    <w:basedOn w:val="Normal"/>
    <w:rsid w:val="00F141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3501"/>
    <w:pPr>
      <w:ind w:left="720"/>
      <w:contextualSpacing/>
    </w:pPr>
  </w:style>
  <w:style w:type="character" w:customStyle="1" w:styleId="UnresolvedMention1">
    <w:name w:val="Unresolved Mention1"/>
    <w:basedOn w:val="DefaultParagraphFont"/>
    <w:uiPriority w:val="99"/>
    <w:semiHidden/>
    <w:unhideWhenUsed/>
    <w:rsid w:val="00F34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763574">
      <w:bodyDiv w:val="1"/>
      <w:marLeft w:val="0"/>
      <w:marRight w:val="0"/>
      <w:marTop w:val="0"/>
      <w:marBottom w:val="0"/>
      <w:divBdr>
        <w:top w:val="none" w:sz="0" w:space="0" w:color="auto"/>
        <w:left w:val="none" w:sz="0" w:space="0" w:color="auto"/>
        <w:bottom w:val="none" w:sz="0" w:space="0" w:color="auto"/>
        <w:right w:val="none" w:sz="0" w:space="0" w:color="auto"/>
      </w:divBdr>
    </w:div>
    <w:div w:id="269975449">
      <w:bodyDiv w:val="1"/>
      <w:marLeft w:val="0"/>
      <w:marRight w:val="0"/>
      <w:marTop w:val="0"/>
      <w:marBottom w:val="0"/>
      <w:divBdr>
        <w:top w:val="none" w:sz="0" w:space="0" w:color="auto"/>
        <w:left w:val="none" w:sz="0" w:space="0" w:color="auto"/>
        <w:bottom w:val="none" w:sz="0" w:space="0" w:color="auto"/>
        <w:right w:val="none" w:sz="0" w:space="0" w:color="auto"/>
      </w:divBdr>
    </w:div>
    <w:div w:id="370300727">
      <w:bodyDiv w:val="1"/>
      <w:marLeft w:val="0"/>
      <w:marRight w:val="0"/>
      <w:marTop w:val="0"/>
      <w:marBottom w:val="0"/>
      <w:divBdr>
        <w:top w:val="none" w:sz="0" w:space="0" w:color="auto"/>
        <w:left w:val="none" w:sz="0" w:space="0" w:color="auto"/>
        <w:bottom w:val="none" w:sz="0" w:space="0" w:color="auto"/>
        <w:right w:val="none" w:sz="0" w:space="0" w:color="auto"/>
      </w:divBdr>
      <w:divsChild>
        <w:div w:id="390466343">
          <w:marLeft w:val="0"/>
          <w:marRight w:val="0"/>
          <w:marTop w:val="0"/>
          <w:marBottom w:val="0"/>
          <w:divBdr>
            <w:top w:val="none" w:sz="0" w:space="0" w:color="auto"/>
            <w:left w:val="none" w:sz="0" w:space="0" w:color="auto"/>
            <w:bottom w:val="none" w:sz="0" w:space="0" w:color="auto"/>
            <w:right w:val="none" w:sz="0" w:space="0" w:color="auto"/>
          </w:divBdr>
          <w:divsChild>
            <w:div w:id="1810902900">
              <w:marLeft w:val="0"/>
              <w:marRight w:val="0"/>
              <w:marTop w:val="0"/>
              <w:marBottom w:val="0"/>
              <w:divBdr>
                <w:top w:val="none" w:sz="0" w:space="0" w:color="auto"/>
                <w:left w:val="none" w:sz="0" w:space="0" w:color="auto"/>
                <w:bottom w:val="none" w:sz="0" w:space="0" w:color="auto"/>
                <w:right w:val="none" w:sz="0" w:space="0" w:color="auto"/>
              </w:divBdr>
            </w:div>
          </w:divsChild>
        </w:div>
        <w:div w:id="1960182819">
          <w:marLeft w:val="0"/>
          <w:marRight w:val="0"/>
          <w:marTop w:val="0"/>
          <w:marBottom w:val="0"/>
          <w:divBdr>
            <w:top w:val="none" w:sz="0" w:space="0" w:color="auto"/>
            <w:left w:val="none" w:sz="0" w:space="0" w:color="auto"/>
            <w:bottom w:val="none" w:sz="0" w:space="0" w:color="auto"/>
            <w:right w:val="none" w:sz="0" w:space="0" w:color="auto"/>
          </w:divBdr>
        </w:div>
        <w:div w:id="909509412">
          <w:marLeft w:val="0"/>
          <w:marRight w:val="0"/>
          <w:marTop w:val="0"/>
          <w:marBottom w:val="0"/>
          <w:divBdr>
            <w:top w:val="none" w:sz="0" w:space="0" w:color="auto"/>
            <w:left w:val="none" w:sz="0" w:space="0" w:color="auto"/>
            <w:bottom w:val="none" w:sz="0" w:space="0" w:color="auto"/>
            <w:right w:val="none" w:sz="0" w:space="0" w:color="auto"/>
          </w:divBdr>
        </w:div>
        <w:div w:id="1952318427">
          <w:marLeft w:val="0"/>
          <w:marRight w:val="0"/>
          <w:marTop w:val="0"/>
          <w:marBottom w:val="0"/>
          <w:divBdr>
            <w:top w:val="none" w:sz="0" w:space="0" w:color="auto"/>
            <w:left w:val="none" w:sz="0" w:space="0" w:color="auto"/>
            <w:bottom w:val="none" w:sz="0" w:space="0" w:color="auto"/>
            <w:right w:val="none" w:sz="0" w:space="0" w:color="auto"/>
          </w:divBdr>
        </w:div>
        <w:div w:id="1946376269">
          <w:marLeft w:val="0"/>
          <w:marRight w:val="0"/>
          <w:marTop w:val="0"/>
          <w:marBottom w:val="0"/>
          <w:divBdr>
            <w:top w:val="none" w:sz="0" w:space="0" w:color="auto"/>
            <w:left w:val="none" w:sz="0" w:space="0" w:color="auto"/>
            <w:bottom w:val="none" w:sz="0" w:space="0" w:color="auto"/>
            <w:right w:val="none" w:sz="0" w:space="0" w:color="auto"/>
          </w:divBdr>
          <w:divsChild>
            <w:div w:id="1990356232">
              <w:marLeft w:val="0"/>
              <w:marRight w:val="0"/>
              <w:marTop w:val="0"/>
              <w:marBottom w:val="0"/>
              <w:divBdr>
                <w:top w:val="none" w:sz="0" w:space="0" w:color="auto"/>
                <w:left w:val="none" w:sz="0" w:space="0" w:color="auto"/>
                <w:bottom w:val="none" w:sz="0" w:space="0" w:color="auto"/>
                <w:right w:val="none" w:sz="0" w:space="0" w:color="auto"/>
              </w:divBdr>
              <w:divsChild>
                <w:div w:id="2141075199">
                  <w:marLeft w:val="0"/>
                  <w:marRight w:val="0"/>
                  <w:marTop w:val="0"/>
                  <w:marBottom w:val="0"/>
                  <w:divBdr>
                    <w:top w:val="none" w:sz="0" w:space="0" w:color="auto"/>
                    <w:left w:val="none" w:sz="0" w:space="0" w:color="auto"/>
                    <w:bottom w:val="none" w:sz="0" w:space="0" w:color="auto"/>
                    <w:right w:val="none" w:sz="0" w:space="0" w:color="auto"/>
                  </w:divBdr>
                </w:div>
              </w:divsChild>
            </w:div>
            <w:div w:id="18963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3067">
      <w:bodyDiv w:val="1"/>
      <w:marLeft w:val="0"/>
      <w:marRight w:val="0"/>
      <w:marTop w:val="0"/>
      <w:marBottom w:val="0"/>
      <w:divBdr>
        <w:top w:val="none" w:sz="0" w:space="0" w:color="auto"/>
        <w:left w:val="none" w:sz="0" w:space="0" w:color="auto"/>
        <w:bottom w:val="none" w:sz="0" w:space="0" w:color="auto"/>
        <w:right w:val="none" w:sz="0" w:space="0" w:color="auto"/>
      </w:divBdr>
      <w:divsChild>
        <w:div w:id="1337071828">
          <w:marLeft w:val="0"/>
          <w:marRight w:val="0"/>
          <w:marTop w:val="27"/>
          <w:marBottom w:val="27"/>
          <w:divBdr>
            <w:top w:val="none" w:sz="0" w:space="0" w:color="auto"/>
            <w:left w:val="none" w:sz="0" w:space="0" w:color="auto"/>
            <w:bottom w:val="none" w:sz="0" w:space="0" w:color="auto"/>
            <w:right w:val="none" w:sz="0" w:space="0" w:color="auto"/>
          </w:divBdr>
        </w:div>
      </w:divsChild>
    </w:div>
    <w:div w:id="582490854">
      <w:bodyDiv w:val="1"/>
      <w:marLeft w:val="0"/>
      <w:marRight w:val="0"/>
      <w:marTop w:val="0"/>
      <w:marBottom w:val="0"/>
      <w:divBdr>
        <w:top w:val="none" w:sz="0" w:space="0" w:color="auto"/>
        <w:left w:val="none" w:sz="0" w:space="0" w:color="auto"/>
        <w:bottom w:val="none" w:sz="0" w:space="0" w:color="auto"/>
        <w:right w:val="none" w:sz="0" w:space="0" w:color="auto"/>
      </w:divBdr>
    </w:div>
    <w:div w:id="759569166">
      <w:bodyDiv w:val="1"/>
      <w:marLeft w:val="0"/>
      <w:marRight w:val="0"/>
      <w:marTop w:val="0"/>
      <w:marBottom w:val="0"/>
      <w:divBdr>
        <w:top w:val="none" w:sz="0" w:space="0" w:color="auto"/>
        <w:left w:val="none" w:sz="0" w:space="0" w:color="auto"/>
        <w:bottom w:val="none" w:sz="0" w:space="0" w:color="auto"/>
        <w:right w:val="none" w:sz="0" w:space="0" w:color="auto"/>
      </w:divBdr>
    </w:div>
    <w:div w:id="1724140325">
      <w:bodyDiv w:val="1"/>
      <w:marLeft w:val="0"/>
      <w:marRight w:val="0"/>
      <w:marTop w:val="0"/>
      <w:marBottom w:val="0"/>
      <w:divBdr>
        <w:top w:val="none" w:sz="0" w:space="0" w:color="auto"/>
        <w:left w:val="none" w:sz="0" w:space="0" w:color="auto"/>
        <w:bottom w:val="none" w:sz="0" w:space="0" w:color="auto"/>
        <w:right w:val="none" w:sz="0" w:space="0" w:color="auto"/>
      </w:divBdr>
      <w:divsChild>
        <w:div w:id="1888686437">
          <w:marLeft w:val="0"/>
          <w:marRight w:val="0"/>
          <w:marTop w:val="34"/>
          <w:marBottom w:val="34"/>
          <w:divBdr>
            <w:top w:val="none" w:sz="0" w:space="0" w:color="auto"/>
            <w:left w:val="none" w:sz="0" w:space="0" w:color="auto"/>
            <w:bottom w:val="none" w:sz="0" w:space="0" w:color="auto"/>
            <w:right w:val="none" w:sz="0" w:space="0" w:color="auto"/>
          </w:divBdr>
        </w:div>
        <w:div w:id="1865243257">
          <w:marLeft w:val="0"/>
          <w:marRight w:val="0"/>
          <w:marTop w:val="0"/>
          <w:marBottom w:val="0"/>
          <w:divBdr>
            <w:top w:val="none" w:sz="0" w:space="0" w:color="auto"/>
            <w:left w:val="none" w:sz="0" w:space="0" w:color="auto"/>
            <w:bottom w:val="none" w:sz="0" w:space="0" w:color="auto"/>
            <w:right w:val="none" w:sz="0" w:space="0" w:color="auto"/>
          </w:divBdr>
        </w:div>
      </w:divsChild>
    </w:div>
    <w:div w:id="209971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ncbi.nlm.nih.gov/pubmed/31468322" TargetMode="External"/><Relationship Id="rId18" Type="http://schemas.openxmlformats.org/officeDocument/2006/relationships/hyperlink" Target="https://onlinelibrary.wiley.com/action/doSearch?ContribAuthorStored=Giavedoni%2C+Luis" TargetMode="External"/><Relationship Id="rId3" Type="http://schemas.openxmlformats.org/officeDocument/2006/relationships/styles" Target="styles.xml"/><Relationship Id="rId21" Type="http://schemas.openxmlformats.org/officeDocument/2006/relationships/hyperlink" Target="https://onlinelibrary.wiley.com/action/doSearch?ContribAuthorStored=Rigodanzo%2C+Anna+D" TargetMode="External"/><Relationship Id="rId7" Type="http://schemas.openxmlformats.org/officeDocument/2006/relationships/image" Target="media/image1.emf"/><Relationship Id="rId12" Type="http://schemas.openxmlformats.org/officeDocument/2006/relationships/oleObject" Target="embeddings/oleObject4.bin"/><Relationship Id="rId17" Type="http://schemas.openxmlformats.org/officeDocument/2006/relationships/hyperlink" Target="https://onlinelibrary.wiley.com/action/doSearch?ContribAuthorStored=Dick%2C+Edwar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nlinelibrary.wiley.com/action/doSearch?ContribAuthorStored=Gonzalez%2C+Olga" TargetMode="External"/><Relationship Id="rId20" Type="http://schemas.openxmlformats.org/officeDocument/2006/relationships/hyperlink" Target="https://onlinelibrary.wiley.com/action/doSearch?ContribAuthorStored=Phillips%2C+Kimberley" TargetMode="External"/><Relationship Id="rId1" Type="http://schemas.openxmlformats.org/officeDocument/2006/relationships/customXml" Target="../customXml/item1.xml"/><Relationship Id="rId6" Type="http://schemas.openxmlformats.org/officeDocument/2006/relationships/hyperlink" Target="https://www.census.gov/newsroom/press-releases/2018/cb18-41-population-projections.html" TargetMode="External"/><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nlinelibrary.wiley.com/action/doSearch?ContribAuthorStored=Adams%2C+Jessica" TargetMode="External"/><Relationship Id="rId23" Type="http://schemas.openxmlformats.org/officeDocument/2006/relationships/hyperlink" Target="https://onlinelibrary.wiley.com/action/doSearch?ContribAuthorStored=Tardif%2C+Suzette+D" TargetMode="External"/><Relationship Id="rId10" Type="http://schemas.openxmlformats.org/officeDocument/2006/relationships/oleObject" Target="embeddings/oleObject2.bin"/><Relationship Id="rId19" Type="http://schemas.openxmlformats.org/officeDocument/2006/relationships/hyperlink" Target="https://onlinelibrary.wiley.com/action/doSearch?ContribAuthorStored=Hodara%2C+Vida+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ncbi.nlm.nih.gov/pubmed/29478190" TargetMode="External"/><Relationship Id="rId22" Type="http://schemas.openxmlformats.org/officeDocument/2006/relationships/hyperlink" Target="https://onlinelibrary.wiley.com/action/doSearch?ContribAuthorStored=Kasinath%2C+Balakunta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62F5E-59D9-4148-BA6F-4405D350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J Olstad</dc:creator>
  <cp:keywords/>
  <dc:description/>
  <cp:lastModifiedBy>Warren Ladiges</cp:lastModifiedBy>
  <cp:revision>6</cp:revision>
  <cp:lastPrinted>2020-02-25T15:35:00Z</cp:lastPrinted>
  <dcterms:created xsi:type="dcterms:W3CDTF">2020-03-06T16:43:00Z</dcterms:created>
  <dcterms:modified xsi:type="dcterms:W3CDTF">2020-03-06T19:27:00Z</dcterms:modified>
</cp:coreProperties>
</file>