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宋体" w:cs="Times New Roman"/>
          <w:szCs w:val="24"/>
        </w:rPr>
      </w:pPr>
      <w:r>
        <w:rPr>
          <w:rFonts w:ascii="Times New Roman" w:hAnsi="Times New Roman" w:eastAsia="宋体" w:cs="Times New Roman"/>
          <w:szCs w:val="24"/>
        </w:rPr>
        <w:t>The potential of XPO1 inhibitors as a game changer in relapse</w:t>
      </w:r>
      <w:r>
        <w:rPr>
          <w:rFonts w:hint="eastAsia" w:ascii="Times New Roman" w:hAnsi="Times New Roman" w:eastAsia="宋体" w:cs="Times New Roman"/>
          <w:szCs w:val="24"/>
        </w:rPr>
        <w:t>d</w:t>
      </w:r>
      <w:r>
        <w:rPr>
          <w:rFonts w:ascii="Times New Roman" w:hAnsi="Times New Roman" w:eastAsia="宋体" w:cs="Times New Roman"/>
          <w:szCs w:val="24"/>
        </w:rPr>
        <w:t>/refractory hematologic malignancies</w:t>
      </w:r>
    </w:p>
    <w:p>
      <w:pPr>
        <w:jc w:val="center"/>
        <w:rPr>
          <w:rFonts w:ascii="Times New Roman" w:hAnsi="Times New Roman" w:eastAsia="宋体" w:cs="Times New Roman"/>
          <w:szCs w:val="24"/>
        </w:rPr>
      </w:pPr>
      <w:r>
        <w:rPr>
          <w:rFonts w:ascii="Times New Roman" w:hAnsi="Times New Roman" w:eastAsia="宋体" w:cs="Times New Roman"/>
          <w:szCs w:val="24"/>
        </w:rPr>
        <w:t>He-nan Wang</w:t>
      </w:r>
      <w:r>
        <w:rPr>
          <w:rFonts w:ascii="Times New Roman" w:hAnsi="Times New Roman" w:eastAsia="宋体" w:cs="Times New Roman"/>
          <w:szCs w:val="24"/>
          <w:vertAlign w:val="superscript"/>
        </w:rPr>
        <w:t>1</w:t>
      </w:r>
      <w:r>
        <w:rPr>
          <w:rFonts w:ascii="Times New Roman" w:hAnsi="Times New Roman" w:eastAsia="宋体" w:cs="Times New Roman"/>
          <w:szCs w:val="24"/>
        </w:rPr>
        <w:t>, Jing Yang</w:t>
      </w:r>
      <w:r>
        <w:rPr>
          <w:rFonts w:ascii="Times New Roman" w:hAnsi="Times New Roman" w:eastAsia="宋体" w:cs="Times New Roman"/>
          <w:szCs w:val="24"/>
          <w:vertAlign w:val="superscript"/>
        </w:rPr>
        <w:t>1</w:t>
      </w:r>
      <w:r>
        <w:rPr>
          <w:rFonts w:ascii="Times New Roman" w:hAnsi="Times New Roman" w:eastAsia="宋体" w:cs="Times New Roman"/>
          <w:szCs w:val="24"/>
        </w:rPr>
        <w:t>, Liang Wang</w:t>
      </w:r>
      <w:r>
        <w:rPr>
          <w:rFonts w:ascii="Times New Roman" w:hAnsi="Times New Roman" w:eastAsia="宋体" w:cs="Times New Roman"/>
          <w:szCs w:val="24"/>
          <w:vertAlign w:val="superscript"/>
        </w:rPr>
        <w:t>1*</w:t>
      </w:r>
    </w:p>
    <w:p>
      <w:pPr>
        <w:jc w:val="left"/>
        <w:rPr>
          <w:rFonts w:ascii="Times New Roman" w:hAnsi="Times New Roman" w:eastAsia="宋体" w:cs="Times New Roman"/>
          <w:szCs w:val="24"/>
        </w:rPr>
      </w:pPr>
      <w:r>
        <w:rPr>
          <w:rFonts w:ascii="Times New Roman" w:hAnsi="Times New Roman" w:eastAsia="宋体" w:cs="Times New Roman"/>
          <w:szCs w:val="24"/>
          <w:vertAlign w:val="superscript"/>
        </w:rPr>
        <w:t>1</w:t>
      </w:r>
      <w:r>
        <w:rPr>
          <w:rFonts w:ascii="Times New Roman" w:hAnsi="Times New Roman" w:eastAsia="宋体" w:cs="Times New Roman"/>
          <w:szCs w:val="24"/>
        </w:rPr>
        <w:t>Department of Hematology, Beijing Tongren Hospital, Capital Medical University, Beijing 100730, China</w:t>
      </w:r>
    </w:p>
    <w:p>
      <w:pPr>
        <w:rPr>
          <w:rFonts w:ascii="Times New Roman" w:hAnsi="Times New Roman" w:eastAsia="宋体" w:cs="Times New Roman"/>
          <w:szCs w:val="24"/>
        </w:rPr>
      </w:pPr>
      <w:r>
        <w:rPr>
          <w:rFonts w:ascii="Times New Roman" w:hAnsi="Times New Roman" w:eastAsia="宋体" w:cs="Times New Roman"/>
          <w:szCs w:val="24"/>
          <w:vertAlign w:val="superscript"/>
        </w:rPr>
        <w:t>*</w:t>
      </w:r>
      <w:r>
        <w:rPr>
          <w:rFonts w:ascii="Times New Roman" w:hAnsi="Times New Roman" w:eastAsia="宋体" w:cs="Times New Roman"/>
          <w:szCs w:val="24"/>
        </w:rPr>
        <w:t xml:space="preserve">Correspondence to: Liang Wang, MD, PhD, Department of Hematology, Beijing Tongren Hospital, Capital Medical University, Beijing 100730, China; Phone: +8615001108693; E-mail: </w:t>
      </w:r>
      <w:r>
        <w:fldChar w:fldCharType="begin"/>
      </w:r>
      <w:r>
        <w:instrText xml:space="preserve"> HYPERLINK "mailto:wangliangtrhos@126.com" </w:instrText>
      </w:r>
      <w:r>
        <w:fldChar w:fldCharType="separate"/>
      </w:r>
      <w:r>
        <w:rPr>
          <w:rStyle w:val="17"/>
          <w:rFonts w:ascii="Times New Roman" w:hAnsi="Times New Roman" w:eastAsia="宋体" w:cs="Times New Roman"/>
          <w:szCs w:val="24"/>
        </w:rPr>
        <w:t>wangliangtrhos@126.com</w:t>
      </w:r>
      <w:r>
        <w:rPr>
          <w:rStyle w:val="17"/>
          <w:rFonts w:ascii="Times New Roman" w:hAnsi="Times New Roman" w:eastAsia="宋体" w:cs="Times New Roman"/>
          <w:szCs w:val="24"/>
        </w:rPr>
        <w:fldChar w:fldCharType="end"/>
      </w:r>
    </w:p>
    <w:p>
      <w:pPr>
        <w:rPr>
          <w:rFonts w:ascii="Times New Roman" w:hAnsi="Times New Roman" w:eastAsia="宋体" w:cs="Times New Roman"/>
          <w:szCs w:val="24"/>
        </w:rPr>
      </w:pPr>
    </w:p>
    <w:p>
      <w:pPr>
        <w:rPr>
          <w:rFonts w:ascii="Times New Roman" w:hAnsi="Times New Roman" w:eastAsia="宋体" w:cs="Times New Roman"/>
          <w:b/>
          <w:szCs w:val="24"/>
        </w:rPr>
      </w:pPr>
      <w:r>
        <w:rPr>
          <w:rFonts w:ascii="Times New Roman" w:hAnsi="Times New Roman" w:eastAsia="宋体" w:cs="Times New Roman"/>
          <w:b/>
          <w:szCs w:val="24"/>
        </w:rPr>
        <w:t>Abstract:</w:t>
      </w:r>
    </w:p>
    <w:p>
      <w:pPr>
        <w:rPr>
          <w:rFonts w:ascii="Times New Roman" w:hAnsi="Times New Roman" w:cs="Times New Roman"/>
          <w:szCs w:val="24"/>
          <w:shd w:val="clear" w:color="auto" w:fill="FFFFFF"/>
        </w:rPr>
      </w:pPr>
      <w:r>
        <w:rPr>
          <w:rFonts w:ascii="Times New Roman" w:hAnsi="Times New Roman" w:cs="Times New Roman"/>
          <w:szCs w:val="24"/>
          <w:shd w:val="clear" w:color="auto" w:fill="FFFFFF"/>
        </w:rPr>
        <w:t>XPO1 is a transporter receptor protein that transports leucine-rich proteins from the nucleus into the cytoplasm through the nuclear pore complex. In hematologic malignancies, XPO1 is often overexpressed, leading to abnormal regulation of cell growth and apoptosis or abnormal cell cycle regulation. Therefore, XPO1 inhibitors can be used as targeted drugs to block the transport of overexpressed XPO1, thus treating hematologic malignancies. We summarized the use of XPO1 inhibitors in clinical studies according to different hematologic malignancies and reviewed their efficacy and toxicity.</w:t>
      </w:r>
    </w:p>
    <w:p>
      <w:pPr>
        <w:rPr>
          <w:rFonts w:ascii="Times New Roman" w:hAnsi="Times New Roman" w:cs="Times New Roman"/>
          <w:szCs w:val="24"/>
          <w:shd w:val="clear" w:color="auto" w:fill="FFFFFF"/>
        </w:rPr>
      </w:pPr>
      <w:r>
        <w:rPr>
          <w:rFonts w:ascii="Times New Roman" w:hAnsi="Times New Roman" w:cs="Times New Roman"/>
          <w:b/>
          <w:szCs w:val="24"/>
          <w:shd w:val="clear" w:color="auto" w:fill="FFFFFF"/>
        </w:rPr>
        <w:t>Key words:</w:t>
      </w:r>
      <w:r>
        <w:rPr>
          <w:rFonts w:ascii="Times New Roman" w:hAnsi="Times New Roman" w:cs="Times New Roman"/>
          <w:szCs w:val="24"/>
          <w:shd w:val="clear" w:color="auto" w:fill="FFFFFF"/>
        </w:rPr>
        <w:t xml:space="preserve"> </w:t>
      </w:r>
    </w:p>
    <w:p>
      <w:pPr>
        <w:rPr>
          <w:rFonts w:ascii="Times New Roman" w:hAnsi="Times New Roman" w:cs="Times New Roman"/>
          <w:szCs w:val="24"/>
          <w:shd w:val="clear" w:color="auto" w:fill="FFFFFF"/>
        </w:rPr>
      </w:pPr>
      <w:r>
        <w:rPr>
          <w:rFonts w:ascii="Times New Roman" w:hAnsi="Times New Roman" w:cs="Times New Roman"/>
          <w:szCs w:val="24"/>
          <w:shd w:val="clear" w:color="auto" w:fill="FFFFFF"/>
        </w:rPr>
        <w:t>XPO1 inhibitor; hematologic malignancies; selinexor; targeted therapy</w:t>
      </w:r>
    </w:p>
    <w:p>
      <w:pPr>
        <w:widowControl/>
        <w:jc w:val="left"/>
        <w:rPr>
          <w:rFonts w:ascii="Times New Roman" w:hAnsi="Times New Roman" w:eastAsia="宋体" w:cs="Times New Roman"/>
          <w:b/>
          <w:szCs w:val="24"/>
        </w:rPr>
      </w:pPr>
    </w:p>
    <w:p>
      <w:pPr>
        <w:widowControl/>
        <w:jc w:val="left"/>
        <w:rPr>
          <w:rFonts w:ascii="Times New Roman" w:hAnsi="Times New Roman" w:eastAsia="宋体" w:cs="Times New Roman"/>
          <w:b/>
          <w:szCs w:val="24"/>
        </w:rPr>
      </w:pPr>
      <w:r>
        <w:rPr>
          <w:rFonts w:ascii="Times New Roman" w:hAnsi="Times New Roman" w:eastAsia="宋体" w:cs="Times New Roman"/>
          <w:b/>
          <w:szCs w:val="24"/>
        </w:rPr>
        <w:t>Introduction</w:t>
      </w:r>
    </w:p>
    <w:p>
      <w:pPr>
        <w:ind w:firstLine="480" w:firstLineChars="200"/>
        <w:rPr>
          <w:rFonts w:ascii="Times New Roman" w:hAnsi="Times New Roman" w:eastAsia="宋体" w:cs="Times New Roman"/>
          <w:szCs w:val="24"/>
        </w:rPr>
      </w:pPr>
      <w:r>
        <w:rPr>
          <w:rFonts w:ascii="Times New Roman" w:hAnsi="Times New Roman" w:cs="Times New Roman"/>
          <w:szCs w:val="24"/>
          <w:shd w:val="clear" w:color="auto" w:fill="FFFFFF"/>
        </w:rPr>
        <w:t xml:space="preserve">The nucleus is an organelle that coats genetic material with a double membrane, separating transcription in the nucleus from translation in the cytoplasm. To achieve adequate cellular function, this spatial division in eukaryotic cells requires selective and efficient bidirectional transport of specific proteins and mRNAs through nuclear pore complexes (NPCs) in the nuclear membrane. The passage of macromolecular (&gt;40 kDa) cargo through NPCs requires specific transporter receptor proteins. The mammalian nuclear adhesin family is the main family of transporter receptor proteins, consisting of 20 members, including nuclear adhesin protein α 1-6, nuclear adhesin protein β 1, and </w:t>
      </w:r>
      <w:r>
        <w:rPr>
          <w:rFonts w:ascii="Times New Roman" w:hAnsi="Times New Roman" w:cs="Times New Roman"/>
          <w:szCs w:val="24"/>
        </w:rPr>
        <w:t>exportin 1</w:t>
      </w:r>
      <w:r>
        <w:rPr>
          <w:rFonts w:ascii="Times New Roman" w:hAnsi="Times New Roman" w:cs="Times New Roman"/>
          <w:szCs w:val="24"/>
          <w:shd w:val="clear" w:color="auto" w:fill="FFFFFF"/>
        </w:rPr>
        <w:t xml:space="preserve"> (XPO1). Nuclear adhesins use the energy in the RanGTPase complex to insert or export them into or out of the nucleus, depending on the presence of precise transport signals, nuclear localization signals, or nuclear export signals (NES) in cargo proteins.</w:t>
      </w:r>
    </w:p>
    <w:p>
      <w:pPr>
        <w:ind w:firstLine="480" w:firstLineChars="200"/>
        <w:rPr>
          <w:rFonts w:hint="eastAsia" w:ascii="Times New Roman" w:hAnsi="Times New Roman" w:cs="Times New Roman"/>
          <w:szCs w:val="24"/>
        </w:rPr>
      </w:pPr>
      <w:r>
        <w:rPr>
          <w:rFonts w:ascii="Times New Roman" w:hAnsi="Times New Roman" w:cs="Times New Roman"/>
          <w:szCs w:val="24"/>
          <w:shd w:val="clear" w:color="auto" w:fill="FFFFFF"/>
        </w:rPr>
        <w:t xml:space="preserve">XPO1 is the main transporter receptor protein through which leucine-rich protein enters the cytoplasm from the nucleus via NPCs. In the nucleus, XPO1 binds to NES-containing cargo and forms a ternary complex with RanGTP, passing through NPCs and entering the cytoplasm. The XPO1-cargo protein, which is driven by GTP hydrolysis, contains almost all tumor suppressor proteins (TSPs; such as p53, Rb, BRCA1/2, APC, and survivin), cell cycle regulatory proteins (such as p21, p27, and galactin-3), the glucocorticoid receptor (GR), and chemotherapy targets (such as DNA topoisomerase) </w:t>
      </w:r>
      <w:r>
        <w:rPr>
          <w:rFonts w:ascii="Times New Roman" w:hAnsi="Times New Roman" w:cs="Times New Roman"/>
          <w:szCs w:val="24"/>
          <w:shd w:val="clear" w:color="auto" w:fill="FFFFFF"/>
          <w:vertAlign w:val="superscript"/>
        </w:rPr>
        <w:t>[1-2]</w:t>
      </w:r>
      <w:r>
        <w:rPr>
          <w:rFonts w:hint="eastAsia" w:ascii="Times New Roman" w:hAnsi="Times New Roman" w:eastAsia="宋体" w:cs="Times New Roman"/>
          <w:szCs w:val="24"/>
        </w:rPr>
        <w:t>.</w:t>
      </w:r>
    </w:p>
    <w:p>
      <w:pPr>
        <w:ind w:firstLine="480" w:firstLineChars="200"/>
        <w:rPr>
          <w:rFonts w:ascii="Times New Roman" w:hAnsi="Times New Roman" w:cs="Times New Roman"/>
          <w:szCs w:val="24"/>
          <w:shd w:val="clear" w:color="auto" w:fill="FFFFFF"/>
        </w:rPr>
      </w:pPr>
      <w:r>
        <w:rPr>
          <w:rFonts w:ascii="Times New Roman" w:hAnsi="Times New Roman" w:cs="Times New Roman"/>
          <w:szCs w:val="24"/>
          <w:shd w:val="clear" w:color="auto" w:fill="FFFFFF"/>
        </w:rPr>
        <w:t xml:space="preserve">XPO1 mutations and/or overexpression have been reported in almost all malignancies and have been associated with enhanced extranuclear cargo transport, resulting in apoptotic inactivation, disrupted cell cycle regulation, abnormal cell growth signaling, impaired glucocorticoid signaling, and chemotherapy resistance. For example, repeated mutations in the highly conserved region of XPO1 contribute to the development of chronic lymphocytic leukemia, while the overexpression of XPO1 is associated with solid tumors and hematologic malignancies </w:t>
      </w:r>
      <w:r>
        <w:rPr>
          <w:rFonts w:ascii="Times New Roman" w:hAnsi="Times New Roman" w:cs="Times New Roman"/>
          <w:szCs w:val="24"/>
          <w:shd w:val="clear" w:color="auto" w:fill="FFFFFF"/>
          <w:vertAlign w:val="superscript"/>
        </w:rPr>
        <w:t>[3</w:t>
      </w:r>
      <w:r>
        <w:rPr>
          <w:rFonts w:ascii="Times New Roman" w:hAnsi="Times New Roman" w:eastAsia="宋体" w:cs="Times New Roman"/>
          <w:szCs w:val="24"/>
          <w:vertAlign w:val="superscript"/>
        </w:rPr>
        <w:t>-5]</w:t>
      </w:r>
      <w:r>
        <w:rPr>
          <w:rFonts w:ascii="Times New Roman" w:hAnsi="Times New Roman" w:cs="Times New Roman"/>
          <w:szCs w:val="24"/>
          <w:shd w:val="clear" w:color="auto" w:fill="FFFFFF"/>
        </w:rPr>
        <w:t>. XPO1 inhibitors are, therefore, of great clinical value in the treatment of malignant tumors. These inhibitors reversibly bind to XPO1 through covalent bonds with Cys528 residues in the tank, inactivating its nuclear transport function</w:t>
      </w:r>
      <w:r>
        <w:rPr>
          <w:rFonts w:ascii="Times New Roman" w:hAnsi="Times New Roman" w:eastAsia="宋体" w:cs="Times New Roman"/>
          <w:szCs w:val="24"/>
          <w:vertAlign w:val="superscript"/>
        </w:rPr>
        <w:t xml:space="preserve"> [6]</w:t>
      </w:r>
      <w:r>
        <w:rPr>
          <w:rFonts w:ascii="Times New Roman" w:hAnsi="Times New Roman" w:cs="Times New Roman"/>
          <w:szCs w:val="24"/>
          <w:shd w:val="clear" w:color="auto" w:fill="FFFFFF"/>
        </w:rPr>
        <w:t>. Studies have also shown that XPO1 inhibitors preferentially destroy the 3D nuclear tissue of telomeres in tumor cells</w:t>
      </w:r>
      <w:r>
        <w:rPr>
          <w:rFonts w:ascii="Times New Roman" w:hAnsi="Times New Roman" w:eastAsia="宋体" w:cs="Times New Roman"/>
          <w:szCs w:val="24"/>
          <w:vertAlign w:val="superscript"/>
        </w:rPr>
        <w:t xml:space="preserve"> [7]</w:t>
      </w:r>
      <w:r>
        <w:rPr>
          <w:rFonts w:ascii="Times New Roman" w:hAnsi="Times New Roman" w:cs="Times New Roman"/>
          <w:szCs w:val="24"/>
          <w:shd w:val="clear" w:color="auto" w:fill="FFFFFF"/>
        </w:rPr>
        <w:t>, which may be another mechanism by which XPO1 inhibitors inhibit XPO1. The selective inhibitor of nuclear export compounds under study include KPT-185, KPT-251, KPT-276, KPT-335 (verdinexor), KPT-8602 (eltanexor), and KPT-330 (selinexor). Selinexor was approved on an accelerated basis by the US FDA in combination with dexamethasone for the treatment of relapsed/refractory multiple myeloma (MM) after four lines of treatment</w:t>
      </w:r>
      <w:r>
        <w:rPr>
          <w:rFonts w:ascii="Times New Roman" w:hAnsi="Times New Roman" w:eastAsia="宋体" w:cs="Times New Roman"/>
          <w:szCs w:val="24"/>
          <w:vertAlign w:val="superscript"/>
        </w:rPr>
        <w:t xml:space="preserve"> [8]</w:t>
      </w:r>
      <w:r>
        <w:rPr>
          <w:rFonts w:ascii="Times New Roman" w:hAnsi="Times New Roman" w:cs="Times New Roman"/>
          <w:szCs w:val="24"/>
          <w:shd w:val="clear" w:color="auto" w:fill="FFFFFF"/>
        </w:rPr>
        <w:t xml:space="preserve">. As a second generation oral XPO1 inhibitor, eltanexor has significantly reduced blood-brain barrier permeability compared with selinexor, thereby reducing adverse effects, such as central nervous system-mediated anorexia and weight loss, and may have a better safety profile and wider therapeutic window </w:t>
      </w:r>
      <w:r>
        <w:rPr>
          <w:rFonts w:ascii="Times New Roman" w:hAnsi="Times New Roman" w:eastAsia="宋体" w:cs="Times New Roman"/>
          <w:szCs w:val="24"/>
          <w:vertAlign w:val="superscript"/>
        </w:rPr>
        <w:t>[9]</w:t>
      </w:r>
      <w:r>
        <w:rPr>
          <w:rFonts w:ascii="Times New Roman" w:hAnsi="Times New Roman" w:eastAsia="宋体" w:cs="Times New Roman"/>
          <w:szCs w:val="24"/>
        </w:rPr>
        <w:t xml:space="preserve">. </w:t>
      </w:r>
      <w:r>
        <w:rPr>
          <w:rFonts w:ascii="Times New Roman" w:hAnsi="Times New Roman" w:cs="Times New Roman"/>
          <w:szCs w:val="24"/>
          <w:shd w:val="clear" w:color="auto" w:fill="FFFFFF"/>
        </w:rPr>
        <w:t>In the following sections, the clinical progress of XPO1 inhibitors in different hematologic malignancies is reviewed in detail.</w:t>
      </w:r>
    </w:p>
    <w:p>
      <w:pPr>
        <w:rPr>
          <w:rFonts w:ascii="Times New Roman" w:hAnsi="Times New Roman" w:eastAsia="宋体" w:cs="Times New Roman"/>
          <w:szCs w:val="24"/>
        </w:rPr>
      </w:pPr>
      <w:r>
        <w:rPr>
          <w:rFonts w:ascii="Times New Roman" w:hAnsi="Times New Roman" w:cs="Times New Roman"/>
          <w:b/>
          <w:szCs w:val="24"/>
          <w:shd w:val="clear" w:color="auto" w:fill="FFFFFF"/>
        </w:rPr>
        <w:t xml:space="preserve">Use of </w:t>
      </w:r>
      <w:bookmarkStart w:id="0" w:name="OLE_LINK1"/>
      <w:r>
        <w:rPr>
          <w:rFonts w:ascii="Times New Roman" w:hAnsi="Times New Roman" w:cs="Times New Roman"/>
          <w:b/>
          <w:szCs w:val="24"/>
          <w:shd w:val="clear" w:color="auto" w:fill="FFFFFF"/>
        </w:rPr>
        <w:t>XPO1</w:t>
      </w:r>
      <w:bookmarkEnd w:id="0"/>
      <w:r>
        <w:rPr>
          <w:rFonts w:ascii="Times New Roman" w:hAnsi="Times New Roman" w:cs="Times New Roman"/>
          <w:b/>
          <w:szCs w:val="24"/>
          <w:shd w:val="clear" w:color="auto" w:fill="FFFFFF"/>
        </w:rPr>
        <w:t xml:space="preserve"> inhibitors in MM</w:t>
      </w:r>
      <w:r>
        <w:rPr>
          <w:rFonts w:ascii="Times New Roman" w:hAnsi="Times New Roman" w:eastAsia="宋体" w:cs="Times New Roman"/>
          <w:szCs w:val="24"/>
        </w:rPr>
        <w:t xml:space="preserve"> </w:t>
      </w:r>
    </w:p>
    <w:p>
      <w:pPr>
        <w:ind w:firstLine="480" w:firstLineChars="200"/>
        <w:rPr>
          <w:rFonts w:ascii="Times New Roman" w:hAnsi="Times New Roman" w:eastAsia="宋体" w:cs="Times New Roman"/>
          <w:szCs w:val="24"/>
        </w:rPr>
      </w:pPr>
      <w:bookmarkStart w:id="1" w:name="_Hlk37790514"/>
      <w:r>
        <w:rPr>
          <w:rFonts w:ascii="Times New Roman" w:hAnsi="Times New Roman" w:cs="Times New Roman"/>
          <w:szCs w:val="24"/>
          <w:shd w:val="clear" w:color="auto" w:fill="FFFFFF"/>
        </w:rPr>
        <w:t>In view of the considerable effects of XPO1 inhibitors in preclinical application, multiple subsequent clinical studies have been conducted, and the use of XPO1 inhibitors in MM patients has also shown a good response. Selinexor has a certain activity in patients with extremely refractory MM, and combination therapy including selinexor has shown that it sensitizes MM to some drugs that were previously insensitive, showing a good characteristic of inducing re-sensitivity</w:t>
      </w:r>
      <w:r>
        <w:rPr>
          <w:rFonts w:ascii="Times New Roman" w:hAnsi="Times New Roman" w:cs="Times New Roman"/>
          <w:szCs w:val="24"/>
          <w:shd w:val="clear" w:color="auto" w:fill="FFFFFF"/>
          <w:vertAlign w:val="superscript"/>
        </w:rPr>
        <w:t xml:space="preserve"> [10]</w:t>
      </w:r>
      <w:r>
        <w:rPr>
          <w:rFonts w:ascii="Times New Roman" w:hAnsi="Times New Roman" w:cs="Times New Roman"/>
          <w:szCs w:val="24"/>
          <w:shd w:val="clear" w:color="auto" w:fill="FFFFFF"/>
        </w:rPr>
        <w:t xml:space="preserve">. In addition, a second-generation XPO1 inhibitor, eltanexor, has gradually entered clinical studies and has shown considerable antitumor activity in patients with relapsed/refractory MM treated with end-line therapy </w:t>
      </w:r>
      <w:r>
        <w:rPr>
          <w:rFonts w:ascii="Times New Roman" w:hAnsi="Times New Roman" w:cs="Times New Roman"/>
          <w:szCs w:val="24"/>
          <w:shd w:val="clear" w:color="auto" w:fill="FFFFFF"/>
          <w:vertAlign w:val="superscript"/>
        </w:rPr>
        <w:t>[11]</w:t>
      </w:r>
      <w:r>
        <w:rPr>
          <w:rFonts w:ascii="Times New Roman" w:hAnsi="Times New Roman" w:cs="Times New Roman"/>
          <w:szCs w:val="24"/>
          <w:shd w:val="clear" w:color="auto" w:fill="FFFFFF"/>
        </w:rPr>
        <w:t>.</w:t>
      </w:r>
      <w:bookmarkEnd w:id="1"/>
      <w:r>
        <w:rPr>
          <w:rFonts w:ascii="Times New Roman" w:hAnsi="Times New Roman" w:eastAsia="宋体" w:cs="Times New Roman"/>
          <w:szCs w:val="24"/>
        </w:rPr>
        <w:t xml:space="preserve"> </w:t>
      </w:r>
    </w:p>
    <w:p>
      <w:pPr>
        <w:jc w:val="left"/>
        <w:rPr>
          <w:rFonts w:ascii="Times New Roman" w:hAnsi="Times New Roman" w:eastAsia="宋体" w:cs="Times New Roman"/>
          <w:b/>
          <w:szCs w:val="24"/>
          <w:u w:val="single"/>
        </w:rPr>
      </w:pPr>
      <w:r>
        <w:rPr>
          <w:rFonts w:ascii="Times New Roman" w:hAnsi="Times New Roman" w:cs="Times New Roman"/>
          <w:b/>
          <w:szCs w:val="24"/>
          <w:u w:val="single"/>
          <w:shd w:val="clear" w:color="auto" w:fill="FFFFFF"/>
        </w:rPr>
        <w:t>Selinexor plus dexamethasone</w:t>
      </w:r>
    </w:p>
    <w:p>
      <w:pPr>
        <w:ind w:firstLine="480" w:firstLineChars="200"/>
        <w:jc w:val="left"/>
        <w:rPr>
          <w:rFonts w:ascii="Times New Roman" w:hAnsi="Times New Roman" w:cs="Times New Roman"/>
          <w:szCs w:val="24"/>
          <w:shd w:val="clear" w:color="auto" w:fill="FFFFFF"/>
        </w:rPr>
      </w:pPr>
      <w:r>
        <w:rPr>
          <w:rFonts w:ascii="Times New Roman" w:hAnsi="Times New Roman" w:cs="Times New Roman"/>
          <w:szCs w:val="24"/>
          <w:shd w:val="clear" w:color="auto" w:fill="FFFFFF"/>
        </w:rPr>
        <w:t>There are many combinations of drugs, among which selinexor combined with dexamethasone has been evaluated in many studies. A phase I study</w:t>
      </w:r>
      <w:r>
        <w:rPr>
          <w:rFonts w:ascii="Times New Roman" w:hAnsi="Times New Roman" w:cs="Times New Roman"/>
          <w:szCs w:val="24"/>
          <w:shd w:val="clear" w:color="auto" w:fill="FFFFFF"/>
          <w:vertAlign w:val="superscript"/>
        </w:rPr>
        <w:t xml:space="preserve"> [12]</w:t>
      </w:r>
      <w:r>
        <w:rPr>
          <w:rFonts w:ascii="Times New Roman" w:hAnsi="Times New Roman" w:cs="Times New Roman"/>
          <w:szCs w:val="24"/>
          <w:shd w:val="clear" w:color="auto" w:fill="FFFFFF"/>
        </w:rPr>
        <w:t xml:space="preserve"> demonstrated that the overall response rate (ORR) of 84 patients with RRMM and Waldenstrom macroglobulinemia treated with selinexor and dexamethasone was 10%, including 1 patient with a complete response (CR) and 7 patients with a partial response (PR). The median response time was 1 month (1–3 months), and the median duration of response was 5 months (2–11 months). Minimal response (MR) was observed in an additional 13 patients (15%), with a clinical benefit rate of 25%. There are mainly three categories of MM drugs on the market in China: proteasome inhibitors, immunotherapy drugs (IMiDs), and CD38 monoclonal antibodies. Studies have shown that the median survival time of patients with MM that is refractory to all these drugs is only 1.3–3.5 months, with a very poor prognosis. In a multicenter phase II study </w:t>
      </w:r>
      <w:r>
        <w:rPr>
          <w:rFonts w:ascii="Times New Roman" w:hAnsi="Times New Roman" w:cs="Times New Roman"/>
          <w:szCs w:val="24"/>
          <w:shd w:val="clear" w:color="auto" w:fill="FFFFFF"/>
          <w:vertAlign w:val="superscript"/>
        </w:rPr>
        <w:t>[13]</w:t>
      </w:r>
      <w:r>
        <w:rPr>
          <w:rFonts w:ascii="Times New Roman" w:hAnsi="Times New Roman" w:cs="Times New Roman"/>
          <w:szCs w:val="24"/>
          <w:shd w:val="clear" w:color="auto" w:fill="FFFFFF"/>
        </w:rPr>
        <w:t>, 122 patients with RRMM who failed the above three categories of MM drugs received selinexor and dexamethasone, and 32 (26%) had a partial or better response, including 2 patients (2%) with a stringent CR, 6 (5%) with a very good partial response (VGPR), and 24 (20%) with a PR. The median progression-free survival (PFS) and overall survival (OS) were 3.7 and 8.6 months, respectively, demonstrating significant improvement in the prognosis of end-line treated MM patients.</w:t>
      </w:r>
    </w:p>
    <w:p>
      <w:pPr>
        <w:jc w:val="left"/>
        <w:rPr>
          <w:rFonts w:ascii="Times New Roman" w:hAnsi="Times New Roman" w:cs="Times New Roman"/>
          <w:b/>
          <w:szCs w:val="24"/>
          <w:u w:val="single"/>
          <w:shd w:val="clear" w:color="auto" w:fill="FFFFFF"/>
        </w:rPr>
      </w:pPr>
      <w:r>
        <w:rPr>
          <w:rFonts w:ascii="Times New Roman" w:hAnsi="Times New Roman" w:cs="Times New Roman"/>
          <w:b/>
          <w:szCs w:val="24"/>
          <w:u w:val="single"/>
          <w:shd w:val="clear" w:color="auto" w:fill="FFFFFF"/>
        </w:rPr>
        <w:t>XPO1 inhibitors plus proteasome inhibitors and dexamethasone</w:t>
      </w:r>
    </w:p>
    <w:p>
      <w:pPr>
        <w:ind w:firstLine="480" w:firstLineChars="200"/>
        <w:jc w:val="left"/>
        <w:rPr>
          <w:rFonts w:ascii="Times New Roman" w:hAnsi="Times New Roman" w:eastAsia="宋体" w:cs="Times New Roman"/>
          <w:b/>
          <w:bCs/>
          <w:szCs w:val="24"/>
        </w:rPr>
      </w:pPr>
      <w:r>
        <w:rPr>
          <w:rFonts w:ascii="Times New Roman" w:hAnsi="Times New Roman" w:cs="Times New Roman"/>
          <w:szCs w:val="24"/>
          <w:shd w:val="clear" w:color="auto" w:fill="FFFFFF"/>
        </w:rPr>
        <w:t>Preclinical studies have shown that XPO1 inhibitors have a synergistic effect with proteasome inhibitors and can induce MM re-sensitivity to proteasome inhibitors. In a phase I study</w:t>
      </w:r>
      <w:r>
        <w:rPr>
          <w:rFonts w:ascii="Times New Roman" w:hAnsi="Times New Roman" w:cs="Times New Roman"/>
          <w:szCs w:val="24"/>
          <w:shd w:val="clear" w:color="auto" w:fill="FFFFFF"/>
          <w:vertAlign w:val="superscript"/>
        </w:rPr>
        <w:t xml:space="preserve"> [14]</w:t>
      </w:r>
      <w:r>
        <w:rPr>
          <w:rFonts w:ascii="Times New Roman" w:hAnsi="Times New Roman" w:cs="Times New Roman"/>
          <w:szCs w:val="24"/>
          <w:shd w:val="clear" w:color="auto" w:fill="FFFFFF"/>
        </w:rPr>
        <w:t xml:space="preserve">, 18 patients with RRMM were treated with selinexor, ixazomib, and low-dose dexamethasone. Of the 14 evaluable patients, 2 had a VGPR; 1 had a PR; 7 had stable disease (SD); and 4 had progressive disease (PD), with the longest response duration of 14 months. In another study </w:t>
      </w:r>
      <w:r>
        <w:rPr>
          <w:rFonts w:ascii="Times New Roman" w:hAnsi="Times New Roman" w:cs="Times New Roman"/>
          <w:szCs w:val="24"/>
          <w:shd w:val="clear" w:color="auto" w:fill="FFFFFF"/>
          <w:vertAlign w:val="superscript"/>
        </w:rPr>
        <w:t>[15]</w:t>
      </w:r>
      <w:r>
        <w:rPr>
          <w:rFonts w:ascii="Times New Roman" w:hAnsi="Times New Roman" w:cs="Times New Roman"/>
          <w:szCs w:val="24"/>
          <w:shd w:val="clear" w:color="auto" w:fill="FFFFFF"/>
        </w:rPr>
        <w:t xml:space="preserve">, 21 patients with RRMM received selinexor combined with carfilzomib and dexamethasone. The results showed 71% MR, 48% PR, and 14% VGPR. In addition, in a study in which 42 patients received bortezomib </w:t>
      </w:r>
      <w:r>
        <w:rPr>
          <w:rFonts w:ascii="Times New Roman" w:hAnsi="Times New Roman" w:cs="Times New Roman"/>
          <w:szCs w:val="24"/>
          <w:shd w:val="clear" w:color="auto" w:fill="FFFFFF"/>
          <w:vertAlign w:val="superscript"/>
        </w:rPr>
        <w:t>[16]</w:t>
      </w:r>
      <w:r>
        <w:rPr>
          <w:rFonts w:ascii="Times New Roman" w:hAnsi="Times New Roman" w:cs="Times New Roman"/>
          <w:szCs w:val="24"/>
          <w:shd w:val="clear" w:color="auto" w:fill="FFFFFF"/>
        </w:rPr>
        <w:t>, an overall response was achieved in 25 (63%) of the 40 evaluable patients, including 3 CRs, 9 VGPRs, and 13 PRs, with a median PFS of 9 months. The data from these studies confirmed the synergistic effect observed between selinexor and proteasome inhibitors and a better therapeutic effect, which provided a new therapeutic approach for patients with RRMM.</w:t>
      </w:r>
    </w:p>
    <w:p>
      <w:pPr>
        <w:jc w:val="left"/>
        <w:rPr>
          <w:rFonts w:ascii="Times New Roman" w:hAnsi="Times New Roman" w:eastAsia="宋体" w:cs="Times New Roman"/>
          <w:b/>
          <w:bCs/>
          <w:szCs w:val="24"/>
          <w:u w:val="single"/>
        </w:rPr>
      </w:pPr>
      <w:r>
        <w:rPr>
          <w:rFonts w:ascii="Times New Roman" w:hAnsi="Times New Roman" w:eastAsia="宋体" w:cs="Times New Roman"/>
          <w:b/>
          <w:bCs/>
          <w:szCs w:val="24"/>
          <w:u w:val="single"/>
        </w:rPr>
        <w:t>XPO1 inhibitors plus IMiDs and dexamethasone</w:t>
      </w:r>
    </w:p>
    <w:p>
      <w:pPr>
        <w:ind w:firstLine="480" w:firstLineChars="200"/>
        <w:jc w:val="left"/>
        <w:rPr>
          <w:rFonts w:ascii="Times New Roman" w:hAnsi="Times New Roman" w:cs="Times New Roman"/>
          <w:szCs w:val="24"/>
          <w:shd w:val="clear" w:color="auto" w:fill="FFFFFF"/>
        </w:rPr>
      </w:pPr>
      <w:r>
        <w:rPr>
          <w:rFonts w:ascii="Times New Roman" w:hAnsi="Times New Roman" w:cs="Times New Roman"/>
          <w:szCs w:val="24"/>
          <w:shd w:val="clear" w:color="auto" w:fill="FFFFFF"/>
        </w:rPr>
        <w:t xml:space="preserve">Multiple previous studies and meta-analyses have shown that lenalidomide (a second generation IMiD) has a good synergistic effect with a variety of MM drugs, so a combination drug strategy based on lenalidomide is often recommended in patients with RRMM. Darrell J White et al </w:t>
      </w:r>
      <w:r>
        <w:rPr>
          <w:rFonts w:ascii="Times New Roman" w:hAnsi="Times New Roman" w:cs="Times New Roman"/>
          <w:szCs w:val="24"/>
          <w:shd w:val="clear" w:color="auto" w:fill="FFFFFF"/>
          <w:vertAlign w:val="superscript"/>
        </w:rPr>
        <w:t>[17]</w:t>
      </w:r>
      <w:r>
        <w:rPr>
          <w:rFonts w:ascii="Times New Roman" w:hAnsi="Times New Roman" w:cs="Times New Roman"/>
          <w:szCs w:val="24"/>
          <w:shd w:val="clear" w:color="auto" w:fill="FFFFFF"/>
        </w:rPr>
        <w:t xml:space="preserve"> used selinexor in combination with lenalidomide and dexamethasone in eight patients who had been newly diagnosed with MM. The treatment was efficacious in six of the seven patients who were assessed for efficacy (ORR 86%). In a previous study </w:t>
      </w:r>
      <w:r>
        <w:rPr>
          <w:rFonts w:ascii="Times New Roman" w:hAnsi="Times New Roman" w:cs="Times New Roman"/>
          <w:szCs w:val="24"/>
          <w:shd w:val="clear" w:color="auto" w:fill="FFFFFF"/>
          <w:vertAlign w:val="superscript"/>
        </w:rPr>
        <w:t>[18]</w:t>
      </w:r>
      <w:r>
        <w:rPr>
          <w:rFonts w:ascii="Times New Roman" w:hAnsi="Times New Roman" w:cs="Times New Roman"/>
          <w:szCs w:val="24"/>
          <w:shd w:val="clear" w:color="auto" w:fill="FFFFFF"/>
        </w:rPr>
        <w:t xml:space="preserve">, 18 patients with RRMM received selinexor, lenalidomide, and dexamethasone. The ORR was 73% among the 15 patients who could be evaluated for efficacy, and the ORR was 91% in the lenalidomide-sensitive group (n=11). Another study </w:t>
      </w:r>
      <w:r>
        <w:rPr>
          <w:rFonts w:ascii="Times New Roman" w:hAnsi="Times New Roman" w:cs="Times New Roman"/>
          <w:szCs w:val="24"/>
          <w:shd w:val="clear" w:color="auto" w:fill="FFFFFF"/>
          <w:vertAlign w:val="superscript"/>
        </w:rPr>
        <w:t>[19]</w:t>
      </w:r>
      <w:r>
        <w:rPr>
          <w:rFonts w:ascii="Times New Roman" w:hAnsi="Times New Roman" w:cs="Times New Roman"/>
          <w:szCs w:val="24"/>
          <w:shd w:val="clear" w:color="auto" w:fill="FFFFFF"/>
        </w:rPr>
        <w:t xml:space="preserve"> used a combination of selinexor, pomalidomide (a third generation IMiD), and dexamethasone (SPd) in 48 patients with RRMM. The ORR was 58% (7 cases of VGPR and 11 cases of PR), and the median PFS was 12.2 months in patients who were first treated with pomalidomide (N=31). In 13 patients with disease that was refractory to lenalidomide/pomalidomide, the ORR was 31% (4 patients with a PR), and the median PFS was 4.2 months.</w:t>
      </w:r>
      <w:r>
        <w:rPr>
          <w:rStyle w:val="34"/>
          <w:rFonts w:ascii="Times New Roman" w:hAnsi="Times New Roman" w:cs="Times New Roman"/>
          <w:szCs w:val="24"/>
          <w:shd w:val="clear" w:color="auto" w:fill="FFFFFF"/>
        </w:rPr>
        <w:t> </w:t>
      </w:r>
      <w:r>
        <w:rPr>
          <w:rFonts w:ascii="Times New Roman" w:hAnsi="Times New Roman" w:cs="Times New Roman"/>
          <w:szCs w:val="24"/>
          <w:shd w:val="clear" w:color="auto" w:fill="FFFFFF"/>
        </w:rPr>
        <w:t>These studies indicate that for patients with RRMM, the all-oral SPd regimen could achieve a lasting effect, and it had a better remission rate and longer PFS in patients with MM that was sensitive to IMiDs.</w:t>
      </w:r>
    </w:p>
    <w:p>
      <w:pPr>
        <w:jc w:val="left"/>
        <w:rPr>
          <w:rFonts w:ascii="Times New Roman" w:hAnsi="Times New Roman" w:eastAsia="宋体" w:cs="Times New Roman"/>
          <w:b/>
          <w:szCs w:val="24"/>
          <w:u w:val="single"/>
        </w:rPr>
      </w:pPr>
      <w:r>
        <w:rPr>
          <w:rFonts w:ascii="Times New Roman" w:hAnsi="Times New Roman" w:cs="Times New Roman"/>
          <w:b/>
          <w:szCs w:val="24"/>
          <w:u w:val="single"/>
          <w:shd w:val="clear" w:color="auto" w:fill="FFFFFF"/>
        </w:rPr>
        <w:t>XPO1 inhibitors plus other classifications of drugs and dexamethasone</w:t>
      </w:r>
    </w:p>
    <w:p>
      <w:pPr>
        <w:ind w:firstLine="480" w:firstLineChars="200"/>
        <w:rPr>
          <w:rFonts w:ascii="Times New Roman" w:hAnsi="Times New Roman" w:cs="Times New Roman"/>
          <w:szCs w:val="24"/>
          <w:shd w:val="clear" w:color="auto" w:fill="FFFFFF"/>
        </w:rPr>
      </w:pPr>
      <w:r>
        <w:rPr>
          <w:rFonts w:ascii="Times New Roman" w:hAnsi="Times New Roman" w:cs="Times New Roman"/>
          <w:szCs w:val="24"/>
          <w:shd w:val="clear" w:color="auto" w:fill="FFFFFF"/>
        </w:rPr>
        <w:t>The treatment of MM has entered an era of monoclonal antibodies, and the combined daratumumab-based regimen has achieved good results in patients with RRMM. A phase Ib study</w:t>
      </w:r>
      <w:r>
        <w:rPr>
          <w:rFonts w:ascii="Times New Roman" w:hAnsi="Times New Roman" w:cs="Times New Roman"/>
          <w:szCs w:val="24"/>
          <w:shd w:val="clear" w:color="auto" w:fill="FFFFFF"/>
          <w:vertAlign w:val="superscript"/>
        </w:rPr>
        <w:t xml:space="preserve"> [20] </w:t>
      </w:r>
      <w:r>
        <w:rPr>
          <w:rFonts w:ascii="Times New Roman" w:hAnsi="Times New Roman" w:cs="Times New Roman"/>
          <w:szCs w:val="24"/>
          <w:shd w:val="clear" w:color="auto" w:fill="FFFFFF"/>
        </w:rPr>
        <w:t xml:space="preserve">used a combination of selinexor, daratumumab, and dexamethasone (SDd) in 25 patients with RRMM who were previously exposed to proteasome inhibitors and IMiDs. Among the 19 patients with daratumumab-sensitive disease, the ORR was 74% (5 VGPRs, 9 PRs, 2 MRs, 2 with SD, and 1 with PD). In the two cases of daratumumab refractory MM, there was one case of PD and one case of SD. This study confirmed that SDd has great clinical application value in patients with disease that is refractory to proteasome inhibitors/IMiDs. In addition, studies </w:t>
      </w:r>
      <w:r>
        <w:rPr>
          <w:rFonts w:ascii="Times New Roman" w:hAnsi="Times New Roman" w:cs="Times New Roman"/>
          <w:szCs w:val="24"/>
          <w:shd w:val="clear" w:color="auto" w:fill="FFFFFF"/>
          <w:vertAlign w:val="superscript"/>
        </w:rPr>
        <w:t>[21]</w:t>
      </w:r>
      <w:r>
        <w:rPr>
          <w:rFonts w:ascii="Times New Roman" w:hAnsi="Times New Roman" w:cs="Times New Roman"/>
          <w:szCs w:val="24"/>
          <w:shd w:val="clear" w:color="auto" w:fill="FFFFFF"/>
        </w:rPr>
        <w:t xml:space="preserve"> have </w:t>
      </w:r>
      <w:bookmarkStart w:id="2" w:name="_GoBack"/>
      <w:bookmarkEnd w:id="2"/>
      <w:r>
        <w:rPr>
          <w:rFonts w:ascii="Times New Roman" w:hAnsi="Times New Roman" w:cs="Times New Roman"/>
          <w:szCs w:val="24"/>
          <w:shd w:val="clear" w:color="auto" w:fill="FFFFFF"/>
        </w:rPr>
        <w:t xml:space="preserve">combined liposomal doxorubicin with selinexor and dexamethasone in the treatment of RRMM. Among the 27 patients enrolled, the ORR was 15%, and the clinical benefit rate (MR or better) was 26%, suggesting that adding anthracyclines to the combination of XPO1 inhibitors and dexamethasone does not seem to further enhance efficacy. </w:t>
      </w:r>
    </w:p>
    <w:p>
      <w:pPr>
        <w:ind w:firstLine="480" w:firstLineChars="200"/>
        <w:rPr>
          <w:rFonts w:ascii="Times New Roman" w:hAnsi="Times New Roman" w:cs="Times New Roman"/>
          <w:szCs w:val="24"/>
          <w:shd w:val="clear" w:color="auto" w:fill="FFFFFF"/>
        </w:rPr>
      </w:pPr>
      <w:r>
        <w:rPr>
          <w:rFonts w:ascii="Times New Roman" w:hAnsi="Times New Roman" w:cs="Times New Roman"/>
          <w:szCs w:val="24"/>
          <w:shd w:val="clear" w:color="auto" w:fill="FFFFFF"/>
        </w:rPr>
        <w:t>These studies indicate that a combination drug strategy based on an XPO1 inhibitor provides new treatment options for patients with RRMM and significantly improved the prognosis of patients with pandrug-resistant MM. Currently, clinical trials of XPO1 inhibitors are being conducted in patients newly diagnosed with MM.</w:t>
      </w:r>
    </w:p>
    <w:p>
      <w:pPr>
        <w:rPr>
          <w:rFonts w:ascii="Times New Roman" w:hAnsi="Times New Roman" w:eastAsia="宋体" w:cs="Times New Roman"/>
          <w:b/>
          <w:szCs w:val="24"/>
          <w:u w:val="single"/>
        </w:rPr>
      </w:pPr>
      <w:r>
        <w:rPr>
          <w:rFonts w:ascii="Times New Roman" w:hAnsi="Times New Roman" w:cs="Times New Roman"/>
          <w:b/>
          <w:szCs w:val="24"/>
          <w:u w:val="single"/>
          <w:shd w:val="clear" w:color="auto" w:fill="FFFFFF"/>
        </w:rPr>
        <w:t>The toxicity profiles of XPO1 inhibitor</w:t>
      </w:r>
      <w:r>
        <w:rPr>
          <w:rFonts w:ascii="Times New Roman" w:hAnsi="Times New Roman" w:eastAsia="宋体" w:cs="Times New Roman"/>
          <w:b/>
          <w:szCs w:val="24"/>
          <w:u w:val="single"/>
        </w:rPr>
        <w:t>s</w:t>
      </w:r>
    </w:p>
    <w:p>
      <w:pPr>
        <w:ind w:firstLine="480" w:firstLineChars="200"/>
        <w:jc w:val="left"/>
        <w:rPr>
          <w:rFonts w:ascii="Times New Roman" w:hAnsi="Times New Roman" w:eastAsia="宋体" w:cs="Times New Roman"/>
          <w:szCs w:val="24"/>
        </w:rPr>
      </w:pPr>
      <w:r>
        <w:rPr>
          <w:rFonts w:ascii="Times New Roman" w:hAnsi="Times New Roman" w:cs="Times New Roman"/>
          <w:szCs w:val="24"/>
          <w:shd w:val="clear" w:color="auto" w:fill="FFFFFF"/>
        </w:rPr>
        <w:t>Common adverse reactions in patients treated with XPO1 inhibitors are gastrointestinal tract reactions (anorexia, nausea, vomiting, diarrhea, and constipation), hematologic adverse reactions (thrombocytopenia, anemia, neutropenia, and lymphopenia), mental status changes, fatigue, dizziness, insomnia, pneumonia, liver function abnormalities, and electrolyte disorders. Gastrointestinal adverse reactions can be alleviated by prophylactic megestrol acetate and ondansetron, and symptoms can be alleviated by reductions in the dosage or discontinuation of medication in patients with more severe adverse reactions. A second generation oral XPO1 inhibitor, eltanexor, has significantly lower blood-brain barrier permeability than selinexor, and is therefore superior to selinexor in central nervous system-mediated adverse effects, such as anorexia and weight loss</w:t>
      </w:r>
      <w:r>
        <w:rPr>
          <w:rFonts w:ascii="Times New Roman" w:hAnsi="Times New Roman" w:eastAsia="宋体" w:cs="Times New Roman"/>
          <w:szCs w:val="24"/>
        </w:rPr>
        <w:t>.</w:t>
      </w:r>
    </w:p>
    <w:p>
      <w:pPr>
        <w:jc w:val="left"/>
        <w:rPr>
          <w:rFonts w:ascii="Times New Roman" w:hAnsi="Times New Roman" w:eastAsia="宋体" w:cs="Times New Roman"/>
          <w:b/>
          <w:szCs w:val="24"/>
        </w:rPr>
      </w:pPr>
      <w:r>
        <w:rPr>
          <w:rFonts w:ascii="Times New Roman" w:hAnsi="Times New Roman" w:eastAsia="宋体" w:cs="Times New Roman"/>
          <w:b/>
          <w:szCs w:val="24"/>
        </w:rPr>
        <w:t>Clinical trials of XPO1 inhibitors in the treatment of acute myeloid leukemia (AML)</w:t>
      </w:r>
    </w:p>
    <w:p>
      <w:pPr>
        <w:jc w:val="left"/>
        <w:rPr>
          <w:rFonts w:ascii="Times New Roman" w:hAnsi="Times New Roman" w:eastAsia="宋体" w:cs="Times New Roman"/>
          <w:b/>
          <w:szCs w:val="24"/>
          <w:u w:val="single"/>
        </w:rPr>
      </w:pPr>
      <w:r>
        <w:rPr>
          <w:rFonts w:ascii="Times New Roman" w:hAnsi="Times New Roman" w:eastAsia="宋体" w:cs="Times New Roman"/>
          <w:b/>
          <w:szCs w:val="24"/>
          <w:u w:val="single"/>
        </w:rPr>
        <w:t>XPO1 inhibitor monotherapy in AML</w:t>
      </w:r>
    </w:p>
    <w:p>
      <w:pPr>
        <w:ind w:firstLine="480" w:firstLineChars="200"/>
        <w:rPr>
          <w:rFonts w:ascii="Times New Roman" w:hAnsi="Times New Roman" w:cs="Times New Roman"/>
          <w:szCs w:val="24"/>
          <w:shd w:val="clear" w:color="auto" w:fill="FFFFFF"/>
        </w:rPr>
      </w:pPr>
      <w:r>
        <w:rPr>
          <w:rFonts w:ascii="Times New Roman" w:hAnsi="Times New Roman" w:cs="Times New Roman"/>
          <w:szCs w:val="24"/>
          <w:shd w:val="clear" w:color="auto" w:fill="FFFFFF"/>
        </w:rPr>
        <w:t>XPO1 inhibitor monotherapy showed some anti-leukemia activity in AML patients. A dose-escalation study</w:t>
      </w:r>
      <w:r>
        <w:rPr>
          <w:rFonts w:ascii="Times New Roman" w:hAnsi="Times New Roman" w:cs="Times New Roman"/>
          <w:szCs w:val="24"/>
          <w:shd w:val="clear" w:color="auto" w:fill="FFFFFF"/>
          <w:vertAlign w:val="superscript"/>
        </w:rPr>
        <w:t xml:space="preserve"> [22]</w:t>
      </w:r>
      <w:r>
        <w:rPr>
          <w:rFonts w:ascii="Times New Roman" w:hAnsi="Times New Roman" w:cs="Times New Roman"/>
          <w:szCs w:val="24"/>
          <w:shd w:val="clear" w:color="auto" w:fill="FFFFFF"/>
        </w:rPr>
        <w:t xml:space="preserve"> included 95 patients with recurrent or refractory AML. Of the 81 evaluable patients, 11 (14%) achieved objective remission (OR), including 5 patients with a CR and 2 patients with a CR and incomplete peripheral blood cell count recovery (CRi). The median PFS (5.1 versus 1.3 months) and OS (9.7 versus 2.7 months) showed significant improvements in responders compared to non-responders. The results of this study indicated that selinexor is safe and effective as monotherapy for patients with recurrent or refractory AML.</w:t>
      </w:r>
    </w:p>
    <w:p>
      <w:pPr>
        <w:rPr>
          <w:rFonts w:ascii="Times New Roman" w:hAnsi="Times New Roman" w:cs="Times New Roman"/>
          <w:b/>
          <w:szCs w:val="24"/>
          <w:u w:val="single"/>
          <w:shd w:val="clear" w:color="auto" w:fill="FFFFFF"/>
        </w:rPr>
      </w:pPr>
      <w:r>
        <w:rPr>
          <w:rFonts w:ascii="Times New Roman" w:hAnsi="Times New Roman" w:cs="Times New Roman"/>
          <w:b/>
          <w:szCs w:val="24"/>
          <w:u w:val="single"/>
          <w:shd w:val="clear" w:color="auto" w:fill="FFFFFF"/>
        </w:rPr>
        <w:t>XPO1 inhibitor-based combination therapy in AML</w:t>
      </w:r>
    </w:p>
    <w:p>
      <w:pPr>
        <w:ind w:firstLine="480" w:firstLineChars="200"/>
        <w:rPr>
          <w:rFonts w:ascii="Times New Roman" w:hAnsi="Times New Roman" w:cs="Times New Roman"/>
          <w:szCs w:val="24"/>
          <w:shd w:val="clear" w:color="auto" w:fill="FFFFFF"/>
        </w:rPr>
      </w:pPr>
      <w:r>
        <w:rPr>
          <w:rFonts w:ascii="Times New Roman" w:hAnsi="Times New Roman" w:cs="Times New Roman"/>
          <w:szCs w:val="24"/>
          <w:shd w:val="clear" w:color="auto" w:fill="FFFFFF"/>
        </w:rPr>
        <w:t xml:space="preserve">Combination therapy with an XPO1 inhibitor showed better disease control than monotherapy. A study </w:t>
      </w:r>
      <w:r>
        <w:rPr>
          <w:rFonts w:ascii="Times New Roman" w:hAnsi="Times New Roman" w:cs="Times New Roman"/>
          <w:szCs w:val="24"/>
          <w:shd w:val="clear" w:color="auto" w:fill="FFFFFF"/>
          <w:vertAlign w:val="superscript"/>
        </w:rPr>
        <w:t>[23]</w:t>
      </w:r>
      <w:r>
        <w:rPr>
          <w:rFonts w:ascii="Times New Roman" w:hAnsi="Times New Roman" w:cs="Times New Roman"/>
          <w:szCs w:val="24"/>
          <w:shd w:val="clear" w:color="auto" w:fill="FFFFFF"/>
        </w:rPr>
        <w:t xml:space="preserve"> combined selinexor with decitabine in 25 patients with refractory/relapsed AML (n=20) or previously untreated older adults (&gt; 60 years old) (n = 5). Ten patients responded to treatment (40%), and of the five elderly patients, four responded to treatment. The PFS and OS for patients were 11.8 and 12.9 months, respectively, for responders compared with 4.4 and 5.9 months, respectively, for non-responders. This study demonstrated that the combination of selinexor and decitabine resulted in a higher ORR, and this combination significantly improved the therapeutic response, especially in newly diagnosed elderly patients. In a study of the combination of selinexor and sorafenib, a significant apoptosis-inducing effect was also found, and patients with FLT3 inhibitor-resistant disease also had a better CR rate (45%) </w:t>
      </w:r>
      <w:r>
        <w:rPr>
          <w:rFonts w:ascii="Times New Roman" w:hAnsi="Times New Roman" w:cs="Times New Roman"/>
          <w:szCs w:val="24"/>
          <w:shd w:val="clear" w:color="auto" w:fill="FFFFFF"/>
          <w:vertAlign w:val="superscript"/>
        </w:rPr>
        <w:t>[24]</w:t>
      </w:r>
      <w:r>
        <w:rPr>
          <w:rFonts w:ascii="Times New Roman" w:hAnsi="Times New Roman" w:cs="Times New Roman"/>
          <w:szCs w:val="24"/>
          <w:shd w:val="clear" w:color="auto" w:fill="FFFFFF"/>
        </w:rPr>
        <w:t>. There are many studies on selinexor combined with cytarabine and other drugs. In one study, 20 patients with newly diagnosed or recurrent/refractory AML were treated with selinexor combined with high dose cytarabine and mitoxantrone</w:t>
      </w:r>
      <w:r>
        <w:rPr>
          <w:rFonts w:ascii="Times New Roman" w:hAnsi="Times New Roman" w:cs="Times New Roman"/>
          <w:szCs w:val="24"/>
          <w:shd w:val="clear" w:color="auto" w:fill="FFFFFF"/>
          <w:vertAlign w:val="superscript"/>
        </w:rPr>
        <w:t xml:space="preserve"> [25]</w:t>
      </w:r>
      <w:r>
        <w:rPr>
          <w:rFonts w:ascii="Times New Roman" w:hAnsi="Times New Roman" w:cs="Times New Roman"/>
          <w:szCs w:val="24"/>
          <w:shd w:val="clear" w:color="auto" w:fill="FFFFFF"/>
        </w:rPr>
        <w:t xml:space="preserve">. There were 10 cases (50%) of CR, 3 cases (15%) of CRi, 1 case (5%) of PR, and 6 cases (30%) of PD, and there was an ORR of 70%. Sweet, K et al </w:t>
      </w:r>
      <w:r>
        <w:rPr>
          <w:rFonts w:ascii="Times New Roman" w:hAnsi="Times New Roman" w:cs="Times New Roman"/>
          <w:szCs w:val="24"/>
          <w:shd w:val="clear" w:color="auto" w:fill="FFFFFF"/>
          <w:vertAlign w:val="superscript"/>
        </w:rPr>
        <w:t xml:space="preserve">[47] </w:t>
      </w:r>
      <w:r>
        <w:rPr>
          <w:rFonts w:ascii="Times New Roman" w:hAnsi="Times New Roman" w:cs="Times New Roman"/>
          <w:szCs w:val="24"/>
          <w:shd w:val="clear" w:color="auto" w:fill="FFFFFF"/>
        </w:rPr>
        <w:t xml:space="preserve">treated 21 high-risk AML patients with selinexor in combination with daunorubicin and cytarabine (7 + 3 regimen). Of the 19 evaluable patients, 10 (53%) achieved a CR/CRi. There was no dose-restricted toxicity during induction. This study confirmed a synergistic effect between selinexor and daunorubicin, and 80 mg of selinexor can be safely used in combination with a 7+3 induction regimen to treat patients with AML. Timothy S et al </w:t>
      </w:r>
      <w:r>
        <w:rPr>
          <w:rFonts w:ascii="Times New Roman" w:hAnsi="Times New Roman" w:cs="Times New Roman"/>
          <w:szCs w:val="24"/>
          <w:shd w:val="clear" w:color="auto" w:fill="FFFFFF"/>
          <w:vertAlign w:val="superscript"/>
        </w:rPr>
        <w:t>[26]</w:t>
      </w:r>
      <w:r>
        <w:rPr>
          <w:rFonts w:ascii="Times New Roman" w:hAnsi="Times New Roman" w:cs="Times New Roman"/>
          <w:szCs w:val="24"/>
          <w:shd w:val="clear" w:color="auto" w:fill="FFFFFF"/>
        </w:rPr>
        <w:t xml:space="preserve"> applied a 7 + 3 regimen combined with selinexor in elderly patients over 60 years old, and all patients taking selinexor achieved a clinical response. Another study </w:t>
      </w:r>
      <w:r>
        <w:rPr>
          <w:rFonts w:ascii="Times New Roman" w:hAnsi="Times New Roman" w:cs="Times New Roman"/>
          <w:szCs w:val="24"/>
          <w:shd w:val="clear" w:color="auto" w:fill="FFFFFF"/>
          <w:vertAlign w:val="superscript"/>
        </w:rPr>
        <w:t>[27]</w:t>
      </w:r>
      <w:r>
        <w:rPr>
          <w:rFonts w:ascii="Times New Roman" w:hAnsi="Times New Roman" w:cs="Times New Roman"/>
          <w:szCs w:val="24"/>
          <w:shd w:val="clear" w:color="auto" w:fill="FFFFFF"/>
        </w:rPr>
        <w:t xml:space="preserve"> used selinexor in combination with the CLAG regimen to treat 40 patients with recurrent or refractory AML, and 18 patients (45%) achieved a CR or CRi, with a median remission period of 9.1 months, median PFS of 6.1 months, and OS of 6.1 months. This study confirmed that selinexor-based combination therapy in the treatment of patients with recurrent AML provided an effective and reasonable alternative for bridging transplantation.</w:t>
      </w:r>
    </w:p>
    <w:p>
      <w:pPr>
        <w:rPr>
          <w:rFonts w:ascii="Times New Roman" w:hAnsi="Times New Roman" w:eastAsia="宋体" w:cs="Times New Roman"/>
          <w:b/>
          <w:szCs w:val="24"/>
        </w:rPr>
      </w:pPr>
      <w:r>
        <w:rPr>
          <w:rFonts w:ascii="Times New Roman" w:hAnsi="Times New Roman" w:cs="Times New Roman"/>
          <w:b/>
          <w:szCs w:val="24"/>
          <w:shd w:val="clear" w:color="auto" w:fill="FFFFFF"/>
        </w:rPr>
        <w:t>Use of XPO1 inhibitors in non-Hodgkin lymphoma (NHL)</w:t>
      </w:r>
    </w:p>
    <w:p>
      <w:pPr>
        <w:ind w:firstLine="480" w:firstLineChars="200"/>
        <w:jc w:val="left"/>
        <w:rPr>
          <w:rFonts w:ascii="Times New Roman" w:hAnsi="Times New Roman" w:eastAsia="宋体" w:cs="Times New Roman"/>
          <w:szCs w:val="24"/>
        </w:rPr>
      </w:pPr>
      <w:r>
        <w:rPr>
          <w:rFonts w:ascii="Times New Roman" w:hAnsi="Times New Roman" w:cs="Times New Roman"/>
          <w:szCs w:val="24"/>
          <w:shd w:val="clear" w:color="auto" w:fill="FFFFFF"/>
        </w:rPr>
        <w:t xml:space="preserve">In a preclinical study, Muqbil, I et al </w:t>
      </w:r>
      <w:r>
        <w:rPr>
          <w:rFonts w:ascii="Times New Roman" w:hAnsi="Times New Roman" w:cs="Times New Roman"/>
          <w:szCs w:val="24"/>
          <w:shd w:val="clear" w:color="auto" w:fill="FFFFFF"/>
          <w:vertAlign w:val="superscript"/>
        </w:rPr>
        <w:t xml:space="preserve">[28] </w:t>
      </w:r>
      <w:r>
        <w:rPr>
          <w:rFonts w:ascii="Times New Roman" w:hAnsi="Times New Roman" w:cs="Times New Roman"/>
          <w:szCs w:val="24"/>
          <w:shd w:val="clear" w:color="auto" w:fill="FFFFFF"/>
        </w:rPr>
        <w:t xml:space="preserve">combined selinexor with dexamethasone in an animal model of NHL and observed reduced expression of caspase-3 and significant reduction in XPO1 in the combined treatment group. In addition, studies have revealed that </w:t>
      </w:r>
      <w:r>
        <w:rPr>
          <w:rFonts w:ascii="Times New Roman" w:hAnsi="Times New Roman" w:cs="Times New Roman"/>
          <w:szCs w:val="24"/>
          <w:shd w:val="clear" w:color="auto" w:fill="FFFFFF"/>
          <w:vertAlign w:val="superscript"/>
        </w:rPr>
        <w:t>[29]</w:t>
      </w:r>
      <w:r>
        <w:rPr>
          <w:rFonts w:ascii="Times New Roman" w:hAnsi="Times New Roman" w:cs="Times New Roman"/>
          <w:szCs w:val="24"/>
          <w:shd w:val="clear" w:color="auto" w:fill="FFFFFF"/>
        </w:rPr>
        <w:t xml:space="preserve"> selinexor can enable ibrutinib-resistant mantle cell lymphoma (MCL) to overcome drug resistance, which provides a new therapeutic approach for patients with ibrutinib-resistant MCL. </w:t>
      </w:r>
    </w:p>
    <w:p>
      <w:pPr>
        <w:ind w:firstLine="480" w:firstLineChars="200"/>
        <w:jc w:val="left"/>
        <w:rPr>
          <w:rFonts w:ascii="Times New Roman" w:hAnsi="Times New Roman" w:cs="Times New Roman"/>
          <w:szCs w:val="24"/>
          <w:shd w:val="clear" w:color="auto" w:fill="FFFFFF"/>
        </w:rPr>
      </w:pPr>
      <w:r>
        <w:rPr>
          <w:rFonts w:ascii="Times New Roman" w:hAnsi="Times New Roman" w:cs="Times New Roman"/>
          <w:szCs w:val="24"/>
          <w:shd w:val="clear" w:color="auto" w:fill="FFFFFF"/>
        </w:rPr>
        <w:t xml:space="preserve">In clinical studies, XPO1 inhibitors have demonstrated long-lasting and effective antitumor activity. A phase I study </w:t>
      </w:r>
      <w:r>
        <w:rPr>
          <w:rFonts w:ascii="Times New Roman" w:hAnsi="Times New Roman" w:cs="Times New Roman"/>
          <w:szCs w:val="24"/>
          <w:shd w:val="clear" w:color="auto" w:fill="FFFFFF"/>
          <w:vertAlign w:val="superscript"/>
        </w:rPr>
        <w:t xml:space="preserve">[30] </w:t>
      </w:r>
      <w:r>
        <w:rPr>
          <w:rFonts w:ascii="Times New Roman" w:hAnsi="Times New Roman" w:cs="Times New Roman"/>
          <w:szCs w:val="24"/>
          <w:shd w:val="clear" w:color="auto" w:fill="FFFFFF"/>
        </w:rPr>
        <w:t>included 79 NHL patients, 47 of whom were in the dose escalation group, who received 3-80 mg/m</w:t>
      </w:r>
      <w:r>
        <w:rPr>
          <w:rFonts w:ascii="Times New Roman" w:hAnsi="Times New Roman" w:cs="Times New Roman"/>
          <w:szCs w:val="24"/>
          <w:shd w:val="clear" w:color="auto" w:fill="FFFFFF"/>
          <w:vertAlign w:val="superscript"/>
        </w:rPr>
        <w:t>2</w:t>
      </w:r>
      <w:r>
        <w:rPr>
          <w:rFonts w:ascii="Times New Roman" w:hAnsi="Times New Roman" w:cs="Times New Roman"/>
          <w:szCs w:val="24"/>
          <w:shd w:val="clear" w:color="auto" w:fill="FFFFFF"/>
        </w:rPr>
        <w:t xml:space="preserve"> selinexor for 3 or 4 weeks. A total of 32 patients in the extended cohort received either 35 mg/m</w:t>
      </w:r>
      <w:r>
        <w:rPr>
          <w:rFonts w:ascii="Times New Roman" w:hAnsi="Times New Roman" w:cs="Times New Roman"/>
          <w:szCs w:val="24"/>
          <w:shd w:val="clear" w:color="auto" w:fill="FFFFFF"/>
          <w:vertAlign w:val="superscript"/>
        </w:rPr>
        <w:t>2</w:t>
      </w:r>
      <w:r>
        <w:rPr>
          <w:rFonts w:ascii="Times New Roman" w:hAnsi="Times New Roman" w:cs="Times New Roman"/>
          <w:szCs w:val="24"/>
          <w:shd w:val="clear" w:color="auto" w:fill="FFFFFF"/>
        </w:rPr>
        <w:t xml:space="preserve"> or 60 mg/m</w:t>
      </w:r>
      <w:r>
        <w:rPr>
          <w:rFonts w:ascii="Times New Roman" w:hAnsi="Times New Roman" w:cs="Times New Roman"/>
          <w:szCs w:val="24"/>
          <w:shd w:val="clear" w:color="auto" w:fill="FFFFFF"/>
          <w:vertAlign w:val="superscript"/>
        </w:rPr>
        <w:t>2</w:t>
      </w:r>
      <w:r>
        <w:rPr>
          <w:rFonts w:ascii="Times New Roman" w:hAnsi="Times New Roman" w:cs="Times New Roman"/>
          <w:szCs w:val="24"/>
          <w:shd w:val="clear" w:color="auto" w:fill="FFFFFF"/>
        </w:rPr>
        <w:t xml:space="preserve"> selinexor. Of the 70 evaluable patients, 22 (31%) achieved OR, including 4 CRs and 18 PRs. SD was obtained in 21 cases (30%), and the disease control rate was 61%. These results suggest that oral administration of 35 mg/m</w:t>
      </w:r>
      <w:r>
        <w:rPr>
          <w:rFonts w:ascii="Times New Roman" w:hAnsi="Times New Roman" w:cs="Times New Roman"/>
          <w:szCs w:val="24"/>
          <w:shd w:val="clear" w:color="auto" w:fill="FFFFFF"/>
          <w:vertAlign w:val="superscript"/>
        </w:rPr>
        <w:t>2</w:t>
      </w:r>
      <w:r>
        <w:rPr>
          <w:rFonts w:ascii="Times New Roman" w:hAnsi="Times New Roman" w:cs="Times New Roman"/>
          <w:szCs w:val="24"/>
          <w:shd w:val="clear" w:color="auto" w:fill="FFFFFF"/>
        </w:rPr>
        <w:t xml:space="preserve"> selinexor is a safe treatment and has considerable anticancer activity in patients with relapsed/refractory NHL. A phase 2b study conducted in patients with DLBCL included 110 patients </w:t>
      </w:r>
      <w:r>
        <w:rPr>
          <w:rFonts w:ascii="Times New Roman" w:hAnsi="Times New Roman" w:cs="Times New Roman"/>
          <w:szCs w:val="24"/>
          <w:shd w:val="clear" w:color="auto" w:fill="FFFFFF"/>
          <w:vertAlign w:val="superscript"/>
        </w:rPr>
        <w:t>[31]</w:t>
      </w:r>
      <w:r>
        <w:rPr>
          <w:rFonts w:ascii="Times New Roman" w:hAnsi="Times New Roman" w:cs="Times New Roman"/>
          <w:szCs w:val="24"/>
          <w:shd w:val="clear" w:color="auto" w:fill="FFFFFF"/>
        </w:rPr>
        <w:t xml:space="preserve"> treated with 60 mg selinexor twice weekly on a 28-day cycle. In the initial interim analysis of 32 patients, the ORR was 34.4% (5 CRs and 6 PRs). The median duration of response was 8.4 months, of which some CRs lasted longer than 24 months, showing a profound and lasting response. Another study used the same medication regimen to treat 129 relapsed/refractory patients with DLBCL who had previously received 2-5 lines of therapy, and this regimen achieved an ORR of 27.6% (14 CRs and 21 PRs). These results suggest the potential of selinexor as a new therapy for DLBCL. The US FDA has included the use of selinexor for treating patients with relapsed/refractory DLBCL who have received at least two lines of treatment for accelerated approval. In addition, an isolated CNS relapse was reported </w:t>
      </w:r>
      <w:r>
        <w:rPr>
          <w:rFonts w:ascii="Times New Roman" w:hAnsi="Times New Roman" w:cs="Times New Roman"/>
          <w:szCs w:val="24"/>
          <w:shd w:val="clear" w:color="auto" w:fill="FFFFFF"/>
          <w:vertAlign w:val="superscript"/>
        </w:rPr>
        <w:t>[32]</w:t>
      </w:r>
      <w:r>
        <w:rPr>
          <w:rFonts w:ascii="Times New Roman" w:hAnsi="Times New Roman" w:cs="Times New Roman"/>
          <w:szCs w:val="24"/>
          <w:shd w:val="clear" w:color="auto" w:fill="FFFFFF"/>
        </w:rPr>
        <w:t xml:space="preserve"> in a patient with DLBCL, who was then given 60 mg oral selinexor twice a week (day 1 and day 3). After five months of selinexor treatment, the patient’s symptoms disappeared, and an MRI scan showed that the brain tumor had completely disappeared. This report demonstrates the blood-brain barrier permeability of selinexor and its significant efficacy in the treatment of central nervous system DLBCL.</w:t>
      </w:r>
    </w:p>
    <w:p>
      <w:pPr>
        <w:jc w:val="left"/>
        <w:rPr>
          <w:rFonts w:ascii="Times New Roman" w:hAnsi="Times New Roman" w:cs="Times New Roman"/>
          <w:b/>
          <w:szCs w:val="24"/>
          <w:shd w:val="clear" w:color="auto" w:fill="FFFFFF"/>
        </w:rPr>
      </w:pPr>
      <w:r>
        <w:rPr>
          <w:rFonts w:ascii="Times New Roman" w:hAnsi="Times New Roman" w:cs="Times New Roman"/>
          <w:b/>
          <w:szCs w:val="24"/>
          <w:shd w:val="clear" w:color="auto" w:fill="FFFFFF"/>
        </w:rPr>
        <w:t>Conclusions</w:t>
      </w:r>
    </w:p>
    <w:p>
      <w:pPr>
        <w:autoSpaceDE w:val="0"/>
        <w:autoSpaceDN w:val="0"/>
        <w:adjustRightInd w:val="0"/>
        <w:ind w:firstLine="480" w:firstLineChars="200"/>
        <w:jc w:val="left"/>
        <w:rPr>
          <w:rFonts w:ascii="Times New Roman" w:hAnsi="Times New Roman" w:cs="Times New Roman"/>
          <w:szCs w:val="24"/>
          <w:shd w:val="clear" w:color="auto" w:fill="FFFFFF"/>
        </w:rPr>
      </w:pPr>
      <w:r>
        <w:rPr>
          <w:rFonts w:ascii="Times New Roman" w:hAnsi="Times New Roman" w:cs="Times New Roman"/>
          <w:szCs w:val="24"/>
          <w:shd w:val="clear" w:color="auto" w:fill="FFFFFF"/>
        </w:rPr>
        <w:t>As new, targeted drugs, XPO1 inhibitors have shown good antitumor activity in a variety of hematologic malignancies. Increasing clinical studies on XPO1 inhibitors are gradually being conducted. Selinexor, a first-generation XPO1 inhibitor, was approved for use in RRMM and is about to be approved for treatment of relapsed/refractory DLBCL. Second generation XPO1 inhibitors provide a wider therapeutic window, and their lower blood-brain barrier permeability supports a continuous medication approach, which will further improve the efficacy and safety of treatment. In conclusion, the discovery of XPO1 inhibitors has provided new therapeutic options and may be a potential game changer for relapsed/refractory hematologic malignancies.</w:t>
      </w:r>
    </w:p>
    <w:p>
      <w:pPr>
        <w:rPr>
          <w:rFonts w:hint="eastAsia" w:ascii="Times New Roman" w:hAnsi="Times New Roman" w:eastAsia="宋体" w:cs="Times New Roman"/>
          <w:b/>
          <w:szCs w:val="24"/>
        </w:rPr>
      </w:pPr>
      <w:r>
        <w:rPr>
          <w:rFonts w:hint="eastAsia" w:ascii="Times New Roman" w:hAnsi="Times New Roman" w:eastAsia="宋体" w:cs="Times New Roman"/>
          <w:b/>
          <w:szCs w:val="24"/>
        </w:rPr>
        <w:t>Declarations</w:t>
      </w:r>
    </w:p>
    <w:p>
      <w:pPr>
        <w:autoSpaceDE w:val="0"/>
        <w:autoSpaceDN w:val="0"/>
        <w:adjustRightInd w:val="0"/>
        <w:jc w:val="left"/>
        <w:rPr>
          <w:rFonts w:hint="eastAsia" w:ascii="Times New Roman" w:hAnsi="Times New Roman" w:cs="Times New Roman"/>
          <w:b/>
          <w:bCs/>
          <w:szCs w:val="24"/>
          <w:shd w:val="clear" w:color="auto" w:fill="FFFFFF"/>
        </w:rPr>
      </w:pPr>
      <w:r>
        <w:rPr>
          <w:rFonts w:hint="eastAsia" w:ascii="Times New Roman" w:hAnsi="Times New Roman" w:cs="Times New Roman"/>
          <w:b/>
          <w:bCs/>
          <w:szCs w:val="24"/>
          <w:shd w:val="clear" w:color="auto" w:fill="FFFFFF"/>
        </w:rPr>
        <w:t>Conflict of Interest:</w:t>
      </w:r>
    </w:p>
    <w:p>
      <w:pPr>
        <w:autoSpaceDE w:val="0"/>
        <w:autoSpaceDN w:val="0"/>
        <w:adjustRightInd w:val="0"/>
        <w:jc w:val="left"/>
        <w:rPr>
          <w:rFonts w:hint="eastAsia" w:ascii="Times New Roman" w:hAnsi="Times New Roman" w:cs="Times New Roman"/>
          <w:b/>
          <w:bCs/>
          <w:szCs w:val="24"/>
          <w:shd w:val="clear" w:color="auto" w:fill="FFFFFF"/>
        </w:rPr>
      </w:pPr>
      <w:r>
        <w:rPr>
          <w:rFonts w:hint="eastAsia" w:ascii="Times New Roman" w:hAnsi="Times New Roman" w:cs="Times New Roman"/>
          <w:b/>
          <w:bCs/>
          <w:szCs w:val="24"/>
          <w:shd w:val="clear" w:color="auto" w:fill="FFFFFF"/>
        </w:rPr>
        <w:t xml:space="preserve">Acknowledgements: </w:t>
      </w:r>
    </w:p>
    <w:p>
      <w:pPr>
        <w:rPr>
          <w:rFonts w:ascii="Times New Roman" w:hAnsi="Times New Roman" w:eastAsia="宋体" w:cs="Times New Roman"/>
          <w:b/>
          <w:szCs w:val="24"/>
        </w:rPr>
      </w:pPr>
      <w:r>
        <w:rPr>
          <w:rFonts w:ascii="Times New Roman" w:hAnsi="Times New Roman" w:eastAsia="宋体" w:cs="Times New Roman"/>
          <w:b/>
          <w:szCs w:val="24"/>
        </w:rPr>
        <w:t>References</w:t>
      </w:r>
    </w:p>
    <w:p>
      <w:pPr>
        <w:rPr>
          <w:rFonts w:ascii="Times New Roman" w:hAnsi="Times New Roman" w:eastAsia="宋体" w:cs="Times New Roman"/>
          <w:szCs w:val="24"/>
        </w:rPr>
      </w:pPr>
      <w:r>
        <w:rPr>
          <w:rFonts w:ascii="Times New Roman" w:hAnsi="Times New Roman" w:eastAsia="宋体" w:cs="Times New Roman"/>
          <w:szCs w:val="24"/>
        </w:rPr>
        <w:t>1. Gravina GL, Senapedis W, McCauley D, et al. Nucleo-cytoplasmic transport as a therapeutic target of cancer. J Hematol Oncol.2014;7:85.</w:t>
      </w:r>
    </w:p>
    <w:p>
      <w:pPr>
        <w:rPr>
          <w:rFonts w:ascii="Times New Roman" w:hAnsi="Times New Roman" w:eastAsia="宋体" w:cs="Times New Roman"/>
          <w:szCs w:val="24"/>
        </w:rPr>
      </w:pPr>
      <w:r>
        <w:rPr>
          <w:rFonts w:ascii="Times New Roman" w:hAnsi="Times New Roman" w:eastAsia="宋体" w:cs="Times New Roman"/>
          <w:szCs w:val="24"/>
        </w:rPr>
        <w:t>2. Conforti F, Wang Y, Rodriguez JA, et al. molecular pathways: antic-ancer activity by inhibition of nucleocytoplasmic shuttling. ClinCancer Res. 2015;21:4508–4513.</w:t>
      </w:r>
    </w:p>
    <w:p>
      <w:pPr>
        <w:rPr>
          <w:rFonts w:ascii="Times New Roman" w:hAnsi="Times New Roman" w:eastAsia="宋体" w:cs="Times New Roman"/>
          <w:szCs w:val="24"/>
        </w:rPr>
      </w:pPr>
      <w:r>
        <w:rPr>
          <w:rFonts w:ascii="Times New Roman" w:hAnsi="Times New Roman" w:eastAsia="宋体" w:cs="Times New Roman"/>
          <w:szCs w:val="24"/>
        </w:rPr>
        <w:t>3. Kuruvilla, J; Savona, M; Baz, R; et al. Selective inhibition of nuclear export with selinexor in patients with non-Hodgkin lymphoma. Blood.2017,129(24):3175-3183.</w:t>
      </w:r>
    </w:p>
    <w:p>
      <w:pPr>
        <w:rPr>
          <w:rFonts w:ascii="Times New Roman" w:hAnsi="Times New Roman" w:eastAsia="宋体" w:cs="Times New Roman"/>
          <w:szCs w:val="24"/>
        </w:rPr>
      </w:pPr>
      <w:r>
        <w:rPr>
          <w:rFonts w:ascii="Times New Roman" w:hAnsi="Times New Roman" w:eastAsia="宋体" w:cs="Times New Roman"/>
          <w:szCs w:val="24"/>
        </w:rPr>
        <w:t>4. Noske A, Weichert W, Niesporek S, et al. Expression of the nuclear export protein chromosomal region maintenance/exportin 1/Xpo1 is a prognostic factor in human ovarian cancer. Cancer. 2008;112:1733–1743.</w:t>
      </w:r>
    </w:p>
    <w:p>
      <w:pPr>
        <w:rPr>
          <w:rFonts w:ascii="Times New Roman" w:hAnsi="Times New Roman" w:eastAsia="宋体" w:cs="Times New Roman"/>
          <w:szCs w:val="24"/>
        </w:rPr>
      </w:pPr>
      <w:r>
        <w:rPr>
          <w:rFonts w:ascii="Times New Roman" w:hAnsi="Times New Roman" w:eastAsia="宋体" w:cs="Times New Roman"/>
          <w:szCs w:val="24"/>
        </w:rPr>
        <w:t>5. Shen A, Wang Y, Zhao Y, et al. Expression of CRM1 in human gliomas and its significance in p27 expression in clinical prognosis. Neurosurgery. 2009;65:153–160.</w:t>
      </w:r>
    </w:p>
    <w:p>
      <w:pPr>
        <w:rPr>
          <w:rFonts w:ascii="Times New Roman" w:hAnsi="Times New Roman" w:eastAsia="宋体" w:cs="Times New Roman"/>
          <w:szCs w:val="24"/>
        </w:rPr>
      </w:pPr>
      <w:r>
        <w:rPr>
          <w:rFonts w:ascii="Times New Roman" w:hAnsi="Times New Roman" w:eastAsia="宋体" w:cs="Times New Roman"/>
          <w:szCs w:val="24"/>
        </w:rPr>
        <w:t>6. Burke, RT; Marcus, JM; Orth, JD; Inhibition of exportin-1 function results in rapid cell cycle-associated DNA damage in cancer cells. Oncotarget.2017,8(24):39460-39475.</w:t>
      </w:r>
    </w:p>
    <w:p>
      <w:pPr>
        <w:rPr>
          <w:rFonts w:ascii="Times New Roman" w:hAnsi="Times New Roman" w:eastAsia="宋体" w:cs="Times New Roman"/>
          <w:szCs w:val="24"/>
        </w:rPr>
      </w:pPr>
      <w:r>
        <w:rPr>
          <w:rFonts w:ascii="Times New Roman" w:hAnsi="Times New Roman" w:eastAsia="宋体" w:cs="Times New Roman"/>
          <w:szCs w:val="24"/>
        </w:rPr>
        <w:t>7. Taylor-Kashton C, Lichtensztejn D, Baloglu E, et al. XPO1 Inhibition Preferentially Disrupts the 3D Nuclear Organization of Telomeres in Tumor Cells. J Cell Physiol.2016 12 ;231(12):2711-9</w:t>
      </w:r>
    </w:p>
    <w:p>
      <w:pPr>
        <w:rPr>
          <w:rFonts w:ascii="Times New Roman" w:hAnsi="Times New Roman" w:eastAsia="宋体" w:cs="Times New Roman"/>
          <w:szCs w:val="24"/>
        </w:rPr>
      </w:pPr>
      <w:r>
        <w:rPr>
          <w:rFonts w:ascii="Times New Roman" w:hAnsi="Times New Roman" w:eastAsia="宋体" w:cs="Times New Roman"/>
          <w:szCs w:val="24"/>
        </w:rPr>
        <w:t>8. XPO1 Inhibitor Approved for Multiple Myeloma. Cancer Discov.2019,9(9):1150-1151.</w:t>
      </w:r>
    </w:p>
    <w:p>
      <w:pPr>
        <w:rPr>
          <w:rFonts w:ascii="Times New Roman" w:hAnsi="Times New Roman" w:eastAsia="宋体" w:cs="Times New Roman"/>
          <w:szCs w:val="24"/>
        </w:rPr>
      </w:pPr>
      <w:r>
        <w:rPr>
          <w:rFonts w:ascii="Times New Roman" w:hAnsi="Times New Roman" w:eastAsia="宋体" w:cs="Times New Roman"/>
          <w:szCs w:val="24"/>
        </w:rPr>
        <w:t>9. Etchin, J; Berezovskaya, A; Conway, AS; et al. KPT-8602, a second-generation inhibitor of XPO1-mediated nuclear export, is well tolerated and highly active against AML blasts and leukemia-initiating cells. Leukemia.2017,31(1):143-150.</w:t>
      </w:r>
    </w:p>
    <w:p>
      <w:pPr>
        <w:rPr>
          <w:rFonts w:ascii="Times New Roman" w:hAnsi="Times New Roman" w:eastAsia="宋体" w:cs="Times New Roman"/>
          <w:szCs w:val="24"/>
        </w:rPr>
      </w:pPr>
      <w:r>
        <w:rPr>
          <w:rFonts w:ascii="Times New Roman" w:hAnsi="Times New Roman" w:eastAsia="宋体" w:cs="Times New Roman"/>
          <w:szCs w:val="24"/>
        </w:rPr>
        <w:t xml:space="preserve">10. Peterson, TJ; Orozco, J; Buege, M. Selinexor: A First-in-Class Nuclear Export Inhibitor for Management of Multiply Relapsed Multiple Myeloma. </w:t>
      </w:r>
      <w:r>
        <w:rPr>
          <w:rFonts w:ascii="Times New Roman" w:hAnsi="Times New Roman" w:cs="Times New Roman"/>
          <w:szCs w:val="24"/>
        </w:rPr>
        <w:t>Ann Pharmacother.2020 Jun ;54(6):577-582</w:t>
      </w:r>
    </w:p>
    <w:p>
      <w:pPr>
        <w:rPr>
          <w:rFonts w:ascii="Times New Roman" w:hAnsi="Times New Roman" w:eastAsia="宋体" w:cs="Times New Roman"/>
          <w:szCs w:val="24"/>
        </w:rPr>
      </w:pPr>
      <w:r>
        <w:rPr>
          <w:rFonts w:ascii="Times New Roman" w:hAnsi="Times New Roman" w:eastAsia="宋体" w:cs="Times New Roman"/>
          <w:szCs w:val="24"/>
        </w:rPr>
        <w:t>11. Robert Frank Cornell, Adriana C. Rossi, Rachid Baz, et al. Eltanexor (KPT-8602), a Second-Generation Selective Inhibitor of Nuclear Export (SINE) Compound, in Patients with Refractory Multiple Myeloma. Blood 2017; 130 (Supplement 1): 3134.</w:t>
      </w:r>
    </w:p>
    <w:p>
      <w:pPr>
        <w:rPr>
          <w:rFonts w:ascii="Times New Roman" w:hAnsi="Times New Roman" w:eastAsia="宋体" w:cs="Times New Roman"/>
          <w:szCs w:val="24"/>
        </w:rPr>
      </w:pPr>
      <w:r>
        <w:rPr>
          <w:rFonts w:ascii="Times New Roman" w:hAnsi="Times New Roman" w:eastAsia="宋体" w:cs="Times New Roman"/>
          <w:szCs w:val="24"/>
        </w:rPr>
        <w:t>12. Chen, C; Siegel, D; Gutierrez, M; et al. Safety and efficacy of selinexor in relapsed or refractory multiple myeloma and Waldenstrom macroglobulinemia. Blood.2018,131(8):855-863.</w:t>
      </w:r>
    </w:p>
    <w:p>
      <w:pPr>
        <w:rPr>
          <w:rFonts w:ascii="Times New Roman" w:hAnsi="Times New Roman" w:eastAsia="宋体" w:cs="Times New Roman"/>
          <w:szCs w:val="24"/>
        </w:rPr>
      </w:pPr>
      <w:r>
        <w:rPr>
          <w:rFonts w:ascii="Times New Roman" w:hAnsi="Times New Roman" w:eastAsia="宋体" w:cs="Times New Roman"/>
          <w:szCs w:val="24"/>
        </w:rPr>
        <w:t>13. Chari, A; Vogl, DT; Gavriatopoulou, M; et al. Oral Selinexor-Dexamethasone for Triple-Class Refractory Multiple Myeloma. N Engl J Med.2019,381(8):727-738.</w:t>
      </w:r>
    </w:p>
    <w:p>
      <w:pPr>
        <w:rPr>
          <w:rFonts w:ascii="Times New Roman" w:hAnsi="Times New Roman" w:eastAsia="宋体" w:cs="Times New Roman"/>
          <w:szCs w:val="24"/>
        </w:rPr>
      </w:pPr>
      <w:r>
        <w:rPr>
          <w:rFonts w:ascii="Times New Roman" w:hAnsi="Times New Roman" w:eastAsia="宋体" w:cs="Times New Roman"/>
          <w:szCs w:val="24"/>
        </w:rPr>
        <w:t>14. Salcedo, M; Lendvai, N; Mastey, D; et al. Phase I Study of Selinexor, Ixazomib, and Low-dose Dexamethasone in Patients With Relapsed or Refractory Multiple Myeloma. Clin Lymphoma Myeloma Leuk.2020,20(3):198-200.</w:t>
      </w:r>
    </w:p>
    <w:p>
      <w:pPr>
        <w:rPr>
          <w:rFonts w:ascii="Times New Roman" w:hAnsi="Times New Roman" w:eastAsia="宋体" w:cs="Times New Roman"/>
          <w:szCs w:val="24"/>
        </w:rPr>
      </w:pPr>
      <w:r>
        <w:rPr>
          <w:rFonts w:ascii="Times New Roman" w:hAnsi="Times New Roman" w:eastAsia="宋体" w:cs="Times New Roman"/>
          <w:szCs w:val="24"/>
        </w:rPr>
        <w:t>15. Jakubowiak, AJ; Jasielec, JK; Rosenbaum, CA; et al. Phase 1 study of selinexor plus carfilzomib and dexamethasone for the treatment of relapsed/refractory multiple myeloma. Br J Haematol.2019,186(4):549-560.</w:t>
      </w:r>
    </w:p>
    <w:p>
      <w:pPr>
        <w:rPr>
          <w:rFonts w:ascii="Times New Roman" w:hAnsi="Times New Roman" w:eastAsia="宋体" w:cs="Times New Roman"/>
          <w:szCs w:val="24"/>
        </w:rPr>
      </w:pPr>
      <w:r>
        <w:rPr>
          <w:rFonts w:ascii="Times New Roman" w:hAnsi="Times New Roman" w:eastAsia="宋体" w:cs="Times New Roman"/>
          <w:szCs w:val="24"/>
        </w:rPr>
        <w:t>16. Bahlis, NJ; Sutherland, H; White, D; et al. Selinexor plus low-dose bortezomib and dexamethasone for patients with relapsed or refractory multiple myeloma. Blood.2018,132(24):2546-2554.</w:t>
      </w:r>
    </w:p>
    <w:p>
      <w:pPr>
        <w:rPr>
          <w:rStyle w:val="17"/>
          <w:rFonts w:ascii="Times New Roman" w:hAnsi="Times New Roman" w:eastAsia="宋体" w:cs="Times New Roman"/>
          <w:szCs w:val="24"/>
        </w:rPr>
      </w:pPr>
      <w:r>
        <w:rPr>
          <w:rFonts w:ascii="Times New Roman" w:hAnsi="Times New Roman" w:eastAsia="宋体" w:cs="Times New Roman"/>
          <w:szCs w:val="24"/>
        </w:rPr>
        <w:t>17. Darrell J White, Suzanne Lentzsch, Cristina Gasparetto, et al. Safety and Efficacy of the Combination of Selinexor, Lenalidomide and Dexamethasone (SRd) in Patients with Newly Diagnosed Multiple Myeloma. Blood 2019; 134 (Supplement_1): 3165.</w:t>
      </w:r>
    </w:p>
    <w:p>
      <w:pPr>
        <w:rPr>
          <w:rFonts w:ascii="Times New Roman" w:hAnsi="Times New Roman" w:eastAsia="宋体" w:cs="Times New Roman"/>
          <w:color w:val="0000FF" w:themeColor="hyperlink"/>
          <w:szCs w:val="24"/>
          <w:u w:val="single"/>
          <w14:textFill>
            <w14:solidFill>
              <w14:schemeClr w14:val="hlink"/>
            </w14:solidFill>
          </w14:textFill>
        </w:rPr>
      </w:pPr>
      <w:r>
        <w:rPr>
          <w:rFonts w:ascii="Times New Roman" w:hAnsi="Times New Roman" w:cs="Times New Roman"/>
          <w:szCs w:val="24"/>
        </w:rPr>
        <w:t xml:space="preserve">18. </w:t>
      </w:r>
      <w:r>
        <w:rPr>
          <w:rFonts w:ascii="Times New Roman" w:hAnsi="Times New Roman" w:eastAsia="宋体" w:cs="Times New Roman"/>
          <w:szCs w:val="24"/>
        </w:rPr>
        <w:t>Darrell J White, Nizar J. Bahlis, Christopher P. Venner, et al. A Phase Ib/II Trial of Selinexor Combined with Lenalidomide and Low Dose Dexamethasone in Patients with Relapsed / Refractory Multiple Myeloma. Blood 2017; 130 (Supplement 1): 1861.</w:t>
      </w:r>
    </w:p>
    <w:p>
      <w:pPr>
        <w:rPr>
          <w:rFonts w:ascii="Times New Roman" w:hAnsi="Times New Roman" w:eastAsia="宋体" w:cs="Times New Roman"/>
          <w:szCs w:val="24"/>
        </w:rPr>
      </w:pPr>
      <w:r>
        <w:rPr>
          <w:rFonts w:ascii="Times New Roman" w:hAnsi="Times New Roman" w:eastAsia="宋体" w:cs="Times New Roman"/>
          <w:szCs w:val="24"/>
        </w:rPr>
        <w:t>19. Christine I Chen, Nizar Bahlis, Cristina Gasparetto, et al. Selinexor, Pomalidomide, and Dexamethasone (SPd) in Patients with Relapsed or Refractory Multiple Myeloma. Blood 2019; 134 (Supplement_1): 141.</w:t>
      </w:r>
    </w:p>
    <w:p>
      <w:pPr>
        <w:rPr>
          <w:rFonts w:ascii="Times New Roman" w:hAnsi="Times New Roman" w:eastAsia="宋体" w:cs="Times New Roman"/>
          <w:szCs w:val="24"/>
        </w:rPr>
      </w:pPr>
      <w:r>
        <w:rPr>
          <w:rFonts w:ascii="Times New Roman" w:hAnsi="Times New Roman" w:eastAsia="宋体" w:cs="Times New Roman"/>
          <w:szCs w:val="24"/>
        </w:rPr>
        <w:t>20. Cristina J Gasparetto, Suzanne Lentzsch, Gary J. Schiller, et al. Deep and Durable Responses with Selinexor, Daratumumab, and Dexamethasome (SDd) in Patients with Multiple Myeloma (MM) Previously Exposed to Proteasome Inhibitors and Immunomodulatory Drugs: Results of Phase 1b Study of SDd. Blood 2018; 132 (Supplement 1): 599.</w:t>
      </w:r>
    </w:p>
    <w:p>
      <w:pPr>
        <w:rPr>
          <w:rFonts w:ascii="Times New Roman" w:hAnsi="Times New Roman" w:eastAsia="宋体" w:cs="Times New Roman"/>
          <w:szCs w:val="24"/>
        </w:rPr>
      </w:pPr>
      <w:r>
        <w:rPr>
          <w:rFonts w:ascii="Times New Roman" w:hAnsi="Times New Roman" w:eastAsia="宋体" w:cs="Times New Roman"/>
          <w:szCs w:val="24"/>
        </w:rPr>
        <w:t>21. Rachid Baz, Jeffrey A Zonder, Kenneth H Shain, et al. Phase I/II Study of Liposomal Doxorubicin (DOX) in Combination with Selinexor (SEL) and Dexamethasone (Dex) for Relapsed and Refractory Multiple Myeloma (RRMM). Blood 2017; 130 (Supplement 1): 3095.</w:t>
      </w:r>
    </w:p>
    <w:p>
      <w:pPr>
        <w:rPr>
          <w:rFonts w:ascii="Times New Roman" w:hAnsi="Times New Roman" w:eastAsia="宋体" w:cs="Times New Roman"/>
          <w:szCs w:val="24"/>
        </w:rPr>
      </w:pPr>
      <w:r>
        <w:rPr>
          <w:rFonts w:ascii="Times New Roman" w:hAnsi="Times New Roman" w:eastAsia="宋体" w:cs="Times New Roman"/>
          <w:szCs w:val="24"/>
        </w:rPr>
        <w:t>22. Garzon, R; Savona, M; Baz, R; et al. A phase 1 clinical trial of single-agent selinexor in acute myeloid leukemia. Blood.2017,129(24):3165-3174</w:t>
      </w:r>
    </w:p>
    <w:p>
      <w:pPr>
        <w:rPr>
          <w:rFonts w:ascii="Times New Roman" w:hAnsi="Times New Roman" w:eastAsia="宋体" w:cs="Times New Roman"/>
          <w:szCs w:val="24"/>
        </w:rPr>
      </w:pPr>
      <w:r>
        <w:rPr>
          <w:rFonts w:ascii="Times New Roman" w:hAnsi="Times New Roman" w:eastAsia="宋体" w:cs="Times New Roman"/>
          <w:szCs w:val="24"/>
        </w:rPr>
        <w:t>23. Bhatnagar, B; Zhao, Q; Mims, AS; et al. Selinexor in combination with decitabine in patients with acute myeloid leukemia: results from a phase 1 study. Leuk Lymphoma.2020,61(2):387-396.</w:t>
      </w:r>
    </w:p>
    <w:p>
      <w:pPr>
        <w:rPr>
          <w:rFonts w:ascii="Times New Roman" w:hAnsi="Times New Roman" w:eastAsia="宋体" w:cs="Times New Roman"/>
          <w:szCs w:val="24"/>
        </w:rPr>
      </w:pPr>
      <w:r>
        <w:rPr>
          <w:rFonts w:ascii="Times New Roman" w:hAnsi="Times New Roman" w:eastAsia="宋体" w:cs="Times New Roman"/>
          <w:szCs w:val="24"/>
        </w:rPr>
        <w:t>24. Naval G. Daver, Rita Assi, Hagop M. Kantarjian, et al. Final Results of Phase I/II Study of Selinexor (SEL) with Sorafenib in Patients (pts) with Relapsed and/or Refractory (R/R) FLT3 Mutated Acute Myeloid Leukemia (AML). Blood 2018; 132 (Supplement 1): 1441.</w:t>
      </w:r>
    </w:p>
    <w:p>
      <w:pPr>
        <w:rPr>
          <w:rFonts w:ascii="Times New Roman" w:hAnsi="Times New Roman" w:eastAsia="宋体" w:cs="Times New Roman"/>
          <w:szCs w:val="24"/>
        </w:rPr>
      </w:pPr>
      <w:r>
        <w:rPr>
          <w:rFonts w:ascii="Times New Roman" w:hAnsi="Times New Roman" w:eastAsia="宋体" w:cs="Times New Roman"/>
          <w:szCs w:val="24"/>
        </w:rPr>
        <w:t>25. Wang, AY; Weiner, H; Green, M; et al. A phase I study of selinexor in combination with high-dose cytarabine and mitoxantrone for remission induction in patients with acute myeloid leukemia. J Hematol Oncol.2018,11(1):4</w:t>
      </w:r>
    </w:p>
    <w:p>
      <w:pPr>
        <w:rPr>
          <w:rFonts w:ascii="Times New Roman" w:hAnsi="Times New Roman" w:eastAsia="宋体" w:cs="Times New Roman"/>
          <w:szCs w:val="24"/>
        </w:rPr>
      </w:pPr>
      <w:r>
        <w:rPr>
          <w:rFonts w:ascii="Times New Roman" w:hAnsi="Times New Roman" w:eastAsia="宋体" w:cs="Times New Roman"/>
          <w:szCs w:val="24"/>
        </w:rPr>
        <w:t>26. Pardee, Kris C Wood, Kevin H Lin, et al. Selinexor in Combination with Induction and Consolidation Therapy in Older Adults with AML Is Highly Active. Blood 2019; 134 (Supplement_1): 1388.</w:t>
      </w:r>
    </w:p>
    <w:p>
      <w:pPr>
        <w:rPr>
          <w:rFonts w:ascii="Times New Roman" w:hAnsi="Times New Roman" w:eastAsia="宋体" w:cs="Times New Roman"/>
          <w:szCs w:val="24"/>
        </w:rPr>
      </w:pPr>
      <w:r>
        <w:rPr>
          <w:rFonts w:ascii="Times New Roman" w:hAnsi="Times New Roman" w:eastAsia="宋体" w:cs="Times New Roman"/>
          <w:szCs w:val="24"/>
        </w:rPr>
        <w:t>27. Abboud, R; Chendamarai, E; Rettig, MP; et al. Selinexor combined with cladribine, cytarabine, and filgrastim in relapsed or refractory acute myeloid leukemia. Haematologica.2019.</w:t>
      </w:r>
    </w:p>
    <w:p>
      <w:pPr>
        <w:rPr>
          <w:rFonts w:ascii="Times New Roman" w:hAnsi="Times New Roman" w:eastAsia="宋体" w:cs="Times New Roman"/>
          <w:szCs w:val="24"/>
        </w:rPr>
      </w:pPr>
      <w:r>
        <w:rPr>
          <w:rFonts w:ascii="Times New Roman" w:hAnsi="Times New Roman" w:eastAsia="宋体" w:cs="Times New Roman"/>
          <w:szCs w:val="24"/>
        </w:rPr>
        <w:t>28. Muqbil, I; Aboukameel, A; Elloul, S; et al. Anti-tumor activity of selective inhibitor of nuclear export (SINE) compounds, is enhanced in non-Hodgkin lymphoma through combination with mTOR inhibitor and dexamethasone. Cancer Lett.2016,383(2):309-317.</w:t>
      </w:r>
    </w:p>
    <w:p>
      <w:pPr>
        <w:rPr>
          <w:rFonts w:ascii="Times New Roman" w:hAnsi="Times New Roman" w:eastAsia="宋体" w:cs="Times New Roman"/>
          <w:color w:val="222222"/>
          <w:szCs w:val="24"/>
          <w:shd w:val="clear" w:color="auto" w:fill="FFFFFF"/>
        </w:rPr>
      </w:pPr>
      <w:r>
        <w:rPr>
          <w:rFonts w:ascii="Times New Roman" w:hAnsi="Times New Roman" w:eastAsia="宋体" w:cs="Times New Roman"/>
          <w:szCs w:val="24"/>
        </w:rPr>
        <w:t xml:space="preserve">29. </w:t>
      </w:r>
      <w:r>
        <w:rPr>
          <w:rFonts w:ascii="Times New Roman" w:hAnsi="Times New Roman" w:eastAsia="宋体" w:cs="Times New Roman"/>
          <w:color w:val="222222"/>
          <w:szCs w:val="24"/>
          <w:shd w:val="clear" w:color="auto" w:fill="FFFFFF"/>
        </w:rPr>
        <w:t>Ming M, Wu W, Xie B, et al. XPO1 inhibitor selinexor overcomes intrinsic ibrutinib resistance in mantle cell lymphoma via nuclear retention of IκB[J]. Molecular cancer therapeutics, 2018, 17(12): 2564-2574.</w:t>
      </w:r>
    </w:p>
    <w:p>
      <w:pPr>
        <w:rPr>
          <w:rFonts w:ascii="Times New Roman" w:hAnsi="Times New Roman" w:eastAsia="宋体" w:cs="Times New Roman"/>
          <w:szCs w:val="24"/>
        </w:rPr>
      </w:pPr>
      <w:r>
        <w:rPr>
          <w:rFonts w:ascii="Times New Roman" w:hAnsi="Times New Roman" w:eastAsia="宋体" w:cs="Times New Roman"/>
          <w:color w:val="222222"/>
          <w:szCs w:val="24"/>
          <w:shd w:val="clear" w:color="auto" w:fill="FFFFFF"/>
        </w:rPr>
        <w:t xml:space="preserve">30. </w:t>
      </w:r>
      <w:r>
        <w:rPr>
          <w:rFonts w:ascii="Times New Roman" w:hAnsi="Times New Roman" w:eastAsia="宋体" w:cs="Times New Roman"/>
          <w:szCs w:val="24"/>
        </w:rPr>
        <w:t>Kuruvilla, J; Savona, M; Baz, R; et al. Selective inhibition of nuclear export with selinexor in patients with non-Hodgkin lymphoma. Blood.2017,129(24):3175-3183.</w:t>
      </w:r>
    </w:p>
    <w:p>
      <w:pPr>
        <w:rPr>
          <w:rStyle w:val="17"/>
          <w:rFonts w:ascii="Times New Roman" w:hAnsi="Times New Roman" w:eastAsia="宋体" w:cs="Times New Roman"/>
          <w:color w:val="auto"/>
          <w:szCs w:val="24"/>
          <w:u w:val="none"/>
        </w:rPr>
      </w:pPr>
      <w:r>
        <w:rPr>
          <w:rFonts w:ascii="Times New Roman" w:hAnsi="Times New Roman" w:eastAsia="宋体" w:cs="Times New Roman"/>
          <w:szCs w:val="24"/>
        </w:rPr>
        <w:t>31. Marie Maerevoet, Joost Vermaat, Miguel A. Canales, et al. Single Agent Oral Selinexor Demonstrates Deep and Durable Responses in Relapsed/Refractory Diffuse Large B-Cell Lymphoma (DLBCL) in Both GCB and Non-GCB Subtypes: The Phase 2b Sadal Study. Blood 2018; 132 (Supplement 1): 1677.</w:t>
      </w:r>
    </w:p>
    <w:p>
      <w:pPr>
        <w:rPr>
          <w:rFonts w:ascii="Times New Roman" w:hAnsi="Times New Roman" w:eastAsia="宋体" w:cs="Times New Roman"/>
          <w:szCs w:val="24"/>
        </w:rPr>
      </w:pPr>
      <w:r>
        <w:rPr>
          <w:rFonts w:ascii="Times New Roman" w:hAnsi="Times New Roman" w:eastAsia="宋体" w:cs="Times New Roman"/>
          <w:szCs w:val="24"/>
        </w:rPr>
        <w:t>32. Bobillo, S; Abrisqueta, P; Carpio, C; et al. Promising activity of selinexor in the treatment of a patient with refractory diffuse large B-cell lymphoma and central nervous system involvement. Haematologica.2018,103(2):e92-e93.</w:t>
      </w:r>
    </w:p>
    <w:p>
      <w:pPr>
        <w:autoSpaceDE w:val="0"/>
        <w:autoSpaceDN w:val="0"/>
        <w:adjustRightInd w:val="0"/>
        <w:jc w:val="left"/>
        <w:rPr>
          <w:rFonts w:ascii="Times New Roman" w:hAnsi="Times New Roman" w:cs="Times New Roman"/>
          <w:szCs w:val="24"/>
          <w:shd w:val="clear" w:color="auto" w:fill="FFFFFF"/>
        </w:rPr>
      </w:pPr>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E.Ref{44D7A39F-D997-4208-A28C-6DE07B73BE73}" w:val=" ADDIN NE.Ref.{44D7A39F-D997-4208-A28C-6DE07B73BE73}&lt;Citation&gt;&lt;Group&gt;&lt;References&gt;&lt;Item&gt;&lt;ID&gt;90&lt;/ID&gt;&lt;UID&gt;{FE4AEA53-A245-410B-8880-1FF16C65B68A}&lt;/UID&gt;&lt;Title&gt;Nucleo-cytoplasmic transport as a therapeutic target of cancer&lt;/Title&gt;&lt;Template&gt;Journal Article&lt;/Template&gt;&lt;Star&gt;0&lt;/Star&gt;&lt;Tag&gt;0&lt;/Tag&gt;&lt;Author&gt;Gravina, Giovanni; Senapedis, William; Mccauley, Dilara; Baloglu, Erkan; Shacham, Sharon; Festuccia, Claudio&lt;/Author&gt;&lt;Year&gt;0&lt;/Year&gt;&lt;Details&gt;&lt;_issue&gt;1&lt;/_issue&gt;&lt;_journal&gt;Journal of Hematology &amp;amp; Oncology&lt;/_journal&gt;&lt;_pages&gt;85&lt;/_pages&gt;&lt;_volume&gt;7&lt;/_volume&gt;&lt;_created&gt;63235361&lt;/_created&gt;&lt;_modified&gt;63235361&lt;/_modified&gt;&lt;_collection_scope&gt;SCIE&lt;/_collection_scope&gt;&lt;/Details&gt;&lt;Extra&gt;&lt;DBUID&gt;{C7F876F9-09DE-4166-A5E8-B13675C910C7}&lt;/DBUID&gt;&lt;/Extra&gt;&lt;/Item&gt;&lt;/References&gt;&lt;/Group&gt;&lt;Group&gt;&lt;References&gt;&lt;Item&gt;&lt;ID&gt;91&lt;/ID&gt;&lt;UID&gt;{7C92B6A4-518F-412E-8FB9-FAB429004863}&lt;/UID&gt;&lt;Title&gt;Molecular Pathways: Anticancer Activity by Inhibition of Nucleocytoplasmic Shuttling&lt;/Title&gt;&lt;Template&gt;Journal Article&lt;/Template&gt;&lt;Star&gt;0&lt;/Star&gt;&lt;Tag&gt;0&lt;/Tag&gt;&lt;Author&gt;Conforti, F; Wang, Y; Rodriguez, J A; Alberobello, A T; Zhang, Y W; Giaccone, G&lt;/Author&gt;&lt;Year&gt;0&lt;/Year&gt;&lt;Details&gt;&lt;_journal&gt;Clinical Cancer Research&lt;/_journal&gt;&lt;_pages&gt;1078-0432.CCR-15-0408&lt;/_pages&gt;&lt;_created&gt;63235362&lt;/_created&gt;&lt;_modified&gt;63235362&lt;/_modified&gt;&lt;_collection_scope&gt;SCI;SCIE&lt;/_collection_scope&gt;&lt;/Details&gt;&lt;Extra&gt;&lt;DBUID&gt;{C7F876F9-09DE-4166-A5E8-B13675C910C7}&lt;/DBUID&gt;&lt;/Extra&gt;&lt;/Item&gt;&lt;/References&gt;&lt;/Group&gt;&lt;/Citation&gt;_x000a_"/>
    <w:docVar w:name="NE.Ref{FB8138DE-4121-489C-9F7A-0D816385FD65}" w:val=" ADDIN NE.Ref.{FB8138DE-4121-489C-9F7A-0D816385FD65}&lt;Citation&gt;&lt;Group&gt;&lt;References&gt;&lt;Item&gt;&lt;ID&gt;92&lt;/ID&gt;&lt;UID&gt;{46BC07F9-C3D0-4841-AAE4-E934D3353E44}&lt;/UID&gt;&lt;Title&gt;Selective inhibition of nuclear export with selinexor in patients with non-Hodgkin&amp;apos;s lymphoma.&lt;/Title&gt;&lt;Template&gt;Journal Article&lt;/Template&gt;&lt;Star&gt;0&lt;/Star&gt;&lt;Tag&gt;0&lt;/Tag&gt;&lt;Author&gt;Kuruvilla, J; Savona, M; Baz, R; Mausorensen, M; Gabrail, N; Garzon, R; Stone, R; Wang, M; Savoie, L; Martin, P&lt;/Author&gt;&lt;Year&gt;2017&lt;/Year&gt;&lt;Details&gt;&lt;_issue&gt;24&lt;/_issue&gt;&lt;_pages&gt;3175-3183&lt;/_pages&gt;&lt;_volume&gt;129&lt;/_volume&gt;&lt;_created&gt;63235365&lt;/_created&gt;&lt;_modified&gt;63235365&lt;/_modified&gt;&lt;/Details&gt;&lt;Extra&gt;&lt;DBUID&gt;{C7F876F9-09DE-4166-A5E8-B13675C910C7}&lt;/DBUID&gt;&lt;/Extra&gt;&lt;/Item&gt;&lt;/References&gt;&lt;/Group&gt;&lt;Group&gt;&lt;References&gt;&lt;Item&gt;&lt;ID&gt;93&lt;/ID&gt;&lt;UID&gt;{4092D5D6-FE30-4579-B60E-8F60C1078DC5}&lt;/UID&gt;&lt;Title&gt;Expression of the nuclear export protein chromosomal region maintenance/exportin 1/Xpo1 is a prognostic factor in human ovarian cancer&lt;/Title&gt;&lt;Template&gt;Journal Article&lt;/Template&gt;&lt;Star&gt;0&lt;/Star&gt;&lt;Tag&gt;0&lt;/Tag&gt;&lt;Author&gt;Noske, Aurelia; Weichert, Wilko; Niesporek, Silvia; Ske, Annika R; Buckendahl, Ann-Christin; Koch, Ines; Sehouli, Jalid; Dietel, Manfred; Denkert, Carsten&lt;/Author&gt;&lt;Year&gt;0&lt;/Year&gt;&lt;Details&gt;&lt;_issue&gt;8&lt;/_issue&gt;&lt;_journal&gt;Cancer&lt;/_journal&gt;&lt;_pages&gt;1733-1743&lt;/_pages&gt;&lt;_volume&gt;112&lt;/_volume&gt;&lt;_created&gt;63235366&lt;/_created&gt;&lt;_modified&gt;63235366&lt;/_modified&gt;&lt;_collection_scope&gt;SCI;SCIE&lt;/_collection_scope&gt;&lt;/Details&gt;&lt;Extra&gt;&lt;DBUID&gt;{C7F876F9-09DE-4166-A5E8-B13675C910C7}&lt;/DBUID&gt;&lt;/Extra&gt;&lt;/Item&gt;&lt;/References&gt;&lt;/Group&gt;&lt;Group&gt;&lt;References&gt;&lt;Item&gt;&lt;ID&gt;94&lt;/ID&gt;&lt;UID&gt;{27C862B2-C9F7-4644-96B5-62CEDADD8FAE}&lt;/UID&gt;&lt;Title&gt;Expression of the nuclear export protein chromosomal region maintenance/exportin 1/Xpo1 is a prognostic factor in human ovarian cancer&lt;/Title&gt;&lt;Template&gt;Journal Article&lt;/Template&gt;&lt;Star&gt;0&lt;/Star&gt;&lt;Tag&gt;0&lt;/Tag&gt;&lt;Author&gt;Noske, Aurelia; Weichert, Wilko; Niesporek, Silvia; Ske, Annika R; Buckendahl, Ann-Christin; Koch, Ines; Sehouli, Jalid; Dietel, Manfred; Denkert, Carsten&lt;/Author&gt;&lt;Year&gt;0&lt;/Year&gt;&lt;Details&gt;&lt;_issue&gt;8&lt;/_issue&gt;&lt;_journal&gt;Cancer&lt;/_journal&gt;&lt;_pages&gt;1733-1743&lt;/_pages&gt;&lt;_volume&gt;112&lt;/_volume&gt;&lt;_created&gt;63235367&lt;/_created&gt;&lt;_modified&gt;63235367&lt;/_modified&gt;&lt;_collection_scope&gt;SCI;SCIE&lt;/_collection_scope&gt;&lt;/Details&gt;&lt;Extra&gt;&lt;DBUID&gt;{C7F876F9-09DE-4166-A5E8-B13675C910C7}&lt;/DBUID&gt;&lt;/Extra&gt;&lt;/Item&gt;&lt;/References&gt;&lt;/Group&gt;&lt;Group&gt;&lt;References&gt;&lt;Item&gt;&lt;ID&gt;95&lt;/ID&gt;&lt;UID&gt;{9CF71D4F-1718-48FB-93C5-0FD5836BE4C3}&lt;/UID&gt;&lt;Title&gt;EXPRESSION OF CRM1 IN HUMAN GLIOMAS AND ITS SIGNIFICANCE IN P27 EXPRESSION AND CLINICAL PROGNOSIS&lt;/Title&gt;&lt;Template&gt;Journal Article&lt;/Template&gt;&lt;Star&gt;0&lt;/Star&gt;&lt;Tag&gt;0&lt;/Tag&gt;&lt;Author&gt;Shen, Aiguo; Wang, Yuchan; Zhao, Yueming; Lin, Zou; Sun, Linlin; Cheng, Chun&lt;/Author&gt;&lt;Year&gt;2009&lt;/Year&gt;&lt;Details&gt;&lt;_issue&gt;1&lt;/_issue&gt;&lt;_journal&gt;Neurosurgery&lt;/_journal&gt;&lt;_pages&gt;1&lt;/_pages&gt;&lt;_created&gt;63235368&lt;/_created&gt;&lt;_modified&gt;63235368&lt;/_modified&gt;&lt;_impact_factor&gt;   4.605&lt;/_impact_factor&gt;&lt;_collection_scope&gt;SCI;SCIE&lt;/_collection_scope&gt;&lt;/Details&gt;&lt;Extra&gt;&lt;DBUID&gt;{C7F876F9-09DE-4166-A5E8-B13675C910C7}&lt;/DBUID&gt;&lt;/Extra&gt;&lt;/Item&gt;&lt;/References&gt;&lt;/Group&gt;&lt;/Citation&gt;_x000a_"/>
    <w:docVar w:name="ne_docsoft" w:val="MSWord"/>
    <w:docVar w:name="ne_docversion" w:val="NoteExpress 2.0"/>
    <w:docVar w:name="ne_stylename" w:val="中华人民共和国国家标准_GBT_7714-2005"/>
  </w:docVars>
  <w:rsids>
    <w:rsidRoot w:val="0097791E"/>
    <w:rsid w:val="00001A63"/>
    <w:rsid w:val="00010F22"/>
    <w:rsid w:val="00014F60"/>
    <w:rsid w:val="00016196"/>
    <w:rsid w:val="00021064"/>
    <w:rsid w:val="00031E37"/>
    <w:rsid w:val="00035A11"/>
    <w:rsid w:val="000378F9"/>
    <w:rsid w:val="00037AFD"/>
    <w:rsid w:val="00042A6C"/>
    <w:rsid w:val="00042EB8"/>
    <w:rsid w:val="00043308"/>
    <w:rsid w:val="00043FA1"/>
    <w:rsid w:val="00047513"/>
    <w:rsid w:val="000536FC"/>
    <w:rsid w:val="000563E2"/>
    <w:rsid w:val="000645DB"/>
    <w:rsid w:val="00066814"/>
    <w:rsid w:val="00083981"/>
    <w:rsid w:val="0009504C"/>
    <w:rsid w:val="000A5B3D"/>
    <w:rsid w:val="000A5EB5"/>
    <w:rsid w:val="000B1DAD"/>
    <w:rsid w:val="000C4B57"/>
    <w:rsid w:val="000C521B"/>
    <w:rsid w:val="000D1239"/>
    <w:rsid w:val="000D3237"/>
    <w:rsid w:val="000E0F3A"/>
    <w:rsid w:val="000E1F0E"/>
    <w:rsid w:val="000E5FB9"/>
    <w:rsid w:val="000F477D"/>
    <w:rsid w:val="000F4F8E"/>
    <w:rsid w:val="000F7AFF"/>
    <w:rsid w:val="001043D5"/>
    <w:rsid w:val="0010580D"/>
    <w:rsid w:val="00105F86"/>
    <w:rsid w:val="0010681D"/>
    <w:rsid w:val="00107FC7"/>
    <w:rsid w:val="00110814"/>
    <w:rsid w:val="00110CF2"/>
    <w:rsid w:val="00112447"/>
    <w:rsid w:val="001128DC"/>
    <w:rsid w:val="00113100"/>
    <w:rsid w:val="00113FC8"/>
    <w:rsid w:val="001142CC"/>
    <w:rsid w:val="00114656"/>
    <w:rsid w:val="00116C41"/>
    <w:rsid w:val="001207C9"/>
    <w:rsid w:val="001228C5"/>
    <w:rsid w:val="0013093F"/>
    <w:rsid w:val="00134C8F"/>
    <w:rsid w:val="001408ED"/>
    <w:rsid w:val="00140B93"/>
    <w:rsid w:val="00140BC4"/>
    <w:rsid w:val="00142827"/>
    <w:rsid w:val="00144A06"/>
    <w:rsid w:val="00150161"/>
    <w:rsid w:val="001505FD"/>
    <w:rsid w:val="00153EC5"/>
    <w:rsid w:val="0015400F"/>
    <w:rsid w:val="00162E3B"/>
    <w:rsid w:val="00165061"/>
    <w:rsid w:val="00171DCD"/>
    <w:rsid w:val="001724AE"/>
    <w:rsid w:val="00184285"/>
    <w:rsid w:val="001903CE"/>
    <w:rsid w:val="00193FDC"/>
    <w:rsid w:val="001943C7"/>
    <w:rsid w:val="001962B9"/>
    <w:rsid w:val="001A054F"/>
    <w:rsid w:val="001B0267"/>
    <w:rsid w:val="001B083B"/>
    <w:rsid w:val="001B2E2D"/>
    <w:rsid w:val="001B3E50"/>
    <w:rsid w:val="001B4E5A"/>
    <w:rsid w:val="001C0092"/>
    <w:rsid w:val="001C1A7D"/>
    <w:rsid w:val="001D17F9"/>
    <w:rsid w:val="001D5755"/>
    <w:rsid w:val="001E0A62"/>
    <w:rsid w:val="001E11AD"/>
    <w:rsid w:val="001E30B7"/>
    <w:rsid w:val="001E6C80"/>
    <w:rsid w:val="001F2C9D"/>
    <w:rsid w:val="001F48ED"/>
    <w:rsid w:val="001F5A65"/>
    <w:rsid w:val="00201971"/>
    <w:rsid w:val="00203BEC"/>
    <w:rsid w:val="002046D2"/>
    <w:rsid w:val="00206BF6"/>
    <w:rsid w:val="002112A5"/>
    <w:rsid w:val="00217823"/>
    <w:rsid w:val="002200A4"/>
    <w:rsid w:val="00231963"/>
    <w:rsid w:val="00244775"/>
    <w:rsid w:val="00246FBA"/>
    <w:rsid w:val="002472E0"/>
    <w:rsid w:val="00247AF5"/>
    <w:rsid w:val="00250C83"/>
    <w:rsid w:val="002529B3"/>
    <w:rsid w:val="00252F76"/>
    <w:rsid w:val="00253084"/>
    <w:rsid w:val="00255841"/>
    <w:rsid w:val="00256195"/>
    <w:rsid w:val="002658C1"/>
    <w:rsid w:val="002705BD"/>
    <w:rsid w:val="00273382"/>
    <w:rsid w:val="0027381D"/>
    <w:rsid w:val="00275FF9"/>
    <w:rsid w:val="00284E02"/>
    <w:rsid w:val="00287551"/>
    <w:rsid w:val="00293243"/>
    <w:rsid w:val="00293263"/>
    <w:rsid w:val="00297AA8"/>
    <w:rsid w:val="00297C95"/>
    <w:rsid w:val="002C1560"/>
    <w:rsid w:val="002C2728"/>
    <w:rsid w:val="002C2C82"/>
    <w:rsid w:val="002C3E87"/>
    <w:rsid w:val="002D4B8A"/>
    <w:rsid w:val="002E1930"/>
    <w:rsid w:val="002E618D"/>
    <w:rsid w:val="002F3B9D"/>
    <w:rsid w:val="002F504C"/>
    <w:rsid w:val="002F6F51"/>
    <w:rsid w:val="002F7471"/>
    <w:rsid w:val="00302158"/>
    <w:rsid w:val="003030A0"/>
    <w:rsid w:val="0030408C"/>
    <w:rsid w:val="00310D46"/>
    <w:rsid w:val="00312403"/>
    <w:rsid w:val="00313912"/>
    <w:rsid w:val="0032042F"/>
    <w:rsid w:val="0032504E"/>
    <w:rsid w:val="00335396"/>
    <w:rsid w:val="003372FF"/>
    <w:rsid w:val="00344F7B"/>
    <w:rsid w:val="00353AD3"/>
    <w:rsid w:val="0035699A"/>
    <w:rsid w:val="00356C47"/>
    <w:rsid w:val="003571E9"/>
    <w:rsid w:val="003600B6"/>
    <w:rsid w:val="00360507"/>
    <w:rsid w:val="00361198"/>
    <w:rsid w:val="003623A6"/>
    <w:rsid w:val="003646F2"/>
    <w:rsid w:val="00367066"/>
    <w:rsid w:val="00367311"/>
    <w:rsid w:val="003835B1"/>
    <w:rsid w:val="00385873"/>
    <w:rsid w:val="0039052F"/>
    <w:rsid w:val="0039458B"/>
    <w:rsid w:val="003A0250"/>
    <w:rsid w:val="003A155B"/>
    <w:rsid w:val="003A2912"/>
    <w:rsid w:val="003A4095"/>
    <w:rsid w:val="003A59DE"/>
    <w:rsid w:val="003A717E"/>
    <w:rsid w:val="003B0751"/>
    <w:rsid w:val="003B4CB7"/>
    <w:rsid w:val="003B4FE9"/>
    <w:rsid w:val="003B7B7D"/>
    <w:rsid w:val="003C246B"/>
    <w:rsid w:val="003C4DB0"/>
    <w:rsid w:val="003D05CC"/>
    <w:rsid w:val="003D3B60"/>
    <w:rsid w:val="003D3E95"/>
    <w:rsid w:val="003D45BB"/>
    <w:rsid w:val="003D4818"/>
    <w:rsid w:val="003D4A16"/>
    <w:rsid w:val="003D56B9"/>
    <w:rsid w:val="003E071C"/>
    <w:rsid w:val="003E1AFB"/>
    <w:rsid w:val="003E54C8"/>
    <w:rsid w:val="003F2570"/>
    <w:rsid w:val="003F40B4"/>
    <w:rsid w:val="003F7FBD"/>
    <w:rsid w:val="004052C9"/>
    <w:rsid w:val="0040591E"/>
    <w:rsid w:val="00407532"/>
    <w:rsid w:val="00407579"/>
    <w:rsid w:val="0041004D"/>
    <w:rsid w:val="0041300B"/>
    <w:rsid w:val="00417961"/>
    <w:rsid w:val="00426AA4"/>
    <w:rsid w:val="00436D76"/>
    <w:rsid w:val="004402D2"/>
    <w:rsid w:val="00441395"/>
    <w:rsid w:val="00450AA9"/>
    <w:rsid w:val="0045539B"/>
    <w:rsid w:val="00456A63"/>
    <w:rsid w:val="00460991"/>
    <w:rsid w:val="00466DF0"/>
    <w:rsid w:val="00473BD4"/>
    <w:rsid w:val="0048484A"/>
    <w:rsid w:val="00486512"/>
    <w:rsid w:val="00486DA9"/>
    <w:rsid w:val="004873F9"/>
    <w:rsid w:val="00490C6B"/>
    <w:rsid w:val="00494333"/>
    <w:rsid w:val="004A045F"/>
    <w:rsid w:val="004A4609"/>
    <w:rsid w:val="004A7CD5"/>
    <w:rsid w:val="004B2CAA"/>
    <w:rsid w:val="004B6A33"/>
    <w:rsid w:val="004C065F"/>
    <w:rsid w:val="004C0EED"/>
    <w:rsid w:val="004C5003"/>
    <w:rsid w:val="004E0FAB"/>
    <w:rsid w:val="004F06E8"/>
    <w:rsid w:val="004F4CE8"/>
    <w:rsid w:val="0050507E"/>
    <w:rsid w:val="00505C2C"/>
    <w:rsid w:val="00522196"/>
    <w:rsid w:val="005224C8"/>
    <w:rsid w:val="0053161E"/>
    <w:rsid w:val="00531EF5"/>
    <w:rsid w:val="0053277A"/>
    <w:rsid w:val="0053279D"/>
    <w:rsid w:val="00533FFB"/>
    <w:rsid w:val="0053560C"/>
    <w:rsid w:val="0053606A"/>
    <w:rsid w:val="00537E51"/>
    <w:rsid w:val="00544AF2"/>
    <w:rsid w:val="00550E6A"/>
    <w:rsid w:val="00554AC7"/>
    <w:rsid w:val="00563B4B"/>
    <w:rsid w:val="00563BC7"/>
    <w:rsid w:val="00564E9B"/>
    <w:rsid w:val="00570198"/>
    <w:rsid w:val="0057236C"/>
    <w:rsid w:val="00574289"/>
    <w:rsid w:val="005773B9"/>
    <w:rsid w:val="0057790C"/>
    <w:rsid w:val="00581607"/>
    <w:rsid w:val="00585765"/>
    <w:rsid w:val="0059025C"/>
    <w:rsid w:val="0059216D"/>
    <w:rsid w:val="00593611"/>
    <w:rsid w:val="00593CE0"/>
    <w:rsid w:val="00596EA2"/>
    <w:rsid w:val="005A1D37"/>
    <w:rsid w:val="005A33AE"/>
    <w:rsid w:val="005A522B"/>
    <w:rsid w:val="005A602F"/>
    <w:rsid w:val="005B18F5"/>
    <w:rsid w:val="005B25BB"/>
    <w:rsid w:val="005B4380"/>
    <w:rsid w:val="005B46E4"/>
    <w:rsid w:val="005B7691"/>
    <w:rsid w:val="005C0193"/>
    <w:rsid w:val="005C0EB9"/>
    <w:rsid w:val="005C1FBD"/>
    <w:rsid w:val="005C3728"/>
    <w:rsid w:val="005C396C"/>
    <w:rsid w:val="005D75D7"/>
    <w:rsid w:val="005D7941"/>
    <w:rsid w:val="005E2215"/>
    <w:rsid w:val="005E3B64"/>
    <w:rsid w:val="005E4113"/>
    <w:rsid w:val="005E4166"/>
    <w:rsid w:val="005E4A6A"/>
    <w:rsid w:val="005E4FCB"/>
    <w:rsid w:val="005E5583"/>
    <w:rsid w:val="005F0B13"/>
    <w:rsid w:val="005F34FC"/>
    <w:rsid w:val="00610DBF"/>
    <w:rsid w:val="00612CDA"/>
    <w:rsid w:val="0061597C"/>
    <w:rsid w:val="00617198"/>
    <w:rsid w:val="006234FF"/>
    <w:rsid w:val="00630C1E"/>
    <w:rsid w:val="006342F6"/>
    <w:rsid w:val="00637BB0"/>
    <w:rsid w:val="00646AB2"/>
    <w:rsid w:val="00654635"/>
    <w:rsid w:val="00660EFE"/>
    <w:rsid w:val="00663741"/>
    <w:rsid w:val="00672026"/>
    <w:rsid w:val="006736CB"/>
    <w:rsid w:val="00673987"/>
    <w:rsid w:val="00676BBB"/>
    <w:rsid w:val="0068056B"/>
    <w:rsid w:val="00681AA7"/>
    <w:rsid w:val="00681B01"/>
    <w:rsid w:val="00693645"/>
    <w:rsid w:val="006942FD"/>
    <w:rsid w:val="006951F3"/>
    <w:rsid w:val="00695EB7"/>
    <w:rsid w:val="00696407"/>
    <w:rsid w:val="0069666A"/>
    <w:rsid w:val="006A5C84"/>
    <w:rsid w:val="006A7729"/>
    <w:rsid w:val="006B4A23"/>
    <w:rsid w:val="006B6CC8"/>
    <w:rsid w:val="006C0292"/>
    <w:rsid w:val="006C4660"/>
    <w:rsid w:val="006D22CF"/>
    <w:rsid w:val="006E1E44"/>
    <w:rsid w:val="006E2766"/>
    <w:rsid w:val="006E4E61"/>
    <w:rsid w:val="006E668F"/>
    <w:rsid w:val="006E7999"/>
    <w:rsid w:val="006F242B"/>
    <w:rsid w:val="006F6B59"/>
    <w:rsid w:val="006F700E"/>
    <w:rsid w:val="007016C1"/>
    <w:rsid w:val="00701796"/>
    <w:rsid w:val="00704AE3"/>
    <w:rsid w:val="00704E13"/>
    <w:rsid w:val="00710F44"/>
    <w:rsid w:val="0071381F"/>
    <w:rsid w:val="00714826"/>
    <w:rsid w:val="00716305"/>
    <w:rsid w:val="00716362"/>
    <w:rsid w:val="00716463"/>
    <w:rsid w:val="00717B31"/>
    <w:rsid w:val="00721EBE"/>
    <w:rsid w:val="00723CA6"/>
    <w:rsid w:val="00724AFC"/>
    <w:rsid w:val="00725897"/>
    <w:rsid w:val="00726DCB"/>
    <w:rsid w:val="00730D45"/>
    <w:rsid w:val="00734118"/>
    <w:rsid w:val="0073434D"/>
    <w:rsid w:val="007352FE"/>
    <w:rsid w:val="007378DF"/>
    <w:rsid w:val="00740A46"/>
    <w:rsid w:val="00742340"/>
    <w:rsid w:val="00743695"/>
    <w:rsid w:val="00760DBD"/>
    <w:rsid w:val="0076137B"/>
    <w:rsid w:val="007704EF"/>
    <w:rsid w:val="007724E5"/>
    <w:rsid w:val="00773C24"/>
    <w:rsid w:val="007745EE"/>
    <w:rsid w:val="00781462"/>
    <w:rsid w:val="007821CD"/>
    <w:rsid w:val="00785BD8"/>
    <w:rsid w:val="00787ED7"/>
    <w:rsid w:val="00796A53"/>
    <w:rsid w:val="00796AC9"/>
    <w:rsid w:val="0079731C"/>
    <w:rsid w:val="007B11D4"/>
    <w:rsid w:val="007B418E"/>
    <w:rsid w:val="007B476A"/>
    <w:rsid w:val="007C1BDA"/>
    <w:rsid w:val="007C4C21"/>
    <w:rsid w:val="007D20B4"/>
    <w:rsid w:val="007D362A"/>
    <w:rsid w:val="007D44AF"/>
    <w:rsid w:val="007E0A39"/>
    <w:rsid w:val="007E49F4"/>
    <w:rsid w:val="007E666A"/>
    <w:rsid w:val="007E790D"/>
    <w:rsid w:val="007F0891"/>
    <w:rsid w:val="00804815"/>
    <w:rsid w:val="00804F4F"/>
    <w:rsid w:val="00813CFA"/>
    <w:rsid w:val="00820FD7"/>
    <w:rsid w:val="00822B81"/>
    <w:rsid w:val="0082320F"/>
    <w:rsid w:val="008240E9"/>
    <w:rsid w:val="00830D4F"/>
    <w:rsid w:val="00830E4E"/>
    <w:rsid w:val="00836E66"/>
    <w:rsid w:val="00843278"/>
    <w:rsid w:val="00843D3F"/>
    <w:rsid w:val="008463B4"/>
    <w:rsid w:val="0084682D"/>
    <w:rsid w:val="0085344C"/>
    <w:rsid w:val="008534B4"/>
    <w:rsid w:val="00856122"/>
    <w:rsid w:val="008566AD"/>
    <w:rsid w:val="0086504C"/>
    <w:rsid w:val="00866790"/>
    <w:rsid w:val="00870790"/>
    <w:rsid w:val="00871D9E"/>
    <w:rsid w:val="008801E4"/>
    <w:rsid w:val="00883D37"/>
    <w:rsid w:val="0089224E"/>
    <w:rsid w:val="008A166B"/>
    <w:rsid w:val="008A1E8F"/>
    <w:rsid w:val="008A4ECF"/>
    <w:rsid w:val="008B0174"/>
    <w:rsid w:val="008B1294"/>
    <w:rsid w:val="008B351D"/>
    <w:rsid w:val="008B611F"/>
    <w:rsid w:val="008B7734"/>
    <w:rsid w:val="008B78DE"/>
    <w:rsid w:val="008C24A7"/>
    <w:rsid w:val="008C4F5B"/>
    <w:rsid w:val="008D062C"/>
    <w:rsid w:val="008D5011"/>
    <w:rsid w:val="008D50CA"/>
    <w:rsid w:val="008D5BF9"/>
    <w:rsid w:val="008D5D8E"/>
    <w:rsid w:val="008D779E"/>
    <w:rsid w:val="008E0CF3"/>
    <w:rsid w:val="008E28E1"/>
    <w:rsid w:val="008E38D6"/>
    <w:rsid w:val="008E4BA6"/>
    <w:rsid w:val="008F0F74"/>
    <w:rsid w:val="00900924"/>
    <w:rsid w:val="00901F30"/>
    <w:rsid w:val="0090206C"/>
    <w:rsid w:val="009044B7"/>
    <w:rsid w:val="00906A37"/>
    <w:rsid w:val="0090790A"/>
    <w:rsid w:val="00910BD2"/>
    <w:rsid w:val="00915932"/>
    <w:rsid w:val="00921500"/>
    <w:rsid w:val="00926E6F"/>
    <w:rsid w:val="00927056"/>
    <w:rsid w:val="00935AA7"/>
    <w:rsid w:val="009370E6"/>
    <w:rsid w:val="00943D7D"/>
    <w:rsid w:val="00946A9D"/>
    <w:rsid w:val="00950D36"/>
    <w:rsid w:val="0095255F"/>
    <w:rsid w:val="00956F5D"/>
    <w:rsid w:val="00957F63"/>
    <w:rsid w:val="00963C38"/>
    <w:rsid w:val="00967E85"/>
    <w:rsid w:val="00972DA7"/>
    <w:rsid w:val="009739A4"/>
    <w:rsid w:val="009754B3"/>
    <w:rsid w:val="009768C8"/>
    <w:rsid w:val="0097791E"/>
    <w:rsid w:val="00981C4E"/>
    <w:rsid w:val="009A36DF"/>
    <w:rsid w:val="009A6923"/>
    <w:rsid w:val="009A77BD"/>
    <w:rsid w:val="009B0185"/>
    <w:rsid w:val="009B3B8B"/>
    <w:rsid w:val="009B4D5C"/>
    <w:rsid w:val="009B7973"/>
    <w:rsid w:val="009C18A4"/>
    <w:rsid w:val="009C2884"/>
    <w:rsid w:val="009D1046"/>
    <w:rsid w:val="009D365F"/>
    <w:rsid w:val="009D4572"/>
    <w:rsid w:val="009D6792"/>
    <w:rsid w:val="009D73A8"/>
    <w:rsid w:val="009E1264"/>
    <w:rsid w:val="009E1DDF"/>
    <w:rsid w:val="009E5FFE"/>
    <w:rsid w:val="009F2A10"/>
    <w:rsid w:val="009F7B04"/>
    <w:rsid w:val="00A00C63"/>
    <w:rsid w:val="00A10112"/>
    <w:rsid w:val="00A13F64"/>
    <w:rsid w:val="00A1425C"/>
    <w:rsid w:val="00A146DE"/>
    <w:rsid w:val="00A17DBA"/>
    <w:rsid w:val="00A2000C"/>
    <w:rsid w:val="00A23337"/>
    <w:rsid w:val="00A253EB"/>
    <w:rsid w:val="00A25AE7"/>
    <w:rsid w:val="00A2704C"/>
    <w:rsid w:val="00A36AE1"/>
    <w:rsid w:val="00A40E65"/>
    <w:rsid w:val="00A42231"/>
    <w:rsid w:val="00A51360"/>
    <w:rsid w:val="00A52E0B"/>
    <w:rsid w:val="00A6204F"/>
    <w:rsid w:val="00A6251B"/>
    <w:rsid w:val="00A67927"/>
    <w:rsid w:val="00A71363"/>
    <w:rsid w:val="00A72864"/>
    <w:rsid w:val="00A75EF1"/>
    <w:rsid w:val="00A76632"/>
    <w:rsid w:val="00A8059E"/>
    <w:rsid w:val="00A80ECC"/>
    <w:rsid w:val="00A81BB6"/>
    <w:rsid w:val="00A904A7"/>
    <w:rsid w:val="00A958B1"/>
    <w:rsid w:val="00A965CC"/>
    <w:rsid w:val="00AA07F2"/>
    <w:rsid w:val="00AA3B4C"/>
    <w:rsid w:val="00AA3F59"/>
    <w:rsid w:val="00AA59CD"/>
    <w:rsid w:val="00AA71AF"/>
    <w:rsid w:val="00AC5C1D"/>
    <w:rsid w:val="00AC6709"/>
    <w:rsid w:val="00AC6E13"/>
    <w:rsid w:val="00AC7037"/>
    <w:rsid w:val="00AC7979"/>
    <w:rsid w:val="00AD044C"/>
    <w:rsid w:val="00AD1B15"/>
    <w:rsid w:val="00AD2C9F"/>
    <w:rsid w:val="00AD3CAD"/>
    <w:rsid w:val="00AD514A"/>
    <w:rsid w:val="00AD62D1"/>
    <w:rsid w:val="00AD669F"/>
    <w:rsid w:val="00AE2DFB"/>
    <w:rsid w:val="00AE39B0"/>
    <w:rsid w:val="00AE4B59"/>
    <w:rsid w:val="00AE67C0"/>
    <w:rsid w:val="00AF44B9"/>
    <w:rsid w:val="00AF546B"/>
    <w:rsid w:val="00AF7141"/>
    <w:rsid w:val="00AF7379"/>
    <w:rsid w:val="00AF7C8C"/>
    <w:rsid w:val="00B016DA"/>
    <w:rsid w:val="00B025A6"/>
    <w:rsid w:val="00B07C86"/>
    <w:rsid w:val="00B15124"/>
    <w:rsid w:val="00B2557A"/>
    <w:rsid w:val="00B25FD6"/>
    <w:rsid w:val="00B3190D"/>
    <w:rsid w:val="00B319A8"/>
    <w:rsid w:val="00B32034"/>
    <w:rsid w:val="00B34A40"/>
    <w:rsid w:val="00B35E78"/>
    <w:rsid w:val="00B37001"/>
    <w:rsid w:val="00B5188E"/>
    <w:rsid w:val="00B66CC4"/>
    <w:rsid w:val="00B70FC3"/>
    <w:rsid w:val="00B722BD"/>
    <w:rsid w:val="00B77111"/>
    <w:rsid w:val="00B7746E"/>
    <w:rsid w:val="00B83A8B"/>
    <w:rsid w:val="00B944CC"/>
    <w:rsid w:val="00B960D4"/>
    <w:rsid w:val="00BA1DCF"/>
    <w:rsid w:val="00BA3084"/>
    <w:rsid w:val="00BA4CAD"/>
    <w:rsid w:val="00BB1401"/>
    <w:rsid w:val="00BB1B5E"/>
    <w:rsid w:val="00BB58ED"/>
    <w:rsid w:val="00BB5CBC"/>
    <w:rsid w:val="00BB7FE0"/>
    <w:rsid w:val="00BC0A8B"/>
    <w:rsid w:val="00BC7734"/>
    <w:rsid w:val="00BC7BD5"/>
    <w:rsid w:val="00BD256D"/>
    <w:rsid w:val="00BD2D3E"/>
    <w:rsid w:val="00BD5100"/>
    <w:rsid w:val="00BD53FF"/>
    <w:rsid w:val="00BE764F"/>
    <w:rsid w:val="00BF04F3"/>
    <w:rsid w:val="00BF2192"/>
    <w:rsid w:val="00BF6EC3"/>
    <w:rsid w:val="00C037D6"/>
    <w:rsid w:val="00C047F4"/>
    <w:rsid w:val="00C071E0"/>
    <w:rsid w:val="00C1297C"/>
    <w:rsid w:val="00C14A7B"/>
    <w:rsid w:val="00C14C31"/>
    <w:rsid w:val="00C14F33"/>
    <w:rsid w:val="00C154CC"/>
    <w:rsid w:val="00C1626A"/>
    <w:rsid w:val="00C167B7"/>
    <w:rsid w:val="00C17C0B"/>
    <w:rsid w:val="00C35DFD"/>
    <w:rsid w:val="00C37203"/>
    <w:rsid w:val="00C42DCE"/>
    <w:rsid w:val="00C47BC4"/>
    <w:rsid w:val="00C47FE9"/>
    <w:rsid w:val="00C5131A"/>
    <w:rsid w:val="00C52F00"/>
    <w:rsid w:val="00C555AC"/>
    <w:rsid w:val="00C639D2"/>
    <w:rsid w:val="00C640F5"/>
    <w:rsid w:val="00C660EF"/>
    <w:rsid w:val="00C70341"/>
    <w:rsid w:val="00C70EFC"/>
    <w:rsid w:val="00C76F17"/>
    <w:rsid w:val="00C8126E"/>
    <w:rsid w:val="00C857A4"/>
    <w:rsid w:val="00C92F33"/>
    <w:rsid w:val="00C975C8"/>
    <w:rsid w:val="00C97E51"/>
    <w:rsid w:val="00CA55F8"/>
    <w:rsid w:val="00CB26D8"/>
    <w:rsid w:val="00CB3508"/>
    <w:rsid w:val="00CB5C0F"/>
    <w:rsid w:val="00CB5F3F"/>
    <w:rsid w:val="00CB6D08"/>
    <w:rsid w:val="00CB79A9"/>
    <w:rsid w:val="00CC08FA"/>
    <w:rsid w:val="00CC09B8"/>
    <w:rsid w:val="00CC41F3"/>
    <w:rsid w:val="00CC4FDB"/>
    <w:rsid w:val="00CC77B8"/>
    <w:rsid w:val="00CC7C8E"/>
    <w:rsid w:val="00CD3578"/>
    <w:rsid w:val="00CD6AE9"/>
    <w:rsid w:val="00CF49B3"/>
    <w:rsid w:val="00D03584"/>
    <w:rsid w:val="00D0402B"/>
    <w:rsid w:val="00D10566"/>
    <w:rsid w:val="00D17AEC"/>
    <w:rsid w:val="00D2200B"/>
    <w:rsid w:val="00D22C73"/>
    <w:rsid w:val="00D22FB8"/>
    <w:rsid w:val="00D37599"/>
    <w:rsid w:val="00D40627"/>
    <w:rsid w:val="00D46AD6"/>
    <w:rsid w:val="00D50C75"/>
    <w:rsid w:val="00D525D8"/>
    <w:rsid w:val="00D62892"/>
    <w:rsid w:val="00D66615"/>
    <w:rsid w:val="00D6751A"/>
    <w:rsid w:val="00D6772A"/>
    <w:rsid w:val="00D67898"/>
    <w:rsid w:val="00D72F7E"/>
    <w:rsid w:val="00D73110"/>
    <w:rsid w:val="00D74582"/>
    <w:rsid w:val="00D75D0D"/>
    <w:rsid w:val="00D767CD"/>
    <w:rsid w:val="00D80097"/>
    <w:rsid w:val="00D82625"/>
    <w:rsid w:val="00D8541B"/>
    <w:rsid w:val="00D87C13"/>
    <w:rsid w:val="00D9168C"/>
    <w:rsid w:val="00D940F0"/>
    <w:rsid w:val="00D946C3"/>
    <w:rsid w:val="00D97BF6"/>
    <w:rsid w:val="00DB2633"/>
    <w:rsid w:val="00DB3B25"/>
    <w:rsid w:val="00DB51E7"/>
    <w:rsid w:val="00DB6656"/>
    <w:rsid w:val="00DC1A13"/>
    <w:rsid w:val="00DC6082"/>
    <w:rsid w:val="00DC7DB1"/>
    <w:rsid w:val="00DD1A3D"/>
    <w:rsid w:val="00DD1B81"/>
    <w:rsid w:val="00DD3337"/>
    <w:rsid w:val="00DD4337"/>
    <w:rsid w:val="00DE0A23"/>
    <w:rsid w:val="00DE5453"/>
    <w:rsid w:val="00DF2663"/>
    <w:rsid w:val="00DF57FA"/>
    <w:rsid w:val="00E07AA2"/>
    <w:rsid w:val="00E16F3E"/>
    <w:rsid w:val="00E217BB"/>
    <w:rsid w:val="00E21F0F"/>
    <w:rsid w:val="00E26601"/>
    <w:rsid w:val="00E3776A"/>
    <w:rsid w:val="00E45684"/>
    <w:rsid w:val="00E553BD"/>
    <w:rsid w:val="00E625C2"/>
    <w:rsid w:val="00E629E9"/>
    <w:rsid w:val="00E62C0F"/>
    <w:rsid w:val="00E64257"/>
    <w:rsid w:val="00E75F17"/>
    <w:rsid w:val="00E766B4"/>
    <w:rsid w:val="00E818B7"/>
    <w:rsid w:val="00E820B1"/>
    <w:rsid w:val="00E8295E"/>
    <w:rsid w:val="00E86977"/>
    <w:rsid w:val="00E86DD3"/>
    <w:rsid w:val="00EA232B"/>
    <w:rsid w:val="00EA5AD3"/>
    <w:rsid w:val="00EB43E7"/>
    <w:rsid w:val="00EB6E81"/>
    <w:rsid w:val="00EC0C25"/>
    <w:rsid w:val="00EC0E22"/>
    <w:rsid w:val="00EC3E69"/>
    <w:rsid w:val="00ED514A"/>
    <w:rsid w:val="00EE1495"/>
    <w:rsid w:val="00EE24D5"/>
    <w:rsid w:val="00EE5B74"/>
    <w:rsid w:val="00EF66FB"/>
    <w:rsid w:val="00F0133F"/>
    <w:rsid w:val="00F0581F"/>
    <w:rsid w:val="00F108CA"/>
    <w:rsid w:val="00F123DC"/>
    <w:rsid w:val="00F14D66"/>
    <w:rsid w:val="00F15165"/>
    <w:rsid w:val="00F17675"/>
    <w:rsid w:val="00F3304D"/>
    <w:rsid w:val="00F36981"/>
    <w:rsid w:val="00F43EEE"/>
    <w:rsid w:val="00F4708B"/>
    <w:rsid w:val="00F52FFC"/>
    <w:rsid w:val="00F53C08"/>
    <w:rsid w:val="00F5691E"/>
    <w:rsid w:val="00F60168"/>
    <w:rsid w:val="00F62EB3"/>
    <w:rsid w:val="00F667F5"/>
    <w:rsid w:val="00F704FA"/>
    <w:rsid w:val="00F7053D"/>
    <w:rsid w:val="00F711B2"/>
    <w:rsid w:val="00F8015D"/>
    <w:rsid w:val="00F850CB"/>
    <w:rsid w:val="00F93599"/>
    <w:rsid w:val="00F94689"/>
    <w:rsid w:val="00F97321"/>
    <w:rsid w:val="00FA1F35"/>
    <w:rsid w:val="00FB0543"/>
    <w:rsid w:val="00FB05BD"/>
    <w:rsid w:val="00FB0935"/>
    <w:rsid w:val="00FB3FD2"/>
    <w:rsid w:val="00FB442E"/>
    <w:rsid w:val="00FB6869"/>
    <w:rsid w:val="00FC1354"/>
    <w:rsid w:val="00FC19AA"/>
    <w:rsid w:val="00FC48F9"/>
    <w:rsid w:val="00FD2FC9"/>
    <w:rsid w:val="00FD403A"/>
    <w:rsid w:val="00FD454A"/>
    <w:rsid w:val="00FD5D9F"/>
    <w:rsid w:val="00FD6F0A"/>
    <w:rsid w:val="00FD7E07"/>
    <w:rsid w:val="00FE1242"/>
    <w:rsid w:val="00FE1627"/>
    <w:rsid w:val="00FE18ED"/>
    <w:rsid w:val="00FE2A08"/>
    <w:rsid w:val="00FE4F76"/>
    <w:rsid w:val="00FE783B"/>
    <w:rsid w:val="00FF0311"/>
    <w:rsid w:val="00FF03FE"/>
    <w:rsid w:val="00FF0713"/>
    <w:rsid w:val="00FF18A9"/>
    <w:rsid w:val="00FF3DD9"/>
    <w:rsid w:val="00FF680D"/>
    <w:rsid w:val="00FF7E6C"/>
    <w:rsid w:val="00FF7F97"/>
    <w:rsid w:val="17EF772C"/>
    <w:rsid w:val="22390949"/>
    <w:rsid w:val="65DF2A6F"/>
    <w:rsid w:val="71015E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360" w:lineRule="auto"/>
      <w:jc w:val="both"/>
    </w:pPr>
    <w:rPr>
      <w:rFonts w:asciiTheme="minorHAnsi" w:hAnsiTheme="minorHAnsi" w:eastAsiaTheme="minorEastAsia" w:cstheme="minorBidi"/>
      <w:kern w:val="2"/>
      <w:sz w:val="24"/>
      <w:szCs w:val="22"/>
      <w:lang w:val="en-US" w:eastAsia="zh-CN" w:bidi="ar-SA"/>
    </w:rPr>
  </w:style>
  <w:style w:type="paragraph" w:styleId="2">
    <w:name w:val="heading 1"/>
    <w:basedOn w:val="1"/>
    <w:next w:val="1"/>
    <w:link w:val="24"/>
    <w:qFormat/>
    <w:uiPriority w:val="9"/>
    <w:pPr>
      <w:keepNext/>
      <w:keepLines/>
      <w:spacing w:before="340" w:after="330"/>
      <w:jc w:val="left"/>
      <w:outlineLvl w:val="0"/>
    </w:pPr>
    <w:rPr>
      <w:b/>
      <w:bCs/>
      <w:kern w:val="44"/>
      <w:sz w:val="44"/>
      <w:szCs w:val="44"/>
    </w:rPr>
  </w:style>
  <w:style w:type="paragraph" w:styleId="3">
    <w:name w:val="heading 2"/>
    <w:basedOn w:val="1"/>
    <w:next w:val="1"/>
    <w:link w:val="25"/>
    <w:unhideWhenUsed/>
    <w:qFormat/>
    <w:uiPriority w:val="9"/>
    <w:pPr>
      <w:keepNext/>
      <w:keepLines/>
      <w:spacing w:before="260" w:after="260"/>
      <w:jc w:val="left"/>
      <w:outlineLvl w:val="1"/>
    </w:pPr>
    <w:rPr>
      <w:rFonts w:asciiTheme="majorHAnsi" w:hAnsiTheme="majorHAnsi" w:eastAsiaTheme="majorEastAsia" w:cstheme="majorBidi"/>
      <w:b/>
      <w:bCs/>
      <w:sz w:val="32"/>
      <w:szCs w:val="32"/>
    </w:rPr>
  </w:style>
  <w:style w:type="paragraph" w:styleId="4">
    <w:name w:val="heading 3"/>
    <w:basedOn w:val="1"/>
    <w:next w:val="1"/>
    <w:link w:val="26"/>
    <w:unhideWhenUsed/>
    <w:qFormat/>
    <w:uiPriority w:val="9"/>
    <w:pPr>
      <w:keepNext/>
      <w:keepLines/>
      <w:spacing w:before="260" w:after="260"/>
      <w:jc w:val="left"/>
      <w:outlineLvl w:val="2"/>
    </w:pPr>
    <w:rPr>
      <w:b/>
      <w:bCs/>
      <w:szCs w:val="32"/>
    </w:rPr>
  </w:style>
  <w:style w:type="paragraph" w:styleId="5">
    <w:name w:val="heading 4"/>
    <w:basedOn w:val="1"/>
    <w:next w:val="1"/>
    <w:link w:val="35"/>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4">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29"/>
    <w:semiHidden/>
    <w:unhideWhenUsed/>
    <w:qFormat/>
    <w:uiPriority w:val="99"/>
    <w:pPr>
      <w:jc w:val="left"/>
    </w:pPr>
  </w:style>
  <w:style w:type="paragraph" w:styleId="7">
    <w:name w:val="endnote text"/>
    <w:basedOn w:val="1"/>
    <w:link w:val="21"/>
    <w:semiHidden/>
    <w:unhideWhenUsed/>
    <w:qFormat/>
    <w:uiPriority w:val="99"/>
    <w:pPr>
      <w:snapToGrid w:val="0"/>
      <w:jc w:val="left"/>
    </w:pPr>
  </w:style>
  <w:style w:type="paragraph" w:styleId="8">
    <w:name w:val="Balloon Text"/>
    <w:basedOn w:val="1"/>
    <w:link w:val="28"/>
    <w:semiHidden/>
    <w:unhideWhenUsed/>
    <w:qFormat/>
    <w:uiPriority w:val="99"/>
    <w:rPr>
      <w:sz w:val="20"/>
      <w:szCs w:val="18"/>
    </w:rPr>
  </w:style>
  <w:style w:type="paragraph" w:styleId="9">
    <w:name w:val="footer"/>
    <w:basedOn w:val="1"/>
    <w:link w:val="20"/>
    <w:unhideWhenUsed/>
    <w:qFormat/>
    <w:uiPriority w:val="99"/>
    <w:pPr>
      <w:tabs>
        <w:tab w:val="center" w:pos="4153"/>
        <w:tab w:val="right" w:pos="8306"/>
      </w:tabs>
      <w:snapToGrid w:val="0"/>
      <w:jc w:val="left"/>
    </w:pPr>
    <w:rPr>
      <w:sz w:val="18"/>
      <w:szCs w:val="18"/>
    </w:rPr>
  </w:style>
  <w:style w:type="paragraph" w:styleId="10">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itle"/>
    <w:basedOn w:val="1"/>
    <w:next w:val="1"/>
    <w:link w:val="27"/>
    <w:qFormat/>
    <w:uiPriority w:val="10"/>
    <w:pPr>
      <w:spacing w:before="240" w:after="60"/>
      <w:jc w:val="center"/>
      <w:outlineLvl w:val="0"/>
    </w:pPr>
    <w:rPr>
      <w:rFonts w:asciiTheme="majorHAnsi" w:hAnsiTheme="majorHAnsi" w:eastAsiaTheme="majorEastAsia" w:cstheme="majorBidi"/>
      <w:b/>
      <w:bCs/>
      <w:sz w:val="32"/>
      <w:szCs w:val="32"/>
    </w:rPr>
  </w:style>
  <w:style w:type="paragraph" w:styleId="12">
    <w:name w:val="annotation subject"/>
    <w:basedOn w:val="6"/>
    <w:next w:val="6"/>
    <w:link w:val="30"/>
    <w:semiHidden/>
    <w:unhideWhenUsed/>
    <w:qFormat/>
    <w:uiPriority w:val="99"/>
    <w:rPr>
      <w:b/>
      <w:bCs/>
    </w:rPr>
  </w:style>
  <w:style w:type="character" w:styleId="15">
    <w:name w:val="endnote reference"/>
    <w:basedOn w:val="14"/>
    <w:semiHidden/>
    <w:unhideWhenUsed/>
    <w:qFormat/>
    <w:uiPriority w:val="99"/>
    <w:rPr>
      <w:vertAlign w:val="superscript"/>
    </w:rPr>
  </w:style>
  <w:style w:type="character" w:styleId="16">
    <w:name w:val="FollowedHyperlink"/>
    <w:basedOn w:val="14"/>
    <w:semiHidden/>
    <w:unhideWhenUsed/>
    <w:qFormat/>
    <w:uiPriority w:val="99"/>
    <w:rPr>
      <w:color w:val="800080" w:themeColor="followedHyperlink"/>
      <w:u w:val="single"/>
      <w14:textFill>
        <w14:solidFill>
          <w14:schemeClr w14:val="folHlink"/>
        </w14:solidFill>
      </w14:textFill>
    </w:rPr>
  </w:style>
  <w:style w:type="character" w:styleId="17">
    <w:name w:val="Hyperlink"/>
    <w:basedOn w:val="14"/>
    <w:unhideWhenUsed/>
    <w:qFormat/>
    <w:uiPriority w:val="99"/>
    <w:rPr>
      <w:color w:val="0000FF" w:themeColor="hyperlink"/>
      <w:u w:val="single"/>
      <w14:textFill>
        <w14:solidFill>
          <w14:schemeClr w14:val="hlink"/>
        </w14:solidFill>
      </w14:textFill>
    </w:rPr>
  </w:style>
  <w:style w:type="character" w:styleId="18">
    <w:name w:val="annotation reference"/>
    <w:basedOn w:val="14"/>
    <w:semiHidden/>
    <w:unhideWhenUsed/>
    <w:qFormat/>
    <w:uiPriority w:val="99"/>
    <w:rPr>
      <w:sz w:val="21"/>
      <w:szCs w:val="21"/>
    </w:rPr>
  </w:style>
  <w:style w:type="character" w:customStyle="1" w:styleId="19">
    <w:name w:val="Header Char"/>
    <w:basedOn w:val="14"/>
    <w:link w:val="10"/>
    <w:qFormat/>
    <w:uiPriority w:val="99"/>
    <w:rPr>
      <w:sz w:val="18"/>
      <w:szCs w:val="18"/>
    </w:rPr>
  </w:style>
  <w:style w:type="character" w:customStyle="1" w:styleId="20">
    <w:name w:val="Footer Char"/>
    <w:basedOn w:val="14"/>
    <w:link w:val="9"/>
    <w:qFormat/>
    <w:uiPriority w:val="99"/>
    <w:rPr>
      <w:sz w:val="18"/>
      <w:szCs w:val="18"/>
    </w:rPr>
  </w:style>
  <w:style w:type="character" w:customStyle="1" w:styleId="21">
    <w:name w:val="Endnote Text Char"/>
    <w:basedOn w:val="14"/>
    <w:link w:val="7"/>
    <w:semiHidden/>
    <w:qFormat/>
    <w:uiPriority w:val="99"/>
  </w:style>
  <w:style w:type="paragraph" w:styleId="22">
    <w:name w:val="List Paragraph"/>
    <w:basedOn w:val="1"/>
    <w:qFormat/>
    <w:uiPriority w:val="34"/>
    <w:pPr>
      <w:ind w:firstLine="420" w:firstLineChars="200"/>
    </w:pPr>
  </w:style>
  <w:style w:type="character" w:customStyle="1" w:styleId="23">
    <w:name w:val="未处理的提及1"/>
    <w:basedOn w:val="14"/>
    <w:semiHidden/>
    <w:unhideWhenUsed/>
    <w:qFormat/>
    <w:uiPriority w:val="99"/>
    <w:rPr>
      <w:color w:val="605E5C"/>
      <w:shd w:val="clear" w:color="auto" w:fill="E1DFDD"/>
    </w:rPr>
  </w:style>
  <w:style w:type="character" w:customStyle="1" w:styleId="24">
    <w:name w:val="Heading 1 Char"/>
    <w:basedOn w:val="14"/>
    <w:link w:val="2"/>
    <w:qFormat/>
    <w:uiPriority w:val="9"/>
    <w:rPr>
      <w:b/>
      <w:bCs/>
      <w:kern w:val="44"/>
      <w:sz w:val="44"/>
      <w:szCs w:val="44"/>
    </w:rPr>
  </w:style>
  <w:style w:type="character" w:customStyle="1" w:styleId="25">
    <w:name w:val="Heading 2 Char"/>
    <w:basedOn w:val="14"/>
    <w:link w:val="3"/>
    <w:qFormat/>
    <w:uiPriority w:val="9"/>
    <w:rPr>
      <w:rFonts w:asciiTheme="majorHAnsi" w:hAnsiTheme="majorHAnsi" w:eastAsiaTheme="majorEastAsia" w:cstheme="majorBidi"/>
      <w:b/>
      <w:bCs/>
      <w:sz w:val="32"/>
      <w:szCs w:val="32"/>
    </w:rPr>
  </w:style>
  <w:style w:type="character" w:customStyle="1" w:styleId="26">
    <w:name w:val="Heading 3 Char"/>
    <w:basedOn w:val="14"/>
    <w:link w:val="4"/>
    <w:qFormat/>
    <w:uiPriority w:val="9"/>
    <w:rPr>
      <w:b/>
      <w:bCs/>
      <w:sz w:val="24"/>
      <w:szCs w:val="32"/>
    </w:rPr>
  </w:style>
  <w:style w:type="character" w:customStyle="1" w:styleId="27">
    <w:name w:val="Title Char"/>
    <w:basedOn w:val="14"/>
    <w:link w:val="11"/>
    <w:qFormat/>
    <w:uiPriority w:val="10"/>
    <w:rPr>
      <w:rFonts w:asciiTheme="majorHAnsi" w:hAnsiTheme="majorHAnsi" w:eastAsiaTheme="majorEastAsia" w:cstheme="majorBidi"/>
      <w:b/>
      <w:bCs/>
      <w:sz w:val="32"/>
      <w:szCs w:val="32"/>
    </w:rPr>
  </w:style>
  <w:style w:type="character" w:customStyle="1" w:styleId="28">
    <w:name w:val="Balloon Text Char"/>
    <w:basedOn w:val="14"/>
    <w:link w:val="8"/>
    <w:semiHidden/>
    <w:qFormat/>
    <w:uiPriority w:val="99"/>
    <w:rPr>
      <w:kern w:val="2"/>
      <w:szCs w:val="18"/>
      <w:lang w:eastAsia="zh-CN"/>
    </w:rPr>
  </w:style>
  <w:style w:type="character" w:customStyle="1" w:styleId="29">
    <w:name w:val="Comment Text Char"/>
    <w:basedOn w:val="14"/>
    <w:link w:val="6"/>
    <w:semiHidden/>
    <w:qFormat/>
    <w:uiPriority w:val="99"/>
    <w:rPr>
      <w:kern w:val="2"/>
      <w:sz w:val="24"/>
      <w:szCs w:val="22"/>
      <w:lang w:eastAsia="zh-CN"/>
    </w:rPr>
  </w:style>
  <w:style w:type="character" w:customStyle="1" w:styleId="30">
    <w:name w:val="Comment Subject Char"/>
    <w:basedOn w:val="29"/>
    <w:link w:val="12"/>
    <w:semiHidden/>
    <w:qFormat/>
    <w:uiPriority w:val="99"/>
    <w:rPr>
      <w:b/>
      <w:bCs/>
      <w:kern w:val="2"/>
      <w:sz w:val="24"/>
      <w:szCs w:val="22"/>
      <w:lang w:eastAsia="zh-CN"/>
    </w:rPr>
  </w:style>
  <w:style w:type="character" w:customStyle="1" w:styleId="31">
    <w:name w:val="未处理的提及2"/>
    <w:basedOn w:val="14"/>
    <w:semiHidden/>
    <w:unhideWhenUsed/>
    <w:qFormat/>
    <w:uiPriority w:val="99"/>
    <w:rPr>
      <w:color w:val="605E5C"/>
      <w:shd w:val="clear" w:color="auto" w:fill="E1DFDD"/>
    </w:rPr>
  </w:style>
  <w:style w:type="paragraph" w:customStyle="1" w:styleId="32">
    <w:name w:val="正文标题"/>
    <w:basedOn w:val="1"/>
    <w:link w:val="33"/>
    <w:qFormat/>
    <w:uiPriority w:val="0"/>
    <w:pPr>
      <w:jc w:val="left"/>
    </w:pPr>
    <w:rPr>
      <w:rFonts w:ascii="Times New Roman" w:hAnsi="Times New Roman" w:eastAsia="宋体"/>
      <w:szCs w:val="24"/>
    </w:rPr>
  </w:style>
  <w:style w:type="character" w:customStyle="1" w:styleId="33">
    <w:name w:val="正文标题 字符"/>
    <w:basedOn w:val="14"/>
    <w:link w:val="32"/>
    <w:qFormat/>
    <w:uiPriority w:val="0"/>
    <w:rPr>
      <w:rFonts w:ascii="Times New Roman" w:hAnsi="Times New Roman" w:eastAsia="宋体"/>
      <w:sz w:val="24"/>
      <w:szCs w:val="24"/>
    </w:rPr>
  </w:style>
  <w:style w:type="character" w:customStyle="1" w:styleId="34">
    <w:name w:val="apple-converted-space"/>
    <w:basedOn w:val="14"/>
    <w:qFormat/>
    <w:uiPriority w:val="0"/>
  </w:style>
  <w:style w:type="character" w:customStyle="1" w:styleId="35">
    <w:name w:val="Heading 4 Char"/>
    <w:basedOn w:val="14"/>
    <w:link w:val="5"/>
    <w:semiHidden/>
    <w:qFormat/>
    <w:uiPriority w:val="9"/>
    <w:rPr>
      <w:rFonts w:asciiTheme="majorHAnsi" w:hAnsiTheme="majorHAnsi" w:eastAsiaTheme="majorEastAsia" w:cstheme="majorBidi"/>
      <w:b/>
      <w:bCs/>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40CF26-6E9F-4A39-B4CE-FB1D8EF35110}">
  <ds:schemaRefs/>
</ds:datastoreItem>
</file>

<file path=docProps/app.xml><?xml version="1.0" encoding="utf-8"?>
<Properties xmlns="http://schemas.openxmlformats.org/officeDocument/2006/extended-properties" xmlns:vt="http://schemas.openxmlformats.org/officeDocument/2006/docPropsVTypes">
  <Template>Normal.dotm</Template>
  <Pages>8</Pages>
  <Words>2663</Words>
  <Characters>14946</Characters>
  <Lines>216</Lines>
  <Paragraphs>37</Paragraphs>
  <TotalTime>14</TotalTime>
  <ScaleCrop>false</ScaleCrop>
  <LinksUpToDate>false</LinksUpToDate>
  <CharactersWithSpaces>17572</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2020-06-12T21:55:00Z</dcterms:created>
  <dc:creator>123</dc:creator>
  <dc:description>NE.Ref</dc:description>
  <cp:lastModifiedBy>lala</cp:lastModifiedBy>
  <dcterms:modified xsi:type="dcterms:W3CDTF">2020-06-16T02:44:06Z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