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color w:val="000000" w:themeColor="text1"/>
          <w14:textFill>
            <w14:solidFill>
              <w14:schemeClr w14:val="tx1"/>
            </w14:solidFill>
          </w14:textFill>
        </w:rPr>
      </w:pPr>
      <w:bookmarkStart w:id="0" w:name="OLE_LINK60"/>
      <w:bookmarkStart w:id="1" w:name="OLE_LINK61"/>
      <w:r>
        <w:rPr>
          <w:rFonts w:ascii="Times New Roman" w:hAnsi="Times New Roman" w:cs="Times New Roman"/>
          <w:b/>
          <w:bCs/>
          <w:color w:val="000000" w:themeColor="text1"/>
          <w14:textFill>
            <w14:solidFill>
              <w14:schemeClr w14:val="tx1"/>
            </w14:solidFill>
          </w14:textFill>
        </w:rPr>
        <w:t>Considerations on antibiotic therapy in elderly patients: a brief review</w:t>
      </w:r>
    </w:p>
    <w:bookmarkEnd w:id="0"/>
    <w:bookmarkEnd w:id="1"/>
    <w:p>
      <w:pPr>
        <w:spacing w:line="360" w:lineRule="auto"/>
        <w:jc w:val="both"/>
        <w:rPr>
          <w:rFonts w:ascii="Times New Roman" w:hAnsi="Times New Roman" w:cs="Times New Roman"/>
          <w:b/>
          <w:bCs/>
          <w:color w:val="000000" w:themeColor="text1"/>
          <w:szCs w:val="21"/>
          <w14:textFill>
            <w14:solidFill>
              <w14:schemeClr w14:val="tx1"/>
            </w14:solidFill>
          </w14:textFill>
        </w:rPr>
      </w:pPr>
    </w:p>
    <w:p>
      <w:pPr>
        <w:spacing w:line="360" w:lineRule="auto"/>
        <w:jc w:val="center"/>
        <w:rPr>
          <w:rFonts w:ascii="Times New Roman" w:hAnsi="Times New Roman" w:cs="Times New Roman"/>
          <w:color w:val="000000" w:themeColor="text1"/>
          <w:szCs w:val="21"/>
          <w:vertAlign w:val="superscript"/>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Le He</w:t>
      </w:r>
      <w:r>
        <w:rPr>
          <w:rFonts w:ascii="Times New Roman" w:hAnsi="Times New Roman" w:cs="Times New Roman"/>
          <w:color w:val="000000" w:themeColor="text1"/>
          <w:szCs w:val="21"/>
          <w:vertAlign w:val="superscript"/>
          <w14:textFill>
            <w14:solidFill>
              <w14:schemeClr w14:val="tx1"/>
            </w14:solidFill>
          </w14:textFill>
        </w:rPr>
        <w:t>1</w:t>
      </w:r>
      <w:r>
        <w:rPr>
          <w:rFonts w:ascii="Times New Roman" w:hAnsi="Times New Roman" w:cs="Times New Roman"/>
          <w:color w:val="000000" w:themeColor="text1"/>
          <w:szCs w:val="21"/>
          <w14:textFill>
            <w14:solidFill>
              <w14:schemeClr w14:val="tx1"/>
            </w14:solidFill>
          </w14:textFill>
        </w:rPr>
        <w:t>, Xuben Yu</w:t>
      </w:r>
      <w:r>
        <w:rPr>
          <w:rFonts w:ascii="Times New Roman" w:hAnsi="Times New Roman" w:cs="Times New Roman"/>
          <w:color w:val="000000" w:themeColor="text1"/>
          <w:szCs w:val="21"/>
          <w:vertAlign w:val="superscript"/>
          <w14:textFill>
            <w14:solidFill>
              <w14:schemeClr w14:val="tx1"/>
            </w14:solidFill>
          </w14:textFill>
        </w:rPr>
        <w:t>2</w:t>
      </w:r>
      <w:r>
        <w:rPr>
          <w:rFonts w:ascii="Times New Roman" w:hAnsi="Times New Roman" w:cs="Times New Roman"/>
          <w:color w:val="000000" w:themeColor="text1"/>
          <w:szCs w:val="21"/>
          <w14:textFill>
            <w14:solidFill>
              <w14:schemeClr w14:val="tx1"/>
            </w14:solidFill>
          </w14:textFill>
        </w:rPr>
        <w:t>, Xin Wen</w:t>
      </w:r>
      <w:r>
        <w:rPr>
          <w:rFonts w:ascii="Times New Roman" w:hAnsi="Times New Roman" w:cs="Times New Roman"/>
          <w:color w:val="000000" w:themeColor="text1"/>
          <w:szCs w:val="21"/>
          <w:vertAlign w:val="superscript"/>
          <w14:textFill>
            <w14:solidFill>
              <w14:schemeClr w14:val="tx1"/>
            </w14:solidFill>
          </w14:textFill>
        </w:rPr>
        <w:t>3</w:t>
      </w:r>
    </w:p>
    <w:p>
      <w:pPr>
        <w:spacing w:line="360" w:lineRule="auto"/>
        <w:jc w:val="center"/>
        <w:rPr>
          <w:rFonts w:ascii="Times New Roman" w:hAnsi="Times New Roman" w:cs="Times New Roman"/>
          <w:color w:val="000000" w:themeColor="text1"/>
          <w:szCs w:val="21"/>
          <w14:textFill>
            <w14:solidFill>
              <w14:schemeClr w14:val="tx1"/>
            </w14:solidFill>
          </w14:textFill>
        </w:rPr>
      </w:pPr>
    </w:p>
    <w:p>
      <w:pPr>
        <w:spacing w:line="360" w:lineRule="auto"/>
        <w:jc w:val="both"/>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vertAlign w:val="superscript"/>
          <w14:textFill>
            <w14:solidFill>
              <w14:schemeClr w14:val="tx1"/>
            </w14:solidFill>
          </w14:textFill>
        </w:rPr>
        <w:t>1</w:t>
      </w:r>
      <w:r>
        <w:rPr>
          <w:rFonts w:ascii="Times New Roman" w:hAnsi="Times New Roman" w:cs="Times New Roman"/>
          <w:color w:val="000000" w:themeColor="text1"/>
          <w:szCs w:val="21"/>
          <w14:textFill>
            <w14:solidFill>
              <w14:schemeClr w14:val="tx1"/>
            </w14:solidFill>
          </w14:textFill>
        </w:rPr>
        <w:t>Department of Pharmacy, Ruijin Hospital North, School of Medicine, Shanghai Jiaotong University, Shanghai, China</w:t>
      </w:r>
    </w:p>
    <w:p>
      <w:pPr>
        <w:spacing w:line="360" w:lineRule="auto"/>
        <w:jc w:val="both"/>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vertAlign w:val="superscript"/>
          <w14:textFill>
            <w14:solidFill>
              <w14:schemeClr w14:val="tx1"/>
            </w14:solidFill>
          </w14:textFill>
        </w:rPr>
        <w:t>2</w:t>
      </w:r>
      <w:r>
        <w:rPr>
          <w:rFonts w:ascii="Times New Roman" w:hAnsi="Times New Roman" w:cs="Times New Roman"/>
          <w:color w:val="000000" w:themeColor="text1"/>
          <w:szCs w:val="21"/>
          <w14:textFill>
            <w14:solidFill>
              <w14:schemeClr w14:val="tx1"/>
            </w14:solidFill>
          </w14:textFill>
        </w:rPr>
        <w:t>Department of Pharmacy, the First Affiliated Hospital of Wenzhou Medical University, Wenzhou, China.</w:t>
      </w:r>
    </w:p>
    <w:p>
      <w:pPr>
        <w:spacing w:line="360" w:lineRule="auto"/>
        <w:jc w:val="both"/>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vertAlign w:val="superscript"/>
          <w14:textFill>
            <w14:solidFill>
              <w14:schemeClr w14:val="tx1"/>
            </w14:solidFill>
          </w14:textFill>
        </w:rPr>
        <w:t>3</w:t>
      </w:r>
      <w:r>
        <w:rPr>
          <w:rFonts w:ascii="Times New Roman" w:hAnsi="Times New Roman" w:cs="Times New Roman"/>
          <w:color w:val="000000" w:themeColor="text1"/>
          <w:szCs w:val="21"/>
          <w14:textFill>
            <w14:solidFill>
              <w14:schemeClr w14:val="tx1"/>
            </w14:solidFill>
          </w14:textFill>
        </w:rPr>
        <w:t>Department of Pharmacy, Zhujiang Hospital of Southern Medical University, Guangzhou, China.</w:t>
      </w:r>
    </w:p>
    <w:p>
      <w:pPr>
        <w:spacing w:line="360" w:lineRule="auto"/>
        <w:jc w:val="both"/>
        <w:rPr>
          <w:rFonts w:ascii="Times New Roman" w:hAnsi="Times New Roman" w:cs="Times New Roman"/>
          <w:color w:val="000000" w:themeColor="text1"/>
          <w:szCs w:val="21"/>
          <w14:textFill>
            <w14:solidFill>
              <w14:schemeClr w14:val="tx1"/>
            </w14:solidFill>
          </w14:textFill>
        </w:rPr>
      </w:pPr>
    </w:p>
    <w:p>
      <w:pPr>
        <w:spacing w:line="360" w:lineRule="auto"/>
        <w:jc w:val="both"/>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L.H. and X.Y. contributed equally to this work.</w:t>
      </w:r>
    </w:p>
    <w:p>
      <w:pPr>
        <w:spacing w:line="360" w:lineRule="auto"/>
        <w:jc w:val="both"/>
        <w:rPr>
          <w:rFonts w:ascii="Times New Roman" w:hAnsi="Times New Roman" w:cs="Times New Roman"/>
          <w:color w:val="000000" w:themeColor="text1"/>
          <w:szCs w:val="21"/>
          <w14:textFill>
            <w14:solidFill>
              <w14:schemeClr w14:val="tx1"/>
            </w14:solidFill>
          </w14:textFill>
        </w:rPr>
      </w:pPr>
    </w:p>
    <w:p>
      <w:pPr>
        <w:spacing w:line="360" w:lineRule="auto"/>
        <w:jc w:val="both"/>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Corresponding author: *Address correspondence to: Xin Wen</w:t>
      </w:r>
    </w:p>
    <w:p>
      <w:pPr>
        <w:spacing w:line="360" w:lineRule="auto"/>
        <w:jc w:val="both"/>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Tel: </w:t>
      </w:r>
      <w:bookmarkStart w:id="2" w:name="OLE_LINK16"/>
      <w:bookmarkStart w:id="3" w:name="OLE_LINK15"/>
      <w:r>
        <w:rPr>
          <w:rFonts w:ascii="Times New Roman" w:hAnsi="Times New Roman" w:cs="Times New Roman"/>
          <w:color w:val="000000" w:themeColor="text1"/>
          <w:szCs w:val="21"/>
          <w14:textFill>
            <w14:solidFill>
              <w14:schemeClr w14:val="tx1"/>
            </w14:solidFill>
          </w14:textFill>
        </w:rPr>
        <w:t>+86-020-62783379</w:t>
      </w:r>
      <w:bookmarkEnd w:id="2"/>
      <w:bookmarkEnd w:id="3"/>
      <w:r>
        <w:rPr>
          <w:rFonts w:ascii="Times New Roman" w:hAnsi="Times New Roman" w:cs="Times New Roman"/>
          <w:color w:val="000000" w:themeColor="text1"/>
          <w:szCs w:val="21"/>
          <w14:textFill>
            <w14:solidFill>
              <w14:schemeClr w14:val="tx1"/>
            </w14:solidFill>
          </w14:textFill>
        </w:rPr>
        <w:t>, Fax: ++86-020-62783379</w:t>
      </w:r>
    </w:p>
    <w:p>
      <w:pPr>
        <w:spacing w:line="360" w:lineRule="auto"/>
        <w:jc w:val="both"/>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E-mail: </w:t>
      </w:r>
      <w:bookmarkStart w:id="243" w:name="_GoBack"/>
      <w:r>
        <w:rPr>
          <w:rFonts w:ascii="Times New Roman" w:hAnsi="Times New Roman" w:cs="Times New Roman"/>
          <w:color w:val="000000" w:themeColor="text1"/>
          <w:szCs w:val="21"/>
          <w14:textFill>
            <w14:solidFill>
              <w14:schemeClr w14:val="tx1"/>
            </w14:solidFill>
          </w14:textFill>
        </w:rPr>
        <w:t>lcyswenxin@163.com</w:t>
      </w:r>
    </w:p>
    <w:bookmarkEnd w:id="243"/>
    <w:p>
      <w:pPr>
        <w:spacing w:line="360" w:lineRule="auto"/>
        <w:jc w:val="both"/>
        <w:rPr>
          <w:rFonts w:ascii="Times New Roman" w:hAnsi="Times New Roman" w:cs="Times New Roman"/>
          <w:color w:val="000000" w:themeColor="text1"/>
          <w:szCs w:val="21"/>
          <w14:textFill>
            <w14:solidFill>
              <w14:schemeClr w14:val="tx1"/>
            </w14:solidFill>
          </w14:textFill>
        </w:rPr>
      </w:pPr>
    </w:p>
    <w:p>
      <w:pPr>
        <w:spacing w:line="360" w:lineRule="auto"/>
        <w:jc w:val="both"/>
        <w:rPr>
          <w:rFonts w:ascii="Times New Roman" w:hAnsi="Times New Roman" w:cs="Times New Roman"/>
          <w:color w:val="000000" w:themeColor="text1"/>
          <w:szCs w:val="21"/>
          <w14:textFill>
            <w14:solidFill>
              <w14:schemeClr w14:val="tx1"/>
            </w14:solidFill>
          </w14:textFill>
        </w:rPr>
      </w:pPr>
    </w:p>
    <w:p>
      <w:pPr>
        <w:spacing w:line="360" w:lineRule="auto"/>
        <w:jc w:val="both"/>
        <w:rPr>
          <w:rFonts w:ascii="Times New Roman" w:hAnsi="Times New Roman" w:cs="Times New Roman"/>
          <w:color w:val="000000" w:themeColor="text1"/>
          <w:szCs w:val="21"/>
          <w14:textFill>
            <w14:solidFill>
              <w14:schemeClr w14:val="tx1"/>
            </w14:solidFill>
          </w14:textFill>
        </w:rPr>
      </w:pPr>
    </w:p>
    <w:p>
      <w:pPr>
        <w:spacing w:line="360" w:lineRule="auto"/>
        <w:jc w:val="both"/>
        <w:rPr>
          <w:rFonts w:ascii="Times New Roman" w:hAnsi="Times New Roman" w:cs="Times New Roman"/>
          <w:color w:val="000000" w:themeColor="text1"/>
          <w:szCs w:val="21"/>
          <w14:textFill>
            <w14:solidFill>
              <w14:schemeClr w14:val="tx1"/>
            </w14:solidFill>
          </w14:textFill>
        </w:rPr>
      </w:pPr>
    </w:p>
    <w:p>
      <w:pPr>
        <w:spacing w:line="360" w:lineRule="auto"/>
        <w:jc w:val="both"/>
        <w:rPr>
          <w:rFonts w:ascii="Times New Roman" w:hAnsi="Times New Roman" w:cs="Times New Roman"/>
          <w:color w:val="000000" w:themeColor="text1"/>
          <w:szCs w:val="21"/>
          <w14:textFill>
            <w14:solidFill>
              <w14:schemeClr w14:val="tx1"/>
            </w14:solidFill>
          </w14:textFill>
        </w:rPr>
      </w:pPr>
    </w:p>
    <w:p>
      <w:pPr>
        <w:spacing w:line="360" w:lineRule="auto"/>
        <w:jc w:val="both"/>
        <w:rPr>
          <w:rFonts w:ascii="Times New Roman" w:hAnsi="Times New Roman" w:cs="Times New Roman"/>
          <w:color w:val="000000" w:themeColor="text1"/>
          <w:szCs w:val="21"/>
          <w14:textFill>
            <w14:solidFill>
              <w14:schemeClr w14:val="tx1"/>
            </w14:solidFill>
          </w14:textFill>
        </w:rPr>
      </w:pPr>
    </w:p>
    <w:p>
      <w:pPr>
        <w:spacing w:line="360" w:lineRule="auto"/>
        <w:jc w:val="both"/>
        <w:rPr>
          <w:rFonts w:ascii="Times New Roman" w:hAnsi="Times New Roman" w:cs="Times New Roman"/>
          <w:color w:val="000000" w:themeColor="text1"/>
          <w:szCs w:val="21"/>
          <w14:textFill>
            <w14:solidFill>
              <w14:schemeClr w14:val="tx1"/>
            </w14:solidFill>
          </w14:textFill>
        </w:rPr>
      </w:pPr>
    </w:p>
    <w:p>
      <w:pPr>
        <w:spacing w:line="360" w:lineRule="auto"/>
        <w:jc w:val="both"/>
        <w:rPr>
          <w:rFonts w:ascii="Times New Roman" w:hAnsi="Times New Roman" w:cs="Times New Roman"/>
          <w:color w:val="000000" w:themeColor="text1"/>
          <w:szCs w:val="21"/>
          <w14:textFill>
            <w14:solidFill>
              <w14:schemeClr w14:val="tx1"/>
            </w14:solidFill>
          </w14:textFill>
        </w:rPr>
      </w:pPr>
    </w:p>
    <w:p>
      <w:pPr>
        <w:spacing w:line="360" w:lineRule="auto"/>
        <w:jc w:val="both"/>
        <w:rPr>
          <w:rFonts w:ascii="Times New Roman" w:hAnsi="Times New Roman" w:cs="Times New Roman"/>
          <w:color w:val="000000" w:themeColor="text1"/>
          <w:szCs w:val="21"/>
          <w14:textFill>
            <w14:solidFill>
              <w14:schemeClr w14:val="tx1"/>
            </w14:solidFill>
          </w14:textFill>
        </w:rPr>
      </w:pPr>
    </w:p>
    <w:p>
      <w:pPr>
        <w:spacing w:line="360" w:lineRule="auto"/>
        <w:jc w:val="both"/>
        <w:rPr>
          <w:rFonts w:ascii="Times New Roman" w:hAnsi="Times New Roman" w:cs="Times New Roman"/>
          <w:color w:val="000000" w:themeColor="text1"/>
          <w:szCs w:val="21"/>
          <w14:textFill>
            <w14:solidFill>
              <w14:schemeClr w14:val="tx1"/>
            </w14:solidFill>
          </w14:textFill>
        </w:rPr>
      </w:pPr>
    </w:p>
    <w:p>
      <w:pPr>
        <w:spacing w:line="360" w:lineRule="auto"/>
        <w:jc w:val="both"/>
        <w:rPr>
          <w:rFonts w:ascii="Times New Roman" w:hAnsi="Times New Roman" w:cs="Times New Roman"/>
          <w:color w:val="000000" w:themeColor="text1"/>
          <w:szCs w:val="21"/>
          <w14:textFill>
            <w14:solidFill>
              <w14:schemeClr w14:val="tx1"/>
            </w14:solidFill>
          </w14:textFill>
        </w:rPr>
      </w:pPr>
    </w:p>
    <w:p>
      <w:pPr>
        <w:spacing w:line="360" w:lineRule="auto"/>
        <w:jc w:val="both"/>
        <w:rPr>
          <w:rFonts w:ascii="Times New Roman" w:hAnsi="Times New Roman" w:cs="Times New Roman"/>
          <w:color w:val="000000" w:themeColor="text1"/>
          <w:szCs w:val="21"/>
          <w14:textFill>
            <w14:solidFill>
              <w14:schemeClr w14:val="tx1"/>
            </w14:solidFill>
          </w14:textFill>
        </w:rPr>
      </w:pPr>
    </w:p>
    <w:p>
      <w:pPr>
        <w:spacing w:line="360" w:lineRule="auto"/>
        <w:jc w:val="both"/>
        <w:rPr>
          <w:rFonts w:ascii="Times New Roman" w:hAnsi="Times New Roman" w:cs="Times New Roman"/>
          <w:color w:val="000000" w:themeColor="text1"/>
          <w:szCs w:val="21"/>
          <w14:textFill>
            <w14:solidFill>
              <w14:schemeClr w14:val="tx1"/>
            </w14:solidFill>
          </w14:textFill>
        </w:rPr>
      </w:pPr>
    </w:p>
    <w:p>
      <w:pPr>
        <w:spacing w:line="360" w:lineRule="auto"/>
        <w:jc w:val="both"/>
        <w:rPr>
          <w:rFonts w:ascii="Times New Roman" w:hAnsi="Times New Roman" w:cs="Times New Roman"/>
          <w:color w:val="000000" w:themeColor="text1"/>
          <w:szCs w:val="21"/>
          <w14:textFill>
            <w14:solidFill>
              <w14:schemeClr w14:val="tx1"/>
            </w14:solidFill>
          </w14:textFill>
        </w:rPr>
      </w:pPr>
    </w:p>
    <w:p>
      <w:pPr>
        <w:spacing w:line="360" w:lineRule="auto"/>
        <w:jc w:val="both"/>
        <w:rPr>
          <w:rFonts w:ascii="Times New Roman" w:hAnsi="Times New Roman" w:cs="Times New Roman"/>
          <w:b/>
          <w:bCs/>
          <w:color w:val="000000" w:themeColor="text1"/>
          <w:szCs w:val="21"/>
          <w14:textFill>
            <w14:solidFill>
              <w14:schemeClr w14:val="tx1"/>
            </w14:solidFill>
          </w14:textFill>
        </w:rPr>
      </w:pPr>
      <w:r>
        <w:rPr>
          <w:rFonts w:hint="eastAsia" w:ascii="Times New Roman" w:hAnsi="Times New Roman" w:cs="Times New Roman"/>
          <w:b/>
          <w:bCs/>
          <w:color w:val="000000" w:themeColor="text1"/>
          <w:szCs w:val="21"/>
          <w14:textFill>
            <w14:solidFill>
              <w14:schemeClr w14:val="tx1"/>
            </w14:solidFill>
          </w14:textFill>
        </w:rPr>
        <w:t>Abstract</w:t>
      </w:r>
    </w:p>
    <w:p>
      <w:pPr>
        <w:spacing w:line="360" w:lineRule="auto"/>
        <w:jc w:val="both"/>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With the increasing number of elderly people, more and more attention has been paid to prescription</w:t>
      </w:r>
      <w:r>
        <w:rPr>
          <w:rFonts w:hint="eastAsia" w:ascii="Times New Roman" w:hAnsi="Times New Roman" w:cs="Times New Roman"/>
          <w:color w:val="000000" w:themeColor="text1"/>
          <w:szCs w:val="21"/>
          <w14:textFill>
            <w14:solidFill>
              <w14:schemeClr w14:val="tx1"/>
            </w14:solidFill>
          </w14:textFill>
        </w:rPr>
        <w:t>s</w:t>
      </w:r>
      <w:r>
        <w:rPr>
          <w:rFonts w:ascii="Times New Roman" w:hAnsi="Times New Roman" w:cs="Times New Roman"/>
          <w:color w:val="000000" w:themeColor="text1"/>
          <w:szCs w:val="21"/>
          <w14:textFill>
            <w14:solidFill>
              <w14:schemeClr w14:val="tx1"/>
            </w14:solidFill>
          </w14:textFill>
        </w:rPr>
        <w:t xml:space="preserve"> of these population, especially </w:t>
      </w:r>
      <w:r>
        <w:rPr>
          <w:rFonts w:hint="eastAsia" w:ascii="Times New Roman" w:hAnsi="Times New Roman" w:cs="Times New Roman"/>
          <w:color w:val="000000" w:themeColor="text1"/>
          <w:szCs w:val="21"/>
          <w14:textFill>
            <w14:solidFill>
              <w14:schemeClr w14:val="tx1"/>
            </w14:solidFill>
          </w14:textFill>
        </w:rPr>
        <w:t>to</w:t>
      </w:r>
      <w:r>
        <w:rPr>
          <w:rFonts w:ascii="Times New Roman" w:hAnsi="Times New Roman" w:cs="Times New Roman"/>
          <w:color w:val="000000" w:themeColor="text1"/>
          <w:szCs w:val="21"/>
          <w14:textFill>
            <w14:solidFill>
              <w14:schemeClr w14:val="tx1"/>
            </w14:solidFill>
          </w14:textFill>
        </w:rPr>
        <w:t xml:space="preserve"> the antimicrobial drugs. Due to physiological changes, comorbidity, immunosuppression and other factors, antibacterial drugs are significantly affected by </w:t>
      </w:r>
      <w:r>
        <w:rPr>
          <w:rFonts w:hint="eastAsia" w:ascii="Times New Roman" w:hAnsi="Times New Roman" w:cs="Times New Roman"/>
          <w:color w:val="000000" w:themeColor="text1"/>
          <w:szCs w:val="21"/>
          <w14:textFill>
            <w14:solidFill>
              <w14:schemeClr w14:val="tx1"/>
            </w14:solidFill>
          </w14:textFill>
        </w:rPr>
        <w:t>those</w:t>
      </w:r>
      <w:r>
        <w:rPr>
          <w:rFonts w:ascii="Times New Roman" w:hAnsi="Times New Roman" w:cs="Times New Roman"/>
          <w:color w:val="000000" w:themeColor="text1"/>
          <w:szCs w:val="21"/>
          <w14:textFill>
            <w14:solidFill>
              <w14:schemeClr w14:val="tx1"/>
            </w14:solidFill>
          </w14:textFill>
        </w:rPr>
        <w:t xml:space="preserve"> in the elderly. It is important to balance the efficacy and safety of antibiotics for the elderly and minimize </w:t>
      </w:r>
      <w:r>
        <w:rPr>
          <w:rFonts w:hint="eastAsia" w:ascii="Times New Roman" w:hAnsi="Times New Roman" w:cs="Times New Roman"/>
          <w:color w:val="000000" w:themeColor="text1"/>
          <w:szCs w:val="21"/>
          <w14:textFill>
            <w14:solidFill>
              <w14:schemeClr w14:val="tx1"/>
            </w14:solidFill>
          </w14:textFill>
        </w:rPr>
        <w:t>the</w:t>
      </w:r>
      <w:r>
        <w:rPr>
          <w:rFonts w:ascii="Times New Roman" w:hAnsi="Times New Roman" w:cs="Times New Roman"/>
          <w:color w:val="000000" w:themeColor="text1"/>
          <w:szCs w:val="21"/>
          <w14:textFill>
            <w14:solidFill>
              <w14:schemeClr w14:val="tx1"/>
            </w14:solidFill>
          </w14:textFill>
        </w:rPr>
        <w:t xml:space="preserve"> toxicity </w:t>
      </w:r>
      <w:r>
        <w:rPr>
          <w:rFonts w:hint="eastAsia" w:ascii="Times New Roman" w:hAnsi="Times New Roman" w:cs="Times New Roman"/>
          <w:color w:val="000000" w:themeColor="text1"/>
          <w:szCs w:val="21"/>
          <w14:textFill>
            <w14:solidFill>
              <w14:schemeClr w14:val="tx1"/>
            </w14:solidFill>
          </w14:textFill>
        </w:rPr>
        <w:t xml:space="preserve">meanwhile </w:t>
      </w:r>
      <w:r>
        <w:rPr>
          <w:rFonts w:ascii="Times New Roman" w:hAnsi="Times New Roman" w:cs="Times New Roman"/>
          <w:color w:val="000000" w:themeColor="text1"/>
          <w:szCs w:val="21"/>
          <w14:textFill>
            <w14:solidFill>
              <w14:schemeClr w14:val="tx1"/>
            </w14:solidFill>
          </w14:textFill>
        </w:rPr>
        <w:t xml:space="preserve">maximize </w:t>
      </w:r>
      <w:r>
        <w:rPr>
          <w:rFonts w:hint="eastAsia" w:ascii="Times New Roman" w:hAnsi="Times New Roman" w:cs="Times New Roman"/>
          <w:color w:val="000000" w:themeColor="text1"/>
          <w:szCs w:val="21"/>
          <w14:textFill>
            <w14:solidFill>
              <w14:schemeClr w14:val="tx1"/>
            </w14:solidFill>
          </w14:textFill>
        </w:rPr>
        <w:t>the</w:t>
      </w:r>
      <w:r>
        <w:rPr>
          <w:rFonts w:ascii="Times New Roman" w:hAnsi="Times New Roman" w:cs="Times New Roman"/>
          <w:color w:val="000000" w:themeColor="text1"/>
          <w:szCs w:val="21"/>
          <w14:textFill>
            <w14:solidFill>
              <w14:schemeClr w14:val="tx1"/>
            </w14:solidFill>
          </w14:textFill>
        </w:rPr>
        <w:t xml:space="preserve"> efficacy. This brief review discusses pharmacokinetics and pharmacodynamics, drug-resistant bacteria, adverse drug reactions and drug-drug interactions that should be considered when prescribing antibacterial drugs for the elderly.</w:t>
      </w:r>
    </w:p>
    <w:p>
      <w:pPr>
        <w:spacing w:line="360" w:lineRule="auto"/>
        <w:jc w:val="both"/>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b/>
          <w:bCs/>
          <w:color w:val="000000" w:themeColor="text1"/>
          <w:szCs w:val="21"/>
          <w14:textFill>
            <w14:solidFill>
              <w14:schemeClr w14:val="tx1"/>
            </w14:solidFill>
          </w14:textFill>
        </w:rPr>
        <w:t>K</w:t>
      </w:r>
      <w:r>
        <w:rPr>
          <w:rFonts w:ascii="Times New Roman" w:hAnsi="Times New Roman" w:cs="Times New Roman"/>
          <w:b/>
          <w:bCs/>
          <w:color w:val="000000" w:themeColor="text1"/>
          <w:szCs w:val="21"/>
          <w14:textFill>
            <w14:solidFill>
              <w14:schemeClr w14:val="tx1"/>
            </w14:solidFill>
          </w14:textFill>
        </w:rPr>
        <w:t xml:space="preserve">ey words: </w:t>
      </w:r>
      <w:r>
        <w:rPr>
          <w:rFonts w:hint="eastAsia" w:ascii="Times New Roman" w:hAnsi="Times New Roman" w:cs="Times New Roman"/>
          <w:color w:val="000000" w:themeColor="text1"/>
          <w:szCs w:val="21"/>
          <w14:textFill>
            <w14:solidFill>
              <w14:schemeClr w14:val="tx1"/>
            </w14:solidFill>
          </w14:textFill>
        </w:rPr>
        <w:t>the</w:t>
      </w:r>
      <w:r>
        <w:rPr>
          <w:rFonts w:ascii="Times New Roman" w:hAnsi="Times New Roman" w:cs="Times New Roman"/>
          <w:color w:val="000000" w:themeColor="text1"/>
          <w:szCs w:val="21"/>
          <w14:textFill>
            <w14:solidFill>
              <w14:schemeClr w14:val="tx1"/>
            </w14:solidFill>
          </w14:textFill>
        </w:rPr>
        <w:t xml:space="preserve"> elderly; antibiotic</w:t>
      </w:r>
      <w:r>
        <w:rPr>
          <w:rFonts w:hint="eastAsia" w:ascii="Times New Roman" w:hAnsi="Times New Roman" w:cs="Times New Roman"/>
          <w:color w:val="000000" w:themeColor="text1"/>
          <w:szCs w:val="21"/>
          <w14:textFill>
            <w14:solidFill>
              <w14:schemeClr w14:val="tx1"/>
            </w14:solidFill>
          </w14:textFill>
        </w:rPr>
        <w:t>s</w:t>
      </w:r>
      <w:r>
        <w:rPr>
          <w:rFonts w:ascii="Times New Roman" w:hAnsi="Times New Roman" w:cs="Times New Roman"/>
          <w:color w:val="000000" w:themeColor="text1"/>
          <w:szCs w:val="21"/>
          <w14:textFill>
            <w14:solidFill>
              <w14:schemeClr w14:val="tx1"/>
            </w14:solidFill>
          </w14:textFill>
        </w:rPr>
        <w:t>; PK/PD; adverse drug reactions; drug-</w:t>
      </w:r>
      <w:r>
        <w:rPr>
          <w:rFonts w:hint="eastAsia" w:ascii="Times New Roman" w:hAnsi="Times New Roman" w:cs="Times New Roman"/>
          <w:color w:val="000000" w:themeColor="text1"/>
          <w:szCs w:val="21"/>
          <w14:textFill>
            <w14:solidFill>
              <w14:schemeClr w14:val="tx1"/>
            </w14:solidFill>
          </w14:textFill>
        </w:rPr>
        <w:t>drug</w:t>
      </w:r>
      <w:r>
        <w:rPr>
          <w:rFonts w:ascii="Times New Roman" w:hAnsi="Times New Roman" w:cs="Times New Roman"/>
          <w:color w:val="000000" w:themeColor="text1"/>
          <w:szCs w:val="21"/>
          <w14:textFill>
            <w14:solidFill>
              <w14:schemeClr w14:val="tx1"/>
            </w14:solidFill>
          </w14:textFill>
        </w:rPr>
        <w:t xml:space="preserve"> interactions</w:t>
      </w:r>
    </w:p>
    <w:p>
      <w:pPr>
        <w:spacing w:line="360" w:lineRule="auto"/>
        <w:jc w:val="both"/>
        <w:rPr>
          <w:rFonts w:ascii="Times New Roman" w:hAnsi="Times New Roman" w:cs="Times New Roman"/>
          <w:color w:val="000000" w:themeColor="text1"/>
          <w:szCs w:val="21"/>
          <w14:textFill>
            <w14:solidFill>
              <w14:schemeClr w14:val="tx1"/>
            </w14:solidFill>
          </w14:textFill>
        </w:rPr>
      </w:pPr>
    </w:p>
    <w:p>
      <w:pPr>
        <w:spacing w:line="360" w:lineRule="auto"/>
        <w:jc w:val="both"/>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1.Introduction</w:t>
      </w:r>
    </w:p>
    <w:p>
      <w:pPr>
        <w:spacing w:line="360" w:lineRule="auto"/>
        <w:jc w:val="both"/>
        <w:rPr>
          <w:rFonts w:ascii="Times New Roman" w:hAnsi="Times New Roman" w:cs="Times New Roman"/>
          <w:color w:val="000000" w:themeColor="text1"/>
          <w:szCs w:val="21"/>
          <w:shd w:val="clear" w:color="auto" w:fill="F7F8FA"/>
          <w:lang w:val="en"/>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According to World Health Organization (WHO), </w:t>
      </w:r>
      <w:bookmarkStart w:id="4" w:name="OLE_LINK62"/>
      <w:bookmarkStart w:id="5" w:name="OLE_LINK63"/>
      <w:r>
        <w:rPr>
          <w:rFonts w:ascii="Times New Roman" w:hAnsi="Times New Roman" w:cs="Times New Roman"/>
          <w:color w:val="000000" w:themeColor="text1"/>
          <w:szCs w:val="21"/>
          <w:lang w:val="en"/>
          <w14:textFill>
            <w14:solidFill>
              <w14:schemeClr w14:val="tx1"/>
            </w14:solidFill>
          </w14:textFill>
        </w:rPr>
        <w:t>the number of people aged over 60 years</w:t>
      </w:r>
      <w:bookmarkEnd w:id="4"/>
      <w:bookmarkEnd w:id="5"/>
      <w:r>
        <w:rPr>
          <w:rFonts w:ascii="Times New Roman" w:hAnsi="Times New Roman" w:cs="Times New Roman"/>
          <w:color w:val="000000" w:themeColor="text1"/>
          <w:szCs w:val="21"/>
          <w:lang w:val="en"/>
          <w14:textFill>
            <w14:solidFill>
              <w14:schemeClr w14:val="tx1"/>
            </w14:solidFill>
          </w14:textFill>
        </w:rPr>
        <w:t>, will have a sharp rise from 900 million to 2 billion between 2015 and 2050 (</w:t>
      </w:r>
      <w:bookmarkStart w:id="6" w:name="OLE_LINK65"/>
      <w:bookmarkStart w:id="7" w:name="OLE_LINK64"/>
      <w:r>
        <w:rPr>
          <w:rFonts w:ascii="Times New Roman" w:hAnsi="Times New Roman" w:cs="Times New Roman"/>
          <w:color w:val="000000" w:themeColor="text1"/>
          <w:szCs w:val="21"/>
          <w:lang w:val="en"/>
          <w14:textFill>
            <w14:solidFill>
              <w14:schemeClr w14:val="tx1"/>
            </w14:solidFill>
          </w14:textFill>
        </w:rPr>
        <w:t>moving from 12% to 22% of the total global population</w:t>
      </w:r>
      <w:bookmarkEnd w:id="6"/>
      <w:bookmarkEnd w:id="7"/>
      <w:r>
        <w:rPr>
          <w:rFonts w:ascii="Times New Roman" w:hAnsi="Times New Roman" w:cs="Times New Roman"/>
          <w:color w:val="000000" w:themeColor="text1"/>
          <w:szCs w:val="21"/>
          <w:lang w:val="en"/>
          <w14:textFill>
            <w14:solidFill>
              <w14:schemeClr w14:val="tx1"/>
            </w14:solidFill>
          </w14:textFill>
        </w:rPr>
        <w:t xml:space="preserve">) [1]. </w:t>
      </w:r>
      <w:bookmarkStart w:id="8" w:name="OLE_LINK72"/>
      <w:bookmarkStart w:id="9" w:name="OLE_LINK73"/>
      <w:r>
        <w:rPr>
          <w:rFonts w:ascii="Times New Roman" w:hAnsi="Times New Roman" w:cs="Times New Roman"/>
          <w:color w:val="000000" w:themeColor="text1"/>
          <w:szCs w:val="21"/>
          <w:lang w:val="en"/>
          <w14:textFill>
            <w14:solidFill>
              <w14:schemeClr w14:val="tx1"/>
            </w14:solidFill>
          </w14:textFill>
        </w:rPr>
        <w:t xml:space="preserve">Antibiotics are commonly prescribed in the </w:t>
      </w:r>
      <w:bookmarkStart w:id="10" w:name="OLE_LINK326"/>
      <w:bookmarkStart w:id="11" w:name="OLE_LINK327"/>
      <w:r>
        <w:rPr>
          <w:rFonts w:ascii="Times New Roman" w:hAnsi="Times New Roman" w:cs="Times New Roman"/>
          <w:color w:val="000000" w:themeColor="text1"/>
          <w:szCs w:val="21"/>
          <w:lang w:val="en"/>
          <w14:textFill>
            <w14:solidFill>
              <w14:schemeClr w14:val="tx1"/>
            </w14:solidFill>
          </w14:textFill>
        </w:rPr>
        <w:t>geriatric population</w:t>
      </w:r>
      <w:bookmarkEnd w:id="10"/>
      <w:bookmarkEnd w:id="11"/>
      <w:r>
        <w:rPr>
          <w:rFonts w:ascii="Times New Roman" w:hAnsi="Times New Roman" w:cs="Times New Roman"/>
          <w:color w:val="000000" w:themeColor="text1"/>
          <w:szCs w:val="21"/>
          <w:lang w:val="en"/>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 xml:space="preserve"> </w:t>
      </w:r>
      <w:bookmarkStart w:id="12" w:name="OLE_LINK68"/>
      <w:bookmarkStart w:id="13" w:name="OLE_LINK69"/>
      <w:bookmarkStart w:id="14" w:name="OLE_LINK70"/>
      <w:bookmarkStart w:id="15" w:name="OLE_LINK71"/>
      <w:r>
        <w:rPr>
          <w:rFonts w:ascii="Times New Roman" w:hAnsi="Times New Roman" w:cs="Times New Roman"/>
          <w:color w:val="000000" w:themeColor="text1"/>
          <w:szCs w:val="21"/>
          <w14:textFill>
            <w14:solidFill>
              <w14:schemeClr w14:val="tx1"/>
            </w14:solidFill>
          </w14:textFill>
        </w:rPr>
        <w:t xml:space="preserve">and antibiotic overuse </w:t>
      </w:r>
      <w:bookmarkStart w:id="16" w:name="OLE_LINK66"/>
      <w:bookmarkStart w:id="17" w:name="OLE_LINK67"/>
      <w:r>
        <w:rPr>
          <w:rFonts w:ascii="Times New Roman" w:hAnsi="Times New Roman" w:cs="Times New Roman"/>
          <w:color w:val="000000" w:themeColor="text1"/>
          <w:szCs w:val="21"/>
          <w14:textFill>
            <w14:solidFill>
              <w14:schemeClr w14:val="tx1"/>
            </w14:solidFill>
          </w14:textFill>
        </w:rPr>
        <w:t xml:space="preserve">in elderly are more </w:t>
      </w:r>
      <w:bookmarkEnd w:id="12"/>
      <w:bookmarkEnd w:id="13"/>
      <w:bookmarkEnd w:id="16"/>
      <w:bookmarkEnd w:id="17"/>
      <w:r>
        <w:rPr>
          <w:rFonts w:ascii="Times New Roman" w:hAnsi="Times New Roman" w:cs="Times New Roman"/>
          <w:color w:val="000000" w:themeColor="text1"/>
          <w:szCs w:val="21"/>
          <w14:textFill>
            <w14:solidFill>
              <w14:schemeClr w14:val="tx1"/>
            </w14:solidFill>
          </w14:textFill>
        </w:rPr>
        <w:t>around 50% per capita than young adults</w:t>
      </w:r>
      <w:bookmarkEnd w:id="14"/>
      <w:bookmarkEnd w:id="15"/>
      <w:r>
        <w:rPr>
          <w:rFonts w:ascii="Times New Roman" w:hAnsi="Times New Roman" w:cs="Times New Roman"/>
          <w:color w:val="000000" w:themeColor="text1"/>
          <w:szCs w:val="21"/>
          <w:lang w:val="en"/>
          <w14:textFill>
            <w14:solidFill>
              <w14:schemeClr w14:val="tx1"/>
            </w14:solidFill>
          </w14:textFill>
        </w:rPr>
        <w:t xml:space="preserve"> </w:t>
      </w:r>
      <w:bookmarkEnd w:id="8"/>
      <w:bookmarkEnd w:id="9"/>
      <w:r>
        <w:rPr>
          <w:rFonts w:ascii="Times New Roman" w:hAnsi="Times New Roman" w:cs="Times New Roman"/>
          <w:color w:val="000000" w:themeColor="text1"/>
          <w:szCs w:val="21"/>
          <w:lang w:val="en"/>
          <w14:textFill>
            <w14:solidFill>
              <w14:schemeClr w14:val="tx1"/>
            </w14:solidFill>
          </w14:textFill>
        </w:rPr>
        <w:t xml:space="preserve">[2]. Different characters in pharmacokinetics (PK) and pharmacodynamics (PD) from general population, comorbidities such as cardiovascular, </w:t>
      </w:r>
      <w:bookmarkStart w:id="18" w:name="OLE_LINK88"/>
      <w:bookmarkStart w:id="19" w:name="OLE_LINK89"/>
      <w:r>
        <w:rPr>
          <w:rFonts w:ascii="Times New Roman" w:hAnsi="Times New Roman" w:cs="Times New Roman"/>
          <w:color w:val="000000" w:themeColor="text1"/>
          <w:szCs w:val="21"/>
          <w:lang w:val="en"/>
          <w14:textFill>
            <w14:solidFill>
              <w14:schemeClr w14:val="tx1"/>
            </w14:solidFill>
          </w14:textFill>
        </w:rPr>
        <w:t>cerebrovascular</w:t>
      </w:r>
      <w:bookmarkEnd w:id="18"/>
      <w:bookmarkEnd w:id="19"/>
      <w:r>
        <w:rPr>
          <w:rFonts w:ascii="Times New Roman" w:hAnsi="Times New Roman" w:cs="Times New Roman"/>
          <w:color w:val="000000" w:themeColor="text1"/>
          <w:szCs w:val="21"/>
          <w:lang w:val="en"/>
          <w14:textFill>
            <w14:solidFill>
              <w14:schemeClr w14:val="tx1"/>
            </w14:solidFill>
          </w14:textFill>
        </w:rPr>
        <w:t xml:space="preserve"> diseases and cancer, much more potential drug-drug interactions (</w:t>
      </w:r>
      <w:bookmarkStart w:id="20" w:name="OLE_LINK80"/>
      <w:bookmarkStart w:id="21" w:name="OLE_LINK81"/>
      <w:r>
        <w:rPr>
          <w:rFonts w:ascii="Times New Roman" w:hAnsi="Times New Roman" w:cs="Times New Roman"/>
          <w:color w:val="000000" w:themeColor="text1"/>
          <w:szCs w:val="21"/>
          <w:lang w:val="en"/>
          <w14:textFill>
            <w14:solidFill>
              <w14:schemeClr w14:val="tx1"/>
            </w14:solidFill>
          </w14:textFill>
        </w:rPr>
        <w:t>DDIs</w:t>
      </w:r>
      <w:bookmarkEnd w:id="20"/>
      <w:bookmarkEnd w:id="21"/>
      <w:r>
        <w:rPr>
          <w:rFonts w:ascii="Times New Roman" w:hAnsi="Times New Roman" w:cs="Times New Roman"/>
          <w:color w:val="000000" w:themeColor="text1"/>
          <w:szCs w:val="21"/>
          <w:lang w:val="en"/>
          <w14:textFill>
            <w14:solidFill>
              <w14:schemeClr w14:val="tx1"/>
            </w14:solidFill>
          </w14:textFill>
        </w:rPr>
        <w:t xml:space="preserve">) and adverse drug reactions (ADRs), which pose a major challenge of optimizing antibiotics therapy in the elderly [3]. </w:t>
      </w:r>
      <w:bookmarkStart w:id="22" w:name="OLE_LINK78"/>
      <w:bookmarkStart w:id="23" w:name="OLE_LINK79"/>
      <w:bookmarkStart w:id="24" w:name="OLE_LINK74"/>
      <w:bookmarkStart w:id="25" w:name="OLE_LINK75"/>
      <w:r>
        <w:rPr>
          <w:rFonts w:ascii="Times New Roman" w:hAnsi="Times New Roman" w:cs="Times New Roman"/>
          <w:color w:val="000000" w:themeColor="text1"/>
          <w:szCs w:val="21"/>
          <w:lang w:val="en"/>
          <w14:textFill>
            <w14:solidFill>
              <w14:schemeClr w14:val="tx1"/>
            </w14:solidFill>
          </w14:textFill>
        </w:rPr>
        <w:t>Therefore, making prescriptions in the elderly are tough, particularly in balancing the efficacy, safety of drugs, and tolerance and compliance</w:t>
      </w:r>
      <w:bookmarkEnd w:id="22"/>
      <w:bookmarkEnd w:id="23"/>
      <w:bookmarkStart w:id="26" w:name="OLE_LINK76"/>
      <w:bookmarkStart w:id="27" w:name="OLE_LINK77"/>
      <w:r>
        <w:rPr>
          <w:rFonts w:ascii="Times New Roman" w:hAnsi="Times New Roman" w:cs="Times New Roman"/>
          <w:color w:val="000000" w:themeColor="text1"/>
          <w:szCs w:val="21"/>
          <w:lang w:val="en"/>
          <w14:textFill>
            <w14:solidFill>
              <w14:schemeClr w14:val="tx1"/>
            </w14:solidFill>
          </w14:textFill>
        </w:rPr>
        <w:t xml:space="preserve"> of patients.</w:t>
      </w:r>
      <w:bookmarkEnd w:id="24"/>
      <w:bookmarkEnd w:id="25"/>
      <w:bookmarkEnd w:id="26"/>
      <w:bookmarkEnd w:id="27"/>
      <w:bookmarkStart w:id="28" w:name="OLE_LINK82"/>
      <w:bookmarkStart w:id="29" w:name="OLE_LINK83"/>
      <w:r>
        <w:rPr>
          <w:rFonts w:ascii="Times New Roman" w:hAnsi="Times New Roman" w:cs="Times New Roman"/>
          <w:color w:val="000000" w:themeColor="text1"/>
          <w:szCs w:val="21"/>
          <w:lang w:val="en"/>
          <w14:textFill>
            <w14:solidFill>
              <w14:schemeClr w14:val="tx1"/>
            </w14:solidFill>
          </w14:textFill>
        </w:rPr>
        <w:t xml:space="preserve"> </w:t>
      </w:r>
      <w:bookmarkEnd w:id="28"/>
      <w:bookmarkEnd w:id="29"/>
      <w:bookmarkStart w:id="30" w:name="OLE_LINK107"/>
      <w:bookmarkStart w:id="31" w:name="OLE_LINK108"/>
      <w:bookmarkStart w:id="32" w:name="OLE_LINK109"/>
      <w:bookmarkStart w:id="33" w:name="OLE_LINK110"/>
      <w:bookmarkStart w:id="34" w:name="OLE_LINK84"/>
      <w:bookmarkStart w:id="35" w:name="OLE_LINK85"/>
      <w:r>
        <w:rPr>
          <w:rFonts w:ascii="Times New Roman" w:hAnsi="Times New Roman" w:cs="Times New Roman"/>
          <w:color w:val="000000" w:themeColor="text1"/>
          <w:szCs w:val="21"/>
          <w:lang w:val="en"/>
          <w14:textFill>
            <w14:solidFill>
              <w14:schemeClr w14:val="tx1"/>
            </w14:solidFill>
          </w14:textFill>
        </w:rPr>
        <w:t>Currently,</w:t>
      </w:r>
      <w:bookmarkStart w:id="36" w:name="OLE_LINK86"/>
      <w:bookmarkStart w:id="37" w:name="OLE_LINK87"/>
      <w:r>
        <w:rPr>
          <w:rFonts w:ascii="Times New Roman" w:hAnsi="Times New Roman" w:cs="Times New Roman"/>
          <w:color w:val="000000" w:themeColor="text1"/>
          <w:szCs w:val="21"/>
          <w:lang w:val="en"/>
          <w14:textFill>
            <w14:solidFill>
              <w14:schemeClr w14:val="tx1"/>
            </w14:solidFill>
          </w14:textFill>
        </w:rPr>
        <w:t xml:space="preserve"> </w:t>
      </w:r>
      <w:bookmarkStart w:id="38" w:name="OLE_LINK105"/>
      <w:bookmarkStart w:id="39" w:name="OLE_LINK106"/>
      <w:r>
        <w:rPr>
          <w:rFonts w:ascii="Times New Roman" w:hAnsi="Times New Roman" w:cs="Times New Roman"/>
          <w:color w:val="000000" w:themeColor="text1"/>
          <w:szCs w:val="21"/>
          <w:lang w:val="en"/>
          <w14:textFill>
            <w14:solidFill>
              <w14:schemeClr w14:val="tx1"/>
            </w14:solidFill>
          </w14:textFill>
        </w:rPr>
        <w:t xml:space="preserve">multi-drug-resistant (MDR) </w:t>
      </w:r>
      <w:bookmarkStart w:id="40" w:name="OLE_LINK176"/>
      <w:bookmarkStart w:id="41" w:name="OLE_LINK177"/>
      <w:r>
        <w:rPr>
          <w:rFonts w:ascii="Times New Roman" w:hAnsi="Times New Roman" w:cs="Times New Roman"/>
          <w:color w:val="000000" w:themeColor="text1"/>
          <w:szCs w:val="21"/>
          <w:lang w:val="en"/>
          <w14:textFill>
            <w14:solidFill>
              <w14:schemeClr w14:val="tx1"/>
            </w14:solidFill>
          </w14:textFill>
        </w:rPr>
        <w:t>bacteria</w:t>
      </w:r>
      <w:bookmarkEnd w:id="36"/>
      <w:bookmarkEnd w:id="37"/>
      <w:bookmarkEnd w:id="40"/>
      <w:bookmarkEnd w:id="41"/>
      <w:r>
        <w:rPr>
          <w:rFonts w:ascii="Times New Roman" w:hAnsi="Times New Roman" w:cs="Times New Roman"/>
          <w:color w:val="000000" w:themeColor="text1"/>
          <w:szCs w:val="21"/>
          <w:lang w:val="en"/>
          <w14:textFill>
            <w14:solidFill>
              <w14:schemeClr w14:val="tx1"/>
            </w14:solidFill>
          </w14:textFill>
        </w:rPr>
        <w:t xml:space="preserve"> has become a commonplace and caused an increasing burden in the elderly</w:t>
      </w:r>
      <w:bookmarkEnd w:id="30"/>
      <w:bookmarkEnd w:id="31"/>
      <w:bookmarkEnd w:id="38"/>
      <w:bookmarkEnd w:id="39"/>
      <w:r>
        <w:rPr>
          <w:rFonts w:ascii="Times New Roman" w:hAnsi="Times New Roman" w:cs="Times New Roman"/>
          <w:color w:val="000000" w:themeColor="text1"/>
          <w:szCs w:val="21"/>
          <w:lang w:val="en"/>
          <w14:textFill>
            <w14:solidFill>
              <w14:schemeClr w14:val="tx1"/>
            </w14:solidFill>
          </w14:textFill>
        </w:rPr>
        <w:t>.</w:t>
      </w:r>
      <w:bookmarkEnd w:id="32"/>
      <w:bookmarkEnd w:id="33"/>
      <w:r>
        <w:rPr>
          <w:rFonts w:ascii="Times New Roman" w:hAnsi="Times New Roman" w:cs="Times New Roman"/>
          <w:color w:val="000000" w:themeColor="text1"/>
          <w:szCs w:val="21"/>
          <w:lang w:val="en"/>
          <w14:textFill>
            <w14:solidFill>
              <w14:schemeClr w14:val="tx1"/>
            </w14:solidFill>
          </w14:textFill>
        </w:rPr>
        <w:t> In this review</w:t>
      </w:r>
      <w:r>
        <w:rPr>
          <w:rFonts w:ascii="Times New Roman" w:hAnsi="Times New Roman" w:cs="Times New Roman"/>
          <w:color w:val="000000" w:themeColor="text1"/>
          <w:szCs w:val="21"/>
          <w14:textFill>
            <w14:solidFill>
              <w14:schemeClr w14:val="tx1"/>
            </w14:solidFill>
          </w14:textFill>
        </w:rPr>
        <w:t xml:space="preserve">, </w:t>
      </w:r>
      <w:r>
        <w:rPr>
          <w:rFonts w:ascii="Times New Roman" w:hAnsi="Times New Roman" w:cs="Times New Roman"/>
          <w:color w:val="000000" w:themeColor="text1"/>
          <w:szCs w:val="21"/>
          <w:lang w:val="en"/>
          <w14:textFill>
            <w14:solidFill>
              <w14:schemeClr w14:val="tx1"/>
            </w14:solidFill>
          </w14:textFill>
        </w:rPr>
        <w:t xml:space="preserve">we outline the changes of </w:t>
      </w:r>
      <w:r>
        <w:rPr>
          <w:rFonts w:ascii="Times New Roman" w:hAnsi="Times New Roman" w:cs="Times New Roman"/>
          <w:color w:val="000000" w:themeColor="text1"/>
          <w:szCs w:val="21"/>
          <w14:textFill>
            <w14:solidFill>
              <w14:schemeClr w14:val="tx1"/>
            </w14:solidFill>
          </w14:textFill>
        </w:rPr>
        <w:t>PK/PD</w:t>
      </w:r>
      <w:r>
        <w:rPr>
          <w:rFonts w:ascii="Times New Roman" w:hAnsi="Times New Roman" w:cs="Times New Roman"/>
          <w:color w:val="000000" w:themeColor="text1"/>
          <w:szCs w:val="21"/>
          <w:lang w:val="en"/>
          <w14:textFill>
            <w14:solidFill>
              <w14:schemeClr w14:val="tx1"/>
            </w14:solidFill>
          </w14:textFill>
        </w:rPr>
        <w:t xml:space="preserve"> in the elderly, and discuss the importance of DDIs and ADRs in antibiotic treatment.</w:t>
      </w:r>
      <w:bookmarkEnd w:id="34"/>
      <w:bookmarkEnd w:id="35"/>
    </w:p>
    <w:p>
      <w:pPr>
        <w:spacing w:line="360" w:lineRule="auto"/>
        <w:jc w:val="both"/>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2.Pharmacokinetic Considerations</w:t>
      </w:r>
    </w:p>
    <w:p>
      <w:pPr>
        <w:spacing w:line="360" w:lineRule="auto"/>
        <w:ind w:firstLine="424"/>
        <w:jc w:val="both"/>
        <w:rPr>
          <w:rFonts w:ascii="Times New Roman" w:hAnsi="Times New Roman" w:cs="Times New Roman"/>
          <w:color w:val="000000" w:themeColor="text1"/>
          <w:szCs w:val="21"/>
          <w:lang w:val="en"/>
          <w14:textFill>
            <w14:solidFill>
              <w14:schemeClr w14:val="tx1"/>
            </w14:solidFill>
          </w14:textFill>
        </w:rPr>
      </w:pPr>
      <w:r>
        <w:rPr>
          <w:rFonts w:ascii="Times New Roman" w:hAnsi="Times New Roman" w:cs="Times New Roman"/>
          <w:szCs w:val="21"/>
          <w:lang w:val="en"/>
        </w:rPr>
        <w:t>The physiological changes related to drug absorption in elderly patients are mainly as follows</w:t>
      </w:r>
    </w:p>
    <w:p>
      <w:pPr>
        <w:spacing w:line="360" w:lineRule="auto"/>
        <w:ind w:firstLine="424"/>
        <w:jc w:val="both"/>
        <w:rPr>
          <w:rFonts w:ascii="Times New Roman" w:hAnsi="Times New Roman" w:cs="Times New Roman"/>
          <w:lang w:val="en"/>
        </w:rPr>
      </w:pPr>
      <w:r>
        <w:rPr>
          <w:rFonts w:ascii="Times New Roman" w:hAnsi="Times New Roman" w:cs="Times New Roman"/>
          <w:lang w:val="en"/>
        </w:rPr>
        <w:t>(1)</w:t>
      </w:r>
      <w:bookmarkStart w:id="42" w:name="OLE_LINK95"/>
      <w:bookmarkStart w:id="43" w:name="OLE_LINK94"/>
      <w:r>
        <w:rPr>
          <w:rFonts w:ascii="Times New Roman" w:hAnsi="Times New Roman" w:cs="Times New Roman"/>
          <w:lang w:val="en"/>
        </w:rPr>
        <w:t xml:space="preserve"> Decreased blood flow in the gastrointestinal tract may lead to the prolonged peak time</w:t>
      </w:r>
      <w:bookmarkEnd w:id="42"/>
      <w:bookmarkEnd w:id="43"/>
      <w:r>
        <w:rPr>
          <w:rFonts w:ascii="Times New Roman" w:hAnsi="Times New Roman" w:cs="Times New Roman"/>
          <w:lang w:val="en"/>
        </w:rPr>
        <w:t>;</w:t>
      </w:r>
    </w:p>
    <w:p>
      <w:pPr>
        <w:spacing w:line="360" w:lineRule="auto"/>
        <w:ind w:firstLine="424"/>
        <w:jc w:val="both"/>
        <w:rPr>
          <w:rFonts w:ascii="Times New Roman" w:hAnsi="Times New Roman" w:cs="Times New Roman"/>
          <w:lang w:val="en"/>
        </w:rPr>
      </w:pPr>
      <w:r>
        <w:rPr>
          <w:rFonts w:ascii="Times New Roman" w:hAnsi="Times New Roman" w:cs="Times New Roman"/>
          <w:lang w:val="en"/>
        </w:rPr>
        <w:t xml:space="preserve">(2) </w:t>
      </w:r>
      <w:bookmarkStart w:id="44" w:name="OLE_LINK97"/>
      <w:bookmarkStart w:id="45" w:name="OLE_LINK100"/>
      <w:bookmarkStart w:id="46" w:name="OLE_LINK96"/>
      <w:r>
        <w:rPr>
          <w:rFonts w:ascii="Times New Roman" w:hAnsi="Times New Roman" w:cs="Times New Roman"/>
          <w:lang w:val="en"/>
        </w:rPr>
        <w:t>Small intestinal mucosa atrophy lead to decreased absorption</w:t>
      </w:r>
      <w:bookmarkEnd w:id="44"/>
      <w:bookmarkEnd w:id="45"/>
      <w:bookmarkEnd w:id="46"/>
      <w:r>
        <w:rPr>
          <w:rFonts w:ascii="Times New Roman" w:hAnsi="Times New Roman" w:cs="Times New Roman"/>
          <w:lang w:val="en"/>
        </w:rPr>
        <w:t>;</w:t>
      </w:r>
    </w:p>
    <w:p>
      <w:pPr>
        <w:spacing w:line="360" w:lineRule="auto"/>
        <w:ind w:firstLine="424"/>
        <w:jc w:val="both"/>
        <w:rPr>
          <w:rFonts w:ascii="Times New Roman" w:hAnsi="Times New Roman" w:cs="Times New Roman"/>
          <w:color w:val="000000" w:themeColor="text1"/>
          <w:szCs w:val="21"/>
          <w:lang w:val="en"/>
          <w14:textFill>
            <w14:solidFill>
              <w14:schemeClr w14:val="tx1"/>
            </w14:solidFill>
          </w14:textFill>
        </w:rPr>
      </w:pPr>
      <w:r>
        <w:rPr>
          <w:rFonts w:ascii="Times New Roman" w:hAnsi="Times New Roman" w:cs="Times New Roman"/>
          <w:lang w:val="en"/>
        </w:rPr>
        <w:t xml:space="preserve">(3) </w:t>
      </w:r>
      <w:bookmarkStart w:id="47" w:name="OLE_LINK99"/>
      <w:bookmarkStart w:id="48" w:name="OLE_LINK98"/>
      <w:r>
        <w:rPr>
          <w:rFonts w:ascii="Times New Roman" w:hAnsi="Times New Roman" w:cs="Times New Roman"/>
          <w:lang w:val="en"/>
        </w:rPr>
        <w:t>Delayed gastric emptying and slowed intestinal peristalsis.</w:t>
      </w:r>
      <w:bookmarkEnd w:id="47"/>
      <w:bookmarkEnd w:id="48"/>
      <w:bookmarkStart w:id="49" w:name="OLE_LINK102"/>
      <w:bookmarkStart w:id="50" w:name="OLE_LINK101"/>
    </w:p>
    <w:p>
      <w:pPr>
        <w:spacing w:line="360" w:lineRule="auto"/>
        <w:jc w:val="both"/>
        <w:rPr>
          <w:rFonts w:ascii="Times New Roman" w:hAnsi="Times New Roman" w:cs="Times New Roman"/>
          <w:color w:val="000000" w:themeColor="text1"/>
          <w:szCs w:val="21"/>
          <w:lang w:val="en"/>
          <w14:textFill>
            <w14:solidFill>
              <w14:schemeClr w14:val="tx1"/>
            </w14:solidFill>
          </w14:textFill>
        </w:rPr>
      </w:pPr>
      <w:r>
        <w:rPr>
          <w:rFonts w:ascii="Times New Roman" w:hAnsi="Times New Roman" w:cs="Times New Roman"/>
          <w:color w:val="000000" w:themeColor="text1"/>
          <w:szCs w:val="21"/>
          <w:lang w:val="en"/>
          <w14:textFill>
            <w14:solidFill>
              <w14:schemeClr w14:val="tx1"/>
            </w14:solidFill>
          </w14:textFill>
        </w:rPr>
        <w:t>These physiological changes may affect the pharmacokinetic parameters of oral antimicrobials, such as bioavailability</w:t>
      </w:r>
      <w:bookmarkEnd w:id="49"/>
      <w:bookmarkEnd w:id="50"/>
      <w:r>
        <w:rPr>
          <w:rFonts w:ascii="Times New Roman" w:hAnsi="Times New Roman" w:cs="Times New Roman"/>
          <w:color w:val="000000" w:themeColor="text1"/>
          <w:szCs w:val="21"/>
          <w:lang w:val="en"/>
          <w14:textFill>
            <w14:solidFill>
              <w14:schemeClr w14:val="tx1"/>
            </w14:solidFill>
          </w14:textFill>
        </w:rPr>
        <w:t xml:space="preserve"> [4]. </w:t>
      </w:r>
      <w:r>
        <w:rPr>
          <w:rFonts w:ascii="Times New Roman" w:hAnsi="Times New Roman" w:cs="Times New Roman"/>
          <w:lang w:val="en"/>
        </w:rPr>
        <w:t xml:space="preserve">For example, </w:t>
      </w:r>
      <w:bookmarkStart w:id="51" w:name="OLE_LINK104"/>
      <w:bookmarkStart w:id="52" w:name="OLE_LINK103"/>
      <w:r>
        <w:rPr>
          <w:rFonts w:ascii="Times New Roman" w:hAnsi="Times New Roman" w:cs="Times New Roman"/>
          <w:lang w:val="en"/>
        </w:rPr>
        <w:t>cefpodoxime esters</w:t>
      </w:r>
      <w:bookmarkEnd w:id="51"/>
      <w:bookmarkEnd w:id="52"/>
      <w:r>
        <w:rPr>
          <w:rFonts w:ascii="Times New Roman" w:hAnsi="Times New Roman" w:cs="Times New Roman"/>
          <w:lang w:val="en"/>
        </w:rPr>
        <w:t xml:space="preserve"> absorption may be 30 percent lessened in the elderly than that in the young, as well as extended half-life. In addition, bioavailability of azithromycin and erythromycin is decreased in the stomach due to the increased pH [5-7].</w:t>
      </w:r>
      <w:r>
        <w:rPr>
          <w:rFonts w:ascii="Times New Roman" w:hAnsi="Times New Roman" w:cs="Times New Roman"/>
          <w:color w:val="000000" w:themeColor="text1"/>
          <w:szCs w:val="21"/>
          <w:lang w:val="en"/>
          <w14:textFill>
            <w14:solidFill>
              <w14:schemeClr w14:val="tx1"/>
            </w14:solidFill>
          </w14:textFill>
        </w:rPr>
        <w:t xml:space="preserve"> P</w:t>
      </w:r>
      <w:r>
        <w:rPr>
          <w:rFonts w:ascii="Times New Roman" w:hAnsi="Times New Roman" w:cs="Times New Roman"/>
          <w:lang w:val="en"/>
        </w:rPr>
        <w:t>roton pump inhibitors significantly increases the pH in stomach, which exerts strong impact on the bioavailability of drugs depends on dissolution or absorption in an acidic environment. For instance, itraconazole capsule is usually taken combined with cola to increase the bioavailability [8].</w:t>
      </w:r>
    </w:p>
    <w:p>
      <w:pPr>
        <w:spacing w:line="360" w:lineRule="auto"/>
        <w:jc w:val="both"/>
        <w:rPr>
          <w:rFonts w:ascii="Times New Roman" w:hAnsi="Times New Roman" w:cs="Times New Roman"/>
          <w:lang w:val="en"/>
        </w:rPr>
      </w:pPr>
      <w:r>
        <w:rPr>
          <w:rFonts w:ascii="Times New Roman" w:hAnsi="Times New Roman" w:cs="Times New Roman"/>
          <w:lang w:val="en"/>
        </w:rPr>
        <w:t xml:space="preserve">In further, malnutrition and physiological changes affect the drug distribution in the elderly patients. </w:t>
      </w:r>
      <w:bookmarkStart w:id="53" w:name="OLE_LINK111"/>
      <w:bookmarkStart w:id="54" w:name="OLE_LINK112"/>
      <w:r>
        <w:rPr>
          <w:rFonts w:ascii="Times New Roman" w:hAnsi="Times New Roman" w:cs="Times New Roman"/>
          <w:lang w:val="en"/>
        </w:rPr>
        <w:t xml:space="preserve">Increased fat, reduced lean body weight and redistributed body fluids contribute to the different effect on hydrophilic and lipotropic antimicrobial agents, </w:t>
      </w:r>
      <w:bookmarkEnd w:id="53"/>
      <w:bookmarkEnd w:id="54"/>
      <w:r>
        <w:rPr>
          <w:rFonts w:ascii="Times New Roman" w:hAnsi="Times New Roman" w:cs="Times New Roman"/>
          <w:lang w:val="en"/>
        </w:rPr>
        <w:t xml:space="preserve">leading to a higher blood concentration of hydrophilic antibiotics and lower blood concentration of lipotropic antibiotics. </w:t>
      </w:r>
      <w:bookmarkStart w:id="55" w:name="OLE_LINK113"/>
      <w:bookmarkStart w:id="56" w:name="OLE_LINK114"/>
      <w:bookmarkStart w:id="57" w:name="OLE_LINK115"/>
      <w:r>
        <w:rPr>
          <w:rFonts w:ascii="Times New Roman" w:hAnsi="Times New Roman" w:cs="Times New Roman"/>
          <w:lang w:val="en"/>
        </w:rPr>
        <w:t>Lipotropic</w:t>
      </w:r>
      <w:r>
        <w:rPr>
          <w:rFonts w:ascii="Times New Roman" w:hAnsi="Times New Roman" w:cs="Times New Roman"/>
          <w:color w:val="000000" w:themeColor="text1"/>
          <w:szCs w:val="21"/>
          <w:lang w:val="en"/>
          <w14:textFill>
            <w14:solidFill>
              <w14:schemeClr w14:val="tx1"/>
            </w14:solidFill>
          </w14:textFill>
        </w:rPr>
        <w:t xml:space="preserve"> antibiotics, such as rifampicin, quinolones, tetracyclines, and voriconazole, are widely distributed in adipose tissue and have long half-life</w:t>
      </w:r>
      <w:bookmarkEnd w:id="55"/>
      <w:bookmarkEnd w:id="56"/>
      <w:bookmarkEnd w:id="57"/>
      <w:r>
        <w:rPr>
          <w:rFonts w:ascii="Times New Roman" w:hAnsi="Times New Roman" w:cs="Times New Roman"/>
          <w:color w:val="000000" w:themeColor="text1"/>
          <w:szCs w:val="21"/>
          <w:lang w:val="en"/>
          <w14:textFill>
            <w14:solidFill>
              <w14:schemeClr w14:val="tx1"/>
            </w14:solidFill>
          </w14:textFill>
        </w:rPr>
        <w:t xml:space="preserve"> </w:t>
      </w:r>
      <w:r>
        <w:rPr>
          <w:rFonts w:ascii="Times New Roman" w:hAnsi="Times New Roman" w:cs="Times New Roman"/>
          <w:lang w:val="en"/>
        </w:rPr>
        <w:t>[9]</w:t>
      </w:r>
      <w:r>
        <w:rPr>
          <w:rFonts w:ascii="Times New Roman" w:hAnsi="Times New Roman" w:cs="Times New Roman"/>
          <w:color w:val="000000" w:themeColor="text1"/>
          <w:szCs w:val="21"/>
          <w:lang w:val="en"/>
          <w14:textFill>
            <w14:solidFill>
              <w14:schemeClr w14:val="tx1"/>
            </w14:solidFill>
          </w14:textFill>
        </w:rPr>
        <w:t>.</w:t>
      </w:r>
      <w:bookmarkStart w:id="58" w:name="OLE_LINK116"/>
      <w:bookmarkStart w:id="59" w:name="OLE_LINK117"/>
      <w:bookmarkStart w:id="60" w:name="OLE_LINK118"/>
      <w:bookmarkStart w:id="61" w:name="OLE_LINK119"/>
      <w:r>
        <w:rPr>
          <w:rFonts w:ascii="Times New Roman" w:hAnsi="Times New Roman" w:cs="Times New Roman"/>
          <w:color w:val="000000" w:themeColor="text1"/>
          <w:szCs w:val="21"/>
          <w:lang w:val="en"/>
          <w14:textFill>
            <w14:solidFill>
              <w14:schemeClr w14:val="tx1"/>
            </w14:solidFill>
          </w14:textFill>
        </w:rPr>
        <w:t xml:space="preserve"> </w:t>
      </w:r>
      <w:r>
        <w:rPr>
          <w:rFonts w:ascii="Times New Roman" w:hAnsi="Times New Roman" w:cs="Times New Roman"/>
          <w:lang w:val="en"/>
        </w:rPr>
        <w:t>Malnutrition or chronic diseases result in reduced activation of partial hepatic cytochromes, and drug metabolism is reduced in patients with cachexia</w:t>
      </w:r>
      <w:bookmarkEnd w:id="58"/>
      <w:bookmarkEnd w:id="59"/>
      <w:bookmarkEnd w:id="60"/>
      <w:bookmarkEnd w:id="61"/>
      <w:r>
        <w:rPr>
          <w:rFonts w:ascii="Times New Roman" w:hAnsi="Times New Roman" w:cs="Times New Roman"/>
          <w:lang w:val="en"/>
        </w:rPr>
        <w:t xml:space="preserve"> [10]. </w:t>
      </w:r>
      <w:bookmarkStart w:id="62" w:name="OLE_LINK120"/>
      <w:bookmarkStart w:id="63" w:name="OLE_LINK121"/>
      <w:bookmarkStart w:id="64" w:name="OLE_LINK122"/>
      <w:bookmarkStart w:id="65" w:name="OLE_LINK123"/>
      <w:r>
        <w:rPr>
          <w:rFonts w:ascii="Times New Roman" w:hAnsi="Times New Roman" w:cs="Times New Roman"/>
          <w:lang w:val="en"/>
        </w:rPr>
        <w:t>However, changes in plasma protein binding do not obviously affect the drug exposure in these patients and most patients do not need an adjustive regimen</w:t>
      </w:r>
      <w:bookmarkEnd w:id="62"/>
      <w:bookmarkEnd w:id="63"/>
      <w:r>
        <w:rPr>
          <w:rFonts w:ascii="Times New Roman" w:hAnsi="Times New Roman" w:cs="Times New Roman"/>
          <w:lang w:val="en"/>
        </w:rPr>
        <w:t xml:space="preserve"> [</w:t>
      </w:r>
      <w:bookmarkEnd w:id="64"/>
      <w:bookmarkEnd w:id="65"/>
      <w:r>
        <w:rPr>
          <w:rFonts w:ascii="Times New Roman" w:hAnsi="Times New Roman" w:cs="Times New Roman"/>
          <w:lang w:val="en"/>
        </w:rPr>
        <w:t xml:space="preserve">11]. </w:t>
      </w:r>
      <w:bookmarkStart w:id="66" w:name="OLE_LINK129"/>
      <w:bookmarkStart w:id="67" w:name="OLE_LINK130"/>
      <w:bookmarkStart w:id="68" w:name="OLE_LINK135"/>
      <w:bookmarkStart w:id="69" w:name="OLE_LINK136"/>
      <w:bookmarkStart w:id="70" w:name="OLE_LINK126"/>
      <w:bookmarkStart w:id="71" w:name="OLE_LINK127"/>
      <w:bookmarkStart w:id="72" w:name="OLE_LINK128"/>
      <w:bookmarkStart w:id="73" w:name="OLE_LINK133"/>
      <w:bookmarkStart w:id="74" w:name="OLE_LINK134"/>
      <w:r>
        <w:rPr>
          <w:rFonts w:ascii="Times New Roman" w:hAnsi="Times New Roman" w:cs="Times New Roman"/>
          <w:lang w:val="en"/>
        </w:rPr>
        <w:t>Moreover, the fact of lower drug exposure</w:t>
      </w:r>
      <w:bookmarkEnd w:id="66"/>
      <w:bookmarkEnd w:id="67"/>
      <w:bookmarkStart w:id="75" w:name="OLE_LINK124"/>
      <w:bookmarkStart w:id="76" w:name="OLE_LINK125"/>
      <w:bookmarkStart w:id="77" w:name="OLE_LINK131"/>
      <w:bookmarkStart w:id="78" w:name="OLE_LINK132"/>
      <w:r>
        <w:rPr>
          <w:rFonts w:ascii="Times New Roman" w:hAnsi="Times New Roman" w:cs="Times New Roman"/>
          <w:lang w:val="en"/>
        </w:rPr>
        <w:t xml:space="preserve"> due to edema triggered by heart failure and liver cirrhosis, leading to dilution of</w:t>
      </w:r>
      <w:r>
        <w:rPr>
          <w:rFonts w:ascii="Times New Roman" w:hAnsi="Times New Roman" w:cs="Times New Roman"/>
          <w:color w:val="000000" w:themeColor="text1"/>
          <w:szCs w:val="21"/>
          <w:lang w:val="en"/>
          <w14:textFill>
            <w14:solidFill>
              <w14:schemeClr w14:val="tx1"/>
            </w14:solidFill>
          </w14:textFill>
        </w:rPr>
        <w:t xml:space="preserve"> </w:t>
      </w:r>
      <w:r>
        <w:rPr>
          <w:rFonts w:ascii="Times New Roman" w:hAnsi="Times New Roman" w:cs="Times New Roman"/>
          <w:lang w:val="en"/>
        </w:rPr>
        <w:t>hydrophilic antimicrobial agent</w:t>
      </w:r>
      <w:bookmarkEnd w:id="75"/>
      <w:bookmarkEnd w:id="76"/>
      <w:r>
        <w:rPr>
          <w:rFonts w:ascii="Times New Roman" w:hAnsi="Times New Roman" w:cs="Times New Roman"/>
          <w:lang w:val="en"/>
        </w:rPr>
        <w:t xml:space="preserve"> concentrations</w:t>
      </w:r>
      <w:bookmarkEnd w:id="68"/>
      <w:bookmarkEnd w:id="69"/>
      <w:r>
        <w:rPr>
          <w:rFonts w:ascii="Times New Roman" w:hAnsi="Times New Roman" w:cs="Times New Roman"/>
          <w:lang w:val="en"/>
        </w:rPr>
        <w:t>.</w:t>
      </w:r>
      <w:bookmarkEnd w:id="70"/>
      <w:bookmarkEnd w:id="71"/>
      <w:bookmarkEnd w:id="72"/>
      <w:bookmarkEnd w:id="73"/>
      <w:bookmarkEnd w:id="74"/>
      <w:bookmarkEnd w:id="77"/>
      <w:bookmarkEnd w:id="78"/>
      <w:r>
        <w:rPr>
          <w:rFonts w:ascii="Times New Roman" w:hAnsi="Times New Roman" w:cs="Times New Roman"/>
          <w:lang w:val="en"/>
        </w:rPr>
        <w:t xml:space="preserve"> </w:t>
      </w:r>
      <w:bookmarkStart w:id="79" w:name="OLE_LINK137"/>
      <w:bookmarkStart w:id="80" w:name="OLE_LINK138"/>
      <w:r>
        <w:rPr>
          <w:rFonts w:ascii="Times New Roman" w:hAnsi="Times New Roman" w:cs="Times New Roman"/>
          <w:lang w:val="en"/>
        </w:rPr>
        <w:t>Therefore, higher dose or continuous intravenous infusion</w:t>
      </w:r>
      <w:bookmarkEnd w:id="79"/>
      <w:bookmarkEnd w:id="80"/>
      <w:r>
        <w:rPr>
          <w:rFonts w:ascii="Times New Roman" w:hAnsi="Times New Roman" w:cs="Times New Roman"/>
          <w:lang w:val="en"/>
        </w:rPr>
        <w:t xml:space="preserve"> maybe more </w:t>
      </w:r>
      <w:bookmarkStart w:id="81" w:name="OLE_LINK324"/>
      <w:bookmarkStart w:id="82" w:name="OLE_LINK325"/>
      <w:r>
        <w:rPr>
          <w:rFonts w:ascii="Times New Roman" w:hAnsi="Times New Roman" w:cs="Times New Roman"/>
          <w:lang w:val="en"/>
        </w:rPr>
        <w:t xml:space="preserve">prevalent </w:t>
      </w:r>
      <w:bookmarkEnd w:id="81"/>
      <w:bookmarkEnd w:id="82"/>
      <w:r>
        <w:rPr>
          <w:rFonts w:ascii="Times New Roman" w:hAnsi="Times New Roman" w:cs="Times New Roman"/>
          <w:lang w:val="en"/>
        </w:rPr>
        <w:t xml:space="preserve">for those patients [12,13]. </w:t>
      </w:r>
      <w:r>
        <w:rPr>
          <w:rFonts w:ascii="Times New Roman" w:hAnsi="Times New Roman" w:cs="Times New Roman"/>
          <w:color w:val="000000" w:themeColor="text1"/>
          <w:szCs w:val="21"/>
          <w:lang w:val="en"/>
          <w14:textFill>
            <w14:solidFill>
              <w14:schemeClr w14:val="tx1"/>
            </w14:solidFill>
          </w14:textFill>
        </w:rPr>
        <w:t>Due to aging or liver disease,</w:t>
      </w:r>
      <w:bookmarkStart w:id="83" w:name="OLE_LINK347"/>
      <w:bookmarkStart w:id="84" w:name="OLE_LINK348"/>
      <w:r>
        <w:rPr>
          <w:rFonts w:ascii="Times New Roman" w:hAnsi="Times New Roman" w:cs="Times New Roman"/>
          <w:color w:val="000000" w:themeColor="text1"/>
          <w:szCs w:val="21"/>
          <w:lang w:val="en"/>
          <w14:textFill>
            <w14:solidFill>
              <w14:schemeClr w14:val="tx1"/>
            </w14:solidFill>
          </w14:textFill>
        </w:rPr>
        <w:t xml:space="preserve"> </w:t>
      </w:r>
      <w:bookmarkStart w:id="85" w:name="OLE_LINK139"/>
      <w:bookmarkStart w:id="86" w:name="OLE_LINK140"/>
      <w:r>
        <w:rPr>
          <w:rFonts w:ascii="Times New Roman" w:hAnsi="Times New Roman" w:cs="Times New Roman"/>
          <w:lang w:val="en"/>
        </w:rPr>
        <w:t xml:space="preserve">hepatic </w:t>
      </w:r>
      <w:bookmarkEnd w:id="83"/>
      <w:bookmarkEnd w:id="84"/>
      <w:r>
        <w:rPr>
          <w:rFonts w:ascii="Times New Roman" w:hAnsi="Times New Roman" w:cs="Times New Roman"/>
          <w:lang w:val="en"/>
        </w:rPr>
        <w:t>function</w:t>
      </w:r>
      <w:r>
        <w:rPr>
          <w:rFonts w:ascii="Times New Roman" w:hAnsi="Times New Roman" w:cs="Times New Roman"/>
          <w:color w:val="000000" w:themeColor="text1"/>
          <w:szCs w:val="21"/>
          <w:lang w:val="en"/>
          <w14:textFill>
            <w14:solidFill>
              <w14:schemeClr w14:val="tx1"/>
            </w14:solidFill>
          </w14:textFill>
        </w:rPr>
        <w:t xml:space="preserve"> has a distinct effect on metabolism</w:t>
      </w:r>
      <w:bookmarkEnd w:id="85"/>
      <w:bookmarkEnd w:id="86"/>
      <w:r>
        <w:rPr>
          <w:rFonts w:ascii="Times New Roman" w:hAnsi="Times New Roman" w:cs="Times New Roman"/>
          <w:color w:val="000000" w:themeColor="text1"/>
          <w:szCs w:val="21"/>
          <w:lang w:val="en"/>
          <w14:textFill>
            <w14:solidFill>
              <w14:schemeClr w14:val="tx1"/>
            </w14:solidFill>
          </w14:textFill>
        </w:rPr>
        <w:t xml:space="preserve">. </w:t>
      </w:r>
      <w:r>
        <w:rPr>
          <w:rFonts w:ascii="Times New Roman" w:hAnsi="Times New Roman" w:cs="Times New Roman"/>
          <w:lang w:val="en"/>
        </w:rPr>
        <w:t>Voriconazole, linezolid and tigecycline have a long half-life because of reduced metabolism by decreased hepatic blood flow or liver function [9,14].</w:t>
      </w:r>
      <w:bookmarkStart w:id="87" w:name="OLE_LINK147"/>
      <w:bookmarkStart w:id="88" w:name="OLE_LINK148"/>
      <w:r>
        <w:rPr>
          <w:rFonts w:ascii="Times New Roman" w:hAnsi="Times New Roman" w:cs="Times New Roman"/>
          <w:lang w:val="en"/>
        </w:rPr>
        <w:t xml:space="preserve"> </w:t>
      </w:r>
      <w:bookmarkStart w:id="89" w:name="OLE_LINK143"/>
      <w:bookmarkStart w:id="90" w:name="OLE_LINK144"/>
      <w:bookmarkStart w:id="91" w:name="OLE_LINK145"/>
      <w:bookmarkStart w:id="92" w:name="OLE_LINK146"/>
      <w:r>
        <w:rPr>
          <w:rFonts w:ascii="Times New Roman" w:hAnsi="Times New Roman" w:cs="Times New Roman"/>
          <w:lang w:val="en"/>
        </w:rPr>
        <w:t xml:space="preserve">Comorbidities are usually accompanied by multiple drug treatment in </w:t>
      </w:r>
      <w:bookmarkStart w:id="93" w:name="OLE_LINK141"/>
      <w:bookmarkStart w:id="94" w:name="OLE_LINK142"/>
      <w:r>
        <w:rPr>
          <w:rFonts w:ascii="Times New Roman" w:hAnsi="Times New Roman" w:cs="Times New Roman"/>
          <w:color w:val="000000" w:themeColor="text1"/>
          <w:szCs w:val="21"/>
          <w:lang w:val="en"/>
          <w14:textFill>
            <w14:solidFill>
              <w14:schemeClr w14:val="tx1"/>
            </w14:solidFill>
          </w14:textFill>
        </w:rPr>
        <w:t>elderly patients, which leads to DDIs and is important for</w:t>
      </w:r>
      <w:r>
        <w:rPr>
          <w:rFonts w:ascii="Times New Roman" w:hAnsi="Times New Roman" w:cs="Times New Roman"/>
          <w:lang w:val="en"/>
        </w:rPr>
        <w:t xml:space="preserve"> liver enzyme substrates </w:t>
      </w:r>
      <w:r>
        <w:rPr>
          <w:rFonts w:ascii="Times New Roman" w:hAnsi="Times New Roman" w:cs="Times New Roman"/>
          <w:color w:val="000000" w:themeColor="text1"/>
          <w:szCs w:val="21"/>
          <w:lang w:val="en"/>
          <w14:textFill>
            <w14:solidFill>
              <w14:schemeClr w14:val="tx1"/>
            </w14:solidFill>
          </w14:textFill>
        </w:rPr>
        <w:t>such as azoles, quinolones, antiviral drugs and macrolides</w:t>
      </w:r>
      <w:bookmarkEnd w:id="87"/>
      <w:bookmarkEnd w:id="88"/>
      <w:bookmarkEnd w:id="89"/>
      <w:bookmarkEnd w:id="90"/>
      <w:r>
        <w:rPr>
          <w:rFonts w:ascii="Times New Roman" w:hAnsi="Times New Roman" w:cs="Times New Roman"/>
          <w:color w:val="000000" w:themeColor="text1"/>
          <w:szCs w:val="21"/>
          <w:lang w:val="en"/>
          <w14:textFill>
            <w14:solidFill>
              <w14:schemeClr w14:val="tx1"/>
            </w14:solidFill>
          </w14:textFill>
        </w:rPr>
        <w:t xml:space="preserve"> </w:t>
      </w:r>
      <w:bookmarkEnd w:id="91"/>
      <w:bookmarkEnd w:id="92"/>
      <w:bookmarkEnd w:id="93"/>
      <w:bookmarkEnd w:id="94"/>
      <w:r>
        <w:rPr>
          <w:rFonts w:ascii="Times New Roman" w:hAnsi="Times New Roman" w:cs="Times New Roman"/>
          <w:color w:val="000000" w:themeColor="text1"/>
          <w:szCs w:val="21"/>
          <w:lang w:val="en"/>
          <w14:textFill>
            <w14:solidFill>
              <w14:schemeClr w14:val="tx1"/>
            </w14:solidFill>
          </w14:textFill>
        </w:rPr>
        <w:t xml:space="preserve">[15]. For patients with impaired liver function, it is necessary to assess the patient's liver function and adjust the dose of the </w:t>
      </w:r>
      <w:r>
        <w:rPr>
          <w:rFonts w:ascii="Times New Roman" w:hAnsi="Times New Roman" w:cs="Times New Roman"/>
          <w:lang w:val="en"/>
        </w:rPr>
        <w:t xml:space="preserve">drug according to the latest pk-pd research results [16]. </w:t>
      </w:r>
    </w:p>
    <w:p>
      <w:pPr>
        <w:spacing w:line="360" w:lineRule="auto"/>
        <w:jc w:val="both"/>
        <w:rPr>
          <w:rFonts w:ascii="Times New Roman" w:hAnsi="Times New Roman" w:cs="Times New Roman"/>
          <w:lang w:val="en"/>
        </w:rPr>
      </w:pPr>
      <w:bookmarkStart w:id="95" w:name="OLE_LINK149"/>
      <w:bookmarkStart w:id="96" w:name="OLE_LINK150"/>
      <w:r>
        <w:rPr>
          <w:rFonts w:ascii="Times New Roman" w:hAnsi="Times New Roman" w:cs="Times New Roman"/>
          <w:lang w:val="en"/>
        </w:rPr>
        <w:t>It is critical for elderly patients considering the impact of drug clearance on antimicrobial exposure.</w:t>
      </w:r>
      <w:bookmarkEnd w:id="95"/>
      <w:bookmarkEnd w:id="96"/>
      <w:r>
        <w:rPr>
          <w:rFonts w:ascii="Times New Roman" w:hAnsi="Times New Roman" w:cs="Times New Roman"/>
          <w:lang w:val="en"/>
        </w:rPr>
        <w:t xml:space="preserve"> Renal dysfunction is common in the elderly which results in drugs accumulation, higher serum concentration, even toxicity [17]. </w:t>
      </w:r>
      <w:bookmarkStart w:id="97" w:name="OLE_LINK156"/>
      <w:bookmarkStart w:id="98" w:name="OLE_LINK157"/>
      <w:bookmarkStart w:id="99" w:name="OLE_LINK153"/>
      <w:bookmarkStart w:id="100" w:name="OLE_LINK154"/>
      <w:bookmarkStart w:id="101" w:name="OLE_LINK155"/>
      <w:bookmarkStart w:id="102" w:name="OLE_LINK158"/>
      <w:bookmarkStart w:id="103" w:name="OLE_LINK159"/>
      <w:r>
        <w:rPr>
          <w:rFonts w:ascii="Times New Roman" w:hAnsi="Times New Roman" w:cs="Times New Roman"/>
          <w:lang w:val="en"/>
        </w:rPr>
        <w:t>By the renal elimination, drugs</w:t>
      </w:r>
      <w:bookmarkStart w:id="104" w:name="OLE_LINK151"/>
      <w:bookmarkStart w:id="105" w:name="OLE_LINK152"/>
      <w:r>
        <w:rPr>
          <w:rFonts w:ascii="Times New Roman" w:hAnsi="Times New Roman" w:cs="Times New Roman"/>
          <w:lang w:val="en"/>
        </w:rPr>
        <w:t xml:space="preserve"> have more pronounced accumulation</w:t>
      </w:r>
      <w:bookmarkEnd w:id="97"/>
      <w:bookmarkEnd w:id="98"/>
      <w:r>
        <w:rPr>
          <w:rFonts w:ascii="Times New Roman" w:hAnsi="Times New Roman" w:cs="Times New Roman"/>
          <w:lang w:val="en"/>
        </w:rPr>
        <w:t xml:space="preserve"> due to impaired kidney function </w:t>
      </w:r>
      <w:bookmarkEnd w:id="99"/>
      <w:bookmarkEnd w:id="100"/>
      <w:bookmarkEnd w:id="101"/>
      <w:bookmarkEnd w:id="102"/>
      <w:bookmarkEnd w:id="103"/>
      <w:bookmarkEnd w:id="104"/>
      <w:bookmarkEnd w:id="105"/>
      <w:r>
        <w:rPr>
          <w:rFonts w:ascii="Times New Roman" w:hAnsi="Times New Roman" w:cs="Times New Roman"/>
          <w:lang w:val="en"/>
        </w:rPr>
        <w:t xml:space="preserve">[18]. </w:t>
      </w:r>
      <w:bookmarkStart w:id="106" w:name="OLE_LINK160"/>
      <w:bookmarkStart w:id="107" w:name="OLE_LINK161"/>
      <w:r>
        <w:rPr>
          <w:rFonts w:ascii="Times New Roman" w:hAnsi="Times New Roman" w:cs="Times New Roman"/>
          <w:lang w:val="en"/>
        </w:rPr>
        <w:t xml:space="preserve">Therefore, it is essential to monitor renal function when evaluating the pharmacokinetics of antibiotics in elderly patients. </w:t>
      </w:r>
      <w:bookmarkEnd w:id="106"/>
      <w:bookmarkEnd w:id="107"/>
      <w:bookmarkStart w:id="108" w:name="OLE_LINK162"/>
      <w:bookmarkStart w:id="109" w:name="OLE_LINK163"/>
      <w:bookmarkStart w:id="110" w:name="OLE_LINK164"/>
      <w:bookmarkStart w:id="111" w:name="OLE_LINK165"/>
      <w:r>
        <w:rPr>
          <w:rFonts w:ascii="Times New Roman" w:hAnsi="Times New Roman" w:cs="Times New Roman"/>
          <w:lang w:val="en"/>
        </w:rPr>
        <w:t>The renal function is crucial for clearance of most antimicrobials, including β-lactams, glycopeptides, aminoglycosides, daptomycin, ciprofloxacin, levofloxacin, trimethoprim/sulfamethoxazole</w:t>
      </w:r>
      <w:bookmarkEnd w:id="108"/>
      <w:bookmarkEnd w:id="109"/>
      <w:bookmarkEnd w:id="110"/>
      <w:bookmarkEnd w:id="111"/>
      <w:r>
        <w:rPr>
          <w:rFonts w:ascii="Times New Roman" w:hAnsi="Times New Roman" w:cs="Times New Roman"/>
          <w:lang w:val="en"/>
        </w:rPr>
        <w:t xml:space="preserve"> (TMP/SMX), etc [19]. The Cockcroft-Gault formula is one of widely applied and reliable methods to assess renal function [20]. </w:t>
      </w:r>
    </w:p>
    <w:p>
      <w:pPr>
        <w:spacing w:line="360" w:lineRule="auto"/>
        <w:jc w:val="both"/>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3.</w:t>
      </w:r>
      <w:r>
        <w:rPr>
          <w:rFonts w:ascii="Times New Roman" w:hAnsi="Times New Roman" w:cs="Times New Roman"/>
          <w:b/>
          <w:bCs/>
        </w:rPr>
        <w:t xml:space="preserve"> Drug-resistant bacteria</w:t>
      </w:r>
      <w:r>
        <w:rPr>
          <w:rFonts w:ascii="Times New Roman" w:hAnsi="Times New Roman" w:cs="Times New Roman"/>
          <w:b/>
          <w:bCs/>
          <w:color w:val="000000" w:themeColor="text1"/>
          <w:szCs w:val="21"/>
          <w14:textFill>
            <w14:solidFill>
              <w14:schemeClr w14:val="tx1"/>
            </w14:solidFill>
          </w14:textFill>
        </w:rPr>
        <w:t xml:space="preserve"> considerations</w:t>
      </w:r>
    </w:p>
    <w:p>
      <w:pPr>
        <w:spacing w:line="360" w:lineRule="auto"/>
        <w:jc w:val="both"/>
        <w:rPr>
          <w:rFonts w:ascii="Times New Roman" w:hAnsi="Times New Roman" w:cs="Times New Roman"/>
          <w:lang w:val="en"/>
        </w:rPr>
      </w:pPr>
      <w:bookmarkStart w:id="112" w:name="OLE_LINK169"/>
      <w:bookmarkStart w:id="113" w:name="OLE_LINK168"/>
      <w:r>
        <w:rPr>
          <w:rFonts w:ascii="Times New Roman" w:hAnsi="Times New Roman" w:cs="Times New Roman"/>
          <w:lang w:val="en"/>
        </w:rPr>
        <w:t xml:space="preserve">Drug-resistant bacteria is an extremely serious problem in the treatment of infectious disease. </w:t>
      </w:r>
      <w:bookmarkEnd w:id="112"/>
      <w:bookmarkEnd w:id="113"/>
      <w:r>
        <w:rPr>
          <w:rFonts w:ascii="Times New Roman" w:hAnsi="Times New Roman" w:cs="Times New Roman"/>
          <w:lang w:val="en"/>
        </w:rPr>
        <w:t xml:space="preserve">[21]. Once multi-drug resistant bacteria emerged, the choice of antibiotics for the elderly is limited. </w:t>
      </w:r>
      <w:bookmarkStart w:id="114" w:name="OLE_LINK175"/>
      <w:bookmarkStart w:id="115" w:name="OLE_LINK174"/>
      <w:r>
        <w:rPr>
          <w:rFonts w:ascii="Times New Roman" w:hAnsi="Times New Roman" w:cs="Times New Roman"/>
          <w:lang w:val="en"/>
        </w:rPr>
        <w:t>Actually, the</w:t>
      </w:r>
      <w:bookmarkStart w:id="116" w:name="OLE_LINK170"/>
      <w:bookmarkStart w:id="117" w:name="OLE_LINK171"/>
      <w:r>
        <w:rPr>
          <w:rFonts w:ascii="Times New Roman" w:hAnsi="Times New Roman" w:cs="Times New Roman"/>
          <w:lang w:val="en"/>
        </w:rPr>
        <w:t xml:space="preserve"> infectious risk of resistant bacteria has mounted up </w:t>
      </w:r>
      <w:bookmarkEnd w:id="114"/>
      <w:bookmarkEnd w:id="115"/>
      <w:bookmarkEnd w:id="116"/>
      <w:bookmarkEnd w:id="117"/>
      <w:r>
        <w:rPr>
          <w:rFonts w:ascii="Times New Roman" w:hAnsi="Times New Roman" w:cs="Times New Roman"/>
          <w:lang w:val="en"/>
        </w:rPr>
        <w:t>[22]. I</w:t>
      </w:r>
      <w:bookmarkStart w:id="118" w:name="OLE_LINK178"/>
      <w:bookmarkStart w:id="119" w:name="OLE_LINK179"/>
      <w:r>
        <w:rPr>
          <w:rFonts w:ascii="Times New Roman" w:hAnsi="Times New Roman" w:cs="Times New Roman"/>
          <w:lang w:val="en"/>
        </w:rPr>
        <w:t xml:space="preserve">n terms of risks of MDR bacterial infections, it is acknowledged that chronic disease, hospitalization, impaired immune function, invasive medical devices </w:t>
      </w:r>
      <w:bookmarkEnd w:id="118"/>
      <w:bookmarkEnd w:id="119"/>
      <w:r>
        <w:rPr>
          <w:rFonts w:ascii="Times New Roman" w:hAnsi="Times New Roman" w:cs="Times New Roman"/>
          <w:lang w:val="en"/>
        </w:rPr>
        <w:t>are of importance [23-25].</w:t>
      </w:r>
      <w:bookmarkStart w:id="120" w:name="OLE_LINK181"/>
      <w:bookmarkStart w:id="121" w:name="OLE_LINK182"/>
      <w:bookmarkStart w:id="122" w:name="OLE_LINK180"/>
      <w:r>
        <w:rPr>
          <w:rFonts w:ascii="Times New Roman" w:hAnsi="Times New Roman" w:cs="Times New Roman"/>
          <w:lang w:val="en"/>
        </w:rPr>
        <w:t xml:space="preserve">The infections of ESBs, MRSA, and enterococcus in care settings are pervasive, which leads to higher mortality, longer hospital stays and more heavier financial burden </w:t>
      </w:r>
      <w:bookmarkEnd w:id="120"/>
      <w:bookmarkEnd w:id="121"/>
      <w:bookmarkEnd w:id="122"/>
      <w:r>
        <w:rPr>
          <w:rFonts w:ascii="Times New Roman" w:hAnsi="Times New Roman" w:cs="Times New Roman"/>
          <w:lang w:val="en"/>
        </w:rPr>
        <w:t xml:space="preserve">[26]. The </w:t>
      </w:r>
      <w:bookmarkStart w:id="123" w:name="OLE_LINK184"/>
      <w:bookmarkStart w:id="124" w:name="OLE_LINK186"/>
      <w:bookmarkStart w:id="125" w:name="OLE_LINK185"/>
      <w:bookmarkStart w:id="126" w:name="OLE_LINK183"/>
      <w:bookmarkStart w:id="127" w:name="OLE_LINK188"/>
      <w:bookmarkStart w:id="128" w:name="OLE_LINK187"/>
      <w:r>
        <w:rPr>
          <w:rFonts w:ascii="Times New Roman" w:hAnsi="Times New Roman" w:cs="Times New Roman"/>
          <w:lang w:val="en"/>
        </w:rPr>
        <w:t>previous study showed that drug-resistant bacterial infections are not attributable to "old age" itself as a direct risk factor</w:t>
      </w:r>
      <w:bookmarkEnd w:id="123"/>
      <w:bookmarkEnd w:id="124"/>
      <w:bookmarkEnd w:id="125"/>
      <w:bookmarkEnd w:id="126"/>
      <w:r>
        <w:rPr>
          <w:rFonts w:ascii="Times New Roman" w:hAnsi="Times New Roman" w:cs="Times New Roman"/>
          <w:lang w:val="en"/>
        </w:rPr>
        <w:t xml:space="preserve"> </w:t>
      </w:r>
      <w:bookmarkEnd w:id="127"/>
      <w:bookmarkEnd w:id="128"/>
      <w:r>
        <w:rPr>
          <w:rFonts w:ascii="Times New Roman" w:hAnsi="Times New Roman" w:cs="Times New Roman"/>
          <w:lang w:val="en"/>
        </w:rPr>
        <w:t>[27].</w:t>
      </w:r>
      <w:bookmarkStart w:id="129" w:name="OLE_LINK189"/>
      <w:bookmarkStart w:id="130" w:name="OLE_LINK190"/>
      <w:bookmarkStart w:id="131" w:name="OLE_LINK191"/>
      <w:bookmarkStart w:id="132" w:name="OLE_LINK192"/>
      <w:r>
        <w:rPr>
          <w:rFonts w:ascii="Times New Roman" w:hAnsi="Times New Roman" w:cs="Times New Roman"/>
          <w:lang w:val="en"/>
        </w:rPr>
        <w:t xml:space="preserve"> </w:t>
      </w:r>
      <w:bookmarkStart w:id="133" w:name="OLE_LINK197"/>
      <w:bookmarkStart w:id="134" w:name="OLE_LINK198"/>
      <w:r>
        <w:rPr>
          <w:rFonts w:ascii="Times New Roman" w:hAnsi="Times New Roman" w:cs="Times New Roman"/>
          <w:lang w:val="en"/>
        </w:rPr>
        <w:t xml:space="preserve">In conclusion, we must take into account this problem rationally and place more emphases on the rational choice of antibiotics. Any inappropriate use of broad-spectrum antibiotics will pay a heavy price because of "old age". </w:t>
      </w:r>
      <w:bookmarkEnd w:id="129"/>
      <w:bookmarkEnd w:id="130"/>
      <w:bookmarkEnd w:id="131"/>
      <w:bookmarkEnd w:id="132"/>
      <w:bookmarkEnd w:id="133"/>
      <w:bookmarkEnd w:id="134"/>
    </w:p>
    <w:p>
      <w:pPr>
        <w:spacing w:line="360" w:lineRule="auto"/>
        <w:jc w:val="both"/>
        <w:rPr>
          <w:rFonts w:ascii="Times New Roman" w:hAnsi="Times New Roman" w:cs="Times New Roman"/>
          <w:b/>
          <w:bCs/>
        </w:rPr>
      </w:pPr>
      <w:r>
        <w:rPr>
          <w:rFonts w:ascii="Times New Roman" w:hAnsi="Times New Roman" w:cs="Times New Roman"/>
          <w:b/>
          <w:bCs/>
        </w:rPr>
        <w:t>4.</w:t>
      </w:r>
      <w:bookmarkStart w:id="135" w:name="OLE_LINK201"/>
      <w:bookmarkStart w:id="136" w:name="OLE_LINK202"/>
      <w:r>
        <w:rPr>
          <w:rFonts w:ascii="Times New Roman" w:hAnsi="Times New Roman" w:cs="Times New Roman"/>
          <w:b/>
          <w:bCs/>
        </w:rPr>
        <w:t>Adverse drug reaction</w:t>
      </w:r>
      <w:bookmarkEnd w:id="135"/>
      <w:bookmarkEnd w:id="136"/>
      <w:r>
        <w:rPr>
          <w:rFonts w:ascii="Times New Roman" w:hAnsi="Times New Roman" w:cs="Times New Roman"/>
          <w:b/>
          <w:bCs/>
        </w:rPr>
        <w:t xml:space="preserve"> (ADR) considerations</w:t>
      </w:r>
    </w:p>
    <w:p>
      <w:pPr>
        <w:spacing w:line="360" w:lineRule="auto"/>
        <w:jc w:val="both"/>
        <w:rPr>
          <w:rFonts w:ascii="Times New Roman" w:hAnsi="Times New Roman" w:cs="Times New Roman"/>
          <w:lang w:val="en"/>
        </w:rPr>
      </w:pPr>
      <w:r>
        <w:rPr>
          <w:rFonts w:ascii="Times New Roman" w:hAnsi="Times New Roman" w:cs="Times New Roman"/>
          <w:lang w:val="en"/>
        </w:rPr>
        <w:t xml:space="preserve">In general, </w:t>
      </w:r>
      <w:bookmarkStart w:id="137" w:name="OLE_LINK1"/>
      <w:bookmarkStart w:id="138" w:name="OLE_LINK2"/>
      <w:r>
        <w:rPr>
          <w:rFonts w:ascii="Times New Roman" w:hAnsi="Times New Roman" w:cs="Times New Roman"/>
          <w:lang w:val="en"/>
        </w:rPr>
        <w:t xml:space="preserve">multiple drugs and comorbidity is the major cause of morbidity and mortality and is associated with high ADRs </w:t>
      </w:r>
      <w:bookmarkEnd w:id="137"/>
      <w:bookmarkEnd w:id="138"/>
      <w:r>
        <w:rPr>
          <w:rFonts w:ascii="Times New Roman" w:hAnsi="Times New Roman" w:cs="Times New Roman"/>
          <w:lang w:val="en"/>
        </w:rPr>
        <w:t xml:space="preserve">[28]. CLARICOR study showed that the 65-year-old patients in clarithromycin group was related to a higher risk rates of cardiovascular death than the placebo group [29]. </w:t>
      </w:r>
      <w:bookmarkStart w:id="139" w:name="OLE_LINK205"/>
      <w:bookmarkStart w:id="140" w:name="OLE_LINK206"/>
      <w:bookmarkStart w:id="141" w:name="OLE_LINK207"/>
      <w:bookmarkStart w:id="142" w:name="OLE_LINK208"/>
      <w:bookmarkStart w:id="143" w:name="OLE_LINK209"/>
      <w:bookmarkStart w:id="144" w:name="OLE_LINK203"/>
      <w:bookmarkStart w:id="145" w:name="OLE_LINK204"/>
      <w:r>
        <w:rPr>
          <w:rFonts w:ascii="Times New Roman" w:hAnsi="Times New Roman" w:cs="Times New Roman"/>
          <w:lang w:val="en"/>
        </w:rPr>
        <w:t>Similarly, when it comes to arrhythmias and longer QT intervals, it is calling for more attention to the risk of heart-related adverse events</w:t>
      </w:r>
      <w:bookmarkEnd w:id="139"/>
      <w:bookmarkEnd w:id="140"/>
      <w:bookmarkEnd w:id="141"/>
      <w:r>
        <w:rPr>
          <w:rFonts w:ascii="Times New Roman" w:hAnsi="Times New Roman" w:cs="Times New Roman"/>
          <w:lang w:val="en"/>
        </w:rPr>
        <w:t xml:space="preserve"> caused by quinolones. There has been an increasing awareness that prolonged QT intervals is associated with moxifloxacin. </w:t>
      </w:r>
      <w:bookmarkEnd w:id="142"/>
      <w:bookmarkEnd w:id="143"/>
      <w:bookmarkEnd w:id="144"/>
      <w:bookmarkEnd w:id="145"/>
      <w:r>
        <w:rPr>
          <w:rFonts w:ascii="Times New Roman" w:hAnsi="Times New Roman" w:cs="Times New Roman"/>
          <w:lang w:val="en"/>
        </w:rPr>
        <w:t>[30]. Quinolones are at risk of developing arrhythmias in elderly patients [31].</w:t>
      </w:r>
      <w:bookmarkStart w:id="146" w:name="OLE_LINK214"/>
      <w:bookmarkStart w:id="147" w:name="OLE_LINK215"/>
      <w:r>
        <w:rPr>
          <w:rFonts w:ascii="Times New Roman" w:hAnsi="Times New Roman" w:cs="Times New Roman"/>
          <w:lang w:val="en"/>
        </w:rPr>
        <w:t xml:space="preserve"> </w:t>
      </w:r>
      <w:bookmarkEnd w:id="146"/>
      <w:bookmarkEnd w:id="147"/>
    </w:p>
    <w:p>
      <w:pPr>
        <w:spacing w:line="360" w:lineRule="auto"/>
        <w:jc w:val="both"/>
        <w:rPr>
          <w:rFonts w:ascii="Times New Roman" w:hAnsi="Times New Roman" w:cs="Times New Roman"/>
          <w:lang w:val="en"/>
        </w:rPr>
      </w:pPr>
      <w:r>
        <w:rPr>
          <w:rFonts w:ascii="Times New Roman" w:hAnsi="Times New Roman" w:cs="Times New Roman"/>
          <w:lang w:val="en"/>
        </w:rPr>
        <w:t xml:space="preserve">There is no denying the fact that thrombocytopenia is a noteworthy ADR. </w:t>
      </w:r>
      <w:bookmarkStart w:id="148" w:name="OLE_LINK222"/>
      <w:bookmarkStart w:id="149" w:name="OLE_LINK221"/>
      <w:r>
        <w:rPr>
          <w:rFonts w:ascii="Times New Roman" w:hAnsi="Times New Roman" w:cs="Times New Roman"/>
          <w:lang w:val="en"/>
        </w:rPr>
        <w:t>Bi et al. reported that 24% of the elderly patients developed linezolid-related thrombocytopenia, and the lower thrombocyte baseline is accompanied with the higher adverse reaction risk</w:t>
      </w:r>
      <w:bookmarkEnd w:id="148"/>
      <w:bookmarkEnd w:id="149"/>
      <w:r>
        <w:rPr>
          <w:rFonts w:ascii="Times New Roman" w:hAnsi="Times New Roman" w:cs="Times New Roman"/>
          <w:lang w:val="en"/>
        </w:rPr>
        <w:t xml:space="preserve"> [32]. </w:t>
      </w:r>
      <w:bookmarkStart w:id="150" w:name="OLE_LINK224"/>
      <w:bookmarkStart w:id="151" w:name="OLE_LINK223"/>
      <w:r>
        <w:rPr>
          <w:rFonts w:ascii="Times New Roman" w:hAnsi="Times New Roman" w:cs="Times New Roman"/>
          <w:lang w:val="en"/>
        </w:rPr>
        <w:t xml:space="preserve">Therefore, </w:t>
      </w:r>
      <w:bookmarkEnd w:id="150"/>
      <w:bookmarkEnd w:id="151"/>
      <w:r>
        <w:rPr>
          <w:rFonts w:ascii="Times New Roman" w:hAnsi="Times New Roman" w:cs="Times New Roman"/>
          <w:lang w:val="en"/>
        </w:rPr>
        <w:t>it is wise to address the skeletal and musculoskeletal problems triggered by some antibiotics. For example, daptomycin and quinolones can lead to creatine kinase elevations [33-34].</w:t>
      </w:r>
    </w:p>
    <w:p>
      <w:pPr>
        <w:spacing w:line="360" w:lineRule="auto"/>
        <w:jc w:val="both"/>
        <w:rPr>
          <w:rFonts w:ascii="Times New Roman" w:hAnsi="Times New Roman" w:cs="Times New Roman"/>
          <w:lang w:val="en"/>
        </w:rPr>
      </w:pPr>
      <w:bookmarkStart w:id="152" w:name="OLE_LINK227"/>
      <w:bookmarkStart w:id="153" w:name="OLE_LINK228"/>
      <w:bookmarkStart w:id="154" w:name="OLE_LINK229"/>
      <w:r>
        <w:rPr>
          <w:rFonts w:ascii="Times New Roman" w:hAnsi="Times New Roman" w:cs="Times New Roman"/>
          <w:lang w:val="en"/>
        </w:rPr>
        <w:t xml:space="preserve">Usually, metabolism-related side-effects are easier to ignore. The risk of fluctuation of blood glucose was obvious in the case that levofloxacin combined with hypoglycemic agents in elderly diabetic patients </w:t>
      </w:r>
      <w:bookmarkEnd w:id="152"/>
      <w:bookmarkEnd w:id="153"/>
      <w:bookmarkEnd w:id="154"/>
      <w:r>
        <w:rPr>
          <w:rFonts w:ascii="Times New Roman" w:hAnsi="Times New Roman" w:cs="Times New Roman"/>
          <w:lang w:val="en"/>
        </w:rPr>
        <w:t>[35,36].</w:t>
      </w:r>
      <w:bookmarkStart w:id="155" w:name="OLE_LINK232"/>
      <w:bookmarkStart w:id="156" w:name="OLE_LINK233"/>
      <w:r>
        <w:rPr>
          <w:rFonts w:ascii="Times New Roman" w:hAnsi="Times New Roman" w:cs="Times New Roman"/>
          <w:lang w:val="en"/>
        </w:rPr>
        <w:t xml:space="preserve"> Clinicians always pay attention to renal impairment caused by vancomycin and aminoglycosides. However, renal function impairment caused by beta-lactams also should not be ignored</w:t>
      </w:r>
      <w:bookmarkEnd w:id="155"/>
      <w:bookmarkEnd w:id="156"/>
      <w:r>
        <w:rPr>
          <w:rFonts w:ascii="Times New Roman" w:hAnsi="Times New Roman" w:cs="Times New Roman"/>
          <w:lang w:val="en"/>
        </w:rPr>
        <w:t xml:space="preserve"> [37,38].</w:t>
      </w:r>
    </w:p>
    <w:p>
      <w:pPr>
        <w:spacing w:line="360" w:lineRule="auto"/>
        <w:jc w:val="both"/>
        <w:rPr>
          <w:rFonts w:ascii="Times New Roman" w:hAnsi="Times New Roman" w:cs="Times New Roman"/>
          <w:lang w:val="en"/>
        </w:rPr>
      </w:pPr>
      <w:bookmarkStart w:id="157" w:name="OLE_LINK238"/>
      <w:bookmarkStart w:id="158" w:name="OLE_LINK239"/>
      <w:bookmarkStart w:id="159" w:name="OLE_LINK244"/>
      <w:bookmarkStart w:id="160" w:name="OLE_LINK245"/>
      <w:bookmarkStart w:id="161" w:name="OLE_LINK236"/>
      <w:bookmarkStart w:id="162" w:name="OLE_LINK237"/>
      <w:r>
        <w:rPr>
          <w:rFonts w:ascii="Times New Roman" w:hAnsi="Times New Roman" w:cs="Times New Roman"/>
          <w:lang w:val="en"/>
        </w:rPr>
        <w:t>There has been an increasing awareness that psychiatric side effects caused by antibiotics, such as epilepsy, hyperactivity, and insomnia.</w:t>
      </w:r>
      <w:bookmarkEnd w:id="157"/>
      <w:bookmarkEnd w:id="158"/>
      <w:r>
        <w:rPr>
          <w:rFonts w:ascii="Times New Roman" w:hAnsi="Times New Roman" w:cs="Times New Roman"/>
          <w:lang w:val="en"/>
        </w:rPr>
        <w:t xml:space="preserve"> </w:t>
      </w:r>
      <w:bookmarkStart w:id="163" w:name="OLE_LINK246"/>
      <w:bookmarkStart w:id="164" w:name="OLE_LINK247"/>
      <w:r>
        <w:rPr>
          <w:rFonts w:ascii="Times New Roman" w:hAnsi="Times New Roman" w:cs="Times New Roman"/>
          <w:lang w:val="en"/>
        </w:rPr>
        <w:t>We must</w:t>
      </w:r>
      <w:bookmarkStart w:id="165" w:name="OLE_LINK242"/>
      <w:bookmarkStart w:id="166" w:name="OLE_LINK243"/>
      <w:r>
        <w:rPr>
          <w:rFonts w:ascii="Times New Roman" w:hAnsi="Times New Roman" w:cs="Times New Roman"/>
          <w:lang w:val="en"/>
        </w:rPr>
        <w:t xml:space="preserve"> consider </w:t>
      </w:r>
      <w:bookmarkEnd w:id="165"/>
      <w:bookmarkEnd w:id="166"/>
      <w:r>
        <w:rPr>
          <w:rFonts w:ascii="Times New Roman" w:hAnsi="Times New Roman" w:cs="Times New Roman"/>
          <w:lang w:val="en"/>
        </w:rPr>
        <w:t xml:space="preserve">this issue rationally </w:t>
      </w:r>
      <w:bookmarkStart w:id="167" w:name="OLE_LINK240"/>
      <w:bookmarkStart w:id="168" w:name="OLE_LINK241"/>
      <w:r>
        <w:rPr>
          <w:rFonts w:ascii="Times New Roman" w:hAnsi="Times New Roman" w:cs="Times New Roman"/>
          <w:lang w:val="en"/>
        </w:rPr>
        <w:t>in patients with central nervous system disease in order to avoid the rare life-threatening ADR</w:t>
      </w:r>
      <w:bookmarkEnd w:id="159"/>
      <w:bookmarkEnd w:id="160"/>
      <w:r>
        <w:rPr>
          <w:rFonts w:ascii="Times New Roman" w:hAnsi="Times New Roman" w:cs="Times New Roman"/>
          <w:lang w:val="en"/>
        </w:rPr>
        <w:t>s</w:t>
      </w:r>
      <w:bookmarkEnd w:id="161"/>
      <w:bookmarkEnd w:id="162"/>
      <w:bookmarkEnd w:id="163"/>
      <w:bookmarkEnd w:id="164"/>
      <w:bookmarkEnd w:id="167"/>
      <w:bookmarkEnd w:id="168"/>
      <w:r>
        <w:rPr>
          <w:rFonts w:ascii="Times New Roman" w:hAnsi="Times New Roman" w:cs="Times New Roman"/>
          <w:lang w:val="en"/>
        </w:rPr>
        <w:t xml:space="preserve"> [39-41]. </w:t>
      </w:r>
    </w:p>
    <w:p>
      <w:pPr>
        <w:spacing w:line="360" w:lineRule="auto"/>
        <w:jc w:val="both"/>
        <w:rPr>
          <w:rFonts w:ascii="Times New Roman" w:hAnsi="Times New Roman" w:cs="Times New Roman"/>
        </w:rPr>
      </w:pPr>
      <w:r>
        <w:rPr>
          <w:rFonts w:ascii="Times New Roman" w:hAnsi="Times New Roman" w:cs="Times New Roman"/>
          <w:b/>
          <w:bCs/>
          <w:color w:val="000000" w:themeColor="text1"/>
          <w:szCs w:val="21"/>
          <w14:textFill>
            <w14:solidFill>
              <w14:schemeClr w14:val="tx1"/>
            </w14:solidFill>
          </w14:textFill>
        </w:rPr>
        <w:t>5.Drug interaction considerations</w:t>
      </w:r>
    </w:p>
    <w:p>
      <w:pPr>
        <w:spacing w:line="360" w:lineRule="auto"/>
        <w:jc w:val="both"/>
        <w:rPr>
          <w:rFonts w:ascii="Times New Roman" w:hAnsi="Times New Roman" w:cs="Times New Roman"/>
          <w:lang w:val="en"/>
        </w:rPr>
      </w:pPr>
      <w:bookmarkStart w:id="169" w:name="OLE_LINK248"/>
      <w:bookmarkStart w:id="170" w:name="OLE_LINK249"/>
      <w:r>
        <w:rPr>
          <w:rFonts w:ascii="Times New Roman" w:hAnsi="Times New Roman" w:cs="Times New Roman"/>
          <w:lang w:val="en"/>
        </w:rPr>
        <w:t xml:space="preserve">A retrospective cohort study of 22272 US veterans showed that DDIs is another potential risk: </w:t>
      </w:r>
      <w:bookmarkStart w:id="171" w:name="OLE_LINK250"/>
      <w:bookmarkStart w:id="172" w:name="OLE_LINK251"/>
      <w:r>
        <w:rPr>
          <w:rFonts w:ascii="Times New Roman" w:hAnsi="Times New Roman" w:cs="Times New Roman"/>
          <w:lang w:val="en"/>
        </w:rPr>
        <w:t xml:space="preserve">warfarin combined with TMP/SMX, metronidazole, fluconazole, ciprofloxacin, levofloxacin, clarithromycin and azithromycin, which resulted in higher risk of </w:t>
      </w:r>
      <w:bookmarkEnd w:id="169"/>
      <w:bookmarkEnd w:id="170"/>
      <w:bookmarkStart w:id="173" w:name="OLE_LINK260"/>
      <w:bookmarkStart w:id="174" w:name="OLE_LINK261"/>
      <w:r>
        <w:rPr>
          <w:rFonts w:ascii="Times New Roman" w:hAnsi="Times New Roman" w:cs="Times New Roman"/>
          <w:lang w:val="en"/>
        </w:rPr>
        <w:t>hemorrhage</w:t>
      </w:r>
      <w:bookmarkEnd w:id="171"/>
      <w:bookmarkEnd w:id="172"/>
      <w:r>
        <w:rPr>
          <w:rFonts w:ascii="Times New Roman" w:hAnsi="Times New Roman" w:cs="Times New Roman"/>
          <w:lang w:val="en"/>
        </w:rPr>
        <w:t xml:space="preserve"> </w:t>
      </w:r>
      <w:bookmarkEnd w:id="173"/>
      <w:bookmarkEnd w:id="174"/>
      <w:r>
        <w:rPr>
          <w:rFonts w:ascii="Times New Roman" w:hAnsi="Times New Roman" w:cs="Times New Roman"/>
          <w:lang w:val="en"/>
        </w:rPr>
        <w:t xml:space="preserve">[42]. </w:t>
      </w:r>
      <w:bookmarkStart w:id="175" w:name="OLE_LINK252"/>
      <w:bookmarkStart w:id="176" w:name="OLE_LINK253"/>
      <w:r>
        <w:rPr>
          <w:rFonts w:ascii="Times New Roman" w:hAnsi="Times New Roman" w:cs="Times New Roman"/>
          <w:lang w:val="en"/>
        </w:rPr>
        <w:t>Low-risk antibiotics included clindamycin and cephalexin, besides, patients with low basal international normalized ration（INR）value have a relatively low risk of bleeding</w:t>
      </w:r>
      <w:bookmarkEnd w:id="175"/>
      <w:bookmarkEnd w:id="176"/>
      <w:r>
        <w:rPr>
          <w:rFonts w:ascii="Times New Roman" w:hAnsi="Times New Roman" w:cs="Times New Roman"/>
          <w:lang w:val="en"/>
        </w:rPr>
        <w:t xml:space="preserve"> [42]. </w:t>
      </w:r>
      <w:bookmarkStart w:id="177" w:name="OLE_LINK256"/>
      <w:bookmarkStart w:id="178" w:name="OLE_LINK257"/>
      <w:r>
        <w:rPr>
          <w:rFonts w:ascii="Times New Roman" w:hAnsi="Times New Roman" w:cs="Times New Roman"/>
          <w:lang w:val="en"/>
        </w:rPr>
        <w:t>In fact, closely monitored INR during warfarin prescription is important to avoid bleeding in geriatric population</w:t>
      </w:r>
      <w:bookmarkEnd w:id="177"/>
      <w:bookmarkEnd w:id="178"/>
      <w:r>
        <w:rPr>
          <w:rFonts w:ascii="Times New Roman" w:hAnsi="Times New Roman" w:cs="Times New Roman"/>
          <w:lang w:val="en"/>
        </w:rPr>
        <w:t>.</w:t>
      </w:r>
    </w:p>
    <w:p>
      <w:pPr>
        <w:pStyle w:val="7"/>
        <w:spacing w:before="0" w:beforeAutospacing="0" w:after="0" w:afterAutospacing="0" w:line="360" w:lineRule="auto"/>
        <w:jc w:val="both"/>
        <w:rPr>
          <w:rFonts w:ascii="Times New Roman" w:hAnsi="Times New Roman" w:cs="Times New Roman"/>
          <w:lang w:val="en"/>
        </w:rPr>
      </w:pPr>
      <w:bookmarkStart w:id="179" w:name="OLE_LINK258"/>
      <w:bookmarkStart w:id="180" w:name="OLE_LINK259"/>
      <w:r>
        <w:rPr>
          <w:rFonts w:ascii="Times New Roman" w:hAnsi="Times New Roman" w:cs="Times New Roman"/>
          <w:lang w:val="en"/>
        </w:rPr>
        <w:t xml:space="preserve">Is there a similar risk of hemorrhage when combing new oral anticoagulants (NOACs) with antibiotics? </w:t>
      </w:r>
      <w:bookmarkStart w:id="181" w:name="OLE_LINK266"/>
      <w:bookmarkStart w:id="182" w:name="OLE_LINK267"/>
      <w:bookmarkStart w:id="183" w:name="OLE_LINK268"/>
      <w:bookmarkStart w:id="184" w:name="OLE_LINK262"/>
      <w:bookmarkStart w:id="185" w:name="OLE_LINK263"/>
      <w:r>
        <w:rPr>
          <w:rFonts w:ascii="Times New Roman" w:hAnsi="Times New Roman" w:cs="Times New Roman"/>
          <w:lang w:val="en"/>
        </w:rPr>
        <w:t xml:space="preserve">Some DDIs associated with permeable glycoprotein (P-gp) and </w:t>
      </w:r>
      <w:bookmarkStart w:id="186" w:name="OLE_LINK271"/>
      <w:bookmarkStart w:id="187" w:name="OLE_LINK272"/>
      <w:r>
        <w:rPr>
          <w:rFonts w:ascii="Times New Roman" w:hAnsi="Times New Roman" w:cs="Times New Roman"/>
          <w:lang w:val="en"/>
        </w:rPr>
        <w:t xml:space="preserve">cytochrome </w:t>
      </w:r>
      <w:bookmarkEnd w:id="186"/>
      <w:bookmarkEnd w:id="187"/>
      <w:r>
        <w:rPr>
          <w:rFonts w:ascii="Times New Roman" w:hAnsi="Times New Roman" w:cs="Times New Roman"/>
          <w:lang w:val="en"/>
        </w:rPr>
        <w:t>3A4 (CYP3A4) can increase the bleeding risk.</w:t>
      </w:r>
      <w:bookmarkEnd w:id="179"/>
      <w:bookmarkEnd w:id="180"/>
      <w:bookmarkEnd w:id="181"/>
      <w:bookmarkEnd w:id="182"/>
      <w:bookmarkEnd w:id="183"/>
      <w:bookmarkEnd w:id="184"/>
      <w:bookmarkEnd w:id="185"/>
      <w:r>
        <w:rPr>
          <w:rFonts w:ascii="Times New Roman" w:hAnsi="Times New Roman" w:cs="Times New Roman"/>
          <w:lang w:val="en"/>
        </w:rPr>
        <w:t xml:space="preserve"> [43]. </w:t>
      </w:r>
      <w:bookmarkStart w:id="188" w:name="OLE_LINK269"/>
      <w:bookmarkStart w:id="189" w:name="OLE_LINK270"/>
      <w:r>
        <w:rPr>
          <w:rFonts w:ascii="Times New Roman" w:hAnsi="Times New Roman" w:cs="Times New Roman"/>
          <w:lang w:val="en"/>
        </w:rPr>
        <w:t xml:space="preserve">It was reported that the exposure of dabigatran was sharply reduced by rifampicin, a pronounced inducer of both </w:t>
      </w:r>
      <w:bookmarkStart w:id="190" w:name="OLE_LINK273"/>
      <w:bookmarkStart w:id="191" w:name="OLE_LINK274"/>
      <w:r>
        <w:rPr>
          <w:rFonts w:ascii="Times New Roman" w:hAnsi="Times New Roman" w:cs="Times New Roman"/>
          <w:lang w:val="en"/>
        </w:rPr>
        <w:t>cytochrome P450 (</w:t>
      </w:r>
      <w:bookmarkStart w:id="192" w:name="OLE_LINK277"/>
      <w:bookmarkStart w:id="193" w:name="OLE_LINK278"/>
      <w:bookmarkStart w:id="194" w:name="OLE_LINK279"/>
      <w:r>
        <w:rPr>
          <w:rFonts w:ascii="Times New Roman" w:hAnsi="Times New Roman" w:cs="Times New Roman"/>
          <w:lang w:val="en"/>
        </w:rPr>
        <w:t>CYP 450</w:t>
      </w:r>
      <w:bookmarkEnd w:id="192"/>
      <w:bookmarkEnd w:id="193"/>
      <w:bookmarkEnd w:id="194"/>
      <w:r>
        <w:rPr>
          <w:rFonts w:ascii="Times New Roman" w:hAnsi="Times New Roman" w:cs="Times New Roman"/>
          <w:lang w:val="en"/>
        </w:rPr>
        <w:t xml:space="preserve">) </w:t>
      </w:r>
      <w:bookmarkEnd w:id="190"/>
      <w:bookmarkEnd w:id="191"/>
      <w:r>
        <w:rPr>
          <w:rFonts w:ascii="Times New Roman" w:hAnsi="Times New Roman" w:cs="Times New Roman"/>
          <w:lang w:val="en"/>
        </w:rPr>
        <w:t xml:space="preserve">and P-gp. </w:t>
      </w:r>
      <w:bookmarkStart w:id="195" w:name="OLE_LINK275"/>
      <w:bookmarkStart w:id="196" w:name="OLE_LINK276"/>
      <w:r>
        <w:rPr>
          <w:rFonts w:ascii="Times New Roman" w:hAnsi="Times New Roman" w:cs="Times New Roman"/>
          <w:lang w:val="en"/>
        </w:rPr>
        <w:t>Conversely, inhibitors including itraconazole, voriconazole and ketoconazole, significantly improved the bioavailability of dabigatran, apixaban and rivaroxaban.</w:t>
      </w:r>
      <w:bookmarkEnd w:id="195"/>
      <w:bookmarkEnd w:id="196"/>
      <w:r>
        <w:rPr>
          <w:rFonts w:ascii="Times New Roman" w:hAnsi="Times New Roman" w:cs="Times New Roman"/>
          <w:lang w:val="en"/>
        </w:rPr>
        <w:t xml:space="preserve"> </w:t>
      </w:r>
      <w:bookmarkStart w:id="197" w:name="OLE_LINK282"/>
      <w:bookmarkStart w:id="198" w:name="OLE_LINK283"/>
      <w:bookmarkStart w:id="199" w:name="OLE_LINK286"/>
      <w:bookmarkStart w:id="200" w:name="OLE_LINK287"/>
      <w:bookmarkStart w:id="201" w:name="OLE_LINK284"/>
      <w:bookmarkStart w:id="202" w:name="OLE_LINK285"/>
      <w:r>
        <w:rPr>
          <w:rFonts w:ascii="Times New Roman" w:hAnsi="Times New Roman" w:cs="Times New Roman"/>
          <w:lang w:val="en"/>
        </w:rPr>
        <w:t xml:space="preserve">It has the same effect on NOACs combined with clarithromycin, erythromycin as well as </w:t>
      </w:r>
      <w:bookmarkStart w:id="203" w:name="OLE_LINK280"/>
      <w:bookmarkStart w:id="204" w:name="OLE_LINK281"/>
      <w:r>
        <w:rPr>
          <w:rFonts w:ascii="Times New Roman" w:hAnsi="Times New Roman" w:cs="Times New Roman"/>
          <w:lang w:val="en"/>
        </w:rPr>
        <w:t>fluconazole,</w:t>
      </w:r>
      <w:bookmarkEnd w:id="203"/>
      <w:bookmarkEnd w:id="204"/>
      <w:r>
        <w:rPr>
          <w:rFonts w:ascii="Times New Roman" w:hAnsi="Times New Roman" w:cs="Times New Roman"/>
          <w:lang w:val="en"/>
        </w:rPr>
        <w:t xml:space="preserve"> inhibited the metabolism of CYP 450</w:t>
      </w:r>
      <w:bookmarkEnd w:id="197"/>
      <w:bookmarkEnd w:id="198"/>
      <w:r>
        <w:rPr>
          <w:rFonts w:ascii="Times New Roman" w:hAnsi="Times New Roman" w:cs="Times New Roman"/>
          <w:lang w:val="en"/>
        </w:rPr>
        <w:t>.</w:t>
      </w:r>
      <w:bookmarkEnd w:id="199"/>
      <w:bookmarkEnd w:id="200"/>
      <w:r>
        <w:rPr>
          <w:rFonts w:ascii="Times New Roman" w:hAnsi="Times New Roman" w:cs="Times New Roman"/>
          <w:lang w:val="en"/>
        </w:rPr>
        <w:t xml:space="preserve"> </w:t>
      </w:r>
      <w:bookmarkEnd w:id="188"/>
      <w:bookmarkEnd w:id="189"/>
      <w:bookmarkEnd w:id="201"/>
      <w:bookmarkEnd w:id="202"/>
      <w:bookmarkStart w:id="205" w:name="OLE_LINK296"/>
      <w:bookmarkStart w:id="206" w:name="OLE_LINK297"/>
      <w:r>
        <w:rPr>
          <w:rFonts w:ascii="Times New Roman" w:hAnsi="Times New Roman" w:cs="Times New Roman"/>
          <w:lang w:val="en"/>
        </w:rPr>
        <w:t>When it comes to outpatients, avoiding such combination therapy and regular monitoring INR can lower the risks of DDIs of bleeding</w:t>
      </w:r>
      <w:bookmarkEnd w:id="205"/>
      <w:bookmarkEnd w:id="206"/>
      <w:r>
        <w:rPr>
          <w:rFonts w:ascii="Times New Roman" w:hAnsi="Times New Roman" w:cs="Times New Roman"/>
          <w:lang w:val="en"/>
        </w:rPr>
        <w:t xml:space="preserve"> [44]. </w:t>
      </w:r>
    </w:p>
    <w:p>
      <w:pPr>
        <w:pStyle w:val="7"/>
        <w:spacing w:before="0" w:beforeAutospacing="0" w:after="0" w:afterAutospacing="0" w:line="360" w:lineRule="auto"/>
        <w:jc w:val="both"/>
        <w:rPr>
          <w:rFonts w:ascii="Times New Roman" w:hAnsi="Times New Roman" w:cs="Times New Roman"/>
          <w:color w:val="000000" w:themeColor="text1"/>
          <w:szCs w:val="21"/>
          <w:shd w:val="clear" w:color="auto" w:fill="F7F8FA"/>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Many experts point out that carbapenems directly contribute to insufficient serum </w:t>
      </w:r>
      <w:bookmarkStart w:id="207" w:name="OLE_LINK303"/>
      <w:bookmarkStart w:id="208" w:name="OLE_LINK302"/>
      <w:r>
        <w:rPr>
          <w:rFonts w:ascii="Times New Roman" w:hAnsi="Times New Roman" w:cs="Times New Roman"/>
          <w:color w:val="000000" w:themeColor="text1"/>
          <w14:textFill>
            <w14:solidFill>
              <w14:schemeClr w14:val="tx1"/>
            </w14:solidFill>
          </w14:textFill>
        </w:rPr>
        <w:t>concentration</w:t>
      </w:r>
      <w:bookmarkEnd w:id="207"/>
      <w:bookmarkEnd w:id="208"/>
      <w:r>
        <w:rPr>
          <w:rFonts w:ascii="Times New Roman" w:hAnsi="Times New Roman" w:cs="Times New Roman"/>
          <w:color w:val="000000" w:themeColor="text1"/>
          <w14:textFill>
            <w14:solidFill>
              <w14:schemeClr w14:val="tx1"/>
            </w14:solidFill>
          </w14:textFill>
        </w:rPr>
        <w:t xml:space="preserve"> of </w:t>
      </w:r>
      <w:bookmarkStart w:id="209" w:name="OLE_LINK298"/>
      <w:bookmarkStart w:id="210" w:name="OLE_LINK299"/>
      <w:r>
        <w:rPr>
          <w:rFonts w:ascii="Times New Roman" w:hAnsi="Times New Roman" w:cs="Times New Roman"/>
          <w:color w:val="000000" w:themeColor="text1"/>
          <w14:textFill>
            <w14:solidFill>
              <w14:schemeClr w14:val="tx1"/>
            </w14:solidFill>
          </w14:textFill>
        </w:rPr>
        <w:t>valproic</w:t>
      </w:r>
      <w:bookmarkEnd w:id="209"/>
      <w:bookmarkEnd w:id="210"/>
      <w:r>
        <w:rPr>
          <w:rFonts w:ascii="Times New Roman" w:hAnsi="Times New Roman" w:cs="Times New Roman"/>
          <w:color w:val="000000" w:themeColor="text1"/>
          <w14:textFill>
            <w14:solidFill>
              <w14:schemeClr w14:val="tx1"/>
            </w14:solidFill>
          </w14:textFill>
        </w:rPr>
        <w:t xml:space="preserve"> acid (VPA) and </w:t>
      </w:r>
      <w:r>
        <w:rPr>
          <w:rFonts w:ascii="Times New Roman" w:hAnsi="Times New Roman" w:cs="Times New Roman"/>
        </w:rPr>
        <w:t xml:space="preserve">epileptic seizure </w:t>
      </w:r>
      <w:r>
        <w:rPr>
          <w:rFonts w:ascii="Times New Roman" w:hAnsi="Times New Roman" w:cs="Times New Roman"/>
          <w:color w:val="000000" w:themeColor="text1"/>
          <w14:textFill>
            <w14:solidFill>
              <w14:schemeClr w14:val="tx1"/>
            </w14:solidFill>
          </w14:textFill>
        </w:rPr>
        <w:t>[45]. Actually, VPA blood concentration within 24 hours reduced about approximately 60%</w:t>
      </w:r>
      <w:r>
        <w:rPr>
          <w:rFonts w:ascii="Times New Roman" w:hAnsi="Times New Roman" w:cs="Times New Roman"/>
        </w:rPr>
        <w:t xml:space="preserve"> caused by </w:t>
      </w:r>
      <w:r>
        <w:rPr>
          <w:rFonts w:ascii="Times New Roman" w:hAnsi="Times New Roman" w:cs="Times New Roman"/>
          <w:color w:val="000000" w:themeColor="text1"/>
          <w14:textFill>
            <w14:solidFill>
              <w14:schemeClr w14:val="tx1"/>
            </w14:solidFill>
          </w14:textFill>
        </w:rPr>
        <w:t xml:space="preserve">carbapenems. Ertapenem and meropenem had a greater effect on VPA than imipenem/cilastatin [46]. </w:t>
      </w:r>
    </w:p>
    <w:p>
      <w:pPr>
        <w:spacing w:line="360" w:lineRule="auto"/>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In terms of DDIs risks of antifungal drug, it is acknowledged that </w:t>
      </w:r>
      <w:r>
        <w:rPr>
          <w:rFonts w:ascii="Times New Roman" w:hAnsi="Times New Roman" w:cs="Times New Roman"/>
          <w:color w:val="000000" w:themeColor="text1"/>
          <w14:textFill>
            <w14:solidFill>
              <w14:schemeClr w14:val="tx1"/>
            </w14:solidFill>
          </w14:textFill>
        </w:rPr>
        <w:t>azoles</w:t>
      </w:r>
      <w:r>
        <w:rPr>
          <w:rFonts w:ascii="Times New Roman" w:hAnsi="Times New Roman" w:cs="Times New Roman"/>
          <w:color w:val="000000" w:themeColor="text1"/>
          <w:szCs w:val="21"/>
          <w14:textFill>
            <w14:solidFill>
              <w14:schemeClr w14:val="tx1"/>
            </w14:solidFill>
          </w14:textFill>
        </w:rPr>
        <w:t xml:space="preserve"> such as </w:t>
      </w:r>
      <w:r>
        <w:rPr>
          <w:rFonts w:ascii="Times New Roman" w:hAnsi="Times New Roman" w:cs="Times New Roman"/>
          <w:color w:val="000000" w:themeColor="text1"/>
          <w14:textFill>
            <w14:solidFill>
              <w14:schemeClr w14:val="tx1"/>
            </w14:solidFill>
          </w14:textFill>
        </w:rPr>
        <w:t>voriconazole and</w:t>
      </w:r>
      <w:bookmarkStart w:id="211" w:name="OLE_LINK12"/>
      <w:bookmarkStart w:id="212" w:name="OLE_LINK11"/>
      <w:r>
        <w:rPr>
          <w:rFonts w:ascii="Times New Roman" w:hAnsi="Times New Roman" w:cs="Times New Roman"/>
          <w:color w:val="000000" w:themeColor="text1"/>
          <w14:textFill>
            <w14:solidFill>
              <w14:schemeClr w14:val="tx1"/>
            </w14:solidFill>
          </w14:textFill>
        </w:rPr>
        <w:t xml:space="preserve"> </w:t>
      </w:r>
      <w:bookmarkStart w:id="213" w:name="OLE_LINK14"/>
      <w:bookmarkStart w:id="214" w:name="OLE_LINK13"/>
      <w:r>
        <w:rPr>
          <w:rFonts w:ascii="Times New Roman" w:hAnsi="Times New Roman" w:cs="Times New Roman"/>
          <w:color w:val="000000" w:themeColor="text1"/>
          <w14:textFill>
            <w14:solidFill>
              <w14:schemeClr w14:val="tx1"/>
            </w14:solidFill>
          </w14:textFill>
        </w:rPr>
        <w:t>isavuconazole</w:t>
      </w:r>
      <w:bookmarkEnd w:id="211"/>
      <w:bookmarkEnd w:id="212"/>
      <w:bookmarkEnd w:id="213"/>
      <w:bookmarkEnd w:id="214"/>
      <w:r>
        <w:rPr>
          <w:rFonts w:ascii="Times New Roman" w:hAnsi="Times New Roman" w:cs="Times New Roman"/>
          <w:color w:val="000000" w:themeColor="text1"/>
          <w14:textFill>
            <w14:solidFill>
              <w14:schemeClr w14:val="tx1"/>
            </w14:solidFill>
          </w14:textFill>
        </w:rPr>
        <w:t>, increase the concentration of tacrolimus, cyclosporine and sirolimus as well as nephrotoxicity</w:t>
      </w:r>
      <w:r>
        <w:rPr>
          <w:rFonts w:ascii="Times New Roman" w:hAnsi="Times New Roman" w:cs="Times New Roman"/>
          <w:color w:val="000000" w:themeColor="text1"/>
          <w:szCs w:val="2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 xml:space="preserve">amphotericin B co-administrated with diuretics, </w:t>
      </w:r>
      <w:r>
        <w:rPr>
          <w:rFonts w:ascii="Times New Roman" w:hAnsi="Times New Roman" w:cs="Times New Roman"/>
          <w:color w:val="000000" w:themeColor="text1"/>
          <w:szCs w:val="21"/>
          <w14:textFill>
            <w14:solidFill>
              <w14:schemeClr w14:val="tx1"/>
            </w14:solidFill>
          </w14:textFill>
        </w:rPr>
        <w:t xml:space="preserve">invited extremely serious </w:t>
      </w:r>
      <w:r>
        <w:rPr>
          <w:rFonts w:ascii="Times New Roman" w:hAnsi="Times New Roman" w:cs="Times New Roman"/>
          <w:color w:val="000000" w:themeColor="text1"/>
          <w14:textFill>
            <w14:solidFill>
              <w14:schemeClr w14:val="tx1"/>
            </w14:solidFill>
          </w14:textFill>
        </w:rPr>
        <w:t xml:space="preserve">electrolyte disturbance and </w:t>
      </w:r>
      <w:r>
        <w:rPr>
          <w:rFonts w:ascii="Times New Roman" w:hAnsi="Times New Roman" w:cs="Times New Roman"/>
          <w:color w:val="000000" w:themeColor="text1"/>
          <w:szCs w:val="21"/>
          <w14:textFill>
            <w14:solidFill>
              <w14:schemeClr w14:val="tx1"/>
            </w14:solidFill>
          </w14:textFill>
        </w:rPr>
        <w:t xml:space="preserve">nephrotoxicity, </w:t>
      </w:r>
      <w:r>
        <w:rPr>
          <w:rFonts w:ascii="Times New Roman" w:hAnsi="Times New Roman" w:cs="Times New Roman"/>
          <w:color w:val="000000" w:themeColor="text1"/>
          <w14:textFill>
            <w14:solidFill>
              <w14:schemeClr w14:val="tx1"/>
            </w14:solidFill>
          </w14:textFill>
        </w:rPr>
        <w:t>especially life-threaten and irreversible hypokalemia.</w:t>
      </w:r>
    </w:p>
    <w:p>
      <w:pPr>
        <w:spacing w:line="360" w:lineRule="auto"/>
        <w:jc w:val="both"/>
        <w:rPr>
          <w:rFonts w:ascii="Times New Roman" w:hAnsi="Times New Roman" w:cs="Times New Roman"/>
          <w:color w:val="000000" w:themeColor="text1"/>
          <w14:textFill>
            <w14:solidFill>
              <w14:schemeClr w14:val="tx1"/>
            </w14:solidFill>
          </w14:textFill>
        </w:rPr>
      </w:pPr>
      <w:bookmarkStart w:id="215" w:name="OLE_LINK311"/>
      <w:bookmarkStart w:id="216" w:name="OLE_LINK310"/>
      <w:bookmarkStart w:id="217" w:name="OLE_LINK309"/>
      <w:bookmarkStart w:id="218" w:name="OLE_LINK308"/>
      <w:r>
        <w:rPr>
          <w:rFonts w:ascii="Times New Roman" w:hAnsi="Times New Roman" w:cs="Times New Roman"/>
          <w:color w:val="000000" w:themeColor="text1"/>
          <w14:textFill>
            <w14:solidFill>
              <w14:schemeClr w14:val="tx1"/>
            </w14:solidFill>
          </w14:textFill>
        </w:rPr>
        <w:t>There are many commonly held beliefs about severe DDIs that is paid attention to</w:t>
      </w:r>
    </w:p>
    <w:p>
      <w:pPr>
        <w:spacing w:line="360" w:lineRule="auto"/>
        <w:jc w:val="both"/>
        <w:rPr>
          <w:rStyle w:val="14"/>
          <w:rFonts w:ascii="Times New Roman" w:hAnsi="Times New Roman" w:cs="Times New Roman"/>
          <w:color w:val="000000" w:themeColor="text1"/>
          <w:szCs w:val="21"/>
          <w:shd w:val="clear" w:color="auto" w:fill="F7F8FA"/>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blood concentration monitoring of immunosuppressive agents for azoles [47,48] or monitoring electrolytes and renal function for amphotericin B </w:t>
      </w:r>
      <w:bookmarkEnd w:id="215"/>
      <w:bookmarkEnd w:id="216"/>
      <w:r>
        <w:rPr>
          <w:rFonts w:ascii="Times New Roman" w:hAnsi="Times New Roman" w:cs="Times New Roman"/>
          <w:color w:val="000000" w:themeColor="text1"/>
          <w14:textFill>
            <w14:solidFill>
              <w14:schemeClr w14:val="tx1"/>
            </w14:solidFill>
          </w14:textFill>
        </w:rPr>
        <w:t xml:space="preserve">[49]. </w:t>
      </w:r>
    </w:p>
    <w:bookmarkEnd w:id="217"/>
    <w:bookmarkEnd w:id="218"/>
    <w:p>
      <w:pPr>
        <w:spacing w:line="360" w:lineRule="auto"/>
        <w:jc w:val="both"/>
        <w:rPr>
          <w:rFonts w:ascii="Times New Roman" w:hAnsi="Times New Roman" w:cs="Times New Roman"/>
          <w:lang w:val="en"/>
        </w:rPr>
      </w:pPr>
      <w:r>
        <w:rPr>
          <w:rFonts w:ascii="Times New Roman" w:hAnsi="Times New Roman" w:cs="Times New Roman"/>
          <w:b/>
          <w:bCs/>
          <w:color w:val="000000" w:themeColor="text1"/>
          <w:szCs w:val="21"/>
          <w14:textFill>
            <w14:solidFill>
              <w14:schemeClr w14:val="tx1"/>
            </w14:solidFill>
          </w14:textFill>
        </w:rPr>
        <w:t>6.Conclusion</w:t>
      </w:r>
    </w:p>
    <w:p>
      <w:pPr>
        <w:spacing w:line="360" w:lineRule="auto"/>
        <w:ind w:firstLine="480" w:firstLineChars="200"/>
        <w:jc w:val="both"/>
        <w:rPr>
          <w:rFonts w:ascii="Times New Roman" w:hAnsi="Times New Roman" w:cs="Times New Roman"/>
          <w:color w:val="000000" w:themeColor="text1"/>
          <w14:textFill>
            <w14:solidFill>
              <w14:schemeClr w14:val="tx1"/>
            </w14:solidFill>
          </w14:textFill>
        </w:rPr>
      </w:pPr>
      <w:bookmarkStart w:id="219" w:name="OLE_LINK331"/>
      <w:bookmarkStart w:id="220" w:name="OLE_LINK330"/>
      <w:bookmarkStart w:id="221" w:name="OLE_LINK335"/>
      <w:bookmarkStart w:id="222" w:name="OLE_LINK334"/>
      <w:bookmarkStart w:id="223" w:name="OLE_LINK313"/>
      <w:bookmarkStart w:id="224" w:name="OLE_LINK312"/>
      <w:r>
        <w:rPr>
          <w:rFonts w:ascii="Times New Roman" w:hAnsi="Times New Roman" w:cs="Times New Roman"/>
          <w:color w:val="000000" w:themeColor="text1"/>
          <w14:textFill>
            <w14:solidFill>
              <w14:schemeClr w14:val="tx1"/>
            </w14:solidFill>
          </w14:textFill>
        </w:rPr>
        <w:t>In summary, the rational use of antimicrobials is an extremely complex problem in elderly patients. A series of physiological changes occurred in the elderly patients, and the PK and PD of the drug also altered accordingly. Some key changes may be overlooked, but some do have significant clinical implications. At the same time, multiple comorbidities and multi-drug treatments increase the risk of ADRs and DDIs. Elderly patients usually live in care facilities and are at risk of infection. Therefore, it is necessary to form a multidisciplinary team, including geriatricians, clinical pharmacists, microbiologists and infectious disease specialists, to optimize the use of antibiotics.</w:t>
      </w:r>
    </w:p>
    <w:p>
      <w:pPr>
        <w:spacing w:line="360" w:lineRule="auto"/>
        <w:ind w:firstLine="480" w:firstLineChars="200"/>
        <w:jc w:val="both"/>
        <w:rPr>
          <w:rFonts w:ascii="Times New Roman" w:hAnsi="Times New Roman" w:cs="Times New Roman"/>
          <w:lang w:val="en"/>
        </w:rPr>
      </w:pPr>
      <w:r>
        <w:rPr>
          <w:rFonts w:ascii="Times New Roman" w:hAnsi="Times New Roman" w:cs="Times New Roman"/>
          <w:color w:val="000000" w:themeColor="text1"/>
          <w14:textFill>
            <w14:solidFill>
              <w14:schemeClr w14:val="tx1"/>
            </w14:solidFill>
          </w14:textFill>
        </w:rPr>
        <w:t xml:space="preserve">We point out that for the aged patients, if possible, therapeutic antibiotics </w:t>
      </w:r>
      <w:r>
        <w:rPr>
          <w:rFonts w:ascii="Times New Roman" w:hAnsi="Times New Roman" w:cs="Times New Roman"/>
          <w:lang w:val="en"/>
        </w:rPr>
        <w:t>monitoring contributes directly to efficacy and safety. In view of the seriousness of the problem of unreasonable use of antibiotics in the elderly, effective measures should be taken before things get worse.</w:t>
      </w:r>
      <w:bookmarkStart w:id="225" w:name="OLE_LINK328"/>
      <w:bookmarkStart w:id="226" w:name="OLE_LINK329"/>
      <w:r>
        <w:rPr>
          <w:rFonts w:ascii="Times New Roman" w:hAnsi="Times New Roman" w:cs="Times New Roman"/>
          <w:lang w:val="en"/>
        </w:rPr>
        <w:t xml:space="preserve"> </w:t>
      </w:r>
      <w:bookmarkStart w:id="227" w:name="OLE_LINK320"/>
      <w:bookmarkStart w:id="228" w:name="OLE_LINK321"/>
      <w:r>
        <w:rPr>
          <w:rFonts w:ascii="Times New Roman" w:hAnsi="Times New Roman" w:cs="Times New Roman"/>
          <w:lang w:val="en"/>
        </w:rPr>
        <w:t>The comprehensive and effective monitoring programs also have benefits among outpatient settings</w:t>
      </w:r>
      <w:bookmarkEnd w:id="227"/>
      <w:bookmarkEnd w:id="228"/>
      <w:r>
        <w:rPr>
          <w:rFonts w:ascii="Times New Roman" w:hAnsi="Times New Roman" w:cs="Times New Roman"/>
          <w:lang w:val="en"/>
        </w:rPr>
        <w:t xml:space="preserve">. </w:t>
      </w:r>
      <w:bookmarkStart w:id="229" w:name="OLE_LINK322"/>
      <w:bookmarkStart w:id="230" w:name="OLE_LINK323"/>
      <w:bookmarkStart w:id="231" w:name="OLE_LINK332"/>
      <w:bookmarkStart w:id="232" w:name="OLE_LINK333"/>
      <w:r>
        <w:rPr>
          <w:rFonts w:ascii="Times New Roman" w:hAnsi="Times New Roman" w:cs="Times New Roman"/>
          <w:lang w:val="en"/>
        </w:rPr>
        <w:t>In the future,</w:t>
      </w:r>
      <w:bookmarkEnd w:id="229"/>
      <w:bookmarkEnd w:id="230"/>
      <w:r>
        <w:rPr>
          <w:rFonts w:ascii="Times New Roman" w:hAnsi="Times New Roman" w:cs="Times New Roman"/>
          <w:lang w:val="en"/>
        </w:rPr>
        <w:t xml:space="preserve"> clinical trials of both novel and combined antibiotic treatment should put a premium on the geriatric population, so as to provide stronger evidence for the optimization of antibiotics therapies.</w:t>
      </w:r>
      <w:bookmarkEnd w:id="219"/>
      <w:bookmarkEnd w:id="220"/>
      <w:bookmarkEnd w:id="221"/>
      <w:bookmarkEnd w:id="222"/>
      <w:bookmarkEnd w:id="223"/>
      <w:bookmarkEnd w:id="224"/>
      <w:bookmarkEnd w:id="225"/>
      <w:bookmarkEnd w:id="226"/>
      <w:bookmarkEnd w:id="231"/>
      <w:bookmarkEnd w:id="232"/>
    </w:p>
    <w:p>
      <w:pPr>
        <w:jc w:val="both"/>
        <w:rPr>
          <w:rFonts w:ascii="Times New Roman" w:hAnsi="Times New Roman" w:cs="Times New Roman"/>
          <w:b/>
          <w:bCs/>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Reference</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[1] 10 facts on ageing and the life course. </w:t>
      </w:r>
      <w:r>
        <w:fldChar w:fldCharType="begin"/>
      </w:r>
      <w:r>
        <w:instrText xml:space="preserve"> HYPERLINK "https://www.who.int/features/factfiles/ageing/ageing_facts/en/" </w:instrText>
      </w:r>
      <w:r>
        <w:fldChar w:fldCharType="separate"/>
      </w:r>
      <w:r>
        <w:rPr>
          <w:rStyle w:val="11"/>
          <w:rFonts w:ascii="Times New Roman" w:hAnsi="Times New Roman" w:cs="Times New Roman"/>
          <w:color w:val="000000" w:themeColor="text1"/>
          <w:sz w:val="18"/>
          <w:szCs w:val="18"/>
          <w14:textFill>
            <w14:solidFill>
              <w14:schemeClr w14:val="tx1"/>
            </w14:solidFill>
          </w14:textFill>
        </w:rPr>
        <w:t>https://www.who.int/features/factfiles/ageing/ageing_facts/en/</w:t>
      </w:r>
      <w:r>
        <w:rPr>
          <w:rStyle w:val="11"/>
          <w:rFonts w:ascii="Times New Roman" w:hAnsi="Times New Roman" w:cs="Times New Roman"/>
          <w:color w:val="000000" w:themeColor="text1"/>
          <w:sz w:val="18"/>
          <w:szCs w:val="18"/>
          <w14:textFill>
            <w14:solidFill>
              <w14:schemeClr w14:val="tx1"/>
            </w14:solidFill>
          </w14:textFill>
        </w:rPr>
        <w:fldChar w:fldCharType="end"/>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[2] Cruz SP, Cebrino J. Prevalence and Determinants of Antibiotic Consumption in the Elderly during 2006-2017. </w:t>
      </w:r>
      <w:r>
        <w:rPr>
          <w:rFonts w:ascii="Times New Roman" w:hAnsi="Times New Roman" w:cs="Times New Roman"/>
          <w:i/>
          <w:iCs/>
          <w:color w:val="000000" w:themeColor="text1"/>
          <w:sz w:val="18"/>
          <w:szCs w:val="18"/>
          <w14:textFill>
            <w14:solidFill>
              <w14:schemeClr w14:val="tx1"/>
            </w14:solidFill>
          </w14:textFill>
        </w:rPr>
        <w:t>Int J Environ Res Public Health</w:t>
      </w:r>
      <w:r>
        <w:rPr>
          <w:rFonts w:ascii="Times New Roman" w:hAnsi="Times New Roman" w:cs="Times New Roman"/>
          <w:color w:val="000000" w:themeColor="text1"/>
          <w:sz w:val="18"/>
          <w:szCs w:val="18"/>
          <w14:textFill>
            <w14:solidFill>
              <w14:schemeClr w14:val="tx1"/>
            </w14:solidFill>
          </w14:textFill>
        </w:rPr>
        <w:t>. 2020;17(9):E3243. Published 2020 May 6. doi:10.3390/ijerph17093243</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[3] Hubbard RE, O'Mahony MS, Woodhouse KW. Medication prescribing in frail older people. </w:t>
      </w:r>
      <w:r>
        <w:rPr>
          <w:rFonts w:ascii="Times New Roman" w:hAnsi="Times New Roman" w:cs="Times New Roman"/>
          <w:i/>
          <w:iCs/>
          <w:color w:val="000000" w:themeColor="text1"/>
          <w:sz w:val="18"/>
          <w:szCs w:val="18"/>
          <w14:textFill>
            <w14:solidFill>
              <w14:schemeClr w14:val="tx1"/>
            </w14:solidFill>
          </w14:textFill>
        </w:rPr>
        <w:t>Eur J Clin Pharmacol</w:t>
      </w:r>
      <w:r>
        <w:rPr>
          <w:rFonts w:ascii="Times New Roman" w:hAnsi="Times New Roman" w:cs="Times New Roman"/>
          <w:color w:val="000000" w:themeColor="text1"/>
          <w:sz w:val="18"/>
          <w:szCs w:val="18"/>
          <w14:textFill>
            <w14:solidFill>
              <w14:schemeClr w14:val="tx1"/>
            </w14:solidFill>
          </w14:textFill>
        </w:rPr>
        <w:t>. 2013;69(3):319‐326. doi:10.1007/s00228-012-1387-2</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[4] Bai JPF, Burckart GJ, Mulberg AE. Literature Review of Gastrointestinal Physiology in the Elderly, in Pediatric Patients, and in Patients with Gastrointestinal Diseases. </w:t>
      </w:r>
      <w:r>
        <w:rPr>
          <w:rFonts w:ascii="Times New Roman" w:hAnsi="Times New Roman" w:cs="Times New Roman"/>
          <w:i/>
          <w:iCs/>
          <w:color w:val="000000" w:themeColor="text1"/>
          <w:sz w:val="18"/>
          <w:szCs w:val="18"/>
          <w14:textFill>
            <w14:solidFill>
              <w14:schemeClr w14:val="tx1"/>
            </w14:solidFill>
          </w14:textFill>
        </w:rPr>
        <w:t>J Pharm Sci</w:t>
      </w:r>
      <w:r>
        <w:rPr>
          <w:rFonts w:ascii="Times New Roman" w:hAnsi="Times New Roman" w:cs="Times New Roman"/>
          <w:color w:val="000000" w:themeColor="text1"/>
          <w:sz w:val="18"/>
          <w:szCs w:val="18"/>
          <w14:textFill>
            <w14:solidFill>
              <w14:schemeClr w14:val="tx1"/>
            </w14:solidFill>
          </w14:textFill>
        </w:rPr>
        <w:t>. 2016;105(2):476‐483. doi:10.1002/jps.24696</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[5] Tremblay D, Dupront A, Ho C, Coussediere D, Lenfant B. Pharmacokinetics of cefpodoxime in young and elderly volunteers after single doses. </w:t>
      </w:r>
      <w:r>
        <w:rPr>
          <w:rFonts w:ascii="Times New Roman" w:hAnsi="Times New Roman" w:cs="Times New Roman"/>
          <w:i/>
          <w:iCs/>
          <w:color w:val="000000" w:themeColor="text1"/>
          <w:sz w:val="18"/>
          <w:szCs w:val="18"/>
          <w14:textFill>
            <w14:solidFill>
              <w14:schemeClr w14:val="tx1"/>
            </w14:solidFill>
          </w14:textFill>
        </w:rPr>
        <w:t>J Antimicrob Chemother</w:t>
      </w:r>
      <w:r>
        <w:rPr>
          <w:rFonts w:ascii="Times New Roman" w:hAnsi="Times New Roman" w:cs="Times New Roman"/>
          <w:color w:val="000000" w:themeColor="text1"/>
          <w:sz w:val="18"/>
          <w:szCs w:val="18"/>
          <w14:textFill>
            <w14:solidFill>
              <w14:schemeClr w14:val="tx1"/>
            </w14:solidFill>
          </w14:textFill>
        </w:rPr>
        <w:t>. 1990;26 Suppl E:21‐28. doi:10.1093/jac/26.suppl_e.21</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[6] Borin MT, Ferry JJ, Forbes KK, Hughes GS. Pharmacokinetics of cefpodoxime proxetil in healthy young and elderly volunteers. </w:t>
      </w:r>
      <w:r>
        <w:rPr>
          <w:rFonts w:ascii="Times New Roman" w:hAnsi="Times New Roman" w:cs="Times New Roman"/>
          <w:i/>
          <w:iCs/>
          <w:color w:val="000000" w:themeColor="text1"/>
          <w:sz w:val="18"/>
          <w:szCs w:val="18"/>
          <w14:textFill>
            <w14:solidFill>
              <w14:schemeClr w14:val="tx1"/>
            </w14:solidFill>
          </w14:textFill>
        </w:rPr>
        <w:t>J Clin Pharmacol</w:t>
      </w:r>
      <w:r>
        <w:rPr>
          <w:rFonts w:ascii="Times New Roman" w:hAnsi="Times New Roman" w:cs="Times New Roman"/>
          <w:color w:val="000000" w:themeColor="text1"/>
          <w:sz w:val="18"/>
          <w:szCs w:val="18"/>
          <w14:textFill>
            <w14:solidFill>
              <w14:schemeClr w14:val="tx1"/>
            </w14:solidFill>
          </w14:textFill>
        </w:rPr>
        <w:t>. 1994;34(7):774‐781. doi:10.1002/j.1552-4604.1994.tb02039.x</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[7] Levison ME, Levison JH. Pharmacokinetics and pharmacodynamics of antibacterial agents. </w:t>
      </w:r>
      <w:r>
        <w:rPr>
          <w:rFonts w:ascii="Times New Roman" w:hAnsi="Times New Roman" w:cs="Times New Roman"/>
          <w:i/>
          <w:iCs/>
          <w:color w:val="000000" w:themeColor="text1"/>
          <w:sz w:val="18"/>
          <w:szCs w:val="18"/>
          <w14:textFill>
            <w14:solidFill>
              <w14:schemeClr w14:val="tx1"/>
            </w14:solidFill>
          </w14:textFill>
        </w:rPr>
        <w:t>Infect Dis Clin North Am</w:t>
      </w:r>
      <w:r>
        <w:rPr>
          <w:rFonts w:ascii="Times New Roman" w:hAnsi="Times New Roman" w:cs="Times New Roman"/>
          <w:color w:val="000000" w:themeColor="text1"/>
          <w:sz w:val="18"/>
          <w:szCs w:val="18"/>
          <w14:textFill>
            <w14:solidFill>
              <w14:schemeClr w14:val="tx1"/>
            </w14:solidFill>
          </w14:textFill>
        </w:rPr>
        <w:t>. 2009;23(4):791‐vii. doi:10.1016/j.idc.2009.06.008</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[8] Mitra A, Kesisoglou F. Impaired drug absorption due to high stomach pH: a review of strategies for mitigation of such effect to enable pharmaceutical product development. </w:t>
      </w:r>
      <w:r>
        <w:rPr>
          <w:rFonts w:ascii="Times New Roman" w:hAnsi="Times New Roman" w:cs="Times New Roman"/>
          <w:i/>
          <w:iCs/>
          <w:color w:val="000000" w:themeColor="text1"/>
          <w:sz w:val="18"/>
          <w:szCs w:val="18"/>
          <w14:textFill>
            <w14:solidFill>
              <w14:schemeClr w14:val="tx1"/>
            </w14:solidFill>
          </w14:textFill>
        </w:rPr>
        <w:t>Mol Pharm</w:t>
      </w:r>
      <w:r>
        <w:rPr>
          <w:rFonts w:ascii="Times New Roman" w:hAnsi="Times New Roman" w:cs="Times New Roman"/>
          <w:color w:val="000000" w:themeColor="text1"/>
          <w:sz w:val="18"/>
          <w:szCs w:val="18"/>
          <w14:textFill>
            <w14:solidFill>
              <w14:schemeClr w14:val="tx1"/>
            </w14:solidFill>
          </w14:textFill>
        </w:rPr>
        <w:t>. 2013;10(11):3970‐3979. doi:10.1021/mp400256h</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[9] Giarratano A, Green SE, Nicolau DP. Review of antimicrobial use and considerations in the elderly population. </w:t>
      </w:r>
      <w:r>
        <w:rPr>
          <w:rFonts w:ascii="Times New Roman" w:hAnsi="Times New Roman" w:cs="Times New Roman"/>
          <w:i/>
          <w:iCs/>
          <w:color w:val="000000" w:themeColor="text1"/>
          <w:sz w:val="18"/>
          <w:szCs w:val="18"/>
          <w14:textFill>
            <w14:solidFill>
              <w14:schemeClr w14:val="tx1"/>
            </w14:solidFill>
          </w14:textFill>
        </w:rPr>
        <w:t>Clin Interv Aging</w:t>
      </w:r>
      <w:r>
        <w:rPr>
          <w:rFonts w:ascii="Times New Roman" w:hAnsi="Times New Roman" w:cs="Times New Roman"/>
          <w:color w:val="000000" w:themeColor="text1"/>
          <w:sz w:val="18"/>
          <w:szCs w:val="18"/>
          <w14:textFill>
            <w14:solidFill>
              <w14:schemeClr w14:val="tx1"/>
            </w14:solidFill>
          </w14:textFill>
        </w:rPr>
        <w:t>. 2018;13:657‐667. Published 2018 Apr 17. doi:10.2147/CIA.S133640</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[10] Trobec K, Kerec Kos M, von Haehling S, Springer J, Anker SD, Lainscak M. Pharmacokinetics of drugs in cachectic patients: a systematic review. </w:t>
      </w:r>
      <w:r>
        <w:rPr>
          <w:rFonts w:ascii="Times New Roman" w:hAnsi="Times New Roman" w:cs="Times New Roman"/>
          <w:i/>
          <w:iCs/>
          <w:color w:val="000000" w:themeColor="text1"/>
          <w:sz w:val="18"/>
          <w:szCs w:val="18"/>
          <w14:textFill>
            <w14:solidFill>
              <w14:schemeClr w14:val="tx1"/>
            </w14:solidFill>
          </w14:textFill>
        </w:rPr>
        <w:t>PLoS One</w:t>
      </w:r>
      <w:r>
        <w:rPr>
          <w:rFonts w:ascii="Times New Roman" w:hAnsi="Times New Roman" w:cs="Times New Roman"/>
          <w:color w:val="000000" w:themeColor="text1"/>
          <w:sz w:val="18"/>
          <w:szCs w:val="18"/>
          <w14:textFill>
            <w14:solidFill>
              <w14:schemeClr w14:val="tx1"/>
            </w14:solidFill>
          </w14:textFill>
        </w:rPr>
        <w:t>. 2013;8(11):e79603. Published 2013 Nov 8. doi:10.1371/journal.pone.0079603</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[11] Benet LZ, Hoener BA. Changes in plasma protein binding have little clinical relevance. </w:t>
      </w:r>
      <w:r>
        <w:rPr>
          <w:rFonts w:ascii="Times New Roman" w:hAnsi="Times New Roman" w:cs="Times New Roman"/>
          <w:i/>
          <w:iCs/>
          <w:color w:val="000000" w:themeColor="text1"/>
          <w:sz w:val="18"/>
          <w:szCs w:val="18"/>
          <w14:textFill>
            <w14:solidFill>
              <w14:schemeClr w14:val="tx1"/>
            </w14:solidFill>
          </w14:textFill>
        </w:rPr>
        <w:t>Clin Pharmacol Ther</w:t>
      </w:r>
      <w:r>
        <w:rPr>
          <w:rFonts w:ascii="Times New Roman" w:hAnsi="Times New Roman" w:cs="Times New Roman"/>
          <w:color w:val="000000" w:themeColor="text1"/>
          <w:sz w:val="18"/>
          <w:szCs w:val="18"/>
          <w14:textFill>
            <w14:solidFill>
              <w14:schemeClr w14:val="tx1"/>
            </w14:solidFill>
          </w14:textFill>
        </w:rPr>
        <w:t>. 2002;71(3):115‐121. doi:10.1067/mcp.2002.121829</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[12] Faulkner CM, Cox HL, Williamson JC. Unique aspects of antimicrobial use in older adults. </w:t>
      </w:r>
      <w:r>
        <w:rPr>
          <w:rFonts w:ascii="Times New Roman" w:hAnsi="Times New Roman" w:cs="Times New Roman"/>
          <w:i/>
          <w:iCs/>
          <w:color w:val="000000" w:themeColor="text1"/>
          <w:sz w:val="18"/>
          <w:szCs w:val="18"/>
          <w14:textFill>
            <w14:solidFill>
              <w14:schemeClr w14:val="tx1"/>
            </w14:solidFill>
          </w14:textFill>
        </w:rPr>
        <w:t>Clin Infect Dis</w:t>
      </w:r>
      <w:r>
        <w:rPr>
          <w:rFonts w:ascii="Times New Roman" w:hAnsi="Times New Roman" w:cs="Times New Roman"/>
          <w:color w:val="000000" w:themeColor="text1"/>
          <w:sz w:val="18"/>
          <w:szCs w:val="18"/>
          <w14:textFill>
            <w14:solidFill>
              <w14:schemeClr w14:val="tx1"/>
            </w14:solidFill>
          </w14:textFill>
        </w:rPr>
        <w:t>. 2005;40(7):997‐1004. doi:10.1086/428125</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[13] Falcone M, Paul M, Tiseo G, et al. Considerations for the optimal management of antibiotic therapy in elderly patients [published online ahead of print, 2020 Mar 9]. </w:t>
      </w:r>
      <w:r>
        <w:rPr>
          <w:rFonts w:ascii="Times New Roman" w:hAnsi="Times New Roman" w:cs="Times New Roman"/>
          <w:i/>
          <w:iCs/>
          <w:color w:val="000000" w:themeColor="text1"/>
          <w:sz w:val="18"/>
          <w:szCs w:val="18"/>
          <w14:textFill>
            <w14:solidFill>
              <w14:schemeClr w14:val="tx1"/>
            </w14:solidFill>
          </w14:textFill>
        </w:rPr>
        <w:t>J Glob Antimicrob Resist</w:t>
      </w:r>
      <w:r>
        <w:rPr>
          <w:rFonts w:ascii="Times New Roman" w:hAnsi="Times New Roman" w:cs="Times New Roman"/>
          <w:color w:val="000000" w:themeColor="text1"/>
          <w:sz w:val="18"/>
          <w:szCs w:val="18"/>
          <w14:textFill>
            <w14:solidFill>
              <w14:schemeClr w14:val="tx1"/>
            </w14:solidFill>
          </w14:textFill>
        </w:rPr>
        <w:t>. 2020;S2213-7165(20)30051-5. doi:10.1016/j.jgar.2020.02.022</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[14] Schmucker DL. Liver function and phase I drug metabolism in the elderly: a paradox. </w:t>
      </w:r>
      <w:r>
        <w:rPr>
          <w:rFonts w:ascii="Times New Roman" w:hAnsi="Times New Roman" w:cs="Times New Roman"/>
          <w:i/>
          <w:iCs/>
          <w:color w:val="000000" w:themeColor="text1"/>
          <w:sz w:val="18"/>
          <w:szCs w:val="18"/>
          <w14:textFill>
            <w14:solidFill>
              <w14:schemeClr w14:val="tx1"/>
            </w14:solidFill>
          </w14:textFill>
        </w:rPr>
        <w:t>Drugs Aging</w:t>
      </w:r>
      <w:r>
        <w:rPr>
          <w:rFonts w:ascii="Times New Roman" w:hAnsi="Times New Roman" w:cs="Times New Roman"/>
          <w:color w:val="000000" w:themeColor="text1"/>
          <w:sz w:val="18"/>
          <w:szCs w:val="18"/>
          <w14:textFill>
            <w14:solidFill>
              <w14:schemeClr w14:val="tx1"/>
            </w14:solidFill>
          </w14:textFill>
        </w:rPr>
        <w:t>. 2001;18(11):837‐851. doi:10.2165/00002512-200118110-00005</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[15] Corsonello A, Abbatecola AM, Fusco S, et al. The impact of drug interactions and polypharmacy on antimicrobial therapy in the elderly. </w:t>
      </w:r>
      <w:r>
        <w:rPr>
          <w:rFonts w:ascii="Times New Roman" w:hAnsi="Times New Roman" w:cs="Times New Roman"/>
          <w:i/>
          <w:iCs/>
          <w:color w:val="000000" w:themeColor="text1"/>
          <w:sz w:val="18"/>
          <w:szCs w:val="18"/>
          <w14:textFill>
            <w14:solidFill>
              <w14:schemeClr w14:val="tx1"/>
            </w14:solidFill>
          </w14:textFill>
        </w:rPr>
        <w:t>Clin Microbiol Infect</w:t>
      </w:r>
      <w:r>
        <w:rPr>
          <w:rFonts w:ascii="Times New Roman" w:hAnsi="Times New Roman" w:cs="Times New Roman"/>
          <w:color w:val="000000" w:themeColor="text1"/>
          <w:sz w:val="18"/>
          <w:szCs w:val="18"/>
          <w14:textFill>
            <w14:solidFill>
              <w14:schemeClr w14:val="tx1"/>
            </w14:solidFill>
          </w14:textFill>
        </w:rPr>
        <w:t>. 2015;21(1):20‐26. doi:10.1016/j.cmi.2014.09.011</w:t>
      </w:r>
    </w:p>
    <w:p>
      <w:pPr>
        <w:jc w:val="both"/>
        <w:rPr>
          <w:rFonts w:ascii="Times New Roman" w:hAnsi="Times New Roman" w:cs="Times New Roman"/>
          <w:color w:val="000000" w:themeColor="text1"/>
          <w:sz w:val="18"/>
          <w:szCs w:val="18"/>
          <w14:textFill>
            <w14:solidFill>
              <w14:schemeClr w14:val="tx1"/>
            </w14:solidFill>
          </w14:textFill>
        </w:rPr>
      </w:pPr>
      <w:bookmarkStart w:id="233" w:name="OLE_LINK19"/>
      <w:bookmarkStart w:id="234" w:name="OLE_LINK20"/>
      <w:r>
        <w:rPr>
          <w:rFonts w:ascii="Times New Roman" w:hAnsi="Times New Roman" w:cs="Times New Roman"/>
          <w:color w:val="000000" w:themeColor="text1"/>
          <w:sz w:val="18"/>
          <w:szCs w:val="18"/>
          <w14:textFill>
            <w14:solidFill>
              <w14:schemeClr w14:val="tx1"/>
            </w14:solidFill>
          </w14:textFill>
        </w:rPr>
        <w:t>[16]</w:t>
      </w:r>
      <w:bookmarkEnd w:id="233"/>
      <w:bookmarkEnd w:id="234"/>
      <w:r>
        <w:rPr>
          <w:rFonts w:ascii="Times New Roman" w:hAnsi="Times New Roman" w:cs="Times New Roman"/>
          <w:color w:val="000000" w:themeColor="text1"/>
          <w:sz w:val="18"/>
          <w:szCs w:val="18"/>
          <w14:textFill>
            <w14:solidFill>
              <w14:schemeClr w14:val="tx1"/>
            </w14:solidFill>
          </w14:textFill>
        </w:rPr>
        <w:t xml:space="preserve"> Halilovic J, Heintz BH. Antibiotic dosing in cirrhosis. </w:t>
      </w:r>
      <w:r>
        <w:rPr>
          <w:rFonts w:ascii="Times New Roman" w:hAnsi="Times New Roman" w:cs="Times New Roman"/>
          <w:i/>
          <w:iCs/>
          <w:color w:val="000000" w:themeColor="text1"/>
          <w:sz w:val="18"/>
          <w:szCs w:val="18"/>
          <w14:textFill>
            <w14:solidFill>
              <w14:schemeClr w14:val="tx1"/>
            </w14:solidFill>
          </w14:textFill>
        </w:rPr>
        <w:t>Am J Health Syst Pharm</w:t>
      </w:r>
      <w:r>
        <w:rPr>
          <w:rFonts w:ascii="Times New Roman" w:hAnsi="Times New Roman" w:cs="Times New Roman"/>
          <w:color w:val="000000" w:themeColor="text1"/>
          <w:sz w:val="18"/>
          <w:szCs w:val="18"/>
          <w14:textFill>
            <w14:solidFill>
              <w14:schemeClr w14:val="tx1"/>
            </w14:solidFill>
          </w14:textFill>
        </w:rPr>
        <w:t xml:space="preserve">. 2014;71(19):1621‐1634. </w:t>
      </w:r>
      <w:bookmarkStart w:id="235" w:name="OLE_LINK21"/>
      <w:bookmarkStart w:id="236" w:name="OLE_LINK22"/>
      <w:r>
        <w:rPr>
          <w:rFonts w:ascii="Times New Roman" w:hAnsi="Times New Roman" w:cs="Times New Roman"/>
          <w:color w:val="000000" w:themeColor="text1"/>
          <w:sz w:val="18"/>
          <w:szCs w:val="18"/>
          <w14:textFill>
            <w14:solidFill>
              <w14:schemeClr w14:val="tx1"/>
            </w14:solidFill>
          </w14:textFill>
        </w:rPr>
        <w:t>doi:</w:t>
      </w:r>
      <w:bookmarkEnd w:id="235"/>
      <w:bookmarkEnd w:id="236"/>
      <w:r>
        <w:rPr>
          <w:rFonts w:ascii="Times New Roman" w:hAnsi="Times New Roman" w:cs="Times New Roman"/>
          <w:color w:val="000000" w:themeColor="text1"/>
          <w:sz w:val="18"/>
          <w:szCs w:val="18"/>
          <w14:textFill>
            <w14:solidFill>
              <w14:schemeClr w14:val="tx1"/>
            </w14:solidFill>
          </w14:textFill>
        </w:rPr>
        <w:t>10.2146/ajhp140031</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[17] Olivier P , Bertrand L , Tubery M , et al. Hospitalizations because of Adverse Drug Reactions in Elderly Patients Admitted through the Emergency Department[J]. </w:t>
      </w:r>
      <w:r>
        <w:rPr>
          <w:rFonts w:ascii="Times New Roman" w:hAnsi="Times New Roman" w:cs="Times New Roman"/>
          <w:i/>
          <w:iCs/>
          <w:color w:val="000000" w:themeColor="text1"/>
          <w:sz w:val="18"/>
          <w:szCs w:val="18"/>
          <w14:textFill>
            <w14:solidFill>
              <w14:schemeClr w14:val="tx1"/>
            </w14:solidFill>
          </w14:textFill>
        </w:rPr>
        <w:t>Drugs &amp; Aging</w:t>
      </w:r>
      <w:r>
        <w:rPr>
          <w:rFonts w:ascii="Times New Roman" w:hAnsi="Times New Roman" w:cs="Times New Roman"/>
          <w:color w:val="000000" w:themeColor="text1"/>
          <w:sz w:val="18"/>
          <w:szCs w:val="18"/>
          <w14:textFill>
            <w14:solidFill>
              <w14:schemeClr w14:val="tx1"/>
            </w14:solidFill>
          </w14:textFill>
        </w:rPr>
        <w:t>, 2009;26(6):475 - 82.</w:t>
      </w:r>
      <w:r>
        <w:rPr>
          <w:rFonts w:ascii="Times New Roman" w:hAnsi="Times New Roman" w:cs="Times New Roman"/>
        </w:rPr>
        <w:t xml:space="preserve"> </w:t>
      </w:r>
      <w:r>
        <w:rPr>
          <w:rFonts w:ascii="Times New Roman" w:hAnsi="Times New Roman" w:cs="Times New Roman"/>
          <w:color w:val="000000" w:themeColor="text1"/>
          <w:sz w:val="18"/>
          <w:szCs w:val="18"/>
          <w14:textFill>
            <w14:solidFill>
              <w14:schemeClr w14:val="tx1"/>
            </w14:solidFill>
          </w14:textFill>
        </w:rPr>
        <w:t>doi:10.2165/00002512-200926060-00004</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[18] Noreddin AM, El-Khatib W, Haynes V. Optimal dosing design for antibiotic therapy in the elderly: a pharmacokinetic and pharmacodynamic perspective. </w:t>
      </w:r>
      <w:r>
        <w:rPr>
          <w:rFonts w:ascii="Times New Roman" w:hAnsi="Times New Roman" w:cs="Times New Roman"/>
          <w:i/>
          <w:iCs/>
          <w:color w:val="000000" w:themeColor="text1"/>
          <w:sz w:val="18"/>
          <w:szCs w:val="18"/>
          <w14:textFill>
            <w14:solidFill>
              <w14:schemeClr w14:val="tx1"/>
            </w14:solidFill>
          </w14:textFill>
        </w:rPr>
        <w:t>Recent Pat Antiinfect Drug Discov</w:t>
      </w:r>
      <w:r>
        <w:rPr>
          <w:rFonts w:ascii="Times New Roman" w:hAnsi="Times New Roman" w:cs="Times New Roman"/>
          <w:color w:val="000000" w:themeColor="text1"/>
          <w:sz w:val="18"/>
          <w:szCs w:val="18"/>
          <w14:textFill>
            <w14:solidFill>
              <w14:schemeClr w14:val="tx1"/>
            </w14:solidFill>
          </w14:textFill>
        </w:rPr>
        <w:t>. 2008;3(1):45‐52. doi:10.2174/157489108783413191</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[19] Pea F. Pharmacokinetics and drug metabolism of antibiotics in the elderly. </w:t>
      </w:r>
      <w:r>
        <w:rPr>
          <w:rFonts w:ascii="Times New Roman" w:hAnsi="Times New Roman" w:cs="Times New Roman"/>
          <w:i/>
          <w:iCs/>
          <w:color w:val="000000" w:themeColor="text1"/>
          <w:sz w:val="18"/>
          <w:szCs w:val="18"/>
          <w14:textFill>
            <w14:solidFill>
              <w14:schemeClr w14:val="tx1"/>
            </w14:solidFill>
          </w14:textFill>
        </w:rPr>
        <w:t>Expert Opin Drug Metab Toxicol</w:t>
      </w:r>
      <w:r>
        <w:rPr>
          <w:rFonts w:ascii="Times New Roman" w:hAnsi="Times New Roman" w:cs="Times New Roman"/>
          <w:color w:val="000000" w:themeColor="text1"/>
          <w:sz w:val="18"/>
          <w:szCs w:val="18"/>
          <w14:textFill>
            <w14:solidFill>
              <w14:schemeClr w14:val="tx1"/>
            </w14:solidFill>
          </w14:textFill>
        </w:rPr>
        <w:t>. 2018;14(10):1087‐1100. doi:10.1080/17425255.2018.1528226</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[20] Drenth-van Maanen AC, Jansen PA, Proost JH, et al. Renal function assessment in older adults. </w:t>
      </w:r>
      <w:r>
        <w:rPr>
          <w:rFonts w:ascii="Times New Roman" w:hAnsi="Times New Roman" w:cs="Times New Roman"/>
          <w:i/>
          <w:iCs/>
          <w:color w:val="000000" w:themeColor="text1"/>
          <w:sz w:val="18"/>
          <w:szCs w:val="18"/>
          <w14:textFill>
            <w14:solidFill>
              <w14:schemeClr w14:val="tx1"/>
            </w14:solidFill>
          </w14:textFill>
        </w:rPr>
        <w:t>Br J Clin Pharmacol</w:t>
      </w:r>
      <w:r>
        <w:rPr>
          <w:rFonts w:ascii="Times New Roman" w:hAnsi="Times New Roman" w:cs="Times New Roman"/>
          <w:color w:val="000000" w:themeColor="text1"/>
          <w:sz w:val="18"/>
          <w:szCs w:val="18"/>
          <w14:textFill>
            <w14:solidFill>
              <w14:schemeClr w14:val="tx1"/>
            </w14:solidFill>
          </w14:textFill>
        </w:rPr>
        <w:t>. 2013;76(4):616‐623. doi:10.1111/bcp.12199</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[21] Gupta V, Ye G, Olesky M, Lawrence K, Murray J, Yu K. Trends in resistant Enterobacteriaceae and Acinetobacter species in hospitalized patients in the United States: 2013-2017. </w:t>
      </w:r>
      <w:r>
        <w:rPr>
          <w:rFonts w:ascii="Times New Roman" w:hAnsi="Times New Roman" w:cs="Times New Roman"/>
          <w:i/>
          <w:iCs/>
          <w:color w:val="000000" w:themeColor="text1"/>
          <w:sz w:val="18"/>
          <w:szCs w:val="18"/>
          <w14:textFill>
            <w14:solidFill>
              <w14:schemeClr w14:val="tx1"/>
            </w14:solidFill>
          </w14:textFill>
        </w:rPr>
        <w:t>BMC Infect Dis</w:t>
      </w:r>
      <w:r>
        <w:rPr>
          <w:rFonts w:ascii="Times New Roman" w:hAnsi="Times New Roman" w:cs="Times New Roman"/>
          <w:color w:val="000000" w:themeColor="text1"/>
          <w:sz w:val="18"/>
          <w:szCs w:val="18"/>
          <w14:textFill>
            <w14:solidFill>
              <w14:schemeClr w14:val="tx1"/>
            </w14:solidFill>
          </w14:textFill>
        </w:rPr>
        <w:t>. 2019;19(1):742. Published 2019 Aug 23. doi:10.1186/s12879-019-4387-3</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[22] March A, Aschbacher R, Dhanji H, et al. Colonization of residents and staff of a long-term-care facility and adjacent acute-care hospital geriatric unit by multiresistant bacteria. </w:t>
      </w:r>
      <w:r>
        <w:rPr>
          <w:rFonts w:ascii="Times New Roman" w:hAnsi="Times New Roman" w:cs="Times New Roman"/>
          <w:i/>
          <w:iCs/>
          <w:color w:val="000000" w:themeColor="text1"/>
          <w:sz w:val="18"/>
          <w:szCs w:val="18"/>
          <w14:textFill>
            <w14:solidFill>
              <w14:schemeClr w14:val="tx1"/>
            </w14:solidFill>
          </w14:textFill>
        </w:rPr>
        <w:t>Clin Microbiol Infect</w:t>
      </w:r>
      <w:r>
        <w:rPr>
          <w:rFonts w:ascii="Times New Roman" w:hAnsi="Times New Roman" w:cs="Times New Roman"/>
          <w:color w:val="000000" w:themeColor="text1"/>
          <w:sz w:val="18"/>
          <w:szCs w:val="18"/>
          <w14:textFill>
            <w14:solidFill>
              <w14:schemeClr w14:val="tx1"/>
            </w14:solidFill>
          </w14:textFill>
        </w:rPr>
        <w:t>. 2010;16(7):934‐944. doi:10.1111/j.1469-0691.2009.03024.x</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[23] Pinzone MR, Berretta M, Doerr HW, Nunnari G, Cacopardo B. The complexity of aging: cancer risk among elderly people and infectious risk among those with cancer. </w:t>
      </w:r>
      <w:r>
        <w:rPr>
          <w:rFonts w:ascii="Times New Roman" w:hAnsi="Times New Roman" w:cs="Times New Roman"/>
          <w:i/>
          <w:iCs/>
          <w:color w:val="000000" w:themeColor="text1"/>
          <w:sz w:val="18"/>
          <w:szCs w:val="18"/>
          <w14:textFill>
            <w14:solidFill>
              <w14:schemeClr w14:val="tx1"/>
            </w14:solidFill>
          </w14:textFill>
        </w:rPr>
        <w:t>Anticancer Agents Med Chem</w:t>
      </w:r>
      <w:r>
        <w:rPr>
          <w:rFonts w:ascii="Times New Roman" w:hAnsi="Times New Roman" w:cs="Times New Roman"/>
          <w:color w:val="000000" w:themeColor="text1"/>
          <w:sz w:val="18"/>
          <w:szCs w:val="18"/>
          <w14:textFill>
            <w14:solidFill>
              <w14:schemeClr w14:val="tx1"/>
            </w14:solidFill>
          </w14:textFill>
        </w:rPr>
        <w:t>. 2013;13(9):1444‐1448. doi:10.2174/18715206113136660346</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[24] Yan L, Qing Y, Xingyi J, Hongbo Q. Etiologic diagnosis and clinical treatment of multiple drug-resistant bacteria infection in elderly patients with stroke-associated pneumonia after neurosurgery. </w:t>
      </w:r>
      <w:r>
        <w:rPr>
          <w:rFonts w:ascii="Times New Roman" w:hAnsi="Times New Roman" w:cs="Times New Roman"/>
          <w:i/>
          <w:iCs/>
          <w:color w:val="000000" w:themeColor="text1"/>
          <w:sz w:val="18"/>
          <w:szCs w:val="18"/>
          <w14:textFill>
            <w14:solidFill>
              <w14:schemeClr w14:val="tx1"/>
            </w14:solidFill>
          </w14:textFill>
        </w:rPr>
        <w:t>Cell Biochem Biophys</w:t>
      </w:r>
      <w:r>
        <w:rPr>
          <w:rFonts w:ascii="Times New Roman" w:hAnsi="Times New Roman" w:cs="Times New Roman"/>
          <w:color w:val="000000" w:themeColor="text1"/>
          <w:sz w:val="18"/>
          <w:szCs w:val="18"/>
          <w14:textFill>
            <w14:solidFill>
              <w14:schemeClr w14:val="tx1"/>
            </w14:solidFill>
          </w14:textFill>
        </w:rPr>
        <w:t>. 2015;71(2):731‐734. doi:10.1007/s12013-014-0256-2</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[25] Ruscher C, Pfeifer Y, Layer F, Schaumann R, Levin K, Mielke M. Inguinal skin colonization with multidrug-resistant bacteria among residents of elderly care facilities: frequency, persistence, molecular analysis and clinical impact. </w:t>
      </w:r>
      <w:r>
        <w:rPr>
          <w:rFonts w:ascii="Times New Roman" w:hAnsi="Times New Roman" w:cs="Times New Roman"/>
          <w:i/>
          <w:iCs/>
          <w:color w:val="000000" w:themeColor="text1"/>
          <w:sz w:val="18"/>
          <w:szCs w:val="18"/>
          <w14:textFill>
            <w14:solidFill>
              <w14:schemeClr w14:val="tx1"/>
            </w14:solidFill>
          </w14:textFill>
        </w:rPr>
        <w:t>Int J Med Microbiol</w:t>
      </w:r>
      <w:r>
        <w:rPr>
          <w:rFonts w:ascii="Times New Roman" w:hAnsi="Times New Roman" w:cs="Times New Roman"/>
          <w:color w:val="000000" w:themeColor="text1"/>
          <w:sz w:val="18"/>
          <w:szCs w:val="18"/>
          <w14:textFill>
            <w14:solidFill>
              <w14:schemeClr w14:val="tx1"/>
            </w14:solidFill>
          </w14:textFill>
        </w:rPr>
        <w:t>. 2014;304(8):1123‐1134. doi:10.1016/j.ijmm.2014.08.006</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[26] Logan LK, Weinstein RA. The Epidemiology of Carbapenem-Resistant Enterobacteriaceae: The Impact and Evolution of a Global Menace. </w:t>
      </w:r>
      <w:r>
        <w:rPr>
          <w:rFonts w:ascii="Times New Roman" w:hAnsi="Times New Roman" w:cs="Times New Roman"/>
          <w:i/>
          <w:iCs/>
          <w:color w:val="000000" w:themeColor="text1"/>
          <w:sz w:val="18"/>
          <w:szCs w:val="18"/>
          <w14:textFill>
            <w14:solidFill>
              <w14:schemeClr w14:val="tx1"/>
            </w14:solidFill>
          </w14:textFill>
        </w:rPr>
        <w:t>J Infect Dis</w:t>
      </w:r>
      <w:r>
        <w:rPr>
          <w:rFonts w:ascii="Times New Roman" w:hAnsi="Times New Roman" w:cs="Times New Roman"/>
          <w:color w:val="000000" w:themeColor="text1"/>
          <w:sz w:val="18"/>
          <w:szCs w:val="18"/>
          <w14:textFill>
            <w14:solidFill>
              <w14:schemeClr w14:val="tx1"/>
            </w14:solidFill>
          </w14:textFill>
        </w:rPr>
        <w:t>. 2017;215(suppl_1):S28‐S36. doi:10.1093/infdis/jiw282</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[27] Weber SG, Miller RR, Perencevich EN, et al. Prevalence of antimicrobial-resistant bacteria isolated from older versus younger hospitalized adults: results of a two-centre study. </w:t>
      </w:r>
      <w:r>
        <w:rPr>
          <w:rFonts w:ascii="Times New Roman" w:hAnsi="Times New Roman" w:cs="Times New Roman"/>
          <w:i/>
          <w:iCs/>
          <w:color w:val="000000" w:themeColor="text1"/>
          <w:sz w:val="18"/>
          <w:szCs w:val="18"/>
          <w14:textFill>
            <w14:solidFill>
              <w14:schemeClr w14:val="tx1"/>
            </w14:solidFill>
          </w14:textFill>
        </w:rPr>
        <w:t>J Antimicrob Chemother</w:t>
      </w:r>
      <w:r>
        <w:rPr>
          <w:rFonts w:ascii="Times New Roman" w:hAnsi="Times New Roman" w:cs="Times New Roman"/>
          <w:color w:val="000000" w:themeColor="text1"/>
          <w:sz w:val="18"/>
          <w:szCs w:val="18"/>
          <w14:textFill>
            <w14:solidFill>
              <w14:schemeClr w14:val="tx1"/>
            </w14:solidFill>
          </w14:textFill>
        </w:rPr>
        <w:t>. 2009;64(6):1291‐1298. doi:10.1093/jac/dkp349</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[28] Borrego F, Gleckman R. Principles of antibiotic prescribing in the elderly. </w:t>
      </w:r>
      <w:r>
        <w:rPr>
          <w:rFonts w:ascii="Times New Roman" w:hAnsi="Times New Roman" w:cs="Times New Roman"/>
          <w:i/>
          <w:iCs/>
          <w:color w:val="000000" w:themeColor="text1"/>
          <w:sz w:val="18"/>
          <w:szCs w:val="18"/>
          <w14:textFill>
            <w14:solidFill>
              <w14:schemeClr w14:val="tx1"/>
            </w14:solidFill>
          </w14:textFill>
        </w:rPr>
        <w:t>Drugs Aging</w:t>
      </w:r>
      <w:r>
        <w:rPr>
          <w:rFonts w:ascii="Times New Roman" w:hAnsi="Times New Roman" w:cs="Times New Roman"/>
          <w:color w:val="000000" w:themeColor="text1"/>
          <w:sz w:val="18"/>
          <w:szCs w:val="18"/>
          <w14:textFill>
            <w14:solidFill>
              <w14:schemeClr w14:val="tx1"/>
            </w14:solidFill>
          </w14:textFill>
        </w:rPr>
        <w:t>. 1997;11(1):7‐18. doi:10.2165/00002512-199711010-00002</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[29] Jespersen CM, Als-Nielsen B, Damgaard M, et al. </w:t>
      </w:r>
      <w:bookmarkStart w:id="237" w:name="OLE_LINK3"/>
      <w:bookmarkStart w:id="238" w:name="OLE_LINK4"/>
      <w:bookmarkStart w:id="239" w:name="OLE_LINK5"/>
      <w:r>
        <w:rPr>
          <w:rFonts w:ascii="Times New Roman" w:hAnsi="Times New Roman" w:cs="Times New Roman"/>
          <w:color w:val="000000" w:themeColor="text1"/>
          <w:sz w:val="18"/>
          <w:szCs w:val="18"/>
          <w14:textFill>
            <w14:solidFill>
              <w14:schemeClr w14:val="tx1"/>
            </w14:solidFill>
          </w14:textFill>
        </w:rPr>
        <w:t>Randomised placebo controlled multicentre trial to assess short term clarithromycin for patients with stable coronary heart disease: CLARICOR trial</w:t>
      </w:r>
      <w:bookmarkEnd w:id="237"/>
      <w:bookmarkEnd w:id="238"/>
      <w:bookmarkEnd w:id="239"/>
      <w:r>
        <w:rPr>
          <w:rFonts w:ascii="Times New Roman" w:hAnsi="Times New Roman" w:cs="Times New Roman"/>
          <w:color w:val="000000" w:themeColor="text1"/>
          <w:sz w:val="18"/>
          <w:szCs w:val="18"/>
          <w14:textFill>
            <w14:solidFill>
              <w14:schemeClr w14:val="tx1"/>
            </w14:solidFill>
          </w14:textFill>
        </w:rPr>
        <w:t xml:space="preserve"> [published correction appears in BMJ. 2006 Jan 21;332(7534):151]. </w:t>
      </w:r>
      <w:r>
        <w:rPr>
          <w:rFonts w:ascii="Times New Roman" w:hAnsi="Times New Roman" w:cs="Times New Roman"/>
          <w:i/>
          <w:iCs/>
          <w:color w:val="000000" w:themeColor="text1"/>
          <w:sz w:val="18"/>
          <w:szCs w:val="18"/>
          <w14:textFill>
            <w14:solidFill>
              <w14:schemeClr w14:val="tx1"/>
            </w14:solidFill>
          </w14:textFill>
        </w:rPr>
        <w:t>BMJ</w:t>
      </w:r>
      <w:r>
        <w:rPr>
          <w:rFonts w:ascii="Times New Roman" w:hAnsi="Times New Roman" w:cs="Times New Roman"/>
          <w:color w:val="000000" w:themeColor="text1"/>
          <w:sz w:val="18"/>
          <w:szCs w:val="18"/>
          <w14:textFill>
            <w14:solidFill>
              <w14:schemeClr w14:val="tx1"/>
            </w14:solidFill>
          </w14:textFill>
        </w:rPr>
        <w:t>. 2006;332(7532):22‐27. doi:10.1136/bmj.38666.653600.55</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[30] Morganroth J, Dimarco JP, Anzueto A, Niederman MS, Choudhri S; CAPRIE Study Group. </w:t>
      </w:r>
      <w:bookmarkStart w:id="240" w:name="OLE_LINK6"/>
      <w:bookmarkStart w:id="241" w:name="OLE_LINK7"/>
      <w:bookmarkStart w:id="242" w:name="OLE_LINK8"/>
      <w:r>
        <w:rPr>
          <w:rFonts w:ascii="Times New Roman" w:hAnsi="Times New Roman" w:cs="Times New Roman"/>
          <w:color w:val="000000" w:themeColor="text1"/>
          <w:sz w:val="18"/>
          <w:szCs w:val="18"/>
          <w14:textFill>
            <w14:solidFill>
              <w14:schemeClr w14:val="tx1"/>
            </w14:solidFill>
          </w14:textFill>
        </w:rPr>
        <w:t>A randomized trial comparing the cardiac rhythm safety of moxifloxacin vs levofloxacin in elderly patients hospitalized with community-acquired pneumonia</w:t>
      </w:r>
      <w:bookmarkEnd w:id="240"/>
      <w:bookmarkEnd w:id="241"/>
      <w:bookmarkEnd w:id="242"/>
      <w:r>
        <w:rPr>
          <w:rFonts w:ascii="Times New Roman" w:hAnsi="Times New Roman" w:cs="Times New Roman"/>
          <w:color w:val="000000" w:themeColor="text1"/>
          <w:sz w:val="18"/>
          <w:szCs w:val="18"/>
          <w14:textFill>
            <w14:solidFill>
              <w14:schemeClr w14:val="tx1"/>
            </w14:solidFill>
          </w14:textFill>
        </w:rPr>
        <w:t xml:space="preserve">. </w:t>
      </w:r>
      <w:r>
        <w:rPr>
          <w:rFonts w:ascii="Times New Roman" w:hAnsi="Times New Roman" w:cs="Times New Roman"/>
          <w:i/>
          <w:iCs/>
          <w:color w:val="000000" w:themeColor="text1"/>
          <w:sz w:val="18"/>
          <w:szCs w:val="18"/>
          <w14:textFill>
            <w14:solidFill>
              <w14:schemeClr w14:val="tx1"/>
            </w14:solidFill>
          </w14:textFill>
        </w:rPr>
        <w:t>Chest</w:t>
      </w:r>
      <w:r>
        <w:rPr>
          <w:rFonts w:ascii="Times New Roman" w:hAnsi="Times New Roman" w:cs="Times New Roman"/>
          <w:color w:val="000000" w:themeColor="text1"/>
          <w:sz w:val="18"/>
          <w:szCs w:val="18"/>
          <w14:textFill>
            <w14:solidFill>
              <w14:schemeClr w14:val="tx1"/>
            </w14:solidFill>
          </w14:textFill>
        </w:rPr>
        <w:t>. 2005;128(5):3398‐3406. doi:10.1378/chest.128.5.3398</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[31] Pasternak B, Inghammar M, Svanström H. Fluoroquinolone use and risk of aortic aneurysm and dissection: nationwide cohort study. </w:t>
      </w:r>
      <w:r>
        <w:rPr>
          <w:rFonts w:ascii="Times New Roman" w:hAnsi="Times New Roman" w:cs="Times New Roman"/>
          <w:i/>
          <w:iCs/>
          <w:color w:val="000000" w:themeColor="text1"/>
          <w:sz w:val="18"/>
          <w:szCs w:val="18"/>
          <w14:textFill>
            <w14:solidFill>
              <w14:schemeClr w14:val="tx1"/>
            </w14:solidFill>
          </w14:textFill>
        </w:rPr>
        <w:t>BMJ</w:t>
      </w:r>
      <w:r>
        <w:rPr>
          <w:rFonts w:ascii="Times New Roman" w:hAnsi="Times New Roman" w:cs="Times New Roman"/>
          <w:color w:val="000000" w:themeColor="text1"/>
          <w:sz w:val="18"/>
          <w:szCs w:val="18"/>
          <w14:textFill>
            <w14:solidFill>
              <w14:schemeClr w14:val="tx1"/>
            </w14:solidFill>
          </w14:textFill>
        </w:rPr>
        <w:t>. 2018;360:k678. Published 2018 Mar 8. doi:10.1136/bmj.k678</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[32] Bi LQ, Zhou J, Huang M, Zhou SM. Efficacy of linezolid on gram-positive bacterial infection in elderly patients and the risk factors associated with thrombocytopenia. </w:t>
      </w:r>
      <w:r>
        <w:rPr>
          <w:rFonts w:ascii="Times New Roman" w:hAnsi="Times New Roman" w:cs="Times New Roman"/>
          <w:i/>
          <w:iCs/>
          <w:color w:val="000000" w:themeColor="text1"/>
          <w:sz w:val="18"/>
          <w:szCs w:val="18"/>
          <w14:textFill>
            <w14:solidFill>
              <w14:schemeClr w14:val="tx1"/>
            </w14:solidFill>
          </w14:textFill>
        </w:rPr>
        <w:t>Pak J Med Sci</w:t>
      </w:r>
      <w:r>
        <w:rPr>
          <w:rFonts w:ascii="Times New Roman" w:hAnsi="Times New Roman" w:cs="Times New Roman"/>
          <w:color w:val="000000" w:themeColor="text1"/>
          <w:sz w:val="18"/>
          <w:szCs w:val="18"/>
          <w14:textFill>
            <w14:solidFill>
              <w14:schemeClr w14:val="tx1"/>
            </w14:solidFill>
          </w14:textFill>
        </w:rPr>
        <w:t>. 2013;29(3):837‐842. doi:10.12669/pjms.293.2925</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[33] Britt NS, Potter EM, Patel N, Steed ME. Comparative Effectiveness and Safety of Standard-, Medium-, and High-Dose Daptomycin Strategies for the Treatment of Vancomycin-Resistant Enterococcal Bacteremia Among Veterans Affairs Patients. </w:t>
      </w:r>
      <w:r>
        <w:rPr>
          <w:rFonts w:ascii="Times New Roman" w:hAnsi="Times New Roman" w:cs="Times New Roman"/>
          <w:i/>
          <w:iCs/>
          <w:color w:val="000000" w:themeColor="text1"/>
          <w:sz w:val="18"/>
          <w:szCs w:val="18"/>
          <w14:textFill>
            <w14:solidFill>
              <w14:schemeClr w14:val="tx1"/>
            </w14:solidFill>
          </w14:textFill>
        </w:rPr>
        <w:t>Clin Infect Dis</w:t>
      </w:r>
      <w:r>
        <w:rPr>
          <w:rFonts w:ascii="Times New Roman" w:hAnsi="Times New Roman" w:cs="Times New Roman"/>
          <w:color w:val="000000" w:themeColor="text1"/>
          <w:sz w:val="18"/>
          <w:szCs w:val="18"/>
          <w14:textFill>
            <w14:solidFill>
              <w14:schemeClr w14:val="tx1"/>
            </w14:solidFill>
          </w14:textFill>
        </w:rPr>
        <w:t>. 2017;64(5):605‐613. doi:10.1093/cid/ciw815</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[34] Godoy-Santos AL, Bruschini H, Cury J, et al. Fluoroquinolones and the Risk of Achilles Tendon Disorders: Update on a Neglected Complication. </w:t>
      </w:r>
      <w:r>
        <w:rPr>
          <w:rFonts w:ascii="Times New Roman" w:hAnsi="Times New Roman" w:cs="Times New Roman"/>
          <w:i/>
          <w:iCs/>
          <w:color w:val="000000" w:themeColor="text1"/>
          <w:sz w:val="18"/>
          <w:szCs w:val="18"/>
          <w14:textFill>
            <w14:solidFill>
              <w14:schemeClr w14:val="tx1"/>
            </w14:solidFill>
          </w14:textFill>
        </w:rPr>
        <w:t>Urology</w:t>
      </w:r>
      <w:r>
        <w:rPr>
          <w:rFonts w:ascii="Times New Roman" w:hAnsi="Times New Roman" w:cs="Times New Roman"/>
          <w:color w:val="000000" w:themeColor="text1"/>
          <w:sz w:val="18"/>
          <w:szCs w:val="18"/>
          <w14:textFill>
            <w14:solidFill>
              <w14:schemeClr w14:val="tx1"/>
            </w14:solidFill>
          </w14:textFill>
        </w:rPr>
        <w:t>. 2018;113:20‐25. doi:10.1016/j.urology.2017.10.017</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[35] Parekh TM, Raji M, Lin YL, Tan A, Kuo YF, Goodwin JS. Hypoglycemia after antimicrobial drug prescription for older patients using sulfonylureas. </w:t>
      </w:r>
      <w:r>
        <w:rPr>
          <w:rFonts w:ascii="Times New Roman" w:hAnsi="Times New Roman" w:cs="Times New Roman"/>
          <w:i/>
          <w:iCs/>
          <w:color w:val="000000" w:themeColor="text1"/>
          <w:sz w:val="18"/>
          <w:szCs w:val="18"/>
          <w14:textFill>
            <w14:solidFill>
              <w14:schemeClr w14:val="tx1"/>
            </w14:solidFill>
          </w14:textFill>
        </w:rPr>
        <w:t>JAMA Intern Med</w:t>
      </w:r>
      <w:r>
        <w:rPr>
          <w:rFonts w:ascii="Times New Roman" w:hAnsi="Times New Roman" w:cs="Times New Roman"/>
          <w:color w:val="000000" w:themeColor="text1"/>
          <w:sz w:val="18"/>
          <w:szCs w:val="18"/>
          <w14:textFill>
            <w14:solidFill>
              <w14:schemeClr w14:val="tx1"/>
            </w14:solidFill>
          </w14:textFill>
        </w:rPr>
        <w:t>. 2014;174(10):1605‐1612. doi:10.1001/jamainternmed.2014.3293</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[36] Singh N, Jacob JJ. Levofloxacin and hypoglycemia. Clin Infect Dis. 2008;46(7):1127. doi:10.1086/529393</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[37] Vardakas KZ, Kalimeris GD, Triarides NA, Falagas ME. An update on adverse drug reactions related to β-lactam antibiotics. Expert Opin Drug Saf. 2018;17(5):499‐508. doi:10.1080/14740338.2018.1462334</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[38] Mattappalil A, Mergenhagen KA. Neurotoxicity with antimicrobials in the elderly: a review. Clin Ther. 2014;36(11):1489‐1511.e4. doi:10.1016/j.clinthera.2014.09.020</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[39] Grahl JJ, Stollings JL, Rakhit S, et al. Antimicrobial exposure and the risk of delirium in critically ill patients. Crit Care. 2018;22(1):337. Published 2018 Dec 12. doi:10.1186/s13054-018-2262-z</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[40] Apodaca K, Baker J, Bin-Bilal H, Raskin Y, Quinn DK. Ertapenem-Induced Delirium: A Case Report and Literature Review. Psychosomatics. 2015;56(5):561‐566. doi:10.1016/j.psym.2015.02.002</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[41] Slobodin G, Elias N, Zaygraikin N, et al. Levofloxacin-induced delirium. Neurol Sci. 2009;30(2):159‐161. doi:10.1007/s10072-009-0027-9</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[42] Lane MA, Zeringue A, McDonald JR. Serious bleeding events due to warfarin and antibiotic co-prescription in a cohort of veterans. Am J Med. 2014;127(7):657‐663.e2. doi:10.1016/j.amjmed.2014.01.044</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[43] Lippi G, Favaloro EJ, Mattiuzzi C. Combined administration of antibiotics and direct oral anticoagulants: a renewed indication for laboratory monitoring?. Semin Thromb Hemost. 2014;40(7):756‐765. doi:10.1055/s-0034-1381233</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[44] Steffel J, Verhamme P, Potpara TS, et al. The 2018 European Heart Rhythm Association Practical Guide on the use of non-vitamin K antagonist oral anticoagulants in patients with atrial fibrillation. Eur Heart J. 2018;39(16):1330‐1393. doi:10.1093/eurheartj/ehy136</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[45] Huang CR, Lin CH, Hsiao SC, et al. Drug interaction between valproic acid and carbapenems in patients with epileptic seizures. </w:t>
      </w:r>
      <w:r>
        <w:rPr>
          <w:rFonts w:ascii="Times New Roman" w:hAnsi="Times New Roman" w:cs="Times New Roman"/>
          <w:i/>
          <w:iCs/>
          <w:color w:val="000000" w:themeColor="text1"/>
          <w:sz w:val="18"/>
          <w:szCs w:val="18"/>
          <w14:textFill>
            <w14:solidFill>
              <w14:schemeClr w14:val="tx1"/>
            </w14:solidFill>
          </w14:textFill>
        </w:rPr>
        <w:t>Kaohsiung J Med Sci</w:t>
      </w:r>
      <w:r>
        <w:rPr>
          <w:rFonts w:ascii="Times New Roman" w:hAnsi="Times New Roman" w:cs="Times New Roman"/>
          <w:color w:val="000000" w:themeColor="text1"/>
          <w:sz w:val="18"/>
          <w:szCs w:val="18"/>
          <w14:textFill>
            <w14:solidFill>
              <w14:schemeClr w14:val="tx1"/>
            </w14:solidFill>
          </w14:textFill>
        </w:rPr>
        <w:t>. 2017;33(3):130‐136. doi:10.1016/j.kjms.2016.12.001</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[46] Wu CC, Pai TY, Hsiao FY, Shen LJ, Wu FL. The Effect of Different Carbapenem Antibiotics (Ertapenem, Imipenem/Cilastatin, and Meropenem) on Serum Valproic Acid Concentrations. </w:t>
      </w:r>
      <w:r>
        <w:rPr>
          <w:rFonts w:ascii="Times New Roman" w:hAnsi="Times New Roman" w:cs="Times New Roman"/>
          <w:i/>
          <w:iCs/>
          <w:color w:val="000000" w:themeColor="text1"/>
          <w:sz w:val="18"/>
          <w:szCs w:val="18"/>
          <w14:textFill>
            <w14:solidFill>
              <w14:schemeClr w14:val="tx1"/>
            </w14:solidFill>
          </w14:textFill>
        </w:rPr>
        <w:t>Ther Drug Monit</w:t>
      </w:r>
      <w:r>
        <w:rPr>
          <w:rFonts w:ascii="Times New Roman" w:hAnsi="Times New Roman" w:cs="Times New Roman"/>
          <w:color w:val="000000" w:themeColor="text1"/>
          <w:sz w:val="18"/>
          <w:szCs w:val="18"/>
          <w14:textFill>
            <w14:solidFill>
              <w14:schemeClr w14:val="tx1"/>
            </w14:solidFill>
          </w14:textFill>
        </w:rPr>
        <w:t>. 2016;38(5):587‐592. doi:10.1097/FTD.0000000000000316</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[47] Kieu V, Jhangiani K, Dadwal S, Nakamura R, Pon D. Effect of isavuconazole on tacrolimus and sirolimus serum concentrations in allogeneic hematopoietic stem cell transplant patients: A drug-drug interaction study. </w:t>
      </w:r>
      <w:r>
        <w:rPr>
          <w:rFonts w:ascii="Times New Roman" w:hAnsi="Times New Roman" w:cs="Times New Roman"/>
          <w:i/>
          <w:iCs/>
          <w:color w:val="000000" w:themeColor="text1"/>
          <w:sz w:val="18"/>
          <w:szCs w:val="18"/>
          <w14:textFill>
            <w14:solidFill>
              <w14:schemeClr w14:val="tx1"/>
            </w14:solidFill>
          </w14:textFill>
        </w:rPr>
        <w:t>Transpl Infect Dis</w:t>
      </w:r>
      <w:r>
        <w:rPr>
          <w:rFonts w:ascii="Times New Roman" w:hAnsi="Times New Roman" w:cs="Times New Roman"/>
          <w:color w:val="000000" w:themeColor="text1"/>
          <w:sz w:val="18"/>
          <w:szCs w:val="18"/>
          <w14:textFill>
            <w14:solidFill>
              <w14:schemeClr w14:val="tx1"/>
            </w14:solidFill>
          </w14:textFill>
        </w:rPr>
        <w:t>. 2019;21(1):e13007. doi:10.1111/tid.13007</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[48] Vanhove T, Bouwsma H, Hilbrands L, et al. Determinants of the Magnitude of Interaction Between Tacrolimus and Voriconazole/Posaconazole in Solid Organ Recipients. </w:t>
      </w:r>
      <w:r>
        <w:rPr>
          <w:rFonts w:ascii="Times New Roman" w:hAnsi="Times New Roman" w:cs="Times New Roman"/>
          <w:i/>
          <w:iCs/>
          <w:color w:val="000000" w:themeColor="text1"/>
          <w:sz w:val="18"/>
          <w:szCs w:val="18"/>
          <w14:textFill>
            <w14:solidFill>
              <w14:schemeClr w14:val="tx1"/>
            </w14:solidFill>
          </w14:textFill>
        </w:rPr>
        <w:t>Am J Transplant</w:t>
      </w:r>
      <w:r>
        <w:rPr>
          <w:rFonts w:ascii="Times New Roman" w:hAnsi="Times New Roman" w:cs="Times New Roman"/>
          <w:color w:val="000000" w:themeColor="text1"/>
          <w:sz w:val="18"/>
          <w:szCs w:val="18"/>
          <w14:textFill>
            <w14:solidFill>
              <w14:schemeClr w14:val="tx1"/>
            </w14:solidFill>
          </w14:textFill>
        </w:rPr>
        <w:t>. 2017;17(9):2372‐2380. doi:10.1111/ajt.14232</w:t>
      </w:r>
    </w:p>
    <w:p>
      <w:pPr>
        <w:jc w:val="both"/>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[49] Laniado-Laborín R, Cabrales-Vargas MN. Amphotericin B: side effects and toxicity. </w:t>
      </w:r>
      <w:r>
        <w:rPr>
          <w:rFonts w:ascii="Times New Roman" w:hAnsi="Times New Roman" w:cs="Times New Roman"/>
          <w:i/>
          <w:iCs/>
          <w:color w:val="000000" w:themeColor="text1"/>
          <w:sz w:val="18"/>
          <w:szCs w:val="18"/>
          <w14:textFill>
            <w14:solidFill>
              <w14:schemeClr w14:val="tx1"/>
            </w14:solidFill>
          </w14:textFill>
        </w:rPr>
        <w:t>Rev Iberoam Micol</w:t>
      </w:r>
      <w:r>
        <w:rPr>
          <w:rFonts w:ascii="Times New Roman" w:hAnsi="Times New Roman" w:cs="Times New Roman"/>
          <w:color w:val="000000" w:themeColor="text1"/>
          <w:sz w:val="18"/>
          <w:szCs w:val="18"/>
          <w14:textFill>
            <w14:solidFill>
              <w14:schemeClr w14:val="tx1"/>
            </w14:solidFill>
          </w14:textFill>
        </w:rPr>
        <w:t>. 2009;26(4):223‐227. doi:10.1016/j.riam.2009.06.003</w:t>
      </w:r>
    </w:p>
    <w:p>
      <w:pPr>
        <w:jc w:val="both"/>
        <w:rPr>
          <w:rFonts w:ascii="Times New Roman" w:hAnsi="Times New Roman" w:cs="Times New Roman"/>
          <w:color w:val="000000" w:themeColor="text1"/>
          <w:sz w:val="18"/>
          <w:szCs w:val="18"/>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66"/>
    <w:rsid w:val="00003F1D"/>
    <w:rsid w:val="00004669"/>
    <w:rsid w:val="00007E7C"/>
    <w:rsid w:val="00011038"/>
    <w:rsid w:val="000259AB"/>
    <w:rsid w:val="000314B3"/>
    <w:rsid w:val="00060A10"/>
    <w:rsid w:val="0006635B"/>
    <w:rsid w:val="000834D7"/>
    <w:rsid w:val="00085071"/>
    <w:rsid w:val="000A4F57"/>
    <w:rsid w:val="000B4812"/>
    <w:rsid w:val="000B659A"/>
    <w:rsid w:val="000B7313"/>
    <w:rsid w:val="000C1EDE"/>
    <w:rsid w:val="000C3F8A"/>
    <w:rsid w:val="000C7092"/>
    <w:rsid w:val="000D5CDD"/>
    <w:rsid w:val="000D750A"/>
    <w:rsid w:val="000E4A95"/>
    <w:rsid w:val="000E52F3"/>
    <w:rsid w:val="000F79F0"/>
    <w:rsid w:val="00100DBE"/>
    <w:rsid w:val="00101529"/>
    <w:rsid w:val="00105B3E"/>
    <w:rsid w:val="001110FF"/>
    <w:rsid w:val="00112F9C"/>
    <w:rsid w:val="001135E9"/>
    <w:rsid w:val="00131E7A"/>
    <w:rsid w:val="00135BB5"/>
    <w:rsid w:val="001414AE"/>
    <w:rsid w:val="0014184A"/>
    <w:rsid w:val="00152C5D"/>
    <w:rsid w:val="00167BA9"/>
    <w:rsid w:val="00174739"/>
    <w:rsid w:val="00187F4F"/>
    <w:rsid w:val="0019105D"/>
    <w:rsid w:val="001B64F2"/>
    <w:rsid w:val="001B6D17"/>
    <w:rsid w:val="001E15E3"/>
    <w:rsid w:val="001E178D"/>
    <w:rsid w:val="001F48BE"/>
    <w:rsid w:val="00200945"/>
    <w:rsid w:val="00202340"/>
    <w:rsid w:val="00214ED4"/>
    <w:rsid w:val="00216D1C"/>
    <w:rsid w:val="00224AE2"/>
    <w:rsid w:val="00226FED"/>
    <w:rsid w:val="00227232"/>
    <w:rsid w:val="00231D4A"/>
    <w:rsid w:val="00235753"/>
    <w:rsid w:val="0023734B"/>
    <w:rsid w:val="0024506C"/>
    <w:rsid w:val="002517EB"/>
    <w:rsid w:val="00251C4D"/>
    <w:rsid w:val="002526C0"/>
    <w:rsid w:val="00252C48"/>
    <w:rsid w:val="002538DE"/>
    <w:rsid w:val="00255B04"/>
    <w:rsid w:val="002561EE"/>
    <w:rsid w:val="002606A1"/>
    <w:rsid w:val="0026763C"/>
    <w:rsid w:val="00272C75"/>
    <w:rsid w:val="0027640A"/>
    <w:rsid w:val="00282EC9"/>
    <w:rsid w:val="002835E4"/>
    <w:rsid w:val="0028499C"/>
    <w:rsid w:val="00287E83"/>
    <w:rsid w:val="00290E6E"/>
    <w:rsid w:val="0029390A"/>
    <w:rsid w:val="00294359"/>
    <w:rsid w:val="002A1A9A"/>
    <w:rsid w:val="002A2981"/>
    <w:rsid w:val="002A5EEC"/>
    <w:rsid w:val="002B0893"/>
    <w:rsid w:val="002B7725"/>
    <w:rsid w:val="002E1405"/>
    <w:rsid w:val="002E1F1A"/>
    <w:rsid w:val="002E5ED3"/>
    <w:rsid w:val="002E66F4"/>
    <w:rsid w:val="002F47C7"/>
    <w:rsid w:val="002F48BD"/>
    <w:rsid w:val="0030354F"/>
    <w:rsid w:val="0031702A"/>
    <w:rsid w:val="00317F10"/>
    <w:rsid w:val="003210B5"/>
    <w:rsid w:val="00323833"/>
    <w:rsid w:val="003266D1"/>
    <w:rsid w:val="0033045A"/>
    <w:rsid w:val="003348B0"/>
    <w:rsid w:val="00346F7D"/>
    <w:rsid w:val="00355DB0"/>
    <w:rsid w:val="0035662A"/>
    <w:rsid w:val="00356975"/>
    <w:rsid w:val="00366374"/>
    <w:rsid w:val="00366448"/>
    <w:rsid w:val="003750CC"/>
    <w:rsid w:val="00375386"/>
    <w:rsid w:val="00386297"/>
    <w:rsid w:val="00394683"/>
    <w:rsid w:val="003A28E3"/>
    <w:rsid w:val="003A542D"/>
    <w:rsid w:val="003B01D1"/>
    <w:rsid w:val="003C228B"/>
    <w:rsid w:val="003C3FEC"/>
    <w:rsid w:val="003C4612"/>
    <w:rsid w:val="003C701A"/>
    <w:rsid w:val="003D1975"/>
    <w:rsid w:val="003F44D9"/>
    <w:rsid w:val="003F4DB8"/>
    <w:rsid w:val="004012B0"/>
    <w:rsid w:val="00403954"/>
    <w:rsid w:val="00404CB1"/>
    <w:rsid w:val="00407CFD"/>
    <w:rsid w:val="00417DC8"/>
    <w:rsid w:val="00420E0F"/>
    <w:rsid w:val="00431489"/>
    <w:rsid w:val="00434192"/>
    <w:rsid w:val="00437EFE"/>
    <w:rsid w:val="00440961"/>
    <w:rsid w:val="004557FC"/>
    <w:rsid w:val="00460FC3"/>
    <w:rsid w:val="00474978"/>
    <w:rsid w:val="004917DF"/>
    <w:rsid w:val="00494286"/>
    <w:rsid w:val="004A31E1"/>
    <w:rsid w:val="004B1DAE"/>
    <w:rsid w:val="004B35C2"/>
    <w:rsid w:val="004B3BBA"/>
    <w:rsid w:val="004B552F"/>
    <w:rsid w:val="004C0395"/>
    <w:rsid w:val="004C1C9D"/>
    <w:rsid w:val="004C3BFD"/>
    <w:rsid w:val="004C4133"/>
    <w:rsid w:val="004C62E1"/>
    <w:rsid w:val="004D42BA"/>
    <w:rsid w:val="004D584A"/>
    <w:rsid w:val="004D7585"/>
    <w:rsid w:val="004F3B88"/>
    <w:rsid w:val="004F547F"/>
    <w:rsid w:val="004F5AB3"/>
    <w:rsid w:val="00501F4B"/>
    <w:rsid w:val="005038D7"/>
    <w:rsid w:val="005100FF"/>
    <w:rsid w:val="00510897"/>
    <w:rsid w:val="00513EBE"/>
    <w:rsid w:val="005152C0"/>
    <w:rsid w:val="005200CD"/>
    <w:rsid w:val="00524552"/>
    <w:rsid w:val="00535AEA"/>
    <w:rsid w:val="005379B1"/>
    <w:rsid w:val="005444A1"/>
    <w:rsid w:val="005477DD"/>
    <w:rsid w:val="005565EF"/>
    <w:rsid w:val="00557298"/>
    <w:rsid w:val="00560FC6"/>
    <w:rsid w:val="005852FC"/>
    <w:rsid w:val="00587A8A"/>
    <w:rsid w:val="005976C4"/>
    <w:rsid w:val="005A7DDC"/>
    <w:rsid w:val="005B5DE4"/>
    <w:rsid w:val="005C0BE3"/>
    <w:rsid w:val="005C2529"/>
    <w:rsid w:val="005C7F5A"/>
    <w:rsid w:val="005E70E3"/>
    <w:rsid w:val="005F5D2E"/>
    <w:rsid w:val="00600281"/>
    <w:rsid w:val="00604FA7"/>
    <w:rsid w:val="00613DB2"/>
    <w:rsid w:val="00613FB6"/>
    <w:rsid w:val="00616CF9"/>
    <w:rsid w:val="00617B40"/>
    <w:rsid w:val="006240FF"/>
    <w:rsid w:val="006249C3"/>
    <w:rsid w:val="006343ED"/>
    <w:rsid w:val="00645C3B"/>
    <w:rsid w:val="00653DFD"/>
    <w:rsid w:val="00655149"/>
    <w:rsid w:val="00663A17"/>
    <w:rsid w:val="0066413A"/>
    <w:rsid w:val="00682717"/>
    <w:rsid w:val="00685E74"/>
    <w:rsid w:val="006C66DA"/>
    <w:rsid w:val="006D11BA"/>
    <w:rsid w:val="006D7893"/>
    <w:rsid w:val="006E0E86"/>
    <w:rsid w:val="006E34F5"/>
    <w:rsid w:val="006F1239"/>
    <w:rsid w:val="006F6595"/>
    <w:rsid w:val="00700368"/>
    <w:rsid w:val="00700EF5"/>
    <w:rsid w:val="00710F46"/>
    <w:rsid w:val="00711162"/>
    <w:rsid w:val="00713477"/>
    <w:rsid w:val="00737402"/>
    <w:rsid w:val="00743782"/>
    <w:rsid w:val="00743879"/>
    <w:rsid w:val="007448CF"/>
    <w:rsid w:val="0074719F"/>
    <w:rsid w:val="00757125"/>
    <w:rsid w:val="0075744C"/>
    <w:rsid w:val="00761E36"/>
    <w:rsid w:val="007632C2"/>
    <w:rsid w:val="00785B3F"/>
    <w:rsid w:val="00785EFF"/>
    <w:rsid w:val="00791818"/>
    <w:rsid w:val="007A1C5A"/>
    <w:rsid w:val="007A360B"/>
    <w:rsid w:val="007B1086"/>
    <w:rsid w:val="007B39DC"/>
    <w:rsid w:val="007B7A77"/>
    <w:rsid w:val="007C524F"/>
    <w:rsid w:val="007C5D09"/>
    <w:rsid w:val="007D22E5"/>
    <w:rsid w:val="007E0E00"/>
    <w:rsid w:val="007E574A"/>
    <w:rsid w:val="007E5B55"/>
    <w:rsid w:val="007E64B8"/>
    <w:rsid w:val="008009C0"/>
    <w:rsid w:val="00814A7C"/>
    <w:rsid w:val="00814C03"/>
    <w:rsid w:val="0081652E"/>
    <w:rsid w:val="00826870"/>
    <w:rsid w:val="008273A2"/>
    <w:rsid w:val="0083478B"/>
    <w:rsid w:val="00846CBB"/>
    <w:rsid w:val="008476A4"/>
    <w:rsid w:val="008479EE"/>
    <w:rsid w:val="00851144"/>
    <w:rsid w:val="00857CF0"/>
    <w:rsid w:val="00860697"/>
    <w:rsid w:val="008653BE"/>
    <w:rsid w:val="0087222E"/>
    <w:rsid w:val="00874668"/>
    <w:rsid w:val="0087504D"/>
    <w:rsid w:val="00877E4C"/>
    <w:rsid w:val="00894383"/>
    <w:rsid w:val="008A17CE"/>
    <w:rsid w:val="008A425D"/>
    <w:rsid w:val="008A742C"/>
    <w:rsid w:val="008B4EA4"/>
    <w:rsid w:val="008F2652"/>
    <w:rsid w:val="00910EC1"/>
    <w:rsid w:val="00913720"/>
    <w:rsid w:val="0091518D"/>
    <w:rsid w:val="009155EE"/>
    <w:rsid w:val="00926237"/>
    <w:rsid w:val="00927D47"/>
    <w:rsid w:val="0093605B"/>
    <w:rsid w:val="00950D7F"/>
    <w:rsid w:val="009565EA"/>
    <w:rsid w:val="009677E0"/>
    <w:rsid w:val="00967A62"/>
    <w:rsid w:val="00982410"/>
    <w:rsid w:val="00983819"/>
    <w:rsid w:val="009873BB"/>
    <w:rsid w:val="00987E95"/>
    <w:rsid w:val="00991127"/>
    <w:rsid w:val="00994550"/>
    <w:rsid w:val="00995281"/>
    <w:rsid w:val="00997646"/>
    <w:rsid w:val="009A14E4"/>
    <w:rsid w:val="009A73C7"/>
    <w:rsid w:val="009A7AB0"/>
    <w:rsid w:val="009B1488"/>
    <w:rsid w:val="009C16B3"/>
    <w:rsid w:val="009C19E2"/>
    <w:rsid w:val="009C1AB2"/>
    <w:rsid w:val="009C7FFD"/>
    <w:rsid w:val="009D735F"/>
    <w:rsid w:val="009E3312"/>
    <w:rsid w:val="009E38A6"/>
    <w:rsid w:val="009F0429"/>
    <w:rsid w:val="009F0477"/>
    <w:rsid w:val="009F1B85"/>
    <w:rsid w:val="009F2CC6"/>
    <w:rsid w:val="009F31D2"/>
    <w:rsid w:val="00A04AD5"/>
    <w:rsid w:val="00A110DC"/>
    <w:rsid w:val="00A11546"/>
    <w:rsid w:val="00A169EB"/>
    <w:rsid w:val="00A375E4"/>
    <w:rsid w:val="00A43767"/>
    <w:rsid w:val="00A45499"/>
    <w:rsid w:val="00A45B71"/>
    <w:rsid w:val="00A532EB"/>
    <w:rsid w:val="00A7266C"/>
    <w:rsid w:val="00A8335A"/>
    <w:rsid w:val="00A9234C"/>
    <w:rsid w:val="00A9309C"/>
    <w:rsid w:val="00AA6ADF"/>
    <w:rsid w:val="00AB1F2D"/>
    <w:rsid w:val="00AC43CC"/>
    <w:rsid w:val="00AC7871"/>
    <w:rsid w:val="00AD3525"/>
    <w:rsid w:val="00AD4AC2"/>
    <w:rsid w:val="00AD6841"/>
    <w:rsid w:val="00AE1A5B"/>
    <w:rsid w:val="00AE1D9A"/>
    <w:rsid w:val="00AE6BE3"/>
    <w:rsid w:val="00B005EF"/>
    <w:rsid w:val="00B13405"/>
    <w:rsid w:val="00B303F7"/>
    <w:rsid w:val="00B333FA"/>
    <w:rsid w:val="00B33412"/>
    <w:rsid w:val="00B33879"/>
    <w:rsid w:val="00B36590"/>
    <w:rsid w:val="00B36A48"/>
    <w:rsid w:val="00B37D9C"/>
    <w:rsid w:val="00B41A6B"/>
    <w:rsid w:val="00B46A92"/>
    <w:rsid w:val="00B62866"/>
    <w:rsid w:val="00B63AF8"/>
    <w:rsid w:val="00B70121"/>
    <w:rsid w:val="00B809C5"/>
    <w:rsid w:val="00B80FA1"/>
    <w:rsid w:val="00B87D38"/>
    <w:rsid w:val="00B92C50"/>
    <w:rsid w:val="00B974EE"/>
    <w:rsid w:val="00B976B6"/>
    <w:rsid w:val="00BA4B99"/>
    <w:rsid w:val="00BB0B13"/>
    <w:rsid w:val="00BB2C36"/>
    <w:rsid w:val="00BB596E"/>
    <w:rsid w:val="00BC5342"/>
    <w:rsid w:val="00BD00C1"/>
    <w:rsid w:val="00BD379A"/>
    <w:rsid w:val="00BD4685"/>
    <w:rsid w:val="00BE6FBD"/>
    <w:rsid w:val="00BF2A44"/>
    <w:rsid w:val="00BF3362"/>
    <w:rsid w:val="00BF3710"/>
    <w:rsid w:val="00C00076"/>
    <w:rsid w:val="00C01E37"/>
    <w:rsid w:val="00C05F5F"/>
    <w:rsid w:val="00C1077C"/>
    <w:rsid w:val="00C11644"/>
    <w:rsid w:val="00C21FA2"/>
    <w:rsid w:val="00C235CA"/>
    <w:rsid w:val="00C342C3"/>
    <w:rsid w:val="00C34AE8"/>
    <w:rsid w:val="00C40A78"/>
    <w:rsid w:val="00C41E35"/>
    <w:rsid w:val="00C60632"/>
    <w:rsid w:val="00C61E07"/>
    <w:rsid w:val="00C63772"/>
    <w:rsid w:val="00C72B0E"/>
    <w:rsid w:val="00C82E8C"/>
    <w:rsid w:val="00C82ECE"/>
    <w:rsid w:val="00C84EED"/>
    <w:rsid w:val="00C85570"/>
    <w:rsid w:val="00C87FDA"/>
    <w:rsid w:val="00C924B6"/>
    <w:rsid w:val="00CA3F76"/>
    <w:rsid w:val="00CC50FB"/>
    <w:rsid w:val="00CD0ABE"/>
    <w:rsid w:val="00CD64B0"/>
    <w:rsid w:val="00CE3180"/>
    <w:rsid w:val="00CE46DF"/>
    <w:rsid w:val="00CE4822"/>
    <w:rsid w:val="00CE66FB"/>
    <w:rsid w:val="00CF0623"/>
    <w:rsid w:val="00CF3E05"/>
    <w:rsid w:val="00CF6F2E"/>
    <w:rsid w:val="00D02670"/>
    <w:rsid w:val="00D07C95"/>
    <w:rsid w:val="00D13809"/>
    <w:rsid w:val="00D16EBC"/>
    <w:rsid w:val="00D2350D"/>
    <w:rsid w:val="00D23DFA"/>
    <w:rsid w:val="00D246E6"/>
    <w:rsid w:val="00D33426"/>
    <w:rsid w:val="00D34D7E"/>
    <w:rsid w:val="00D428DC"/>
    <w:rsid w:val="00D4452F"/>
    <w:rsid w:val="00D44904"/>
    <w:rsid w:val="00D5029D"/>
    <w:rsid w:val="00D57DEC"/>
    <w:rsid w:val="00D67007"/>
    <w:rsid w:val="00D763E2"/>
    <w:rsid w:val="00D801FF"/>
    <w:rsid w:val="00D837EA"/>
    <w:rsid w:val="00D846F7"/>
    <w:rsid w:val="00D84DD1"/>
    <w:rsid w:val="00D877F8"/>
    <w:rsid w:val="00D93B3D"/>
    <w:rsid w:val="00D95732"/>
    <w:rsid w:val="00DA2795"/>
    <w:rsid w:val="00DA592B"/>
    <w:rsid w:val="00DA6326"/>
    <w:rsid w:val="00DA6C72"/>
    <w:rsid w:val="00DA7A74"/>
    <w:rsid w:val="00DB7B3E"/>
    <w:rsid w:val="00DC15B3"/>
    <w:rsid w:val="00DC3221"/>
    <w:rsid w:val="00DC5F91"/>
    <w:rsid w:val="00DD0CF2"/>
    <w:rsid w:val="00DD5EEB"/>
    <w:rsid w:val="00DD735D"/>
    <w:rsid w:val="00DE5B26"/>
    <w:rsid w:val="00DE705F"/>
    <w:rsid w:val="00DF0F56"/>
    <w:rsid w:val="00DF0FD4"/>
    <w:rsid w:val="00E029FC"/>
    <w:rsid w:val="00E06570"/>
    <w:rsid w:val="00E067E7"/>
    <w:rsid w:val="00E23514"/>
    <w:rsid w:val="00E2524C"/>
    <w:rsid w:val="00E27C54"/>
    <w:rsid w:val="00E42FB3"/>
    <w:rsid w:val="00E54CD2"/>
    <w:rsid w:val="00E56982"/>
    <w:rsid w:val="00E73989"/>
    <w:rsid w:val="00E74EF2"/>
    <w:rsid w:val="00E76573"/>
    <w:rsid w:val="00E770F8"/>
    <w:rsid w:val="00E77433"/>
    <w:rsid w:val="00E8501B"/>
    <w:rsid w:val="00E95616"/>
    <w:rsid w:val="00EA125A"/>
    <w:rsid w:val="00EA35DA"/>
    <w:rsid w:val="00EC14DE"/>
    <w:rsid w:val="00EC27DC"/>
    <w:rsid w:val="00EC3D24"/>
    <w:rsid w:val="00EC5730"/>
    <w:rsid w:val="00EC7C2C"/>
    <w:rsid w:val="00ED5D7C"/>
    <w:rsid w:val="00ED69F9"/>
    <w:rsid w:val="00EE0E07"/>
    <w:rsid w:val="00EE5552"/>
    <w:rsid w:val="00EF763E"/>
    <w:rsid w:val="00EF76F4"/>
    <w:rsid w:val="00F02A2B"/>
    <w:rsid w:val="00F043EB"/>
    <w:rsid w:val="00F064BD"/>
    <w:rsid w:val="00F07199"/>
    <w:rsid w:val="00F2210E"/>
    <w:rsid w:val="00F2624A"/>
    <w:rsid w:val="00F33FE2"/>
    <w:rsid w:val="00F3437A"/>
    <w:rsid w:val="00F34E11"/>
    <w:rsid w:val="00F41BCE"/>
    <w:rsid w:val="00F46E89"/>
    <w:rsid w:val="00F51A07"/>
    <w:rsid w:val="00F61488"/>
    <w:rsid w:val="00F61E7E"/>
    <w:rsid w:val="00F662A6"/>
    <w:rsid w:val="00F81FDE"/>
    <w:rsid w:val="00F8496C"/>
    <w:rsid w:val="00F92181"/>
    <w:rsid w:val="00F9568D"/>
    <w:rsid w:val="00FC0D90"/>
    <w:rsid w:val="00FC38B6"/>
    <w:rsid w:val="00FC58DE"/>
    <w:rsid w:val="00FC67B2"/>
    <w:rsid w:val="00FC7B3F"/>
    <w:rsid w:val="00FD0895"/>
    <w:rsid w:val="00FD18AD"/>
    <w:rsid w:val="00FE6CA0"/>
    <w:rsid w:val="00FF01CD"/>
    <w:rsid w:val="00FF05E7"/>
    <w:rsid w:val="00FF58E4"/>
    <w:rsid w:val="79721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2"/>
    <w:semiHidden/>
    <w:unhideWhenUsed/>
    <w:uiPriority w:val="99"/>
  </w:style>
  <w:style w:type="paragraph" w:styleId="3">
    <w:name w:val="Balloon Text"/>
    <w:basedOn w:val="1"/>
    <w:link w:val="18"/>
    <w:semiHidden/>
    <w:unhideWhenUsed/>
    <w:qFormat/>
    <w:uiPriority w:val="99"/>
    <w:rPr>
      <w:sz w:val="18"/>
      <w:szCs w:val="18"/>
    </w:rPr>
  </w:style>
  <w:style w:type="paragraph" w:styleId="4">
    <w:name w:val="footer"/>
    <w:basedOn w:val="1"/>
    <w:link w:val="26"/>
    <w:unhideWhenUsed/>
    <w:qFormat/>
    <w:uiPriority w:val="99"/>
    <w:pPr>
      <w:tabs>
        <w:tab w:val="center" w:pos="4153"/>
        <w:tab w:val="right" w:pos="8306"/>
      </w:tabs>
      <w:snapToGrid w:val="0"/>
    </w:pPr>
    <w:rPr>
      <w:sz w:val="18"/>
      <w:szCs w:val="18"/>
    </w:rPr>
  </w:style>
  <w:style w:type="paragraph" w:styleId="5">
    <w:name w:val="header"/>
    <w:basedOn w:val="1"/>
    <w:link w:val="25"/>
    <w:unhideWhenUsed/>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28"/>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7">
    <w:name w:val="Normal (Web)"/>
    <w:basedOn w:val="1"/>
    <w:unhideWhenUsed/>
    <w:uiPriority w:val="99"/>
    <w:pPr>
      <w:spacing w:before="100" w:beforeAutospacing="1" w:after="100" w:afterAutospacing="1"/>
    </w:pPr>
  </w:style>
  <w:style w:type="paragraph" w:styleId="8">
    <w:name w:val="annotation subject"/>
    <w:basedOn w:val="2"/>
    <w:next w:val="2"/>
    <w:link w:val="23"/>
    <w:semiHidden/>
    <w:unhideWhenUsed/>
    <w:qFormat/>
    <w:uiPriority w:val="99"/>
    <w:rPr>
      <w:b/>
      <w:bCs/>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styleId="12">
    <w:name w:val="annotation reference"/>
    <w:basedOn w:val="10"/>
    <w:semiHidden/>
    <w:unhideWhenUsed/>
    <w:qFormat/>
    <w:uiPriority w:val="99"/>
    <w:rPr>
      <w:sz w:val="21"/>
      <w:szCs w:val="21"/>
    </w:rPr>
  </w:style>
  <w:style w:type="paragraph" w:styleId="13">
    <w:name w:val="List Paragraph"/>
    <w:basedOn w:val="1"/>
    <w:qFormat/>
    <w:uiPriority w:val="34"/>
    <w:pPr>
      <w:ind w:firstLine="420" w:firstLineChars="200"/>
    </w:pPr>
  </w:style>
  <w:style w:type="character" w:customStyle="1" w:styleId="14">
    <w:name w:val="tgt"/>
    <w:basedOn w:val="10"/>
    <w:uiPriority w:val="0"/>
  </w:style>
  <w:style w:type="character" w:customStyle="1" w:styleId="15">
    <w:name w:val="transsent"/>
    <w:basedOn w:val="10"/>
    <w:qFormat/>
    <w:uiPriority w:val="0"/>
  </w:style>
  <w:style w:type="character" w:customStyle="1" w:styleId="16">
    <w:name w:val="tgt1"/>
    <w:basedOn w:val="10"/>
    <w:qFormat/>
    <w:uiPriority w:val="0"/>
  </w:style>
  <w:style w:type="character" w:customStyle="1" w:styleId="17">
    <w:name w:val="src"/>
    <w:basedOn w:val="10"/>
    <w:qFormat/>
    <w:uiPriority w:val="0"/>
  </w:style>
  <w:style w:type="character" w:customStyle="1" w:styleId="18">
    <w:name w:val="批注框文本 字符"/>
    <w:basedOn w:val="10"/>
    <w:link w:val="3"/>
    <w:semiHidden/>
    <w:qFormat/>
    <w:uiPriority w:val="99"/>
    <w:rPr>
      <w:sz w:val="18"/>
      <w:szCs w:val="18"/>
    </w:rPr>
  </w:style>
  <w:style w:type="character" w:customStyle="1" w:styleId="19">
    <w:name w:val="Unresolved Mention"/>
    <w:basedOn w:val="10"/>
    <w:semiHidden/>
    <w:unhideWhenUsed/>
    <w:qFormat/>
    <w:uiPriority w:val="99"/>
    <w:rPr>
      <w:color w:val="605E5C"/>
      <w:shd w:val="clear" w:color="auto" w:fill="E1DFDD"/>
    </w:rPr>
  </w:style>
  <w:style w:type="character" w:customStyle="1" w:styleId="20">
    <w:name w:val="apple-converted-space"/>
    <w:basedOn w:val="10"/>
    <w:qFormat/>
    <w:uiPriority w:val="0"/>
  </w:style>
  <w:style w:type="character" w:customStyle="1" w:styleId="21">
    <w:name w:val="skip"/>
    <w:basedOn w:val="10"/>
    <w:qFormat/>
    <w:uiPriority w:val="0"/>
  </w:style>
  <w:style w:type="character" w:customStyle="1" w:styleId="22">
    <w:name w:val="批注文字 字符"/>
    <w:basedOn w:val="10"/>
    <w:link w:val="2"/>
    <w:semiHidden/>
    <w:qFormat/>
    <w:uiPriority w:val="99"/>
    <w:rPr>
      <w:rFonts w:ascii="宋体" w:hAnsi="宋体" w:eastAsia="宋体" w:cs="宋体"/>
      <w:kern w:val="0"/>
      <w:sz w:val="24"/>
      <w:szCs w:val="24"/>
    </w:rPr>
  </w:style>
  <w:style w:type="character" w:customStyle="1" w:styleId="23">
    <w:name w:val="批注主题 字符"/>
    <w:basedOn w:val="22"/>
    <w:link w:val="8"/>
    <w:semiHidden/>
    <w:qFormat/>
    <w:uiPriority w:val="99"/>
    <w:rPr>
      <w:rFonts w:ascii="宋体" w:hAnsi="宋体" w:eastAsia="宋体" w:cs="宋体"/>
      <w:b/>
      <w:bCs/>
      <w:kern w:val="0"/>
      <w:sz w:val="24"/>
      <w:szCs w:val="24"/>
    </w:rPr>
  </w:style>
  <w:style w:type="paragraph" w:customStyle="1" w:styleId="24">
    <w:name w:val="Revision"/>
    <w:hidden/>
    <w:semiHidden/>
    <w:qFormat/>
    <w:uiPriority w:val="99"/>
    <w:rPr>
      <w:rFonts w:ascii="宋体" w:hAnsi="宋体" w:eastAsia="宋体" w:cs="宋体"/>
      <w:kern w:val="0"/>
      <w:sz w:val="24"/>
      <w:szCs w:val="24"/>
      <w:lang w:val="en-US" w:eastAsia="zh-CN" w:bidi="ar-SA"/>
    </w:rPr>
  </w:style>
  <w:style w:type="character" w:customStyle="1" w:styleId="25">
    <w:name w:val="页眉 字符"/>
    <w:basedOn w:val="10"/>
    <w:link w:val="5"/>
    <w:qFormat/>
    <w:uiPriority w:val="99"/>
    <w:rPr>
      <w:rFonts w:ascii="宋体" w:hAnsi="宋体" w:eastAsia="宋体" w:cs="宋体"/>
      <w:kern w:val="0"/>
      <w:sz w:val="18"/>
      <w:szCs w:val="18"/>
    </w:rPr>
  </w:style>
  <w:style w:type="character" w:customStyle="1" w:styleId="26">
    <w:name w:val="页脚 字符"/>
    <w:basedOn w:val="10"/>
    <w:link w:val="4"/>
    <w:qFormat/>
    <w:uiPriority w:val="99"/>
    <w:rPr>
      <w:rFonts w:ascii="宋体" w:hAnsi="宋体" w:eastAsia="宋体" w:cs="宋体"/>
      <w:kern w:val="0"/>
      <w:sz w:val="18"/>
      <w:szCs w:val="18"/>
    </w:rPr>
  </w:style>
  <w:style w:type="character" w:customStyle="1" w:styleId="27">
    <w:name w:val="def"/>
    <w:basedOn w:val="10"/>
    <w:qFormat/>
    <w:uiPriority w:val="0"/>
  </w:style>
  <w:style w:type="character" w:customStyle="1" w:styleId="28">
    <w:name w:val="HTML 预设格式 字符"/>
    <w:basedOn w:val="10"/>
    <w:link w:val="6"/>
    <w:semiHidden/>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3454</Words>
  <Characters>19690</Characters>
  <Lines>164</Lines>
  <Paragraphs>46</Paragraphs>
  <TotalTime>12</TotalTime>
  <ScaleCrop>false</ScaleCrop>
  <LinksUpToDate>false</LinksUpToDate>
  <CharactersWithSpaces>23098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2020-05-29T12:00:00Z</dcterms:created>
  <dc:creator>乐 何</dc:creator>
  <cp:lastModifiedBy>lala</cp:lastModifiedBy>
  <dcterms:modified xsi:type="dcterms:W3CDTF">2020-06-01T00:45:48Z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