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59FC" w14:textId="0A00E861"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Title Page:</w:t>
      </w:r>
    </w:p>
    <w:p w14:paraId="4D17CA60" w14:textId="3C1E4EA9" w:rsidR="006E5884" w:rsidRDefault="006E5884" w:rsidP="259FC043">
      <w:pPr>
        <w:spacing w:after="0" w:line="240" w:lineRule="auto"/>
        <w:rPr>
          <w:rFonts w:ascii="Times New Roman" w:eastAsia="Times New Roman" w:hAnsi="Times New Roman" w:cs="Times New Roman"/>
          <w:b/>
          <w:bCs/>
          <w:sz w:val="24"/>
          <w:szCs w:val="24"/>
        </w:rPr>
      </w:pPr>
    </w:p>
    <w:p w14:paraId="3AAE1358" w14:textId="7BA825AC" w:rsidR="006E5884" w:rsidRDefault="006E5884" w:rsidP="259FC043">
      <w:pPr>
        <w:spacing w:after="0" w:line="240" w:lineRule="auto"/>
        <w:rPr>
          <w:rFonts w:ascii="Times New Roman" w:eastAsia="Times New Roman" w:hAnsi="Times New Roman" w:cs="Times New Roman"/>
          <w:b/>
          <w:bCs/>
          <w:sz w:val="24"/>
          <w:szCs w:val="24"/>
        </w:rPr>
      </w:pPr>
    </w:p>
    <w:p w14:paraId="0F2D5D7C" w14:textId="60C5AF0D" w:rsidR="006E5884" w:rsidRDefault="259FC043" w:rsidP="259FC043">
      <w:pPr>
        <w:spacing w:after="0" w:line="240" w:lineRule="auto"/>
        <w:rPr>
          <w:rFonts w:ascii="Times New Roman" w:eastAsia="Times New Roman" w:hAnsi="Times New Roman" w:cs="Times New Roman"/>
          <w:b/>
          <w:bCs/>
          <w:sz w:val="24"/>
          <w:szCs w:val="24"/>
        </w:rPr>
      </w:pPr>
      <w:proofErr w:type="spellStart"/>
      <w:r w:rsidRPr="259FC043">
        <w:rPr>
          <w:rFonts w:ascii="Times New Roman" w:eastAsia="Times New Roman" w:hAnsi="Times New Roman" w:cs="Times New Roman"/>
          <w:b/>
          <w:bCs/>
          <w:sz w:val="24"/>
          <w:szCs w:val="24"/>
        </w:rPr>
        <w:t>Denosumab</w:t>
      </w:r>
      <w:proofErr w:type="spellEnd"/>
      <w:r w:rsidRPr="259FC043">
        <w:rPr>
          <w:rFonts w:ascii="Times New Roman" w:eastAsia="Times New Roman" w:hAnsi="Times New Roman" w:cs="Times New Roman"/>
          <w:b/>
          <w:bCs/>
          <w:sz w:val="24"/>
          <w:szCs w:val="24"/>
        </w:rPr>
        <w:t xml:space="preserve"> for the treatment of osteoporosis</w:t>
      </w:r>
    </w:p>
    <w:p w14:paraId="2774B15E" w14:textId="4F6E3772" w:rsidR="006E5884" w:rsidRDefault="006E5884" w:rsidP="259FC043">
      <w:pPr>
        <w:spacing w:after="0" w:line="240" w:lineRule="auto"/>
        <w:rPr>
          <w:rFonts w:ascii="Times New Roman" w:eastAsia="Times New Roman" w:hAnsi="Times New Roman" w:cs="Times New Roman"/>
          <w:b/>
          <w:bCs/>
          <w:sz w:val="24"/>
          <w:szCs w:val="24"/>
        </w:rPr>
      </w:pPr>
    </w:p>
    <w:p w14:paraId="02587635" w14:textId="24B37087"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(Therapeutic Brief)</w:t>
      </w:r>
    </w:p>
    <w:p w14:paraId="73EDC0D0" w14:textId="056A94F6" w:rsidR="006E5884" w:rsidRDefault="006E5884" w:rsidP="259FC043">
      <w:pPr>
        <w:spacing w:after="0" w:line="240" w:lineRule="auto"/>
        <w:rPr>
          <w:rFonts w:ascii="Times New Roman" w:eastAsia="Times New Roman" w:hAnsi="Times New Roman" w:cs="Times New Roman"/>
          <w:b/>
          <w:bCs/>
          <w:sz w:val="24"/>
          <w:szCs w:val="24"/>
        </w:rPr>
      </w:pPr>
    </w:p>
    <w:p w14:paraId="07D33CA2" w14:textId="511051FC" w:rsidR="006E5884" w:rsidRDefault="006E5884" w:rsidP="259FC043">
      <w:pPr>
        <w:spacing w:after="0" w:line="240" w:lineRule="auto"/>
        <w:rPr>
          <w:rFonts w:ascii="Times New Roman" w:eastAsia="Times New Roman" w:hAnsi="Times New Roman" w:cs="Times New Roman"/>
          <w:b/>
          <w:bCs/>
          <w:sz w:val="24"/>
          <w:szCs w:val="24"/>
        </w:rPr>
      </w:pPr>
    </w:p>
    <w:p w14:paraId="0FFF7302" w14:textId="192F6168"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Author:</w:t>
      </w:r>
    </w:p>
    <w:p w14:paraId="4E1A01F3" w14:textId="05062CC3" w:rsidR="006E5884" w:rsidRDefault="006E5884" w:rsidP="259FC043">
      <w:pPr>
        <w:spacing w:after="0" w:line="240" w:lineRule="auto"/>
        <w:rPr>
          <w:rFonts w:ascii="Times New Roman" w:eastAsia="Times New Roman" w:hAnsi="Times New Roman" w:cs="Times New Roman"/>
          <w:sz w:val="24"/>
          <w:szCs w:val="24"/>
        </w:rPr>
      </w:pPr>
    </w:p>
    <w:p w14:paraId="7ACF9D44" w14:textId="1E83CF83"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Shyh Poh Teo</w:t>
      </w:r>
    </w:p>
    <w:p w14:paraId="5D64A9C4" w14:textId="14D9E9A9" w:rsidR="006E5884" w:rsidRDefault="006E5884" w:rsidP="259FC043">
      <w:pPr>
        <w:spacing w:after="0" w:line="240" w:lineRule="auto"/>
        <w:rPr>
          <w:rFonts w:ascii="Times New Roman" w:eastAsia="Times New Roman" w:hAnsi="Times New Roman" w:cs="Times New Roman"/>
          <w:sz w:val="24"/>
          <w:szCs w:val="24"/>
        </w:rPr>
      </w:pPr>
    </w:p>
    <w:p w14:paraId="7B33EFF5" w14:textId="2AD6B95C" w:rsidR="006E5884" w:rsidRDefault="006E5884" w:rsidP="259FC043">
      <w:pPr>
        <w:spacing w:after="0" w:line="240" w:lineRule="auto"/>
        <w:rPr>
          <w:rFonts w:ascii="Times New Roman" w:eastAsia="Times New Roman" w:hAnsi="Times New Roman" w:cs="Times New Roman"/>
          <w:sz w:val="24"/>
          <w:szCs w:val="24"/>
        </w:rPr>
      </w:pPr>
    </w:p>
    <w:p w14:paraId="170704EB" w14:textId="5EDAB847"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Affiliation:</w:t>
      </w:r>
    </w:p>
    <w:p w14:paraId="681A10C3" w14:textId="5BADC3EA" w:rsidR="006E5884" w:rsidRDefault="006E5884" w:rsidP="259FC043">
      <w:pPr>
        <w:spacing w:after="0" w:line="240" w:lineRule="auto"/>
        <w:rPr>
          <w:rFonts w:ascii="Times New Roman" w:eastAsia="Times New Roman" w:hAnsi="Times New Roman" w:cs="Times New Roman"/>
          <w:sz w:val="24"/>
          <w:szCs w:val="24"/>
        </w:rPr>
      </w:pPr>
    </w:p>
    <w:p w14:paraId="2147996D" w14:textId="41D98F01"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Geriatrics and Palliative Unit, Raja </w:t>
      </w:r>
      <w:proofErr w:type="spellStart"/>
      <w:r w:rsidRPr="259FC043">
        <w:rPr>
          <w:rFonts w:ascii="Times New Roman" w:eastAsia="Times New Roman" w:hAnsi="Times New Roman" w:cs="Times New Roman"/>
          <w:sz w:val="24"/>
          <w:szCs w:val="24"/>
        </w:rPr>
        <w:t>Isteri</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Pengiran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Anak</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Saleha</w:t>
      </w:r>
      <w:proofErr w:type="spellEnd"/>
      <w:r w:rsidRPr="259FC043">
        <w:rPr>
          <w:rFonts w:ascii="Times New Roman" w:eastAsia="Times New Roman" w:hAnsi="Times New Roman" w:cs="Times New Roman"/>
          <w:sz w:val="24"/>
          <w:szCs w:val="24"/>
        </w:rPr>
        <w:t xml:space="preserve"> Hospital, Brunei Darussalam</w:t>
      </w:r>
    </w:p>
    <w:p w14:paraId="45DB99B9" w14:textId="565D0956" w:rsidR="006E5884" w:rsidRDefault="006E5884" w:rsidP="259FC043">
      <w:pPr>
        <w:spacing w:after="0" w:line="240" w:lineRule="auto"/>
        <w:rPr>
          <w:rFonts w:ascii="Times New Roman" w:eastAsia="Times New Roman" w:hAnsi="Times New Roman" w:cs="Times New Roman"/>
          <w:sz w:val="24"/>
          <w:szCs w:val="24"/>
        </w:rPr>
      </w:pPr>
    </w:p>
    <w:p w14:paraId="5CAB69A4" w14:textId="33904B0D" w:rsidR="006E5884" w:rsidRDefault="006E5884" w:rsidP="259FC043">
      <w:pPr>
        <w:spacing w:after="0" w:line="240" w:lineRule="auto"/>
        <w:rPr>
          <w:rFonts w:ascii="Times New Roman" w:eastAsia="Times New Roman" w:hAnsi="Times New Roman" w:cs="Times New Roman"/>
          <w:sz w:val="24"/>
          <w:szCs w:val="24"/>
        </w:rPr>
      </w:pPr>
    </w:p>
    <w:p w14:paraId="4F3FF925" w14:textId="717E55E4"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Corresponding Author:</w:t>
      </w:r>
    </w:p>
    <w:p w14:paraId="639C0AA4" w14:textId="3FF866ED" w:rsidR="006E5884" w:rsidRDefault="006E5884" w:rsidP="259FC043">
      <w:pPr>
        <w:spacing w:after="0" w:line="240" w:lineRule="auto"/>
        <w:rPr>
          <w:rFonts w:ascii="Times New Roman" w:eastAsia="Times New Roman" w:hAnsi="Times New Roman" w:cs="Times New Roman"/>
          <w:sz w:val="24"/>
          <w:szCs w:val="24"/>
        </w:rPr>
      </w:pPr>
    </w:p>
    <w:p w14:paraId="08C6AC7F" w14:textId="37E5D017"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Shyh Poh Teo</w:t>
      </w:r>
    </w:p>
    <w:p w14:paraId="62C720F3" w14:textId="12366209" w:rsidR="006E5884" w:rsidRDefault="006E5884" w:rsidP="259FC043">
      <w:pPr>
        <w:spacing w:after="0" w:line="240" w:lineRule="auto"/>
        <w:rPr>
          <w:rFonts w:ascii="Times New Roman" w:eastAsia="Times New Roman" w:hAnsi="Times New Roman" w:cs="Times New Roman"/>
          <w:sz w:val="24"/>
          <w:szCs w:val="24"/>
        </w:rPr>
      </w:pPr>
    </w:p>
    <w:p w14:paraId="0C84C2A0" w14:textId="6A0E2E49"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Geriatrics and Palliative Unit, Department of Internal Medicine, Raja </w:t>
      </w:r>
      <w:proofErr w:type="spellStart"/>
      <w:r w:rsidRPr="259FC043">
        <w:rPr>
          <w:rFonts w:ascii="Times New Roman" w:eastAsia="Times New Roman" w:hAnsi="Times New Roman" w:cs="Times New Roman"/>
          <w:sz w:val="24"/>
          <w:szCs w:val="24"/>
        </w:rPr>
        <w:t>Isteri</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Pengiran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Anak</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Saleha</w:t>
      </w:r>
      <w:proofErr w:type="spellEnd"/>
      <w:r w:rsidRPr="259FC043">
        <w:rPr>
          <w:rFonts w:ascii="Times New Roman" w:eastAsia="Times New Roman" w:hAnsi="Times New Roman" w:cs="Times New Roman"/>
          <w:sz w:val="24"/>
          <w:szCs w:val="24"/>
        </w:rPr>
        <w:t xml:space="preserve"> Hospital, </w:t>
      </w:r>
      <w:proofErr w:type="spellStart"/>
      <w:r w:rsidRPr="259FC043">
        <w:rPr>
          <w:rFonts w:ascii="Times New Roman" w:eastAsia="Times New Roman" w:hAnsi="Times New Roman" w:cs="Times New Roman"/>
          <w:sz w:val="24"/>
          <w:szCs w:val="24"/>
        </w:rPr>
        <w:t>Jalan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Putera</w:t>
      </w:r>
      <w:proofErr w:type="spellEnd"/>
      <w:r w:rsidRPr="259FC043">
        <w:rPr>
          <w:rFonts w:ascii="Times New Roman" w:eastAsia="Times New Roman" w:hAnsi="Times New Roman" w:cs="Times New Roman"/>
          <w:sz w:val="24"/>
          <w:szCs w:val="24"/>
        </w:rPr>
        <w:t xml:space="preserve"> Al-</w:t>
      </w:r>
      <w:proofErr w:type="spellStart"/>
      <w:r w:rsidRPr="259FC043">
        <w:rPr>
          <w:rFonts w:ascii="Times New Roman" w:eastAsia="Times New Roman" w:hAnsi="Times New Roman" w:cs="Times New Roman"/>
          <w:sz w:val="24"/>
          <w:szCs w:val="24"/>
        </w:rPr>
        <w:t>Muhtadee</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Billah</w:t>
      </w:r>
      <w:proofErr w:type="spellEnd"/>
      <w:r w:rsidRPr="259FC043">
        <w:rPr>
          <w:rFonts w:ascii="Times New Roman" w:eastAsia="Times New Roman" w:hAnsi="Times New Roman" w:cs="Times New Roman"/>
          <w:sz w:val="24"/>
          <w:szCs w:val="24"/>
        </w:rPr>
        <w:t>, Bandar Seri Begawan, BA1710, Brunei Darussalam.</w:t>
      </w:r>
    </w:p>
    <w:p w14:paraId="35E20BB9" w14:textId="5F36476A" w:rsidR="006E5884" w:rsidRDefault="006E5884" w:rsidP="259FC043">
      <w:pPr>
        <w:spacing w:after="0" w:line="240" w:lineRule="auto"/>
        <w:rPr>
          <w:rFonts w:ascii="Times New Roman" w:eastAsia="Times New Roman" w:hAnsi="Times New Roman" w:cs="Times New Roman"/>
          <w:sz w:val="24"/>
          <w:szCs w:val="24"/>
        </w:rPr>
      </w:pPr>
    </w:p>
    <w:p w14:paraId="0E029555" w14:textId="17A589CB"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Phone: +673 2242424</w:t>
      </w:r>
    </w:p>
    <w:p w14:paraId="09D99B68" w14:textId="42F08D38" w:rsidR="006E5884" w:rsidRDefault="006E5884" w:rsidP="259FC043">
      <w:pPr>
        <w:spacing w:after="0" w:line="240" w:lineRule="auto"/>
        <w:rPr>
          <w:rFonts w:ascii="Times New Roman" w:eastAsia="Times New Roman" w:hAnsi="Times New Roman" w:cs="Times New Roman"/>
          <w:sz w:val="24"/>
          <w:szCs w:val="24"/>
        </w:rPr>
      </w:pPr>
    </w:p>
    <w:p w14:paraId="7091D4B2" w14:textId="631D4226" w:rsidR="006E5884" w:rsidRDefault="259FC043" w:rsidP="259FC043">
      <w:pPr>
        <w:spacing w:after="0" w:line="240" w:lineRule="auto"/>
      </w:pPr>
      <w:r w:rsidRPr="259FC043">
        <w:rPr>
          <w:rFonts w:ascii="Times New Roman" w:eastAsia="Times New Roman" w:hAnsi="Times New Roman" w:cs="Times New Roman"/>
          <w:sz w:val="24"/>
          <w:szCs w:val="24"/>
        </w:rPr>
        <w:t xml:space="preserve">Email: </w:t>
      </w:r>
      <w:hyperlink r:id="rId5">
        <w:r w:rsidRPr="259FC043">
          <w:rPr>
            <w:rStyle w:val="Hyperlink"/>
            <w:rFonts w:ascii="Times New Roman" w:eastAsia="Times New Roman" w:hAnsi="Times New Roman" w:cs="Times New Roman"/>
            <w:sz w:val="24"/>
            <w:szCs w:val="24"/>
          </w:rPr>
          <w:t>shyhpoh.teo@moh.gov.bn</w:t>
        </w:r>
      </w:hyperlink>
    </w:p>
    <w:p w14:paraId="225A0CE4" w14:textId="16B013C0" w:rsidR="006E5884" w:rsidRDefault="006E5884" w:rsidP="259FC043">
      <w:pPr>
        <w:spacing w:after="0" w:line="240" w:lineRule="auto"/>
        <w:rPr>
          <w:rFonts w:ascii="Times New Roman" w:eastAsia="Times New Roman" w:hAnsi="Times New Roman" w:cs="Times New Roman"/>
          <w:sz w:val="24"/>
          <w:szCs w:val="24"/>
        </w:rPr>
      </w:pPr>
    </w:p>
    <w:p w14:paraId="7F74C159" w14:textId="16450C54" w:rsidR="006E5884" w:rsidRDefault="006E5884" w:rsidP="259FC043">
      <w:pPr>
        <w:spacing w:after="0" w:line="240" w:lineRule="auto"/>
        <w:rPr>
          <w:rFonts w:ascii="Times New Roman" w:eastAsia="Times New Roman" w:hAnsi="Times New Roman" w:cs="Times New Roman"/>
          <w:sz w:val="24"/>
          <w:szCs w:val="24"/>
        </w:rPr>
      </w:pPr>
    </w:p>
    <w:p w14:paraId="14E284EB" w14:textId="2207AA59"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Running Title: </w:t>
      </w:r>
    </w:p>
    <w:p w14:paraId="62F0486E" w14:textId="3E1C4F04" w:rsidR="006E5884" w:rsidRDefault="006E5884" w:rsidP="259FC043">
      <w:pPr>
        <w:spacing w:after="0" w:line="240" w:lineRule="auto"/>
        <w:rPr>
          <w:rFonts w:ascii="Times New Roman" w:eastAsia="Times New Roman" w:hAnsi="Times New Roman" w:cs="Times New Roman"/>
          <w:sz w:val="24"/>
          <w:szCs w:val="24"/>
        </w:rPr>
      </w:pPr>
    </w:p>
    <w:p w14:paraId="01EE2B37" w14:textId="60C5AF0D" w:rsidR="006E5884" w:rsidRDefault="259FC043" w:rsidP="259FC043">
      <w:pPr>
        <w:spacing w:after="0" w:line="240" w:lineRule="auto"/>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for the treatment of osteoporosis</w:t>
      </w:r>
    </w:p>
    <w:p w14:paraId="6FD7FAC7" w14:textId="42BA9365" w:rsidR="006E5884" w:rsidRDefault="006E5884" w:rsidP="259FC043">
      <w:pPr>
        <w:spacing w:after="0" w:line="240" w:lineRule="auto"/>
        <w:rPr>
          <w:rFonts w:ascii="Times New Roman" w:eastAsia="Times New Roman" w:hAnsi="Times New Roman" w:cs="Times New Roman"/>
          <w:b/>
          <w:bCs/>
          <w:sz w:val="24"/>
          <w:szCs w:val="24"/>
        </w:rPr>
      </w:pPr>
    </w:p>
    <w:p w14:paraId="24CAF11D" w14:textId="2472BA5B" w:rsidR="006E5884" w:rsidRDefault="006E5884" w:rsidP="259FC043">
      <w:pPr>
        <w:spacing w:after="0" w:line="240" w:lineRule="auto"/>
        <w:rPr>
          <w:rFonts w:ascii="Times New Roman" w:eastAsia="Times New Roman" w:hAnsi="Times New Roman" w:cs="Times New Roman"/>
          <w:b/>
          <w:bCs/>
          <w:sz w:val="24"/>
          <w:szCs w:val="24"/>
        </w:rPr>
      </w:pPr>
    </w:p>
    <w:p w14:paraId="20E7DA33" w14:textId="0BFEF1A5" w:rsidR="006E5884" w:rsidRDefault="006E5884" w:rsidP="259FC043">
      <w:pPr>
        <w:spacing w:after="0" w:line="240" w:lineRule="auto"/>
        <w:rPr>
          <w:rFonts w:ascii="Times New Roman" w:eastAsia="Times New Roman" w:hAnsi="Times New Roman" w:cs="Times New Roman"/>
          <w:b/>
          <w:bCs/>
          <w:sz w:val="24"/>
          <w:szCs w:val="24"/>
        </w:rPr>
      </w:pPr>
    </w:p>
    <w:p w14:paraId="3C7D1E07" w14:textId="1F9D6038" w:rsidR="006E5884" w:rsidRDefault="006E5884" w:rsidP="259FC043">
      <w:pPr>
        <w:spacing w:after="0" w:line="240" w:lineRule="auto"/>
        <w:rPr>
          <w:rFonts w:ascii="Times New Roman" w:eastAsia="Times New Roman" w:hAnsi="Times New Roman" w:cs="Times New Roman"/>
          <w:b/>
          <w:bCs/>
          <w:sz w:val="24"/>
          <w:szCs w:val="24"/>
        </w:rPr>
      </w:pPr>
    </w:p>
    <w:p w14:paraId="497C6BAE" w14:textId="24D50377" w:rsidR="006E5884" w:rsidRDefault="006E5884" w:rsidP="259FC043">
      <w:pPr>
        <w:spacing w:after="0" w:line="240" w:lineRule="auto"/>
        <w:rPr>
          <w:rFonts w:ascii="Times New Roman" w:eastAsia="Times New Roman" w:hAnsi="Times New Roman" w:cs="Times New Roman"/>
          <w:b/>
          <w:bCs/>
          <w:sz w:val="24"/>
          <w:szCs w:val="24"/>
        </w:rPr>
      </w:pPr>
    </w:p>
    <w:p w14:paraId="0F69684D" w14:textId="211E934F" w:rsidR="006E5884" w:rsidRDefault="006E5884" w:rsidP="259FC043">
      <w:pPr>
        <w:spacing w:after="0" w:line="240" w:lineRule="auto"/>
        <w:rPr>
          <w:rFonts w:ascii="Times New Roman" w:eastAsia="Times New Roman" w:hAnsi="Times New Roman" w:cs="Times New Roman"/>
          <w:b/>
          <w:bCs/>
          <w:sz w:val="24"/>
          <w:szCs w:val="24"/>
        </w:rPr>
      </w:pPr>
    </w:p>
    <w:p w14:paraId="145797E7" w14:textId="78D493DF" w:rsidR="006E5884" w:rsidRDefault="006E5884" w:rsidP="259FC043">
      <w:pPr>
        <w:spacing w:after="0" w:line="240" w:lineRule="auto"/>
        <w:rPr>
          <w:rFonts w:ascii="Times New Roman" w:eastAsia="Times New Roman" w:hAnsi="Times New Roman" w:cs="Times New Roman"/>
          <w:b/>
          <w:bCs/>
          <w:sz w:val="24"/>
          <w:szCs w:val="24"/>
        </w:rPr>
      </w:pPr>
    </w:p>
    <w:p w14:paraId="4FF8153D" w14:textId="0FA4FA98" w:rsidR="006E5884" w:rsidRDefault="006E5884" w:rsidP="259FC043">
      <w:pPr>
        <w:spacing w:after="0" w:line="240" w:lineRule="auto"/>
        <w:rPr>
          <w:rFonts w:ascii="Times New Roman" w:eastAsia="Times New Roman" w:hAnsi="Times New Roman" w:cs="Times New Roman"/>
          <w:b/>
          <w:bCs/>
          <w:sz w:val="24"/>
          <w:szCs w:val="24"/>
        </w:rPr>
      </w:pPr>
    </w:p>
    <w:p w14:paraId="078A25D0" w14:textId="2BA403C8" w:rsidR="006E5884" w:rsidRDefault="006E5884" w:rsidP="259FC043">
      <w:pPr>
        <w:spacing w:after="0" w:line="240" w:lineRule="auto"/>
        <w:rPr>
          <w:rFonts w:ascii="Times New Roman" w:eastAsia="Times New Roman" w:hAnsi="Times New Roman" w:cs="Times New Roman"/>
          <w:b/>
          <w:bCs/>
          <w:sz w:val="24"/>
          <w:szCs w:val="24"/>
        </w:rPr>
      </w:pPr>
    </w:p>
    <w:p w14:paraId="65405AB6" w14:textId="704CC585" w:rsidR="006E5884" w:rsidRDefault="006E5884" w:rsidP="259FC043">
      <w:pPr>
        <w:spacing w:after="0" w:line="240" w:lineRule="auto"/>
        <w:rPr>
          <w:rFonts w:ascii="Times New Roman" w:eastAsia="Times New Roman" w:hAnsi="Times New Roman" w:cs="Times New Roman"/>
          <w:b/>
          <w:bCs/>
          <w:sz w:val="24"/>
          <w:szCs w:val="24"/>
        </w:rPr>
      </w:pPr>
    </w:p>
    <w:p w14:paraId="6E9E72AA" w14:textId="0127C9BC" w:rsidR="006E5884" w:rsidRDefault="006E5884" w:rsidP="259FC043">
      <w:pPr>
        <w:spacing w:after="0" w:line="240" w:lineRule="auto"/>
        <w:rPr>
          <w:rFonts w:ascii="Times New Roman" w:eastAsia="Times New Roman" w:hAnsi="Times New Roman" w:cs="Times New Roman"/>
          <w:b/>
          <w:bCs/>
          <w:sz w:val="24"/>
          <w:szCs w:val="24"/>
        </w:rPr>
      </w:pPr>
    </w:p>
    <w:p w14:paraId="52A29F93" w14:textId="70C258D1" w:rsidR="006E5884" w:rsidRDefault="006E5884" w:rsidP="259FC043">
      <w:pPr>
        <w:spacing w:after="0" w:line="240" w:lineRule="auto"/>
        <w:rPr>
          <w:rFonts w:ascii="Times New Roman" w:eastAsia="Times New Roman" w:hAnsi="Times New Roman" w:cs="Times New Roman"/>
          <w:b/>
          <w:bCs/>
          <w:sz w:val="24"/>
          <w:szCs w:val="24"/>
        </w:rPr>
      </w:pPr>
    </w:p>
    <w:p w14:paraId="3BD9D84F" w14:textId="60C5AF0D" w:rsidR="006E5884" w:rsidRDefault="259FC043" w:rsidP="259FC043">
      <w:pPr>
        <w:spacing w:after="0" w:line="240" w:lineRule="auto"/>
        <w:rPr>
          <w:rFonts w:ascii="Times New Roman" w:eastAsia="Times New Roman" w:hAnsi="Times New Roman" w:cs="Times New Roman"/>
          <w:b/>
          <w:bCs/>
          <w:sz w:val="24"/>
          <w:szCs w:val="24"/>
        </w:rPr>
      </w:pPr>
      <w:proofErr w:type="spellStart"/>
      <w:r w:rsidRPr="259FC043">
        <w:rPr>
          <w:rFonts w:ascii="Times New Roman" w:eastAsia="Times New Roman" w:hAnsi="Times New Roman" w:cs="Times New Roman"/>
          <w:b/>
          <w:bCs/>
          <w:sz w:val="24"/>
          <w:szCs w:val="24"/>
        </w:rPr>
        <w:lastRenderedPageBreak/>
        <w:t>Denosumab</w:t>
      </w:r>
      <w:proofErr w:type="spellEnd"/>
      <w:r w:rsidRPr="259FC043">
        <w:rPr>
          <w:rFonts w:ascii="Times New Roman" w:eastAsia="Times New Roman" w:hAnsi="Times New Roman" w:cs="Times New Roman"/>
          <w:b/>
          <w:bCs/>
          <w:sz w:val="24"/>
          <w:szCs w:val="24"/>
        </w:rPr>
        <w:t xml:space="preserve"> for the treatment of osteoporosis</w:t>
      </w:r>
    </w:p>
    <w:p w14:paraId="473733E8" w14:textId="4F6E3772" w:rsidR="006E5884" w:rsidRDefault="006E5884" w:rsidP="259FC043">
      <w:pPr>
        <w:spacing w:after="0" w:line="240" w:lineRule="auto"/>
        <w:rPr>
          <w:rFonts w:ascii="Times New Roman" w:eastAsia="Times New Roman" w:hAnsi="Times New Roman" w:cs="Times New Roman"/>
          <w:b/>
          <w:bCs/>
          <w:sz w:val="24"/>
          <w:szCs w:val="24"/>
        </w:rPr>
      </w:pPr>
    </w:p>
    <w:p w14:paraId="7FFD3299" w14:textId="128B1F44"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 xml:space="preserve">(Therapeutic Brief) </w:t>
      </w:r>
    </w:p>
    <w:p w14:paraId="35361B80" w14:textId="7C360106"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 </w:t>
      </w:r>
    </w:p>
    <w:p w14:paraId="2FF77B84" w14:textId="1253D0F1" w:rsidR="006E5884" w:rsidRDefault="006E5884" w:rsidP="259FC043">
      <w:pPr>
        <w:spacing w:after="0" w:line="240" w:lineRule="auto"/>
        <w:rPr>
          <w:rFonts w:ascii="Times New Roman" w:eastAsia="Times New Roman" w:hAnsi="Times New Roman" w:cs="Times New Roman"/>
          <w:sz w:val="24"/>
          <w:szCs w:val="24"/>
        </w:rPr>
      </w:pPr>
    </w:p>
    <w:p w14:paraId="2E09D01F" w14:textId="44F09983"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Abstract:</w:t>
      </w:r>
    </w:p>
    <w:p w14:paraId="05C96CBA" w14:textId="38C51423" w:rsidR="006E5884" w:rsidRDefault="006E5884" w:rsidP="259FC043">
      <w:pPr>
        <w:spacing w:after="0" w:line="240" w:lineRule="auto"/>
        <w:rPr>
          <w:rFonts w:ascii="Times New Roman" w:eastAsia="Times New Roman" w:hAnsi="Times New Roman" w:cs="Times New Roman"/>
          <w:sz w:val="24"/>
          <w:szCs w:val="24"/>
        </w:rPr>
      </w:pPr>
    </w:p>
    <w:p w14:paraId="02598D73" w14:textId="479D2327" w:rsidR="006E5884" w:rsidRDefault="006E5884" w:rsidP="259FC043">
      <w:pPr>
        <w:spacing w:after="0" w:line="240" w:lineRule="auto"/>
        <w:rPr>
          <w:rFonts w:ascii="Times New Roman" w:eastAsia="Times New Roman" w:hAnsi="Times New Roman" w:cs="Times New Roman"/>
          <w:sz w:val="24"/>
          <w:szCs w:val="24"/>
        </w:rPr>
      </w:pPr>
    </w:p>
    <w:p w14:paraId="1A45DB08" w14:textId="72BAA18D" w:rsidR="006E5884" w:rsidRDefault="259FC043" w:rsidP="259FC043">
      <w:pPr>
        <w:spacing w:after="0" w:line="240" w:lineRule="auto"/>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is a monoclonal antibody which binds to the receptor activator of nuclear factor-</w:t>
      </w:r>
      <w:proofErr w:type="spellStart"/>
      <w:r w:rsidRPr="259FC043">
        <w:rPr>
          <w:rFonts w:ascii="Times New Roman" w:eastAsia="Times New Roman" w:hAnsi="Times New Roman" w:cs="Times New Roman"/>
          <w:sz w:val="24"/>
          <w:szCs w:val="24"/>
        </w:rPr>
        <w:t>κB</w:t>
      </w:r>
      <w:proofErr w:type="spellEnd"/>
      <w:r w:rsidRPr="259FC043">
        <w:rPr>
          <w:rFonts w:ascii="Times New Roman" w:eastAsia="Times New Roman" w:hAnsi="Times New Roman" w:cs="Times New Roman"/>
          <w:sz w:val="24"/>
          <w:szCs w:val="24"/>
        </w:rPr>
        <w:t xml:space="preserve"> ligand (RANKL), reducing </w:t>
      </w:r>
      <w:proofErr w:type="spellStart"/>
      <w:r w:rsidRPr="259FC043">
        <w:rPr>
          <w:rFonts w:ascii="Times New Roman" w:eastAsia="Times New Roman" w:hAnsi="Times New Roman" w:cs="Times New Roman"/>
          <w:sz w:val="24"/>
          <w:szCs w:val="24"/>
        </w:rPr>
        <w:t>osteoclastic</w:t>
      </w:r>
      <w:proofErr w:type="spellEnd"/>
      <w:r w:rsidRPr="259FC043">
        <w:rPr>
          <w:rFonts w:ascii="Times New Roman" w:eastAsia="Times New Roman" w:hAnsi="Times New Roman" w:cs="Times New Roman"/>
          <w:sz w:val="24"/>
          <w:szCs w:val="24"/>
        </w:rPr>
        <w:t xml:space="preserve"> activity and bone turnover. The Fracture </w:t>
      </w:r>
      <w:proofErr w:type="spellStart"/>
      <w:r w:rsidRPr="259FC043">
        <w:rPr>
          <w:rFonts w:ascii="Times New Roman" w:eastAsia="Times New Roman" w:hAnsi="Times New Roman" w:cs="Times New Roman"/>
          <w:sz w:val="24"/>
          <w:szCs w:val="24"/>
        </w:rPr>
        <w:t>REduction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Evaulation</w:t>
      </w:r>
      <w:proofErr w:type="spellEnd"/>
      <w:r w:rsidRPr="259FC043">
        <w:rPr>
          <w:rFonts w:ascii="Times New Roman" w:eastAsia="Times New Roman" w:hAnsi="Times New Roman" w:cs="Times New Roman"/>
          <w:sz w:val="24"/>
          <w:szCs w:val="24"/>
        </w:rPr>
        <w:t xml:space="preserve">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in Osteoporosis every 6 Months (FREEDOM) trial showed a significant reduction in relative risk of fractures with increased bone mineral density (BMD) with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A trial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versus placebo in Males with Osteoporosis (ADAMO) demonstrated the similar effect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for improving BMD and reducing bone turnover in men. However, concerns were identified regarding increased risk of fractures with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cessation. Until further evidence is available, bisphosphonate treatment is recommended to attenuate this risk with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discontinuation. </w:t>
      </w:r>
    </w:p>
    <w:p w14:paraId="28A74CEC" w14:textId="15D424C7" w:rsidR="006E5884" w:rsidRDefault="006E5884" w:rsidP="259FC043">
      <w:pPr>
        <w:spacing w:after="0" w:line="240" w:lineRule="auto"/>
        <w:rPr>
          <w:rFonts w:ascii="Times New Roman" w:eastAsia="Times New Roman" w:hAnsi="Times New Roman" w:cs="Times New Roman"/>
          <w:sz w:val="24"/>
          <w:szCs w:val="24"/>
        </w:rPr>
      </w:pPr>
    </w:p>
    <w:p w14:paraId="5FA25DD2" w14:textId="0A3AD24D" w:rsidR="006E5884" w:rsidRDefault="006E5884" w:rsidP="259FC043">
      <w:pPr>
        <w:spacing w:after="0" w:line="240" w:lineRule="auto"/>
        <w:rPr>
          <w:rFonts w:ascii="Times New Roman" w:eastAsia="Times New Roman" w:hAnsi="Times New Roman" w:cs="Times New Roman"/>
          <w:sz w:val="24"/>
          <w:szCs w:val="24"/>
        </w:rPr>
      </w:pPr>
    </w:p>
    <w:p w14:paraId="74E057CF" w14:textId="02C43118" w:rsidR="006E5884" w:rsidRDefault="006E5884" w:rsidP="259FC043">
      <w:pPr>
        <w:spacing w:after="0" w:line="240" w:lineRule="auto"/>
        <w:rPr>
          <w:rFonts w:ascii="Times New Roman" w:eastAsia="Times New Roman" w:hAnsi="Times New Roman" w:cs="Times New Roman"/>
          <w:sz w:val="24"/>
          <w:szCs w:val="24"/>
        </w:rPr>
      </w:pPr>
    </w:p>
    <w:p w14:paraId="147BFBC6" w14:textId="1F140E6E"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Key Words:</w:t>
      </w:r>
    </w:p>
    <w:p w14:paraId="44F985A4" w14:textId="48FF5714" w:rsidR="006E5884" w:rsidRDefault="006E5884" w:rsidP="259FC043">
      <w:pPr>
        <w:spacing w:after="0" w:line="240" w:lineRule="auto"/>
        <w:rPr>
          <w:rFonts w:ascii="Times New Roman" w:eastAsia="Times New Roman" w:hAnsi="Times New Roman" w:cs="Times New Roman"/>
          <w:sz w:val="24"/>
          <w:szCs w:val="24"/>
        </w:rPr>
      </w:pPr>
    </w:p>
    <w:p w14:paraId="1E3CC9DE" w14:textId="17F17C9F" w:rsidR="006E5884" w:rsidRDefault="259FC043" w:rsidP="259FC043">
      <w:pPr>
        <w:spacing w:after="0" w:line="240" w:lineRule="auto"/>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fractures; osteoporosis</w:t>
      </w:r>
    </w:p>
    <w:p w14:paraId="1D1EAD43" w14:textId="10AEDCC2" w:rsidR="006E5884" w:rsidRDefault="006E5884" w:rsidP="259FC043">
      <w:pPr>
        <w:spacing w:after="0" w:line="240" w:lineRule="auto"/>
        <w:rPr>
          <w:rFonts w:ascii="Times New Roman" w:eastAsia="Times New Roman" w:hAnsi="Times New Roman" w:cs="Times New Roman"/>
          <w:sz w:val="24"/>
          <w:szCs w:val="24"/>
        </w:rPr>
      </w:pPr>
    </w:p>
    <w:p w14:paraId="18091E00" w14:textId="2A8B4438" w:rsidR="006E5884" w:rsidRDefault="006E5884" w:rsidP="259FC043">
      <w:pPr>
        <w:spacing w:after="0" w:line="240" w:lineRule="auto"/>
        <w:rPr>
          <w:rFonts w:ascii="Times New Roman" w:eastAsia="Times New Roman" w:hAnsi="Times New Roman" w:cs="Times New Roman"/>
          <w:sz w:val="24"/>
          <w:szCs w:val="24"/>
        </w:rPr>
      </w:pPr>
    </w:p>
    <w:p w14:paraId="5BF1F6DC" w14:textId="179A3901" w:rsidR="006E5884" w:rsidRDefault="006E5884" w:rsidP="259FC043">
      <w:pPr>
        <w:spacing w:after="0" w:line="240" w:lineRule="auto"/>
        <w:rPr>
          <w:rFonts w:ascii="Times New Roman" w:eastAsia="Times New Roman" w:hAnsi="Times New Roman" w:cs="Times New Roman"/>
          <w:sz w:val="24"/>
          <w:szCs w:val="24"/>
        </w:rPr>
      </w:pPr>
    </w:p>
    <w:p w14:paraId="59C89DE8" w14:textId="0C58279F" w:rsidR="006E5884" w:rsidRDefault="006E5884" w:rsidP="259FC043">
      <w:pPr>
        <w:spacing w:after="0" w:line="240" w:lineRule="auto"/>
        <w:rPr>
          <w:rFonts w:ascii="Times New Roman" w:eastAsia="Times New Roman" w:hAnsi="Times New Roman" w:cs="Times New Roman"/>
          <w:sz w:val="24"/>
          <w:szCs w:val="24"/>
        </w:rPr>
      </w:pPr>
    </w:p>
    <w:p w14:paraId="18EE713A" w14:textId="7754F40F" w:rsidR="006E5884" w:rsidRDefault="006E5884" w:rsidP="259FC043">
      <w:pPr>
        <w:spacing w:after="0" w:line="240" w:lineRule="auto"/>
        <w:rPr>
          <w:rFonts w:ascii="Times New Roman" w:eastAsia="Times New Roman" w:hAnsi="Times New Roman" w:cs="Times New Roman"/>
          <w:sz w:val="24"/>
          <w:szCs w:val="24"/>
        </w:rPr>
      </w:pPr>
    </w:p>
    <w:p w14:paraId="5C055AD8" w14:textId="4AF4220F" w:rsidR="006E5884" w:rsidRDefault="006E5884" w:rsidP="259FC043">
      <w:pPr>
        <w:spacing w:after="0" w:line="240" w:lineRule="auto"/>
        <w:rPr>
          <w:rFonts w:ascii="Times New Roman" w:eastAsia="Times New Roman" w:hAnsi="Times New Roman" w:cs="Times New Roman"/>
          <w:b/>
          <w:bCs/>
          <w:sz w:val="24"/>
          <w:szCs w:val="24"/>
        </w:rPr>
      </w:pPr>
    </w:p>
    <w:p w14:paraId="26A93C9E" w14:textId="083B6749" w:rsidR="006E5884" w:rsidRDefault="006E5884" w:rsidP="259FC043">
      <w:pPr>
        <w:spacing w:after="0" w:line="240" w:lineRule="auto"/>
        <w:rPr>
          <w:rFonts w:ascii="Times New Roman" w:eastAsia="Times New Roman" w:hAnsi="Times New Roman" w:cs="Times New Roman"/>
          <w:b/>
          <w:bCs/>
          <w:sz w:val="24"/>
          <w:szCs w:val="24"/>
        </w:rPr>
      </w:pPr>
    </w:p>
    <w:p w14:paraId="2306BF70" w14:textId="300719F4" w:rsidR="006E5884" w:rsidRDefault="006E5884" w:rsidP="259FC043">
      <w:pPr>
        <w:spacing w:after="0" w:line="240" w:lineRule="auto"/>
        <w:rPr>
          <w:rFonts w:ascii="Times New Roman" w:eastAsia="Times New Roman" w:hAnsi="Times New Roman" w:cs="Times New Roman"/>
          <w:b/>
          <w:bCs/>
          <w:sz w:val="24"/>
          <w:szCs w:val="24"/>
        </w:rPr>
      </w:pPr>
    </w:p>
    <w:p w14:paraId="1C7DC927" w14:textId="5DFF97BF" w:rsidR="006E5884" w:rsidRDefault="006E5884" w:rsidP="259FC043">
      <w:pPr>
        <w:spacing w:after="0" w:line="240" w:lineRule="auto"/>
        <w:rPr>
          <w:rFonts w:ascii="Times New Roman" w:eastAsia="Times New Roman" w:hAnsi="Times New Roman" w:cs="Times New Roman"/>
          <w:b/>
          <w:bCs/>
          <w:sz w:val="24"/>
          <w:szCs w:val="24"/>
        </w:rPr>
      </w:pPr>
    </w:p>
    <w:p w14:paraId="2AF45BBD" w14:textId="25DD44D5" w:rsidR="006E5884" w:rsidRDefault="006E5884" w:rsidP="259FC043">
      <w:pPr>
        <w:spacing w:after="0" w:line="240" w:lineRule="auto"/>
        <w:rPr>
          <w:rFonts w:ascii="Times New Roman" w:eastAsia="Times New Roman" w:hAnsi="Times New Roman" w:cs="Times New Roman"/>
          <w:b/>
          <w:bCs/>
          <w:sz w:val="24"/>
          <w:szCs w:val="24"/>
        </w:rPr>
      </w:pPr>
    </w:p>
    <w:p w14:paraId="0396E95B" w14:textId="3C8ADB7A" w:rsidR="006E5884" w:rsidRDefault="006E5884" w:rsidP="259FC043">
      <w:pPr>
        <w:spacing w:after="0" w:line="240" w:lineRule="auto"/>
        <w:rPr>
          <w:rFonts w:ascii="Times New Roman" w:eastAsia="Times New Roman" w:hAnsi="Times New Roman" w:cs="Times New Roman"/>
          <w:b/>
          <w:bCs/>
          <w:sz w:val="24"/>
          <w:szCs w:val="24"/>
        </w:rPr>
      </w:pPr>
    </w:p>
    <w:p w14:paraId="7BB24133" w14:textId="352C9407" w:rsidR="006E5884" w:rsidRDefault="006E5884" w:rsidP="259FC043">
      <w:pPr>
        <w:spacing w:after="0" w:line="240" w:lineRule="auto"/>
        <w:rPr>
          <w:rFonts w:ascii="Times New Roman" w:eastAsia="Times New Roman" w:hAnsi="Times New Roman" w:cs="Times New Roman"/>
          <w:b/>
          <w:bCs/>
          <w:sz w:val="24"/>
          <w:szCs w:val="24"/>
        </w:rPr>
      </w:pPr>
    </w:p>
    <w:p w14:paraId="1354D575" w14:textId="27808F9C" w:rsidR="006E5884" w:rsidRDefault="006E5884" w:rsidP="259FC043">
      <w:pPr>
        <w:spacing w:after="0" w:line="240" w:lineRule="auto"/>
        <w:rPr>
          <w:rFonts w:ascii="Times New Roman" w:eastAsia="Times New Roman" w:hAnsi="Times New Roman" w:cs="Times New Roman"/>
          <w:b/>
          <w:bCs/>
          <w:sz w:val="24"/>
          <w:szCs w:val="24"/>
        </w:rPr>
      </w:pPr>
    </w:p>
    <w:p w14:paraId="74F720ED" w14:textId="06BF8169" w:rsidR="006E5884" w:rsidRDefault="006E5884" w:rsidP="259FC043">
      <w:pPr>
        <w:spacing w:after="0" w:line="240" w:lineRule="auto"/>
        <w:rPr>
          <w:rFonts w:ascii="Times New Roman" w:eastAsia="Times New Roman" w:hAnsi="Times New Roman" w:cs="Times New Roman"/>
          <w:b/>
          <w:bCs/>
          <w:sz w:val="24"/>
          <w:szCs w:val="24"/>
        </w:rPr>
      </w:pPr>
    </w:p>
    <w:p w14:paraId="5929207D" w14:textId="6564978B" w:rsidR="006E5884" w:rsidRDefault="006E5884" w:rsidP="259FC043">
      <w:pPr>
        <w:spacing w:after="0" w:line="240" w:lineRule="auto"/>
        <w:rPr>
          <w:rFonts w:ascii="Times New Roman" w:eastAsia="Times New Roman" w:hAnsi="Times New Roman" w:cs="Times New Roman"/>
          <w:b/>
          <w:bCs/>
          <w:sz w:val="24"/>
          <w:szCs w:val="24"/>
        </w:rPr>
      </w:pPr>
    </w:p>
    <w:p w14:paraId="35F360A8" w14:textId="292143CB" w:rsidR="006E5884" w:rsidRDefault="006E5884" w:rsidP="259FC043">
      <w:pPr>
        <w:spacing w:after="0" w:line="240" w:lineRule="auto"/>
        <w:rPr>
          <w:rFonts w:ascii="Times New Roman" w:eastAsia="Times New Roman" w:hAnsi="Times New Roman" w:cs="Times New Roman"/>
          <w:b/>
          <w:bCs/>
          <w:sz w:val="24"/>
          <w:szCs w:val="24"/>
        </w:rPr>
      </w:pPr>
    </w:p>
    <w:p w14:paraId="64B630B5" w14:textId="35B4B77F" w:rsidR="006E5884" w:rsidRDefault="006E5884" w:rsidP="259FC043">
      <w:pPr>
        <w:spacing w:after="0" w:line="240" w:lineRule="auto"/>
        <w:rPr>
          <w:rFonts w:ascii="Times New Roman" w:eastAsia="Times New Roman" w:hAnsi="Times New Roman" w:cs="Times New Roman"/>
          <w:b/>
          <w:bCs/>
          <w:sz w:val="24"/>
          <w:szCs w:val="24"/>
        </w:rPr>
      </w:pPr>
    </w:p>
    <w:p w14:paraId="21405A0B" w14:textId="6791D454" w:rsidR="006E5884" w:rsidRDefault="006E5884" w:rsidP="259FC043">
      <w:pPr>
        <w:spacing w:after="0" w:line="240" w:lineRule="auto"/>
        <w:rPr>
          <w:rFonts w:ascii="Times New Roman" w:eastAsia="Times New Roman" w:hAnsi="Times New Roman" w:cs="Times New Roman"/>
          <w:b/>
          <w:bCs/>
          <w:sz w:val="24"/>
          <w:szCs w:val="24"/>
        </w:rPr>
      </w:pPr>
    </w:p>
    <w:p w14:paraId="7D242C79" w14:textId="72B1EFE5" w:rsidR="006E5884" w:rsidRDefault="006E5884" w:rsidP="259FC043">
      <w:pPr>
        <w:spacing w:after="0" w:line="240" w:lineRule="auto"/>
        <w:rPr>
          <w:rFonts w:ascii="Times New Roman" w:eastAsia="Times New Roman" w:hAnsi="Times New Roman" w:cs="Times New Roman"/>
          <w:b/>
          <w:bCs/>
          <w:sz w:val="24"/>
          <w:szCs w:val="24"/>
        </w:rPr>
      </w:pPr>
    </w:p>
    <w:p w14:paraId="65CF4B10" w14:textId="143B685C" w:rsidR="006E5884" w:rsidRDefault="006E5884" w:rsidP="259FC043">
      <w:pPr>
        <w:spacing w:after="0" w:line="240" w:lineRule="auto"/>
        <w:rPr>
          <w:rFonts w:ascii="Times New Roman" w:eastAsia="Times New Roman" w:hAnsi="Times New Roman" w:cs="Times New Roman"/>
          <w:b/>
          <w:bCs/>
          <w:sz w:val="24"/>
          <w:szCs w:val="24"/>
        </w:rPr>
      </w:pPr>
    </w:p>
    <w:p w14:paraId="7E546EE1" w14:textId="1B5B211F" w:rsidR="006E5884" w:rsidRDefault="006E5884" w:rsidP="259FC043">
      <w:pPr>
        <w:spacing w:after="0" w:line="240" w:lineRule="auto"/>
        <w:rPr>
          <w:rFonts w:ascii="Times New Roman" w:eastAsia="Times New Roman" w:hAnsi="Times New Roman" w:cs="Times New Roman"/>
          <w:b/>
          <w:bCs/>
          <w:sz w:val="24"/>
          <w:szCs w:val="24"/>
        </w:rPr>
      </w:pPr>
    </w:p>
    <w:p w14:paraId="24FF8C9F" w14:textId="6166A0BF" w:rsidR="006E5884" w:rsidRDefault="006E5884" w:rsidP="259FC043">
      <w:pPr>
        <w:spacing w:after="0" w:line="240" w:lineRule="auto"/>
        <w:rPr>
          <w:rFonts w:ascii="Times New Roman" w:eastAsia="Times New Roman" w:hAnsi="Times New Roman" w:cs="Times New Roman"/>
          <w:b/>
          <w:bCs/>
          <w:sz w:val="24"/>
          <w:szCs w:val="24"/>
        </w:rPr>
      </w:pPr>
    </w:p>
    <w:p w14:paraId="300D120C" w14:textId="13A4D3ED" w:rsidR="006E5884" w:rsidRDefault="006E5884" w:rsidP="259FC043">
      <w:pPr>
        <w:spacing w:after="0" w:line="240" w:lineRule="auto"/>
        <w:rPr>
          <w:rFonts w:ascii="Times New Roman" w:eastAsia="Times New Roman" w:hAnsi="Times New Roman" w:cs="Times New Roman"/>
          <w:b/>
          <w:bCs/>
          <w:sz w:val="24"/>
          <w:szCs w:val="24"/>
        </w:rPr>
      </w:pPr>
    </w:p>
    <w:p w14:paraId="3CFC38BD" w14:textId="73AC5342" w:rsidR="0050435C" w:rsidRDefault="0050435C" w:rsidP="259FC04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to Reviewers:</w:t>
      </w:r>
    </w:p>
    <w:p w14:paraId="35030FC0" w14:textId="51800D7E" w:rsidR="0050435C" w:rsidRDefault="0050435C" w:rsidP="259FC043">
      <w:pPr>
        <w:spacing w:after="0" w:line="240" w:lineRule="auto"/>
        <w:rPr>
          <w:rFonts w:ascii="Times New Roman" w:eastAsia="Times New Roman" w:hAnsi="Times New Roman" w:cs="Times New Roman"/>
          <w:b/>
          <w:bCs/>
          <w:sz w:val="24"/>
          <w:szCs w:val="24"/>
        </w:rPr>
      </w:pPr>
    </w:p>
    <w:p w14:paraId="38928552" w14:textId="011564C5" w:rsidR="0050435C" w:rsidRPr="0050435C" w:rsidRDefault="0050435C" w:rsidP="259FC043">
      <w:pPr>
        <w:spacing w:after="0" w:line="240" w:lineRule="auto"/>
        <w:rPr>
          <w:rFonts w:ascii="Times New Roman" w:eastAsia="Times New Roman" w:hAnsi="Times New Roman" w:cs="Times New Roman"/>
          <w:bCs/>
          <w:color w:val="4472C4" w:themeColor="accent1"/>
          <w:sz w:val="24"/>
          <w:szCs w:val="24"/>
        </w:rPr>
      </w:pPr>
      <w:r>
        <w:rPr>
          <w:rFonts w:ascii="Times New Roman" w:eastAsia="Times New Roman" w:hAnsi="Times New Roman" w:cs="Times New Roman"/>
          <w:bCs/>
          <w:color w:val="4472C4" w:themeColor="accent1"/>
          <w:sz w:val="24"/>
          <w:szCs w:val="24"/>
        </w:rPr>
        <w:t xml:space="preserve">Please </w:t>
      </w:r>
      <w:r w:rsidRPr="0050435C">
        <w:rPr>
          <w:rFonts w:ascii="Times New Roman" w:eastAsia="Times New Roman" w:hAnsi="Times New Roman" w:cs="Times New Roman"/>
          <w:bCs/>
          <w:color w:val="4472C4" w:themeColor="accent1"/>
          <w:sz w:val="24"/>
          <w:szCs w:val="24"/>
        </w:rPr>
        <w:t xml:space="preserve">find attached responses to reviewer comments regarding the manuscript. Any changes made to the manuscript </w:t>
      </w:r>
      <w:r>
        <w:rPr>
          <w:rFonts w:ascii="Times New Roman" w:eastAsia="Times New Roman" w:hAnsi="Times New Roman" w:cs="Times New Roman"/>
          <w:bCs/>
          <w:color w:val="4472C4" w:themeColor="accent1"/>
          <w:sz w:val="24"/>
          <w:szCs w:val="24"/>
        </w:rPr>
        <w:t xml:space="preserve">are indicated in </w:t>
      </w:r>
      <w:r w:rsidRPr="0050435C">
        <w:rPr>
          <w:rFonts w:ascii="Times New Roman" w:eastAsia="Times New Roman" w:hAnsi="Times New Roman" w:cs="Times New Roman"/>
          <w:bCs/>
          <w:color w:val="FF0000"/>
          <w:sz w:val="24"/>
          <w:szCs w:val="24"/>
        </w:rPr>
        <w:t>RED</w:t>
      </w:r>
      <w:r>
        <w:rPr>
          <w:rFonts w:ascii="Times New Roman" w:eastAsia="Times New Roman" w:hAnsi="Times New Roman" w:cs="Times New Roman"/>
          <w:bCs/>
          <w:color w:val="4472C4" w:themeColor="accent1"/>
          <w:sz w:val="24"/>
          <w:szCs w:val="24"/>
        </w:rPr>
        <w:t>.</w:t>
      </w:r>
    </w:p>
    <w:p w14:paraId="71F76EEF" w14:textId="3C67CD79" w:rsidR="0050435C" w:rsidRDefault="0050435C" w:rsidP="259FC043">
      <w:pPr>
        <w:spacing w:after="0" w:line="240" w:lineRule="auto"/>
        <w:rPr>
          <w:rFonts w:ascii="Times New Roman" w:eastAsia="Times New Roman" w:hAnsi="Times New Roman" w:cs="Times New Roman"/>
          <w:b/>
          <w:bCs/>
          <w:sz w:val="24"/>
          <w:szCs w:val="24"/>
        </w:rPr>
      </w:pPr>
    </w:p>
    <w:p w14:paraId="6E440CE2" w14:textId="3F9C0708" w:rsidR="0050435C" w:rsidRDefault="0050435C" w:rsidP="259FC043">
      <w:pPr>
        <w:spacing w:after="0" w:line="240" w:lineRule="auto"/>
        <w:rPr>
          <w:rFonts w:ascii="Segoe UI" w:hAnsi="Segoe UI" w:cs="Segoe UI"/>
          <w:color w:val="212121"/>
          <w:sz w:val="20"/>
          <w:szCs w:val="20"/>
        </w:rPr>
      </w:pPr>
      <w:r>
        <w:rPr>
          <w:rFonts w:ascii="Segoe UI" w:hAnsi="Segoe UI" w:cs="Segoe UI"/>
          <w:color w:val="212121"/>
          <w:sz w:val="20"/>
          <w:szCs w:val="20"/>
          <w:shd w:val="clear" w:color="auto" w:fill="FFFFFF"/>
        </w:rPr>
        <w:t>Reviewer 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In this manuscript, the author describes concisely the monoclonal antibody</w:t>
      </w:r>
      <w:r>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and its role in treating osteoporosis, supported by multiple</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clinical trials throughout the years with potential post-treatment adverse</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effects. The reviewer suggests the author to expand the discussion of</w:t>
      </w:r>
      <w:r>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in the following areas to make the manuscript better</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understandable for the audience.</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The author should elaborate more on describing the </w:t>
      </w:r>
      <w:proofErr w:type="spellStart"/>
      <w:r>
        <w:rPr>
          <w:rFonts w:ascii="Segoe UI" w:hAnsi="Segoe UI" w:cs="Segoe UI"/>
          <w:color w:val="212121"/>
          <w:sz w:val="20"/>
          <w:szCs w:val="20"/>
          <w:shd w:val="clear" w:color="auto" w:fill="FFFFFF"/>
        </w:rPr>
        <w:t>osteoclastogenesis</w:t>
      </w:r>
      <w:proofErr w:type="spellEnd"/>
      <w:r>
        <w:rPr>
          <w:rFonts w:ascii="Segoe UI" w:hAnsi="Segoe UI" w:cs="Segoe UI"/>
          <w:color w:val="212121"/>
          <w:sz w:val="20"/>
          <w:szCs w:val="20"/>
          <w:shd w:val="clear" w:color="auto" w:fill="FFFFFF"/>
        </w:rPr>
        <w:t xml:space="preserve"> and</w:t>
      </w:r>
      <w:r>
        <w:rPr>
          <w:rFonts w:ascii="Segoe UI" w:hAnsi="Segoe UI" w:cs="Segoe UI"/>
          <w:color w:val="212121"/>
          <w:sz w:val="20"/>
          <w:szCs w:val="20"/>
        </w:rPr>
        <w:t xml:space="preserve"> </w:t>
      </w:r>
      <w:proofErr w:type="spellStart"/>
      <w:r>
        <w:rPr>
          <w:rFonts w:ascii="Segoe UI" w:hAnsi="Segoe UI" w:cs="Segoe UI"/>
          <w:color w:val="212121"/>
          <w:sz w:val="20"/>
          <w:szCs w:val="20"/>
          <w:shd w:val="clear" w:color="auto" w:fill="FFFFFF"/>
        </w:rPr>
        <w:t>osteoclastic</w:t>
      </w:r>
      <w:proofErr w:type="spellEnd"/>
      <w:r>
        <w:rPr>
          <w:rFonts w:ascii="Segoe UI" w:hAnsi="Segoe UI" w:cs="Segoe UI"/>
          <w:color w:val="212121"/>
          <w:sz w:val="20"/>
          <w:szCs w:val="20"/>
          <w:shd w:val="clear" w:color="auto" w:fill="FFFFFF"/>
        </w:rPr>
        <w:t xml:space="preserve"> bone resorption mechanisms; the role of RANKL plays in</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 xml:space="preserve">initiating these pathways, and how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can inhibit osteoclasts and</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further bone resorption. A figure would help demonstrating the processes.</w:t>
      </w:r>
      <w:r>
        <w:rPr>
          <w:rFonts w:ascii="Segoe UI" w:hAnsi="Segoe UI" w:cs="Segoe UI"/>
          <w:color w:val="212121"/>
          <w:sz w:val="20"/>
          <w:szCs w:val="20"/>
        </w:rPr>
        <w:br/>
      </w:r>
    </w:p>
    <w:p w14:paraId="5FC693C6" w14:textId="522E0FA9" w:rsidR="004367E2" w:rsidRPr="004367E2" w:rsidRDefault="004367E2" w:rsidP="259FC043">
      <w:pPr>
        <w:spacing w:after="0" w:line="240" w:lineRule="auto"/>
        <w:rPr>
          <w:rFonts w:ascii="Segoe UI" w:hAnsi="Segoe UI" w:cs="Segoe UI"/>
          <w:color w:val="2F5496" w:themeColor="accent1" w:themeShade="BF"/>
          <w:sz w:val="20"/>
          <w:szCs w:val="20"/>
        </w:rPr>
      </w:pPr>
      <w:r>
        <w:rPr>
          <w:rFonts w:ascii="Segoe UI" w:hAnsi="Segoe UI" w:cs="Segoe UI"/>
          <w:color w:val="2F5496" w:themeColor="accent1" w:themeShade="BF"/>
          <w:sz w:val="20"/>
          <w:szCs w:val="20"/>
        </w:rPr>
        <w:t>Thank you for the suggestion. The following paragraph has been added:</w:t>
      </w:r>
    </w:p>
    <w:p w14:paraId="44B6C8A2" w14:textId="333BCF96" w:rsidR="004367E2" w:rsidRDefault="004367E2" w:rsidP="259FC043">
      <w:pPr>
        <w:spacing w:after="0" w:line="240" w:lineRule="auto"/>
        <w:rPr>
          <w:rFonts w:ascii="Segoe UI" w:hAnsi="Segoe UI" w:cs="Segoe UI"/>
          <w:color w:val="212121"/>
          <w:sz w:val="20"/>
          <w:szCs w:val="20"/>
        </w:rPr>
      </w:pPr>
    </w:p>
    <w:p w14:paraId="18977414" w14:textId="1CE01E17" w:rsidR="004367E2" w:rsidRPr="007976A4" w:rsidRDefault="007976A4" w:rsidP="007976A4">
      <w:pPr>
        <w:spacing w:after="0" w:line="240" w:lineRule="auto"/>
        <w:rPr>
          <w:rFonts w:ascii="Segoe UI" w:hAnsi="Segoe UI" w:cs="Segoe UI"/>
          <w:color w:val="212121"/>
          <w:sz w:val="20"/>
          <w:szCs w:val="20"/>
        </w:rPr>
      </w:pPr>
      <w:r>
        <w:rPr>
          <w:rFonts w:ascii="Segoe UI" w:eastAsia="Times New Roman" w:hAnsi="Segoe UI" w:cs="Segoe UI"/>
          <w:color w:val="FF0000"/>
          <w:sz w:val="20"/>
          <w:szCs w:val="20"/>
        </w:rPr>
        <w:t>‘</w:t>
      </w:r>
      <w:r w:rsidRPr="007976A4">
        <w:rPr>
          <w:rFonts w:ascii="Segoe UI" w:eastAsia="Times New Roman" w:hAnsi="Segoe UI" w:cs="Segoe UI"/>
          <w:color w:val="FF0000"/>
          <w:sz w:val="20"/>
          <w:szCs w:val="20"/>
        </w:rPr>
        <w:t xml:space="preserve">RANK is a receptor on </w:t>
      </w:r>
      <w:proofErr w:type="spellStart"/>
      <w:r w:rsidRPr="007976A4">
        <w:rPr>
          <w:rFonts w:ascii="Segoe UI" w:eastAsia="Times New Roman" w:hAnsi="Segoe UI" w:cs="Segoe UI"/>
          <w:color w:val="FF0000"/>
          <w:sz w:val="20"/>
          <w:szCs w:val="20"/>
        </w:rPr>
        <w:t>osteoclastic</w:t>
      </w:r>
      <w:proofErr w:type="spellEnd"/>
      <w:r w:rsidRPr="007976A4">
        <w:rPr>
          <w:rFonts w:ascii="Segoe UI" w:eastAsia="Times New Roman" w:hAnsi="Segoe UI" w:cs="Segoe UI"/>
          <w:color w:val="FF0000"/>
          <w:sz w:val="20"/>
          <w:szCs w:val="20"/>
        </w:rPr>
        <w:t xml:space="preserve"> precursors; when RANK ligand binds to this, it promotes differentiation, proliferation and survival of osteoclasts, resulting in increased bone turnover. The discovery of this pathway led to the consideration of new molecular targets for osteoporosis treatment. </w:t>
      </w:r>
      <w:proofErr w:type="spellStart"/>
      <w:r w:rsidRPr="007976A4">
        <w:rPr>
          <w:rFonts w:ascii="Segoe UI" w:eastAsia="Times New Roman" w:hAnsi="Segoe UI" w:cs="Segoe UI"/>
          <w:color w:val="FF0000"/>
          <w:sz w:val="20"/>
          <w:szCs w:val="20"/>
        </w:rPr>
        <w:t>Denosumab</w:t>
      </w:r>
      <w:proofErr w:type="spellEnd"/>
      <w:r w:rsidRPr="007976A4">
        <w:rPr>
          <w:rFonts w:ascii="Segoe UI" w:eastAsia="Times New Roman" w:hAnsi="Segoe UI" w:cs="Segoe UI"/>
          <w:color w:val="FF0000"/>
          <w:sz w:val="20"/>
          <w:szCs w:val="20"/>
        </w:rPr>
        <w:t xml:space="preserve"> inhibits RANKL, resulting in reduced </w:t>
      </w:r>
      <w:proofErr w:type="spellStart"/>
      <w:r w:rsidRPr="007976A4">
        <w:rPr>
          <w:rFonts w:ascii="Segoe UI" w:eastAsia="Times New Roman" w:hAnsi="Segoe UI" w:cs="Segoe UI"/>
          <w:color w:val="FF0000"/>
          <w:sz w:val="20"/>
          <w:szCs w:val="20"/>
        </w:rPr>
        <w:t>osteoclastic</w:t>
      </w:r>
      <w:proofErr w:type="spellEnd"/>
      <w:r w:rsidRPr="007976A4">
        <w:rPr>
          <w:rFonts w:ascii="Segoe UI" w:eastAsia="Times New Roman" w:hAnsi="Segoe UI" w:cs="Segoe UI"/>
          <w:color w:val="FF0000"/>
          <w:sz w:val="20"/>
          <w:szCs w:val="20"/>
        </w:rPr>
        <w:t xml:space="preserve"> activity and bone resorption [1].</w:t>
      </w:r>
      <w:r>
        <w:rPr>
          <w:rFonts w:ascii="Segoe UI" w:eastAsia="Times New Roman" w:hAnsi="Segoe UI" w:cs="Segoe UI"/>
          <w:color w:val="FF0000"/>
          <w:sz w:val="20"/>
          <w:szCs w:val="20"/>
        </w:rPr>
        <w:t>’</w:t>
      </w:r>
    </w:p>
    <w:p w14:paraId="340EF780" w14:textId="5CEF0BD5" w:rsidR="0050435C" w:rsidRDefault="0050435C" w:rsidP="259FC043">
      <w:pPr>
        <w:spacing w:after="0" w:line="240" w:lineRule="auto"/>
        <w:rPr>
          <w:rFonts w:ascii="Segoe UI" w:hAnsi="Segoe UI" w:cs="Segoe UI"/>
          <w:color w:val="212121"/>
          <w:sz w:val="20"/>
          <w:szCs w:val="20"/>
        </w:rPr>
      </w:pPr>
    </w:p>
    <w:p w14:paraId="59A5D30D" w14:textId="21E3CED5" w:rsidR="007976A4" w:rsidRPr="007976A4" w:rsidRDefault="00426E2D" w:rsidP="259FC043">
      <w:pPr>
        <w:spacing w:after="0" w:line="240" w:lineRule="auto"/>
        <w:rPr>
          <w:rFonts w:ascii="Segoe UI" w:hAnsi="Segoe UI" w:cs="Segoe UI"/>
          <w:color w:val="2F5496" w:themeColor="accent1" w:themeShade="BF"/>
          <w:sz w:val="20"/>
          <w:szCs w:val="20"/>
        </w:rPr>
      </w:pPr>
      <w:r>
        <w:rPr>
          <w:rFonts w:ascii="Segoe UI" w:hAnsi="Segoe UI" w:cs="Segoe UI"/>
          <w:color w:val="2F5496" w:themeColor="accent1" w:themeShade="BF"/>
          <w:sz w:val="20"/>
          <w:szCs w:val="20"/>
        </w:rPr>
        <w:t>There are several diagrams available to</w:t>
      </w:r>
      <w:r w:rsidR="007976A4">
        <w:rPr>
          <w:rFonts w:ascii="Segoe UI" w:hAnsi="Segoe UI" w:cs="Segoe UI"/>
          <w:color w:val="2F5496" w:themeColor="accent1" w:themeShade="BF"/>
          <w:sz w:val="20"/>
          <w:szCs w:val="20"/>
        </w:rPr>
        <w:t xml:space="preserve"> demonstrate the </w:t>
      </w:r>
      <w:proofErr w:type="spellStart"/>
      <w:r w:rsidR="007976A4">
        <w:rPr>
          <w:rFonts w:ascii="Segoe UI" w:hAnsi="Segoe UI" w:cs="Segoe UI"/>
          <w:color w:val="2F5496" w:themeColor="accent1" w:themeShade="BF"/>
          <w:sz w:val="20"/>
          <w:szCs w:val="20"/>
        </w:rPr>
        <w:t>osteoclastogenesis</w:t>
      </w:r>
      <w:proofErr w:type="spellEnd"/>
      <w:r w:rsidR="007976A4">
        <w:rPr>
          <w:rFonts w:ascii="Segoe UI" w:hAnsi="Segoe UI" w:cs="Segoe UI"/>
          <w:color w:val="2F5496" w:themeColor="accent1" w:themeShade="BF"/>
          <w:sz w:val="20"/>
          <w:szCs w:val="20"/>
        </w:rPr>
        <w:t xml:space="preserve"> pathway</w:t>
      </w:r>
      <w:r>
        <w:rPr>
          <w:rFonts w:ascii="Segoe UI" w:hAnsi="Segoe UI" w:cs="Segoe UI"/>
          <w:color w:val="2F5496" w:themeColor="accent1" w:themeShade="BF"/>
          <w:sz w:val="20"/>
          <w:szCs w:val="20"/>
        </w:rPr>
        <w:t>. Unfortunately, it is not possible to reproduce a similar diagram for this manuscript without seeking permission from owners of those diagrams.</w:t>
      </w:r>
    </w:p>
    <w:p w14:paraId="01A128BF" w14:textId="49FD6939" w:rsidR="0050435C" w:rsidRPr="00FE36AF" w:rsidRDefault="0050435C" w:rsidP="259FC043">
      <w:pPr>
        <w:spacing w:after="0" w:line="240" w:lineRule="auto"/>
        <w:rPr>
          <w:rFonts w:ascii="Segoe UI" w:hAnsi="Segoe UI" w:cs="Segoe UI"/>
          <w:color w:val="0070C0"/>
          <w:sz w:val="20"/>
          <w:szCs w:val="20"/>
        </w:rPr>
      </w:pPr>
      <w:r>
        <w:rPr>
          <w:rFonts w:ascii="Segoe UI" w:hAnsi="Segoe UI" w:cs="Segoe UI"/>
          <w:color w:val="212121"/>
          <w:sz w:val="20"/>
          <w:szCs w:val="20"/>
        </w:rPr>
        <w:br/>
      </w:r>
      <w:r>
        <w:rPr>
          <w:rFonts w:ascii="Segoe UI" w:hAnsi="Segoe UI" w:cs="Segoe UI"/>
          <w:color w:val="212121"/>
          <w:sz w:val="20"/>
          <w:szCs w:val="20"/>
          <w:shd w:val="clear" w:color="auto" w:fill="FFFFFF"/>
        </w:rPr>
        <w:t>In addition, is there a difference in osteoporosis treatment efficiency</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 xml:space="preserve">using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between man and woman? Even though both man and woman can have osteoporosis, many osteoporosis clinical studies do not include man. As a result, the reviewer suggests the author to investigate more into the</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effect of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on treating osteoporosis in man compared to woman.</w:t>
      </w:r>
      <w:r>
        <w:rPr>
          <w:rFonts w:ascii="Segoe UI" w:hAnsi="Segoe UI" w:cs="Segoe UI"/>
          <w:color w:val="212121"/>
          <w:sz w:val="20"/>
          <w:szCs w:val="20"/>
        </w:rPr>
        <w:br/>
      </w:r>
    </w:p>
    <w:p w14:paraId="37B94002" w14:textId="16A28CA7" w:rsidR="00503558" w:rsidRDefault="00FE36AF" w:rsidP="259FC043">
      <w:pPr>
        <w:spacing w:after="0" w:line="240" w:lineRule="auto"/>
        <w:rPr>
          <w:rFonts w:ascii="Segoe UI" w:hAnsi="Segoe UI" w:cs="Segoe UI"/>
          <w:color w:val="2F5496" w:themeColor="accent1" w:themeShade="BF"/>
          <w:sz w:val="20"/>
          <w:szCs w:val="20"/>
        </w:rPr>
      </w:pPr>
      <w:r w:rsidRPr="00FE36AF">
        <w:rPr>
          <w:rFonts w:ascii="Segoe UI" w:hAnsi="Segoe UI" w:cs="Segoe UI"/>
          <w:color w:val="2F5496" w:themeColor="accent1" w:themeShade="BF"/>
          <w:sz w:val="20"/>
          <w:szCs w:val="20"/>
        </w:rPr>
        <w:t xml:space="preserve">The ADAMO </w:t>
      </w:r>
      <w:r>
        <w:rPr>
          <w:rFonts w:ascii="Segoe UI" w:hAnsi="Segoe UI" w:cs="Segoe UI"/>
          <w:color w:val="2F5496" w:themeColor="accent1" w:themeShade="BF"/>
          <w:sz w:val="20"/>
          <w:szCs w:val="20"/>
        </w:rPr>
        <w:t xml:space="preserve">trial in men was mentioned in the manuscript confirming that the efficacy of </w:t>
      </w:r>
      <w:proofErr w:type="spellStart"/>
      <w:r>
        <w:rPr>
          <w:rFonts w:ascii="Segoe UI" w:hAnsi="Segoe UI" w:cs="Segoe UI"/>
          <w:color w:val="2F5496" w:themeColor="accent1" w:themeShade="BF"/>
          <w:sz w:val="20"/>
          <w:szCs w:val="20"/>
        </w:rPr>
        <w:t>Denosumab</w:t>
      </w:r>
      <w:proofErr w:type="spellEnd"/>
      <w:r>
        <w:rPr>
          <w:rFonts w:ascii="Segoe UI" w:hAnsi="Segoe UI" w:cs="Segoe UI"/>
          <w:color w:val="2F5496" w:themeColor="accent1" w:themeShade="BF"/>
          <w:sz w:val="20"/>
          <w:szCs w:val="20"/>
        </w:rPr>
        <w:t xml:space="preserve"> is similar to that obtained in the FREEDOM trial in women. From a health economics perspective, there are also studies showing the cost-effectiveness of </w:t>
      </w:r>
      <w:proofErr w:type="spellStart"/>
      <w:r>
        <w:rPr>
          <w:rFonts w:ascii="Segoe UI" w:hAnsi="Segoe UI" w:cs="Segoe UI"/>
          <w:color w:val="2F5496" w:themeColor="accent1" w:themeShade="BF"/>
          <w:sz w:val="20"/>
          <w:szCs w:val="20"/>
        </w:rPr>
        <w:t>denosumab</w:t>
      </w:r>
      <w:proofErr w:type="spellEnd"/>
      <w:r>
        <w:rPr>
          <w:rFonts w:ascii="Segoe UI" w:hAnsi="Segoe UI" w:cs="Segoe UI"/>
          <w:color w:val="2F5496" w:themeColor="accent1" w:themeShade="BF"/>
          <w:sz w:val="20"/>
          <w:szCs w:val="20"/>
        </w:rPr>
        <w:t xml:space="preserve"> in osteoporosis treatment in men. The following sentence has been added to the manuscript:</w:t>
      </w:r>
    </w:p>
    <w:p w14:paraId="74FAA44D" w14:textId="4A1DD68B" w:rsidR="00FE36AF" w:rsidRDefault="00FE36AF" w:rsidP="259FC043">
      <w:pPr>
        <w:spacing w:after="0" w:line="240" w:lineRule="auto"/>
        <w:rPr>
          <w:rFonts w:ascii="Segoe UI" w:hAnsi="Segoe UI" w:cs="Segoe UI"/>
          <w:color w:val="2F5496" w:themeColor="accent1" w:themeShade="BF"/>
          <w:sz w:val="20"/>
          <w:szCs w:val="20"/>
        </w:rPr>
      </w:pPr>
    </w:p>
    <w:p w14:paraId="56FCC347" w14:textId="77777777" w:rsidR="00FE36AF" w:rsidRPr="00FE36AF" w:rsidRDefault="00FE36AF" w:rsidP="00FE36AF">
      <w:pPr>
        <w:spacing w:after="0" w:line="240" w:lineRule="auto"/>
        <w:rPr>
          <w:rFonts w:ascii="Segoe UI" w:eastAsia="Times New Roman" w:hAnsi="Segoe UI" w:cs="Segoe UI"/>
          <w:color w:val="FF0000"/>
          <w:sz w:val="20"/>
          <w:szCs w:val="20"/>
        </w:rPr>
      </w:pPr>
      <w:r>
        <w:rPr>
          <w:rFonts w:ascii="Segoe UI" w:eastAsia="Times New Roman" w:hAnsi="Segoe UI" w:cs="Segoe UI"/>
          <w:color w:val="FF0000"/>
          <w:sz w:val="20"/>
          <w:szCs w:val="20"/>
        </w:rPr>
        <w:t>‘</w:t>
      </w:r>
      <w:proofErr w:type="spellStart"/>
      <w:r w:rsidRPr="00FE36AF">
        <w:rPr>
          <w:rFonts w:ascii="Segoe UI" w:eastAsia="Times New Roman" w:hAnsi="Segoe UI" w:cs="Segoe UI"/>
          <w:color w:val="FF0000"/>
          <w:sz w:val="20"/>
          <w:szCs w:val="20"/>
        </w:rPr>
        <w:t>Denosumab</w:t>
      </w:r>
      <w:proofErr w:type="spellEnd"/>
      <w:r w:rsidRPr="00FE36AF">
        <w:rPr>
          <w:rFonts w:ascii="Segoe UI" w:eastAsia="Times New Roman" w:hAnsi="Segoe UI" w:cs="Segoe UI"/>
          <w:color w:val="FF0000"/>
          <w:sz w:val="20"/>
          <w:szCs w:val="20"/>
        </w:rPr>
        <w:t xml:space="preserve"> was also shown to be more cost-effective for treatment of older men aged above 75 years in two separate studies from Sweden and the United States compared to the other osteoporotic agents, including bisphosphonates and </w:t>
      </w:r>
      <w:proofErr w:type="spellStart"/>
      <w:r w:rsidRPr="00FE36AF">
        <w:rPr>
          <w:rFonts w:ascii="Segoe UI" w:eastAsia="Times New Roman" w:hAnsi="Segoe UI" w:cs="Segoe UI"/>
          <w:color w:val="FF0000"/>
          <w:sz w:val="20"/>
          <w:szCs w:val="20"/>
        </w:rPr>
        <w:t>teriparatide</w:t>
      </w:r>
      <w:proofErr w:type="spellEnd"/>
      <w:r w:rsidRPr="00FE36AF">
        <w:rPr>
          <w:rFonts w:ascii="Segoe UI" w:eastAsia="Times New Roman" w:hAnsi="Segoe UI" w:cs="Segoe UI"/>
          <w:color w:val="FF0000"/>
          <w:sz w:val="20"/>
          <w:szCs w:val="20"/>
        </w:rPr>
        <w:t xml:space="preserve">. The lifetime cohort Markov model demonstrated that although there is a higher annual treatment cost compared to other medications, </w:t>
      </w:r>
      <w:proofErr w:type="spellStart"/>
      <w:r w:rsidRPr="00FE36AF">
        <w:rPr>
          <w:rFonts w:ascii="Segoe UI" w:eastAsia="Times New Roman" w:hAnsi="Segoe UI" w:cs="Segoe UI"/>
          <w:color w:val="FF0000"/>
          <w:sz w:val="20"/>
          <w:szCs w:val="20"/>
        </w:rPr>
        <w:t>denosumab</w:t>
      </w:r>
      <w:proofErr w:type="spellEnd"/>
      <w:r w:rsidRPr="00FE36AF">
        <w:rPr>
          <w:rFonts w:ascii="Segoe UI" w:eastAsia="Times New Roman" w:hAnsi="Segoe UI" w:cs="Segoe UI"/>
          <w:color w:val="FF0000"/>
          <w:sz w:val="20"/>
          <w:szCs w:val="20"/>
        </w:rPr>
        <w:t xml:space="preserve"> was more cost-effective for osteoporosis treatment in terms of lifetime expected costs and quality-adjusted life-years [9,10].</w:t>
      </w:r>
      <w:r>
        <w:rPr>
          <w:rFonts w:ascii="Segoe UI" w:eastAsia="Times New Roman" w:hAnsi="Segoe UI" w:cs="Segoe UI"/>
          <w:color w:val="FF0000"/>
          <w:sz w:val="20"/>
          <w:szCs w:val="20"/>
        </w:rPr>
        <w:t>’</w:t>
      </w:r>
    </w:p>
    <w:p w14:paraId="39DC5DEC" w14:textId="77777777" w:rsidR="00FE36AF" w:rsidRDefault="00FE36AF" w:rsidP="00FE36AF">
      <w:pPr>
        <w:spacing w:after="0" w:line="240" w:lineRule="auto"/>
        <w:rPr>
          <w:rFonts w:ascii="Segoe UI" w:hAnsi="Segoe UI" w:cs="Segoe UI"/>
          <w:color w:val="2F5496" w:themeColor="accent1" w:themeShade="BF"/>
          <w:sz w:val="20"/>
          <w:szCs w:val="20"/>
          <w:shd w:val="clear" w:color="auto" w:fill="FFFFFF"/>
        </w:rPr>
      </w:pPr>
    </w:p>
    <w:p w14:paraId="560C0C7C" w14:textId="77777777" w:rsidR="00FE36AF" w:rsidRPr="00FE36AF" w:rsidRDefault="00FE36AF" w:rsidP="00FE36AF">
      <w:pPr>
        <w:spacing w:after="0" w:line="240" w:lineRule="auto"/>
        <w:rPr>
          <w:rFonts w:ascii="Segoe UI" w:hAnsi="Segoe UI" w:cs="Segoe UI"/>
          <w:color w:val="2F5496" w:themeColor="accent1" w:themeShade="BF"/>
          <w:sz w:val="20"/>
          <w:szCs w:val="20"/>
          <w:shd w:val="clear" w:color="auto" w:fill="FFFFFF"/>
        </w:rPr>
      </w:pPr>
      <w:r>
        <w:rPr>
          <w:rFonts w:ascii="Segoe UI" w:hAnsi="Segoe UI" w:cs="Segoe UI"/>
          <w:color w:val="2F5496" w:themeColor="accent1" w:themeShade="BF"/>
          <w:sz w:val="20"/>
          <w:szCs w:val="20"/>
          <w:shd w:val="clear" w:color="auto" w:fill="FFFFFF"/>
        </w:rPr>
        <w:t>The following references were added:</w:t>
      </w:r>
    </w:p>
    <w:p w14:paraId="1AC91931" w14:textId="77777777" w:rsidR="00426E2D" w:rsidRDefault="00426E2D" w:rsidP="00FE36AF">
      <w:pPr>
        <w:pStyle w:val="ListParagraph"/>
        <w:spacing w:after="0" w:line="240" w:lineRule="auto"/>
        <w:ind w:left="0"/>
        <w:rPr>
          <w:rFonts w:ascii="Segoe UI" w:hAnsi="Segoe UI" w:cs="Segoe UI"/>
          <w:color w:val="FF0000"/>
          <w:sz w:val="20"/>
          <w:szCs w:val="20"/>
          <w:shd w:val="clear" w:color="auto" w:fill="FFFFFF"/>
        </w:rPr>
      </w:pPr>
    </w:p>
    <w:p w14:paraId="0C164BE9" w14:textId="3B828F88" w:rsidR="00FE36AF" w:rsidRPr="00FE36AF" w:rsidRDefault="00FE36AF" w:rsidP="00FE36AF">
      <w:pPr>
        <w:pStyle w:val="ListParagraph"/>
        <w:spacing w:after="0" w:line="240" w:lineRule="auto"/>
        <w:ind w:left="0"/>
        <w:rPr>
          <w:rFonts w:ascii="Segoe UI" w:eastAsia="Times New Roman" w:hAnsi="Segoe UI" w:cs="Segoe UI"/>
          <w:color w:val="FF0000"/>
          <w:sz w:val="20"/>
          <w:szCs w:val="20"/>
        </w:rPr>
      </w:pPr>
      <w:proofErr w:type="spellStart"/>
      <w:r w:rsidRPr="00FE36AF">
        <w:rPr>
          <w:rFonts w:ascii="Segoe UI" w:hAnsi="Segoe UI" w:cs="Segoe UI"/>
          <w:color w:val="FF0000"/>
          <w:sz w:val="20"/>
          <w:szCs w:val="20"/>
          <w:shd w:val="clear" w:color="auto" w:fill="FFFFFF"/>
        </w:rPr>
        <w:t>Parthan</w:t>
      </w:r>
      <w:proofErr w:type="spellEnd"/>
      <w:r w:rsidRPr="00FE36AF">
        <w:rPr>
          <w:rFonts w:ascii="Segoe UI" w:hAnsi="Segoe UI" w:cs="Segoe UI"/>
          <w:color w:val="FF0000"/>
          <w:sz w:val="20"/>
          <w:szCs w:val="20"/>
          <w:shd w:val="clear" w:color="auto" w:fill="FFFFFF"/>
        </w:rPr>
        <w:t xml:space="preserve"> A, Kruse M, </w:t>
      </w:r>
      <w:proofErr w:type="spellStart"/>
      <w:r w:rsidRPr="00FE36AF">
        <w:rPr>
          <w:rFonts w:ascii="Segoe UI" w:hAnsi="Segoe UI" w:cs="Segoe UI"/>
          <w:color w:val="FF0000"/>
          <w:sz w:val="20"/>
          <w:szCs w:val="20"/>
          <w:shd w:val="clear" w:color="auto" w:fill="FFFFFF"/>
        </w:rPr>
        <w:t>Agodoa</w:t>
      </w:r>
      <w:proofErr w:type="spellEnd"/>
      <w:r w:rsidRPr="00FE36AF">
        <w:rPr>
          <w:rFonts w:ascii="Segoe UI" w:hAnsi="Segoe UI" w:cs="Segoe UI"/>
          <w:color w:val="FF0000"/>
          <w:sz w:val="20"/>
          <w:szCs w:val="20"/>
          <w:shd w:val="clear" w:color="auto" w:fill="FFFFFF"/>
        </w:rPr>
        <w:t xml:space="preserve"> I, Silverman S, Orwoll E. </w:t>
      </w:r>
      <w:proofErr w:type="spellStart"/>
      <w:r w:rsidRPr="00FE36AF">
        <w:rPr>
          <w:rFonts w:ascii="Segoe UI" w:hAnsi="Segoe UI" w:cs="Segoe UI"/>
          <w:color w:val="FF0000"/>
          <w:sz w:val="20"/>
          <w:szCs w:val="20"/>
          <w:shd w:val="clear" w:color="auto" w:fill="FFFFFF"/>
        </w:rPr>
        <w:t>Denosumab</w:t>
      </w:r>
      <w:proofErr w:type="spellEnd"/>
      <w:r w:rsidRPr="00FE36AF">
        <w:rPr>
          <w:rFonts w:ascii="Segoe UI" w:hAnsi="Segoe UI" w:cs="Segoe UI"/>
          <w:color w:val="FF0000"/>
          <w:sz w:val="20"/>
          <w:szCs w:val="20"/>
          <w:shd w:val="clear" w:color="auto" w:fill="FFFFFF"/>
        </w:rPr>
        <w:t xml:space="preserve">: a cost-effective alternative for men with osteoporosis from a Swedish payer perspective. Bone </w:t>
      </w:r>
      <w:proofErr w:type="gramStart"/>
      <w:r w:rsidRPr="00FE36AF">
        <w:rPr>
          <w:rFonts w:ascii="Segoe UI" w:hAnsi="Segoe UI" w:cs="Segoe UI"/>
          <w:color w:val="FF0000"/>
          <w:sz w:val="20"/>
          <w:szCs w:val="20"/>
          <w:shd w:val="clear" w:color="auto" w:fill="FFFFFF"/>
        </w:rPr>
        <w:t>2014;59:105</w:t>
      </w:r>
      <w:proofErr w:type="gramEnd"/>
      <w:r w:rsidRPr="00FE36AF">
        <w:rPr>
          <w:rFonts w:ascii="Segoe UI" w:hAnsi="Segoe UI" w:cs="Segoe UI"/>
          <w:color w:val="FF0000"/>
          <w:sz w:val="20"/>
          <w:szCs w:val="20"/>
          <w:shd w:val="clear" w:color="auto" w:fill="FFFFFF"/>
        </w:rPr>
        <w:t>-113.</w:t>
      </w:r>
    </w:p>
    <w:p w14:paraId="4E6AE6B6" w14:textId="77777777" w:rsidR="00FE36AF" w:rsidRPr="00FE36AF" w:rsidRDefault="00FE36AF" w:rsidP="00FE36AF">
      <w:pPr>
        <w:pStyle w:val="ListParagraph"/>
        <w:rPr>
          <w:rFonts w:ascii="Segoe UI" w:hAnsi="Segoe UI" w:cs="Segoe UI"/>
          <w:color w:val="FF0000"/>
          <w:sz w:val="20"/>
          <w:szCs w:val="20"/>
          <w:shd w:val="clear" w:color="auto" w:fill="FFFFFF"/>
        </w:rPr>
      </w:pPr>
    </w:p>
    <w:p w14:paraId="7621AF60" w14:textId="77777777" w:rsidR="00FE36AF" w:rsidRPr="00FE36AF" w:rsidRDefault="00FE36AF" w:rsidP="00FE36AF">
      <w:pPr>
        <w:pStyle w:val="ListParagraph"/>
        <w:spacing w:after="0" w:line="240" w:lineRule="auto"/>
        <w:ind w:left="0"/>
        <w:rPr>
          <w:rFonts w:ascii="Segoe UI" w:eastAsia="Times New Roman" w:hAnsi="Segoe UI" w:cs="Segoe UI"/>
          <w:color w:val="FF0000"/>
          <w:sz w:val="20"/>
          <w:szCs w:val="20"/>
        </w:rPr>
      </w:pPr>
      <w:r w:rsidRPr="00FE36AF">
        <w:rPr>
          <w:rFonts w:ascii="Segoe UI" w:hAnsi="Segoe UI" w:cs="Segoe UI"/>
          <w:color w:val="FF0000"/>
          <w:sz w:val="20"/>
          <w:szCs w:val="20"/>
          <w:shd w:val="clear" w:color="auto" w:fill="FFFFFF"/>
        </w:rPr>
        <w:t xml:space="preserve">Silverman S, </w:t>
      </w:r>
      <w:proofErr w:type="spellStart"/>
      <w:r w:rsidRPr="00FE36AF">
        <w:rPr>
          <w:rFonts w:ascii="Segoe UI" w:hAnsi="Segoe UI" w:cs="Segoe UI"/>
          <w:color w:val="FF0000"/>
          <w:sz w:val="20"/>
          <w:szCs w:val="20"/>
          <w:shd w:val="clear" w:color="auto" w:fill="FFFFFF"/>
        </w:rPr>
        <w:t>Agodoa</w:t>
      </w:r>
      <w:proofErr w:type="spellEnd"/>
      <w:r w:rsidRPr="00FE36AF">
        <w:rPr>
          <w:rFonts w:ascii="Segoe UI" w:hAnsi="Segoe UI" w:cs="Segoe UI"/>
          <w:color w:val="FF0000"/>
          <w:sz w:val="20"/>
          <w:szCs w:val="20"/>
          <w:shd w:val="clear" w:color="auto" w:fill="FFFFFF"/>
        </w:rPr>
        <w:t xml:space="preserve"> I, Kruse M, </w:t>
      </w:r>
      <w:proofErr w:type="spellStart"/>
      <w:r w:rsidRPr="00FE36AF">
        <w:rPr>
          <w:rFonts w:ascii="Segoe UI" w:hAnsi="Segoe UI" w:cs="Segoe UI"/>
          <w:color w:val="FF0000"/>
          <w:sz w:val="20"/>
          <w:szCs w:val="20"/>
          <w:shd w:val="clear" w:color="auto" w:fill="FFFFFF"/>
        </w:rPr>
        <w:t>Parthan</w:t>
      </w:r>
      <w:proofErr w:type="spellEnd"/>
      <w:r w:rsidRPr="00FE36AF">
        <w:rPr>
          <w:rFonts w:ascii="Segoe UI" w:hAnsi="Segoe UI" w:cs="Segoe UI"/>
          <w:color w:val="FF0000"/>
          <w:sz w:val="20"/>
          <w:szCs w:val="20"/>
          <w:shd w:val="clear" w:color="auto" w:fill="FFFFFF"/>
        </w:rPr>
        <w:t xml:space="preserve"> A, Orwoll E. </w:t>
      </w:r>
      <w:proofErr w:type="spellStart"/>
      <w:r w:rsidRPr="00FE36AF">
        <w:rPr>
          <w:rFonts w:ascii="Segoe UI" w:hAnsi="Segoe UI" w:cs="Segoe UI"/>
          <w:color w:val="FF0000"/>
          <w:sz w:val="20"/>
          <w:szCs w:val="20"/>
          <w:shd w:val="clear" w:color="auto" w:fill="FFFFFF"/>
        </w:rPr>
        <w:t>Denosumab</w:t>
      </w:r>
      <w:proofErr w:type="spellEnd"/>
      <w:r w:rsidRPr="00FE36AF">
        <w:rPr>
          <w:rFonts w:ascii="Segoe UI" w:hAnsi="Segoe UI" w:cs="Segoe UI"/>
          <w:color w:val="FF0000"/>
          <w:sz w:val="20"/>
          <w:szCs w:val="20"/>
          <w:shd w:val="clear" w:color="auto" w:fill="FFFFFF"/>
        </w:rPr>
        <w:t xml:space="preserve"> for elderly men with osteoporosis: a cost-effectiveness analysis from the US payer perspective. J </w:t>
      </w:r>
      <w:proofErr w:type="spellStart"/>
      <w:r w:rsidRPr="00FE36AF">
        <w:rPr>
          <w:rFonts w:ascii="Segoe UI" w:hAnsi="Segoe UI" w:cs="Segoe UI"/>
          <w:color w:val="FF0000"/>
          <w:sz w:val="20"/>
          <w:szCs w:val="20"/>
          <w:shd w:val="clear" w:color="auto" w:fill="FFFFFF"/>
        </w:rPr>
        <w:t>Osteoporos</w:t>
      </w:r>
      <w:proofErr w:type="spellEnd"/>
      <w:r w:rsidRPr="00FE36AF">
        <w:rPr>
          <w:rFonts w:ascii="Segoe UI" w:hAnsi="Segoe UI" w:cs="Segoe UI"/>
          <w:color w:val="FF0000"/>
          <w:sz w:val="20"/>
          <w:szCs w:val="20"/>
          <w:shd w:val="clear" w:color="auto" w:fill="FFFFFF"/>
        </w:rPr>
        <w:t xml:space="preserve"> </w:t>
      </w:r>
      <w:proofErr w:type="gramStart"/>
      <w:r w:rsidRPr="00FE36AF">
        <w:rPr>
          <w:rFonts w:ascii="Segoe UI" w:hAnsi="Segoe UI" w:cs="Segoe UI"/>
          <w:color w:val="FF0000"/>
          <w:sz w:val="20"/>
          <w:szCs w:val="20"/>
          <w:shd w:val="clear" w:color="auto" w:fill="FFFFFF"/>
        </w:rPr>
        <w:t>2015;2015:627631</w:t>
      </w:r>
      <w:proofErr w:type="gramEnd"/>
    </w:p>
    <w:p w14:paraId="34A9AAC1" w14:textId="79020271" w:rsidR="0050435C" w:rsidRDefault="0050435C" w:rsidP="259FC043">
      <w:pPr>
        <w:spacing w:after="0" w:line="240" w:lineRule="auto"/>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Reviewer B:</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Therapeutic Brief: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for the treatment of osteoporosis” by Shyh Poh Teo</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This is a well-written, short review of the dangers of discontinuation of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treatment in patients with osteoporosis. While well written, the reviewer has a few concerns: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 It is unclear to the reader what is the significance or novelty of this review. The author cites “recent” concerns identified regarding increased risk of fractures with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cessation. However, the authors</w:t>
      </w:r>
      <w:r>
        <w:rPr>
          <w:rFonts w:ascii="Segoe UI" w:hAnsi="Segoe UI" w:cs="Segoe UI"/>
          <w:color w:val="212121"/>
          <w:sz w:val="20"/>
          <w:szCs w:val="20"/>
        </w:rPr>
        <w:br/>
      </w:r>
      <w:r>
        <w:rPr>
          <w:rFonts w:ascii="Segoe UI" w:hAnsi="Segoe UI" w:cs="Segoe UI"/>
          <w:color w:val="212121"/>
          <w:sz w:val="20"/>
          <w:szCs w:val="20"/>
          <w:shd w:val="clear" w:color="auto" w:fill="FFFFFF"/>
        </w:rPr>
        <w:t>does not cite any recent literature later than 2017.</w:t>
      </w:r>
    </w:p>
    <w:p w14:paraId="005C14FA" w14:textId="679D6D18" w:rsidR="0050435C" w:rsidRDefault="0050435C" w:rsidP="259FC043">
      <w:pPr>
        <w:spacing w:after="0" w:line="240" w:lineRule="auto"/>
        <w:rPr>
          <w:rFonts w:ascii="Segoe UI" w:hAnsi="Segoe UI" w:cs="Segoe UI"/>
          <w:color w:val="212121"/>
          <w:sz w:val="20"/>
          <w:szCs w:val="20"/>
          <w:shd w:val="clear" w:color="auto" w:fill="FFFFFF"/>
        </w:rPr>
      </w:pPr>
    </w:p>
    <w:p w14:paraId="1D6F2D5B" w14:textId="1577308A" w:rsidR="0050435C" w:rsidRDefault="0050435C" w:rsidP="259FC043">
      <w:pPr>
        <w:spacing w:after="0" w:line="240" w:lineRule="auto"/>
        <w:rPr>
          <w:rFonts w:ascii="Segoe UI" w:hAnsi="Segoe UI" w:cs="Segoe UI"/>
          <w:color w:val="2F5496" w:themeColor="accent1" w:themeShade="BF"/>
          <w:sz w:val="20"/>
          <w:szCs w:val="20"/>
          <w:shd w:val="clear" w:color="auto" w:fill="FFFFFF"/>
        </w:rPr>
      </w:pPr>
      <w:r w:rsidRPr="00FE36AF">
        <w:rPr>
          <w:rFonts w:ascii="Segoe UI" w:hAnsi="Segoe UI" w:cs="Segoe UI"/>
          <w:color w:val="2F5496" w:themeColor="accent1" w:themeShade="BF"/>
          <w:sz w:val="20"/>
          <w:szCs w:val="20"/>
          <w:shd w:val="clear" w:color="auto" w:fill="FFFFFF"/>
        </w:rPr>
        <w:t xml:space="preserve">The word ‘recent’ has been removed from the sentence in the abstract, which now reads: ‘However, concerns were identified regarding increased risk of fractures with </w:t>
      </w:r>
      <w:proofErr w:type="spellStart"/>
      <w:r w:rsidRPr="00FE36AF">
        <w:rPr>
          <w:rFonts w:ascii="Segoe UI" w:hAnsi="Segoe UI" w:cs="Segoe UI"/>
          <w:color w:val="2F5496" w:themeColor="accent1" w:themeShade="BF"/>
          <w:sz w:val="20"/>
          <w:szCs w:val="20"/>
          <w:shd w:val="clear" w:color="auto" w:fill="FFFFFF"/>
        </w:rPr>
        <w:t>denosumab</w:t>
      </w:r>
      <w:proofErr w:type="spellEnd"/>
      <w:r w:rsidRPr="00FE36AF">
        <w:rPr>
          <w:rFonts w:ascii="Segoe UI" w:hAnsi="Segoe UI" w:cs="Segoe UI"/>
          <w:color w:val="2F5496" w:themeColor="accent1" w:themeShade="BF"/>
          <w:sz w:val="20"/>
          <w:szCs w:val="20"/>
          <w:shd w:val="clear" w:color="auto" w:fill="FFFFFF"/>
        </w:rPr>
        <w:t xml:space="preserve"> cessation.’</w:t>
      </w:r>
    </w:p>
    <w:p w14:paraId="188DD6C8" w14:textId="1475766C" w:rsidR="00FE36AF" w:rsidRDefault="00FE36AF" w:rsidP="259FC043">
      <w:pPr>
        <w:spacing w:after="0" w:line="240" w:lineRule="auto"/>
        <w:rPr>
          <w:rFonts w:ascii="Segoe UI" w:hAnsi="Segoe UI" w:cs="Segoe UI"/>
          <w:color w:val="2F5496" w:themeColor="accent1" w:themeShade="BF"/>
          <w:sz w:val="20"/>
          <w:szCs w:val="20"/>
          <w:shd w:val="clear" w:color="auto" w:fill="FFFFFF"/>
        </w:rPr>
      </w:pPr>
    </w:p>
    <w:p w14:paraId="2B04A107" w14:textId="0551FF39" w:rsidR="0050435C" w:rsidRDefault="0050435C" w:rsidP="259FC043">
      <w:pPr>
        <w:spacing w:after="0" w:line="240" w:lineRule="auto"/>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 More information regarding the benefits and risks of the treatment with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versus bisphosphonates would be helpful to the general reader. For example, it would be helpful to the reader to know the relative efficacy of the two types of treatments.</w:t>
      </w:r>
    </w:p>
    <w:p w14:paraId="66105B56" w14:textId="1E8DB954" w:rsidR="00FE36AF" w:rsidRDefault="00FE36AF" w:rsidP="259FC043">
      <w:pPr>
        <w:spacing w:after="0" w:line="240" w:lineRule="auto"/>
        <w:rPr>
          <w:rFonts w:ascii="Segoe UI" w:hAnsi="Segoe UI" w:cs="Segoe UI"/>
          <w:color w:val="212121"/>
          <w:sz w:val="20"/>
          <w:szCs w:val="20"/>
          <w:shd w:val="clear" w:color="auto" w:fill="FFFFFF"/>
        </w:rPr>
      </w:pPr>
    </w:p>
    <w:p w14:paraId="3E0B9625" w14:textId="06365E92" w:rsidR="00FE36AF" w:rsidRPr="00FE36AF" w:rsidRDefault="00090D8E" w:rsidP="259FC043">
      <w:pPr>
        <w:spacing w:after="0" w:line="240" w:lineRule="auto"/>
        <w:rPr>
          <w:rFonts w:ascii="Segoe UI" w:hAnsi="Segoe UI" w:cs="Segoe UI"/>
          <w:color w:val="2F5496" w:themeColor="accent1" w:themeShade="BF"/>
          <w:sz w:val="20"/>
          <w:szCs w:val="20"/>
          <w:shd w:val="clear" w:color="auto" w:fill="FFFFFF"/>
        </w:rPr>
      </w:pPr>
      <w:r>
        <w:rPr>
          <w:rFonts w:ascii="Segoe UI" w:hAnsi="Segoe UI" w:cs="Segoe UI"/>
          <w:color w:val="2F5496" w:themeColor="accent1" w:themeShade="BF"/>
          <w:sz w:val="20"/>
          <w:szCs w:val="20"/>
          <w:shd w:val="clear" w:color="auto" w:fill="FFFFFF"/>
        </w:rPr>
        <w:t xml:space="preserve">Thank you for this suggestion. We have added the following paragraph to clarify the relative efficacy of </w:t>
      </w:r>
      <w:proofErr w:type="spellStart"/>
      <w:r>
        <w:rPr>
          <w:rFonts w:ascii="Segoe UI" w:hAnsi="Segoe UI" w:cs="Segoe UI"/>
          <w:color w:val="2F5496" w:themeColor="accent1" w:themeShade="BF"/>
          <w:sz w:val="20"/>
          <w:szCs w:val="20"/>
          <w:shd w:val="clear" w:color="auto" w:fill="FFFFFF"/>
        </w:rPr>
        <w:t>denosumab</w:t>
      </w:r>
      <w:proofErr w:type="spellEnd"/>
      <w:r>
        <w:rPr>
          <w:rFonts w:ascii="Segoe UI" w:hAnsi="Segoe UI" w:cs="Segoe UI"/>
          <w:color w:val="2F5496" w:themeColor="accent1" w:themeShade="BF"/>
          <w:sz w:val="20"/>
          <w:szCs w:val="20"/>
          <w:shd w:val="clear" w:color="auto" w:fill="FFFFFF"/>
        </w:rPr>
        <w:t xml:space="preserve"> versus bisphosphonates:</w:t>
      </w:r>
    </w:p>
    <w:p w14:paraId="5D5453F2" w14:textId="77777777" w:rsidR="008F3270" w:rsidRPr="00FE36AF" w:rsidRDefault="008F3270" w:rsidP="259FC043">
      <w:pPr>
        <w:spacing w:after="0" w:line="240" w:lineRule="auto"/>
        <w:rPr>
          <w:rFonts w:ascii="Segoe UI" w:hAnsi="Segoe UI" w:cs="Segoe UI"/>
          <w:color w:val="212121"/>
          <w:sz w:val="20"/>
          <w:szCs w:val="20"/>
        </w:rPr>
      </w:pPr>
    </w:p>
    <w:p w14:paraId="1058DD1D" w14:textId="640B0B65" w:rsidR="00FE36AF" w:rsidRPr="00FE36AF" w:rsidRDefault="00090D8E" w:rsidP="00FE36AF">
      <w:pPr>
        <w:spacing w:after="0" w:line="240" w:lineRule="auto"/>
        <w:rPr>
          <w:rFonts w:ascii="Segoe UI" w:eastAsia="Times New Roman" w:hAnsi="Segoe UI" w:cs="Segoe UI"/>
          <w:color w:val="FF0000"/>
          <w:sz w:val="20"/>
          <w:szCs w:val="20"/>
        </w:rPr>
      </w:pPr>
      <w:r>
        <w:rPr>
          <w:rFonts w:ascii="Segoe UI" w:eastAsia="Times New Roman" w:hAnsi="Segoe UI" w:cs="Segoe UI"/>
          <w:color w:val="FF0000"/>
          <w:sz w:val="20"/>
          <w:szCs w:val="20"/>
        </w:rPr>
        <w:t>‘</w:t>
      </w:r>
      <w:r w:rsidR="00FE36AF" w:rsidRPr="00FE36AF">
        <w:rPr>
          <w:rFonts w:ascii="Segoe UI" w:eastAsia="Times New Roman" w:hAnsi="Segoe UI" w:cs="Segoe UI"/>
          <w:color w:val="FF0000"/>
          <w:sz w:val="20"/>
          <w:szCs w:val="20"/>
        </w:rPr>
        <w:t xml:space="preserve">A meta-analysis identified ten </w:t>
      </w:r>
      <w:proofErr w:type="spellStart"/>
      <w:r w:rsidR="00FE36AF" w:rsidRPr="00FE36AF">
        <w:rPr>
          <w:rFonts w:ascii="Segoe UI" w:eastAsia="Times New Roman" w:hAnsi="Segoe UI" w:cs="Segoe UI"/>
          <w:color w:val="FF0000"/>
          <w:sz w:val="20"/>
          <w:szCs w:val="20"/>
        </w:rPr>
        <w:t>randomised</w:t>
      </w:r>
      <w:proofErr w:type="spellEnd"/>
      <w:r w:rsidR="00FE36AF" w:rsidRPr="00FE36AF">
        <w:rPr>
          <w:rFonts w:ascii="Segoe UI" w:eastAsia="Times New Roman" w:hAnsi="Segoe UI" w:cs="Segoe UI"/>
          <w:color w:val="FF0000"/>
          <w:sz w:val="20"/>
          <w:szCs w:val="20"/>
        </w:rPr>
        <w:t xml:space="preserve"> controlled trials comparing the efficacy of </w:t>
      </w:r>
      <w:proofErr w:type="spellStart"/>
      <w:r w:rsidR="00FE36AF" w:rsidRPr="00FE36AF">
        <w:rPr>
          <w:rFonts w:ascii="Segoe UI" w:eastAsia="Times New Roman" w:hAnsi="Segoe UI" w:cs="Segoe UI"/>
          <w:color w:val="FF0000"/>
          <w:sz w:val="20"/>
          <w:szCs w:val="20"/>
        </w:rPr>
        <w:t>denosumab</w:t>
      </w:r>
      <w:proofErr w:type="spellEnd"/>
      <w:r w:rsidR="00FE36AF" w:rsidRPr="00FE36AF">
        <w:rPr>
          <w:rFonts w:ascii="Segoe UI" w:eastAsia="Times New Roman" w:hAnsi="Segoe UI" w:cs="Segoe UI"/>
          <w:color w:val="FF0000"/>
          <w:sz w:val="20"/>
          <w:szCs w:val="20"/>
        </w:rPr>
        <w:t xml:space="preserve"> and bisphosphonates. </w:t>
      </w:r>
      <w:proofErr w:type="spellStart"/>
      <w:r w:rsidR="00FE36AF" w:rsidRPr="00FE36AF">
        <w:rPr>
          <w:rFonts w:ascii="Segoe UI" w:eastAsia="Times New Roman" w:hAnsi="Segoe UI" w:cs="Segoe UI"/>
          <w:color w:val="FF0000"/>
          <w:sz w:val="20"/>
          <w:szCs w:val="20"/>
        </w:rPr>
        <w:t>Denosumab</w:t>
      </w:r>
      <w:proofErr w:type="spellEnd"/>
      <w:r w:rsidR="00FE36AF" w:rsidRPr="00FE36AF">
        <w:rPr>
          <w:rFonts w:ascii="Segoe UI" w:eastAsia="Times New Roman" w:hAnsi="Segoe UI" w:cs="Segoe UI"/>
          <w:color w:val="FF0000"/>
          <w:sz w:val="20"/>
          <w:szCs w:val="20"/>
        </w:rPr>
        <w:t xml:space="preserve"> was associated with significant improvement in BMD at the lumbar spine, hip and femoral neck at 12 and 24 months compared to bisphosphonates. There was also a lower incidence of osteoporotic fractures for </w:t>
      </w:r>
      <w:proofErr w:type="spellStart"/>
      <w:r w:rsidR="00FE36AF" w:rsidRPr="00FE36AF">
        <w:rPr>
          <w:rFonts w:ascii="Segoe UI" w:eastAsia="Times New Roman" w:hAnsi="Segoe UI" w:cs="Segoe UI"/>
          <w:color w:val="FF0000"/>
          <w:sz w:val="20"/>
          <w:szCs w:val="20"/>
        </w:rPr>
        <w:t>denosumab</w:t>
      </w:r>
      <w:proofErr w:type="spellEnd"/>
      <w:r w:rsidR="00FE36AF" w:rsidRPr="00FE36AF">
        <w:rPr>
          <w:rFonts w:ascii="Segoe UI" w:eastAsia="Times New Roman" w:hAnsi="Segoe UI" w:cs="Segoe UI"/>
          <w:color w:val="FF0000"/>
          <w:sz w:val="20"/>
          <w:szCs w:val="20"/>
        </w:rPr>
        <w:t xml:space="preserve"> than alendronate at 24 months [11]. Another trial confirmed a significant improvement in spine and hip BMD with </w:t>
      </w:r>
      <w:proofErr w:type="spellStart"/>
      <w:r w:rsidR="00FE36AF" w:rsidRPr="00FE36AF">
        <w:rPr>
          <w:rFonts w:ascii="Segoe UI" w:eastAsia="Times New Roman" w:hAnsi="Segoe UI" w:cs="Segoe UI"/>
          <w:color w:val="FF0000"/>
          <w:sz w:val="20"/>
          <w:szCs w:val="20"/>
        </w:rPr>
        <w:t>denosumab</w:t>
      </w:r>
      <w:proofErr w:type="spellEnd"/>
      <w:r w:rsidR="00FE36AF" w:rsidRPr="00FE36AF">
        <w:rPr>
          <w:rFonts w:ascii="Segoe UI" w:eastAsia="Times New Roman" w:hAnsi="Segoe UI" w:cs="Segoe UI"/>
          <w:color w:val="FF0000"/>
          <w:sz w:val="20"/>
          <w:szCs w:val="20"/>
        </w:rPr>
        <w:t xml:space="preserve"> over </w:t>
      </w:r>
      <w:proofErr w:type="spellStart"/>
      <w:r w:rsidR="00FE36AF" w:rsidRPr="00FE36AF">
        <w:rPr>
          <w:rFonts w:ascii="Segoe UI" w:eastAsia="Times New Roman" w:hAnsi="Segoe UI" w:cs="Segoe UI"/>
          <w:color w:val="FF0000"/>
          <w:sz w:val="20"/>
          <w:szCs w:val="20"/>
        </w:rPr>
        <w:t>risedronate</w:t>
      </w:r>
      <w:proofErr w:type="spellEnd"/>
      <w:r w:rsidR="00FE36AF" w:rsidRPr="00FE36AF">
        <w:rPr>
          <w:rFonts w:ascii="Segoe UI" w:eastAsia="Times New Roman" w:hAnsi="Segoe UI" w:cs="Segoe UI"/>
          <w:color w:val="FF0000"/>
          <w:sz w:val="20"/>
          <w:szCs w:val="20"/>
        </w:rPr>
        <w:t xml:space="preserve"> at 24 months for patients with glucocorticoid-induced osteoporosis without any differences in the rate of adverse events [12].</w:t>
      </w:r>
      <w:r>
        <w:rPr>
          <w:rFonts w:ascii="Segoe UI" w:eastAsia="Times New Roman" w:hAnsi="Segoe UI" w:cs="Segoe UI"/>
          <w:color w:val="FF0000"/>
          <w:sz w:val="20"/>
          <w:szCs w:val="20"/>
        </w:rPr>
        <w:t>’</w:t>
      </w:r>
    </w:p>
    <w:p w14:paraId="3CC86668" w14:textId="77777777" w:rsidR="008F3270" w:rsidRPr="00FE36AF" w:rsidRDefault="008F3270" w:rsidP="259FC043">
      <w:pPr>
        <w:spacing w:after="0" w:line="240" w:lineRule="auto"/>
        <w:rPr>
          <w:rFonts w:ascii="Segoe UI" w:hAnsi="Segoe UI" w:cs="Segoe UI"/>
          <w:color w:val="212121"/>
          <w:sz w:val="20"/>
          <w:szCs w:val="20"/>
        </w:rPr>
      </w:pPr>
    </w:p>
    <w:p w14:paraId="70ECED36" w14:textId="23E9B39D" w:rsidR="008F3270" w:rsidRPr="00090D8E" w:rsidRDefault="00090D8E" w:rsidP="259FC043">
      <w:pPr>
        <w:spacing w:after="0" w:line="240" w:lineRule="auto"/>
        <w:rPr>
          <w:rFonts w:ascii="Segoe UI" w:hAnsi="Segoe UI" w:cs="Segoe UI"/>
          <w:color w:val="2F5496" w:themeColor="accent1" w:themeShade="BF"/>
          <w:sz w:val="20"/>
          <w:szCs w:val="20"/>
        </w:rPr>
      </w:pPr>
      <w:r>
        <w:rPr>
          <w:rFonts w:ascii="Segoe UI" w:hAnsi="Segoe UI" w:cs="Segoe UI"/>
          <w:color w:val="2F5496" w:themeColor="accent1" w:themeShade="BF"/>
          <w:sz w:val="20"/>
          <w:szCs w:val="20"/>
        </w:rPr>
        <w:t>The following references were added:</w:t>
      </w:r>
    </w:p>
    <w:p w14:paraId="04FCDC64" w14:textId="77777777" w:rsidR="00090D8E" w:rsidRPr="00FE36AF" w:rsidRDefault="00090D8E" w:rsidP="259FC043">
      <w:pPr>
        <w:spacing w:after="0" w:line="240" w:lineRule="auto"/>
        <w:rPr>
          <w:rFonts w:ascii="Segoe UI" w:hAnsi="Segoe UI" w:cs="Segoe UI"/>
          <w:color w:val="212121"/>
          <w:sz w:val="20"/>
          <w:szCs w:val="20"/>
        </w:rPr>
      </w:pPr>
    </w:p>
    <w:p w14:paraId="7178AE57" w14:textId="77777777" w:rsidR="00FE36AF" w:rsidRPr="00FE36AF" w:rsidRDefault="00FE36AF" w:rsidP="00FE36AF">
      <w:pPr>
        <w:pStyle w:val="ListParagraph"/>
        <w:spacing w:after="0" w:line="240" w:lineRule="auto"/>
        <w:ind w:left="0"/>
        <w:rPr>
          <w:rFonts w:ascii="Segoe UI" w:eastAsia="Times New Roman" w:hAnsi="Segoe UI" w:cs="Segoe UI"/>
          <w:color w:val="FF0000"/>
          <w:sz w:val="20"/>
          <w:szCs w:val="20"/>
        </w:rPr>
      </w:pPr>
      <w:proofErr w:type="spellStart"/>
      <w:r w:rsidRPr="00FE36AF">
        <w:rPr>
          <w:rFonts w:ascii="Segoe UI" w:hAnsi="Segoe UI" w:cs="Segoe UI"/>
          <w:color w:val="FF0000"/>
          <w:sz w:val="20"/>
          <w:szCs w:val="20"/>
          <w:shd w:val="clear" w:color="auto" w:fill="FFFFFF"/>
        </w:rPr>
        <w:t>Lyu</w:t>
      </w:r>
      <w:proofErr w:type="spellEnd"/>
      <w:r w:rsidRPr="00FE36AF">
        <w:rPr>
          <w:rFonts w:ascii="Segoe UI" w:hAnsi="Segoe UI" w:cs="Segoe UI"/>
          <w:color w:val="FF0000"/>
          <w:sz w:val="20"/>
          <w:szCs w:val="20"/>
          <w:shd w:val="clear" w:color="auto" w:fill="FFFFFF"/>
        </w:rPr>
        <w:t xml:space="preserve"> H, </w:t>
      </w:r>
      <w:proofErr w:type="spellStart"/>
      <w:r w:rsidRPr="00FE36AF">
        <w:rPr>
          <w:rFonts w:ascii="Segoe UI" w:hAnsi="Segoe UI" w:cs="Segoe UI"/>
          <w:color w:val="FF0000"/>
          <w:sz w:val="20"/>
          <w:szCs w:val="20"/>
          <w:shd w:val="clear" w:color="auto" w:fill="FFFFFF"/>
        </w:rPr>
        <w:t>Jundi</w:t>
      </w:r>
      <w:proofErr w:type="spellEnd"/>
      <w:r w:rsidRPr="00FE36AF">
        <w:rPr>
          <w:rFonts w:ascii="Segoe UI" w:hAnsi="Segoe UI" w:cs="Segoe UI"/>
          <w:color w:val="FF0000"/>
          <w:sz w:val="20"/>
          <w:szCs w:val="20"/>
          <w:shd w:val="clear" w:color="auto" w:fill="FFFFFF"/>
        </w:rPr>
        <w:t xml:space="preserve"> B, Xu C, et al. Comparison of </w:t>
      </w:r>
      <w:proofErr w:type="spellStart"/>
      <w:r w:rsidRPr="00FE36AF">
        <w:rPr>
          <w:rFonts w:ascii="Segoe UI" w:hAnsi="Segoe UI" w:cs="Segoe UI"/>
          <w:color w:val="FF0000"/>
          <w:sz w:val="20"/>
          <w:szCs w:val="20"/>
          <w:shd w:val="clear" w:color="auto" w:fill="FFFFFF"/>
        </w:rPr>
        <w:t>denosumab</w:t>
      </w:r>
      <w:proofErr w:type="spellEnd"/>
      <w:r w:rsidRPr="00FE36AF">
        <w:rPr>
          <w:rFonts w:ascii="Segoe UI" w:hAnsi="Segoe UI" w:cs="Segoe UI"/>
          <w:color w:val="FF0000"/>
          <w:sz w:val="20"/>
          <w:szCs w:val="20"/>
          <w:shd w:val="clear" w:color="auto" w:fill="FFFFFF"/>
        </w:rPr>
        <w:t xml:space="preserve"> and bisphosphonates in patients with osteoporosis: a meta-analysis of </w:t>
      </w:r>
      <w:proofErr w:type="spellStart"/>
      <w:r w:rsidRPr="00FE36AF">
        <w:rPr>
          <w:rFonts w:ascii="Segoe UI" w:hAnsi="Segoe UI" w:cs="Segoe UI"/>
          <w:color w:val="FF0000"/>
          <w:sz w:val="20"/>
          <w:szCs w:val="20"/>
          <w:shd w:val="clear" w:color="auto" w:fill="FFFFFF"/>
        </w:rPr>
        <w:t>randomised</w:t>
      </w:r>
      <w:proofErr w:type="spellEnd"/>
      <w:r w:rsidRPr="00FE36AF">
        <w:rPr>
          <w:rFonts w:ascii="Segoe UI" w:hAnsi="Segoe UI" w:cs="Segoe UI"/>
          <w:color w:val="FF0000"/>
          <w:sz w:val="20"/>
          <w:szCs w:val="20"/>
          <w:shd w:val="clear" w:color="auto" w:fill="FFFFFF"/>
        </w:rPr>
        <w:t xml:space="preserve"> controlled trials. J </w:t>
      </w:r>
      <w:proofErr w:type="spellStart"/>
      <w:r w:rsidRPr="00FE36AF">
        <w:rPr>
          <w:rFonts w:ascii="Segoe UI" w:hAnsi="Segoe UI" w:cs="Segoe UI"/>
          <w:color w:val="FF0000"/>
          <w:sz w:val="20"/>
          <w:szCs w:val="20"/>
          <w:shd w:val="clear" w:color="auto" w:fill="FFFFFF"/>
        </w:rPr>
        <w:t>Clin</w:t>
      </w:r>
      <w:proofErr w:type="spellEnd"/>
      <w:r w:rsidRPr="00FE36AF">
        <w:rPr>
          <w:rFonts w:ascii="Segoe UI" w:hAnsi="Segoe UI" w:cs="Segoe UI"/>
          <w:color w:val="FF0000"/>
          <w:sz w:val="20"/>
          <w:szCs w:val="20"/>
          <w:shd w:val="clear" w:color="auto" w:fill="FFFFFF"/>
        </w:rPr>
        <w:t xml:space="preserve"> </w:t>
      </w:r>
      <w:proofErr w:type="spellStart"/>
      <w:r w:rsidRPr="00FE36AF">
        <w:rPr>
          <w:rFonts w:ascii="Segoe UI" w:hAnsi="Segoe UI" w:cs="Segoe UI"/>
          <w:color w:val="FF0000"/>
          <w:sz w:val="20"/>
          <w:szCs w:val="20"/>
          <w:shd w:val="clear" w:color="auto" w:fill="FFFFFF"/>
        </w:rPr>
        <w:t>Endocrinol</w:t>
      </w:r>
      <w:proofErr w:type="spellEnd"/>
      <w:r w:rsidRPr="00FE36AF">
        <w:rPr>
          <w:rFonts w:ascii="Segoe UI" w:hAnsi="Segoe UI" w:cs="Segoe UI"/>
          <w:color w:val="FF0000"/>
          <w:sz w:val="20"/>
          <w:szCs w:val="20"/>
          <w:shd w:val="clear" w:color="auto" w:fill="FFFFFF"/>
        </w:rPr>
        <w:t xml:space="preserve"> </w:t>
      </w:r>
      <w:proofErr w:type="spellStart"/>
      <w:r w:rsidRPr="00FE36AF">
        <w:rPr>
          <w:rFonts w:ascii="Segoe UI" w:hAnsi="Segoe UI" w:cs="Segoe UI"/>
          <w:color w:val="FF0000"/>
          <w:sz w:val="20"/>
          <w:szCs w:val="20"/>
          <w:shd w:val="clear" w:color="auto" w:fill="FFFFFF"/>
        </w:rPr>
        <w:t>Metab</w:t>
      </w:r>
      <w:proofErr w:type="spellEnd"/>
      <w:r w:rsidRPr="00FE36AF">
        <w:rPr>
          <w:rFonts w:ascii="Segoe UI" w:hAnsi="Segoe UI" w:cs="Segoe UI"/>
          <w:color w:val="FF0000"/>
          <w:sz w:val="20"/>
          <w:szCs w:val="20"/>
          <w:shd w:val="clear" w:color="auto" w:fill="FFFFFF"/>
        </w:rPr>
        <w:t xml:space="preserve"> 2019;104(5):1753-65.</w:t>
      </w:r>
    </w:p>
    <w:p w14:paraId="3DC53445" w14:textId="77777777" w:rsidR="00FE36AF" w:rsidRPr="00FE36AF" w:rsidRDefault="00FE36AF" w:rsidP="00FE36AF">
      <w:pPr>
        <w:pStyle w:val="ListParagraph"/>
        <w:rPr>
          <w:rFonts w:ascii="Segoe UI" w:hAnsi="Segoe UI" w:cs="Segoe UI"/>
          <w:color w:val="FF0000"/>
          <w:sz w:val="20"/>
          <w:szCs w:val="20"/>
          <w:shd w:val="clear" w:color="auto" w:fill="FFFFFF"/>
        </w:rPr>
      </w:pPr>
    </w:p>
    <w:p w14:paraId="51730DDD" w14:textId="77777777" w:rsidR="00FE36AF" w:rsidRPr="00FE36AF" w:rsidRDefault="00FE36AF" w:rsidP="00FE36AF">
      <w:pPr>
        <w:pStyle w:val="ListParagraph"/>
        <w:spacing w:after="0" w:line="240" w:lineRule="auto"/>
        <w:ind w:left="0"/>
        <w:rPr>
          <w:rFonts w:ascii="Segoe UI" w:eastAsia="Times New Roman" w:hAnsi="Segoe UI" w:cs="Segoe UI"/>
          <w:color w:val="FF0000"/>
          <w:sz w:val="20"/>
          <w:szCs w:val="20"/>
        </w:rPr>
      </w:pPr>
      <w:proofErr w:type="spellStart"/>
      <w:r w:rsidRPr="00FE36AF">
        <w:rPr>
          <w:rFonts w:ascii="Segoe UI" w:hAnsi="Segoe UI" w:cs="Segoe UI"/>
          <w:color w:val="FF0000"/>
          <w:sz w:val="20"/>
          <w:szCs w:val="20"/>
          <w:shd w:val="clear" w:color="auto" w:fill="FFFFFF"/>
        </w:rPr>
        <w:t>Saag</w:t>
      </w:r>
      <w:proofErr w:type="spellEnd"/>
      <w:r w:rsidRPr="00FE36AF">
        <w:rPr>
          <w:rFonts w:ascii="Segoe UI" w:hAnsi="Segoe UI" w:cs="Segoe UI"/>
          <w:color w:val="FF0000"/>
          <w:sz w:val="20"/>
          <w:szCs w:val="20"/>
          <w:shd w:val="clear" w:color="auto" w:fill="FFFFFF"/>
        </w:rPr>
        <w:t xml:space="preserve"> KG, </w:t>
      </w:r>
      <w:proofErr w:type="spellStart"/>
      <w:r w:rsidRPr="00FE36AF">
        <w:rPr>
          <w:rFonts w:ascii="Segoe UI" w:hAnsi="Segoe UI" w:cs="Segoe UI"/>
          <w:color w:val="FF0000"/>
          <w:sz w:val="20"/>
          <w:szCs w:val="20"/>
          <w:shd w:val="clear" w:color="auto" w:fill="FFFFFF"/>
        </w:rPr>
        <w:t>Pannacciulli</w:t>
      </w:r>
      <w:proofErr w:type="spellEnd"/>
      <w:r w:rsidRPr="00FE36AF">
        <w:rPr>
          <w:rFonts w:ascii="Segoe UI" w:hAnsi="Segoe UI" w:cs="Segoe UI"/>
          <w:color w:val="FF0000"/>
          <w:sz w:val="20"/>
          <w:szCs w:val="20"/>
          <w:shd w:val="clear" w:color="auto" w:fill="FFFFFF"/>
        </w:rPr>
        <w:t xml:space="preserve"> N, </w:t>
      </w:r>
      <w:proofErr w:type="spellStart"/>
      <w:r w:rsidRPr="00FE36AF">
        <w:rPr>
          <w:rFonts w:ascii="Segoe UI" w:hAnsi="Segoe UI" w:cs="Segoe UI"/>
          <w:color w:val="FF0000"/>
          <w:sz w:val="20"/>
          <w:szCs w:val="20"/>
          <w:shd w:val="clear" w:color="auto" w:fill="FFFFFF"/>
        </w:rPr>
        <w:t>Geusens</w:t>
      </w:r>
      <w:proofErr w:type="spellEnd"/>
      <w:r w:rsidRPr="00FE36AF">
        <w:rPr>
          <w:rFonts w:ascii="Segoe UI" w:hAnsi="Segoe UI" w:cs="Segoe UI"/>
          <w:color w:val="FF0000"/>
          <w:sz w:val="20"/>
          <w:szCs w:val="20"/>
          <w:shd w:val="clear" w:color="auto" w:fill="FFFFFF"/>
        </w:rPr>
        <w:t xml:space="preserve"> P, et al. </w:t>
      </w:r>
      <w:proofErr w:type="spellStart"/>
      <w:r w:rsidRPr="00FE36AF">
        <w:rPr>
          <w:rFonts w:ascii="Segoe UI" w:hAnsi="Segoe UI" w:cs="Segoe UI"/>
          <w:color w:val="FF0000"/>
          <w:sz w:val="20"/>
          <w:szCs w:val="20"/>
          <w:shd w:val="clear" w:color="auto" w:fill="FFFFFF"/>
        </w:rPr>
        <w:t>Denosumab</w:t>
      </w:r>
      <w:proofErr w:type="spellEnd"/>
      <w:r w:rsidRPr="00FE36AF">
        <w:rPr>
          <w:rFonts w:ascii="Segoe UI" w:hAnsi="Segoe UI" w:cs="Segoe UI"/>
          <w:color w:val="FF0000"/>
          <w:sz w:val="20"/>
          <w:szCs w:val="20"/>
          <w:shd w:val="clear" w:color="auto" w:fill="FFFFFF"/>
        </w:rPr>
        <w:t xml:space="preserve"> versus </w:t>
      </w:r>
      <w:proofErr w:type="spellStart"/>
      <w:r w:rsidRPr="00FE36AF">
        <w:rPr>
          <w:rFonts w:ascii="Segoe UI" w:hAnsi="Segoe UI" w:cs="Segoe UI"/>
          <w:color w:val="FF0000"/>
          <w:sz w:val="20"/>
          <w:szCs w:val="20"/>
          <w:shd w:val="clear" w:color="auto" w:fill="FFFFFF"/>
        </w:rPr>
        <w:t>risedronate</w:t>
      </w:r>
      <w:proofErr w:type="spellEnd"/>
      <w:r w:rsidRPr="00FE36AF">
        <w:rPr>
          <w:rFonts w:ascii="Segoe UI" w:hAnsi="Segoe UI" w:cs="Segoe UI"/>
          <w:color w:val="FF0000"/>
          <w:sz w:val="20"/>
          <w:szCs w:val="20"/>
          <w:shd w:val="clear" w:color="auto" w:fill="FFFFFF"/>
        </w:rPr>
        <w:t xml:space="preserve"> in glucocorticoid-induced osteoporosis: final results of a twenty-four-month randomized, double-blind, double-dummy trial. Arthritis </w:t>
      </w:r>
      <w:proofErr w:type="spellStart"/>
      <w:r w:rsidRPr="00FE36AF">
        <w:rPr>
          <w:rFonts w:ascii="Segoe UI" w:hAnsi="Segoe UI" w:cs="Segoe UI"/>
          <w:color w:val="FF0000"/>
          <w:sz w:val="20"/>
          <w:szCs w:val="20"/>
          <w:shd w:val="clear" w:color="auto" w:fill="FFFFFF"/>
        </w:rPr>
        <w:t>Rheumatol</w:t>
      </w:r>
      <w:proofErr w:type="spellEnd"/>
      <w:r w:rsidRPr="00FE36AF">
        <w:rPr>
          <w:rFonts w:ascii="Segoe UI" w:hAnsi="Segoe UI" w:cs="Segoe UI"/>
          <w:color w:val="FF0000"/>
          <w:sz w:val="20"/>
          <w:szCs w:val="20"/>
          <w:shd w:val="clear" w:color="auto" w:fill="FFFFFF"/>
        </w:rPr>
        <w:t xml:space="preserve"> 2019;71(7):1174-1184.</w:t>
      </w:r>
    </w:p>
    <w:p w14:paraId="5BDABDAC" w14:textId="71AB5310" w:rsidR="00503558" w:rsidRPr="00FE36AF" w:rsidRDefault="00503558" w:rsidP="259FC043">
      <w:pPr>
        <w:spacing w:after="0" w:line="240" w:lineRule="auto"/>
        <w:rPr>
          <w:rFonts w:ascii="Segoe UI" w:hAnsi="Segoe UI" w:cs="Segoe UI"/>
          <w:color w:val="212121"/>
          <w:sz w:val="20"/>
          <w:szCs w:val="20"/>
        </w:rPr>
      </w:pPr>
    </w:p>
    <w:p w14:paraId="288C2B27" w14:textId="6F0D6BC9" w:rsidR="0050435C" w:rsidRDefault="0050435C" w:rsidP="259FC043">
      <w:pPr>
        <w:spacing w:after="0" w:line="240" w:lineRule="auto"/>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 It would be helpful to the general reader to know what are the reasons for discontinuation of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that would lead to increased risk of fractures, if it is preferred over orally administered </w:t>
      </w:r>
      <w:r>
        <w:rPr>
          <w:rFonts w:ascii="Segoe UI" w:hAnsi="Segoe UI" w:cs="Segoe UI"/>
          <w:color w:val="212121"/>
          <w:sz w:val="20"/>
          <w:szCs w:val="20"/>
          <w:shd w:val="clear" w:color="auto" w:fill="FFFFFF"/>
        </w:rPr>
        <w:lastRenderedPageBreak/>
        <w:t>bisphosphonate? Is the drug discontinued because of cost, availability or other factors such as</w:t>
      </w:r>
      <w:r>
        <w:rPr>
          <w:rFonts w:ascii="Segoe UI" w:hAnsi="Segoe UI" w:cs="Segoe UI"/>
          <w:color w:val="212121"/>
          <w:sz w:val="20"/>
          <w:szCs w:val="20"/>
        </w:rPr>
        <w:br/>
      </w:r>
      <w:r>
        <w:rPr>
          <w:rFonts w:ascii="Segoe UI" w:hAnsi="Segoe UI" w:cs="Segoe UI"/>
          <w:color w:val="212121"/>
          <w:sz w:val="20"/>
          <w:szCs w:val="20"/>
          <w:shd w:val="clear" w:color="auto" w:fill="FFFFFF"/>
        </w:rPr>
        <w:t>adverse incidents?</w:t>
      </w:r>
    </w:p>
    <w:p w14:paraId="191FC44E" w14:textId="5980B7C0" w:rsidR="0050435C" w:rsidRDefault="0050435C" w:rsidP="259FC043">
      <w:pPr>
        <w:spacing w:after="0" w:line="240" w:lineRule="auto"/>
        <w:rPr>
          <w:rFonts w:ascii="Segoe UI" w:hAnsi="Segoe UI" w:cs="Segoe UI"/>
          <w:color w:val="212121"/>
          <w:sz w:val="20"/>
          <w:szCs w:val="20"/>
          <w:shd w:val="clear" w:color="auto" w:fill="FFFFFF"/>
        </w:rPr>
      </w:pPr>
    </w:p>
    <w:p w14:paraId="3A162408" w14:textId="277B9542" w:rsidR="004367E2" w:rsidRPr="004367E2" w:rsidRDefault="004367E2" w:rsidP="259FC043">
      <w:pPr>
        <w:spacing w:after="0" w:line="240" w:lineRule="auto"/>
        <w:rPr>
          <w:rFonts w:ascii="Segoe UI" w:hAnsi="Segoe UI" w:cs="Segoe UI"/>
          <w:color w:val="2F5496" w:themeColor="accent1" w:themeShade="BF"/>
          <w:sz w:val="20"/>
          <w:szCs w:val="20"/>
          <w:shd w:val="clear" w:color="auto" w:fill="FFFFFF"/>
        </w:rPr>
      </w:pPr>
      <w:r>
        <w:rPr>
          <w:rFonts w:ascii="Segoe UI" w:hAnsi="Segoe UI" w:cs="Segoe UI"/>
          <w:color w:val="2F5496" w:themeColor="accent1" w:themeShade="BF"/>
          <w:sz w:val="20"/>
          <w:szCs w:val="20"/>
          <w:shd w:val="clear" w:color="auto" w:fill="FFFFFF"/>
        </w:rPr>
        <w:t xml:space="preserve">There are multiple reasons for discontinuing </w:t>
      </w:r>
      <w:proofErr w:type="spellStart"/>
      <w:r>
        <w:rPr>
          <w:rFonts w:ascii="Segoe UI" w:hAnsi="Segoe UI" w:cs="Segoe UI"/>
          <w:color w:val="2F5496" w:themeColor="accent1" w:themeShade="BF"/>
          <w:sz w:val="20"/>
          <w:szCs w:val="20"/>
          <w:shd w:val="clear" w:color="auto" w:fill="FFFFFF"/>
        </w:rPr>
        <w:t>denosumab</w:t>
      </w:r>
      <w:proofErr w:type="spellEnd"/>
      <w:r>
        <w:rPr>
          <w:rFonts w:ascii="Segoe UI" w:hAnsi="Segoe UI" w:cs="Segoe UI"/>
          <w:color w:val="2F5496" w:themeColor="accent1" w:themeShade="BF"/>
          <w:sz w:val="20"/>
          <w:szCs w:val="20"/>
          <w:shd w:val="clear" w:color="auto" w:fill="FFFFFF"/>
        </w:rPr>
        <w:t xml:space="preserve"> in addition to patient compliance, which is a concern. A study on reduced persistence outlines possible reasons for this. The following paragraph has been added:</w:t>
      </w:r>
    </w:p>
    <w:p w14:paraId="27BEB05D" w14:textId="77777777" w:rsidR="004367E2" w:rsidRPr="004367E2" w:rsidRDefault="004367E2" w:rsidP="259FC043">
      <w:pPr>
        <w:spacing w:after="0" w:line="240" w:lineRule="auto"/>
        <w:rPr>
          <w:rFonts w:ascii="Segoe UI" w:hAnsi="Segoe UI" w:cs="Segoe UI"/>
          <w:color w:val="212121"/>
          <w:sz w:val="20"/>
          <w:szCs w:val="20"/>
          <w:shd w:val="clear" w:color="auto" w:fill="FFFFFF"/>
        </w:rPr>
      </w:pPr>
    </w:p>
    <w:p w14:paraId="38A1D820" w14:textId="77777777" w:rsidR="004367E2" w:rsidRPr="004367E2" w:rsidRDefault="004367E2" w:rsidP="004367E2">
      <w:pPr>
        <w:spacing w:after="0" w:line="240" w:lineRule="auto"/>
        <w:rPr>
          <w:rFonts w:ascii="Segoe UI" w:eastAsia="Times New Roman" w:hAnsi="Segoe UI" w:cs="Segoe UI"/>
          <w:color w:val="FF0000"/>
          <w:sz w:val="20"/>
          <w:szCs w:val="20"/>
        </w:rPr>
      </w:pPr>
      <w:r w:rsidRPr="004367E2">
        <w:rPr>
          <w:rFonts w:ascii="Segoe UI" w:eastAsia="Times New Roman" w:hAnsi="Segoe UI" w:cs="Segoe UI"/>
          <w:color w:val="FF0000"/>
          <w:sz w:val="20"/>
          <w:szCs w:val="20"/>
        </w:rPr>
        <w:t xml:space="preserve">Finally, given the possible rebound in fracture risk with </w:t>
      </w:r>
      <w:proofErr w:type="spellStart"/>
      <w:r w:rsidRPr="004367E2">
        <w:rPr>
          <w:rFonts w:ascii="Segoe UI" w:eastAsia="Times New Roman" w:hAnsi="Segoe UI" w:cs="Segoe UI"/>
          <w:color w:val="FF0000"/>
          <w:sz w:val="20"/>
          <w:szCs w:val="20"/>
        </w:rPr>
        <w:t>denosumab</w:t>
      </w:r>
      <w:proofErr w:type="spellEnd"/>
      <w:r w:rsidRPr="004367E2">
        <w:rPr>
          <w:rFonts w:ascii="Segoe UI" w:eastAsia="Times New Roman" w:hAnsi="Segoe UI" w:cs="Segoe UI"/>
          <w:color w:val="FF0000"/>
          <w:sz w:val="20"/>
          <w:szCs w:val="20"/>
        </w:rPr>
        <w:t xml:space="preserve"> cessation, clinicians should check and </w:t>
      </w:r>
      <w:proofErr w:type="spellStart"/>
      <w:r w:rsidRPr="004367E2">
        <w:rPr>
          <w:rFonts w:ascii="Segoe UI" w:eastAsia="Times New Roman" w:hAnsi="Segoe UI" w:cs="Segoe UI"/>
          <w:color w:val="FF0000"/>
          <w:sz w:val="20"/>
          <w:szCs w:val="20"/>
        </w:rPr>
        <w:t>emphasise</w:t>
      </w:r>
      <w:proofErr w:type="spellEnd"/>
      <w:r w:rsidRPr="004367E2">
        <w:rPr>
          <w:rFonts w:ascii="Segoe UI" w:eastAsia="Times New Roman" w:hAnsi="Segoe UI" w:cs="Segoe UI"/>
          <w:color w:val="FF0000"/>
          <w:sz w:val="20"/>
          <w:szCs w:val="20"/>
        </w:rPr>
        <w:t xml:space="preserve"> the importance of patient compliance with treatment. A Swedish Prescribed Drug Register identified multiple reasons which may contribute to reduced persistence with treatment including healthcare organization, approaches to drug monitoring and population disease awareness [17]. Thus, as systematic healthcare approach is also required to avoid premature discontinuation of osteoporosis treatment, particularly </w:t>
      </w:r>
      <w:proofErr w:type="spellStart"/>
      <w:r w:rsidRPr="004367E2">
        <w:rPr>
          <w:rFonts w:ascii="Segoe UI" w:eastAsia="Times New Roman" w:hAnsi="Segoe UI" w:cs="Segoe UI"/>
          <w:color w:val="FF0000"/>
          <w:sz w:val="20"/>
          <w:szCs w:val="20"/>
        </w:rPr>
        <w:t>denosumab</w:t>
      </w:r>
      <w:proofErr w:type="spellEnd"/>
      <w:r w:rsidRPr="004367E2">
        <w:rPr>
          <w:rFonts w:ascii="Segoe UI" w:eastAsia="Times New Roman" w:hAnsi="Segoe UI" w:cs="Segoe UI"/>
          <w:color w:val="FF0000"/>
          <w:sz w:val="20"/>
          <w:szCs w:val="20"/>
        </w:rPr>
        <w:t>.</w:t>
      </w:r>
    </w:p>
    <w:p w14:paraId="1701BC4F" w14:textId="77777777" w:rsidR="004367E2" w:rsidRDefault="004367E2" w:rsidP="259FC043">
      <w:pPr>
        <w:spacing w:after="0" w:line="240" w:lineRule="auto"/>
        <w:rPr>
          <w:rFonts w:ascii="Segoe UI" w:hAnsi="Segoe UI" w:cs="Segoe UI"/>
          <w:color w:val="212121"/>
          <w:sz w:val="20"/>
          <w:szCs w:val="20"/>
          <w:shd w:val="clear" w:color="auto" w:fill="FFFFFF"/>
        </w:rPr>
      </w:pPr>
    </w:p>
    <w:p w14:paraId="40F11C13" w14:textId="6AA489B3" w:rsidR="00FE36AF" w:rsidRDefault="004367E2" w:rsidP="259FC043">
      <w:pPr>
        <w:spacing w:after="0" w:line="240" w:lineRule="auto"/>
        <w:rPr>
          <w:rFonts w:ascii="Segoe UI" w:hAnsi="Segoe UI" w:cs="Segoe UI"/>
          <w:color w:val="2F5496" w:themeColor="accent1" w:themeShade="BF"/>
          <w:sz w:val="20"/>
          <w:szCs w:val="20"/>
          <w:shd w:val="clear" w:color="auto" w:fill="FFFFFF"/>
        </w:rPr>
      </w:pPr>
      <w:r>
        <w:rPr>
          <w:rFonts w:ascii="Segoe UI" w:hAnsi="Segoe UI" w:cs="Segoe UI"/>
          <w:color w:val="2F5496" w:themeColor="accent1" w:themeShade="BF"/>
          <w:sz w:val="20"/>
          <w:szCs w:val="20"/>
          <w:shd w:val="clear" w:color="auto" w:fill="FFFFFF"/>
        </w:rPr>
        <w:t>The following reference has been added:</w:t>
      </w:r>
    </w:p>
    <w:p w14:paraId="45437A68" w14:textId="77777777" w:rsidR="004367E2" w:rsidRPr="004367E2" w:rsidRDefault="004367E2" w:rsidP="259FC043">
      <w:pPr>
        <w:spacing w:after="0" w:line="240" w:lineRule="auto"/>
        <w:rPr>
          <w:rFonts w:ascii="Segoe UI" w:hAnsi="Segoe UI" w:cs="Segoe UI"/>
          <w:color w:val="2F5496" w:themeColor="accent1" w:themeShade="BF"/>
          <w:sz w:val="20"/>
          <w:szCs w:val="20"/>
          <w:shd w:val="clear" w:color="auto" w:fill="FFFFFF"/>
        </w:rPr>
      </w:pPr>
    </w:p>
    <w:p w14:paraId="101FC4AF" w14:textId="1D06F5F6" w:rsidR="00503558" w:rsidRPr="004367E2" w:rsidRDefault="004367E2" w:rsidP="259FC043">
      <w:pPr>
        <w:spacing w:after="0" w:line="240" w:lineRule="auto"/>
        <w:rPr>
          <w:rFonts w:ascii="Segoe UI" w:hAnsi="Segoe UI" w:cs="Segoe UI"/>
          <w:color w:val="FF0000"/>
          <w:sz w:val="20"/>
          <w:szCs w:val="20"/>
        </w:rPr>
      </w:pPr>
      <w:proofErr w:type="spellStart"/>
      <w:r w:rsidRPr="004367E2">
        <w:rPr>
          <w:rFonts w:ascii="Segoe UI" w:hAnsi="Segoe UI" w:cs="Segoe UI"/>
          <w:color w:val="FF0000"/>
          <w:sz w:val="20"/>
          <w:szCs w:val="20"/>
          <w:shd w:val="clear" w:color="auto" w:fill="FFFFFF"/>
        </w:rPr>
        <w:t>Karlsson</w:t>
      </w:r>
      <w:proofErr w:type="spellEnd"/>
      <w:r w:rsidRPr="004367E2">
        <w:rPr>
          <w:rFonts w:ascii="Segoe UI" w:hAnsi="Segoe UI" w:cs="Segoe UI"/>
          <w:color w:val="FF0000"/>
          <w:sz w:val="20"/>
          <w:szCs w:val="20"/>
          <w:shd w:val="clear" w:color="auto" w:fill="FFFFFF"/>
        </w:rPr>
        <w:t xml:space="preserve"> L, </w:t>
      </w:r>
      <w:proofErr w:type="spellStart"/>
      <w:r w:rsidRPr="004367E2">
        <w:rPr>
          <w:rFonts w:ascii="Segoe UI" w:hAnsi="Segoe UI" w:cs="Segoe UI"/>
          <w:color w:val="FF0000"/>
          <w:sz w:val="20"/>
          <w:szCs w:val="20"/>
          <w:shd w:val="clear" w:color="auto" w:fill="FFFFFF"/>
        </w:rPr>
        <w:t>Lundkvist</w:t>
      </w:r>
      <w:proofErr w:type="spellEnd"/>
      <w:r w:rsidRPr="004367E2">
        <w:rPr>
          <w:rFonts w:ascii="Segoe UI" w:hAnsi="Segoe UI" w:cs="Segoe UI"/>
          <w:color w:val="FF0000"/>
          <w:sz w:val="20"/>
          <w:szCs w:val="20"/>
          <w:shd w:val="clear" w:color="auto" w:fill="FFFFFF"/>
        </w:rPr>
        <w:t xml:space="preserve"> J, </w:t>
      </w:r>
      <w:proofErr w:type="spellStart"/>
      <w:r w:rsidRPr="004367E2">
        <w:rPr>
          <w:rFonts w:ascii="Segoe UI" w:hAnsi="Segoe UI" w:cs="Segoe UI"/>
          <w:color w:val="FF0000"/>
          <w:sz w:val="20"/>
          <w:szCs w:val="20"/>
          <w:shd w:val="clear" w:color="auto" w:fill="FFFFFF"/>
        </w:rPr>
        <w:t>Psachoulia</w:t>
      </w:r>
      <w:proofErr w:type="spellEnd"/>
      <w:r w:rsidRPr="004367E2">
        <w:rPr>
          <w:rFonts w:ascii="Segoe UI" w:hAnsi="Segoe UI" w:cs="Segoe UI"/>
          <w:color w:val="FF0000"/>
          <w:sz w:val="20"/>
          <w:szCs w:val="20"/>
          <w:shd w:val="clear" w:color="auto" w:fill="FFFFFF"/>
        </w:rPr>
        <w:t xml:space="preserve"> E, </w:t>
      </w:r>
      <w:proofErr w:type="spellStart"/>
      <w:r w:rsidRPr="004367E2">
        <w:rPr>
          <w:rFonts w:ascii="Segoe UI" w:hAnsi="Segoe UI" w:cs="Segoe UI"/>
          <w:color w:val="FF0000"/>
          <w:sz w:val="20"/>
          <w:szCs w:val="20"/>
          <w:shd w:val="clear" w:color="auto" w:fill="FFFFFF"/>
        </w:rPr>
        <w:t>Intorca</w:t>
      </w:r>
      <w:proofErr w:type="spellEnd"/>
      <w:r w:rsidRPr="004367E2">
        <w:rPr>
          <w:rFonts w:ascii="Segoe UI" w:hAnsi="Segoe UI" w:cs="Segoe UI"/>
          <w:color w:val="FF0000"/>
          <w:sz w:val="20"/>
          <w:szCs w:val="20"/>
          <w:shd w:val="clear" w:color="auto" w:fill="FFFFFF"/>
        </w:rPr>
        <w:t xml:space="preserve"> M, Strom O. Persistence with </w:t>
      </w:r>
      <w:proofErr w:type="spellStart"/>
      <w:r w:rsidRPr="004367E2">
        <w:rPr>
          <w:rFonts w:ascii="Segoe UI" w:hAnsi="Segoe UI" w:cs="Segoe UI"/>
          <w:color w:val="FF0000"/>
          <w:sz w:val="20"/>
          <w:szCs w:val="20"/>
          <w:shd w:val="clear" w:color="auto" w:fill="FFFFFF"/>
        </w:rPr>
        <w:t>denosumab</w:t>
      </w:r>
      <w:proofErr w:type="spellEnd"/>
      <w:r w:rsidRPr="004367E2">
        <w:rPr>
          <w:rFonts w:ascii="Segoe UI" w:hAnsi="Segoe UI" w:cs="Segoe UI"/>
          <w:color w:val="FF0000"/>
          <w:sz w:val="20"/>
          <w:szCs w:val="20"/>
          <w:shd w:val="clear" w:color="auto" w:fill="FFFFFF"/>
        </w:rPr>
        <w:t xml:space="preserve"> and persistence with oral bisphosphonates for the treatment of postmenopausal osteoporosis: a retrospective, observational study, and a meta-analysis. </w:t>
      </w:r>
      <w:proofErr w:type="spellStart"/>
      <w:r w:rsidRPr="004367E2">
        <w:rPr>
          <w:rFonts w:ascii="Segoe UI" w:hAnsi="Segoe UI" w:cs="Segoe UI"/>
          <w:color w:val="FF0000"/>
          <w:sz w:val="20"/>
          <w:szCs w:val="20"/>
          <w:shd w:val="clear" w:color="auto" w:fill="FFFFFF"/>
        </w:rPr>
        <w:t>Osteoporos</w:t>
      </w:r>
      <w:proofErr w:type="spellEnd"/>
      <w:r w:rsidRPr="004367E2">
        <w:rPr>
          <w:rFonts w:ascii="Segoe UI" w:hAnsi="Segoe UI" w:cs="Segoe UI"/>
          <w:color w:val="FF0000"/>
          <w:sz w:val="20"/>
          <w:szCs w:val="20"/>
          <w:shd w:val="clear" w:color="auto" w:fill="FFFFFF"/>
        </w:rPr>
        <w:t xml:space="preserve"> </w:t>
      </w:r>
      <w:proofErr w:type="spellStart"/>
      <w:r w:rsidRPr="004367E2">
        <w:rPr>
          <w:rFonts w:ascii="Segoe UI" w:hAnsi="Segoe UI" w:cs="Segoe UI"/>
          <w:color w:val="FF0000"/>
          <w:sz w:val="20"/>
          <w:szCs w:val="20"/>
          <w:shd w:val="clear" w:color="auto" w:fill="FFFFFF"/>
        </w:rPr>
        <w:t>Int</w:t>
      </w:r>
      <w:proofErr w:type="spellEnd"/>
      <w:r w:rsidRPr="004367E2">
        <w:rPr>
          <w:rFonts w:ascii="Segoe UI" w:hAnsi="Segoe UI" w:cs="Segoe UI"/>
          <w:color w:val="FF0000"/>
          <w:sz w:val="20"/>
          <w:szCs w:val="20"/>
          <w:shd w:val="clear" w:color="auto" w:fill="FFFFFF"/>
        </w:rPr>
        <w:t xml:space="preserve"> </w:t>
      </w:r>
      <w:proofErr w:type="gramStart"/>
      <w:r w:rsidRPr="004367E2">
        <w:rPr>
          <w:rFonts w:ascii="Segoe UI" w:hAnsi="Segoe UI" w:cs="Segoe UI"/>
          <w:color w:val="FF0000"/>
          <w:sz w:val="20"/>
          <w:szCs w:val="20"/>
          <w:shd w:val="clear" w:color="auto" w:fill="FFFFFF"/>
        </w:rPr>
        <w:t>2015;26:2401</w:t>
      </w:r>
      <w:proofErr w:type="gramEnd"/>
      <w:r w:rsidRPr="004367E2">
        <w:rPr>
          <w:rFonts w:ascii="Segoe UI" w:hAnsi="Segoe UI" w:cs="Segoe UI"/>
          <w:color w:val="FF0000"/>
          <w:sz w:val="20"/>
          <w:szCs w:val="20"/>
          <w:shd w:val="clear" w:color="auto" w:fill="FFFFFF"/>
        </w:rPr>
        <w:t>-2411.</w:t>
      </w:r>
    </w:p>
    <w:p w14:paraId="1B139E38" w14:textId="017225F4" w:rsidR="00503558" w:rsidRDefault="00503558" w:rsidP="259FC043">
      <w:pPr>
        <w:spacing w:after="0" w:line="240" w:lineRule="auto"/>
        <w:rPr>
          <w:rFonts w:ascii="Segoe UI" w:hAnsi="Segoe UI" w:cs="Segoe UI"/>
          <w:color w:val="212121"/>
          <w:sz w:val="20"/>
          <w:szCs w:val="20"/>
        </w:rPr>
      </w:pPr>
    </w:p>
    <w:p w14:paraId="75425E2A" w14:textId="600590CF" w:rsidR="0050435C" w:rsidRDefault="0050435C" w:rsidP="259FC043">
      <w:pPr>
        <w:spacing w:after="0" w:line="240" w:lineRule="auto"/>
        <w:rPr>
          <w:rFonts w:ascii="Times New Roman" w:eastAsia="Times New Roman" w:hAnsi="Times New Roman" w:cs="Times New Roman"/>
          <w:b/>
          <w:bCs/>
          <w:sz w:val="24"/>
          <w:szCs w:val="24"/>
        </w:rPr>
      </w:pPr>
      <w:r>
        <w:rPr>
          <w:rFonts w:ascii="Segoe UI" w:hAnsi="Segoe UI" w:cs="Segoe UI"/>
          <w:color w:val="212121"/>
          <w:sz w:val="20"/>
          <w:szCs w:val="20"/>
        </w:rPr>
        <w:br/>
      </w:r>
      <w:r>
        <w:rPr>
          <w:rFonts w:ascii="Segoe UI" w:hAnsi="Segoe UI" w:cs="Segoe UI"/>
          <w:color w:val="212121"/>
          <w:sz w:val="20"/>
          <w:szCs w:val="20"/>
          <w:shd w:val="clear" w:color="auto" w:fill="FFFFFF"/>
        </w:rPr>
        <w:t xml:space="preserve">• Are there any trials that compare the efficacy of bisphosphonates versus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after discontinuation of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treatment? The trials referred to by the author only compare </w:t>
      </w:r>
      <w:proofErr w:type="spellStart"/>
      <w:r>
        <w:rPr>
          <w:rFonts w:ascii="Segoe UI" w:hAnsi="Segoe UI" w:cs="Segoe UI"/>
          <w:color w:val="212121"/>
          <w:sz w:val="20"/>
          <w:szCs w:val="20"/>
          <w:shd w:val="clear" w:color="auto" w:fill="FFFFFF"/>
        </w:rPr>
        <w:t>denosumab</w:t>
      </w:r>
      <w:proofErr w:type="spellEnd"/>
      <w:r>
        <w:rPr>
          <w:rFonts w:ascii="Segoe UI" w:hAnsi="Segoe UI" w:cs="Segoe UI"/>
          <w:color w:val="212121"/>
          <w:sz w:val="20"/>
          <w:szCs w:val="20"/>
          <w:shd w:val="clear" w:color="auto" w:fill="FFFFFF"/>
        </w:rPr>
        <w:t xml:space="preserve"> to placebo.</w:t>
      </w:r>
    </w:p>
    <w:p w14:paraId="7339B3F0" w14:textId="5BAA6C8A" w:rsidR="0050435C" w:rsidRDefault="0050435C" w:rsidP="259FC043">
      <w:pPr>
        <w:spacing w:after="0" w:line="240" w:lineRule="auto"/>
        <w:rPr>
          <w:rFonts w:ascii="Times New Roman" w:eastAsia="Times New Roman" w:hAnsi="Times New Roman" w:cs="Times New Roman"/>
          <w:b/>
          <w:bCs/>
          <w:sz w:val="24"/>
          <w:szCs w:val="24"/>
        </w:rPr>
      </w:pPr>
    </w:p>
    <w:p w14:paraId="33B1A45C" w14:textId="67492885" w:rsidR="00090D8E" w:rsidRDefault="00090D8E" w:rsidP="00090D8E">
      <w:pPr>
        <w:spacing w:after="0" w:line="240" w:lineRule="auto"/>
        <w:rPr>
          <w:rFonts w:ascii="Segoe UI" w:eastAsia="Times New Roman" w:hAnsi="Segoe UI" w:cs="Segoe UI"/>
          <w:color w:val="2F5496" w:themeColor="accent1" w:themeShade="BF"/>
          <w:sz w:val="20"/>
          <w:szCs w:val="20"/>
        </w:rPr>
      </w:pPr>
      <w:r>
        <w:rPr>
          <w:rFonts w:ascii="Segoe UI" w:eastAsia="Times New Roman" w:hAnsi="Segoe UI" w:cs="Segoe UI"/>
          <w:bCs/>
          <w:color w:val="2F5496" w:themeColor="accent1" w:themeShade="BF"/>
          <w:sz w:val="20"/>
          <w:szCs w:val="20"/>
        </w:rPr>
        <w:t>Unfortunately, the advice to switch to another anti-</w:t>
      </w:r>
      <w:proofErr w:type="spellStart"/>
      <w:r>
        <w:rPr>
          <w:rFonts w:ascii="Segoe UI" w:eastAsia="Times New Roman" w:hAnsi="Segoe UI" w:cs="Segoe UI"/>
          <w:bCs/>
          <w:color w:val="2F5496" w:themeColor="accent1" w:themeShade="BF"/>
          <w:sz w:val="20"/>
          <w:szCs w:val="20"/>
        </w:rPr>
        <w:t>resorptive</w:t>
      </w:r>
      <w:proofErr w:type="spellEnd"/>
      <w:r>
        <w:rPr>
          <w:rFonts w:ascii="Segoe UI" w:eastAsia="Times New Roman" w:hAnsi="Segoe UI" w:cs="Segoe UI"/>
          <w:bCs/>
          <w:color w:val="2F5496" w:themeColor="accent1" w:themeShade="BF"/>
          <w:sz w:val="20"/>
          <w:szCs w:val="20"/>
        </w:rPr>
        <w:t xml:space="preserve"> agent after discontinuing </w:t>
      </w:r>
      <w:proofErr w:type="spellStart"/>
      <w:r>
        <w:rPr>
          <w:rFonts w:ascii="Segoe UI" w:eastAsia="Times New Roman" w:hAnsi="Segoe UI" w:cs="Segoe UI"/>
          <w:bCs/>
          <w:color w:val="2F5496" w:themeColor="accent1" w:themeShade="BF"/>
          <w:sz w:val="20"/>
          <w:szCs w:val="20"/>
        </w:rPr>
        <w:t>denosumab</w:t>
      </w:r>
      <w:proofErr w:type="spellEnd"/>
      <w:r>
        <w:rPr>
          <w:rFonts w:ascii="Segoe UI" w:eastAsia="Times New Roman" w:hAnsi="Segoe UI" w:cs="Segoe UI"/>
          <w:bCs/>
          <w:color w:val="2F5496" w:themeColor="accent1" w:themeShade="BF"/>
          <w:sz w:val="20"/>
          <w:szCs w:val="20"/>
        </w:rPr>
        <w:t xml:space="preserve"> treatment is based on expert recommendations. This is stated in the second last paragraph ‘</w:t>
      </w:r>
      <w:r w:rsidRPr="00090D8E">
        <w:rPr>
          <w:rFonts w:ascii="Segoe UI" w:eastAsia="Times New Roman" w:hAnsi="Segoe UI" w:cs="Segoe UI"/>
          <w:color w:val="2F5496" w:themeColor="accent1" w:themeShade="BF"/>
          <w:sz w:val="20"/>
          <w:szCs w:val="20"/>
        </w:rPr>
        <w:t xml:space="preserve">However, until further evidence is available, it is recommended to assess the risk and benefit of </w:t>
      </w:r>
      <w:proofErr w:type="spellStart"/>
      <w:r w:rsidRPr="00090D8E">
        <w:rPr>
          <w:rFonts w:ascii="Segoe UI" w:eastAsia="Times New Roman" w:hAnsi="Segoe UI" w:cs="Segoe UI"/>
          <w:color w:val="2F5496" w:themeColor="accent1" w:themeShade="BF"/>
          <w:sz w:val="20"/>
          <w:szCs w:val="20"/>
        </w:rPr>
        <w:t>denosumab</w:t>
      </w:r>
      <w:proofErr w:type="spellEnd"/>
      <w:r w:rsidRPr="00090D8E">
        <w:rPr>
          <w:rFonts w:ascii="Segoe UI" w:eastAsia="Times New Roman" w:hAnsi="Segoe UI" w:cs="Segoe UI"/>
          <w:color w:val="2F5496" w:themeColor="accent1" w:themeShade="BF"/>
          <w:sz w:val="20"/>
          <w:szCs w:val="20"/>
        </w:rPr>
        <w:t xml:space="preserve"> treatment after five years, and to consider bisphosphonates if </w:t>
      </w:r>
      <w:proofErr w:type="spellStart"/>
      <w:r w:rsidRPr="00090D8E">
        <w:rPr>
          <w:rFonts w:ascii="Segoe UI" w:eastAsia="Times New Roman" w:hAnsi="Segoe UI" w:cs="Segoe UI"/>
          <w:color w:val="2F5496" w:themeColor="accent1" w:themeShade="BF"/>
          <w:sz w:val="20"/>
          <w:szCs w:val="20"/>
        </w:rPr>
        <w:t>denosumab</w:t>
      </w:r>
      <w:proofErr w:type="spellEnd"/>
      <w:r w:rsidRPr="00090D8E">
        <w:rPr>
          <w:rFonts w:ascii="Segoe UI" w:eastAsia="Times New Roman" w:hAnsi="Segoe UI" w:cs="Segoe UI"/>
          <w:color w:val="2F5496" w:themeColor="accent1" w:themeShade="BF"/>
          <w:sz w:val="20"/>
          <w:szCs w:val="20"/>
        </w:rPr>
        <w:t xml:space="preserve"> was discontinued to attenuate rebound increases in bone turnover [16].</w:t>
      </w:r>
      <w:r w:rsidRPr="00090D8E">
        <w:rPr>
          <w:rFonts w:ascii="Segoe UI" w:eastAsia="Times New Roman" w:hAnsi="Segoe UI" w:cs="Segoe UI"/>
          <w:color w:val="2F5496" w:themeColor="accent1" w:themeShade="BF"/>
          <w:sz w:val="20"/>
          <w:szCs w:val="20"/>
        </w:rPr>
        <w:t>’</w:t>
      </w:r>
    </w:p>
    <w:p w14:paraId="7CA46129" w14:textId="493062D9" w:rsidR="00090D8E" w:rsidRDefault="00090D8E" w:rsidP="00090D8E">
      <w:pPr>
        <w:spacing w:after="0" w:line="240" w:lineRule="auto"/>
        <w:rPr>
          <w:rFonts w:ascii="Segoe UI" w:eastAsia="Times New Roman" w:hAnsi="Segoe UI" w:cs="Segoe UI"/>
          <w:color w:val="2F5496" w:themeColor="accent1" w:themeShade="BF"/>
          <w:sz w:val="20"/>
          <w:szCs w:val="20"/>
        </w:rPr>
      </w:pPr>
    </w:p>
    <w:p w14:paraId="604CE989" w14:textId="0B3A8058" w:rsidR="00090D8E" w:rsidRDefault="00090D8E" w:rsidP="00090D8E">
      <w:pPr>
        <w:spacing w:after="0" w:line="240" w:lineRule="auto"/>
        <w:rPr>
          <w:rFonts w:ascii="Segoe UI" w:eastAsia="Times New Roman" w:hAnsi="Segoe UI" w:cs="Segoe UI"/>
          <w:color w:val="2F5496" w:themeColor="accent1" w:themeShade="BF"/>
          <w:sz w:val="20"/>
          <w:szCs w:val="20"/>
        </w:rPr>
      </w:pPr>
      <w:r>
        <w:rPr>
          <w:rFonts w:ascii="Segoe UI" w:eastAsia="Times New Roman" w:hAnsi="Segoe UI" w:cs="Segoe UI"/>
          <w:color w:val="2F5496" w:themeColor="accent1" w:themeShade="BF"/>
          <w:sz w:val="20"/>
          <w:szCs w:val="20"/>
        </w:rPr>
        <w:t>We have added the following text to explicitly clarify this reviewer’s valid question:</w:t>
      </w:r>
    </w:p>
    <w:p w14:paraId="5E5A7547" w14:textId="12A537A9" w:rsidR="00090D8E" w:rsidRPr="00090D8E" w:rsidRDefault="00090D8E" w:rsidP="00090D8E">
      <w:pPr>
        <w:spacing w:after="0" w:line="240" w:lineRule="auto"/>
        <w:rPr>
          <w:rFonts w:ascii="Segoe UI" w:eastAsia="Times New Roman" w:hAnsi="Segoe UI" w:cs="Segoe UI"/>
          <w:bCs/>
          <w:color w:val="FF0000"/>
          <w:sz w:val="20"/>
          <w:szCs w:val="20"/>
        </w:rPr>
      </w:pPr>
      <w:r>
        <w:rPr>
          <w:rFonts w:ascii="Segoe UI" w:eastAsia="Times New Roman" w:hAnsi="Segoe UI" w:cs="Segoe UI"/>
          <w:color w:val="FF0000"/>
          <w:sz w:val="20"/>
          <w:szCs w:val="20"/>
        </w:rPr>
        <w:t xml:space="preserve">‘Further studies are required to explore the optimal duration of prolonging </w:t>
      </w:r>
      <w:proofErr w:type="spellStart"/>
      <w:r>
        <w:rPr>
          <w:rFonts w:ascii="Segoe UI" w:eastAsia="Times New Roman" w:hAnsi="Segoe UI" w:cs="Segoe UI"/>
          <w:color w:val="FF0000"/>
          <w:sz w:val="20"/>
          <w:szCs w:val="20"/>
        </w:rPr>
        <w:t>denosumab</w:t>
      </w:r>
      <w:proofErr w:type="spellEnd"/>
      <w:r>
        <w:rPr>
          <w:rFonts w:ascii="Segoe UI" w:eastAsia="Times New Roman" w:hAnsi="Segoe UI" w:cs="Segoe UI"/>
          <w:color w:val="FF0000"/>
          <w:sz w:val="20"/>
          <w:szCs w:val="20"/>
        </w:rPr>
        <w:t xml:space="preserve"> treatment and which anti-</w:t>
      </w:r>
      <w:proofErr w:type="spellStart"/>
      <w:r>
        <w:rPr>
          <w:rFonts w:ascii="Segoe UI" w:eastAsia="Times New Roman" w:hAnsi="Segoe UI" w:cs="Segoe UI"/>
          <w:color w:val="FF0000"/>
          <w:sz w:val="20"/>
          <w:szCs w:val="20"/>
        </w:rPr>
        <w:t>resorptive</w:t>
      </w:r>
      <w:proofErr w:type="spellEnd"/>
      <w:r>
        <w:rPr>
          <w:rFonts w:ascii="Segoe UI" w:eastAsia="Times New Roman" w:hAnsi="Segoe UI" w:cs="Segoe UI"/>
          <w:color w:val="FF0000"/>
          <w:sz w:val="20"/>
          <w:szCs w:val="20"/>
        </w:rPr>
        <w:t xml:space="preserve"> agent is preferred after discontinuation of </w:t>
      </w:r>
      <w:proofErr w:type="spellStart"/>
      <w:r>
        <w:rPr>
          <w:rFonts w:ascii="Segoe UI" w:eastAsia="Times New Roman" w:hAnsi="Segoe UI" w:cs="Segoe UI"/>
          <w:color w:val="FF0000"/>
          <w:sz w:val="20"/>
          <w:szCs w:val="20"/>
        </w:rPr>
        <w:t>denosumab</w:t>
      </w:r>
      <w:proofErr w:type="spellEnd"/>
      <w:r>
        <w:rPr>
          <w:rFonts w:ascii="Segoe UI" w:eastAsia="Times New Roman" w:hAnsi="Segoe UI" w:cs="Segoe UI"/>
          <w:color w:val="FF0000"/>
          <w:sz w:val="20"/>
          <w:szCs w:val="20"/>
        </w:rPr>
        <w:t>.’</w:t>
      </w:r>
    </w:p>
    <w:p w14:paraId="6F252183" w14:textId="77777777" w:rsidR="0050435C" w:rsidRDefault="0050435C" w:rsidP="259FC043">
      <w:pPr>
        <w:spacing w:after="0" w:line="240" w:lineRule="auto"/>
        <w:rPr>
          <w:rFonts w:ascii="Times New Roman" w:eastAsia="Times New Roman" w:hAnsi="Times New Roman" w:cs="Times New Roman"/>
          <w:b/>
          <w:bCs/>
          <w:sz w:val="24"/>
          <w:szCs w:val="24"/>
        </w:rPr>
      </w:pPr>
    </w:p>
    <w:p w14:paraId="19952D53" w14:textId="77777777" w:rsidR="0050435C" w:rsidRDefault="0050435C" w:rsidP="259FC043">
      <w:pPr>
        <w:spacing w:after="0" w:line="240" w:lineRule="auto"/>
        <w:rPr>
          <w:rFonts w:ascii="Times New Roman" w:eastAsia="Times New Roman" w:hAnsi="Times New Roman" w:cs="Times New Roman"/>
          <w:b/>
          <w:bCs/>
          <w:sz w:val="24"/>
          <w:szCs w:val="24"/>
        </w:rPr>
      </w:pPr>
    </w:p>
    <w:p w14:paraId="7BC067EA" w14:textId="77777777" w:rsidR="0050435C" w:rsidRDefault="0050435C" w:rsidP="259FC043">
      <w:pPr>
        <w:spacing w:after="0" w:line="240" w:lineRule="auto"/>
        <w:rPr>
          <w:rFonts w:ascii="Times New Roman" w:eastAsia="Times New Roman" w:hAnsi="Times New Roman" w:cs="Times New Roman"/>
          <w:b/>
          <w:bCs/>
          <w:sz w:val="24"/>
          <w:szCs w:val="24"/>
        </w:rPr>
      </w:pPr>
    </w:p>
    <w:p w14:paraId="2A5E55B2" w14:textId="77777777" w:rsidR="0050435C" w:rsidRDefault="0050435C" w:rsidP="259FC043">
      <w:pPr>
        <w:spacing w:after="0" w:line="240" w:lineRule="auto"/>
        <w:rPr>
          <w:rFonts w:ascii="Times New Roman" w:eastAsia="Times New Roman" w:hAnsi="Times New Roman" w:cs="Times New Roman"/>
          <w:b/>
          <w:bCs/>
          <w:sz w:val="24"/>
          <w:szCs w:val="24"/>
        </w:rPr>
      </w:pPr>
    </w:p>
    <w:p w14:paraId="2A56EFDB" w14:textId="77777777" w:rsidR="0050435C" w:rsidRDefault="0050435C" w:rsidP="259FC043">
      <w:pPr>
        <w:spacing w:after="0" w:line="240" w:lineRule="auto"/>
        <w:rPr>
          <w:rFonts w:ascii="Times New Roman" w:eastAsia="Times New Roman" w:hAnsi="Times New Roman" w:cs="Times New Roman"/>
          <w:b/>
          <w:bCs/>
          <w:sz w:val="24"/>
          <w:szCs w:val="24"/>
        </w:rPr>
      </w:pPr>
    </w:p>
    <w:p w14:paraId="7D712964" w14:textId="77777777" w:rsidR="0050435C" w:rsidRDefault="0050435C" w:rsidP="259FC043">
      <w:pPr>
        <w:spacing w:after="0" w:line="240" w:lineRule="auto"/>
        <w:rPr>
          <w:rFonts w:ascii="Times New Roman" w:eastAsia="Times New Roman" w:hAnsi="Times New Roman" w:cs="Times New Roman"/>
          <w:b/>
          <w:bCs/>
          <w:sz w:val="24"/>
          <w:szCs w:val="24"/>
        </w:rPr>
      </w:pPr>
    </w:p>
    <w:p w14:paraId="38EF3177" w14:textId="77777777" w:rsidR="0050435C" w:rsidRDefault="0050435C" w:rsidP="259FC043">
      <w:pPr>
        <w:spacing w:after="0" w:line="240" w:lineRule="auto"/>
        <w:rPr>
          <w:rFonts w:ascii="Times New Roman" w:eastAsia="Times New Roman" w:hAnsi="Times New Roman" w:cs="Times New Roman"/>
          <w:b/>
          <w:bCs/>
          <w:sz w:val="24"/>
          <w:szCs w:val="24"/>
        </w:rPr>
      </w:pPr>
    </w:p>
    <w:p w14:paraId="5CF012CC" w14:textId="77777777" w:rsidR="0050435C" w:rsidRDefault="0050435C" w:rsidP="259FC043">
      <w:pPr>
        <w:spacing w:after="0" w:line="240" w:lineRule="auto"/>
        <w:rPr>
          <w:rFonts w:ascii="Times New Roman" w:eastAsia="Times New Roman" w:hAnsi="Times New Roman" w:cs="Times New Roman"/>
          <w:b/>
          <w:bCs/>
          <w:sz w:val="24"/>
          <w:szCs w:val="24"/>
        </w:rPr>
      </w:pPr>
    </w:p>
    <w:p w14:paraId="106A73E6" w14:textId="77777777" w:rsidR="0050435C" w:rsidRDefault="0050435C" w:rsidP="259FC043">
      <w:pPr>
        <w:spacing w:after="0" w:line="240" w:lineRule="auto"/>
        <w:rPr>
          <w:rFonts w:ascii="Times New Roman" w:eastAsia="Times New Roman" w:hAnsi="Times New Roman" w:cs="Times New Roman"/>
          <w:b/>
          <w:bCs/>
          <w:sz w:val="24"/>
          <w:szCs w:val="24"/>
        </w:rPr>
      </w:pPr>
    </w:p>
    <w:p w14:paraId="45BFDB0B" w14:textId="77777777" w:rsidR="0050435C" w:rsidRDefault="0050435C" w:rsidP="259FC043">
      <w:pPr>
        <w:spacing w:after="0" w:line="240" w:lineRule="auto"/>
        <w:rPr>
          <w:rFonts w:ascii="Times New Roman" w:eastAsia="Times New Roman" w:hAnsi="Times New Roman" w:cs="Times New Roman"/>
          <w:b/>
          <w:bCs/>
          <w:sz w:val="24"/>
          <w:szCs w:val="24"/>
        </w:rPr>
      </w:pPr>
    </w:p>
    <w:p w14:paraId="613E74B3" w14:textId="77777777" w:rsidR="0050435C" w:rsidRDefault="0050435C" w:rsidP="259FC043">
      <w:pPr>
        <w:spacing w:after="0" w:line="240" w:lineRule="auto"/>
        <w:rPr>
          <w:rFonts w:ascii="Times New Roman" w:eastAsia="Times New Roman" w:hAnsi="Times New Roman" w:cs="Times New Roman"/>
          <w:b/>
          <w:bCs/>
          <w:sz w:val="24"/>
          <w:szCs w:val="24"/>
        </w:rPr>
      </w:pPr>
    </w:p>
    <w:p w14:paraId="61927ADD" w14:textId="77777777" w:rsidR="0050435C" w:rsidRDefault="0050435C" w:rsidP="259FC043">
      <w:pPr>
        <w:spacing w:after="0" w:line="240" w:lineRule="auto"/>
        <w:rPr>
          <w:rFonts w:ascii="Times New Roman" w:eastAsia="Times New Roman" w:hAnsi="Times New Roman" w:cs="Times New Roman"/>
          <w:b/>
          <w:bCs/>
          <w:sz w:val="24"/>
          <w:szCs w:val="24"/>
        </w:rPr>
      </w:pPr>
    </w:p>
    <w:p w14:paraId="18CD0411" w14:textId="77777777" w:rsidR="0050435C" w:rsidRDefault="0050435C" w:rsidP="259FC043">
      <w:pPr>
        <w:spacing w:after="0" w:line="240" w:lineRule="auto"/>
        <w:rPr>
          <w:rFonts w:ascii="Times New Roman" w:eastAsia="Times New Roman" w:hAnsi="Times New Roman" w:cs="Times New Roman"/>
          <w:b/>
          <w:bCs/>
          <w:sz w:val="24"/>
          <w:szCs w:val="24"/>
        </w:rPr>
      </w:pPr>
    </w:p>
    <w:p w14:paraId="087F2B19" w14:textId="77777777" w:rsidR="0050435C" w:rsidRDefault="0050435C" w:rsidP="259FC043">
      <w:pPr>
        <w:spacing w:after="0" w:line="240" w:lineRule="auto"/>
        <w:rPr>
          <w:rFonts w:ascii="Times New Roman" w:eastAsia="Times New Roman" w:hAnsi="Times New Roman" w:cs="Times New Roman"/>
          <w:b/>
          <w:bCs/>
          <w:sz w:val="24"/>
          <w:szCs w:val="24"/>
        </w:rPr>
      </w:pPr>
    </w:p>
    <w:p w14:paraId="505A63BC" w14:textId="77777777" w:rsidR="0050435C" w:rsidRDefault="0050435C" w:rsidP="259FC043">
      <w:pPr>
        <w:spacing w:after="0" w:line="240" w:lineRule="auto"/>
        <w:rPr>
          <w:rFonts w:ascii="Times New Roman" w:eastAsia="Times New Roman" w:hAnsi="Times New Roman" w:cs="Times New Roman"/>
          <w:b/>
          <w:bCs/>
          <w:sz w:val="24"/>
          <w:szCs w:val="24"/>
        </w:rPr>
      </w:pPr>
    </w:p>
    <w:p w14:paraId="4FE04662" w14:textId="4C32B519" w:rsidR="006E5884" w:rsidRDefault="259FC043" w:rsidP="259FC043">
      <w:pPr>
        <w:spacing w:after="0" w:line="240" w:lineRule="auto"/>
        <w:rPr>
          <w:rFonts w:ascii="Times New Roman" w:eastAsia="Times New Roman" w:hAnsi="Times New Roman" w:cs="Times New Roman"/>
          <w:b/>
          <w:bCs/>
          <w:sz w:val="24"/>
          <w:szCs w:val="24"/>
        </w:rPr>
      </w:pPr>
      <w:proofErr w:type="spellStart"/>
      <w:r w:rsidRPr="259FC043">
        <w:rPr>
          <w:rFonts w:ascii="Times New Roman" w:eastAsia="Times New Roman" w:hAnsi="Times New Roman" w:cs="Times New Roman"/>
          <w:b/>
          <w:bCs/>
          <w:sz w:val="24"/>
          <w:szCs w:val="24"/>
        </w:rPr>
        <w:t>Denosumab</w:t>
      </w:r>
      <w:proofErr w:type="spellEnd"/>
      <w:r w:rsidRPr="259FC043">
        <w:rPr>
          <w:rFonts w:ascii="Times New Roman" w:eastAsia="Times New Roman" w:hAnsi="Times New Roman" w:cs="Times New Roman"/>
          <w:b/>
          <w:bCs/>
          <w:sz w:val="24"/>
          <w:szCs w:val="24"/>
        </w:rPr>
        <w:t xml:space="preserve"> for the treatment of osteoporosis </w:t>
      </w:r>
    </w:p>
    <w:p w14:paraId="3C358259" w14:textId="207DE713" w:rsidR="006E5884" w:rsidRDefault="006E5884" w:rsidP="259FC043">
      <w:pPr>
        <w:spacing w:after="0" w:line="240" w:lineRule="auto"/>
        <w:rPr>
          <w:rFonts w:ascii="Times New Roman" w:eastAsia="Times New Roman" w:hAnsi="Times New Roman" w:cs="Times New Roman"/>
          <w:b/>
          <w:bCs/>
          <w:sz w:val="24"/>
          <w:szCs w:val="24"/>
        </w:rPr>
      </w:pPr>
    </w:p>
    <w:p w14:paraId="52FAA0D7" w14:textId="5B20AF89" w:rsidR="006E5884" w:rsidRDefault="259FC043" w:rsidP="259FC043">
      <w:pPr>
        <w:spacing w:after="0" w:line="240" w:lineRule="auto"/>
        <w:rPr>
          <w:rFonts w:ascii="Times New Roman" w:eastAsia="Times New Roman" w:hAnsi="Times New Roman" w:cs="Times New Roman"/>
          <w:b/>
          <w:bCs/>
          <w:sz w:val="24"/>
          <w:szCs w:val="24"/>
        </w:rPr>
      </w:pPr>
      <w:r w:rsidRPr="259FC043">
        <w:rPr>
          <w:rFonts w:ascii="Times New Roman" w:eastAsia="Times New Roman" w:hAnsi="Times New Roman" w:cs="Times New Roman"/>
          <w:b/>
          <w:bCs/>
          <w:sz w:val="24"/>
          <w:szCs w:val="24"/>
        </w:rPr>
        <w:t xml:space="preserve">(Therapeutic Brief) </w:t>
      </w:r>
    </w:p>
    <w:p w14:paraId="47B8430F" w14:textId="61C90253" w:rsidR="006E5884" w:rsidRDefault="006E5884" w:rsidP="259FC043">
      <w:pPr>
        <w:spacing w:after="0" w:line="240" w:lineRule="auto"/>
        <w:rPr>
          <w:rFonts w:ascii="Times New Roman" w:eastAsia="Times New Roman" w:hAnsi="Times New Roman" w:cs="Times New Roman"/>
          <w:sz w:val="24"/>
          <w:szCs w:val="24"/>
        </w:rPr>
      </w:pPr>
    </w:p>
    <w:p w14:paraId="16B7EC9F" w14:textId="71F69EE5" w:rsidR="006E5884" w:rsidRDefault="006E5884" w:rsidP="259FC043">
      <w:pPr>
        <w:spacing w:after="0" w:line="240" w:lineRule="auto"/>
        <w:rPr>
          <w:rFonts w:ascii="Times New Roman" w:eastAsia="Times New Roman" w:hAnsi="Times New Roman" w:cs="Times New Roman"/>
          <w:sz w:val="24"/>
          <w:szCs w:val="24"/>
        </w:rPr>
      </w:pPr>
    </w:p>
    <w:p w14:paraId="4A360988" w14:textId="119F916A" w:rsidR="006E5884" w:rsidRDefault="259FC043" w:rsidP="259FC043">
      <w:pPr>
        <w:spacing w:after="0" w:line="240" w:lineRule="auto"/>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is a fully human monoclonal antibody used for osteoporosis treatment. It has a high affinity and specificity for the receptor activator of nuclear factor-</w:t>
      </w:r>
      <w:proofErr w:type="spellStart"/>
      <w:r w:rsidRPr="259FC043">
        <w:rPr>
          <w:rFonts w:ascii="Times New Roman" w:eastAsia="Times New Roman" w:hAnsi="Times New Roman" w:cs="Times New Roman"/>
          <w:sz w:val="24"/>
          <w:szCs w:val="24"/>
        </w:rPr>
        <w:t>κB</w:t>
      </w:r>
      <w:proofErr w:type="spellEnd"/>
      <w:r w:rsidR="007976A4">
        <w:rPr>
          <w:rFonts w:ascii="Times New Roman" w:eastAsia="Times New Roman" w:hAnsi="Times New Roman" w:cs="Times New Roman"/>
          <w:sz w:val="24"/>
          <w:szCs w:val="24"/>
        </w:rPr>
        <w:t xml:space="preserve"> (RANK) ligand</w:t>
      </w:r>
      <w:r w:rsidRPr="259FC043">
        <w:rPr>
          <w:rFonts w:ascii="Times New Roman" w:eastAsia="Times New Roman" w:hAnsi="Times New Roman" w:cs="Times New Roman"/>
          <w:sz w:val="24"/>
          <w:szCs w:val="24"/>
        </w:rPr>
        <w:t xml:space="preserve">, a cytokine and mediator of </w:t>
      </w:r>
      <w:proofErr w:type="spellStart"/>
      <w:r w:rsidRPr="259FC043">
        <w:rPr>
          <w:rFonts w:ascii="Times New Roman" w:eastAsia="Times New Roman" w:hAnsi="Times New Roman" w:cs="Times New Roman"/>
          <w:sz w:val="24"/>
          <w:szCs w:val="24"/>
        </w:rPr>
        <w:t>osteoclastic</w:t>
      </w:r>
      <w:proofErr w:type="spellEnd"/>
      <w:r w:rsidRPr="259FC043">
        <w:rPr>
          <w:rFonts w:ascii="Times New Roman" w:eastAsia="Times New Roman" w:hAnsi="Times New Roman" w:cs="Times New Roman"/>
          <w:sz w:val="24"/>
          <w:szCs w:val="24"/>
        </w:rPr>
        <w:t xml:space="preserve"> bone resorption. </w:t>
      </w:r>
      <w:r w:rsidR="007976A4" w:rsidRPr="007976A4">
        <w:rPr>
          <w:rFonts w:ascii="Times New Roman" w:eastAsia="Times New Roman" w:hAnsi="Times New Roman" w:cs="Times New Roman"/>
          <w:color w:val="FF0000"/>
          <w:sz w:val="24"/>
          <w:szCs w:val="24"/>
        </w:rPr>
        <w:t xml:space="preserve">RANK is a receptor on </w:t>
      </w:r>
      <w:proofErr w:type="spellStart"/>
      <w:r w:rsidR="007976A4" w:rsidRPr="007976A4">
        <w:rPr>
          <w:rFonts w:ascii="Times New Roman" w:eastAsia="Times New Roman" w:hAnsi="Times New Roman" w:cs="Times New Roman"/>
          <w:color w:val="FF0000"/>
          <w:sz w:val="24"/>
          <w:szCs w:val="24"/>
        </w:rPr>
        <w:t>osteoclastic</w:t>
      </w:r>
      <w:proofErr w:type="spellEnd"/>
      <w:r w:rsidR="007976A4" w:rsidRPr="007976A4">
        <w:rPr>
          <w:rFonts w:ascii="Times New Roman" w:eastAsia="Times New Roman" w:hAnsi="Times New Roman" w:cs="Times New Roman"/>
          <w:color w:val="FF0000"/>
          <w:sz w:val="24"/>
          <w:szCs w:val="24"/>
        </w:rPr>
        <w:t xml:space="preserve"> precursors</w:t>
      </w:r>
      <w:r w:rsidR="007976A4">
        <w:rPr>
          <w:rFonts w:ascii="Times New Roman" w:eastAsia="Times New Roman" w:hAnsi="Times New Roman" w:cs="Times New Roman"/>
          <w:color w:val="FF0000"/>
          <w:sz w:val="24"/>
          <w:szCs w:val="24"/>
        </w:rPr>
        <w:t xml:space="preserve">; when RANK ligand binds to this, it promotes differentiation, proliferation and survival of osteoclasts, resulting in increased bone turnover. The discovery of this pathway led to the consideration of new molecular targets for osteoporosis treatment. </w:t>
      </w:r>
      <w:proofErr w:type="spellStart"/>
      <w:r w:rsidR="007976A4">
        <w:rPr>
          <w:rFonts w:ascii="Times New Roman" w:eastAsia="Times New Roman" w:hAnsi="Times New Roman" w:cs="Times New Roman"/>
          <w:color w:val="FF0000"/>
          <w:sz w:val="24"/>
          <w:szCs w:val="24"/>
        </w:rPr>
        <w:t>Denosumab</w:t>
      </w:r>
      <w:proofErr w:type="spellEnd"/>
      <w:r w:rsidR="007976A4">
        <w:rPr>
          <w:rFonts w:ascii="Times New Roman" w:eastAsia="Times New Roman" w:hAnsi="Times New Roman" w:cs="Times New Roman"/>
          <w:color w:val="FF0000"/>
          <w:sz w:val="24"/>
          <w:szCs w:val="24"/>
        </w:rPr>
        <w:t xml:space="preserve"> inhibits RANKL, resulting in reduced </w:t>
      </w:r>
      <w:proofErr w:type="spellStart"/>
      <w:r w:rsidR="007976A4">
        <w:rPr>
          <w:rFonts w:ascii="Times New Roman" w:eastAsia="Times New Roman" w:hAnsi="Times New Roman" w:cs="Times New Roman"/>
          <w:color w:val="FF0000"/>
          <w:sz w:val="24"/>
          <w:szCs w:val="24"/>
        </w:rPr>
        <w:t>osteoclastic</w:t>
      </w:r>
      <w:proofErr w:type="spellEnd"/>
      <w:r w:rsidR="007976A4">
        <w:rPr>
          <w:rFonts w:ascii="Times New Roman" w:eastAsia="Times New Roman" w:hAnsi="Times New Roman" w:cs="Times New Roman"/>
          <w:color w:val="FF0000"/>
          <w:sz w:val="24"/>
          <w:szCs w:val="24"/>
        </w:rPr>
        <w:t xml:space="preserve"> activity and bone resorption [1].</w:t>
      </w:r>
      <w:r w:rsidR="007976A4">
        <w:rPr>
          <w:rFonts w:ascii="Times New Roman" w:eastAsia="Times New Roman" w:hAnsi="Times New Roman" w:cs="Times New Roman"/>
          <w:sz w:val="24"/>
          <w:szCs w:val="24"/>
        </w:rPr>
        <w:t xml:space="preserve"> </w:t>
      </w:r>
      <w:r w:rsidRPr="259FC043">
        <w:rPr>
          <w:rFonts w:ascii="Times New Roman" w:eastAsia="Times New Roman" w:hAnsi="Times New Roman" w:cs="Times New Roman"/>
          <w:sz w:val="24"/>
          <w:szCs w:val="24"/>
        </w:rPr>
        <w:t xml:space="preserve">Although it is administered as a subcutaneous injection every six months, the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Adherence Preference Satisfaction (DAPS) study showed that 92.4% preferred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over oral alendronate, with associated compliance and satisfaction rates [2].</w:t>
      </w:r>
    </w:p>
    <w:p w14:paraId="67ECDFBC" w14:textId="7F56249F" w:rsidR="006E5884" w:rsidRDefault="006E5884" w:rsidP="259FC043">
      <w:pPr>
        <w:spacing w:after="0" w:line="240" w:lineRule="auto"/>
        <w:rPr>
          <w:rFonts w:ascii="Times New Roman" w:eastAsia="Times New Roman" w:hAnsi="Times New Roman" w:cs="Times New Roman"/>
          <w:sz w:val="24"/>
          <w:szCs w:val="24"/>
        </w:rPr>
      </w:pPr>
    </w:p>
    <w:p w14:paraId="4BB51B28" w14:textId="6801C28C" w:rsidR="006E5884" w:rsidRDefault="259FC043" w:rsidP="259FC043">
      <w:pPr>
        <w:spacing w:after="0" w:line="240" w:lineRule="auto"/>
      </w:pPr>
      <w:r w:rsidRPr="259FC043">
        <w:rPr>
          <w:rFonts w:ascii="Times New Roman" w:eastAsia="Times New Roman" w:hAnsi="Times New Roman" w:cs="Times New Roman"/>
          <w:sz w:val="24"/>
          <w:szCs w:val="24"/>
        </w:rPr>
        <w:t xml:space="preserve">The landmark trial confirming its benefit in osteoporosis treatment was the Fracture </w:t>
      </w:r>
      <w:proofErr w:type="spellStart"/>
      <w:r w:rsidRPr="259FC043">
        <w:rPr>
          <w:rFonts w:ascii="Times New Roman" w:eastAsia="Times New Roman" w:hAnsi="Times New Roman" w:cs="Times New Roman"/>
          <w:sz w:val="24"/>
          <w:szCs w:val="24"/>
        </w:rPr>
        <w:t>REduction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Evaulation</w:t>
      </w:r>
      <w:proofErr w:type="spellEnd"/>
      <w:r w:rsidRPr="259FC043">
        <w:rPr>
          <w:rFonts w:ascii="Times New Roman" w:eastAsia="Times New Roman" w:hAnsi="Times New Roman" w:cs="Times New Roman"/>
          <w:sz w:val="24"/>
          <w:szCs w:val="24"/>
        </w:rPr>
        <w:t xml:space="preserve">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in Osteoporosis every 6 Months (FREEDOM) trial. 7808 osteoporotic older women were </w:t>
      </w:r>
      <w:proofErr w:type="spellStart"/>
      <w:r w:rsidRPr="259FC043">
        <w:rPr>
          <w:rFonts w:ascii="Times New Roman" w:eastAsia="Times New Roman" w:hAnsi="Times New Roman" w:cs="Times New Roman"/>
          <w:sz w:val="24"/>
          <w:szCs w:val="24"/>
        </w:rPr>
        <w:t>randomised</w:t>
      </w:r>
      <w:proofErr w:type="spellEnd"/>
      <w:r w:rsidRPr="259FC043">
        <w:rPr>
          <w:rFonts w:ascii="Times New Roman" w:eastAsia="Times New Roman" w:hAnsi="Times New Roman" w:cs="Times New Roman"/>
          <w:sz w:val="24"/>
          <w:szCs w:val="24"/>
        </w:rPr>
        <w:t xml:space="preserve"> to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or placebo for 36 months.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was associated with relative risk reductions of new radiographic vertebral fractures (68%), non-vertebral fractures (20%) and hip fractures (40%) [3]. The extension of the FREEDOM study showed the benefits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treatment continued for up to ten years in terms of low fracture incidence and increased BMD without plateau, with low rates of adverse events [4]. However, subgroup analyses showed the risk reduction was significant only in women with a baseline femoral neck bone mineral density (BMD) T‐score ≤ −2.5, body mass index (BMI) &lt; below 25 kg/m</w:t>
      </w:r>
      <w:r w:rsidRPr="259FC043">
        <w:rPr>
          <w:rFonts w:ascii="Times New Roman" w:eastAsia="Times New Roman" w:hAnsi="Times New Roman" w:cs="Times New Roman"/>
          <w:sz w:val="24"/>
          <w:szCs w:val="24"/>
          <w:vertAlign w:val="superscript"/>
        </w:rPr>
        <w:t>2</w:t>
      </w:r>
      <w:r w:rsidRPr="259FC043">
        <w:rPr>
          <w:rFonts w:ascii="Times New Roman" w:eastAsia="Times New Roman" w:hAnsi="Times New Roman" w:cs="Times New Roman"/>
          <w:sz w:val="24"/>
          <w:szCs w:val="24"/>
        </w:rPr>
        <w:t xml:space="preserve"> and in those without a prevalent vertebral fracture [5]. </w:t>
      </w:r>
    </w:p>
    <w:p w14:paraId="7F636743" w14:textId="77F77949" w:rsidR="006E5884" w:rsidRDefault="006E5884" w:rsidP="259FC043">
      <w:pPr>
        <w:spacing w:after="0" w:line="240" w:lineRule="auto"/>
        <w:rPr>
          <w:rFonts w:ascii="Times New Roman" w:eastAsia="Times New Roman" w:hAnsi="Times New Roman" w:cs="Times New Roman"/>
          <w:sz w:val="24"/>
          <w:szCs w:val="24"/>
        </w:rPr>
      </w:pPr>
    </w:p>
    <w:p w14:paraId="579D2D70" w14:textId="112C18DF"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The FREEDOM study also showed that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was associated with reductions in serum C‐</w:t>
      </w:r>
      <w:proofErr w:type="spellStart"/>
      <w:r w:rsidRPr="259FC043">
        <w:rPr>
          <w:rFonts w:ascii="Times New Roman" w:eastAsia="Times New Roman" w:hAnsi="Times New Roman" w:cs="Times New Roman"/>
          <w:sz w:val="24"/>
          <w:szCs w:val="24"/>
        </w:rPr>
        <w:t>telopeptide</w:t>
      </w:r>
      <w:proofErr w:type="spellEnd"/>
      <w:r w:rsidRPr="259FC043">
        <w:rPr>
          <w:rFonts w:ascii="Times New Roman" w:eastAsia="Times New Roman" w:hAnsi="Times New Roman" w:cs="Times New Roman"/>
          <w:sz w:val="24"/>
          <w:szCs w:val="24"/>
        </w:rPr>
        <w:t xml:space="preserve"> of type I collagen (CTX), a biochemical marker of bone resorption, to below premenopausal reference intervals [6]. There were also improvements in hip and spine strength by 14.3% and 22.4% at 36 months compared to placebo, measured through nonlinear finite element analysis (FEA) of hip and spine quantitative computed tomography (QCT) scans [7]. The increased hip and spine strength was seen in both the trabecular and cortical bone components. </w:t>
      </w:r>
    </w:p>
    <w:p w14:paraId="3FC2AC9B" w14:textId="04CCA23A" w:rsidR="006E5884" w:rsidRDefault="006E5884" w:rsidP="259FC043">
      <w:pPr>
        <w:spacing w:after="0" w:line="240" w:lineRule="auto"/>
        <w:rPr>
          <w:rFonts w:ascii="Times New Roman" w:eastAsia="Times New Roman" w:hAnsi="Times New Roman" w:cs="Times New Roman"/>
          <w:sz w:val="24"/>
          <w:szCs w:val="24"/>
        </w:rPr>
      </w:pPr>
    </w:p>
    <w:p w14:paraId="449F4CCF" w14:textId="2132189E"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The benefits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was also demonstrated in men with low BMD in A trial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versus placebo in Males with Osteoporosis (ADAMO). When 228 men were </w:t>
      </w:r>
      <w:proofErr w:type="spellStart"/>
      <w:r w:rsidRPr="259FC043">
        <w:rPr>
          <w:rFonts w:ascii="Times New Roman" w:eastAsia="Times New Roman" w:hAnsi="Times New Roman" w:cs="Times New Roman"/>
          <w:sz w:val="24"/>
          <w:szCs w:val="24"/>
        </w:rPr>
        <w:t>randomised</w:t>
      </w:r>
      <w:proofErr w:type="spellEnd"/>
      <w:r w:rsidRPr="259FC043">
        <w:rPr>
          <w:rFonts w:ascii="Times New Roman" w:eastAsia="Times New Roman" w:hAnsi="Times New Roman" w:cs="Times New Roman"/>
          <w:sz w:val="24"/>
          <w:szCs w:val="24"/>
        </w:rPr>
        <w:t xml:space="preserve"> to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or placebo for 24 months, treatment was associated with increased BMD and reduced bone resorption at levels similar to the FREEDOM study [8].</w:t>
      </w:r>
    </w:p>
    <w:p w14:paraId="1D13F8CB" w14:textId="1FFDBDCC" w:rsidR="006E5884" w:rsidRDefault="006E5884" w:rsidP="259FC043">
      <w:pPr>
        <w:spacing w:after="0" w:line="240" w:lineRule="auto"/>
        <w:rPr>
          <w:rFonts w:ascii="Times New Roman" w:eastAsia="Times New Roman" w:hAnsi="Times New Roman" w:cs="Times New Roman"/>
          <w:sz w:val="24"/>
          <w:szCs w:val="24"/>
        </w:rPr>
      </w:pPr>
    </w:p>
    <w:p w14:paraId="19F06297" w14:textId="1CD2BD07" w:rsidR="00D82CBB" w:rsidRPr="00090D8E" w:rsidRDefault="00503558" w:rsidP="259FC043">
      <w:pPr>
        <w:spacing w:after="0"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Denosumab</w:t>
      </w:r>
      <w:proofErr w:type="spellEnd"/>
      <w:r>
        <w:rPr>
          <w:rFonts w:ascii="Times New Roman" w:eastAsia="Times New Roman" w:hAnsi="Times New Roman" w:cs="Times New Roman"/>
          <w:color w:val="FF0000"/>
          <w:sz w:val="24"/>
          <w:szCs w:val="24"/>
        </w:rPr>
        <w:t xml:space="preserve"> was also shown to be more cost-effective for treatment of older men aged above 75 years in two separate studies from Sweden and the United States compared to the other osteoporotic agents, including bisphosphonates and </w:t>
      </w:r>
      <w:proofErr w:type="spellStart"/>
      <w:r>
        <w:rPr>
          <w:rFonts w:ascii="Times New Roman" w:eastAsia="Times New Roman" w:hAnsi="Times New Roman" w:cs="Times New Roman"/>
          <w:color w:val="FF0000"/>
          <w:sz w:val="24"/>
          <w:szCs w:val="24"/>
        </w:rPr>
        <w:t>teriparatide</w:t>
      </w:r>
      <w:proofErr w:type="spellEnd"/>
      <w:r>
        <w:rPr>
          <w:rFonts w:ascii="Times New Roman" w:eastAsia="Times New Roman" w:hAnsi="Times New Roman" w:cs="Times New Roman"/>
          <w:color w:val="FF0000"/>
          <w:sz w:val="24"/>
          <w:szCs w:val="24"/>
        </w:rPr>
        <w:t xml:space="preserve">. The lifetime cohort Markov model demonstrated that although there is a higher annual treatment cost compared to other </w:t>
      </w:r>
      <w:r>
        <w:rPr>
          <w:rFonts w:ascii="Times New Roman" w:eastAsia="Times New Roman" w:hAnsi="Times New Roman" w:cs="Times New Roman"/>
          <w:color w:val="FF0000"/>
          <w:sz w:val="24"/>
          <w:szCs w:val="24"/>
        </w:rPr>
        <w:lastRenderedPageBreak/>
        <w:t xml:space="preserve">medications, </w:t>
      </w:r>
      <w:proofErr w:type="spellStart"/>
      <w:r>
        <w:rPr>
          <w:rFonts w:ascii="Times New Roman" w:eastAsia="Times New Roman" w:hAnsi="Times New Roman" w:cs="Times New Roman"/>
          <w:color w:val="FF0000"/>
          <w:sz w:val="24"/>
          <w:szCs w:val="24"/>
        </w:rPr>
        <w:t>denosumab</w:t>
      </w:r>
      <w:proofErr w:type="spellEnd"/>
      <w:r>
        <w:rPr>
          <w:rFonts w:ascii="Times New Roman" w:eastAsia="Times New Roman" w:hAnsi="Times New Roman" w:cs="Times New Roman"/>
          <w:color w:val="FF0000"/>
          <w:sz w:val="24"/>
          <w:szCs w:val="24"/>
        </w:rPr>
        <w:t xml:space="preserve"> was more cost-effective for osteoporosis treatment in terms of lifetime expected costs and quality-adjusted life-years [9,10].</w:t>
      </w:r>
    </w:p>
    <w:p w14:paraId="293347EA" w14:textId="2F5AAD75" w:rsidR="00D82CBB" w:rsidRDefault="00D82CBB" w:rsidP="259FC043">
      <w:pPr>
        <w:spacing w:after="0" w:line="240" w:lineRule="auto"/>
        <w:rPr>
          <w:rFonts w:ascii="Times New Roman" w:eastAsia="Times New Roman" w:hAnsi="Times New Roman" w:cs="Times New Roman"/>
          <w:sz w:val="24"/>
          <w:szCs w:val="24"/>
        </w:rPr>
      </w:pPr>
    </w:p>
    <w:p w14:paraId="2FAF3FD9" w14:textId="192CF1FE" w:rsidR="008F3270" w:rsidRPr="00503558" w:rsidRDefault="008F3270" w:rsidP="259FC043">
      <w:pPr>
        <w:spacing w:after="0" w:line="240" w:lineRule="auto"/>
        <w:rPr>
          <w:rFonts w:ascii="Times New Roman" w:eastAsia="Times New Roman" w:hAnsi="Times New Roman" w:cs="Times New Roman"/>
          <w:color w:val="FF0000"/>
          <w:sz w:val="24"/>
          <w:szCs w:val="24"/>
        </w:rPr>
      </w:pPr>
      <w:r w:rsidRPr="00503558">
        <w:rPr>
          <w:rFonts w:ascii="Times New Roman" w:eastAsia="Times New Roman" w:hAnsi="Times New Roman" w:cs="Times New Roman"/>
          <w:color w:val="FF0000"/>
          <w:sz w:val="24"/>
          <w:szCs w:val="24"/>
        </w:rPr>
        <w:t xml:space="preserve">A meta-analysis identified ten </w:t>
      </w:r>
      <w:proofErr w:type="spellStart"/>
      <w:r w:rsidRPr="00503558">
        <w:rPr>
          <w:rFonts w:ascii="Times New Roman" w:eastAsia="Times New Roman" w:hAnsi="Times New Roman" w:cs="Times New Roman"/>
          <w:color w:val="FF0000"/>
          <w:sz w:val="24"/>
          <w:szCs w:val="24"/>
        </w:rPr>
        <w:t>randomised</w:t>
      </w:r>
      <w:proofErr w:type="spellEnd"/>
      <w:r w:rsidRPr="00503558">
        <w:rPr>
          <w:rFonts w:ascii="Times New Roman" w:eastAsia="Times New Roman" w:hAnsi="Times New Roman" w:cs="Times New Roman"/>
          <w:color w:val="FF0000"/>
          <w:sz w:val="24"/>
          <w:szCs w:val="24"/>
        </w:rPr>
        <w:t xml:space="preserve"> controlled trials comparing the efficacy of </w:t>
      </w:r>
      <w:proofErr w:type="spellStart"/>
      <w:r w:rsidRPr="00503558">
        <w:rPr>
          <w:rFonts w:ascii="Times New Roman" w:eastAsia="Times New Roman" w:hAnsi="Times New Roman" w:cs="Times New Roman"/>
          <w:color w:val="FF0000"/>
          <w:sz w:val="24"/>
          <w:szCs w:val="24"/>
        </w:rPr>
        <w:t>denosumab</w:t>
      </w:r>
      <w:proofErr w:type="spellEnd"/>
      <w:r w:rsidRPr="00503558">
        <w:rPr>
          <w:rFonts w:ascii="Times New Roman" w:eastAsia="Times New Roman" w:hAnsi="Times New Roman" w:cs="Times New Roman"/>
          <w:color w:val="FF0000"/>
          <w:sz w:val="24"/>
          <w:szCs w:val="24"/>
        </w:rPr>
        <w:t xml:space="preserve"> and bisphosphonates. </w:t>
      </w:r>
      <w:proofErr w:type="spellStart"/>
      <w:r w:rsidRPr="00503558">
        <w:rPr>
          <w:rFonts w:ascii="Times New Roman" w:eastAsia="Times New Roman" w:hAnsi="Times New Roman" w:cs="Times New Roman"/>
          <w:color w:val="FF0000"/>
          <w:sz w:val="24"/>
          <w:szCs w:val="24"/>
        </w:rPr>
        <w:t>Denosumab</w:t>
      </w:r>
      <w:proofErr w:type="spellEnd"/>
      <w:r w:rsidRPr="00503558">
        <w:rPr>
          <w:rFonts w:ascii="Times New Roman" w:eastAsia="Times New Roman" w:hAnsi="Times New Roman" w:cs="Times New Roman"/>
          <w:color w:val="FF0000"/>
          <w:sz w:val="24"/>
          <w:szCs w:val="24"/>
        </w:rPr>
        <w:t xml:space="preserve"> was associated with significant improvement in BMD at the lumbar spine, hip and femoral neck at 12 and 24 months compared to bisphosphonates. There was also a lower incidence of osteoporotic fractures for </w:t>
      </w:r>
      <w:proofErr w:type="spellStart"/>
      <w:r w:rsidRPr="00503558">
        <w:rPr>
          <w:rFonts w:ascii="Times New Roman" w:eastAsia="Times New Roman" w:hAnsi="Times New Roman" w:cs="Times New Roman"/>
          <w:color w:val="FF0000"/>
          <w:sz w:val="24"/>
          <w:szCs w:val="24"/>
        </w:rPr>
        <w:t>denosumab</w:t>
      </w:r>
      <w:proofErr w:type="spellEnd"/>
      <w:r w:rsidRPr="00503558">
        <w:rPr>
          <w:rFonts w:ascii="Times New Roman" w:eastAsia="Times New Roman" w:hAnsi="Times New Roman" w:cs="Times New Roman"/>
          <w:color w:val="FF0000"/>
          <w:sz w:val="24"/>
          <w:szCs w:val="24"/>
        </w:rPr>
        <w:t xml:space="preserve"> than alendronate at 24 months</w:t>
      </w:r>
      <w:r w:rsidR="00FE36AF">
        <w:rPr>
          <w:rFonts w:ascii="Times New Roman" w:eastAsia="Times New Roman" w:hAnsi="Times New Roman" w:cs="Times New Roman"/>
          <w:color w:val="FF0000"/>
          <w:sz w:val="24"/>
          <w:szCs w:val="24"/>
        </w:rPr>
        <w:t xml:space="preserve"> [11]</w:t>
      </w:r>
      <w:r w:rsidRPr="00503558">
        <w:rPr>
          <w:rFonts w:ascii="Times New Roman" w:eastAsia="Times New Roman" w:hAnsi="Times New Roman" w:cs="Times New Roman"/>
          <w:color w:val="FF0000"/>
          <w:sz w:val="24"/>
          <w:szCs w:val="24"/>
        </w:rPr>
        <w:t>.</w:t>
      </w:r>
      <w:r w:rsidR="00FE36AF">
        <w:rPr>
          <w:rFonts w:ascii="Times New Roman" w:eastAsia="Times New Roman" w:hAnsi="Times New Roman" w:cs="Times New Roman"/>
          <w:color w:val="FF0000"/>
          <w:sz w:val="24"/>
          <w:szCs w:val="24"/>
        </w:rPr>
        <w:t xml:space="preserve"> </w:t>
      </w:r>
      <w:r w:rsidRPr="00503558">
        <w:rPr>
          <w:rFonts w:ascii="Times New Roman" w:eastAsia="Times New Roman" w:hAnsi="Times New Roman" w:cs="Times New Roman"/>
          <w:color w:val="FF0000"/>
          <w:sz w:val="24"/>
          <w:szCs w:val="24"/>
        </w:rPr>
        <w:t xml:space="preserve">Another trial confirmed a significant improvement in spine and hip BMD with </w:t>
      </w:r>
      <w:proofErr w:type="spellStart"/>
      <w:r w:rsidRPr="00503558">
        <w:rPr>
          <w:rFonts w:ascii="Times New Roman" w:eastAsia="Times New Roman" w:hAnsi="Times New Roman" w:cs="Times New Roman"/>
          <w:color w:val="FF0000"/>
          <w:sz w:val="24"/>
          <w:szCs w:val="24"/>
        </w:rPr>
        <w:t>denosumab</w:t>
      </w:r>
      <w:proofErr w:type="spellEnd"/>
      <w:r w:rsidRPr="00503558">
        <w:rPr>
          <w:rFonts w:ascii="Times New Roman" w:eastAsia="Times New Roman" w:hAnsi="Times New Roman" w:cs="Times New Roman"/>
          <w:color w:val="FF0000"/>
          <w:sz w:val="24"/>
          <w:szCs w:val="24"/>
        </w:rPr>
        <w:t xml:space="preserve"> over </w:t>
      </w:r>
      <w:proofErr w:type="spellStart"/>
      <w:r w:rsidRPr="00503558">
        <w:rPr>
          <w:rFonts w:ascii="Times New Roman" w:eastAsia="Times New Roman" w:hAnsi="Times New Roman" w:cs="Times New Roman"/>
          <w:color w:val="FF0000"/>
          <w:sz w:val="24"/>
          <w:szCs w:val="24"/>
        </w:rPr>
        <w:t>risedronate</w:t>
      </w:r>
      <w:proofErr w:type="spellEnd"/>
      <w:r w:rsidRPr="00503558">
        <w:rPr>
          <w:rFonts w:ascii="Times New Roman" w:eastAsia="Times New Roman" w:hAnsi="Times New Roman" w:cs="Times New Roman"/>
          <w:color w:val="FF0000"/>
          <w:sz w:val="24"/>
          <w:szCs w:val="24"/>
        </w:rPr>
        <w:t xml:space="preserve"> at 24 months for patients with glucocorticoid-induced osteoporosis without any differences in the rate of adverse events</w:t>
      </w:r>
      <w:r w:rsidR="00FE36AF">
        <w:rPr>
          <w:rFonts w:ascii="Times New Roman" w:eastAsia="Times New Roman" w:hAnsi="Times New Roman" w:cs="Times New Roman"/>
          <w:color w:val="FF0000"/>
          <w:sz w:val="24"/>
          <w:szCs w:val="24"/>
        </w:rPr>
        <w:t xml:space="preserve"> [12]</w:t>
      </w:r>
      <w:r w:rsidRPr="00503558">
        <w:rPr>
          <w:rFonts w:ascii="Times New Roman" w:eastAsia="Times New Roman" w:hAnsi="Times New Roman" w:cs="Times New Roman"/>
          <w:color w:val="FF0000"/>
          <w:sz w:val="24"/>
          <w:szCs w:val="24"/>
        </w:rPr>
        <w:t>.</w:t>
      </w:r>
    </w:p>
    <w:p w14:paraId="2DAB1342" w14:textId="3B779787" w:rsidR="00D82CBB" w:rsidRDefault="00D82CBB" w:rsidP="259FC043">
      <w:pPr>
        <w:spacing w:after="0" w:line="240" w:lineRule="auto"/>
        <w:rPr>
          <w:rFonts w:ascii="Times New Roman" w:eastAsia="Times New Roman" w:hAnsi="Times New Roman" w:cs="Times New Roman"/>
          <w:sz w:val="24"/>
          <w:szCs w:val="24"/>
        </w:rPr>
      </w:pPr>
    </w:p>
    <w:p w14:paraId="3D3DA0DE" w14:textId="19BA97EF" w:rsidR="006E5884" w:rsidRDefault="259FC043" w:rsidP="259FC043">
      <w:pPr>
        <w:spacing w:after="0" w:line="240" w:lineRule="auto"/>
        <w:rPr>
          <w:rFonts w:ascii="Times New Roman" w:eastAsia="Times New Roman" w:hAnsi="Times New Roman" w:cs="Times New Roman"/>
          <w:color w:val="FF0000"/>
          <w:sz w:val="24"/>
          <w:szCs w:val="20"/>
        </w:rPr>
      </w:pPr>
      <w:r w:rsidRPr="259FC043">
        <w:rPr>
          <w:rFonts w:ascii="Times New Roman" w:eastAsia="Times New Roman" w:hAnsi="Times New Roman" w:cs="Times New Roman"/>
          <w:sz w:val="24"/>
          <w:szCs w:val="24"/>
        </w:rPr>
        <w:t xml:space="preserve">A case series of severe spontaneous vertebral fractures after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discontinuation raised concerns regarding severe osteoporosis reb</w:t>
      </w:r>
      <w:r w:rsidR="00FE36AF">
        <w:rPr>
          <w:rFonts w:ascii="Times New Roman" w:eastAsia="Times New Roman" w:hAnsi="Times New Roman" w:cs="Times New Roman"/>
          <w:sz w:val="24"/>
          <w:szCs w:val="24"/>
        </w:rPr>
        <w:t>ound with treatment cessation [</w:t>
      </w:r>
      <w:r w:rsidR="00FE36AF">
        <w:rPr>
          <w:rFonts w:ascii="Times New Roman" w:eastAsia="Times New Roman" w:hAnsi="Times New Roman" w:cs="Times New Roman"/>
          <w:color w:val="FF0000"/>
          <w:sz w:val="24"/>
          <w:szCs w:val="24"/>
        </w:rPr>
        <w:t>13</w:t>
      </w:r>
      <w:r w:rsidRPr="259FC043">
        <w:rPr>
          <w:rFonts w:ascii="Times New Roman" w:eastAsia="Times New Roman" w:hAnsi="Times New Roman" w:cs="Times New Roman"/>
          <w:sz w:val="24"/>
          <w:szCs w:val="24"/>
        </w:rPr>
        <w:t>]. An observational study found a reversal of BMD benefits and possibly fracture risk, identifying eight (9.8%) patients who experienced 17 fractures within t</w:t>
      </w:r>
      <w:r w:rsidR="00FE36AF">
        <w:rPr>
          <w:rFonts w:ascii="Times New Roman" w:eastAsia="Times New Roman" w:hAnsi="Times New Roman" w:cs="Times New Roman"/>
          <w:sz w:val="24"/>
          <w:szCs w:val="24"/>
        </w:rPr>
        <w:t>he year [</w:t>
      </w:r>
      <w:r w:rsidR="00FE36AF">
        <w:rPr>
          <w:rFonts w:ascii="Times New Roman" w:eastAsia="Times New Roman" w:hAnsi="Times New Roman" w:cs="Times New Roman"/>
          <w:color w:val="FF0000"/>
          <w:sz w:val="24"/>
          <w:szCs w:val="24"/>
        </w:rPr>
        <w:t>14</w:t>
      </w:r>
      <w:r w:rsidRPr="259FC043">
        <w:rPr>
          <w:rFonts w:ascii="Times New Roman" w:eastAsia="Times New Roman" w:hAnsi="Times New Roman" w:cs="Times New Roman"/>
          <w:sz w:val="24"/>
          <w:szCs w:val="24"/>
        </w:rPr>
        <w:t xml:space="preserve">]. When the FREEDOM study participants who discontinued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were followed-up for up to 24 months, there were similar fracture rates in the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(7%) and placebo (9%) groups, without any differences in </w:t>
      </w:r>
      <w:r w:rsidR="00FE36AF">
        <w:rPr>
          <w:rFonts w:ascii="Times New Roman" w:eastAsia="Times New Roman" w:hAnsi="Times New Roman" w:cs="Times New Roman"/>
          <w:sz w:val="24"/>
          <w:szCs w:val="24"/>
        </w:rPr>
        <w:t>fracture occurrence patterns [</w:t>
      </w:r>
      <w:r w:rsidR="00FE36AF">
        <w:rPr>
          <w:rFonts w:ascii="Times New Roman" w:eastAsia="Times New Roman" w:hAnsi="Times New Roman" w:cs="Times New Roman"/>
          <w:color w:val="FF0000"/>
          <w:sz w:val="24"/>
          <w:szCs w:val="24"/>
        </w:rPr>
        <w:t>15</w:t>
      </w:r>
      <w:r w:rsidRPr="259FC043">
        <w:rPr>
          <w:rFonts w:ascii="Times New Roman" w:eastAsia="Times New Roman" w:hAnsi="Times New Roman" w:cs="Times New Roman"/>
          <w:sz w:val="24"/>
          <w:szCs w:val="24"/>
        </w:rPr>
        <w:t xml:space="preserve">]. However, until further evidence is available, it is recommended to assess the risk and benefit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treatment after five years, and to consider bisphosphonates if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was discontinued to attenuate reboun</w:t>
      </w:r>
      <w:r w:rsidR="00FE36AF">
        <w:rPr>
          <w:rFonts w:ascii="Times New Roman" w:eastAsia="Times New Roman" w:hAnsi="Times New Roman" w:cs="Times New Roman"/>
          <w:sz w:val="24"/>
          <w:szCs w:val="24"/>
        </w:rPr>
        <w:t>d increases in bone turnover [</w:t>
      </w:r>
      <w:r w:rsidR="00FE36AF" w:rsidRPr="00FE36AF">
        <w:rPr>
          <w:rFonts w:ascii="Times New Roman" w:eastAsia="Times New Roman" w:hAnsi="Times New Roman" w:cs="Times New Roman"/>
          <w:color w:val="FF0000"/>
          <w:sz w:val="24"/>
          <w:szCs w:val="24"/>
        </w:rPr>
        <w:t>16</w:t>
      </w:r>
      <w:r w:rsidRPr="259FC043">
        <w:rPr>
          <w:rFonts w:ascii="Times New Roman" w:eastAsia="Times New Roman" w:hAnsi="Times New Roman" w:cs="Times New Roman"/>
          <w:sz w:val="24"/>
          <w:szCs w:val="24"/>
        </w:rPr>
        <w:t>].</w:t>
      </w:r>
      <w:r w:rsidR="00090D8E">
        <w:rPr>
          <w:rFonts w:ascii="Times New Roman" w:eastAsia="Times New Roman" w:hAnsi="Times New Roman" w:cs="Times New Roman"/>
          <w:sz w:val="24"/>
          <w:szCs w:val="24"/>
        </w:rPr>
        <w:t xml:space="preserve"> </w:t>
      </w:r>
      <w:r w:rsidR="00090D8E" w:rsidRPr="00090D8E">
        <w:rPr>
          <w:rFonts w:ascii="Times New Roman" w:eastAsia="Times New Roman" w:hAnsi="Times New Roman" w:cs="Times New Roman"/>
          <w:color w:val="FF0000"/>
          <w:sz w:val="24"/>
          <w:szCs w:val="20"/>
        </w:rPr>
        <w:t xml:space="preserve">Further studies are required to explore the optimal duration of </w:t>
      </w:r>
      <w:r w:rsidR="00090D8E">
        <w:rPr>
          <w:rFonts w:ascii="Times New Roman" w:eastAsia="Times New Roman" w:hAnsi="Times New Roman" w:cs="Times New Roman"/>
          <w:color w:val="FF0000"/>
          <w:sz w:val="24"/>
          <w:szCs w:val="20"/>
        </w:rPr>
        <w:t xml:space="preserve">prolonged </w:t>
      </w:r>
      <w:proofErr w:type="spellStart"/>
      <w:r w:rsidR="00090D8E" w:rsidRPr="00090D8E">
        <w:rPr>
          <w:rFonts w:ascii="Times New Roman" w:eastAsia="Times New Roman" w:hAnsi="Times New Roman" w:cs="Times New Roman"/>
          <w:color w:val="FF0000"/>
          <w:sz w:val="24"/>
          <w:szCs w:val="20"/>
        </w:rPr>
        <w:t>denosumab</w:t>
      </w:r>
      <w:proofErr w:type="spellEnd"/>
      <w:r w:rsidR="00090D8E" w:rsidRPr="00090D8E">
        <w:rPr>
          <w:rFonts w:ascii="Times New Roman" w:eastAsia="Times New Roman" w:hAnsi="Times New Roman" w:cs="Times New Roman"/>
          <w:color w:val="FF0000"/>
          <w:sz w:val="24"/>
          <w:szCs w:val="20"/>
        </w:rPr>
        <w:t xml:space="preserve"> treatment and which anti-</w:t>
      </w:r>
      <w:proofErr w:type="spellStart"/>
      <w:r w:rsidR="00090D8E" w:rsidRPr="00090D8E">
        <w:rPr>
          <w:rFonts w:ascii="Times New Roman" w:eastAsia="Times New Roman" w:hAnsi="Times New Roman" w:cs="Times New Roman"/>
          <w:color w:val="FF0000"/>
          <w:sz w:val="24"/>
          <w:szCs w:val="20"/>
        </w:rPr>
        <w:t>resorptive</w:t>
      </w:r>
      <w:proofErr w:type="spellEnd"/>
      <w:r w:rsidR="00090D8E" w:rsidRPr="00090D8E">
        <w:rPr>
          <w:rFonts w:ascii="Times New Roman" w:eastAsia="Times New Roman" w:hAnsi="Times New Roman" w:cs="Times New Roman"/>
          <w:color w:val="FF0000"/>
          <w:sz w:val="24"/>
          <w:szCs w:val="20"/>
        </w:rPr>
        <w:t xml:space="preserve"> agent is preferred after discontinuation of </w:t>
      </w:r>
      <w:proofErr w:type="spellStart"/>
      <w:r w:rsidR="00090D8E" w:rsidRPr="00090D8E">
        <w:rPr>
          <w:rFonts w:ascii="Times New Roman" w:eastAsia="Times New Roman" w:hAnsi="Times New Roman" w:cs="Times New Roman"/>
          <w:color w:val="FF0000"/>
          <w:sz w:val="24"/>
          <w:szCs w:val="20"/>
        </w:rPr>
        <w:t>denosumab</w:t>
      </w:r>
      <w:proofErr w:type="spellEnd"/>
      <w:r w:rsidR="00090D8E" w:rsidRPr="00090D8E">
        <w:rPr>
          <w:rFonts w:ascii="Times New Roman" w:eastAsia="Times New Roman" w:hAnsi="Times New Roman" w:cs="Times New Roman"/>
          <w:color w:val="FF0000"/>
          <w:sz w:val="24"/>
          <w:szCs w:val="20"/>
        </w:rPr>
        <w:t>.</w:t>
      </w:r>
    </w:p>
    <w:p w14:paraId="79E77243" w14:textId="1DFE2FAC" w:rsidR="00090D8E" w:rsidRDefault="00090D8E" w:rsidP="259FC043">
      <w:pPr>
        <w:spacing w:after="0" w:line="240" w:lineRule="auto"/>
        <w:rPr>
          <w:rFonts w:ascii="Times New Roman" w:eastAsia="Times New Roman" w:hAnsi="Times New Roman" w:cs="Times New Roman"/>
          <w:color w:val="FF0000"/>
          <w:sz w:val="24"/>
          <w:szCs w:val="20"/>
        </w:rPr>
      </w:pPr>
    </w:p>
    <w:p w14:paraId="01EA49BB" w14:textId="143FA42B" w:rsidR="00090D8E" w:rsidRDefault="00090D8E" w:rsidP="259FC043">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Finally, given the possible rebound in fracture risk with </w:t>
      </w:r>
      <w:proofErr w:type="spellStart"/>
      <w:r>
        <w:rPr>
          <w:rFonts w:ascii="Times New Roman" w:eastAsia="Times New Roman" w:hAnsi="Times New Roman" w:cs="Times New Roman"/>
          <w:color w:val="FF0000"/>
          <w:sz w:val="24"/>
          <w:szCs w:val="20"/>
        </w:rPr>
        <w:t>denosumab</w:t>
      </w:r>
      <w:proofErr w:type="spellEnd"/>
      <w:r>
        <w:rPr>
          <w:rFonts w:ascii="Times New Roman" w:eastAsia="Times New Roman" w:hAnsi="Times New Roman" w:cs="Times New Roman"/>
          <w:color w:val="FF0000"/>
          <w:sz w:val="24"/>
          <w:szCs w:val="20"/>
        </w:rPr>
        <w:t xml:space="preserve"> cessation, </w:t>
      </w:r>
      <w:r w:rsidR="004367E2">
        <w:rPr>
          <w:rFonts w:ascii="Times New Roman" w:eastAsia="Times New Roman" w:hAnsi="Times New Roman" w:cs="Times New Roman"/>
          <w:color w:val="FF0000"/>
          <w:sz w:val="24"/>
          <w:szCs w:val="20"/>
        </w:rPr>
        <w:t xml:space="preserve">clinicians should check and </w:t>
      </w:r>
      <w:proofErr w:type="spellStart"/>
      <w:r w:rsidR="004367E2">
        <w:rPr>
          <w:rFonts w:ascii="Times New Roman" w:eastAsia="Times New Roman" w:hAnsi="Times New Roman" w:cs="Times New Roman"/>
          <w:color w:val="FF0000"/>
          <w:sz w:val="24"/>
          <w:szCs w:val="20"/>
        </w:rPr>
        <w:t>emphasise</w:t>
      </w:r>
      <w:proofErr w:type="spellEnd"/>
      <w:r w:rsidR="004367E2">
        <w:rPr>
          <w:rFonts w:ascii="Times New Roman" w:eastAsia="Times New Roman" w:hAnsi="Times New Roman" w:cs="Times New Roman"/>
          <w:color w:val="FF0000"/>
          <w:sz w:val="24"/>
          <w:szCs w:val="20"/>
        </w:rPr>
        <w:t xml:space="preserve"> the importance of patient compliance with treatment. A Swedish Prescribed Drug Register identified multiple reasons which may contribute to reduced persistence with treatment including healthcare organization, approaches to drug monitoring and population disease awareness [17]. Thus, as systematic healthcare approach is also required to avoid premature discontinuation of osteoporosis treatment, particularly </w:t>
      </w:r>
      <w:proofErr w:type="spellStart"/>
      <w:r w:rsidR="004367E2">
        <w:rPr>
          <w:rFonts w:ascii="Times New Roman" w:eastAsia="Times New Roman" w:hAnsi="Times New Roman" w:cs="Times New Roman"/>
          <w:color w:val="FF0000"/>
          <w:sz w:val="24"/>
          <w:szCs w:val="20"/>
        </w:rPr>
        <w:t>denosumab</w:t>
      </w:r>
      <w:proofErr w:type="spellEnd"/>
      <w:r w:rsidR="004367E2">
        <w:rPr>
          <w:rFonts w:ascii="Times New Roman" w:eastAsia="Times New Roman" w:hAnsi="Times New Roman" w:cs="Times New Roman"/>
          <w:color w:val="FF0000"/>
          <w:sz w:val="24"/>
          <w:szCs w:val="20"/>
        </w:rPr>
        <w:t>.</w:t>
      </w:r>
    </w:p>
    <w:p w14:paraId="0E318CCC" w14:textId="2A587145" w:rsidR="006E5884" w:rsidRDefault="006E5884" w:rsidP="259FC043">
      <w:pPr>
        <w:spacing w:after="0" w:line="240" w:lineRule="auto"/>
        <w:rPr>
          <w:rFonts w:ascii="Times New Roman" w:eastAsia="Times New Roman" w:hAnsi="Times New Roman" w:cs="Times New Roman"/>
          <w:sz w:val="24"/>
          <w:szCs w:val="24"/>
        </w:rPr>
      </w:pPr>
    </w:p>
    <w:p w14:paraId="7F594F24" w14:textId="36DBE0DE" w:rsidR="006E5884" w:rsidRDefault="259FC043" w:rsidP="259FC043">
      <w:pPr>
        <w:spacing w:after="0" w:line="240" w:lineRule="auto"/>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In summary,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is useful for osteoporosis management, but clinicians should be aware of increased fracture risk with treatment discontinuation.</w:t>
      </w:r>
    </w:p>
    <w:p w14:paraId="4C6FFFCB" w14:textId="2A627681" w:rsidR="006E5884" w:rsidRDefault="006E5884" w:rsidP="259FC043">
      <w:pPr>
        <w:spacing w:after="0" w:line="240" w:lineRule="auto"/>
        <w:rPr>
          <w:rFonts w:ascii="Times New Roman" w:eastAsia="Times New Roman" w:hAnsi="Times New Roman" w:cs="Times New Roman"/>
          <w:sz w:val="24"/>
          <w:szCs w:val="24"/>
        </w:rPr>
      </w:pPr>
    </w:p>
    <w:p w14:paraId="18852C70" w14:textId="6DFB9EF6" w:rsidR="006E5884" w:rsidRDefault="006E5884" w:rsidP="259FC043">
      <w:pPr>
        <w:spacing w:after="0" w:line="240" w:lineRule="auto"/>
        <w:rPr>
          <w:rFonts w:ascii="Times New Roman" w:eastAsia="Times New Roman" w:hAnsi="Times New Roman" w:cs="Times New Roman"/>
          <w:sz w:val="24"/>
          <w:szCs w:val="24"/>
        </w:rPr>
      </w:pPr>
    </w:p>
    <w:p w14:paraId="31A65F29" w14:textId="0630727C" w:rsidR="006E5884" w:rsidRDefault="006E5884" w:rsidP="259FC043">
      <w:pPr>
        <w:spacing w:after="0" w:line="240" w:lineRule="auto"/>
        <w:rPr>
          <w:rFonts w:ascii="Times New Roman" w:eastAsia="Times New Roman" w:hAnsi="Times New Roman" w:cs="Times New Roman"/>
          <w:b/>
          <w:bCs/>
          <w:sz w:val="24"/>
          <w:szCs w:val="24"/>
        </w:rPr>
      </w:pPr>
    </w:p>
    <w:p w14:paraId="6EED13FA" w14:textId="6B57AC33" w:rsidR="006E5884" w:rsidRDefault="006E5884" w:rsidP="259FC043">
      <w:pPr>
        <w:spacing w:after="0" w:line="240" w:lineRule="auto"/>
        <w:rPr>
          <w:rFonts w:ascii="Times New Roman" w:eastAsia="Times New Roman" w:hAnsi="Times New Roman" w:cs="Times New Roman"/>
          <w:b/>
          <w:bCs/>
          <w:sz w:val="24"/>
          <w:szCs w:val="24"/>
        </w:rPr>
      </w:pPr>
    </w:p>
    <w:p w14:paraId="3E8E2E82" w14:textId="622C6B36" w:rsidR="006E5884" w:rsidRDefault="006E5884" w:rsidP="259FC043">
      <w:pPr>
        <w:spacing w:after="0" w:line="240" w:lineRule="auto"/>
        <w:rPr>
          <w:rFonts w:ascii="Times New Roman" w:eastAsia="Times New Roman" w:hAnsi="Times New Roman" w:cs="Times New Roman"/>
          <w:b/>
          <w:bCs/>
          <w:sz w:val="24"/>
          <w:szCs w:val="24"/>
        </w:rPr>
      </w:pPr>
    </w:p>
    <w:p w14:paraId="42C3D8DF" w14:textId="7372E6FB" w:rsidR="006E5884" w:rsidRDefault="006E5884" w:rsidP="259FC043">
      <w:pPr>
        <w:spacing w:after="0" w:line="240" w:lineRule="auto"/>
        <w:rPr>
          <w:rFonts w:ascii="Times New Roman" w:eastAsia="Times New Roman" w:hAnsi="Times New Roman" w:cs="Times New Roman"/>
          <w:b/>
          <w:bCs/>
          <w:sz w:val="24"/>
          <w:szCs w:val="24"/>
        </w:rPr>
      </w:pPr>
    </w:p>
    <w:p w14:paraId="778152EB" w14:textId="48966DDF" w:rsidR="006E5884" w:rsidRDefault="006E5884" w:rsidP="259FC043">
      <w:pPr>
        <w:spacing w:after="0" w:line="240" w:lineRule="auto"/>
        <w:rPr>
          <w:rFonts w:ascii="Times New Roman" w:eastAsia="Times New Roman" w:hAnsi="Times New Roman" w:cs="Times New Roman"/>
          <w:b/>
          <w:bCs/>
          <w:sz w:val="24"/>
          <w:szCs w:val="24"/>
        </w:rPr>
      </w:pPr>
    </w:p>
    <w:p w14:paraId="74CB938C" w14:textId="3E7F1E6C" w:rsidR="006E5884" w:rsidRDefault="006E5884" w:rsidP="259FC043">
      <w:pPr>
        <w:spacing w:after="0" w:line="240" w:lineRule="auto"/>
        <w:rPr>
          <w:rFonts w:ascii="Times New Roman" w:eastAsia="Times New Roman" w:hAnsi="Times New Roman" w:cs="Times New Roman"/>
          <w:b/>
          <w:bCs/>
          <w:sz w:val="24"/>
          <w:szCs w:val="24"/>
        </w:rPr>
      </w:pPr>
    </w:p>
    <w:p w14:paraId="5441457E" w14:textId="1B67EE25" w:rsidR="006E5884" w:rsidRDefault="006E5884" w:rsidP="259FC043">
      <w:pPr>
        <w:spacing w:after="0" w:line="240" w:lineRule="auto"/>
        <w:rPr>
          <w:rFonts w:ascii="Times New Roman" w:eastAsia="Times New Roman" w:hAnsi="Times New Roman" w:cs="Times New Roman"/>
          <w:b/>
          <w:bCs/>
          <w:sz w:val="24"/>
          <w:szCs w:val="24"/>
        </w:rPr>
      </w:pPr>
    </w:p>
    <w:p w14:paraId="620F9108" w14:textId="6266BB8E" w:rsidR="006E5884" w:rsidRDefault="006E5884" w:rsidP="259FC043">
      <w:pPr>
        <w:spacing w:after="0" w:line="240" w:lineRule="auto"/>
        <w:rPr>
          <w:rFonts w:ascii="Times New Roman" w:eastAsia="Times New Roman" w:hAnsi="Times New Roman" w:cs="Times New Roman"/>
          <w:b/>
          <w:bCs/>
          <w:sz w:val="24"/>
          <w:szCs w:val="24"/>
        </w:rPr>
      </w:pPr>
    </w:p>
    <w:p w14:paraId="010203D3" w14:textId="5CE93606" w:rsidR="006E5884" w:rsidRDefault="006E5884" w:rsidP="259FC043">
      <w:pPr>
        <w:spacing w:after="0" w:line="240" w:lineRule="auto"/>
        <w:rPr>
          <w:rFonts w:ascii="Times New Roman" w:eastAsia="Times New Roman" w:hAnsi="Times New Roman" w:cs="Times New Roman"/>
          <w:b/>
          <w:bCs/>
          <w:sz w:val="24"/>
          <w:szCs w:val="24"/>
        </w:rPr>
      </w:pPr>
    </w:p>
    <w:p w14:paraId="0BBB0EC0" w14:textId="08BB5CAA" w:rsidR="006E5884" w:rsidRDefault="006E5884" w:rsidP="259FC043">
      <w:pPr>
        <w:spacing w:after="0" w:line="240" w:lineRule="auto"/>
        <w:rPr>
          <w:rFonts w:ascii="Times New Roman" w:eastAsia="Times New Roman" w:hAnsi="Times New Roman" w:cs="Times New Roman"/>
          <w:b/>
          <w:bCs/>
          <w:sz w:val="24"/>
          <w:szCs w:val="24"/>
        </w:rPr>
      </w:pPr>
    </w:p>
    <w:p w14:paraId="7CAFCCE9" w14:textId="629E4CFB" w:rsidR="006E5884" w:rsidRDefault="006E5884" w:rsidP="259FC043">
      <w:pPr>
        <w:spacing w:after="0" w:line="240" w:lineRule="auto"/>
        <w:rPr>
          <w:rFonts w:ascii="Times New Roman" w:eastAsia="Times New Roman" w:hAnsi="Times New Roman" w:cs="Times New Roman"/>
          <w:b/>
          <w:bCs/>
          <w:sz w:val="24"/>
          <w:szCs w:val="24"/>
        </w:rPr>
      </w:pPr>
    </w:p>
    <w:p w14:paraId="6D683C49" w14:textId="04E43F8F" w:rsidR="006E5884" w:rsidRDefault="259FC043" w:rsidP="259FC043">
      <w:pPr>
        <w:spacing w:after="0" w:line="240" w:lineRule="auto"/>
        <w:rPr>
          <w:rFonts w:ascii="Times New Roman" w:eastAsia="Times New Roman" w:hAnsi="Times New Roman" w:cs="Times New Roman"/>
          <w:b/>
          <w:bCs/>
          <w:sz w:val="24"/>
          <w:szCs w:val="24"/>
        </w:rPr>
      </w:pPr>
      <w:bookmarkStart w:id="0" w:name="_GoBack"/>
      <w:bookmarkEnd w:id="0"/>
      <w:r w:rsidRPr="259FC043">
        <w:rPr>
          <w:rFonts w:ascii="Times New Roman" w:eastAsia="Times New Roman" w:hAnsi="Times New Roman" w:cs="Times New Roman"/>
          <w:b/>
          <w:bCs/>
          <w:sz w:val="24"/>
          <w:szCs w:val="24"/>
        </w:rPr>
        <w:lastRenderedPageBreak/>
        <w:t xml:space="preserve">References: </w:t>
      </w:r>
    </w:p>
    <w:p w14:paraId="78736E08" w14:textId="5076ADE8" w:rsidR="006E5884" w:rsidRDefault="006E5884" w:rsidP="259FC043">
      <w:pPr>
        <w:spacing w:after="0" w:line="240" w:lineRule="auto"/>
        <w:rPr>
          <w:rFonts w:ascii="Times New Roman" w:eastAsia="Times New Roman" w:hAnsi="Times New Roman" w:cs="Times New Roman"/>
          <w:sz w:val="24"/>
          <w:szCs w:val="24"/>
        </w:rPr>
      </w:pPr>
    </w:p>
    <w:p w14:paraId="19E55667" w14:textId="2603F913" w:rsidR="006E5884" w:rsidRDefault="006E5884" w:rsidP="259FC043">
      <w:pPr>
        <w:spacing w:after="0" w:line="240" w:lineRule="auto"/>
        <w:rPr>
          <w:rFonts w:ascii="Times New Roman" w:eastAsia="Times New Roman" w:hAnsi="Times New Roman" w:cs="Times New Roman"/>
          <w:sz w:val="24"/>
          <w:szCs w:val="24"/>
        </w:rPr>
      </w:pPr>
    </w:p>
    <w:p w14:paraId="2E4ABF07" w14:textId="040D4F92"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Lewiecki</w:t>
      </w:r>
      <w:proofErr w:type="spellEnd"/>
      <w:r w:rsidRPr="259FC043">
        <w:rPr>
          <w:rFonts w:ascii="Times New Roman" w:eastAsia="Times New Roman" w:hAnsi="Times New Roman" w:cs="Times New Roman"/>
          <w:sz w:val="24"/>
          <w:szCs w:val="24"/>
        </w:rPr>
        <w:t xml:space="preserve"> EM. RANK ligand inhibition with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for the management of osteoporosis. Expert </w:t>
      </w:r>
      <w:proofErr w:type="spellStart"/>
      <w:r w:rsidRPr="259FC043">
        <w:rPr>
          <w:rFonts w:ascii="Times New Roman" w:eastAsia="Times New Roman" w:hAnsi="Times New Roman" w:cs="Times New Roman"/>
          <w:sz w:val="24"/>
          <w:szCs w:val="24"/>
        </w:rPr>
        <w:t>Opin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Biol</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Ther</w:t>
      </w:r>
      <w:proofErr w:type="spellEnd"/>
      <w:r w:rsidRPr="259FC043">
        <w:rPr>
          <w:rFonts w:ascii="Times New Roman" w:eastAsia="Times New Roman" w:hAnsi="Times New Roman" w:cs="Times New Roman"/>
          <w:sz w:val="24"/>
          <w:szCs w:val="24"/>
        </w:rPr>
        <w:t xml:space="preserve"> 2006: 6(10):1041-1050.  </w:t>
      </w:r>
    </w:p>
    <w:p w14:paraId="361902D9" w14:textId="056029A4" w:rsidR="006E5884" w:rsidRDefault="006E5884" w:rsidP="259FC043">
      <w:pPr>
        <w:spacing w:after="0" w:line="240" w:lineRule="auto"/>
        <w:rPr>
          <w:rFonts w:ascii="Times New Roman" w:eastAsia="Times New Roman" w:hAnsi="Times New Roman" w:cs="Times New Roman"/>
          <w:sz w:val="24"/>
          <w:szCs w:val="24"/>
        </w:rPr>
      </w:pPr>
    </w:p>
    <w:p w14:paraId="19B6B703" w14:textId="4AA849AE"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Freemantle N, </w:t>
      </w:r>
      <w:proofErr w:type="spellStart"/>
      <w:r w:rsidRPr="259FC043">
        <w:rPr>
          <w:rFonts w:ascii="Times New Roman" w:eastAsia="Times New Roman" w:hAnsi="Times New Roman" w:cs="Times New Roman"/>
          <w:sz w:val="24"/>
          <w:szCs w:val="24"/>
        </w:rPr>
        <w:t>Satram</w:t>
      </w:r>
      <w:proofErr w:type="spellEnd"/>
      <w:r w:rsidRPr="259FC043">
        <w:rPr>
          <w:rFonts w:ascii="Times New Roman" w:eastAsia="Times New Roman" w:hAnsi="Times New Roman" w:cs="Times New Roman"/>
          <w:sz w:val="24"/>
          <w:szCs w:val="24"/>
        </w:rPr>
        <w:t>-Hoang S, Tang ET, et al. Final results of the DAPS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Adherence Preference Satisfaction) study: a 24-month, randomized, crossover comparison with alendronate in postmenopausal women. </w:t>
      </w:r>
      <w:proofErr w:type="spellStart"/>
      <w:r w:rsidRPr="259FC043">
        <w:rPr>
          <w:rFonts w:ascii="Times New Roman" w:eastAsia="Times New Roman" w:hAnsi="Times New Roman" w:cs="Times New Roman"/>
          <w:sz w:val="24"/>
          <w:szCs w:val="24"/>
        </w:rPr>
        <w:t>Osteoporos</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Int</w:t>
      </w:r>
      <w:proofErr w:type="spellEnd"/>
      <w:r w:rsidRPr="259FC043">
        <w:rPr>
          <w:rFonts w:ascii="Times New Roman" w:eastAsia="Times New Roman" w:hAnsi="Times New Roman" w:cs="Times New Roman"/>
          <w:sz w:val="24"/>
          <w:szCs w:val="24"/>
        </w:rPr>
        <w:t xml:space="preserve"> 2012: 23:317-326.</w:t>
      </w:r>
    </w:p>
    <w:p w14:paraId="7909626B" w14:textId="7DC3579D" w:rsidR="006E5884" w:rsidRDefault="006E5884" w:rsidP="259FC043">
      <w:pPr>
        <w:spacing w:after="0" w:line="240" w:lineRule="auto"/>
        <w:rPr>
          <w:rFonts w:ascii="Times New Roman" w:eastAsia="Times New Roman" w:hAnsi="Times New Roman" w:cs="Times New Roman"/>
          <w:sz w:val="24"/>
          <w:szCs w:val="24"/>
        </w:rPr>
      </w:pPr>
    </w:p>
    <w:p w14:paraId="68C8A069" w14:textId="1D24C7AD"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Cummings SR, San Martin J, McClung MR, et al.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for prevention of fractures in postmenopausal women with osteoporosis. N </w:t>
      </w:r>
      <w:proofErr w:type="spellStart"/>
      <w:r w:rsidRPr="259FC043">
        <w:rPr>
          <w:rFonts w:ascii="Times New Roman" w:eastAsia="Times New Roman" w:hAnsi="Times New Roman" w:cs="Times New Roman"/>
          <w:sz w:val="24"/>
          <w:szCs w:val="24"/>
        </w:rPr>
        <w:t>Engl</w:t>
      </w:r>
      <w:proofErr w:type="spellEnd"/>
      <w:r w:rsidRPr="259FC043">
        <w:rPr>
          <w:rFonts w:ascii="Times New Roman" w:eastAsia="Times New Roman" w:hAnsi="Times New Roman" w:cs="Times New Roman"/>
          <w:sz w:val="24"/>
          <w:szCs w:val="24"/>
        </w:rPr>
        <w:t xml:space="preserve"> J Med 2009: 361:756-65. </w:t>
      </w:r>
    </w:p>
    <w:p w14:paraId="7C03652D" w14:textId="03A83C5A" w:rsidR="006E5884" w:rsidRDefault="006E5884" w:rsidP="259FC043">
      <w:pPr>
        <w:spacing w:after="0" w:line="240" w:lineRule="auto"/>
        <w:rPr>
          <w:rFonts w:ascii="Times New Roman" w:eastAsia="Times New Roman" w:hAnsi="Times New Roman" w:cs="Times New Roman"/>
          <w:sz w:val="24"/>
          <w:szCs w:val="24"/>
        </w:rPr>
      </w:pPr>
    </w:p>
    <w:p w14:paraId="51F9216F" w14:textId="3D042A51"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Bone HG, </w:t>
      </w:r>
      <w:proofErr w:type="spellStart"/>
      <w:r w:rsidRPr="259FC043">
        <w:rPr>
          <w:rFonts w:ascii="Times New Roman" w:eastAsia="Times New Roman" w:hAnsi="Times New Roman" w:cs="Times New Roman"/>
          <w:sz w:val="24"/>
          <w:szCs w:val="24"/>
        </w:rPr>
        <w:t>Wagman</w:t>
      </w:r>
      <w:proofErr w:type="spellEnd"/>
      <w:r w:rsidRPr="259FC043">
        <w:rPr>
          <w:rFonts w:ascii="Times New Roman" w:eastAsia="Times New Roman" w:hAnsi="Times New Roman" w:cs="Times New Roman"/>
          <w:sz w:val="24"/>
          <w:szCs w:val="24"/>
        </w:rPr>
        <w:t xml:space="preserve"> RB, Brandi ML, et al. 10 years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treatment in postmenopausal women with osteoporosis: results from the phase 3 </w:t>
      </w:r>
      <w:proofErr w:type="spellStart"/>
      <w:r w:rsidRPr="259FC043">
        <w:rPr>
          <w:rFonts w:ascii="Times New Roman" w:eastAsia="Times New Roman" w:hAnsi="Times New Roman" w:cs="Times New Roman"/>
          <w:sz w:val="24"/>
          <w:szCs w:val="24"/>
        </w:rPr>
        <w:t>randomised</w:t>
      </w:r>
      <w:proofErr w:type="spellEnd"/>
      <w:r w:rsidRPr="259FC043">
        <w:rPr>
          <w:rFonts w:ascii="Times New Roman" w:eastAsia="Times New Roman" w:hAnsi="Times New Roman" w:cs="Times New Roman"/>
          <w:sz w:val="24"/>
          <w:szCs w:val="24"/>
        </w:rPr>
        <w:t xml:space="preserve"> FREEDOM trial and open-label extension. Lancet Diabetes </w:t>
      </w:r>
      <w:proofErr w:type="spellStart"/>
      <w:r w:rsidRPr="259FC043">
        <w:rPr>
          <w:rFonts w:ascii="Times New Roman" w:eastAsia="Times New Roman" w:hAnsi="Times New Roman" w:cs="Times New Roman"/>
          <w:sz w:val="24"/>
          <w:szCs w:val="24"/>
        </w:rPr>
        <w:t>Endocrinol</w:t>
      </w:r>
      <w:proofErr w:type="spellEnd"/>
      <w:r w:rsidRPr="259FC043">
        <w:rPr>
          <w:rFonts w:ascii="Times New Roman" w:eastAsia="Times New Roman" w:hAnsi="Times New Roman" w:cs="Times New Roman"/>
          <w:sz w:val="24"/>
          <w:szCs w:val="24"/>
        </w:rPr>
        <w:t xml:space="preserve"> 2017: 5(7):513-523.  </w:t>
      </w:r>
    </w:p>
    <w:p w14:paraId="6248C13A" w14:textId="5E0EB37C" w:rsidR="006E5884" w:rsidRDefault="006E5884" w:rsidP="259FC043">
      <w:pPr>
        <w:spacing w:after="0" w:line="240" w:lineRule="auto"/>
        <w:rPr>
          <w:rFonts w:ascii="Times New Roman" w:eastAsia="Times New Roman" w:hAnsi="Times New Roman" w:cs="Times New Roman"/>
          <w:sz w:val="24"/>
          <w:szCs w:val="24"/>
        </w:rPr>
      </w:pPr>
    </w:p>
    <w:p w14:paraId="32523DB7" w14:textId="15C9B6D1"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McClung MR, Boonen S, </w:t>
      </w:r>
      <w:proofErr w:type="spellStart"/>
      <w:r w:rsidRPr="259FC043">
        <w:rPr>
          <w:rFonts w:ascii="Times New Roman" w:eastAsia="Times New Roman" w:hAnsi="Times New Roman" w:cs="Times New Roman"/>
          <w:sz w:val="24"/>
          <w:szCs w:val="24"/>
        </w:rPr>
        <w:t>Torring</w:t>
      </w:r>
      <w:proofErr w:type="spellEnd"/>
      <w:r w:rsidRPr="259FC043">
        <w:rPr>
          <w:rFonts w:ascii="Times New Roman" w:eastAsia="Times New Roman" w:hAnsi="Times New Roman" w:cs="Times New Roman"/>
          <w:sz w:val="24"/>
          <w:szCs w:val="24"/>
        </w:rPr>
        <w:t xml:space="preserve"> O, et al. Effect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treatment on the risk of fractures in subgroups of women with postmenopausal osteoporosis.  J Bone Miner Res 2012: 27(1):211-218.</w:t>
      </w:r>
    </w:p>
    <w:p w14:paraId="7B3A33FC" w14:textId="3B344508" w:rsidR="006E5884" w:rsidRDefault="006E5884" w:rsidP="259FC043">
      <w:pPr>
        <w:spacing w:after="0" w:line="240" w:lineRule="auto"/>
        <w:rPr>
          <w:rFonts w:ascii="Times New Roman" w:eastAsia="Times New Roman" w:hAnsi="Times New Roman" w:cs="Times New Roman"/>
          <w:sz w:val="24"/>
          <w:szCs w:val="24"/>
        </w:rPr>
      </w:pPr>
    </w:p>
    <w:p w14:paraId="2CF6AEAF" w14:textId="6AE670AD"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Eastell</w:t>
      </w:r>
      <w:proofErr w:type="spellEnd"/>
      <w:r w:rsidRPr="259FC043">
        <w:rPr>
          <w:rFonts w:ascii="Times New Roman" w:eastAsia="Times New Roman" w:hAnsi="Times New Roman" w:cs="Times New Roman"/>
          <w:sz w:val="24"/>
          <w:szCs w:val="24"/>
        </w:rPr>
        <w:t xml:space="preserve"> R, Christiansen C, </w:t>
      </w:r>
      <w:proofErr w:type="spellStart"/>
      <w:r w:rsidRPr="259FC043">
        <w:rPr>
          <w:rFonts w:ascii="Times New Roman" w:eastAsia="Times New Roman" w:hAnsi="Times New Roman" w:cs="Times New Roman"/>
          <w:sz w:val="24"/>
          <w:szCs w:val="24"/>
        </w:rPr>
        <w:t>Grauer</w:t>
      </w:r>
      <w:proofErr w:type="spellEnd"/>
      <w:r w:rsidRPr="259FC043">
        <w:rPr>
          <w:rFonts w:ascii="Times New Roman" w:eastAsia="Times New Roman" w:hAnsi="Times New Roman" w:cs="Times New Roman"/>
          <w:sz w:val="24"/>
          <w:szCs w:val="24"/>
        </w:rPr>
        <w:t xml:space="preserve"> A, et al. Effects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on bone turnover markers in postmenopausal osteoporosis. J Bone Miner Res 2011: 26(3):530-537.  </w:t>
      </w:r>
    </w:p>
    <w:p w14:paraId="4BAB5CD7" w14:textId="74E006C5" w:rsidR="006E5884" w:rsidRDefault="006E5884" w:rsidP="259FC043">
      <w:pPr>
        <w:spacing w:after="0" w:line="240" w:lineRule="auto"/>
        <w:rPr>
          <w:rFonts w:ascii="Times New Roman" w:eastAsia="Times New Roman" w:hAnsi="Times New Roman" w:cs="Times New Roman"/>
          <w:sz w:val="24"/>
          <w:szCs w:val="24"/>
        </w:rPr>
      </w:pPr>
    </w:p>
    <w:p w14:paraId="46E253B3" w14:textId="31927325"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Keaveny</w:t>
      </w:r>
      <w:proofErr w:type="spellEnd"/>
      <w:r w:rsidRPr="259FC043">
        <w:rPr>
          <w:rFonts w:ascii="Times New Roman" w:eastAsia="Times New Roman" w:hAnsi="Times New Roman" w:cs="Times New Roman"/>
          <w:sz w:val="24"/>
          <w:szCs w:val="24"/>
        </w:rPr>
        <w:t xml:space="preserve"> TM, McClung MR, </w:t>
      </w:r>
      <w:proofErr w:type="spellStart"/>
      <w:r w:rsidRPr="259FC043">
        <w:rPr>
          <w:rFonts w:ascii="Times New Roman" w:eastAsia="Times New Roman" w:hAnsi="Times New Roman" w:cs="Times New Roman"/>
          <w:sz w:val="24"/>
          <w:szCs w:val="24"/>
        </w:rPr>
        <w:t>Genant</w:t>
      </w:r>
      <w:proofErr w:type="spellEnd"/>
      <w:r w:rsidRPr="259FC043">
        <w:rPr>
          <w:rFonts w:ascii="Times New Roman" w:eastAsia="Times New Roman" w:hAnsi="Times New Roman" w:cs="Times New Roman"/>
          <w:sz w:val="24"/>
          <w:szCs w:val="24"/>
        </w:rPr>
        <w:t xml:space="preserve"> HK, et al. Femoral and vertebral strength improvements in postmenopausal women with osteoporosis treated with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J Bone Miner Res 2014: 29(1):158-165. </w:t>
      </w:r>
    </w:p>
    <w:p w14:paraId="723172AA" w14:textId="22E52DC1" w:rsidR="006E5884" w:rsidRDefault="006E5884" w:rsidP="259FC043">
      <w:pPr>
        <w:spacing w:after="0" w:line="240" w:lineRule="auto"/>
        <w:rPr>
          <w:rFonts w:ascii="Times New Roman" w:eastAsia="Times New Roman" w:hAnsi="Times New Roman" w:cs="Times New Roman"/>
          <w:sz w:val="24"/>
          <w:szCs w:val="24"/>
        </w:rPr>
      </w:pPr>
    </w:p>
    <w:p w14:paraId="1057D6C6" w14:textId="77777777" w:rsidR="00503558" w:rsidRDefault="259FC043" w:rsidP="00503558">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Langdahl</w:t>
      </w:r>
      <w:proofErr w:type="spellEnd"/>
      <w:r w:rsidRPr="259FC043">
        <w:rPr>
          <w:rFonts w:ascii="Times New Roman" w:eastAsia="Times New Roman" w:hAnsi="Times New Roman" w:cs="Times New Roman"/>
          <w:sz w:val="24"/>
          <w:szCs w:val="24"/>
        </w:rPr>
        <w:t xml:space="preserve"> BL, </w:t>
      </w:r>
      <w:proofErr w:type="spellStart"/>
      <w:r w:rsidRPr="259FC043">
        <w:rPr>
          <w:rFonts w:ascii="Times New Roman" w:eastAsia="Times New Roman" w:hAnsi="Times New Roman" w:cs="Times New Roman"/>
          <w:sz w:val="24"/>
          <w:szCs w:val="24"/>
        </w:rPr>
        <w:t>Teglbjaerg</w:t>
      </w:r>
      <w:proofErr w:type="spellEnd"/>
      <w:r w:rsidRPr="259FC043">
        <w:rPr>
          <w:rFonts w:ascii="Times New Roman" w:eastAsia="Times New Roman" w:hAnsi="Times New Roman" w:cs="Times New Roman"/>
          <w:sz w:val="24"/>
          <w:szCs w:val="24"/>
        </w:rPr>
        <w:t xml:space="preserve"> CS, Ho PR, et al. A 24-month study evaluating the efficacy and safety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for the treatment of men with low bone mineral density: results from the ADAMO trial. J </w:t>
      </w:r>
      <w:proofErr w:type="spellStart"/>
      <w:r w:rsidRPr="259FC043">
        <w:rPr>
          <w:rFonts w:ascii="Times New Roman" w:eastAsia="Times New Roman" w:hAnsi="Times New Roman" w:cs="Times New Roman"/>
          <w:sz w:val="24"/>
          <w:szCs w:val="24"/>
        </w:rPr>
        <w:t>Clin</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Endocrinol</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Metab</w:t>
      </w:r>
      <w:proofErr w:type="spellEnd"/>
      <w:r w:rsidRPr="259FC043">
        <w:rPr>
          <w:rFonts w:ascii="Times New Roman" w:eastAsia="Times New Roman" w:hAnsi="Times New Roman" w:cs="Times New Roman"/>
          <w:sz w:val="24"/>
          <w:szCs w:val="24"/>
        </w:rPr>
        <w:t xml:space="preserve"> 2015: 100(4):1335-1342.  </w:t>
      </w:r>
    </w:p>
    <w:p w14:paraId="14D72AF8" w14:textId="77777777" w:rsidR="00503558" w:rsidRPr="00503558" w:rsidRDefault="00503558" w:rsidP="00503558">
      <w:pPr>
        <w:pStyle w:val="ListParagraph"/>
        <w:rPr>
          <w:rFonts w:ascii="Times New Roman" w:hAnsi="Times New Roman" w:cs="Times New Roman"/>
          <w:color w:val="FF0000"/>
          <w:sz w:val="24"/>
          <w:szCs w:val="24"/>
          <w:shd w:val="clear" w:color="auto" w:fill="FFFFFF"/>
        </w:rPr>
      </w:pPr>
    </w:p>
    <w:p w14:paraId="6EBCC6B6" w14:textId="77777777" w:rsidR="00503558" w:rsidRPr="00503558" w:rsidRDefault="00503558" w:rsidP="00503558">
      <w:pPr>
        <w:pStyle w:val="ListParagraph"/>
        <w:numPr>
          <w:ilvl w:val="0"/>
          <w:numId w:val="1"/>
        </w:numPr>
        <w:spacing w:after="0" w:line="240" w:lineRule="auto"/>
        <w:ind w:left="0"/>
        <w:rPr>
          <w:rFonts w:ascii="Times New Roman" w:eastAsia="Times New Roman" w:hAnsi="Times New Roman" w:cs="Times New Roman"/>
          <w:color w:val="FF0000"/>
          <w:sz w:val="24"/>
          <w:szCs w:val="24"/>
        </w:rPr>
      </w:pPr>
      <w:proofErr w:type="spellStart"/>
      <w:r w:rsidRPr="00503558">
        <w:rPr>
          <w:rFonts w:ascii="Times New Roman" w:hAnsi="Times New Roman" w:cs="Times New Roman"/>
          <w:color w:val="FF0000"/>
          <w:sz w:val="24"/>
          <w:szCs w:val="24"/>
          <w:shd w:val="clear" w:color="auto" w:fill="FFFFFF"/>
        </w:rPr>
        <w:t>Parthan</w:t>
      </w:r>
      <w:proofErr w:type="spellEnd"/>
      <w:r w:rsidRPr="00503558">
        <w:rPr>
          <w:rFonts w:ascii="Times New Roman" w:hAnsi="Times New Roman" w:cs="Times New Roman"/>
          <w:color w:val="FF0000"/>
          <w:sz w:val="24"/>
          <w:szCs w:val="24"/>
          <w:shd w:val="clear" w:color="auto" w:fill="FFFFFF"/>
        </w:rPr>
        <w:t xml:space="preserve"> A, Kruse M, </w:t>
      </w:r>
      <w:proofErr w:type="spellStart"/>
      <w:r w:rsidRPr="00503558">
        <w:rPr>
          <w:rFonts w:ascii="Times New Roman" w:hAnsi="Times New Roman" w:cs="Times New Roman"/>
          <w:color w:val="FF0000"/>
          <w:sz w:val="24"/>
          <w:szCs w:val="24"/>
          <w:shd w:val="clear" w:color="auto" w:fill="FFFFFF"/>
        </w:rPr>
        <w:t>Agodoa</w:t>
      </w:r>
      <w:proofErr w:type="spellEnd"/>
      <w:r w:rsidRPr="00503558">
        <w:rPr>
          <w:rFonts w:ascii="Times New Roman" w:hAnsi="Times New Roman" w:cs="Times New Roman"/>
          <w:color w:val="FF0000"/>
          <w:sz w:val="24"/>
          <w:szCs w:val="24"/>
          <w:shd w:val="clear" w:color="auto" w:fill="FFFFFF"/>
        </w:rPr>
        <w:t xml:space="preserve"> I, Silverman S, Orwoll E. </w:t>
      </w:r>
      <w:proofErr w:type="spellStart"/>
      <w:r w:rsidRPr="00503558">
        <w:rPr>
          <w:rFonts w:ascii="Times New Roman" w:hAnsi="Times New Roman" w:cs="Times New Roman"/>
          <w:color w:val="FF0000"/>
          <w:sz w:val="24"/>
          <w:szCs w:val="24"/>
          <w:shd w:val="clear" w:color="auto" w:fill="FFFFFF"/>
        </w:rPr>
        <w:t>Denosumab</w:t>
      </w:r>
      <w:proofErr w:type="spellEnd"/>
      <w:r w:rsidRPr="00503558">
        <w:rPr>
          <w:rFonts w:ascii="Times New Roman" w:hAnsi="Times New Roman" w:cs="Times New Roman"/>
          <w:color w:val="FF0000"/>
          <w:sz w:val="24"/>
          <w:szCs w:val="24"/>
          <w:shd w:val="clear" w:color="auto" w:fill="FFFFFF"/>
        </w:rPr>
        <w:t xml:space="preserve">: a cost-effective alternative for men with osteoporosis from a Swedish payer perspective. Bone </w:t>
      </w:r>
      <w:proofErr w:type="gramStart"/>
      <w:r w:rsidRPr="00503558">
        <w:rPr>
          <w:rFonts w:ascii="Times New Roman" w:hAnsi="Times New Roman" w:cs="Times New Roman"/>
          <w:color w:val="FF0000"/>
          <w:sz w:val="24"/>
          <w:szCs w:val="24"/>
          <w:shd w:val="clear" w:color="auto" w:fill="FFFFFF"/>
        </w:rPr>
        <w:t>2014;59:105</w:t>
      </w:r>
      <w:proofErr w:type="gramEnd"/>
      <w:r w:rsidRPr="00503558">
        <w:rPr>
          <w:rFonts w:ascii="Times New Roman" w:hAnsi="Times New Roman" w:cs="Times New Roman"/>
          <w:color w:val="FF0000"/>
          <w:sz w:val="24"/>
          <w:szCs w:val="24"/>
          <w:shd w:val="clear" w:color="auto" w:fill="FFFFFF"/>
        </w:rPr>
        <w:t>-113.</w:t>
      </w:r>
    </w:p>
    <w:p w14:paraId="5B201EAA" w14:textId="77777777" w:rsidR="00503558" w:rsidRPr="00503558" w:rsidRDefault="00503558" w:rsidP="00503558">
      <w:pPr>
        <w:pStyle w:val="ListParagraph"/>
        <w:rPr>
          <w:rFonts w:ascii="Times New Roman" w:hAnsi="Times New Roman" w:cs="Times New Roman"/>
          <w:color w:val="FF0000"/>
          <w:sz w:val="24"/>
          <w:szCs w:val="24"/>
          <w:shd w:val="clear" w:color="auto" w:fill="FFFFFF"/>
        </w:rPr>
      </w:pPr>
    </w:p>
    <w:p w14:paraId="544B1333" w14:textId="77777777" w:rsidR="00FE36AF" w:rsidRPr="00FE36AF" w:rsidRDefault="00503558" w:rsidP="00FE36AF">
      <w:pPr>
        <w:pStyle w:val="ListParagraph"/>
        <w:numPr>
          <w:ilvl w:val="0"/>
          <w:numId w:val="1"/>
        </w:numPr>
        <w:spacing w:after="0" w:line="240" w:lineRule="auto"/>
        <w:ind w:left="0"/>
        <w:rPr>
          <w:rFonts w:ascii="Times New Roman" w:eastAsia="Times New Roman" w:hAnsi="Times New Roman" w:cs="Times New Roman"/>
          <w:color w:val="FF0000"/>
          <w:sz w:val="24"/>
          <w:szCs w:val="24"/>
        </w:rPr>
      </w:pPr>
      <w:r w:rsidRPr="00503558">
        <w:rPr>
          <w:rFonts w:ascii="Times New Roman" w:hAnsi="Times New Roman" w:cs="Times New Roman"/>
          <w:color w:val="FF0000"/>
          <w:sz w:val="24"/>
          <w:szCs w:val="24"/>
          <w:shd w:val="clear" w:color="auto" w:fill="FFFFFF"/>
        </w:rPr>
        <w:t xml:space="preserve">Silverman S, </w:t>
      </w:r>
      <w:proofErr w:type="spellStart"/>
      <w:r w:rsidRPr="00503558">
        <w:rPr>
          <w:rFonts w:ascii="Times New Roman" w:hAnsi="Times New Roman" w:cs="Times New Roman"/>
          <w:color w:val="FF0000"/>
          <w:sz w:val="24"/>
          <w:szCs w:val="24"/>
          <w:shd w:val="clear" w:color="auto" w:fill="FFFFFF"/>
        </w:rPr>
        <w:t>Agodoa</w:t>
      </w:r>
      <w:proofErr w:type="spellEnd"/>
      <w:r w:rsidRPr="00503558">
        <w:rPr>
          <w:rFonts w:ascii="Times New Roman" w:hAnsi="Times New Roman" w:cs="Times New Roman"/>
          <w:color w:val="FF0000"/>
          <w:sz w:val="24"/>
          <w:szCs w:val="24"/>
          <w:shd w:val="clear" w:color="auto" w:fill="FFFFFF"/>
        </w:rPr>
        <w:t xml:space="preserve"> I, Kruse M, </w:t>
      </w:r>
      <w:proofErr w:type="spellStart"/>
      <w:r w:rsidRPr="00503558">
        <w:rPr>
          <w:rFonts w:ascii="Times New Roman" w:hAnsi="Times New Roman" w:cs="Times New Roman"/>
          <w:color w:val="FF0000"/>
          <w:sz w:val="24"/>
          <w:szCs w:val="24"/>
          <w:shd w:val="clear" w:color="auto" w:fill="FFFFFF"/>
        </w:rPr>
        <w:t>Parthan</w:t>
      </w:r>
      <w:proofErr w:type="spellEnd"/>
      <w:r w:rsidRPr="00503558">
        <w:rPr>
          <w:rFonts w:ascii="Times New Roman" w:hAnsi="Times New Roman" w:cs="Times New Roman"/>
          <w:color w:val="FF0000"/>
          <w:sz w:val="24"/>
          <w:szCs w:val="24"/>
          <w:shd w:val="clear" w:color="auto" w:fill="FFFFFF"/>
        </w:rPr>
        <w:t xml:space="preserve"> A, Orwoll E. </w:t>
      </w:r>
      <w:proofErr w:type="spellStart"/>
      <w:r w:rsidRPr="00503558">
        <w:rPr>
          <w:rFonts w:ascii="Times New Roman" w:hAnsi="Times New Roman" w:cs="Times New Roman"/>
          <w:color w:val="FF0000"/>
          <w:sz w:val="24"/>
          <w:szCs w:val="24"/>
          <w:shd w:val="clear" w:color="auto" w:fill="FFFFFF"/>
        </w:rPr>
        <w:t>Denosumab</w:t>
      </w:r>
      <w:proofErr w:type="spellEnd"/>
      <w:r w:rsidRPr="00503558">
        <w:rPr>
          <w:rFonts w:ascii="Times New Roman" w:hAnsi="Times New Roman" w:cs="Times New Roman"/>
          <w:color w:val="FF0000"/>
          <w:sz w:val="24"/>
          <w:szCs w:val="24"/>
          <w:shd w:val="clear" w:color="auto" w:fill="FFFFFF"/>
        </w:rPr>
        <w:t xml:space="preserve"> for elderly men with osteoporosis: a cost-effectiveness analysis from the US payer perspective. J </w:t>
      </w:r>
      <w:proofErr w:type="spellStart"/>
      <w:r w:rsidRPr="00503558">
        <w:rPr>
          <w:rFonts w:ascii="Times New Roman" w:hAnsi="Times New Roman" w:cs="Times New Roman"/>
          <w:color w:val="FF0000"/>
          <w:sz w:val="24"/>
          <w:szCs w:val="24"/>
          <w:shd w:val="clear" w:color="auto" w:fill="FFFFFF"/>
        </w:rPr>
        <w:t>Osteoporos</w:t>
      </w:r>
      <w:proofErr w:type="spellEnd"/>
      <w:r w:rsidRPr="00503558">
        <w:rPr>
          <w:rFonts w:ascii="Times New Roman" w:hAnsi="Times New Roman" w:cs="Times New Roman"/>
          <w:color w:val="FF0000"/>
          <w:sz w:val="24"/>
          <w:szCs w:val="24"/>
          <w:shd w:val="clear" w:color="auto" w:fill="FFFFFF"/>
        </w:rPr>
        <w:t xml:space="preserve"> </w:t>
      </w:r>
      <w:proofErr w:type="gramStart"/>
      <w:r w:rsidRPr="00503558">
        <w:rPr>
          <w:rFonts w:ascii="Times New Roman" w:hAnsi="Times New Roman" w:cs="Times New Roman"/>
          <w:color w:val="FF0000"/>
          <w:sz w:val="24"/>
          <w:szCs w:val="24"/>
          <w:shd w:val="clear" w:color="auto" w:fill="FFFFFF"/>
        </w:rPr>
        <w:t>2015;2015:627631</w:t>
      </w:r>
      <w:proofErr w:type="gramEnd"/>
    </w:p>
    <w:p w14:paraId="5F2C7FEB" w14:textId="77777777" w:rsidR="00FE36AF" w:rsidRPr="00FE36AF" w:rsidRDefault="00FE36AF" w:rsidP="00FE36AF">
      <w:pPr>
        <w:pStyle w:val="ListParagraph"/>
        <w:rPr>
          <w:rFonts w:ascii="Times New Roman" w:hAnsi="Times New Roman" w:cs="Times New Roman"/>
          <w:color w:val="FF0000"/>
          <w:sz w:val="24"/>
          <w:szCs w:val="24"/>
          <w:shd w:val="clear" w:color="auto" w:fill="FFFFFF"/>
        </w:rPr>
      </w:pPr>
    </w:p>
    <w:p w14:paraId="50C588B3" w14:textId="77777777" w:rsidR="00FE36AF" w:rsidRPr="00FE36AF" w:rsidRDefault="00FE36AF" w:rsidP="00FE36AF">
      <w:pPr>
        <w:pStyle w:val="ListParagraph"/>
        <w:numPr>
          <w:ilvl w:val="0"/>
          <w:numId w:val="1"/>
        </w:numPr>
        <w:spacing w:after="0" w:line="240" w:lineRule="auto"/>
        <w:ind w:left="0"/>
        <w:rPr>
          <w:rFonts w:ascii="Times New Roman" w:eastAsia="Times New Roman" w:hAnsi="Times New Roman" w:cs="Times New Roman"/>
          <w:color w:val="FF0000"/>
          <w:sz w:val="24"/>
          <w:szCs w:val="24"/>
        </w:rPr>
      </w:pPr>
      <w:proofErr w:type="spellStart"/>
      <w:r w:rsidRPr="00FE36AF">
        <w:rPr>
          <w:rFonts w:ascii="Times New Roman" w:hAnsi="Times New Roman" w:cs="Times New Roman"/>
          <w:color w:val="FF0000"/>
          <w:sz w:val="24"/>
          <w:szCs w:val="24"/>
          <w:shd w:val="clear" w:color="auto" w:fill="FFFFFF"/>
        </w:rPr>
        <w:t>Lyu</w:t>
      </w:r>
      <w:proofErr w:type="spellEnd"/>
      <w:r w:rsidRPr="00FE36AF">
        <w:rPr>
          <w:rFonts w:ascii="Times New Roman" w:hAnsi="Times New Roman" w:cs="Times New Roman"/>
          <w:color w:val="FF0000"/>
          <w:sz w:val="24"/>
          <w:szCs w:val="24"/>
          <w:shd w:val="clear" w:color="auto" w:fill="FFFFFF"/>
        </w:rPr>
        <w:t xml:space="preserve"> H, </w:t>
      </w:r>
      <w:proofErr w:type="spellStart"/>
      <w:r w:rsidRPr="00FE36AF">
        <w:rPr>
          <w:rFonts w:ascii="Times New Roman" w:hAnsi="Times New Roman" w:cs="Times New Roman"/>
          <w:color w:val="FF0000"/>
          <w:sz w:val="24"/>
          <w:szCs w:val="24"/>
          <w:shd w:val="clear" w:color="auto" w:fill="FFFFFF"/>
        </w:rPr>
        <w:t>Jundi</w:t>
      </w:r>
      <w:proofErr w:type="spellEnd"/>
      <w:r w:rsidRPr="00FE36AF">
        <w:rPr>
          <w:rFonts w:ascii="Times New Roman" w:hAnsi="Times New Roman" w:cs="Times New Roman"/>
          <w:color w:val="FF0000"/>
          <w:sz w:val="24"/>
          <w:szCs w:val="24"/>
          <w:shd w:val="clear" w:color="auto" w:fill="FFFFFF"/>
        </w:rPr>
        <w:t xml:space="preserve"> B, Xu C, et al. Comparison of </w:t>
      </w:r>
      <w:proofErr w:type="spellStart"/>
      <w:r w:rsidRPr="00FE36AF">
        <w:rPr>
          <w:rFonts w:ascii="Times New Roman" w:hAnsi="Times New Roman" w:cs="Times New Roman"/>
          <w:color w:val="FF0000"/>
          <w:sz w:val="24"/>
          <w:szCs w:val="24"/>
          <w:shd w:val="clear" w:color="auto" w:fill="FFFFFF"/>
        </w:rPr>
        <w:t>denosumab</w:t>
      </w:r>
      <w:proofErr w:type="spellEnd"/>
      <w:r w:rsidRPr="00FE36AF">
        <w:rPr>
          <w:rFonts w:ascii="Times New Roman" w:hAnsi="Times New Roman" w:cs="Times New Roman"/>
          <w:color w:val="FF0000"/>
          <w:sz w:val="24"/>
          <w:szCs w:val="24"/>
          <w:shd w:val="clear" w:color="auto" w:fill="FFFFFF"/>
        </w:rPr>
        <w:t xml:space="preserve"> and bisphosphonates in patients with osteoporosis: a meta-analysis of </w:t>
      </w:r>
      <w:proofErr w:type="spellStart"/>
      <w:r w:rsidRPr="00FE36AF">
        <w:rPr>
          <w:rFonts w:ascii="Times New Roman" w:hAnsi="Times New Roman" w:cs="Times New Roman"/>
          <w:color w:val="FF0000"/>
          <w:sz w:val="24"/>
          <w:szCs w:val="24"/>
          <w:shd w:val="clear" w:color="auto" w:fill="FFFFFF"/>
        </w:rPr>
        <w:t>randomised</w:t>
      </w:r>
      <w:proofErr w:type="spellEnd"/>
      <w:r w:rsidRPr="00FE36AF">
        <w:rPr>
          <w:rFonts w:ascii="Times New Roman" w:hAnsi="Times New Roman" w:cs="Times New Roman"/>
          <w:color w:val="FF0000"/>
          <w:sz w:val="24"/>
          <w:szCs w:val="24"/>
          <w:shd w:val="clear" w:color="auto" w:fill="FFFFFF"/>
        </w:rPr>
        <w:t xml:space="preserve"> controlled trials. J </w:t>
      </w:r>
      <w:proofErr w:type="spellStart"/>
      <w:r w:rsidRPr="00FE36AF">
        <w:rPr>
          <w:rFonts w:ascii="Times New Roman" w:hAnsi="Times New Roman" w:cs="Times New Roman"/>
          <w:color w:val="FF0000"/>
          <w:sz w:val="24"/>
          <w:szCs w:val="24"/>
          <w:shd w:val="clear" w:color="auto" w:fill="FFFFFF"/>
        </w:rPr>
        <w:t>Clin</w:t>
      </w:r>
      <w:proofErr w:type="spellEnd"/>
      <w:r w:rsidRPr="00FE36AF">
        <w:rPr>
          <w:rFonts w:ascii="Times New Roman" w:hAnsi="Times New Roman" w:cs="Times New Roman"/>
          <w:color w:val="FF0000"/>
          <w:sz w:val="24"/>
          <w:szCs w:val="24"/>
          <w:shd w:val="clear" w:color="auto" w:fill="FFFFFF"/>
        </w:rPr>
        <w:t xml:space="preserve"> </w:t>
      </w:r>
      <w:proofErr w:type="spellStart"/>
      <w:r w:rsidRPr="00FE36AF">
        <w:rPr>
          <w:rFonts w:ascii="Times New Roman" w:hAnsi="Times New Roman" w:cs="Times New Roman"/>
          <w:color w:val="FF0000"/>
          <w:sz w:val="24"/>
          <w:szCs w:val="24"/>
          <w:shd w:val="clear" w:color="auto" w:fill="FFFFFF"/>
        </w:rPr>
        <w:t>Endocrinol</w:t>
      </w:r>
      <w:proofErr w:type="spellEnd"/>
      <w:r w:rsidRPr="00FE36AF">
        <w:rPr>
          <w:rFonts w:ascii="Times New Roman" w:hAnsi="Times New Roman" w:cs="Times New Roman"/>
          <w:color w:val="FF0000"/>
          <w:sz w:val="24"/>
          <w:szCs w:val="24"/>
          <w:shd w:val="clear" w:color="auto" w:fill="FFFFFF"/>
        </w:rPr>
        <w:t xml:space="preserve"> </w:t>
      </w:r>
      <w:proofErr w:type="spellStart"/>
      <w:r w:rsidRPr="00FE36AF">
        <w:rPr>
          <w:rFonts w:ascii="Times New Roman" w:hAnsi="Times New Roman" w:cs="Times New Roman"/>
          <w:color w:val="FF0000"/>
          <w:sz w:val="24"/>
          <w:szCs w:val="24"/>
          <w:shd w:val="clear" w:color="auto" w:fill="FFFFFF"/>
        </w:rPr>
        <w:t>Metab</w:t>
      </w:r>
      <w:proofErr w:type="spellEnd"/>
      <w:r w:rsidRPr="00FE36AF">
        <w:rPr>
          <w:rFonts w:ascii="Times New Roman" w:hAnsi="Times New Roman" w:cs="Times New Roman"/>
          <w:color w:val="FF0000"/>
          <w:sz w:val="24"/>
          <w:szCs w:val="24"/>
          <w:shd w:val="clear" w:color="auto" w:fill="FFFFFF"/>
        </w:rPr>
        <w:t xml:space="preserve"> 2019;104(5):1753-65.</w:t>
      </w:r>
    </w:p>
    <w:p w14:paraId="451A147E" w14:textId="77777777" w:rsidR="00FE36AF" w:rsidRPr="00FE36AF" w:rsidRDefault="00FE36AF" w:rsidP="00FE36AF">
      <w:pPr>
        <w:pStyle w:val="ListParagraph"/>
        <w:rPr>
          <w:rFonts w:ascii="Times New Roman" w:hAnsi="Times New Roman" w:cs="Times New Roman"/>
          <w:color w:val="FF0000"/>
          <w:sz w:val="24"/>
          <w:szCs w:val="24"/>
          <w:shd w:val="clear" w:color="auto" w:fill="FFFFFF"/>
        </w:rPr>
      </w:pPr>
    </w:p>
    <w:p w14:paraId="5F6420C3" w14:textId="251925A2" w:rsidR="00FE36AF" w:rsidRPr="00FE36AF" w:rsidRDefault="00FE36AF" w:rsidP="00FE36AF">
      <w:pPr>
        <w:pStyle w:val="ListParagraph"/>
        <w:numPr>
          <w:ilvl w:val="0"/>
          <w:numId w:val="1"/>
        </w:numPr>
        <w:spacing w:after="0" w:line="240" w:lineRule="auto"/>
        <w:ind w:left="0"/>
        <w:rPr>
          <w:rFonts w:ascii="Times New Roman" w:eastAsia="Times New Roman" w:hAnsi="Times New Roman" w:cs="Times New Roman"/>
          <w:color w:val="FF0000"/>
          <w:sz w:val="24"/>
          <w:szCs w:val="24"/>
        </w:rPr>
      </w:pPr>
      <w:proofErr w:type="spellStart"/>
      <w:r w:rsidRPr="00FE36AF">
        <w:rPr>
          <w:rFonts w:ascii="Times New Roman" w:hAnsi="Times New Roman" w:cs="Times New Roman"/>
          <w:color w:val="FF0000"/>
          <w:sz w:val="24"/>
          <w:szCs w:val="24"/>
          <w:shd w:val="clear" w:color="auto" w:fill="FFFFFF"/>
        </w:rPr>
        <w:t>Saag</w:t>
      </w:r>
      <w:proofErr w:type="spellEnd"/>
      <w:r w:rsidRPr="00FE36AF">
        <w:rPr>
          <w:rFonts w:ascii="Times New Roman" w:hAnsi="Times New Roman" w:cs="Times New Roman"/>
          <w:color w:val="FF0000"/>
          <w:sz w:val="24"/>
          <w:szCs w:val="24"/>
          <w:shd w:val="clear" w:color="auto" w:fill="FFFFFF"/>
        </w:rPr>
        <w:t xml:space="preserve"> KG, </w:t>
      </w:r>
      <w:proofErr w:type="spellStart"/>
      <w:r w:rsidRPr="00FE36AF">
        <w:rPr>
          <w:rFonts w:ascii="Times New Roman" w:hAnsi="Times New Roman" w:cs="Times New Roman"/>
          <w:color w:val="FF0000"/>
          <w:sz w:val="24"/>
          <w:szCs w:val="24"/>
          <w:shd w:val="clear" w:color="auto" w:fill="FFFFFF"/>
        </w:rPr>
        <w:t>Pannacciulli</w:t>
      </w:r>
      <w:proofErr w:type="spellEnd"/>
      <w:r w:rsidRPr="00FE36AF">
        <w:rPr>
          <w:rFonts w:ascii="Times New Roman" w:hAnsi="Times New Roman" w:cs="Times New Roman"/>
          <w:color w:val="FF0000"/>
          <w:sz w:val="24"/>
          <w:szCs w:val="24"/>
          <w:shd w:val="clear" w:color="auto" w:fill="FFFFFF"/>
        </w:rPr>
        <w:t xml:space="preserve"> N, </w:t>
      </w:r>
      <w:proofErr w:type="spellStart"/>
      <w:r w:rsidRPr="00FE36AF">
        <w:rPr>
          <w:rFonts w:ascii="Times New Roman" w:hAnsi="Times New Roman" w:cs="Times New Roman"/>
          <w:color w:val="FF0000"/>
          <w:sz w:val="24"/>
          <w:szCs w:val="24"/>
          <w:shd w:val="clear" w:color="auto" w:fill="FFFFFF"/>
        </w:rPr>
        <w:t>Geusens</w:t>
      </w:r>
      <w:proofErr w:type="spellEnd"/>
      <w:r w:rsidRPr="00FE36AF">
        <w:rPr>
          <w:rFonts w:ascii="Times New Roman" w:hAnsi="Times New Roman" w:cs="Times New Roman"/>
          <w:color w:val="FF0000"/>
          <w:sz w:val="24"/>
          <w:szCs w:val="24"/>
          <w:shd w:val="clear" w:color="auto" w:fill="FFFFFF"/>
        </w:rPr>
        <w:t xml:space="preserve"> P, et al. </w:t>
      </w:r>
      <w:proofErr w:type="spellStart"/>
      <w:r w:rsidRPr="00FE36AF">
        <w:rPr>
          <w:rFonts w:ascii="Times New Roman" w:hAnsi="Times New Roman" w:cs="Times New Roman"/>
          <w:color w:val="FF0000"/>
          <w:sz w:val="24"/>
          <w:szCs w:val="24"/>
          <w:shd w:val="clear" w:color="auto" w:fill="FFFFFF"/>
        </w:rPr>
        <w:t>Denosumab</w:t>
      </w:r>
      <w:proofErr w:type="spellEnd"/>
      <w:r w:rsidRPr="00FE36AF">
        <w:rPr>
          <w:rFonts w:ascii="Times New Roman" w:hAnsi="Times New Roman" w:cs="Times New Roman"/>
          <w:color w:val="FF0000"/>
          <w:sz w:val="24"/>
          <w:szCs w:val="24"/>
          <w:shd w:val="clear" w:color="auto" w:fill="FFFFFF"/>
        </w:rPr>
        <w:t xml:space="preserve"> versus </w:t>
      </w:r>
      <w:proofErr w:type="spellStart"/>
      <w:r w:rsidRPr="00FE36AF">
        <w:rPr>
          <w:rFonts w:ascii="Times New Roman" w:hAnsi="Times New Roman" w:cs="Times New Roman"/>
          <w:color w:val="FF0000"/>
          <w:sz w:val="24"/>
          <w:szCs w:val="24"/>
          <w:shd w:val="clear" w:color="auto" w:fill="FFFFFF"/>
        </w:rPr>
        <w:t>risedronate</w:t>
      </w:r>
      <w:proofErr w:type="spellEnd"/>
      <w:r w:rsidRPr="00FE36AF">
        <w:rPr>
          <w:rFonts w:ascii="Times New Roman" w:hAnsi="Times New Roman" w:cs="Times New Roman"/>
          <w:color w:val="FF0000"/>
          <w:sz w:val="24"/>
          <w:szCs w:val="24"/>
          <w:shd w:val="clear" w:color="auto" w:fill="FFFFFF"/>
        </w:rPr>
        <w:t xml:space="preserve"> in glucocorticoid-induced osteoporosis: final results of a twenty-four-month randomized, double-blind, double-dummy trial. Arthritis </w:t>
      </w:r>
      <w:proofErr w:type="spellStart"/>
      <w:r w:rsidRPr="00FE36AF">
        <w:rPr>
          <w:rFonts w:ascii="Times New Roman" w:hAnsi="Times New Roman" w:cs="Times New Roman"/>
          <w:color w:val="FF0000"/>
          <w:sz w:val="24"/>
          <w:szCs w:val="24"/>
          <w:shd w:val="clear" w:color="auto" w:fill="FFFFFF"/>
        </w:rPr>
        <w:t>Rheumatol</w:t>
      </w:r>
      <w:proofErr w:type="spellEnd"/>
      <w:r w:rsidRPr="00FE36AF">
        <w:rPr>
          <w:rFonts w:ascii="Times New Roman" w:hAnsi="Times New Roman" w:cs="Times New Roman"/>
          <w:color w:val="FF0000"/>
          <w:sz w:val="24"/>
          <w:szCs w:val="24"/>
          <w:shd w:val="clear" w:color="auto" w:fill="FFFFFF"/>
        </w:rPr>
        <w:t xml:space="preserve"> 2019;71(7):1174-1184.</w:t>
      </w:r>
    </w:p>
    <w:p w14:paraId="169C3F31" w14:textId="6347412B" w:rsidR="006E5884" w:rsidRDefault="006E5884" w:rsidP="259FC043">
      <w:pPr>
        <w:spacing w:after="0" w:line="240" w:lineRule="auto"/>
        <w:rPr>
          <w:rFonts w:ascii="Times New Roman" w:eastAsia="Times New Roman" w:hAnsi="Times New Roman" w:cs="Times New Roman"/>
          <w:sz w:val="24"/>
          <w:szCs w:val="24"/>
        </w:rPr>
      </w:pPr>
    </w:p>
    <w:p w14:paraId="7DC48596" w14:textId="6D4366B3"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Aubry-Rozier</w:t>
      </w:r>
      <w:proofErr w:type="spellEnd"/>
      <w:r w:rsidRPr="259FC043">
        <w:rPr>
          <w:rFonts w:ascii="Times New Roman" w:eastAsia="Times New Roman" w:hAnsi="Times New Roman" w:cs="Times New Roman"/>
          <w:sz w:val="24"/>
          <w:szCs w:val="24"/>
        </w:rPr>
        <w:t xml:space="preserve"> B, Gonzalez-Rodriguez E, Stoll D, </w:t>
      </w:r>
      <w:proofErr w:type="spellStart"/>
      <w:r w:rsidRPr="259FC043">
        <w:rPr>
          <w:rFonts w:ascii="Times New Roman" w:eastAsia="Times New Roman" w:hAnsi="Times New Roman" w:cs="Times New Roman"/>
          <w:sz w:val="24"/>
          <w:szCs w:val="24"/>
        </w:rPr>
        <w:t>Lamy</w:t>
      </w:r>
      <w:proofErr w:type="spellEnd"/>
      <w:r w:rsidRPr="259FC043">
        <w:rPr>
          <w:rFonts w:ascii="Times New Roman" w:eastAsia="Times New Roman" w:hAnsi="Times New Roman" w:cs="Times New Roman"/>
          <w:sz w:val="24"/>
          <w:szCs w:val="24"/>
        </w:rPr>
        <w:t xml:space="preserve"> O. Severe spontaneous vertebral fractures after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discontinuation: three case reports. </w:t>
      </w:r>
      <w:proofErr w:type="spellStart"/>
      <w:r w:rsidRPr="259FC043">
        <w:rPr>
          <w:rFonts w:ascii="Times New Roman" w:eastAsia="Times New Roman" w:hAnsi="Times New Roman" w:cs="Times New Roman"/>
          <w:sz w:val="24"/>
          <w:szCs w:val="24"/>
        </w:rPr>
        <w:t>Osteoporos</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Int</w:t>
      </w:r>
      <w:proofErr w:type="spellEnd"/>
      <w:r w:rsidRPr="259FC043">
        <w:rPr>
          <w:rFonts w:ascii="Times New Roman" w:eastAsia="Times New Roman" w:hAnsi="Times New Roman" w:cs="Times New Roman"/>
          <w:sz w:val="24"/>
          <w:szCs w:val="24"/>
        </w:rPr>
        <w:t xml:space="preserve"> 2015: 27:1923-1925.  </w:t>
      </w:r>
    </w:p>
    <w:p w14:paraId="67AB27C3" w14:textId="5616DBFA" w:rsidR="006E5884" w:rsidRDefault="006E5884" w:rsidP="259FC043">
      <w:pPr>
        <w:spacing w:after="0" w:line="240" w:lineRule="auto"/>
        <w:rPr>
          <w:rFonts w:ascii="Times New Roman" w:eastAsia="Times New Roman" w:hAnsi="Times New Roman" w:cs="Times New Roman"/>
          <w:sz w:val="24"/>
          <w:szCs w:val="24"/>
        </w:rPr>
      </w:pPr>
    </w:p>
    <w:p w14:paraId="0502C06D" w14:textId="7740BECC"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McClung MR, </w:t>
      </w:r>
      <w:proofErr w:type="spellStart"/>
      <w:r w:rsidRPr="259FC043">
        <w:rPr>
          <w:rFonts w:ascii="Times New Roman" w:eastAsia="Times New Roman" w:hAnsi="Times New Roman" w:cs="Times New Roman"/>
          <w:sz w:val="24"/>
          <w:szCs w:val="24"/>
        </w:rPr>
        <w:t>Wagman</w:t>
      </w:r>
      <w:proofErr w:type="spellEnd"/>
      <w:r w:rsidRPr="259FC043">
        <w:rPr>
          <w:rFonts w:ascii="Times New Roman" w:eastAsia="Times New Roman" w:hAnsi="Times New Roman" w:cs="Times New Roman"/>
          <w:sz w:val="24"/>
          <w:szCs w:val="24"/>
        </w:rPr>
        <w:t xml:space="preserve"> RB, Miller PD, Wang A, </w:t>
      </w:r>
      <w:proofErr w:type="spellStart"/>
      <w:r w:rsidRPr="259FC043">
        <w:rPr>
          <w:rFonts w:ascii="Times New Roman" w:eastAsia="Times New Roman" w:hAnsi="Times New Roman" w:cs="Times New Roman"/>
          <w:sz w:val="24"/>
          <w:szCs w:val="24"/>
        </w:rPr>
        <w:t>Lewiecki</w:t>
      </w:r>
      <w:proofErr w:type="spellEnd"/>
      <w:r w:rsidRPr="259FC043">
        <w:rPr>
          <w:rFonts w:ascii="Times New Roman" w:eastAsia="Times New Roman" w:hAnsi="Times New Roman" w:cs="Times New Roman"/>
          <w:sz w:val="24"/>
          <w:szCs w:val="24"/>
        </w:rPr>
        <w:t xml:space="preserve"> EM. Observations following discontinuation of long-term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therapy. </w:t>
      </w:r>
      <w:proofErr w:type="spellStart"/>
      <w:r w:rsidRPr="259FC043">
        <w:rPr>
          <w:rFonts w:ascii="Times New Roman" w:eastAsia="Times New Roman" w:hAnsi="Times New Roman" w:cs="Times New Roman"/>
          <w:sz w:val="24"/>
          <w:szCs w:val="24"/>
        </w:rPr>
        <w:t>Osteoporos</w:t>
      </w:r>
      <w:proofErr w:type="spellEnd"/>
      <w:r w:rsidRPr="259FC043">
        <w:rPr>
          <w:rFonts w:ascii="Times New Roman" w:eastAsia="Times New Roman" w:hAnsi="Times New Roman" w:cs="Times New Roman"/>
          <w:sz w:val="24"/>
          <w:szCs w:val="24"/>
        </w:rPr>
        <w:t xml:space="preserve"> </w:t>
      </w:r>
      <w:proofErr w:type="spellStart"/>
      <w:r w:rsidRPr="259FC043">
        <w:rPr>
          <w:rFonts w:ascii="Times New Roman" w:eastAsia="Times New Roman" w:hAnsi="Times New Roman" w:cs="Times New Roman"/>
          <w:sz w:val="24"/>
          <w:szCs w:val="24"/>
        </w:rPr>
        <w:t>Int</w:t>
      </w:r>
      <w:proofErr w:type="spellEnd"/>
      <w:r w:rsidRPr="259FC043">
        <w:rPr>
          <w:rFonts w:ascii="Times New Roman" w:eastAsia="Times New Roman" w:hAnsi="Times New Roman" w:cs="Times New Roman"/>
          <w:sz w:val="24"/>
          <w:szCs w:val="24"/>
        </w:rPr>
        <w:t xml:space="preserve"> 2017: 28:1723-1732.</w:t>
      </w:r>
    </w:p>
    <w:p w14:paraId="5944A005" w14:textId="7F6EC8E0" w:rsidR="006E5884" w:rsidRDefault="006E5884" w:rsidP="259FC043">
      <w:pPr>
        <w:spacing w:after="0" w:line="240" w:lineRule="auto"/>
        <w:rPr>
          <w:rFonts w:ascii="Times New Roman" w:eastAsia="Times New Roman" w:hAnsi="Times New Roman" w:cs="Times New Roman"/>
          <w:sz w:val="24"/>
          <w:szCs w:val="24"/>
        </w:rPr>
      </w:pPr>
    </w:p>
    <w:p w14:paraId="5ED89293" w14:textId="550E9D6D"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r w:rsidRPr="259FC043">
        <w:rPr>
          <w:rFonts w:ascii="Times New Roman" w:eastAsia="Times New Roman" w:hAnsi="Times New Roman" w:cs="Times New Roman"/>
          <w:sz w:val="24"/>
          <w:szCs w:val="24"/>
        </w:rPr>
        <w:t xml:space="preserve">Brown JP, Roux C, </w:t>
      </w:r>
      <w:proofErr w:type="spellStart"/>
      <w:r w:rsidRPr="259FC043">
        <w:rPr>
          <w:rFonts w:ascii="Times New Roman" w:eastAsia="Times New Roman" w:hAnsi="Times New Roman" w:cs="Times New Roman"/>
          <w:sz w:val="24"/>
          <w:szCs w:val="24"/>
        </w:rPr>
        <w:t>Torring</w:t>
      </w:r>
      <w:proofErr w:type="spellEnd"/>
      <w:r w:rsidRPr="259FC043">
        <w:rPr>
          <w:rFonts w:ascii="Times New Roman" w:eastAsia="Times New Roman" w:hAnsi="Times New Roman" w:cs="Times New Roman"/>
          <w:sz w:val="24"/>
          <w:szCs w:val="24"/>
        </w:rPr>
        <w:t xml:space="preserve"> O, et al. Discontinuation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and associated fracture incidence: analysis from the Fracture Reduction Evaluation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in Osteoporosis Every 6 Months (FREEDOM) trial. J Bone Miner Res 2013: 28(4):746-752. </w:t>
      </w:r>
    </w:p>
    <w:p w14:paraId="58D3BCE7" w14:textId="536F9669" w:rsidR="006E5884" w:rsidRDefault="006E5884" w:rsidP="259FC043">
      <w:pPr>
        <w:spacing w:after="0" w:line="240" w:lineRule="auto"/>
        <w:rPr>
          <w:rFonts w:ascii="Times New Roman" w:eastAsia="Times New Roman" w:hAnsi="Times New Roman" w:cs="Times New Roman"/>
          <w:sz w:val="24"/>
          <w:szCs w:val="24"/>
        </w:rPr>
      </w:pPr>
    </w:p>
    <w:p w14:paraId="2C078E63" w14:textId="48BBD494" w:rsidR="006E5884" w:rsidRDefault="259FC043" w:rsidP="259FC043">
      <w:pPr>
        <w:pStyle w:val="ListParagraph"/>
        <w:numPr>
          <w:ilvl w:val="0"/>
          <w:numId w:val="1"/>
        </w:numPr>
        <w:spacing w:after="0" w:line="240" w:lineRule="auto"/>
        <w:ind w:left="0"/>
        <w:rPr>
          <w:rFonts w:ascii="Times New Roman" w:eastAsia="Times New Roman" w:hAnsi="Times New Roman" w:cs="Times New Roman"/>
          <w:sz w:val="24"/>
          <w:szCs w:val="24"/>
        </w:rPr>
      </w:pPr>
      <w:proofErr w:type="spellStart"/>
      <w:r w:rsidRPr="259FC043">
        <w:rPr>
          <w:rFonts w:ascii="Times New Roman" w:eastAsia="Times New Roman" w:hAnsi="Times New Roman" w:cs="Times New Roman"/>
          <w:sz w:val="24"/>
          <w:szCs w:val="24"/>
        </w:rPr>
        <w:t>Tsourdi</w:t>
      </w:r>
      <w:proofErr w:type="spellEnd"/>
      <w:r w:rsidRPr="259FC043">
        <w:rPr>
          <w:rFonts w:ascii="Times New Roman" w:eastAsia="Times New Roman" w:hAnsi="Times New Roman" w:cs="Times New Roman"/>
          <w:sz w:val="24"/>
          <w:szCs w:val="24"/>
        </w:rPr>
        <w:t xml:space="preserve"> E, </w:t>
      </w:r>
      <w:proofErr w:type="spellStart"/>
      <w:r w:rsidRPr="259FC043">
        <w:rPr>
          <w:rFonts w:ascii="Times New Roman" w:eastAsia="Times New Roman" w:hAnsi="Times New Roman" w:cs="Times New Roman"/>
          <w:sz w:val="24"/>
          <w:szCs w:val="24"/>
        </w:rPr>
        <w:t>Langdahl</w:t>
      </w:r>
      <w:proofErr w:type="spellEnd"/>
      <w:r w:rsidRPr="259FC043">
        <w:rPr>
          <w:rFonts w:ascii="Times New Roman" w:eastAsia="Times New Roman" w:hAnsi="Times New Roman" w:cs="Times New Roman"/>
          <w:sz w:val="24"/>
          <w:szCs w:val="24"/>
        </w:rPr>
        <w:t xml:space="preserve"> B, Cohen-Solal M, et al. Discontinuation of </w:t>
      </w:r>
      <w:proofErr w:type="spellStart"/>
      <w:r w:rsidRPr="259FC043">
        <w:rPr>
          <w:rFonts w:ascii="Times New Roman" w:eastAsia="Times New Roman" w:hAnsi="Times New Roman" w:cs="Times New Roman"/>
          <w:sz w:val="24"/>
          <w:szCs w:val="24"/>
        </w:rPr>
        <w:t>denosumab</w:t>
      </w:r>
      <w:proofErr w:type="spellEnd"/>
      <w:r w:rsidRPr="259FC043">
        <w:rPr>
          <w:rFonts w:ascii="Times New Roman" w:eastAsia="Times New Roman" w:hAnsi="Times New Roman" w:cs="Times New Roman"/>
          <w:sz w:val="24"/>
          <w:szCs w:val="24"/>
        </w:rPr>
        <w:t xml:space="preserve"> therapy for osteoporosis: a systematic review and position statement by ECTS. Bone 2017: 105:11-17.</w:t>
      </w:r>
    </w:p>
    <w:p w14:paraId="1B699C0E" w14:textId="77777777" w:rsidR="004367E2" w:rsidRPr="004367E2" w:rsidRDefault="004367E2" w:rsidP="004367E2">
      <w:pPr>
        <w:pStyle w:val="ListParagraph"/>
        <w:rPr>
          <w:rFonts w:ascii="Times New Roman" w:eastAsia="Times New Roman" w:hAnsi="Times New Roman" w:cs="Times New Roman"/>
          <w:sz w:val="24"/>
          <w:szCs w:val="24"/>
        </w:rPr>
      </w:pPr>
    </w:p>
    <w:p w14:paraId="68D701B6" w14:textId="09E8C174" w:rsidR="004367E2" w:rsidRPr="004367E2" w:rsidRDefault="004367E2" w:rsidP="259FC043">
      <w:pPr>
        <w:pStyle w:val="ListParagraph"/>
        <w:numPr>
          <w:ilvl w:val="0"/>
          <w:numId w:val="1"/>
        </w:numPr>
        <w:spacing w:after="0" w:line="240" w:lineRule="auto"/>
        <w:ind w:left="0"/>
        <w:rPr>
          <w:rFonts w:ascii="Times New Roman" w:eastAsia="Times New Roman" w:hAnsi="Times New Roman" w:cs="Times New Roman"/>
          <w:color w:val="FF0000"/>
          <w:sz w:val="24"/>
          <w:szCs w:val="24"/>
        </w:rPr>
      </w:pPr>
      <w:proofErr w:type="spellStart"/>
      <w:r w:rsidRPr="004367E2">
        <w:rPr>
          <w:rFonts w:ascii="Times New Roman" w:hAnsi="Times New Roman" w:cs="Times New Roman"/>
          <w:color w:val="FF0000"/>
          <w:sz w:val="24"/>
          <w:szCs w:val="24"/>
          <w:shd w:val="clear" w:color="auto" w:fill="FFFFFF"/>
        </w:rPr>
        <w:t>Karlsson</w:t>
      </w:r>
      <w:proofErr w:type="spellEnd"/>
      <w:r w:rsidRPr="004367E2">
        <w:rPr>
          <w:rFonts w:ascii="Times New Roman" w:hAnsi="Times New Roman" w:cs="Times New Roman"/>
          <w:color w:val="FF0000"/>
          <w:sz w:val="24"/>
          <w:szCs w:val="24"/>
          <w:shd w:val="clear" w:color="auto" w:fill="FFFFFF"/>
        </w:rPr>
        <w:t xml:space="preserve"> L, </w:t>
      </w:r>
      <w:proofErr w:type="spellStart"/>
      <w:r w:rsidRPr="004367E2">
        <w:rPr>
          <w:rFonts w:ascii="Times New Roman" w:hAnsi="Times New Roman" w:cs="Times New Roman"/>
          <w:color w:val="FF0000"/>
          <w:sz w:val="24"/>
          <w:szCs w:val="24"/>
          <w:shd w:val="clear" w:color="auto" w:fill="FFFFFF"/>
        </w:rPr>
        <w:t>Lundkvist</w:t>
      </w:r>
      <w:proofErr w:type="spellEnd"/>
      <w:r w:rsidRPr="004367E2">
        <w:rPr>
          <w:rFonts w:ascii="Times New Roman" w:hAnsi="Times New Roman" w:cs="Times New Roman"/>
          <w:color w:val="FF0000"/>
          <w:sz w:val="24"/>
          <w:szCs w:val="24"/>
          <w:shd w:val="clear" w:color="auto" w:fill="FFFFFF"/>
        </w:rPr>
        <w:t xml:space="preserve"> J, </w:t>
      </w:r>
      <w:proofErr w:type="spellStart"/>
      <w:r w:rsidRPr="004367E2">
        <w:rPr>
          <w:rFonts w:ascii="Times New Roman" w:hAnsi="Times New Roman" w:cs="Times New Roman"/>
          <w:color w:val="FF0000"/>
          <w:sz w:val="24"/>
          <w:szCs w:val="24"/>
          <w:shd w:val="clear" w:color="auto" w:fill="FFFFFF"/>
        </w:rPr>
        <w:t>Psachoulia</w:t>
      </w:r>
      <w:proofErr w:type="spellEnd"/>
      <w:r w:rsidRPr="004367E2">
        <w:rPr>
          <w:rFonts w:ascii="Times New Roman" w:hAnsi="Times New Roman" w:cs="Times New Roman"/>
          <w:color w:val="FF0000"/>
          <w:sz w:val="24"/>
          <w:szCs w:val="24"/>
          <w:shd w:val="clear" w:color="auto" w:fill="FFFFFF"/>
        </w:rPr>
        <w:t xml:space="preserve"> E, </w:t>
      </w:r>
      <w:proofErr w:type="spellStart"/>
      <w:r w:rsidRPr="004367E2">
        <w:rPr>
          <w:rFonts w:ascii="Times New Roman" w:hAnsi="Times New Roman" w:cs="Times New Roman"/>
          <w:color w:val="FF0000"/>
          <w:sz w:val="24"/>
          <w:szCs w:val="24"/>
          <w:shd w:val="clear" w:color="auto" w:fill="FFFFFF"/>
        </w:rPr>
        <w:t>Intorca</w:t>
      </w:r>
      <w:proofErr w:type="spellEnd"/>
      <w:r w:rsidRPr="004367E2">
        <w:rPr>
          <w:rFonts w:ascii="Times New Roman" w:hAnsi="Times New Roman" w:cs="Times New Roman"/>
          <w:color w:val="FF0000"/>
          <w:sz w:val="24"/>
          <w:szCs w:val="24"/>
          <w:shd w:val="clear" w:color="auto" w:fill="FFFFFF"/>
        </w:rPr>
        <w:t xml:space="preserve"> M, Strom O. Persistence with </w:t>
      </w:r>
      <w:proofErr w:type="spellStart"/>
      <w:r w:rsidRPr="004367E2">
        <w:rPr>
          <w:rFonts w:ascii="Times New Roman" w:hAnsi="Times New Roman" w:cs="Times New Roman"/>
          <w:color w:val="FF0000"/>
          <w:sz w:val="24"/>
          <w:szCs w:val="24"/>
          <w:shd w:val="clear" w:color="auto" w:fill="FFFFFF"/>
        </w:rPr>
        <w:t>denosumab</w:t>
      </w:r>
      <w:proofErr w:type="spellEnd"/>
      <w:r w:rsidRPr="004367E2">
        <w:rPr>
          <w:rFonts w:ascii="Times New Roman" w:hAnsi="Times New Roman" w:cs="Times New Roman"/>
          <w:color w:val="FF0000"/>
          <w:sz w:val="24"/>
          <w:szCs w:val="24"/>
          <w:shd w:val="clear" w:color="auto" w:fill="FFFFFF"/>
        </w:rPr>
        <w:t xml:space="preserve"> and persistence with oral bisphosphonates for the treatment of postmenopausal osteoporosis: a retrospective, observational study, and a meta-analysis. </w:t>
      </w:r>
      <w:proofErr w:type="spellStart"/>
      <w:r w:rsidRPr="004367E2">
        <w:rPr>
          <w:rFonts w:ascii="Times New Roman" w:hAnsi="Times New Roman" w:cs="Times New Roman"/>
          <w:color w:val="FF0000"/>
          <w:sz w:val="24"/>
          <w:szCs w:val="24"/>
          <w:shd w:val="clear" w:color="auto" w:fill="FFFFFF"/>
        </w:rPr>
        <w:t>Osteoporos</w:t>
      </w:r>
      <w:proofErr w:type="spellEnd"/>
      <w:r w:rsidRPr="004367E2">
        <w:rPr>
          <w:rFonts w:ascii="Times New Roman" w:hAnsi="Times New Roman" w:cs="Times New Roman"/>
          <w:color w:val="FF0000"/>
          <w:sz w:val="24"/>
          <w:szCs w:val="24"/>
          <w:shd w:val="clear" w:color="auto" w:fill="FFFFFF"/>
        </w:rPr>
        <w:t xml:space="preserve"> </w:t>
      </w:r>
      <w:proofErr w:type="spellStart"/>
      <w:r w:rsidRPr="004367E2">
        <w:rPr>
          <w:rFonts w:ascii="Times New Roman" w:hAnsi="Times New Roman" w:cs="Times New Roman"/>
          <w:color w:val="FF0000"/>
          <w:sz w:val="24"/>
          <w:szCs w:val="24"/>
          <w:shd w:val="clear" w:color="auto" w:fill="FFFFFF"/>
        </w:rPr>
        <w:t>Int</w:t>
      </w:r>
      <w:proofErr w:type="spellEnd"/>
      <w:r w:rsidRPr="004367E2">
        <w:rPr>
          <w:rFonts w:ascii="Times New Roman" w:hAnsi="Times New Roman" w:cs="Times New Roman"/>
          <w:color w:val="FF0000"/>
          <w:sz w:val="24"/>
          <w:szCs w:val="24"/>
          <w:shd w:val="clear" w:color="auto" w:fill="FFFFFF"/>
        </w:rPr>
        <w:t xml:space="preserve"> </w:t>
      </w:r>
      <w:proofErr w:type="gramStart"/>
      <w:r w:rsidRPr="004367E2">
        <w:rPr>
          <w:rFonts w:ascii="Times New Roman" w:hAnsi="Times New Roman" w:cs="Times New Roman"/>
          <w:color w:val="FF0000"/>
          <w:sz w:val="24"/>
          <w:szCs w:val="24"/>
          <w:shd w:val="clear" w:color="auto" w:fill="FFFFFF"/>
        </w:rPr>
        <w:t>2015;26:2401</w:t>
      </w:r>
      <w:proofErr w:type="gramEnd"/>
      <w:r w:rsidRPr="004367E2">
        <w:rPr>
          <w:rFonts w:ascii="Times New Roman" w:hAnsi="Times New Roman" w:cs="Times New Roman"/>
          <w:color w:val="FF0000"/>
          <w:sz w:val="24"/>
          <w:szCs w:val="24"/>
          <w:shd w:val="clear" w:color="auto" w:fill="FFFFFF"/>
        </w:rPr>
        <w:t>-2411.</w:t>
      </w:r>
    </w:p>
    <w:sectPr w:rsidR="004367E2" w:rsidRPr="0043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8B7"/>
    <w:multiLevelType w:val="multilevel"/>
    <w:tmpl w:val="063C8F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47BF33"/>
    <w:rsid w:val="00090D8E"/>
    <w:rsid w:val="00426E2D"/>
    <w:rsid w:val="004367E2"/>
    <w:rsid w:val="00503558"/>
    <w:rsid w:val="0050435C"/>
    <w:rsid w:val="006E5884"/>
    <w:rsid w:val="007976A4"/>
    <w:rsid w:val="008F3270"/>
    <w:rsid w:val="00D82CBB"/>
    <w:rsid w:val="00FE36AF"/>
    <w:rsid w:val="259FC043"/>
    <w:rsid w:val="7047B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F33"/>
  <w15:chartTrackingRefBased/>
  <w15:docId w15:val="{A4CDD29B-CED4-47BB-8E64-5E4D6217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yhpoh.teo@moh.gov.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Dr Shyh Poh Teo</cp:lastModifiedBy>
  <cp:revision>2</cp:revision>
  <dcterms:created xsi:type="dcterms:W3CDTF">2020-08-11T03:26:00Z</dcterms:created>
  <dcterms:modified xsi:type="dcterms:W3CDTF">2020-08-11T03:26:00Z</dcterms:modified>
</cp:coreProperties>
</file>