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9FC043" w14:paraId="207F59FC" wp14:textId="0A00E861">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Title Page:</w:t>
      </w:r>
    </w:p>
    <w:p xmlns:wp14="http://schemas.microsoft.com/office/word/2010/wordml" w:rsidP="259FC043" w14:paraId="4D17CA60" wp14:textId="3C1E4EA9">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AAE1358" wp14:textId="7BA825AC">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F2D5D7C" wp14:textId="60C5AF0D">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Denosumab for the treatment of osteoporosis</w:t>
      </w:r>
    </w:p>
    <w:p xmlns:wp14="http://schemas.microsoft.com/office/word/2010/wordml" w:rsidP="259FC043" w14:paraId="2774B15E" wp14:textId="4F6E3772">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2587635" wp14:textId="24B37087">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(Therapeutic Brief)</w:t>
      </w:r>
    </w:p>
    <w:p xmlns:wp14="http://schemas.microsoft.com/office/word/2010/wordml" w:rsidP="259FC043" w14:paraId="73EDC0D0" wp14:textId="056A94F6">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7D33CA2" wp14:textId="511051FC">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FFF7302" wp14:textId="192F6168">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Author:</w:t>
      </w:r>
    </w:p>
    <w:p xmlns:wp14="http://schemas.microsoft.com/office/word/2010/wordml" w:rsidP="259FC043" w14:paraId="4E1A01F3" wp14:textId="05062CC3">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ACF9D44" wp14:textId="1E83CF83">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Shyh Poh Teo</w:t>
      </w:r>
    </w:p>
    <w:p xmlns:wp14="http://schemas.microsoft.com/office/word/2010/wordml" w:rsidP="259FC043" w14:paraId="5D64A9C4" wp14:textId="14D9E9A9">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B33EFF5" wp14:textId="2AD6B95C">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70704EB" wp14:textId="5EDAB847">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Affiliation:</w:t>
      </w:r>
    </w:p>
    <w:p xmlns:wp14="http://schemas.microsoft.com/office/word/2010/wordml" w:rsidP="259FC043" w14:paraId="681A10C3" wp14:textId="5BADC3EA">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2147996D" wp14:textId="41D98F01">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Geriatrics and Palliative Unit, Raja </w:t>
      </w:r>
      <w:proofErr w:type="spellStart"/>
      <w:r w:rsidRPr="259FC043" w:rsidR="259FC043">
        <w:rPr>
          <w:rFonts w:ascii="Times New Roman" w:hAnsi="Times New Roman" w:eastAsia="Times New Roman" w:cs="Times New Roman"/>
          <w:b w:val="0"/>
          <w:bCs w:val="0"/>
          <w:i w:val="0"/>
          <w:iCs w:val="0"/>
          <w:noProof w:val="0"/>
          <w:sz w:val="24"/>
          <w:szCs w:val="24"/>
          <w:lang w:val="en-US"/>
        </w:rPr>
        <w:t>Isteri</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Pengiran </w:t>
      </w:r>
      <w:proofErr w:type="spellStart"/>
      <w:r w:rsidRPr="259FC043" w:rsidR="259FC043">
        <w:rPr>
          <w:rFonts w:ascii="Times New Roman" w:hAnsi="Times New Roman" w:eastAsia="Times New Roman" w:cs="Times New Roman"/>
          <w:b w:val="0"/>
          <w:bCs w:val="0"/>
          <w:i w:val="0"/>
          <w:iCs w:val="0"/>
          <w:noProof w:val="0"/>
          <w:sz w:val="24"/>
          <w:szCs w:val="24"/>
          <w:lang w:val="en-US"/>
        </w:rPr>
        <w:t>Anak</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Saleha Hospital, Brunei Darussalam</w:t>
      </w:r>
    </w:p>
    <w:p xmlns:wp14="http://schemas.microsoft.com/office/word/2010/wordml" w:rsidP="259FC043" w14:paraId="45DB99B9" wp14:textId="565D0956">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CAB69A4" wp14:textId="33904B0D">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4F3FF925" wp14:textId="717E55E4">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Corresponding Author:</w:t>
      </w:r>
    </w:p>
    <w:p xmlns:wp14="http://schemas.microsoft.com/office/word/2010/wordml" w:rsidP="259FC043" w14:paraId="639C0AA4" wp14:textId="3FF866ED">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8C6AC7F" wp14:textId="37E5D017">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Shyh Poh Teo</w:t>
      </w:r>
    </w:p>
    <w:p xmlns:wp14="http://schemas.microsoft.com/office/word/2010/wordml" w:rsidP="259FC043" w14:paraId="62C720F3" wp14:textId="12366209">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C84C2A0" wp14:textId="6A0E2E49">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Geriatrics and Palliative Unit, Department of Internal Medicine, Raja </w:t>
      </w:r>
      <w:proofErr w:type="spellStart"/>
      <w:r w:rsidRPr="259FC043" w:rsidR="259FC043">
        <w:rPr>
          <w:rFonts w:ascii="Times New Roman" w:hAnsi="Times New Roman" w:eastAsia="Times New Roman" w:cs="Times New Roman"/>
          <w:b w:val="0"/>
          <w:bCs w:val="0"/>
          <w:i w:val="0"/>
          <w:iCs w:val="0"/>
          <w:noProof w:val="0"/>
          <w:sz w:val="24"/>
          <w:szCs w:val="24"/>
          <w:lang w:val="en-US"/>
        </w:rPr>
        <w:t>Isteri</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Pengiran </w:t>
      </w:r>
      <w:proofErr w:type="spellStart"/>
      <w:r w:rsidRPr="259FC043" w:rsidR="259FC043">
        <w:rPr>
          <w:rFonts w:ascii="Times New Roman" w:hAnsi="Times New Roman" w:eastAsia="Times New Roman" w:cs="Times New Roman"/>
          <w:b w:val="0"/>
          <w:bCs w:val="0"/>
          <w:i w:val="0"/>
          <w:iCs w:val="0"/>
          <w:noProof w:val="0"/>
          <w:sz w:val="24"/>
          <w:szCs w:val="24"/>
          <w:lang w:val="en-US"/>
        </w:rPr>
        <w:t>Anak</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Saleha Hospital, Jalan </w:t>
      </w:r>
      <w:proofErr w:type="spellStart"/>
      <w:r w:rsidRPr="259FC043" w:rsidR="259FC043">
        <w:rPr>
          <w:rFonts w:ascii="Times New Roman" w:hAnsi="Times New Roman" w:eastAsia="Times New Roman" w:cs="Times New Roman"/>
          <w:b w:val="0"/>
          <w:bCs w:val="0"/>
          <w:i w:val="0"/>
          <w:iCs w:val="0"/>
          <w:noProof w:val="0"/>
          <w:sz w:val="24"/>
          <w:szCs w:val="24"/>
          <w:lang w:val="en-US"/>
        </w:rPr>
        <w:t>Putera</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Al-</w:t>
      </w:r>
      <w:proofErr w:type="spellStart"/>
      <w:r w:rsidRPr="259FC043" w:rsidR="259FC043">
        <w:rPr>
          <w:rFonts w:ascii="Times New Roman" w:hAnsi="Times New Roman" w:eastAsia="Times New Roman" w:cs="Times New Roman"/>
          <w:b w:val="0"/>
          <w:bCs w:val="0"/>
          <w:i w:val="0"/>
          <w:iCs w:val="0"/>
          <w:noProof w:val="0"/>
          <w:sz w:val="24"/>
          <w:szCs w:val="24"/>
          <w:lang w:val="en-US"/>
        </w:rPr>
        <w:t>Muhtadee</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w:t>
      </w:r>
      <w:proofErr w:type="spellStart"/>
      <w:r w:rsidRPr="259FC043" w:rsidR="259FC043">
        <w:rPr>
          <w:rFonts w:ascii="Times New Roman" w:hAnsi="Times New Roman" w:eastAsia="Times New Roman" w:cs="Times New Roman"/>
          <w:b w:val="0"/>
          <w:bCs w:val="0"/>
          <w:i w:val="0"/>
          <w:iCs w:val="0"/>
          <w:noProof w:val="0"/>
          <w:sz w:val="24"/>
          <w:szCs w:val="24"/>
          <w:lang w:val="en-US"/>
        </w:rPr>
        <w:t>Billah</w:t>
      </w:r>
      <w:proofErr w:type="spellEnd"/>
      <w:r w:rsidRPr="259FC043" w:rsidR="259FC043">
        <w:rPr>
          <w:rFonts w:ascii="Times New Roman" w:hAnsi="Times New Roman" w:eastAsia="Times New Roman" w:cs="Times New Roman"/>
          <w:b w:val="0"/>
          <w:bCs w:val="0"/>
          <w:i w:val="0"/>
          <w:iCs w:val="0"/>
          <w:noProof w:val="0"/>
          <w:sz w:val="24"/>
          <w:szCs w:val="24"/>
          <w:lang w:val="en-US"/>
        </w:rPr>
        <w:t>, Bandar Seri Begawan, BA1710, Brunei Darussalam.</w:t>
      </w:r>
    </w:p>
    <w:p xmlns:wp14="http://schemas.microsoft.com/office/word/2010/wordml" w:rsidP="259FC043" w14:paraId="35E20BB9" wp14:textId="5F36476A">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E029555" wp14:textId="17A589CB">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Phone: +673 2242424</w:t>
      </w:r>
    </w:p>
    <w:p xmlns:wp14="http://schemas.microsoft.com/office/word/2010/wordml" w:rsidP="259FC043" w14:paraId="09D99B68" wp14:textId="42F08D38">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091D4B2" wp14:textId="631D4226">
      <w:pPr>
        <w:pStyle w:val="Normal"/>
        <w:spacing w:after="0" w:afterAutospacing="off" w:line="240" w:lineRule="auto"/>
        <w:ind w:left="0"/>
        <w:rPr>
          <w:b w:val="0"/>
          <w:bCs w:val="0"/>
        </w:rPr>
      </w:pPr>
      <w:r w:rsidRPr="259FC043" w:rsidR="259FC043">
        <w:rPr>
          <w:rFonts w:ascii="Times New Roman" w:hAnsi="Times New Roman" w:eastAsia="Times New Roman" w:cs="Times New Roman"/>
          <w:b w:val="0"/>
          <w:bCs w:val="0"/>
          <w:i w:val="0"/>
          <w:iCs w:val="0"/>
          <w:noProof w:val="0"/>
          <w:sz w:val="24"/>
          <w:szCs w:val="24"/>
          <w:lang w:val="en-US"/>
        </w:rPr>
        <w:t xml:space="preserve">Email: </w:t>
      </w:r>
      <w:hyperlink r:id="R9966124402474368">
        <w:r w:rsidRPr="259FC043" w:rsidR="259FC043">
          <w:rPr>
            <w:rStyle w:val="Hyperlink"/>
            <w:rFonts w:ascii="Times New Roman" w:hAnsi="Times New Roman" w:eastAsia="Times New Roman" w:cs="Times New Roman"/>
            <w:b w:val="0"/>
            <w:bCs w:val="0"/>
            <w:i w:val="0"/>
            <w:iCs w:val="0"/>
            <w:noProof w:val="0"/>
            <w:sz w:val="24"/>
            <w:szCs w:val="24"/>
            <w:lang w:val="en-US"/>
          </w:rPr>
          <w:t>shyhpoh.teo@moh.gov.bn</w:t>
        </w:r>
      </w:hyperlink>
    </w:p>
    <w:p xmlns:wp14="http://schemas.microsoft.com/office/word/2010/wordml" w:rsidP="259FC043" w14:paraId="225A0CE4" wp14:textId="16B013C0">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F74C159" wp14:textId="16450C54">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4E284EB" wp14:textId="2207AA59">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Running Title: </w:t>
      </w:r>
    </w:p>
    <w:p xmlns:wp14="http://schemas.microsoft.com/office/word/2010/wordml" w:rsidP="259FC043" w14:paraId="62F0486E" wp14:textId="3E1C4F04">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1EE2B37" wp14:textId="60C5AF0D">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Denosumab for the treatment of osteoporosis</w:t>
      </w:r>
    </w:p>
    <w:p xmlns:wp14="http://schemas.microsoft.com/office/word/2010/wordml" w:rsidP="259FC043" w14:paraId="6FD7FAC7" wp14:textId="42BA9365">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4CAF11D" wp14:textId="2472BA5B">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0E7DA33" wp14:textId="0BFEF1A5">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C7D1E07" wp14:textId="1F9D6038">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97C6BAE" wp14:textId="24D50377">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F69684D" wp14:textId="211E934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45797E7" wp14:textId="78D493D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FF8153D" wp14:textId="0FA4FA98">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78A25D0" wp14:textId="2BA403C8">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5405AB6" wp14:textId="704CC585">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E9E72AA" wp14:textId="0127C9BC">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2A29F93" wp14:textId="70C258D1">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BD9D84F" wp14:textId="60C5AF0D">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Denosumab for the treatment of osteoporosis</w:t>
      </w:r>
    </w:p>
    <w:p xmlns:wp14="http://schemas.microsoft.com/office/word/2010/wordml" w:rsidP="259FC043" w14:paraId="473733E8" wp14:textId="4F6E3772">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FFD3299" wp14:textId="128B1F44">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 xml:space="preserve">(Therapeutic Brief) </w:t>
      </w:r>
    </w:p>
    <w:p xmlns:wp14="http://schemas.microsoft.com/office/word/2010/wordml" w:rsidP="259FC043" w14:paraId="35361B80" wp14:textId="7C360106">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 </w:t>
      </w:r>
    </w:p>
    <w:p xmlns:wp14="http://schemas.microsoft.com/office/word/2010/wordml" w:rsidP="259FC043" w14:paraId="2FF77B84" wp14:textId="1253D0F1">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2E09D01F" wp14:textId="44F09983">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Abstract:</w:t>
      </w:r>
    </w:p>
    <w:p xmlns:wp14="http://schemas.microsoft.com/office/word/2010/wordml" w:rsidP="259FC043" w14:paraId="05C96CBA" wp14:textId="38C51423">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2598D73" wp14:textId="479D2327">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A45DB08" wp14:textId="590F9FC8">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Denosumab is a monoclonal antibody which binds to the receptor activator of nuclear factor-</w:t>
      </w:r>
      <w:proofErr w:type="spellStart"/>
      <w:r w:rsidRPr="259FC043" w:rsidR="259FC043">
        <w:rPr>
          <w:rFonts w:ascii="Times New Roman" w:hAnsi="Times New Roman" w:eastAsia="Times New Roman" w:cs="Times New Roman"/>
          <w:b w:val="0"/>
          <w:bCs w:val="0"/>
          <w:i w:val="0"/>
          <w:iCs w:val="0"/>
          <w:noProof w:val="0"/>
          <w:sz w:val="24"/>
          <w:szCs w:val="24"/>
          <w:lang w:val="en-US"/>
        </w:rPr>
        <w:t>κB</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ligand (RANKL), reducing osteoclastic activity and bone turnover. The Fracture </w:t>
      </w:r>
      <w:proofErr w:type="spellStart"/>
      <w:r w:rsidRPr="259FC043" w:rsidR="259FC043">
        <w:rPr>
          <w:rFonts w:ascii="Times New Roman" w:hAnsi="Times New Roman" w:eastAsia="Times New Roman" w:cs="Times New Roman"/>
          <w:b w:val="0"/>
          <w:bCs w:val="0"/>
          <w:i w:val="0"/>
          <w:iCs w:val="0"/>
          <w:noProof w:val="0"/>
          <w:sz w:val="24"/>
          <w:szCs w:val="24"/>
          <w:lang w:val="en-US"/>
        </w:rPr>
        <w:t>REduction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w:t>
      </w:r>
      <w:proofErr w:type="spellStart"/>
      <w:r w:rsidRPr="259FC043" w:rsidR="259FC043">
        <w:rPr>
          <w:rFonts w:ascii="Times New Roman" w:hAnsi="Times New Roman" w:eastAsia="Times New Roman" w:cs="Times New Roman"/>
          <w:b w:val="0"/>
          <w:bCs w:val="0"/>
          <w:i w:val="0"/>
          <w:iCs w:val="0"/>
          <w:noProof w:val="0"/>
          <w:sz w:val="24"/>
          <w:szCs w:val="24"/>
          <w:lang w:val="en-US"/>
        </w:rPr>
        <w:t>Evaulation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of Denosumab in Osteoporosis every 6 Months (FREEDOM) trial showed a significant reduction in relative risk of fractures with increased bone mineral density (BMD) with denosumab. A trial of </w:t>
      </w:r>
      <w:proofErr w:type="spellStart"/>
      <w:r w:rsidRPr="259FC043" w:rsidR="259FC043">
        <w:rPr>
          <w:rFonts w:ascii="Times New Roman" w:hAnsi="Times New Roman" w:eastAsia="Times New Roman" w:cs="Times New Roman"/>
          <w:b w:val="0"/>
          <w:bCs w:val="0"/>
          <w:i w:val="0"/>
          <w:iCs w:val="0"/>
          <w:noProof w:val="0"/>
          <w:sz w:val="24"/>
          <w:szCs w:val="24"/>
          <w:lang w:val="en-US"/>
        </w:rPr>
        <w:t>DenosumAb</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versus placebo in Males with Osteoporosis (ADAMO) demonstrated the similar effect of denosumab for improving BMD and reducing bone turnover in men. However, recently concerns were identified regarding increased risk of fractures with denosumab cessation. Until further evidence is available, bisphosphonate treatment is recommended to attenuate this risk with denosumab discontinuation. </w:t>
      </w:r>
    </w:p>
    <w:p xmlns:wp14="http://schemas.microsoft.com/office/word/2010/wordml" w:rsidP="259FC043" w14:paraId="28A74CEC" wp14:textId="15D424C7">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FA25DD2" wp14:textId="0A3AD24D">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4E057CF" wp14:textId="02C43118">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47BFBC6" wp14:textId="1F140E6E">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Key Words:</w:t>
      </w:r>
    </w:p>
    <w:p xmlns:wp14="http://schemas.microsoft.com/office/word/2010/wordml" w:rsidP="259FC043" w14:paraId="44F985A4" wp14:textId="48FF5714">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E3CC9DE" wp14:textId="17F17C9F">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denosumab; fractures; osteoporosis</w:t>
      </w:r>
    </w:p>
    <w:p xmlns:wp14="http://schemas.microsoft.com/office/word/2010/wordml" w:rsidP="259FC043" w14:paraId="1D1EAD43" wp14:textId="10AEDCC2">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8091E00" wp14:textId="2A8B4438">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BF1F6DC" wp14:textId="179A3901">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9C89DE8" wp14:textId="0C58279F">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8EE713A" wp14:textId="7754F40F">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C055AD8" wp14:textId="4AF4220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6A93C9E" wp14:textId="083B6749">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306BF70" wp14:textId="300719F4">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C7DC927" wp14:textId="5DFF97B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AF45BBD" wp14:textId="25DD44D5">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396E95B" wp14:textId="3C8ADB7A">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BB24133" wp14:textId="352C9407">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354D575" wp14:textId="27808F9C">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4F720ED" wp14:textId="06BF8169">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929207D" wp14:textId="6564978B">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5F360A8" wp14:textId="292143CB">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4B630B5" wp14:textId="35B4B77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1405A0B" wp14:textId="6791D454">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D242C79" wp14:textId="72B1EFE5">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5CF4B10" wp14:textId="143B685C">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E546EE1" wp14:textId="1B5B211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4FF8C9F" wp14:textId="6166A0B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00D120C" wp14:textId="13A4D3ED">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FE04662" wp14:textId="00DACE25">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 xml:space="preserve">Denosumab for the treatment of osteoporosis </w:t>
      </w:r>
    </w:p>
    <w:p xmlns:wp14="http://schemas.microsoft.com/office/word/2010/wordml" w:rsidP="259FC043" w14:paraId="3C358259" wp14:textId="207DE713">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2FAA0D7" wp14:textId="5B20AF89">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 xml:space="preserve">(Therapeutic Brief) </w:t>
      </w:r>
    </w:p>
    <w:p xmlns:wp14="http://schemas.microsoft.com/office/word/2010/wordml" w:rsidP="259FC043" w14:paraId="47B8430F" wp14:textId="61C90253">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6B7EC9F" wp14:textId="71F69EE5">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4A360988" wp14:textId="59B17ACF">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Denosumab is a fully human monoclonal antibody used for osteoporosis treatment. It has a high affinity and specificity for the receptor activator of nuclear factor-</w:t>
      </w:r>
      <w:proofErr w:type="spellStart"/>
      <w:r w:rsidRPr="259FC043" w:rsidR="259FC043">
        <w:rPr>
          <w:rFonts w:ascii="Times New Roman" w:hAnsi="Times New Roman" w:eastAsia="Times New Roman" w:cs="Times New Roman"/>
          <w:b w:val="0"/>
          <w:bCs w:val="0"/>
          <w:i w:val="0"/>
          <w:iCs w:val="0"/>
          <w:noProof w:val="0"/>
          <w:sz w:val="24"/>
          <w:szCs w:val="24"/>
          <w:lang w:val="en-US"/>
        </w:rPr>
        <w:t>κB</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ligand (RANKL), a cytokine and mediator of osteoclastic bone resorption. Denosumab inhibits RANKL, resulting in reduced differentiation, activity and survival of osteoclasts, causing reduced bone resorption [1]. Although it is administered as a subcutaneous injection every six months, the Denosumab Adherence Preference Satisfaction (DAPS) study showed that 92.4% preferred denosumab over oral alendronate, with associated compliance and satisfaction rates [2].</w:t>
      </w:r>
    </w:p>
    <w:p xmlns:wp14="http://schemas.microsoft.com/office/word/2010/wordml" w:rsidP="259FC043" w14:paraId="67ECDFBC" wp14:textId="7F56249F">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4BB51B28" wp14:textId="6801C28C">
      <w:pPr>
        <w:pStyle w:val="Normal"/>
        <w:spacing w:after="0" w:afterAutospacing="off" w:line="240" w:lineRule="auto"/>
        <w:ind w:left="0"/>
      </w:pPr>
      <w:r w:rsidRPr="259FC043" w:rsidR="259FC043">
        <w:rPr>
          <w:rFonts w:ascii="Times New Roman" w:hAnsi="Times New Roman" w:eastAsia="Times New Roman" w:cs="Times New Roman"/>
          <w:b w:val="0"/>
          <w:bCs w:val="0"/>
          <w:i w:val="0"/>
          <w:iCs w:val="0"/>
          <w:noProof w:val="0"/>
          <w:sz w:val="24"/>
          <w:szCs w:val="24"/>
          <w:lang w:val="en-US"/>
        </w:rPr>
        <w:t xml:space="preserve">The landmark trial confirming its benefit in osteoporosis treatment was the Fracture </w:t>
      </w:r>
      <w:proofErr w:type="spellStart"/>
      <w:r w:rsidRPr="259FC043" w:rsidR="259FC043">
        <w:rPr>
          <w:rFonts w:ascii="Times New Roman" w:hAnsi="Times New Roman" w:eastAsia="Times New Roman" w:cs="Times New Roman"/>
          <w:b w:val="0"/>
          <w:bCs w:val="0"/>
          <w:i w:val="0"/>
          <w:iCs w:val="0"/>
          <w:noProof w:val="0"/>
          <w:sz w:val="24"/>
          <w:szCs w:val="24"/>
          <w:lang w:val="en-US"/>
        </w:rPr>
        <w:t>REduction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w:t>
      </w:r>
      <w:proofErr w:type="spellStart"/>
      <w:r w:rsidRPr="259FC043" w:rsidR="259FC043">
        <w:rPr>
          <w:rFonts w:ascii="Times New Roman" w:hAnsi="Times New Roman" w:eastAsia="Times New Roman" w:cs="Times New Roman"/>
          <w:b w:val="0"/>
          <w:bCs w:val="0"/>
          <w:i w:val="0"/>
          <w:iCs w:val="0"/>
          <w:noProof w:val="0"/>
          <w:sz w:val="24"/>
          <w:szCs w:val="24"/>
          <w:lang w:val="en-US"/>
        </w:rPr>
        <w:t>Evaulation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of Denosumab in Osteoporosis every 6 Months (FREEDOM) trial. 7808 osteoporotic older women were </w:t>
      </w:r>
      <w:proofErr w:type="spellStart"/>
      <w:r w:rsidRPr="259FC043" w:rsidR="259FC043">
        <w:rPr>
          <w:rFonts w:ascii="Times New Roman" w:hAnsi="Times New Roman" w:eastAsia="Times New Roman" w:cs="Times New Roman"/>
          <w:b w:val="0"/>
          <w:bCs w:val="0"/>
          <w:i w:val="0"/>
          <w:iCs w:val="0"/>
          <w:noProof w:val="0"/>
          <w:sz w:val="24"/>
          <w:szCs w:val="24"/>
          <w:lang w:val="en-US"/>
        </w:rPr>
        <w:t>randomised</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to denosumab or placebo for 36 months. Denosumab was associated with relative risk reductions of new radiographic vertebral fractures (68%), non-vertebral fractures (20%) and hip fractures (40%) [3]. The extension of the FREEDOM study showed the benefits of denosumab treatment continued for up to ten years in terms of low fracture incidence and increased BMD without plateau, with low rates of adverse events [4]. However, subgroup analyses showed the risk reduction was significant only in women with a baseline femoral neck bone mineral density (BMD) T‐score ≤ −2.5, body mass index (BMI) &lt; below 25 kg/m</w:t>
      </w:r>
      <w:r w:rsidRPr="259FC043" w:rsidR="259FC043">
        <w:rPr>
          <w:rFonts w:ascii="Times New Roman" w:hAnsi="Times New Roman" w:eastAsia="Times New Roman" w:cs="Times New Roman"/>
          <w:b w:val="0"/>
          <w:bCs w:val="0"/>
          <w:i w:val="0"/>
          <w:iCs w:val="0"/>
          <w:noProof w:val="0"/>
          <w:sz w:val="24"/>
          <w:szCs w:val="24"/>
          <w:vertAlign w:val="superscript"/>
          <w:lang w:val="en-US"/>
        </w:rPr>
        <w:t>2</w:t>
      </w:r>
      <w:r w:rsidRPr="259FC043" w:rsidR="259FC043">
        <w:rPr>
          <w:rFonts w:ascii="Times New Roman" w:hAnsi="Times New Roman" w:eastAsia="Times New Roman" w:cs="Times New Roman"/>
          <w:b w:val="0"/>
          <w:bCs w:val="0"/>
          <w:i w:val="0"/>
          <w:iCs w:val="0"/>
          <w:noProof w:val="0"/>
          <w:sz w:val="24"/>
          <w:szCs w:val="24"/>
          <w:lang w:val="en-US"/>
        </w:rPr>
        <w:t xml:space="preserve"> and in those without a prevalent vertebral fracture [5]. </w:t>
      </w:r>
    </w:p>
    <w:p xmlns:wp14="http://schemas.microsoft.com/office/word/2010/wordml" w:rsidP="259FC043" w14:paraId="7F636743" wp14:textId="77F77949">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79D2D70" wp14:textId="112C18DF">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The FREEDOM study also showed that denosumab was associated with reductions in serum C‐telopeptide of type I collagen (CTX), a biochemical marker of bone resorption, to below premenopausal reference intervals [6]. There were also improvements in hip and spine strength by 14.3% and 22.4% at 36 months compared to placebo, measured through nonlinear finite element analysis (FEA) of hip and spine quantitative computed tomography (QCT) scans [7]. The increased hip and spine strength </w:t>
      </w:r>
      <w:proofErr w:type="gramStart"/>
      <w:r w:rsidRPr="259FC043" w:rsidR="259FC043">
        <w:rPr>
          <w:rFonts w:ascii="Times New Roman" w:hAnsi="Times New Roman" w:eastAsia="Times New Roman" w:cs="Times New Roman"/>
          <w:b w:val="0"/>
          <w:bCs w:val="0"/>
          <w:i w:val="0"/>
          <w:iCs w:val="0"/>
          <w:noProof w:val="0"/>
          <w:sz w:val="24"/>
          <w:szCs w:val="24"/>
          <w:lang w:val="en-US"/>
        </w:rPr>
        <w:t>was</w:t>
      </w:r>
      <w:proofErr w:type="gramEnd"/>
      <w:r w:rsidRPr="259FC043" w:rsidR="259FC043">
        <w:rPr>
          <w:rFonts w:ascii="Times New Roman" w:hAnsi="Times New Roman" w:eastAsia="Times New Roman" w:cs="Times New Roman"/>
          <w:b w:val="0"/>
          <w:bCs w:val="0"/>
          <w:i w:val="0"/>
          <w:iCs w:val="0"/>
          <w:noProof w:val="0"/>
          <w:sz w:val="24"/>
          <w:szCs w:val="24"/>
          <w:lang w:val="en-US"/>
        </w:rPr>
        <w:t xml:space="preserve"> seen in both the trabecular and cortical bone components. </w:t>
      </w:r>
    </w:p>
    <w:p xmlns:wp14="http://schemas.microsoft.com/office/word/2010/wordml" w:rsidP="259FC043" w14:paraId="3FC2AC9B" wp14:textId="04CCA23A">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449F4CCF" wp14:textId="2132189E">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The benefits of denosumab was also demonstrated in men with low BMD in A trial of </w:t>
      </w:r>
      <w:proofErr w:type="spellStart"/>
      <w:r w:rsidRPr="259FC043" w:rsidR="259FC043">
        <w:rPr>
          <w:rFonts w:ascii="Times New Roman" w:hAnsi="Times New Roman" w:eastAsia="Times New Roman" w:cs="Times New Roman"/>
          <w:b w:val="0"/>
          <w:bCs w:val="0"/>
          <w:i w:val="0"/>
          <w:iCs w:val="0"/>
          <w:noProof w:val="0"/>
          <w:sz w:val="24"/>
          <w:szCs w:val="24"/>
          <w:lang w:val="en-US"/>
        </w:rPr>
        <w:t>DenosumAb</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versus placebo in Males with Osteoporosis (ADAMO). When 228 men were </w:t>
      </w:r>
      <w:proofErr w:type="spellStart"/>
      <w:r w:rsidRPr="259FC043" w:rsidR="259FC043">
        <w:rPr>
          <w:rFonts w:ascii="Times New Roman" w:hAnsi="Times New Roman" w:eastAsia="Times New Roman" w:cs="Times New Roman"/>
          <w:b w:val="0"/>
          <w:bCs w:val="0"/>
          <w:i w:val="0"/>
          <w:iCs w:val="0"/>
          <w:noProof w:val="0"/>
          <w:sz w:val="24"/>
          <w:szCs w:val="24"/>
          <w:lang w:val="en-US"/>
        </w:rPr>
        <w:t>randomised</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to denosumab or placebo for 24 months, treatment was associated with increased BMD and reduced bone resorption at levels similar to the FREEDOM study [8].</w:t>
      </w:r>
    </w:p>
    <w:p xmlns:wp14="http://schemas.microsoft.com/office/word/2010/wordml" w:rsidP="259FC043" w14:paraId="1D13F8CB" wp14:textId="2E8C1B4A">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3D3DA0DE" wp14:textId="626F0C72">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A case series of severe spontaneous vertebral fractures after denosumab discontinuation raised concerns regarding severe osteoporosis rebound with treatment cessation [9]. An observational study found a reversal of BMD benefits and possibly fracture risk, identifying eight (9.8%) patients who experienced 17 fractures within the year [10]. When the FREEDOM study participants who discontinued denosumab were followed-up for up to 24 months, there were similar fracture rates in the denosumab (7%) and placebo (9%) groups, without any differences in fracture occurrence patterns [11]. However, until further evidence is available, it is recommended to assess the risk and benefit of denosumab treatment after five years, and to consider bisphosphonates if denosumab was discontinued to attenuate rebound increases in bone turnover [12].</w:t>
      </w:r>
    </w:p>
    <w:p xmlns:wp14="http://schemas.microsoft.com/office/word/2010/wordml" w:rsidP="259FC043" w14:paraId="0E318CCC" wp14:textId="18D7A236">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F594F24" wp14:textId="36DBE0DE">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In summary, denosumab is useful for osteoporosis management, but clinicians should be aware of increased fracture risk with treatment discontinuation.</w:t>
      </w:r>
    </w:p>
    <w:p xmlns:wp14="http://schemas.microsoft.com/office/word/2010/wordml" w:rsidP="259FC043" w14:paraId="4C6FFFCB" wp14:textId="2A627681">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8852C70" wp14:textId="6DFB9EF6">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31A65F29" wp14:textId="0630727C">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EED13FA" wp14:textId="6B57AC33">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E8E2E82" wp14:textId="622C6B36">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2C3D8DF" wp14:textId="7372E6FB">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78152EB" wp14:textId="48966DD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4CB938C" wp14:textId="3E7F1E6C">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441457E" wp14:textId="1B67EE25">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20F9108" wp14:textId="6266BB8E">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10203D3" wp14:textId="5CE93606">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BBB0EC0" wp14:textId="08BB5CAA">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CAFCCE9" wp14:textId="629E4CFB">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1F20E66" wp14:textId="77C021CA">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5506485" wp14:textId="222F4E74">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8D04C55" wp14:textId="358F2DFF">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0990262" wp14:textId="3E7FD9D3">
      <w:pPr>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A50AD99" wp14:textId="184E9779">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87105A4" wp14:textId="2812FA38">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0AB36A07" wp14:textId="16BE179F">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E4A261D" wp14:textId="4D5ECB58">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7B51B73" wp14:textId="21A5AA00">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C294E04" wp14:textId="2F1FABC4">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2D939FA" wp14:textId="694DCAF0">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99485DA" wp14:textId="1584C4CD">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6A81AC4" wp14:textId="4F7E2018">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54954CB" wp14:textId="66CD111F">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1DAEC03" wp14:textId="7E6B800E">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6B59BC8" wp14:textId="0B594BE0">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3510A5A" wp14:textId="04B0D066">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5FFF677A" wp14:textId="1257CB68">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1505161" wp14:textId="144DD83D">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367B4E66" wp14:textId="3E7B0F77">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D139D04" wp14:textId="02B6F302">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C85F06C" wp14:textId="3EB28E9A">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751B5BB7" wp14:textId="16B3D714">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2A2B2E5" wp14:textId="64A29F5C">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D232A25" wp14:textId="497881FF">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BB43FA1" wp14:textId="2BBBD793">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134D98CA" wp14:textId="4809BA93">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4B0BE205" wp14:textId="0BA7817A">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29EAB088" wp14:textId="1542645B">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p>
    <w:p xmlns:wp14="http://schemas.microsoft.com/office/word/2010/wordml" w:rsidP="259FC043" w14:paraId="6D683C49" wp14:textId="04E43F8F">
      <w:pPr>
        <w:pStyle w:val="Normal"/>
        <w:spacing w:after="0" w:afterAutospacing="off" w:line="240" w:lineRule="auto"/>
        <w:ind w:left="0"/>
        <w:rPr>
          <w:rFonts w:ascii="Times New Roman" w:hAnsi="Times New Roman" w:eastAsia="Times New Roman" w:cs="Times New Roman"/>
          <w:b w:val="1"/>
          <w:bCs w:val="1"/>
          <w:i w:val="0"/>
          <w:iCs w:val="0"/>
          <w:noProof w:val="0"/>
          <w:sz w:val="24"/>
          <w:szCs w:val="24"/>
          <w:lang w:val="en-US"/>
        </w:rPr>
      </w:pPr>
      <w:r w:rsidRPr="259FC043" w:rsidR="259FC043">
        <w:rPr>
          <w:rFonts w:ascii="Times New Roman" w:hAnsi="Times New Roman" w:eastAsia="Times New Roman" w:cs="Times New Roman"/>
          <w:b w:val="1"/>
          <w:bCs w:val="1"/>
          <w:i w:val="0"/>
          <w:iCs w:val="0"/>
          <w:noProof w:val="0"/>
          <w:sz w:val="24"/>
          <w:szCs w:val="24"/>
          <w:lang w:val="en-US"/>
        </w:rPr>
        <w:t xml:space="preserve">References: </w:t>
      </w:r>
    </w:p>
    <w:p xmlns:wp14="http://schemas.microsoft.com/office/word/2010/wordml" w:rsidP="259FC043" w14:paraId="78736E08" wp14:textId="5076ADE8">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9E55667" wp14:textId="2603F913">
      <w:pPr>
        <w:pStyle w:val="Normal"/>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2E4ABF07" wp14:textId="040D4F92">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roofErr w:type="spellStart"/>
      <w:r w:rsidRPr="259FC043" w:rsidR="259FC043">
        <w:rPr>
          <w:rFonts w:ascii="Times New Roman" w:hAnsi="Times New Roman" w:eastAsia="Times New Roman" w:cs="Times New Roman"/>
          <w:b w:val="0"/>
          <w:bCs w:val="0"/>
          <w:i w:val="0"/>
          <w:iCs w:val="0"/>
          <w:noProof w:val="0"/>
          <w:sz w:val="24"/>
          <w:szCs w:val="24"/>
          <w:lang w:val="en-US"/>
        </w:rPr>
        <w:t>Lewiecki</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EM. RANK ligand inhibition with denosumab for the management of osteoporosis. Expert </w:t>
      </w:r>
      <w:proofErr w:type="spellStart"/>
      <w:r w:rsidRPr="259FC043" w:rsidR="259FC043">
        <w:rPr>
          <w:rFonts w:ascii="Times New Roman" w:hAnsi="Times New Roman" w:eastAsia="Times New Roman" w:cs="Times New Roman"/>
          <w:b w:val="0"/>
          <w:bCs w:val="0"/>
          <w:i w:val="0"/>
          <w:iCs w:val="0"/>
          <w:noProof w:val="0"/>
          <w:sz w:val="24"/>
          <w:szCs w:val="24"/>
          <w:lang w:val="en-US"/>
        </w:rPr>
        <w:t>Opin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Biol </w:t>
      </w:r>
      <w:proofErr w:type="spellStart"/>
      <w:r w:rsidRPr="259FC043" w:rsidR="259FC043">
        <w:rPr>
          <w:rFonts w:ascii="Times New Roman" w:hAnsi="Times New Roman" w:eastAsia="Times New Roman" w:cs="Times New Roman"/>
          <w:b w:val="0"/>
          <w:bCs w:val="0"/>
          <w:i w:val="0"/>
          <w:iCs w:val="0"/>
          <w:noProof w:val="0"/>
          <w:sz w:val="24"/>
          <w:szCs w:val="24"/>
          <w:lang w:val="en-US"/>
        </w:rPr>
        <w:t>Ther</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2006: 6(10):1041-1050.  </w:t>
      </w:r>
    </w:p>
    <w:p xmlns:wp14="http://schemas.microsoft.com/office/word/2010/wordml" w:rsidP="259FC043" w14:paraId="361902D9" wp14:textId="056029A4">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19B6B703" wp14:textId="4AA849AE">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Freemantle N, </w:t>
      </w:r>
      <w:proofErr w:type="spellStart"/>
      <w:r w:rsidRPr="259FC043" w:rsidR="259FC043">
        <w:rPr>
          <w:rFonts w:ascii="Times New Roman" w:hAnsi="Times New Roman" w:eastAsia="Times New Roman" w:cs="Times New Roman"/>
          <w:b w:val="0"/>
          <w:bCs w:val="0"/>
          <w:i w:val="0"/>
          <w:iCs w:val="0"/>
          <w:noProof w:val="0"/>
          <w:sz w:val="24"/>
          <w:szCs w:val="24"/>
          <w:lang w:val="en-US"/>
        </w:rPr>
        <w:t>Satram</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-Hoang S, Tang ET, et al. Final results of the DAPS (Denosumab Adherence Preference Satisfaction) study: a 24-month, randomized, crossover comparison with alendronate in postmenopausal women. </w:t>
      </w:r>
      <w:proofErr w:type="spellStart"/>
      <w:r w:rsidRPr="259FC043" w:rsidR="259FC043">
        <w:rPr>
          <w:rFonts w:ascii="Times New Roman" w:hAnsi="Times New Roman" w:eastAsia="Times New Roman" w:cs="Times New Roman"/>
          <w:b w:val="0"/>
          <w:bCs w:val="0"/>
          <w:i w:val="0"/>
          <w:iCs w:val="0"/>
          <w:noProof w:val="0"/>
          <w:sz w:val="24"/>
          <w:szCs w:val="24"/>
          <w:lang w:val="en-US"/>
        </w:rPr>
        <w:t>Osteoporos</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Int 2012: 23:317-326.</w:t>
      </w:r>
    </w:p>
    <w:p xmlns:wp14="http://schemas.microsoft.com/office/word/2010/wordml" w:rsidP="259FC043" w14:paraId="7909626B" wp14:textId="7DC3579D">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68C8A069" wp14:textId="1D24C7AD">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Cummings SR, San Martin J, McClung MR, et al. Denosumab for prevention of fractures in postmenopausal women with osteoporosis. N </w:t>
      </w:r>
      <w:proofErr w:type="spellStart"/>
      <w:r w:rsidRPr="259FC043" w:rsidR="259FC043">
        <w:rPr>
          <w:rFonts w:ascii="Times New Roman" w:hAnsi="Times New Roman" w:eastAsia="Times New Roman" w:cs="Times New Roman"/>
          <w:b w:val="0"/>
          <w:bCs w:val="0"/>
          <w:i w:val="0"/>
          <w:iCs w:val="0"/>
          <w:noProof w:val="0"/>
          <w:sz w:val="24"/>
          <w:szCs w:val="24"/>
          <w:lang w:val="en-US"/>
        </w:rPr>
        <w:t>Engl</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J Med 2009: 361:756-65. </w:t>
      </w:r>
    </w:p>
    <w:p xmlns:wp14="http://schemas.microsoft.com/office/word/2010/wordml" w:rsidP="259FC043" w14:paraId="7C03652D" wp14:textId="03A83C5A">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1F9216F" wp14:textId="3D042A51">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Bone HG, </w:t>
      </w:r>
      <w:proofErr w:type="spellStart"/>
      <w:r w:rsidRPr="259FC043" w:rsidR="259FC043">
        <w:rPr>
          <w:rFonts w:ascii="Times New Roman" w:hAnsi="Times New Roman" w:eastAsia="Times New Roman" w:cs="Times New Roman"/>
          <w:b w:val="0"/>
          <w:bCs w:val="0"/>
          <w:i w:val="0"/>
          <w:iCs w:val="0"/>
          <w:noProof w:val="0"/>
          <w:sz w:val="24"/>
          <w:szCs w:val="24"/>
          <w:lang w:val="en-US"/>
        </w:rPr>
        <w:t>Wagman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RB, Brandi ML, et al. 10 years of denosumab treatment in postmenopausal women with osteoporosis: results from the phase 3 </w:t>
      </w:r>
      <w:proofErr w:type="spellStart"/>
      <w:r w:rsidRPr="259FC043" w:rsidR="259FC043">
        <w:rPr>
          <w:rFonts w:ascii="Times New Roman" w:hAnsi="Times New Roman" w:eastAsia="Times New Roman" w:cs="Times New Roman"/>
          <w:b w:val="0"/>
          <w:bCs w:val="0"/>
          <w:i w:val="0"/>
          <w:iCs w:val="0"/>
          <w:noProof w:val="0"/>
          <w:sz w:val="24"/>
          <w:szCs w:val="24"/>
          <w:lang w:val="en-US"/>
        </w:rPr>
        <w:t>randomised</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FREEDOM trial and open-label extension. Lancet Diabetes Endocrinol 2017: 5(7):513-523.  </w:t>
      </w:r>
    </w:p>
    <w:p xmlns:wp14="http://schemas.microsoft.com/office/word/2010/wordml" w:rsidP="259FC043" w14:paraId="6248C13A" wp14:textId="5E0EB37C">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32523DB7" wp14:textId="15C9B6D1">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McClung MR, Boonen S, </w:t>
      </w:r>
      <w:proofErr w:type="spellStart"/>
      <w:r w:rsidRPr="259FC043" w:rsidR="259FC043">
        <w:rPr>
          <w:rFonts w:ascii="Times New Roman" w:hAnsi="Times New Roman" w:eastAsia="Times New Roman" w:cs="Times New Roman"/>
          <w:b w:val="0"/>
          <w:bCs w:val="0"/>
          <w:i w:val="0"/>
          <w:iCs w:val="0"/>
          <w:noProof w:val="0"/>
          <w:sz w:val="24"/>
          <w:szCs w:val="24"/>
          <w:lang w:val="en-US"/>
        </w:rPr>
        <w:t>Torring</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O, et al. Effect of denosumab treatment on the risk of fractures in subgroups of women with postmenopausal osteoporosis.  J Bone Miner Res 2012: 27(1):211-218.</w:t>
      </w:r>
    </w:p>
    <w:p xmlns:wp14="http://schemas.microsoft.com/office/word/2010/wordml" w:rsidP="259FC043" w14:paraId="7B3A33FC" wp14:textId="3B344508">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2CF6AEAF" wp14:textId="6AE670AD">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roofErr w:type="spellStart"/>
      <w:r w:rsidRPr="259FC043" w:rsidR="259FC043">
        <w:rPr>
          <w:rFonts w:ascii="Times New Roman" w:hAnsi="Times New Roman" w:eastAsia="Times New Roman" w:cs="Times New Roman"/>
          <w:b w:val="0"/>
          <w:bCs w:val="0"/>
          <w:i w:val="0"/>
          <w:iCs w:val="0"/>
          <w:noProof w:val="0"/>
          <w:sz w:val="24"/>
          <w:szCs w:val="24"/>
          <w:lang w:val="en-US"/>
        </w:rPr>
        <w:t>Eastell</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R, Christiansen C, Grauer A, et al. Effects of denosumab on bone turnover markers in postmenopausal osteoporosis. J Bone Miner Res 2011: 26(3):530-537.  </w:t>
      </w:r>
    </w:p>
    <w:p xmlns:wp14="http://schemas.microsoft.com/office/word/2010/wordml" w:rsidP="259FC043" w14:paraId="4BAB5CD7" wp14:textId="74E006C5">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46E253B3" wp14:textId="31927325">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Keaveny TM, McClung MR, </w:t>
      </w:r>
      <w:proofErr w:type="spellStart"/>
      <w:r w:rsidRPr="259FC043" w:rsidR="259FC043">
        <w:rPr>
          <w:rFonts w:ascii="Times New Roman" w:hAnsi="Times New Roman" w:eastAsia="Times New Roman" w:cs="Times New Roman"/>
          <w:b w:val="0"/>
          <w:bCs w:val="0"/>
          <w:i w:val="0"/>
          <w:iCs w:val="0"/>
          <w:noProof w:val="0"/>
          <w:sz w:val="24"/>
          <w:szCs w:val="24"/>
          <w:lang w:val="en-US"/>
        </w:rPr>
        <w:t>Genant</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HK, et al. Femoral and vertebral strength improvements in postmenopausal women with osteoporosis treated with Denosumab. J Bone Miner Res 2014: 29(1):158-165. </w:t>
      </w:r>
    </w:p>
    <w:p xmlns:wp14="http://schemas.microsoft.com/office/word/2010/wordml" w:rsidP="259FC043" w14:paraId="723172AA" wp14:textId="22E52DC1">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6051CD5" wp14:textId="625E1AA2">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roofErr w:type="spellStart"/>
      <w:r w:rsidRPr="259FC043" w:rsidR="259FC043">
        <w:rPr>
          <w:rFonts w:ascii="Times New Roman" w:hAnsi="Times New Roman" w:eastAsia="Times New Roman" w:cs="Times New Roman"/>
          <w:b w:val="0"/>
          <w:bCs w:val="0"/>
          <w:i w:val="0"/>
          <w:iCs w:val="0"/>
          <w:noProof w:val="0"/>
          <w:sz w:val="24"/>
          <w:szCs w:val="24"/>
          <w:lang w:val="en-US"/>
        </w:rPr>
        <w:t>Langdahl</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BL, </w:t>
      </w:r>
      <w:proofErr w:type="spellStart"/>
      <w:r w:rsidRPr="259FC043" w:rsidR="259FC043">
        <w:rPr>
          <w:rFonts w:ascii="Times New Roman" w:hAnsi="Times New Roman" w:eastAsia="Times New Roman" w:cs="Times New Roman"/>
          <w:b w:val="0"/>
          <w:bCs w:val="0"/>
          <w:i w:val="0"/>
          <w:iCs w:val="0"/>
          <w:noProof w:val="0"/>
          <w:sz w:val="24"/>
          <w:szCs w:val="24"/>
          <w:lang w:val="en-US"/>
        </w:rPr>
        <w:t>Teglbjaerg</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CS, Ho PR, et al. A 24-month study evaluating the efficacy and safety of denosumab for the treatment of men with low bone mineral density: results from the ADAMO trial. J Clin Endocrinol </w:t>
      </w:r>
      <w:proofErr w:type="spellStart"/>
      <w:r w:rsidRPr="259FC043" w:rsidR="259FC043">
        <w:rPr>
          <w:rFonts w:ascii="Times New Roman" w:hAnsi="Times New Roman" w:eastAsia="Times New Roman" w:cs="Times New Roman"/>
          <w:b w:val="0"/>
          <w:bCs w:val="0"/>
          <w:i w:val="0"/>
          <w:iCs w:val="0"/>
          <w:noProof w:val="0"/>
          <w:sz w:val="24"/>
          <w:szCs w:val="24"/>
          <w:lang w:val="en-US"/>
        </w:rPr>
        <w:t>Metab</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2015: 100(4):1335-1342.  </w:t>
      </w:r>
    </w:p>
    <w:p xmlns:wp14="http://schemas.microsoft.com/office/word/2010/wordml" w:rsidP="259FC043" w14:paraId="169C3F31" wp14:textId="34222D9E">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7DC48596" wp14:textId="6D4366B3">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roofErr w:type="spellStart"/>
      <w:r w:rsidRPr="259FC043" w:rsidR="259FC043">
        <w:rPr>
          <w:rFonts w:ascii="Times New Roman" w:hAnsi="Times New Roman" w:eastAsia="Times New Roman" w:cs="Times New Roman"/>
          <w:b w:val="0"/>
          <w:bCs w:val="0"/>
          <w:i w:val="0"/>
          <w:iCs w:val="0"/>
          <w:noProof w:val="0"/>
          <w:sz w:val="24"/>
          <w:szCs w:val="24"/>
          <w:lang w:val="en-US"/>
        </w:rPr>
        <w:t>Aubry</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-Rozier B, Gonzalez-Rodriguez E, Stoll D, Lamy O. Severe spontaneous vertebral fractures after denosumab discontinuation: three case reports. </w:t>
      </w:r>
      <w:proofErr w:type="spellStart"/>
      <w:r w:rsidRPr="259FC043" w:rsidR="259FC043">
        <w:rPr>
          <w:rFonts w:ascii="Times New Roman" w:hAnsi="Times New Roman" w:eastAsia="Times New Roman" w:cs="Times New Roman"/>
          <w:b w:val="0"/>
          <w:bCs w:val="0"/>
          <w:i w:val="0"/>
          <w:iCs w:val="0"/>
          <w:noProof w:val="0"/>
          <w:sz w:val="24"/>
          <w:szCs w:val="24"/>
          <w:lang w:val="en-US"/>
        </w:rPr>
        <w:t>Osteoporos</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Int 2015: 27:1923-1925.  </w:t>
      </w:r>
    </w:p>
    <w:p xmlns:wp14="http://schemas.microsoft.com/office/word/2010/wordml" w:rsidP="259FC043" w14:paraId="67AB27C3" wp14:textId="5616DBFA">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0502C06D" wp14:textId="7740BECC">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McClung MR, </w:t>
      </w:r>
      <w:proofErr w:type="spellStart"/>
      <w:r w:rsidRPr="259FC043" w:rsidR="259FC043">
        <w:rPr>
          <w:rFonts w:ascii="Times New Roman" w:hAnsi="Times New Roman" w:eastAsia="Times New Roman" w:cs="Times New Roman"/>
          <w:b w:val="0"/>
          <w:bCs w:val="0"/>
          <w:i w:val="0"/>
          <w:iCs w:val="0"/>
          <w:noProof w:val="0"/>
          <w:sz w:val="24"/>
          <w:szCs w:val="24"/>
          <w:lang w:val="en-US"/>
        </w:rPr>
        <w:t>Wagman</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RB, Miller PD, Wang A, </w:t>
      </w:r>
      <w:proofErr w:type="spellStart"/>
      <w:r w:rsidRPr="259FC043" w:rsidR="259FC043">
        <w:rPr>
          <w:rFonts w:ascii="Times New Roman" w:hAnsi="Times New Roman" w:eastAsia="Times New Roman" w:cs="Times New Roman"/>
          <w:b w:val="0"/>
          <w:bCs w:val="0"/>
          <w:i w:val="0"/>
          <w:iCs w:val="0"/>
          <w:noProof w:val="0"/>
          <w:sz w:val="24"/>
          <w:szCs w:val="24"/>
          <w:lang w:val="en-US"/>
        </w:rPr>
        <w:t>Lewiecki</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EM. Observations following discontinuation of long-term denosumab therapy. </w:t>
      </w:r>
      <w:proofErr w:type="spellStart"/>
      <w:r w:rsidRPr="259FC043" w:rsidR="259FC043">
        <w:rPr>
          <w:rFonts w:ascii="Times New Roman" w:hAnsi="Times New Roman" w:eastAsia="Times New Roman" w:cs="Times New Roman"/>
          <w:b w:val="0"/>
          <w:bCs w:val="0"/>
          <w:i w:val="0"/>
          <w:iCs w:val="0"/>
          <w:noProof w:val="0"/>
          <w:sz w:val="24"/>
          <w:szCs w:val="24"/>
          <w:lang w:val="en-US"/>
        </w:rPr>
        <w:t>Osteoporos</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Int 2017: 28:1723-1732.</w:t>
      </w:r>
    </w:p>
    <w:p xmlns:wp14="http://schemas.microsoft.com/office/word/2010/wordml" w:rsidP="259FC043" w14:paraId="5944A005" wp14:textId="7F6EC8E0">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5ED89293" wp14:textId="550E9D6D">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r w:rsidRPr="259FC043" w:rsidR="259FC043">
        <w:rPr>
          <w:rFonts w:ascii="Times New Roman" w:hAnsi="Times New Roman" w:eastAsia="Times New Roman" w:cs="Times New Roman"/>
          <w:b w:val="0"/>
          <w:bCs w:val="0"/>
          <w:i w:val="0"/>
          <w:iCs w:val="0"/>
          <w:noProof w:val="0"/>
          <w:sz w:val="24"/>
          <w:szCs w:val="24"/>
          <w:lang w:val="en-US"/>
        </w:rPr>
        <w:t xml:space="preserve">Brown JP, Roux C, </w:t>
      </w:r>
      <w:proofErr w:type="spellStart"/>
      <w:r w:rsidRPr="259FC043" w:rsidR="259FC043">
        <w:rPr>
          <w:rFonts w:ascii="Times New Roman" w:hAnsi="Times New Roman" w:eastAsia="Times New Roman" w:cs="Times New Roman"/>
          <w:b w:val="0"/>
          <w:bCs w:val="0"/>
          <w:i w:val="0"/>
          <w:iCs w:val="0"/>
          <w:noProof w:val="0"/>
          <w:sz w:val="24"/>
          <w:szCs w:val="24"/>
          <w:lang w:val="en-US"/>
        </w:rPr>
        <w:t>Torring</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O, et al. Discontinuation of denosumab and associated fracture incidence: analysis from the Fracture Reduction Evaluation of Denosumab in Osteoporosis Every 6 Months (FREEDOM) trial. J Bone Miner Res 2013: 28(4):746-752. </w:t>
      </w:r>
    </w:p>
    <w:p xmlns:wp14="http://schemas.microsoft.com/office/word/2010/wordml" w:rsidP="259FC043" w14:paraId="58D3BCE7" wp14:textId="536F9669">
      <w:p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
    <w:p xmlns:wp14="http://schemas.microsoft.com/office/word/2010/wordml" w:rsidP="259FC043" w14:paraId="2C078E63" wp14:textId="125A06B9">
      <w:pPr>
        <w:pStyle w:val="ListParagraph"/>
        <w:numPr>
          <w:ilvl w:val="0"/>
          <w:numId w:val="1"/>
        </w:numPr>
        <w:spacing w:after="0" w:afterAutospacing="off" w:line="240" w:lineRule="auto"/>
        <w:ind w:left="0"/>
        <w:rPr>
          <w:rFonts w:ascii="Times New Roman" w:hAnsi="Times New Roman" w:eastAsia="Times New Roman" w:cs="Times New Roman"/>
          <w:b w:val="0"/>
          <w:bCs w:val="0"/>
          <w:i w:val="0"/>
          <w:iCs w:val="0"/>
          <w:noProof w:val="0"/>
          <w:sz w:val="24"/>
          <w:szCs w:val="24"/>
          <w:lang w:val="en-US"/>
        </w:rPr>
      </w:pPr>
      <w:proofErr w:type="spellStart"/>
      <w:r w:rsidRPr="259FC043" w:rsidR="259FC043">
        <w:rPr>
          <w:rFonts w:ascii="Times New Roman" w:hAnsi="Times New Roman" w:eastAsia="Times New Roman" w:cs="Times New Roman"/>
          <w:b w:val="0"/>
          <w:bCs w:val="0"/>
          <w:i w:val="0"/>
          <w:iCs w:val="0"/>
          <w:noProof w:val="0"/>
          <w:sz w:val="24"/>
          <w:szCs w:val="24"/>
          <w:lang w:val="en-US"/>
        </w:rPr>
        <w:t>Tsourdi</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E, </w:t>
      </w:r>
      <w:proofErr w:type="spellStart"/>
      <w:r w:rsidRPr="259FC043" w:rsidR="259FC043">
        <w:rPr>
          <w:rFonts w:ascii="Times New Roman" w:hAnsi="Times New Roman" w:eastAsia="Times New Roman" w:cs="Times New Roman"/>
          <w:b w:val="0"/>
          <w:bCs w:val="0"/>
          <w:i w:val="0"/>
          <w:iCs w:val="0"/>
          <w:noProof w:val="0"/>
          <w:sz w:val="24"/>
          <w:szCs w:val="24"/>
          <w:lang w:val="en-US"/>
        </w:rPr>
        <w:t>Langdahl</w:t>
      </w:r>
      <w:proofErr w:type="spellEnd"/>
      <w:r w:rsidRPr="259FC043" w:rsidR="259FC043">
        <w:rPr>
          <w:rFonts w:ascii="Times New Roman" w:hAnsi="Times New Roman" w:eastAsia="Times New Roman" w:cs="Times New Roman"/>
          <w:b w:val="0"/>
          <w:bCs w:val="0"/>
          <w:i w:val="0"/>
          <w:iCs w:val="0"/>
          <w:noProof w:val="0"/>
          <w:sz w:val="24"/>
          <w:szCs w:val="24"/>
          <w:lang w:val="en-US"/>
        </w:rPr>
        <w:t xml:space="preserve"> B, Cohen-Solal M, et al. Discontinuation of denosumab therapy for osteoporosis: a systematic review and position statement by ECTS. Bone 2017: 105:11-17.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47BF33"/>
  <w15:docId w15:val="{a4cdd29b-ced4-47bb-8e64-5e4d621797d3}"/>
  <w:rsids>
    <w:rsidRoot w:val="7047BF33"/>
    <w:rsid w:val="259FC043"/>
    <w:rsid w:val="7047BF3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hyhpoh.teo@moh.gov.bn" TargetMode="External" Id="R9966124402474368" /><Relationship Type="http://schemas.openxmlformats.org/officeDocument/2006/relationships/numbering" Target="/word/numbering.xml" Id="R2e8a32ac9f8145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2020-07-05T08:36:23.8981903Z</dcterms:created>
  <dcterms:modified xsi:type="dcterms:W3CDTF">2020-07-05T11:04:45.3247594Z</dcterms:modified>
  <dc:creator>ShyhPoh Teo</dc:creator>
  <lastModifiedBy>ShyhPoh Teo</lastModifiedBy>
</coreProperties>
</file>