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2B1" w14:textId="6AF82BCC" w:rsidR="00B07D1E" w:rsidRPr="00346CBD" w:rsidRDefault="00844609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odel for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tudying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utaneous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ound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ealing and </w:t>
      </w:r>
      <w:r w:rsidR="005C4AAE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resilience to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ging: </w:t>
      </w:r>
      <w:r w:rsidR="00B70ED9" w:rsidRPr="00346CBD"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unch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iopsy in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ld </w:t>
      </w:r>
      <w:r w:rsidR="0077071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ice.</w:t>
      </w:r>
    </w:p>
    <w:p w14:paraId="11BB5E8E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EEED1C" w14:textId="35B71BCF" w:rsidR="00B07D1E" w:rsidRPr="00346CBD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Zhou Jiang,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Jessie Chen,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Juan Wang,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Ruby Mangalindan, Lida Zhu,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Warren C. Ladiges</w:t>
      </w:r>
      <w:r w:rsidR="00B70ED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46584737" w14:textId="77B2EC3A" w:rsidR="00B70ED9" w:rsidRPr="00346CBD" w:rsidRDefault="00B70ED9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Department of Comparative Medicine, School of Medicine, University of Washington, Seattle, WA</w:t>
      </w:r>
    </w:p>
    <w:p w14:paraId="64C76D8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45422C" w14:textId="5C27251B" w:rsidR="00B70ED9" w:rsidRPr="00346CBD" w:rsidRDefault="00B70ED9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*Corresponding author: Warren Ladiges, </w:t>
      </w:r>
    </w:p>
    <w:p w14:paraId="7689C679" w14:textId="77777777" w:rsidR="00B70ED9" w:rsidRPr="00346CBD" w:rsidRDefault="00B70ED9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0E4BDC" w14:textId="77777777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D936EB" w14:textId="51C0A888" w:rsidR="00B70ED9" w:rsidRPr="00892E7B" w:rsidRDefault="00B70ED9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2E7B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Abstract</w:t>
      </w:r>
    </w:p>
    <w:p w14:paraId="0F17EB71" w14:textId="77777777" w:rsidR="00892E7B" w:rsidRPr="00892E7B" w:rsidRDefault="00892E7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CA031F" w14:textId="541C710E" w:rsidR="00892E7B" w:rsidRPr="00EE35D8" w:rsidRDefault="00892E7B" w:rsidP="00346CBD">
      <w:pPr>
        <w:pStyle w:val="Default"/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2E7B">
        <w:rPr>
          <w:rFonts w:ascii="Calibri" w:hAnsi="Calibri" w:cs="Calibri"/>
          <w:sz w:val="24"/>
          <w:szCs w:val="24"/>
        </w:rPr>
        <w:t xml:space="preserve">Resilience to aging is </w:t>
      </w:r>
      <w:r w:rsidRPr="00892E7B">
        <w:rPr>
          <w:rFonts w:ascii="Calibri" w:hAnsi="Calibri" w:cs="Calibri"/>
          <w:sz w:val="24"/>
          <w:szCs w:val="24"/>
        </w:rPr>
        <w:t>a</w:t>
      </w:r>
      <w:r w:rsidRPr="00892E7B">
        <w:rPr>
          <w:rFonts w:ascii="Calibri" w:hAnsi="Calibri" w:cs="Calibri"/>
          <w:sz w:val="24"/>
          <w:szCs w:val="24"/>
        </w:rPr>
        <w:t xml:space="preserve"> biological event that precedes age-related decline in physiological function and is defined as an organism’s ability to respond to physical stress with increasing age. </w:t>
      </w:r>
      <w:r w:rsidR="00EE35D8">
        <w:rPr>
          <w:rFonts w:ascii="Calibri" w:hAnsi="Calibri" w:cs="Calibri"/>
          <w:sz w:val="24"/>
          <w:szCs w:val="24"/>
        </w:rPr>
        <w:t>T</w:t>
      </w:r>
      <w:r w:rsidRPr="00892E7B">
        <w:rPr>
          <w:rFonts w:ascii="Calibri" w:hAnsi="Calibri" w:cs="Calibri"/>
          <w:sz w:val="24"/>
          <w:szCs w:val="24"/>
        </w:rPr>
        <w:t>here is a need to identify</w:t>
      </w:r>
      <w:r w:rsidRPr="00892E7B">
        <w:rPr>
          <w:rFonts w:ascii="Calibri" w:hAnsi="Calibri" w:cs="Calibri"/>
          <w:sz w:val="24"/>
          <w:szCs w:val="24"/>
        </w:rPr>
        <w:t xml:space="preserve"> factors </w:t>
      </w:r>
      <w:r w:rsidRPr="00892E7B">
        <w:rPr>
          <w:rFonts w:ascii="Calibri" w:hAnsi="Calibri" w:cs="Calibri"/>
          <w:sz w:val="24"/>
          <w:szCs w:val="24"/>
        </w:rPr>
        <w:t xml:space="preserve">that may predict </w:t>
      </w:r>
      <w:r w:rsidRPr="00892E7B">
        <w:rPr>
          <w:rFonts w:ascii="Calibri" w:hAnsi="Calibri" w:cs="Calibri"/>
          <w:sz w:val="24"/>
          <w:szCs w:val="24"/>
        </w:rPr>
        <w:t xml:space="preserve">resilience for </w:t>
      </w:r>
      <w:r>
        <w:rPr>
          <w:rFonts w:ascii="Calibri" w:hAnsi="Calibri" w:cs="Calibri"/>
          <w:sz w:val="24"/>
          <w:szCs w:val="24"/>
        </w:rPr>
        <w:t>enhancing and maintaining healthy aging</w:t>
      </w:r>
      <w:r w:rsidRPr="00892E7B">
        <w:rPr>
          <w:rFonts w:ascii="Calibri" w:hAnsi="Calibri" w:cs="Calibri"/>
          <w:sz w:val="24"/>
          <w:szCs w:val="24"/>
        </w:rPr>
        <w:t>.</w:t>
      </w:r>
      <w:r w:rsidRP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lder people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often experience delayed wound healing</w:t>
      </w:r>
      <w:r w:rsidRP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beause of 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compromised tissue repair </w:t>
      </w:r>
      <w:r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immune response.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Therefore preclincal models may be of value to investigate the relationship between cutaneous wound healing and resilience to aging. This brief report descibes an ear </w:t>
      </w:r>
      <w:r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punch biopsy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model of cutaneous wound healing in aging mice and shows that </w:t>
      </w:r>
      <w:r w:rsidR="00C9623D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mice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</w:t>
      </w:r>
      <w:r w:rsidR="00457871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biopsy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 wounds that heal more quickly </w:t>
      </w:r>
      <w:r w:rsidR="00C9623D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have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better </w:t>
      </w:r>
      <w:r w:rsidR="00C9623D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cognition, increased strength and better running endurance later in life. 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22FD7AD7" w14:textId="77777777" w:rsidR="00C9623D" w:rsidRDefault="00C9623D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D873A0" w14:textId="5794170F" w:rsidR="00B07D1E" w:rsidRPr="00C9623D" w:rsidRDefault="00346CBD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Key words: </w:t>
      </w:r>
      <w:r w:rsidR="00C9623D" w:rsidRP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Resi</w:t>
      </w:r>
      <w:r w:rsid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lience to aging</w:t>
      </w:r>
      <w:r w:rsidR="00C9623D" w:rsidRP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C9623D"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Wound healing, Ear punch biopsy, Aging mice</w:t>
      </w:r>
    </w:p>
    <w:p w14:paraId="01D8B2DF" w14:textId="77777777" w:rsidR="00B07D1E" w:rsidRPr="00C9623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52BE25" w14:textId="7777777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5586EF" w14:textId="7777777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60F05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4F16C1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E45C7E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167837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317759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1E9114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6582C1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AE2352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CAEC1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B51801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924827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C5A442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1D6C54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5A7360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98CF67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92AD2B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468F32" w14:textId="77777777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1911FD" w14:textId="6E3AE155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3F1748" w14:textId="48F7CDD2" w:rsidR="0077071B" w:rsidRPr="00DC10F6" w:rsidRDefault="00857E39" w:rsidP="0077071B">
      <w:pPr>
        <w:pStyle w:val="Default"/>
        <w:rPr>
          <w:rStyle w:val="None"/>
          <w:rFonts w:ascii="Calibri" w:eastAsia="Garamond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10F6">
        <w:rPr>
          <w:rFonts w:ascii="Calibri" w:hAnsi="Calibri" w:cstheme="minorHAnsi"/>
          <w:sz w:val="24"/>
          <w:szCs w:val="24"/>
        </w:rPr>
        <w:lastRenderedPageBreak/>
        <w:t>It is</w:t>
      </w:r>
      <w:r w:rsidR="00C9623D">
        <w:rPr>
          <w:rFonts w:ascii="Calibri" w:hAnsi="Calibri" w:cstheme="minorHAnsi"/>
          <w:sz w:val="24"/>
          <w:szCs w:val="24"/>
        </w:rPr>
        <w:t xml:space="preserve"> </w:t>
      </w:r>
      <w:r w:rsidRPr="00DC10F6">
        <w:rPr>
          <w:rFonts w:ascii="Calibri" w:hAnsi="Calibri" w:cstheme="minorHAnsi"/>
          <w:sz w:val="24"/>
          <w:szCs w:val="24"/>
        </w:rPr>
        <w:t xml:space="preserve">recognized </w:t>
      </w:r>
      <w:r w:rsidRPr="00DC10F6">
        <w:rPr>
          <w:rFonts w:ascii="Calibri" w:hAnsi="Calibri" w:cstheme="minorHAnsi"/>
          <w:sz w:val="24"/>
          <w:szCs w:val="24"/>
        </w:rPr>
        <w:t xml:space="preserve">that </w:t>
      </w:r>
      <w:r w:rsidRPr="00DC10F6">
        <w:rPr>
          <w:rFonts w:ascii="Calibri" w:hAnsi="Calibri" w:cstheme="minorHAnsi"/>
          <w:sz w:val="24"/>
          <w:szCs w:val="24"/>
        </w:rPr>
        <w:t xml:space="preserve">age-related decline in physiological function </w:t>
      </w:r>
      <w:r w:rsidRPr="00DC10F6">
        <w:rPr>
          <w:rFonts w:ascii="Calibri" w:hAnsi="Calibri" w:cstheme="minorHAnsi"/>
          <w:sz w:val="24"/>
          <w:szCs w:val="24"/>
        </w:rPr>
        <w:t xml:space="preserve">is preceded by resilience to aging, a </w:t>
      </w:r>
      <w:r w:rsidRPr="00DC10F6">
        <w:rPr>
          <w:rFonts w:ascii="Calibri" w:hAnsi="Calibri" w:cstheme="minorHAnsi"/>
          <w:sz w:val="24"/>
          <w:szCs w:val="24"/>
        </w:rPr>
        <w:t>biolog</w:t>
      </w:r>
      <w:r w:rsidRPr="00DC10F6">
        <w:rPr>
          <w:rFonts w:ascii="Calibri" w:hAnsi="Calibri" w:cstheme="minorHAnsi"/>
          <w:sz w:val="24"/>
          <w:szCs w:val="24"/>
        </w:rPr>
        <w:t>ical event</w:t>
      </w:r>
      <w:r w:rsidRPr="00DC10F6">
        <w:rPr>
          <w:rFonts w:ascii="Calibri" w:hAnsi="Calibri" w:cstheme="minorHAnsi"/>
          <w:sz w:val="24"/>
          <w:szCs w:val="24"/>
        </w:rPr>
        <w:t xml:space="preserve"> defined as an organism’s ability to respond to physical stress with increasing age. However, </w:t>
      </w:r>
      <w:r w:rsidR="00DC10F6" w:rsidRPr="00DC10F6">
        <w:rPr>
          <w:rFonts w:ascii="Calibri" w:hAnsi="Calibri" w:cstheme="minorHAnsi"/>
          <w:sz w:val="24"/>
          <w:szCs w:val="24"/>
        </w:rPr>
        <w:t xml:space="preserve">there is a need to further characterize </w:t>
      </w:r>
      <w:r w:rsidRPr="00DC10F6">
        <w:rPr>
          <w:rFonts w:ascii="Calibri" w:hAnsi="Calibri" w:cstheme="minorHAnsi"/>
          <w:sz w:val="24"/>
          <w:szCs w:val="24"/>
        </w:rPr>
        <w:t xml:space="preserve">predictive factors of physical resilience for maintaining optimum </w:t>
      </w:r>
      <w:r w:rsidR="00DC10F6">
        <w:rPr>
          <w:rFonts w:ascii="Calibri" w:hAnsi="Calibri" w:cstheme="minorHAnsi"/>
          <w:sz w:val="24"/>
          <w:szCs w:val="24"/>
        </w:rPr>
        <w:t xml:space="preserve">age-related </w:t>
      </w:r>
      <w:r w:rsidRPr="00DC10F6">
        <w:rPr>
          <w:rFonts w:ascii="Calibri" w:hAnsi="Calibri" w:cstheme="minorHAnsi"/>
          <w:sz w:val="24"/>
          <w:szCs w:val="24"/>
        </w:rPr>
        <w:t xml:space="preserve">health. </w:t>
      </w:r>
      <w:bookmarkStart w:id="0" w:name="_Hlk51519665"/>
      <w:bookmarkStart w:id="1" w:name="_Hlk51521170"/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Wound healing in older people can be a health issue </w:t>
      </w:r>
      <w:r w:rsidR="000B7857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because of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7857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delay in tissue repair and compromised immune response. Preclinical models are </w:t>
      </w:r>
      <w:r w:rsidR="009346E9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useful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develop better treatments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but also may be of interest to investigate corre</w:t>
      </w:r>
      <w:r w:rsidR="00EE35D8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lation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systemic aging.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However, current models are invasive and result in extensive tissue damage. Given that the ear of the mouse is readily accessible and easily manipulated, a small punch biopsy can create a wound with little peripheral damage. </w:t>
      </w:r>
      <w:bookmarkEnd w:id="1"/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Thi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report describes an </w:t>
      </w:r>
      <w:r w:rsidR="00EC35F6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ear punch biopsy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model of cutaneous wound healing</w:t>
      </w:r>
      <w:r w:rsidR="0077071B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a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ging mice</w:t>
      </w:r>
      <w:r w:rsidR="00EC35F6" w:rsidRP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C35F6" w:rsidRPr="00DC10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investigate 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the re</w:t>
      </w:r>
      <w:r w:rsid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lation</w:t>
      </w:r>
      <w:r w:rsidR="00EC35F6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resilience to healthy aging</w:t>
      </w:r>
      <w:r w:rsidR="00892E7B">
        <w:rPr>
          <w:rStyle w:val="None"/>
          <w:rFonts w:ascii="Calibri" w:hAnsi="Calibri" w:cs="Arial"/>
          <w:color w:val="auto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bookmarkEnd w:id="0"/>
    <w:p w14:paraId="786B4907" w14:textId="77777777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B79528" w14:textId="67DD2495" w:rsidR="00B07D1E" w:rsidRPr="00346CBD" w:rsidRDefault="00844609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346CBD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  <w:t>odel description</w:t>
      </w:r>
    </w:p>
    <w:p w14:paraId="04E1E119" w14:textId="627F0AB9" w:rsidR="00B07D1E" w:rsidRPr="00105C31" w:rsidRDefault="00844609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C57BL/6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female 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mice, 20 months</w:t>
      </w:r>
      <w:r w:rsidR="00D62E6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age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were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biopsied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through the central area of both ears using a 2 mm dermal biopsy punch (Figure 1). Wound closure was measured on the day of the ear punch </w:t>
      </w:r>
      <w:r w:rsidR="00765F5E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(Figure 2) 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once a week for </w:t>
      </w:r>
      <w:r w:rsidR="00105C31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weeks. </w:t>
      </w:r>
      <w:r w:rsidR="00105C31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Measurements were determined by flattening the ear with clear plastic plates, photographing the biopsy area, and applying the photograph to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105C31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base standard opening on a digital format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where surface area 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mm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was determined by the 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elliptical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C4A09" w:rsidRPr="004A22D5">
        <w:rPr>
          <w:rStyle w:val="None"/>
          <w:rFonts w:ascii="Calibri" w:hAnsi="Calibri" w:cs="Calibri"/>
          <w:i/>
          <w:i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radius a (mm) x radius b (mm) x 3.74 (</w:t>
      </w:r>
      <m:oMath>
        <m:r>
          <w:rPr>
            <w:rStyle w:val="None"/>
            <w:rFonts w:ascii="Cambria Math" w:hAnsi="Cambria Math" w:cs="Calibri"/>
            <w:color w:val="auto"/>
            <w:sz w:val="24"/>
            <w:szCs w:val="24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m:t>Π)</m:t>
        </m:r>
      </m:oMath>
      <w:r w:rsidR="00AC4A09" w:rsidRPr="004A22D5">
        <w:rPr>
          <w:rStyle w:val="None"/>
          <w:rFonts w:ascii="Calibri" w:hAnsi="Calibri" w:cs="Calibri"/>
          <w:i/>
          <w:i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C4A09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Three months after the ear biopsy procedure, at 23 months of age, mice were tested for physiological  performance using a spatial navigation task for learning [</w:t>
      </w:r>
      <w:r w:rsidR="004A22D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], a rotating rod, grip strength, and distance ran over three days on a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slanted</w:t>
      </w:r>
      <w:r w:rsidR="00306D50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in-cage wheel [</w:t>
      </w:r>
      <w:r w:rsidR="004A22D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]. </w:t>
      </w:r>
      <w:r w:rsidR="00962C2C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3EBB055" w14:textId="77777777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779FE0" w14:textId="76BD2EA9" w:rsidR="00346CBD" w:rsidRDefault="0077071B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noProof/>
          <w:color w:val="auto"/>
          <w:sz w:val="24"/>
          <w:szCs w:val="24"/>
          <w:u w:color="0070C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412BD" wp14:editId="47E8AEB8">
                <wp:simplePos x="0" y="0"/>
                <wp:positionH relativeFrom="column">
                  <wp:posOffset>709336</wp:posOffset>
                </wp:positionH>
                <wp:positionV relativeFrom="paragraph">
                  <wp:posOffset>28722</wp:posOffset>
                </wp:positionV>
                <wp:extent cx="4896639" cy="2353633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639" cy="2353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3FE6188" w14:textId="6E24546E" w:rsidR="0077071B" w:rsidRDefault="0077071B">
                            <w:r>
                              <w:t>A                                                         B</w:t>
                            </w:r>
                          </w:p>
                          <w:p w14:paraId="4C967A0B" w14:textId="6D441310" w:rsidR="0077071B" w:rsidRDefault="00770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DFF07" wp14:editId="7843F799">
                                  <wp:extent cx="2302435" cy="2018173"/>
                                  <wp:effectExtent l="0" t="0" r="317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364" cy="2130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C4F1C" wp14:editId="7293E093">
                                  <wp:extent cx="2052955" cy="2441575"/>
                                  <wp:effectExtent l="0" t="3810" r="635" b="635"/>
                                  <wp:docPr id="4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1A286CD-78E4-4D1D-8F66-B249C9FE78A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1A286CD-78E4-4D1D-8F66-B249C9FE78A5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96" t="56518" r="56014" b="19062"/>
                                          <a:stretch/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052955" cy="244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1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5pt;margin-top:2.25pt;width:385.55pt;height:1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" filled="f" strokecolor="black [3213]" strokeweight="1pt">
                <v:stroke miterlimit="4"/>
                <v:textbox inset="4pt,4pt,4pt,4pt">
                  <w:txbxContent>
                    <w:p w14:paraId="63FE6188" w14:textId="6E24546E" w:rsidR="0077071B" w:rsidRDefault="0077071B">
                      <w:r>
                        <w:t>A                                                         B</w:t>
                      </w:r>
                    </w:p>
                    <w:p w14:paraId="4C967A0B" w14:textId="6D441310" w:rsidR="0077071B" w:rsidRDefault="0077071B">
                      <w:r>
                        <w:rPr>
                          <w:noProof/>
                        </w:rPr>
                        <w:drawing>
                          <wp:inline distT="0" distB="0" distL="0" distR="0" wp14:anchorId="553DFF07" wp14:editId="7843F799">
                            <wp:extent cx="2302435" cy="2018173"/>
                            <wp:effectExtent l="0" t="0" r="317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364" cy="2130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C4F1C" wp14:editId="7293E093">
                            <wp:extent cx="2052955" cy="2441575"/>
                            <wp:effectExtent l="0" t="3810" r="635" b="635"/>
                            <wp:docPr id="4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A286CD-78E4-4D1D-8F66-B249C9FE78A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91A286CD-78E4-4D1D-8F66-B249C9FE78A5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96" t="56518" r="56014" b="19062"/>
                                    <a:stretch/>
                                  </pic:blipFill>
                                  <pic:spPr>
                                    <a:xfrm rot="5400000">
                                      <a:off x="0" y="0"/>
                                      <a:ext cx="2052955" cy="244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8DA366" w14:textId="58F11FE8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3F0C0A" w14:textId="4F6697F0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720571" w14:textId="3A344246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A2949B" w14:textId="54077AB8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9797ED" w14:textId="43A6C75E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A337BB" w14:textId="40F41A4B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A178C4" w14:textId="2F3CFA8D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C9C741" w14:textId="64D3BB91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FAC116" w14:textId="1B5587B3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56D202" w14:textId="53CBD33E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9A29AA" w14:textId="055471EF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BE71B2" w14:textId="64CA71C6" w:rsidR="00346CBD" w:rsidRDefault="00346CBD" w:rsidP="00346CBD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7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997493" w14:textId="7C9FEA1D" w:rsidR="00346CBD" w:rsidRDefault="00346CBD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ACDFB0" w14:textId="6565D827" w:rsidR="00346CBD" w:rsidRPr="00962C2C" w:rsidRDefault="0077071B" w:rsidP="00346CBD">
      <w:pPr>
        <w:pStyle w:val="Default"/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5F5E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Figure 1. </w:t>
      </w:r>
      <w:r w:rsidR="00765F5E" w:rsidRPr="00765F5E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Ear biopsy procedure. </w:t>
      </w:r>
      <w:r w:rsidR="00962C2C" w:rsidRPr="00AC4A09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  <w:r w:rsidR="00962C2C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2 mm ear punch biopsy instrument (VWR) was used for </w:t>
      </w:r>
      <w:r w:rsidR="00AC4A09" w:rsidRPr="00AC4A09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creating a through and through </w:t>
      </w:r>
      <w:r w:rsidR="0049702D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biopsy 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openin</w:t>
      </w:r>
      <w:r w:rsidR="0049702D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="00AC4A09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the central part of each ear. </w:t>
      </w:r>
    </w:p>
    <w:p w14:paraId="044A0D26" w14:textId="77777777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50F7C8" w14:textId="31FF876C" w:rsidR="00346CBD" w:rsidRPr="00065C1D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 can be seen in Figure 2, there was no difference in closure </w:t>
      </w:r>
      <w:r w:rsidR="00065C1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area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over five weeks between left and right ears, so the values from both ears could be pooled to increase the power of the analysis. The most significant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increases in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closure occurred from week 1 to week 2, where about 50 percent of the original opening had been closed in both ears. </w:t>
      </w:r>
    </w:p>
    <w:p w14:paraId="3171ACD1" w14:textId="0D484E81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333A24" w14:textId="29F874D2" w:rsidR="0077071B" w:rsidRDefault="009346E9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noProof/>
          <w:color w:val="auto"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 wp14:anchorId="603EACD6" wp14:editId="57F419FA">
            <wp:simplePos x="0" y="0"/>
            <wp:positionH relativeFrom="column">
              <wp:posOffset>573529</wp:posOffset>
            </wp:positionH>
            <wp:positionV relativeFrom="paragraph">
              <wp:posOffset>-77542</wp:posOffset>
            </wp:positionV>
            <wp:extent cx="4539536" cy="2548417"/>
            <wp:effectExtent l="0" t="0" r="13970" b="444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52FB" w14:textId="26C9C36C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FD1BBC" w14:textId="00371AE6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29C77C" w14:textId="25D16BFE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B43EFC" w14:textId="5E9CB774" w:rsidR="0077071B" w:rsidRDefault="0077071B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107176" w14:textId="677B1574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FEBB5A" w14:textId="217713BB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16D204" w14:textId="506A25D3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32C13C" w14:textId="324A0F85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FCF778" w14:textId="646D2942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8C762C" w14:textId="556AB337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40372C" w14:textId="77777777" w:rsidR="00765F5E" w:rsidRDefault="00765F5E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1DA408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FB8CDE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ED3BBD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CED8F2" w14:textId="368FAE5F" w:rsidR="00105C31" w:rsidRPr="00FA66B4" w:rsidRDefault="00065C1D" w:rsidP="00346CBD">
      <w:pPr>
        <w:pStyle w:val="Default"/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A66B4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Figure 2.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C57BL/6 </w:t>
      </w:r>
      <w:r w:rsidR="00F029F5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female 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mice, 20 months of age, had </w:t>
      </w:r>
      <w:r w:rsidR="00306D50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close to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50 percent closure after two weeks following an ear punch biopsy.  </w:t>
      </w:r>
      <w:r w:rsidR="00A3605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= 20 mice. </w:t>
      </w:r>
      <w:r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There was no difference in closure in either ear at any time point up to five weeks</w:t>
      </w:r>
      <w:r w:rsidR="00FA66B4" w:rsidRPr="00FA66B4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460139C" w14:textId="77777777" w:rsidR="00105C31" w:rsidRDefault="00105C31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D3A8F4" w14:textId="41214109" w:rsidR="00FA66B4" w:rsidRPr="00065C1D" w:rsidRDefault="00FA66B4" w:rsidP="00FA66B4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linear regression analysis of the decrease in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open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surface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area over five weeks showed a </w:t>
      </w:r>
      <w:r w:rsidR="0088485E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surface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area of 2.</w:t>
      </w:r>
      <w:r w:rsidR="009C32AF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mm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 two weeks.  Therefore, mice with surface areas </w:t>
      </w:r>
      <w:r w:rsidR="0088485E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greater than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2.</w:t>
      </w:r>
      <w:r w:rsidR="009C32AF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mm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were considered slow healers, and mice with surface areas of 2.</w:t>
      </w:r>
      <w:r w:rsidR="009C32AF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mm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 less were considered fast healers.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It was then possible to do correlation analysis</w:t>
      </w:r>
      <w:r w:rsidR="004F706A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performance tests to see if fast healers aligned with increased performance. As can be seen in Figure 3</w:t>
      </w:r>
      <w:r w:rsidR="00306D50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4F706A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fast healers were able to find an escape hole more quickly, had increased grip strength, and ran further over three days than slow healers.</w:t>
      </w:r>
    </w:p>
    <w:p w14:paraId="6E3C7FB9" w14:textId="17BE2007" w:rsidR="00105C31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noProof/>
          <w:color w:val="auto"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C3127" wp14:editId="6971B1A0">
                <wp:simplePos x="0" y="0"/>
                <wp:positionH relativeFrom="column">
                  <wp:posOffset>346230</wp:posOffset>
                </wp:positionH>
                <wp:positionV relativeFrom="paragraph">
                  <wp:posOffset>89167</wp:posOffset>
                </wp:positionV>
                <wp:extent cx="4896639" cy="306783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639" cy="3067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F24F0F" w14:textId="77777777" w:rsidR="009C32AF" w:rsidRPr="009C32AF" w:rsidRDefault="009C32AF" w:rsidP="009C32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A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object w:dxaOrig="9581" w:dyaOrig="5402" w14:anchorId="18714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2" type="#_x0000_t75" style="width:382.4pt;height:227pt">
                                  <v:imagedata r:id="rId9" o:title=""/>
                                </v:shape>
                                <o:OLEObject Type="Embed" ProgID="PowerPoint.Slide.12" ShapeID="_x0000_i1092" DrawAspect="Content" ObjectID="_1662138627" r:id="rId10"/>
                              </w:objec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3127" id="Text Box 9" o:spid="_x0000_s1027" type="#_x0000_t202" style="position:absolute;margin-left:27.25pt;margin-top:7pt;width:385.55pt;height:24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" filled="f" stroked="f" strokeweight="1pt">
                <v:stroke miterlimit="4"/>
                <v:textbox inset="4pt,4pt,4pt,4pt">
                  <w:txbxContent>
                    <w:p w14:paraId="4CF24F0F" w14:textId="77777777" w:rsidR="009C32AF" w:rsidRPr="009C32AF" w:rsidRDefault="009C32AF" w:rsidP="009C32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none" w:sz="0" w:space="0" w:color="auto"/>
                          <w:bar w:val="none" w:sz="0" w:color="auto"/>
                        </w:pBd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32A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object w:dxaOrig="9581" w:dyaOrig="5402" w14:anchorId="18714860">
                          <v:shape id="_x0000_i1092" type="#_x0000_t75" style="width:382.4pt;height:227pt">
                            <v:imagedata r:id="rId9" o:title=""/>
                          </v:shape>
                          <o:OLEObject Type="Embed" ProgID="PowerPoint.Slide.12" ShapeID="_x0000_i1092" DrawAspect="Content" ObjectID="_166213862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2F06ED6" w14:textId="23DE06F8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92CDFF" w14:textId="21F58462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E467C9" w14:textId="6F6E6F18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A8ED31" w14:textId="3DA06C35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640D63" w14:textId="6F626A86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9D9589" w14:textId="117E702E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A24C29" w14:textId="7F508440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EE96C4" w14:textId="321ABF6F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2EE42F" w14:textId="6CF4B743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277D87" w14:textId="1D076502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BAC3B6" w14:textId="7AF3009E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6BB5FE" w14:textId="5A31B035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41C06A" w14:textId="587F7035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0088F5" w14:textId="2B92E178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E0707E" w14:textId="09485896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596A2A" w14:textId="3E4AA526" w:rsidR="009C32AF" w:rsidRDefault="009C32AF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D21407" w14:textId="7F460A62" w:rsidR="002A6A02" w:rsidRPr="0033390A" w:rsidRDefault="004F706A" w:rsidP="00346CBD">
      <w:pPr>
        <w:pStyle w:val="Default"/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Figure 3.</w:t>
      </w:r>
      <w:r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Mice that had increased closure of an ear punch biopsy after two weeks (fast healers)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were</w:t>
      </w:r>
      <w:r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3390A"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A.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better at finding an escape hole in a spatial navigation learning task (box maze), </w:t>
      </w:r>
      <w:r w:rsidR="0033390A"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 increased grip strength, and </w:t>
      </w:r>
      <w:r w:rsidR="0033390A" w:rsidRPr="0033390A">
        <w:rPr>
          <w:rStyle w:val="None"/>
          <w:rFonts w:ascii="Calibri" w:hAnsi="Calibri" w:cs="Calibri"/>
          <w:b/>
          <w:bCs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C.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33390A" w:rsidRPr="0033390A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 further over three days on a slanted wheel three months after the biopsy, compared to mice with a decreased ear biopsy closure (slow healers). </w:t>
      </w:r>
      <w:r w:rsidR="00FF4868">
        <w:rPr>
          <w:rStyle w:val="None"/>
          <w:rFonts w:ascii="Calibri" w:hAnsi="Calibri" w:cs="Calibri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= 8-10 mice per cohort. *p≤0.05.</w:t>
      </w:r>
    </w:p>
    <w:p w14:paraId="585C0FD5" w14:textId="77777777" w:rsidR="002A6A02" w:rsidRDefault="002A6A02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6D3BE8" w14:textId="0F2763C1" w:rsidR="000B7857" w:rsidRDefault="00FF4868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Increased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performance in aging mice of the same gender (all were females) with faster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wound closure</w:t>
      </w:r>
      <w:r w:rsidR="002A6A02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suggests 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factors other than 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age</w:t>
      </w:r>
      <w:r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genetic background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may be playing a role in resilience</w:t>
      </w:r>
      <w:r w:rsidR="00C9623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aging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Additional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studies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fast and slow healers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would be of interest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determine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molecular pathways involved</w:t>
      </w:r>
      <w:r w:rsidR="00844609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addition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ear punch bi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="00F029F5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psy procedure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would be</w:t>
      </w:r>
      <w:r w:rsidR="000B7857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useful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relatively noninvasive </w:t>
      </w:r>
      <w:r w:rsidR="000B7857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model for studying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 </w:t>
      </w:r>
      <w:r w:rsidR="000B7857" w:rsidRPr="00346CBD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cutaneous wound healing </w:t>
      </w:r>
      <w:r w:rsidR="000B7857"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related to systemic internal organ aging. </w:t>
      </w:r>
    </w:p>
    <w:p w14:paraId="37A83E7A" w14:textId="77777777" w:rsidR="000B7857" w:rsidRDefault="000B7857" w:rsidP="00346CBD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BCDAE" w14:textId="77777777" w:rsidR="004A22D5" w:rsidRPr="004A22D5" w:rsidRDefault="004A22D5" w:rsidP="004A22D5">
      <w:pPr>
        <w:rPr>
          <w:rFonts w:ascii="Calibri" w:eastAsiaTheme="minorEastAsia" w:hAnsi="Calibri" w:cs="Calibri"/>
          <w:b/>
          <w:bCs/>
          <w:lang w:eastAsia="zh-CN"/>
        </w:rPr>
      </w:pPr>
      <w:bookmarkStart w:id="2" w:name="_Hlk51523027"/>
      <w:r w:rsidRPr="004A22D5">
        <w:rPr>
          <w:rFonts w:ascii="Calibri" w:eastAsiaTheme="minorEastAsia" w:hAnsi="Calibri" w:cs="Calibri"/>
          <w:b/>
          <w:bCs/>
          <w:lang w:eastAsia="zh-CN"/>
        </w:rPr>
        <w:t>Acknowledgments</w:t>
      </w:r>
    </w:p>
    <w:p w14:paraId="62EE65AC" w14:textId="60B4CC95" w:rsidR="004A22D5" w:rsidRPr="004A22D5" w:rsidRDefault="004A22D5" w:rsidP="004A22D5">
      <w:pPr>
        <w:rPr>
          <w:rFonts w:ascii="Calibri" w:hAnsi="Calibri" w:cs="Calibri"/>
        </w:rPr>
      </w:pPr>
      <w:r w:rsidRPr="004A22D5">
        <w:rPr>
          <w:rFonts w:ascii="Calibri" w:eastAsiaTheme="minorEastAsia" w:hAnsi="Calibri" w:cs="Calibri"/>
          <w:lang w:eastAsia="zh-CN"/>
        </w:rPr>
        <w:t xml:space="preserve">Supported by a grant from the National Institute on Aging, </w:t>
      </w:r>
      <w:r w:rsidR="0049702D" w:rsidRPr="0049702D">
        <w:rPr>
          <w:rFonts w:ascii="Calibri" w:hAnsi="Calibri" w:cs="Calibri"/>
        </w:rPr>
        <w:t>R01 AG05738</w:t>
      </w:r>
      <w:r w:rsidR="0049702D" w:rsidRPr="0049702D">
        <w:rPr>
          <w:rFonts w:ascii="Calibri" w:hAnsi="Calibri" w:cs="Calibri"/>
        </w:rPr>
        <w:t>1</w:t>
      </w:r>
      <w:r w:rsidRPr="004A22D5">
        <w:rPr>
          <w:rFonts w:ascii="Calibri" w:hAnsi="Calibri" w:cs="Calibri"/>
        </w:rPr>
        <w:t xml:space="preserve"> (W. Ladiges, PI)</w:t>
      </w:r>
    </w:p>
    <w:p w14:paraId="6EBF730A" w14:textId="77777777" w:rsidR="004A22D5" w:rsidRPr="004A22D5" w:rsidRDefault="004A22D5" w:rsidP="004A22D5">
      <w:pPr>
        <w:rPr>
          <w:rFonts w:ascii="Calibri" w:hAnsi="Calibri" w:cs="Calibri"/>
          <w:b/>
          <w:bCs/>
        </w:rPr>
      </w:pPr>
    </w:p>
    <w:p w14:paraId="41AD34A1" w14:textId="77777777" w:rsidR="004A22D5" w:rsidRPr="004A22D5" w:rsidRDefault="004A22D5" w:rsidP="004A22D5">
      <w:pPr>
        <w:rPr>
          <w:rFonts w:ascii="Calibri" w:hAnsi="Calibri" w:cs="Calibri"/>
          <w:b/>
          <w:bCs/>
        </w:rPr>
      </w:pPr>
      <w:r w:rsidRPr="004A22D5">
        <w:rPr>
          <w:rFonts w:ascii="Calibri" w:hAnsi="Calibri" w:cs="Calibri"/>
          <w:b/>
          <w:bCs/>
        </w:rPr>
        <w:t>Conflict of interest</w:t>
      </w:r>
    </w:p>
    <w:p w14:paraId="2CC8D0D7" w14:textId="77777777" w:rsidR="004A22D5" w:rsidRPr="004A22D5" w:rsidRDefault="004A22D5" w:rsidP="004A22D5">
      <w:pPr>
        <w:rPr>
          <w:rFonts w:ascii="Calibri" w:hAnsi="Calibri" w:cs="Calibri"/>
        </w:rPr>
      </w:pPr>
      <w:r w:rsidRPr="004A22D5">
        <w:rPr>
          <w:rFonts w:ascii="Calibri" w:hAnsi="Calibri" w:cs="Calibri"/>
        </w:rPr>
        <w:t>The authors declare no conflict of interest</w:t>
      </w:r>
    </w:p>
    <w:bookmarkEnd w:id="2"/>
    <w:p w14:paraId="704CE219" w14:textId="508ACCC5" w:rsidR="004A22D5" w:rsidRDefault="004A22D5" w:rsidP="004F706A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DE8CC9" w14:textId="083FD059" w:rsidR="004A22D5" w:rsidRPr="004A22D5" w:rsidRDefault="004A22D5" w:rsidP="004F706A">
      <w:pPr>
        <w:pStyle w:val="Default"/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22D5">
        <w:rPr>
          <w:rStyle w:val="None"/>
          <w:rFonts w:ascii="Calibri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References</w:t>
      </w:r>
    </w:p>
    <w:p w14:paraId="588ABB72" w14:textId="525488F9" w:rsidR="0049702D" w:rsidRPr="005A7414" w:rsidRDefault="004A22D5" w:rsidP="00195199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Calibri" w:eastAsia="Times New Roman" w:hAnsi="Calibri" w:cs="Calibri"/>
          <w:noProof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t>1</w:t>
      </w:r>
      <w:r>
        <w:rPr>
          <w:rFonts w:ascii="Calibri" w:eastAsia="Times New Roman" w:hAnsi="Calibri" w:cs="Calibri"/>
          <w:noProof/>
          <w:color w:val="000000"/>
          <w:lang w:eastAsia="de-DE"/>
        </w:rPr>
        <w:t xml:space="preserve">. </w:t>
      </w:r>
      <w:r w:rsidRPr="005A7414">
        <w:rPr>
          <w:rFonts w:ascii="Calibri" w:eastAsia="Times New Roman" w:hAnsi="Calibri" w:cs="Calibri"/>
          <w:noProof/>
          <w:color w:val="000000"/>
          <w:lang w:eastAsia="de-DE"/>
        </w:rPr>
        <w:t xml:space="preserve">Darvas M, Mukherjee K, Lee A, Ladiges W. A Novel One-Day Learning Procedure for Mice. Curr Protoc Mouse Biol. 2020 Mar;10(1):e68. </w:t>
      </w:r>
    </w:p>
    <w:p w14:paraId="6A443BC9" w14:textId="5CE72A22" w:rsidR="00195199" w:rsidRPr="00195199" w:rsidRDefault="00195199" w:rsidP="00195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630"/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 xml:space="preserve">2. </w:t>
      </w:r>
      <w:r w:rsidRPr="00195199">
        <w:rPr>
          <w:rFonts w:ascii="Calibri" w:eastAsia="Times New Roman" w:hAnsi="Calibri" w:cs="Calibri"/>
          <w:bdr w:val="none" w:sz="0" w:space="0" w:color="auto"/>
        </w:rPr>
        <w:t>Goh J, Ladiges W.</w:t>
      </w:r>
      <w:hyperlink r:id="rId12" w:history="1">
        <w:r w:rsidRPr="00195199">
          <w:rPr>
            <w:rFonts w:ascii="Calibri" w:eastAsia="Times New Roman" w:hAnsi="Calibri" w:cs="Calibri"/>
            <w:bdr w:val="none" w:sz="0" w:space="0" w:color="auto"/>
            <w:shd w:val="clear" w:color="auto" w:fill="FFFFFF"/>
          </w:rPr>
          <w:t>Voluntary Wheel Running in Mice.</w:t>
        </w:r>
      </w:hyperlink>
      <w:r>
        <w:rPr>
          <w:rFonts w:ascii="Calibri" w:eastAsia="Times New Roman" w:hAnsi="Calibri" w:cs="Calibri"/>
          <w:bdr w:val="none" w:sz="0" w:space="0" w:color="auto"/>
        </w:rPr>
        <w:t xml:space="preserve"> </w:t>
      </w:r>
      <w:r w:rsidRPr="00195199">
        <w:rPr>
          <w:rFonts w:ascii="Calibri" w:eastAsia="Times New Roman" w:hAnsi="Calibri" w:cs="Calibri"/>
          <w:bdr w:val="none" w:sz="0" w:space="0" w:color="auto"/>
        </w:rPr>
        <w:t>Curr Protoc Mouse Biol. 2015 Dec</w:t>
      </w:r>
      <w:r>
        <w:rPr>
          <w:rFonts w:ascii="Calibri" w:eastAsia="Times New Roman" w:hAnsi="Calibri" w:cs="Calibri"/>
          <w:bdr w:val="none" w:sz="0" w:space="0" w:color="auto"/>
        </w:rPr>
        <w:t xml:space="preserve"> </w:t>
      </w:r>
      <w:r w:rsidRPr="00195199">
        <w:rPr>
          <w:rFonts w:ascii="Calibri" w:eastAsia="Times New Roman" w:hAnsi="Calibri" w:cs="Calibri"/>
          <w:bdr w:val="none" w:sz="0" w:space="0" w:color="auto"/>
        </w:rPr>
        <w:t>2;5(4):283-290. PMID: 26629772</w:t>
      </w:r>
    </w:p>
    <w:p w14:paraId="13289072" w14:textId="77777777" w:rsidR="004A22D5" w:rsidRDefault="004A22D5" w:rsidP="004F706A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F58AB3" w14:textId="36C43CE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D6E844" w14:textId="53E90B95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99607B" w14:textId="0C4FB4C2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17181D" w14:textId="3BD3DF29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04EAAD" w14:textId="528C623A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ABB608" w14:textId="3A20BC62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7319D0" w14:textId="55314238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B2104A" w14:textId="7777777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27A48D" w14:textId="77777777" w:rsidR="00B07D1E" w:rsidRPr="00346CBD" w:rsidRDefault="00B07D1E" w:rsidP="00346CBD">
      <w:pPr>
        <w:pStyle w:val="Default"/>
        <w:rPr>
          <w:rStyle w:val="None"/>
          <w:rFonts w:ascii="Calibri" w:eastAsia="Garamond" w:hAnsi="Calibri" w:cs="Calibri"/>
          <w:b/>
          <w:bCs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0417E2" w14:textId="77777777" w:rsidR="00C93146" w:rsidRDefault="00C93146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6C28D461" w14:textId="3A1FFC6C" w:rsidR="00C93146" w:rsidRDefault="00C93146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8237E4B" w14:textId="04B0F2E5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1362E12F" w14:textId="53657F12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7C8BBD0" w14:textId="6ADA1871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4BE886E2" w14:textId="328B723B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2AAA0B04" w14:textId="58755A2A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2910E290" w14:textId="07D077F9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63972DC6" w14:textId="77777777" w:rsidR="00765F5E" w:rsidRDefault="00765F5E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446C17CD" w14:textId="77777777" w:rsidR="00C93146" w:rsidRDefault="00C93146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20FBE187" w14:textId="77777777" w:rsidR="00C93146" w:rsidRDefault="00C93146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18147EE7" w14:textId="77777777" w:rsidR="00C93146" w:rsidRDefault="00C93146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0C63CFE2" w14:textId="77777777" w:rsidR="00C93146" w:rsidRDefault="00C93146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29750407" w14:textId="77777777" w:rsidR="00D62E67" w:rsidRDefault="00D62E67" w:rsidP="00C93146">
      <w:pPr>
        <w:pStyle w:val="Default"/>
        <w:rPr>
          <w:rStyle w:val="None"/>
          <w:rFonts w:ascii="Calibri" w:hAnsi="Calibri" w:cs="Calibri"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B925A6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65CD81BF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0820D052" w14:textId="7EDFC341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609047B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0D371C3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3A2FA9A4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CB51D4C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552E7B1E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EB362B6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7AE90030" w14:textId="77777777" w:rsidR="0077071B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</w:p>
    <w:p w14:paraId="34E07B82" w14:textId="5B013E84" w:rsidR="00B07D1E" w:rsidRPr="00346CBD" w:rsidRDefault="0077071B" w:rsidP="00346CBD"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9C82F0F" wp14:editId="0A77F71C">
            <wp:simplePos x="0" y="0"/>
            <wp:positionH relativeFrom="column">
              <wp:posOffset>0</wp:posOffset>
            </wp:positionH>
            <wp:positionV relativeFrom="paragraph">
              <wp:posOffset>2931</wp:posOffset>
            </wp:positionV>
            <wp:extent cx="2278664" cy="1677302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64" cy="16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09" w:rsidRPr="00346CBD">
        <w:rPr>
          <w:rStyle w:val="None"/>
          <w:rFonts w:ascii="Calibri" w:eastAsia="Garamond" w:hAnsi="Calibri" w:cs="Calibri"/>
          <w:b/>
          <w:bCs/>
          <w:noProof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4384" behindDoc="0" locked="0" layoutInCell="1" allowOverlap="1" wp14:anchorId="70DA68B9" wp14:editId="05F083D0">
            <wp:simplePos x="0" y="0"/>
            <wp:positionH relativeFrom="column">
              <wp:posOffset>2891788</wp:posOffset>
            </wp:positionH>
            <wp:positionV relativeFrom="line">
              <wp:posOffset>1178560</wp:posOffset>
            </wp:positionV>
            <wp:extent cx="18416" cy="18416"/>
            <wp:effectExtent l="0" t="0" r="0" b="0"/>
            <wp:wrapNone/>
            <wp:docPr id="1073741830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image6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16" cy="18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44609" w:rsidRPr="00346CBD">
        <w:rPr>
          <w:rStyle w:val="None"/>
          <w:rFonts w:ascii="Calibri" w:eastAsia="Garamond" w:hAnsi="Calibri" w:cs="Calibri"/>
          <w:b/>
          <w:bCs/>
          <w:noProof/>
          <w:color w:val="auto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5408" behindDoc="0" locked="0" layoutInCell="1" allowOverlap="1" wp14:anchorId="76FD66C0" wp14:editId="725BC9AF">
            <wp:simplePos x="0" y="0"/>
            <wp:positionH relativeFrom="column">
              <wp:posOffset>2891788</wp:posOffset>
            </wp:positionH>
            <wp:positionV relativeFrom="line">
              <wp:posOffset>1178560</wp:posOffset>
            </wp:positionV>
            <wp:extent cx="18416" cy="18416"/>
            <wp:effectExtent l="0" t="0" r="0" b="0"/>
            <wp:wrapNone/>
            <wp:docPr id="1073741831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image6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16" cy="18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07D1E" w:rsidRPr="00346CBD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616" w14:textId="77777777" w:rsidR="00844609" w:rsidRDefault="00844609">
      <w:r>
        <w:separator/>
      </w:r>
    </w:p>
  </w:endnote>
  <w:endnote w:type="continuationSeparator" w:id="0">
    <w:p w14:paraId="718D35F4" w14:textId="77777777" w:rsidR="00844609" w:rsidRDefault="0084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BB6F" w14:textId="77777777" w:rsidR="00B07D1E" w:rsidRDefault="00B07D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5491" w14:textId="77777777" w:rsidR="00844609" w:rsidRDefault="00844609">
      <w:r>
        <w:separator/>
      </w:r>
    </w:p>
  </w:footnote>
  <w:footnote w:type="continuationSeparator" w:id="0">
    <w:p w14:paraId="0878F475" w14:textId="77777777" w:rsidR="00844609" w:rsidRDefault="0084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39E3" w14:textId="6EDFFE53" w:rsidR="00B07D1E" w:rsidRDefault="00B07D1E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1E"/>
    <w:rsid w:val="000155E0"/>
    <w:rsid w:val="00065C1D"/>
    <w:rsid w:val="000B7857"/>
    <w:rsid w:val="000D395C"/>
    <w:rsid w:val="00105C31"/>
    <w:rsid w:val="00195199"/>
    <w:rsid w:val="002A6A02"/>
    <w:rsid w:val="00306D50"/>
    <w:rsid w:val="0033390A"/>
    <w:rsid w:val="00346CBD"/>
    <w:rsid w:val="00457871"/>
    <w:rsid w:val="0049702D"/>
    <w:rsid w:val="004A22D5"/>
    <w:rsid w:val="004F675F"/>
    <w:rsid w:val="004F706A"/>
    <w:rsid w:val="005C4AAE"/>
    <w:rsid w:val="00765F5E"/>
    <w:rsid w:val="0077071B"/>
    <w:rsid w:val="00844609"/>
    <w:rsid w:val="00857E39"/>
    <w:rsid w:val="0088485E"/>
    <w:rsid w:val="00892E7B"/>
    <w:rsid w:val="009346E9"/>
    <w:rsid w:val="00962C2C"/>
    <w:rsid w:val="009C32AF"/>
    <w:rsid w:val="00A36054"/>
    <w:rsid w:val="00AC4A09"/>
    <w:rsid w:val="00B07D1E"/>
    <w:rsid w:val="00B30300"/>
    <w:rsid w:val="00B70ED9"/>
    <w:rsid w:val="00C93146"/>
    <w:rsid w:val="00C9623D"/>
    <w:rsid w:val="00CA0DCB"/>
    <w:rsid w:val="00CC4A9D"/>
    <w:rsid w:val="00CF1991"/>
    <w:rsid w:val="00D62E67"/>
    <w:rsid w:val="00DC10F6"/>
    <w:rsid w:val="00EC35F6"/>
    <w:rsid w:val="00EE35D8"/>
    <w:rsid w:val="00F029F5"/>
    <w:rsid w:val="00F60626"/>
    <w:rsid w:val="00F932B6"/>
    <w:rsid w:val="00FA66B4"/>
    <w:rsid w:val="00FD30F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417A"/>
  <w15:docId w15:val="{F63713A3-DA80-4EB4-A852-69D0CAE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70C0"/>
      <w:u w:val="single" w:color="0070C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AC4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ubmed.ncbi.nlm.nih.gov/2662977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PowerPoint_Slide1.sldx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package" Target="embeddings/Microsoft_PowerPoint_Slide.sld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37518226888306"/>
          <c:y val="4.3650793650793648E-2"/>
          <c:w val="0.86516185476815399"/>
          <c:h val="0.782025684289463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Left ear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Sheet1!$A$2:$A$8</c:f>
              <c:strCache>
                <c:ptCount val="6"/>
                <c:pt idx="0">
                  <c:v>Week 0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3.5</c:v>
                </c:pt>
                <c:pt idx="1">
                  <c:v>3.2</c:v>
                </c:pt>
                <c:pt idx="2">
                  <c:v>2</c:v>
                </c:pt>
                <c:pt idx="3">
                  <c:v>1.7</c:v>
                </c:pt>
                <c:pt idx="4">
                  <c:v>1.4</c:v>
                </c:pt>
                <c:pt idx="5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32-4CFA-8E18-17AC02E99F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Right ear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Sheet1!$A$2:$A$8</c:f>
              <c:strCache>
                <c:ptCount val="6"/>
                <c:pt idx="0">
                  <c:v>Week 0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3.6</c:v>
                </c:pt>
                <c:pt idx="1">
                  <c:v>3.3</c:v>
                </c:pt>
                <c:pt idx="2">
                  <c:v>2.2000000000000002</c:v>
                </c:pt>
                <c:pt idx="3">
                  <c:v>1.6</c:v>
                </c:pt>
                <c:pt idx="4">
                  <c:v>1.6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32-4CFA-8E18-17AC02E99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9442584"/>
        <c:axId val="549443568"/>
      </c:lineChart>
      <c:catAx>
        <c:axId val="54944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49443568"/>
        <c:crosses val="autoZero"/>
        <c:auto val="1"/>
        <c:lblAlgn val="ctr"/>
        <c:lblOffset val="100"/>
        <c:noMultiLvlLbl val="0"/>
      </c:catAx>
      <c:valAx>
        <c:axId val="54944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US" sz="1100">
                    <a:latin typeface="Calibri" panose="020F0502020204030204" pitchFamily="34" charset="0"/>
                    <a:cs typeface="Calibri" panose="020F0502020204030204" pitchFamily="34" charset="0"/>
                  </a:rPr>
                  <a:t>Area (square mm)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49442584"/>
        <c:crosses val="autoZero"/>
        <c:crossBetween val="between"/>
      </c:valAx>
      <c:spPr>
        <a:noFill/>
        <a:ln>
          <a:noFill/>
        </a:ln>
        <a:effectLst>
          <a:glow rad="25400">
            <a:schemeClr val="accent1">
              <a:alpha val="40000"/>
            </a:schemeClr>
          </a:glow>
        </a:effectLst>
      </c:spPr>
    </c:plotArea>
    <c:legend>
      <c:legendPos val="b"/>
      <c:layout>
        <c:manualLayout>
          <c:xMode val="edge"/>
          <c:yMode val="edge"/>
          <c:x val="0.47912438477367164"/>
          <c:y val="0.2791816360607553"/>
          <c:w val="0.4337335700972465"/>
          <c:h val="0.102185613292233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Ladiges</dc:creator>
  <cp:lastModifiedBy>Warren Ladiges</cp:lastModifiedBy>
  <cp:revision>11</cp:revision>
  <dcterms:created xsi:type="dcterms:W3CDTF">2020-09-20T20:22:00Z</dcterms:created>
  <dcterms:modified xsi:type="dcterms:W3CDTF">2020-09-21T03:24:00Z</dcterms:modified>
</cp:coreProperties>
</file>