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5B05" w14:textId="10CD2FFA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>Comments to the Author</w:t>
      </w:r>
      <w:r>
        <w:rPr>
          <w:rFonts w:asciiTheme="minorEastAsia" w:hAnsiTheme="minorEastAsia" w:cs="Times New Roman" w:hint="eastAsia"/>
          <w:color w:val="000000"/>
          <w:szCs w:val="21"/>
          <w:shd w:val="clear" w:color="auto" w:fill="FFFFFF"/>
        </w:rPr>
        <w:t>s</w:t>
      </w: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br/>
      </w: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br/>
        <w:t xml:space="preserve">In this work, Manish Parihar et al.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found</w:t>
      </w: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</w:t>
      </w: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 xml:space="preserve">ex-dependent lifespan extension of </w:t>
      </w:r>
      <w:proofErr w:type="spellStart"/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>ApcMIn</w:t>
      </w:r>
      <w:proofErr w:type="spellEnd"/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>/+ FAP mice by chronic mTOR inhibition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. However, the demonstration of experimental process and results is not clear enough. We suggest that the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author improving more discussion and supporting materials.</w:t>
      </w:r>
    </w:p>
    <w:p w14:paraId="4628BF0F" w14:textId="77777777" w:rsidR="00411DFC" w:rsidRDefault="00411DFC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24368009" w14:textId="77777777" w:rsidR="00411DFC" w:rsidRDefault="005F2127">
      <w:pP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  <w:t>A few additional comments: </w:t>
      </w:r>
    </w:p>
    <w:p w14:paraId="59DAAE16" w14:textId="77777777" w:rsidR="00411DFC" w:rsidRDefault="00411DFC">
      <w:pPr>
        <w:rPr>
          <w:rFonts w:ascii="Times New Roman" w:eastAsia="Verdana" w:hAnsi="Times New Roman" w:cs="Times New Roman"/>
          <w:color w:val="000000"/>
          <w:szCs w:val="21"/>
          <w:shd w:val="clear" w:color="auto" w:fill="FFFFFF"/>
        </w:rPr>
      </w:pPr>
    </w:p>
    <w:p w14:paraId="35557382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It is suggested to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state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the total number of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ApcMin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/+ MICE in groups, the number of control group, the number of male and female mice, and the number of mice used for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specimen collection and survival analysis.</w:t>
      </w:r>
    </w:p>
    <w:p w14:paraId="2A3D232F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Please use a single paragraph to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state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the statistical methods used.</w:t>
      </w:r>
    </w:p>
    <w:p w14:paraId="067B9D91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At the end of “Mouse husbandry and diets”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we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found“In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our longevity studies, ”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The author seems to have left this paragraph unfinished. </w:t>
      </w:r>
    </w:p>
    <w:p w14:paraId="4F586ED5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Th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e dosage form of rapamycin is described in this paper. It is suggested that the dosage form of rapamycin should be described in detail (How much per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day?How</w:t>
      </w:r>
      <w:proofErr w:type="spellEnd"/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many times a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day?Total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duration of medication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only 16 weeks or lifelong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).</w:t>
      </w:r>
    </w:p>
    <w:p w14:paraId="0EA0D333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No data and graphs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were found in the paper or in the graph to prove that "polyp reduction is almost the same in male and female patients receiving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eRapa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treatment". Please provide the P value.</w:t>
      </w:r>
    </w:p>
    <w:p w14:paraId="4AD2FBA2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Anemia is a common clinical symptom of decreased peripheral erythrocyte volume, w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hich is lower than the lower limit of the normal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range.Hemoglobin</w:t>
      </w:r>
      <w:proofErr w:type="spellEnd"/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(Hb) concentration is often substituted clinically.</w:t>
      </w:r>
    </w:p>
    <w:p w14:paraId="1B0C40DB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Hematocrit can be seen in various types of anemia or blood dilution, which is helpful in the identification and classification of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anemia.“</w:t>
      </w:r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Since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ApcMin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/+ mice primarily die from anemia, which chronic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eRapa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prevents in females(8), we next asked if a sex difference in hematocrit response by rapamycin could account for the difference in longevity effects.”</w:t>
      </w:r>
    </w:p>
    <w:p w14:paraId="4020E494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Whether additional elaboration is neede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d to clarify the association between hematocrit, anemia, and survival.</w:t>
      </w:r>
    </w:p>
    <w:p w14:paraId="48EDE57F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Are there sex differen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t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effects of rapamycin on normal mice? The experiment involved two research factors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ApcMin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/+ and rapamycin, so the author </w:t>
      </w:r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need</w:t>
      </w:r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to add experiments or citations of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normal mice + rapamycin.</w:t>
      </w:r>
    </w:p>
    <w:p w14:paraId="698A09E8" w14:textId="77777777" w:rsidR="00411DFC" w:rsidRDefault="005F212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"Immunohistochemical results showed that the phosphorylation level of rpS6 in small intestinal polyps of control animals (Figure 3G) was significantly higher than that in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eRapa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group (Figure 3H)." The intestinal villi in the secti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on of Figure 3H were orderly and intact, rather than polyp </w:t>
      </w:r>
      <w:proofErr w:type="spellStart"/>
      <w:proofErr w:type="gram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tissue.Previous</w:t>
      </w:r>
      <w:proofErr w:type="spellEnd"/>
      <w:proofErr w:type="gram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experiments showed that rapamycin could reduce polyps rather than eliminate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lastRenderedPageBreak/>
        <w:t xml:space="preserve">them. Should polyp sections in the </w:t>
      </w:r>
      <w:proofErr w:type="spellStart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eRapa</w:t>
      </w:r>
      <w:proofErr w:type="spellEnd"/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group be selected here?</w:t>
      </w:r>
    </w:p>
    <w:sectPr w:rsidR="0041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FC"/>
    <w:rsid w:val="00411DFC"/>
    <w:rsid w:val="005F2127"/>
    <w:rsid w:val="06586664"/>
    <w:rsid w:val="536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DF865"/>
  <w15:docId w15:val="{72500087-E181-4350-8944-4543F12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俊锋 孙</cp:lastModifiedBy>
  <cp:revision>2</cp:revision>
  <dcterms:created xsi:type="dcterms:W3CDTF">2020-11-29T05:51:00Z</dcterms:created>
  <dcterms:modified xsi:type="dcterms:W3CDTF">2020-11-29T05:51:00Z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