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F57B" w14:textId="4E9CC5B0" w:rsidR="00A47EE2" w:rsidRPr="00A47EE2" w:rsidRDefault="00A65B2E" w:rsidP="00A47EE2">
      <w:pPr>
        <w:spacing w:line="240" w:lineRule="auto"/>
        <w:jc w:val="both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Figure Legend</w:t>
      </w:r>
      <w:r w:rsidR="00A47EE2" w:rsidRPr="00A47EE2">
        <w:rPr>
          <w:rFonts w:ascii="Times" w:hAnsi="Times"/>
          <w:b/>
          <w:szCs w:val="24"/>
        </w:rPr>
        <w:tab/>
      </w:r>
    </w:p>
    <w:p w14:paraId="3E16670D" w14:textId="77777777" w:rsidR="00A47EE2" w:rsidRPr="00843BB8" w:rsidRDefault="00A47EE2" w:rsidP="00A47EE2">
      <w:pPr>
        <w:spacing w:line="240" w:lineRule="auto"/>
        <w:jc w:val="both"/>
        <w:rPr>
          <w:rFonts w:ascii="Times" w:hAnsi="Times"/>
          <w:szCs w:val="24"/>
        </w:rPr>
      </w:pPr>
    </w:p>
    <w:p w14:paraId="29692DDC" w14:textId="64290DC6" w:rsidR="00AB709E" w:rsidRPr="003303C9" w:rsidRDefault="00340518" w:rsidP="00A47EE2">
      <w:pPr>
        <w:spacing w:line="240" w:lineRule="auto"/>
        <w:jc w:val="both"/>
        <w:rPr>
          <w:rFonts w:ascii="Times" w:hAnsi="Times"/>
          <w:b/>
          <w:szCs w:val="24"/>
        </w:rPr>
      </w:pPr>
      <w:r w:rsidRPr="00843BB8">
        <w:rPr>
          <w:rFonts w:ascii="Times" w:hAnsi="Times"/>
          <w:b/>
          <w:szCs w:val="24"/>
        </w:rPr>
        <w:t xml:space="preserve">Figure </w:t>
      </w:r>
      <w:r w:rsidR="006B6EDE">
        <w:rPr>
          <w:rFonts w:ascii="Times" w:hAnsi="Times"/>
          <w:b/>
          <w:szCs w:val="24"/>
        </w:rPr>
        <w:t>1</w:t>
      </w:r>
      <w:r w:rsidRPr="00843BB8">
        <w:rPr>
          <w:rFonts w:ascii="Times" w:hAnsi="Times"/>
          <w:b/>
          <w:szCs w:val="24"/>
        </w:rPr>
        <w:t>.</w:t>
      </w:r>
      <w:r w:rsidRPr="00843BB8">
        <w:rPr>
          <w:rFonts w:ascii="Times" w:hAnsi="Times"/>
          <w:szCs w:val="24"/>
        </w:rPr>
        <w:t xml:space="preserve"> </w:t>
      </w:r>
      <w:r w:rsidR="008A7769" w:rsidRPr="00843BB8">
        <w:rPr>
          <w:rFonts w:ascii="Times" w:hAnsi="Times"/>
          <w:b/>
          <w:szCs w:val="24"/>
        </w:rPr>
        <w:t>Trx2</w:t>
      </w:r>
      <w:r w:rsidR="006B6EDE">
        <w:rPr>
          <w:rFonts w:ascii="Times" w:hAnsi="Times"/>
          <w:b/>
          <w:szCs w:val="24"/>
        </w:rPr>
        <w:t xml:space="preserve"> and Trx1</w:t>
      </w:r>
      <w:r w:rsidR="008A7769" w:rsidRPr="00843BB8">
        <w:rPr>
          <w:rFonts w:ascii="Times" w:hAnsi="Times"/>
          <w:b/>
          <w:szCs w:val="24"/>
        </w:rPr>
        <w:t xml:space="preserve"> </w:t>
      </w:r>
      <w:r w:rsidR="006B6EDE">
        <w:rPr>
          <w:rFonts w:ascii="Times" w:hAnsi="Times"/>
          <w:b/>
          <w:szCs w:val="24"/>
        </w:rPr>
        <w:t xml:space="preserve">levels </w:t>
      </w:r>
      <w:r w:rsidR="00486AAC" w:rsidRPr="00843BB8">
        <w:rPr>
          <w:rFonts w:ascii="Times" w:hAnsi="Times"/>
          <w:b/>
          <w:szCs w:val="24"/>
        </w:rPr>
        <w:t xml:space="preserve">in young </w:t>
      </w:r>
      <w:proofErr w:type="spellStart"/>
      <w:proofErr w:type="gramStart"/>
      <w:r w:rsidR="008A7769" w:rsidRPr="00843BB8">
        <w:rPr>
          <w:rFonts w:ascii="Times" w:hAnsi="Times"/>
          <w:b/>
          <w:iCs/>
        </w:rPr>
        <w:t>Tg</w:t>
      </w:r>
      <w:proofErr w:type="spellEnd"/>
      <w:r w:rsidR="008A7769" w:rsidRPr="00843BB8">
        <w:rPr>
          <w:rFonts w:ascii="Times" w:hAnsi="Times"/>
          <w:b/>
          <w:iCs/>
        </w:rPr>
        <w:t>(</w:t>
      </w:r>
      <w:proofErr w:type="gramEnd"/>
      <w:r w:rsidR="008A7769" w:rsidRPr="00843BB8">
        <w:rPr>
          <w:rFonts w:ascii="Times" w:hAnsi="Times"/>
          <w:b/>
          <w:i/>
        </w:rPr>
        <w:t>TXN2</w:t>
      </w:r>
      <w:r w:rsidR="008A7769" w:rsidRPr="00843BB8">
        <w:rPr>
          <w:rFonts w:ascii="Times" w:hAnsi="Times"/>
          <w:b/>
          <w:iCs/>
        </w:rPr>
        <w:t>)</w:t>
      </w:r>
      <w:r w:rsidR="008A7769" w:rsidRPr="00843BB8">
        <w:rPr>
          <w:rFonts w:ascii="Times" w:hAnsi="Times"/>
          <w:b/>
          <w:iCs/>
          <w:vertAlign w:val="superscript"/>
        </w:rPr>
        <w:t>+/0</w:t>
      </w:r>
      <w:r w:rsidR="008A7769" w:rsidRPr="00843BB8">
        <w:rPr>
          <w:rFonts w:ascii="Times" w:hAnsi="Times"/>
          <w:b/>
          <w:iCs/>
        </w:rPr>
        <w:t xml:space="preserve"> x Trx1KO mice</w:t>
      </w:r>
      <w:r w:rsidR="008A7769" w:rsidRPr="00843BB8">
        <w:rPr>
          <w:rFonts w:ascii="Times" w:hAnsi="Times"/>
          <w:b/>
          <w:iCs/>
          <w:szCs w:val="24"/>
        </w:rPr>
        <w:t xml:space="preserve"> </w:t>
      </w:r>
      <w:r w:rsidR="00486AAC" w:rsidRPr="00843BB8">
        <w:rPr>
          <w:rFonts w:ascii="Times" w:hAnsi="Times"/>
          <w:b/>
          <w:iCs/>
          <w:szCs w:val="24"/>
        </w:rPr>
        <w:t>and</w:t>
      </w:r>
      <w:r w:rsidR="00486AAC" w:rsidRPr="00843BB8">
        <w:rPr>
          <w:rFonts w:ascii="Times" w:hAnsi="Times"/>
          <w:b/>
          <w:szCs w:val="24"/>
        </w:rPr>
        <w:t xml:space="preserve"> their WT littermates. </w:t>
      </w:r>
      <w:r w:rsidR="006B6EDE">
        <w:rPr>
          <w:rFonts w:ascii="Times" w:hAnsi="Times"/>
          <w:szCs w:val="24"/>
        </w:rPr>
        <w:t>Trx2 and</w:t>
      </w:r>
      <w:r w:rsidR="00486AAC" w:rsidRPr="00843BB8">
        <w:rPr>
          <w:rFonts w:ascii="Times" w:hAnsi="Times"/>
          <w:szCs w:val="24"/>
        </w:rPr>
        <w:t xml:space="preserve"> Trx1 protein</w:t>
      </w:r>
      <w:r w:rsidR="006B6EDE">
        <w:rPr>
          <w:rFonts w:ascii="Times" w:hAnsi="Times"/>
          <w:szCs w:val="24"/>
        </w:rPr>
        <w:t xml:space="preserve"> levels</w:t>
      </w:r>
      <w:r w:rsidR="00486AAC" w:rsidRPr="00843BB8">
        <w:rPr>
          <w:rFonts w:ascii="Times" w:hAnsi="Times"/>
          <w:szCs w:val="24"/>
        </w:rPr>
        <w:t xml:space="preserve"> were determined by Western blot in various tissues of </w:t>
      </w:r>
      <w:r w:rsidR="008A7769" w:rsidRPr="00843BB8">
        <w:rPr>
          <w:rFonts w:ascii="Times" w:hAnsi="Times"/>
          <w:szCs w:val="24"/>
        </w:rPr>
        <w:t xml:space="preserve">4 to </w:t>
      </w:r>
      <w:r w:rsidR="006B6EDE">
        <w:rPr>
          <w:rFonts w:ascii="Times" w:hAnsi="Times"/>
          <w:szCs w:val="24"/>
        </w:rPr>
        <w:t>6</w:t>
      </w:r>
      <w:r w:rsidR="008A7769" w:rsidRPr="00843BB8">
        <w:rPr>
          <w:rFonts w:ascii="Times" w:hAnsi="Times"/>
          <w:szCs w:val="24"/>
        </w:rPr>
        <w:t xml:space="preserve"> </w:t>
      </w:r>
      <w:r w:rsidR="00486AAC" w:rsidRPr="00843BB8">
        <w:rPr>
          <w:rFonts w:ascii="Times" w:hAnsi="Times"/>
          <w:szCs w:val="24"/>
        </w:rPr>
        <w:t xml:space="preserve">month old </w:t>
      </w:r>
      <w:proofErr w:type="spellStart"/>
      <w:proofErr w:type="gramStart"/>
      <w:r w:rsidR="008A7769" w:rsidRPr="00843BB8">
        <w:rPr>
          <w:rFonts w:ascii="Times" w:hAnsi="Times"/>
        </w:rPr>
        <w:t>Tg</w:t>
      </w:r>
      <w:proofErr w:type="spellEnd"/>
      <w:r w:rsidR="008A7769" w:rsidRPr="00843BB8">
        <w:rPr>
          <w:rFonts w:ascii="Times" w:hAnsi="Times"/>
        </w:rPr>
        <w:t>(</w:t>
      </w:r>
      <w:proofErr w:type="gramEnd"/>
      <w:r w:rsidR="008A7769" w:rsidRPr="00843BB8">
        <w:rPr>
          <w:rFonts w:ascii="Times" w:hAnsi="Times"/>
          <w:i/>
          <w:iCs/>
        </w:rPr>
        <w:t>TXN2</w:t>
      </w:r>
      <w:r w:rsidR="008A7769" w:rsidRPr="00843BB8">
        <w:rPr>
          <w:rFonts w:ascii="Times" w:hAnsi="Times"/>
        </w:rPr>
        <w:t>)</w:t>
      </w:r>
      <w:r w:rsidR="008A7769" w:rsidRPr="00843BB8">
        <w:rPr>
          <w:rFonts w:ascii="Times" w:hAnsi="Times"/>
          <w:vertAlign w:val="superscript"/>
        </w:rPr>
        <w:t>+/0</w:t>
      </w:r>
      <w:r w:rsidR="008A7769" w:rsidRPr="00843BB8">
        <w:rPr>
          <w:rFonts w:ascii="Times" w:hAnsi="Times"/>
        </w:rPr>
        <w:t xml:space="preserve"> x Trx1KO</w:t>
      </w:r>
      <w:r w:rsidR="008A7769" w:rsidRPr="00843BB8">
        <w:rPr>
          <w:rFonts w:ascii="Times" w:hAnsi="Times"/>
          <w:szCs w:val="24"/>
        </w:rPr>
        <w:t xml:space="preserve"> </w:t>
      </w:r>
      <w:r w:rsidR="00486AAC" w:rsidRPr="00843BB8">
        <w:rPr>
          <w:rFonts w:ascii="Times" w:hAnsi="Times"/>
          <w:szCs w:val="24"/>
        </w:rPr>
        <w:t>and WT mice</w:t>
      </w:r>
      <w:r w:rsidR="006B6EDE">
        <w:rPr>
          <w:rFonts w:ascii="Times" w:hAnsi="Times"/>
          <w:szCs w:val="24"/>
        </w:rPr>
        <w:t>.</w:t>
      </w:r>
      <w:r w:rsidR="00486AAC" w:rsidRPr="00843BB8">
        <w:rPr>
          <w:rFonts w:ascii="Times" w:hAnsi="Times"/>
          <w:szCs w:val="24"/>
        </w:rPr>
        <w:t xml:space="preserve"> Trx</w:t>
      </w:r>
      <w:r w:rsidR="0059750A" w:rsidRPr="00843BB8">
        <w:rPr>
          <w:rFonts w:ascii="Times" w:hAnsi="Times"/>
          <w:szCs w:val="24"/>
        </w:rPr>
        <w:t>2</w:t>
      </w:r>
      <w:r w:rsidR="006B6EDE">
        <w:rPr>
          <w:rFonts w:ascii="Times" w:hAnsi="Times"/>
          <w:szCs w:val="24"/>
        </w:rPr>
        <w:t xml:space="preserve"> level</w:t>
      </w:r>
      <w:r w:rsidR="00486AAC" w:rsidRPr="00843BB8">
        <w:rPr>
          <w:rFonts w:ascii="Times" w:hAnsi="Times"/>
          <w:szCs w:val="24"/>
        </w:rPr>
        <w:t xml:space="preserve"> was significantly </w:t>
      </w:r>
      <w:r w:rsidR="006B6EDE">
        <w:rPr>
          <w:rFonts w:ascii="Times" w:hAnsi="Times"/>
          <w:szCs w:val="24"/>
        </w:rPr>
        <w:t>(1.5-3 fold) higher</w:t>
      </w:r>
      <w:r w:rsidR="00486AAC" w:rsidRPr="00843BB8">
        <w:rPr>
          <w:rFonts w:ascii="Times" w:hAnsi="Times"/>
          <w:szCs w:val="24"/>
        </w:rPr>
        <w:t xml:space="preserve"> in the tissues</w:t>
      </w:r>
      <w:r w:rsidR="006B6EDE">
        <w:rPr>
          <w:rFonts w:ascii="Times" w:hAnsi="Times"/>
          <w:szCs w:val="24"/>
        </w:rPr>
        <w:t xml:space="preserve"> (liver, kidney, </w:t>
      </w:r>
      <w:r w:rsidR="006B6EDE" w:rsidRPr="003303C9">
        <w:rPr>
          <w:rFonts w:ascii="Times" w:hAnsi="Times"/>
          <w:szCs w:val="24"/>
        </w:rPr>
        <w:t>and brain)</w:t>
      </w:r>
      <w:r w:rsidR="00486AAC" w:rsidRPr="003303C9">
        <w:rPr>
          <w:rFonts w:ascii="Times" w:hAnsi="Times"/>
          <w:szCs w:val="24"/>
        </w:rPr>
        <w:t xml:space="preserve"> </w:t>
      </w:r>
      <w:r w:rsidR="0059750A" w:rsidRPr="003303C9">
        <w:rPr>
          <w:rFonts w:ascii="Times" w:hAnsi="Times"/>
          <w:szCs w:val="24"/>
        </w:rPr>
        <w:t xml:space="preserve">of 4 to </w:t>
      </w:r>
      <w:r w:rsidR="006B6EDE" w:rsidRPr="003303C9">
        <w:rPr>
          <w:rFonts w:ascii="Times" w:hAnsi="Times"/>
          <w:szCs w:val="24"/>
        </w:rPr>
        <w:t>6</w:t>
      </w:r>
      <w:r w:rsidR="0059750A" w:rsidRPr="003303C9">
        <w:rPr>
          <w:rFonts w:ascii="Times" w:hAnsi="Times"/>
          <w:szCs w:val="24"/>
        </w:rPr>
        <w:t xml:space="preserve"> month old </w:t>
      </w:r>
      <w:proofErr w:type="spellStart"/>
      <w:proofErr w:type="gramStart"/>
      <w:r w:rsidR="0059750A" w:rsidRPr="003303C9">
        <w:rPr>
          <w:rFonts w:ascii="Times" w:hAnsi="Times"/>
        </w:rPr>
        <w:t>Tg</w:t>
      </w:r>
      <w:proofErr w:type="spellEnd"/>
      <w:r w:rsidR="0059750A" w:rsidRPr="003303C9">
        <w:rPr>
          <w:rFonts w:ascii="Times" w:hAnsi="Times"/>
        </w:rPr>
        <w:t>(</w:t>
      </w:r>
      <w:proofErr w:type="gramEnd"/>
      <w:r w:rsidR="0059750A" w:rsidRPr="003303C9">
        <w:rPr>
          <w:rFonts w:ascii="Times" w:hAnsi="Times"/>
          <w:i/>
          <w:iCs/>
        </w:rPr>
        <w:t>TXN2</w:t>
      </w:r>
      <w:r w:rsidR="0059750A" w:rsidRPr="003303C9">
        <w:rPr>
          <w:rFonts w:ascii="Times" w:hAnsi="Times"/>
        </w:rPr>
        <w:t>)</w:t>
      </w:r>
      <w:r w:rsidR="0059750A" w:rsidRPr="003303C9">
        <w:rPr>
          <w:rFonts w:ascii="Times" w:hAnsi="Times"/>
          <w:vertAlign w:val="superscript"/>
        </w:rPr>
        <w:t>+/0</w:t>
      </w:r>
      <w:r w:rsidR="0059750A" w:rsidRPr="003303C9">
        <w:rPr>
          <w:rFonts w:ascii="Times" w:hAnsi="Times"/>
        </w:rPr>
        <w:t xml:space="preserve"> x Trx1KO</w:t>
      </w:r>
      <w:r w:rsidR="0059750A" w:rsidRPr="003303C9">
        <w:rPr>
          <w:rFonts w:ascii="Times" w:hAnsi="Times"/>
          <w:szCs w:val="24"/>
        </w:rPr>
        <w:t xml:space="preserve"> </w:t>
      </w:r>
      <w:r w:rsidR="00486AAC" w:rsidRPr="003303C9">
        <w:rPr>
          <w:rFonts w:ascii="Times" w:hAnsi="Times"/>
          <w:szCs w:val="24"/>
        </w:rPr>
        <w:t xml:space="preserve">(closed bars) and WT mice (open bars) </w:t>
      </w:r>
      <w:r w:rsidR="006B6EDE" w:rsidRPr="003303C9">
        <w:rPr>
          <w:rFonts w:ascii="Times" w:hAnsi="Times"/>
          <w:szCs w:val="24"/>
        </w:rPr>
        <w:t>(</w:t>
      </w:r>
      <w:r w:rsidR="00FE4E88" w:rsidRPr="003303C9">
        <w:rPr>
          <w:rFonts w:ascii="Times" w:hAnsi="Times"/>
          <w:szCs w:val="24"/>
        </w:rPr>
        <w:t xml:space="preserve">Figure </w:t>
      </w:r>
      <w:r w:rsidR="006B6EDE" w:rsidRPr="003303C9">
        <w:rPr>
          <w:rFonts w:ascii="Times" w:hAnsi="Times"/>
          <w:szCs w:val="24"/>
        </w:rPr>
        <w:t>1</w:t>
      </w:r>
      <w:r w:rsidR="00FA2476" w:rsidRPr="003303C9">
        <w:rPr>
          <w:rFonts w:ascii="Times" w:hAnsi="Times"/>
          <w:szCs w:val="24"/>
        </w:rPr>
        <w:t>a</w:t>
      </w:r>
      <w:r w:rsidR="006B6EDE" w:rsidRPr="003303C9">
        <w:rPr>
          <w:rFonts w:ascii="Times" w:hAnsi="Times"/>
          <w:szCs w:val="24"/>
        </w:rPr>
        <w:t>: left; *</w:t>
      </w:r>
      <w:r w:rsidR="006B6EDE" w:rsidRPr="003303C9">
        <w:rPr>
          <w:rFonts w:ascii="Times" w:hAnsi="Times"/>
          <w:i/>
          <w:szCs w:val="24"/>
        </w:rPr>
        <w:t>p</w:t>
      </w:r>
      <w:r w:rsidR="00CC3691" w:rsidRPr="003303C9">
        <w:rPr>
          <w:rFonts w:ascii="Times" w:hAnsi="Times"/>
          <w:i/>
          <w:szCs w:val="24"/>
        </w:rPr>
        <w:t xml:space="preserve"> </w:t>
      </w:r>
      <w:r w:rsidR="006B6EDE" w:rsidRPr="003303C9">
        <w:rPr>
          <w:rFonts w:ascii="Times" w:hAnsi="Times"/>
          <w:szCs w:val="24"/>
        </w:rPr>
        <w:t>&lt;</w:t>
      </w:r>
      <w:r w:rsidR="00CC3691" w:rsidRPr="003303C9">
        <w:rPr>
          <w:rFonts w:ascii="Times" w:hAnsi="Times"/>
          <w:szCs w:val="24"/>
        </w:rPr>
        <w:t xml:space="preserve"> </w:t>
      </w:r>
      <w:r w:rsidR="006B6EDE" w:rsidRPr="003303C9">
        <w:rPr>
          <w:rFonts w:ascii="Times" w:hAnsi="Times"/>
          <w:szCs w:val="24"/>
        </w:rPr>
        <w:t xml:space="preserve">0.05). Trx1 was significantly lower (approximately 50% less) in the tissues (liver, kidney, and brain) of </w:t>
      </w:r>
      <w:proofErr w:type="spellStart"/>
      <w:r w:rsidR="006B6EDE" w:rsidRPr="003303C9">
        <w:rPr>
          <w:rFonts w:ascii="Times" w:hAnsi="Times"/>
        </w:rPr>
        <w:t>Tg</w:t>
      </w:r>
      <w:proofErr w:type="spellEnd"/>
      <w:r w:rsidR="006B6EDE" w:rsidRPr="003303C9">
        <w:rPr>
          <w:rFonts w:ascii="Times" w:hAnsi="Times"/>
        </w:rPr>
        <w:t>(</w:t>
      </w:r>
      <w:r w:rsidR="006B6EDE" w:rsidRPr="003303C9">
        <w:rPr>
          <w:rFonts w:ascii="Times" w:hAnsi="Times"/>
          <w:i/>
          <w:iCs/>
        </w:rPr>
        <w:t>TXN2</w:t>
      </w:r>
      <w:r w:rsidR="006B6EDE" w:rsidRPr="003303C9">
        <w:rPr>
          <w:rFonts w:ascii="Times" w:hAnsi="Times"/>
        </w:rPr>
        <w:t>)</w:t>
      </w:r>
      <w:r w:rsidR="006B6EDE" w:rsidRPr="003303C9">
        <w:rPr>
          <w:rFonts w:ascii="Times" w:hAnsi="Times"/>
          <w:vertAlign w:val="superscript"/>
        </w:rPr>
        <w:t>+/0</w:t>
      </w:r>
      <w:r w:rsidR="006B6EDE" w:rsidRPr="003303C9">
        <w:rPr>
          <w:rFonts w:ascii="Times" w:hAnsi="Times"/>
        </w:rPr>
        <w:t xml:space="preserve"> x Trx1KO</w:t>
      </w:r>
      <w:r w:rsidR="006B6EDE" w:rsidRPr="003303C9">
        <w:rPr>
          <w:rFonts w:ascii="Times" w:hAnsi="Times"/>
          <w:szCs w:val="24"/>
        </w:rPr>
        <w:t xml:space="preserve"> (closed bars) and WT littermates (open bars) (</w:t>
      </w:r>
      <w:r w:rsidR="00FE4E88" w:rsidRPr="003303C9">
        <w:rPr>
          <w:rFonts w:ascii="Times" w:hAnsi="Times"/>
          <w:szCs w:val="24"/>
        </w:rPr>
        <w:t xml:space="preserve">Figure </w:t>
      </w:r>
      <w:r w:rsidR="006B6EDE" w:rsidRPr="003303C9">
        <w:rPr>
          <w:rFonts w:ascii="Times" w:hAnsi="Times"/>
          <w:szCs w:val="24"/>
        </w:rPr>
        <w:t>1</w:t>
      </w:r>
      <w:r w:rsidR="00FA2476" w:rsidRPr="003303C9">
        <w:rPr>
          <w:rFonts w:ascii="Times" w:hAnsi="Times"/>
          <w:szCs w:val="24"/>
        </w:rPr>
        <w:t>b</w:t>
      </w:r>
      <w:r w:rsidR="006B6EDE" w:rsidRPr="003303C9">
        <w:rPr>
          <w:rFonts w:ascii="Times" w:hAnsi="Times"/>
          <w:szCs w:val="24"/>
        </w:rPr>
        <w:t>: right; *</w:t>
      </w:r>
      <w:r w:rsidR="006B6EDE" w:rsidRPr="003303C9">
        <w:rPr>
          <w:rFonts w:ascii="Times" w:hAnsi="Times"/>
          <w:i/>
          <w:szCs w:val="24"/>
        </w:rPr>
        <w:t>p</w:t>
      </w:r>
      <w:r w:rsidR="00CC3691" w:rsidRPr="003303C9">
        <w:rPr>
          <w:rFonts w:ascii="Times" w:hAnsi="Times"/>
          <w:i/>
          <w:szCs w:val="24"/>
        </w:rPr>
        <w:t xml:space="preserve"> </w:t>
      </w:r>
      <w:r w:rsidR="006B6EDE" w:rsidRPr="003303C9">
        <w:rPr>
          <w:rFonts w:ascii="Times" w:hAnsi="Times"/>
          <w:szCs w:val="24"/>
        </w:rPr>
        <w:t>&lt;</w:t>
      </w:r>
      <w:r w:rsidR="00CC3691" w:rsidRPr="003303C9">
        <w:rPr>
          <w:rFonts w:ascii="Times" w:hAnsi="Times"/>
          <w:szCs w:val="24"/>
        </w:rPr>
        <w:t xml:space="preserve"> </w:t>
      </w:r>
      <w:r w:rsidR="006B6EDE" w:rsidRPr="003303C9">
        <w:rPr>
          <w:rFonts w:ascii="Times" w:hAnsi="Times"/>
          <w:szCs w:val="24"/>
        </w:rPr>
        <w:t xml:space="preserve">0.05). </w:t>
      </w:r>
      <w:r w:rsidR="00486AAC" w:rsidRPr="003303C9">
        <w:rPr>
          <w:rFonts w:ascii="Times" w:hAnsi="Times"/>
          <w:szCs w:val="24"/>
        </w:rPr>
        <w:t xml:space="preserve">The data are the mean </w:t>
      </w:r>
      <w:r w:rsidR="00486AAC" w:rsidRPr="003303C9">
        <w:rPr>
          <w:rFonts w:ascii="Times" w:hAnsi="Times"/>
          <w:szCs w:val="24"/>
        </w:rPr>
        <w:sym w:font="Symbol" w:char="F0B1"/>
      </w:r>
      <w:r w:rsidR="00486AAC" w:rsidRPr="003303C9">
        <w:rPr>
          <w:rFonts w:ascii="Times" w:hAnsi="Times"/>
          <w:szCs w:val="24"/>
        </w:rPr>
        <w:t xml:space="preserve"> SEM from three to five mice.  </w:t>
      </w:r>
    </w:p>
    <w:p w14:paraId="43110B5E" w14:textId="77777777" w:rsidR="00AB709E" w:rsidRPr="003303C9" w:rsidRDefault="00AB709E" w:rsidP="00A47EE2">
      <w:pPr>
        <w:spacing w:line="240" w:lineRule="auto"/>
        <w:jc w:val="both"/>
        <w:rPr>
          <w:rFonts w:ascii="Times" w:hAnsi="Times"/>
          <w:b/>
          <w:szCs w:val="24"/>
        </w:rPr>
      </w:pPr>
    </w:p>
    <w:p w14:paraId="23C06DA9" w14:textId="478FCBE1" w:rsidR="00486AAC" w:rsidRPr="00843BB8" w:rsidRDefault="00486AAC" w:rsidP="00486AAC">
      <w:pPr>
        <w:spacing w:line="240" w:lineRule="auto"/>
        <w:jc w:val="both"/>
        <w:rPr>
          <w:rFonts w:ascii="Times" w:hAnsi="Times"/>
          <w:szCs w:val="24"/>
        </w:rPr>
      </w:pPr>
      <w:r w:rsidRPr="003303C9">
        <w:rPr>
          <w:rFonts w:ascii="Times" w:hAnsi="Times"/>
          <w:b/>
          <w:szCs w:val="24"/>
        </w:rPr>
        <w:t xml:space="preserve">Figure </w:t>
      </w:r>
      <w:r w:rsidR="006B6EDE" w:rsidRPr="003303C9">
        <w:rPr>
          <w:rFonts w:ascii="Times" w:hAnsi="Times"/>
          <w:b/>
          <w:szCs w:val="24"/>
        </w:rPr>
        <w:t>2</w:t>
      </w:r>
      <w:r w:rsidRPr="003303C9">
        <w:rPr>
          <w:rFonts w:ascii="Times" w:hAnsi="Times"/>
          <w:b/>
          <w:szCs w:val="24"/>
        </w:rPr>
        <w:t>. Levels of</w:t>
      </w:r>
      <w:r w:rsidRPr="003303C9">
        <w:rPr>
          <w:rFonts w:ascii="Times" w:hAnsi="Times"/>
          <w:szCs w:val="24"/>
        </w:rPr>
        <w:t xml:space="preserve"> </w:t>
      </w:r>
      <w:r w:rsidRPr="003303C9">
        <w:rPr>
          <w:rFonts w:ascii="Times" w:hAnsi="Times"/>
          <w:b/>
          <w:szCs w:val="24"/>
        </w:rPr>
        <w:t xml:space="preserve">total glutathione in </w:t>
      </w:r>
      <w:proofErr w:type="spellStart"/>
      <w:proofErr w:type="gramStart"/>
      <w:r w:rsidR="0059750A" w:rsidRPr="003303C9">
        <w:rPr>
          <w:rFonts w:ascii="Times" w:hAnsi="Times"/>
          <w:b/>
          <w:iCs/>
        </w:rPr>
        <w:t>Tg</w:t>
      </w:r>
      <w:proofErr w:type="spellEnd"/>
      <w:r w:rsidR="0059750A" w:rsidRPr="003303C9">
        <w:rPr>
          <w:rFonts w:ascii="Times" w:hAnsi="Times"/>
          <w:b/>
          <w:iCs/>
        </w:rPr>
        <w:t>(</w:t>
      </w:r>
      <w:proofErr w:type="gramEnd"/>
      <w:r w:rsidR="0059750A" w:rsidRPr="003303C9">
        <w:rPr>
          <w:rFonts w:ascii="Times" w:hAnsi="Times"/>
          <w:b/>
          <w:i/>
        </w:rPr>
        <w:t>TXN2</w:t>
      </w:r>
      <w:r w:rsidR="0059750A" w:rsidRPr="003303C9">
        <w:rPr>
          <w:rFonts w:ascii="Times" w:hAnsi="Times"/>
          <w:b/>
          <w:iCs/>
        </w:rPr>
        <w:t>)</w:t>
      </w:r>
      <w:r w:rsidR="0059750A" w:rsidRPr="003303C9">
        <w:rPr>
          <w:rFonts w:ascii="Times" w:hAnsi="Times"/>
          <w:b/>
          <w:iCs/>
          <w:vertAlign w:val="superscript"/>
        </w:rPr>
        <w:t>+/0</w:t>
      </w:r>
      <w:r w:rsidR="0059750A" w:rsidRPr="003303C9">
        <w:rPr>
          <w:rFonts w:ascii="Times" w:hAnsi="Times"/>
          <w:b/>
          <w:iCs/>
        </w:rPr>
        <w:t xml:space="preserve"> x Trx1KO</w:t>
      </w:r>
      <w:r w:rsidR="0059750A" w:rsidRPr="003303C9">
        <w:rPr>
          <w:rFonts w:ascii="Times" w:hAnsi="Times"/>
          <w:b/>
          <w:szCs w:val="24"/>
        </w:rPr>
        <w:t xml:space="preserve"> </w:t>
      </w:r>
      <w:r w:rsidRPr="003303C9">
        <w:rPr>
          <w:rFonts w:ascii="Times" w:hAnsi="Times"/>
          <w:b/>
          <w:szCs w:val="24"/>
        </w:rPr>
        <w:t>and WT mice</w:t>
      </w:r>
      <w:r w:rsidRPr="003303C9">
        <w:rPr>
          <w:rFonts w:ascii="Times" w:hAnsi="Times"/>
          <w:szCs w:val="24"/>
        </w:rPr>
        <w:t xml:space="preserve">. </w:t>
      </w:r>
      <w:r w:rsidR="006B6EDE" w:rsidRPr="003303C9">
        <w:rPr>
          <w:rFonts w:ascii="Times" w:hAnsi="Times"/>
          <w:szCs w:val="24"/>
        </w:rPr>
        <w:t>T</w:t>
      </w:r>
      <w:r w:rsidRPr="003303C9">
        <w:rPr>
          <w:rFonts w:ascii="Times" w:hAnsi="Times"/>
          <w:szCs w:val="24"/>
        </w:rPr>
        <w:t xml:space="preserve">otal glutathione </w:t>
      </w:r>
      <w:r w:rsidR="006B6EDE" w:rsidRPr="003303C9">
        <w:rPr>
          <w:rFonts w:ascii="Times" w:hAnsi="Times"/>
          <w:szCs w:val="24"/>
        </w:rPr>
        <w:t xml:space="preserve">levels </w:t>
      </w:r>
      <w:r w:rsidRPr="003303C9">
        <w:rPr>
          <w:rFonts w:ascii="Times" w:hAnsi="Times"/>
          <w:szCs w:val="24"/>
        </w:rPr>
        <w:t>were measured in the liver</w:t>
      </w:r>
      <w:r w:rsidR="006B6EDE" w:rsidRPr="003303C9">
        <w:rPr>
          <w:rFonts w:ascii="Times" w:hAnsi="Times"/>
          <w:szCs w:val="24"/>
        </w:rPr>
        <w:t xml:space="preserve"> and kidney</w:t>
      </w:r>
      <w:r w:rsidRPr="003303C9">
        <w:rPr>
          <w:rFonts w:ascii="Times" w:hAnsi="Times"/>
          <w:szCs w:val="24"/>
        </w:rPr>
        <w:t xml:space="preserve"> of young </w:t>
      </w:r>
      <w:r w:rsidR="0059750A" w:rsidRPr="003303C9">
        <w:rPr>
          <w:rFonts w:ascii="Times" w:hAnsi="Times"/>
          <w:szCs w:val="24"/>
        </w:rPr>
        <w:t>4</w:t>
      </w:r>
      <w:r w:rsidRPr="003303C9">
        <w:rPr>
          <w:rFonts w:ascii="Times" w:hAnsi="Times"/>
          <w:szCs w:val="24"/>
        </w:rPr>
        <w:t xml:space="preserve"> to </w:t>
      </w:r>
      <w:r w:rsidR="006B6EDE" w:rsidRPr="003303C9">
        <w:rPr>
          <w:rFonts w:ascii="Times" w:hAnsi="Times"/>
          <w:szCs w:val="24"/>
        </w:rPr>
        <w:t>6</w:t>
      </w:r>
      <w:r w:rsidRPr="003303C9">
        <w:rPr>
          <w:rFonts w:ascii="Times" w:hAnsi="Times"/>
          <w:szCs w:val="24"/>
        </w:rPr>
        <w:t xml:space="preserve"> month </w:t>
      </w:r>
      <w:proofErr w:type="spellStart"/>
      <w:proofErr w:type="gramStart"/>
      <w:r w:rsidR="0059750A" w:rsidRPr="003303C9">
        <w:rPr>
          <w:rFonts w:ascii="Times" w:hAnsi="Times"/>
        </w:rPr>
        <w:t>Tg</w:t>
      </w:r>
      <w:proofErr w:type="spellEnd"/>
      <w:r w:rsidR="0059750A" w:rsidRPr="003303C9">
        <w:rPr>
          <w:rFonts w:ascii="Times" w:hAnsi="Times"/>
        </w:rPr>
        <w:t>(</w:t>
      </w:r>
      <w:proofErr w:type="gramEnd"/>
      <w:r w:rsidR="0059750A" w:rsidRPr="003303C9">
        <w:rPr>
          <w:rFonts w:ascii="Times" w:hAnsi="Times"/>
          <w:i/>
          <w:iCs/>
        </w:rPr>
        <w:t>TXN2</w:t>
      </w:r>
      <w:r w:rsidR="0059750A" w:rsidRPr="003303C9">
        <w:rPr>
          <w:rFonts w:ascii="Times" w:hAnsi="Times"/>
        </w:rPr>
        <w:t>)</w:t>
      </w:r>
      <w:r w:rsidR="0059750A" w:rsidRPr="003303C9">
        <w:rPr>
          <w:rFonts w:ascii="Times" w:hAnsi="Times"/>
          <w:vertAlign w:val="superscript"/>
        </w:rPr>
        <w:t>+/0</w:t>
      </w:r>
      <w:r w:rsidR="0059750A" w:rsidRPr="003303C9">
        <w:rPr>
          <w:rFonts w:ascii="Times" w:hAnsi="Times"/>
        </w:rPr>
        <w:t xml:space="preserve"> x Trx1KO</w:t>
      </w:r>
      <w:r w:rsidR="0059750A" w:rsidRPr="003303C9">
        <w:rPr>
          <w:rFonts w:ascii="Times" w:hAnsi="Times"/>
          <w:szCs w:val="24"/>
        </w:rPr>
        <w:t xml:space="preserve"> </w:t>
      </w:r>
      <w:r w:rsidRPr="003303C9">
        <w:rPr>
          <w:rFonts w:ascii="Times" w:hAnsi="Times"/>
          <w:szCs w:val="24"/>
        </w:rPr>
        <w:t>mice (closed bar) and WT mice (open bar)</w:t>
      </w:r>
      <w:r w:rsidR="00FE4E88" w:rsidRPr="003303C9">
        <w:rPr>
          <w:rFonts w:ascii="Times" w:hAnsi="Times"/>
          <w:szCs w:val="24"/>
        </w:rPr>
        <w:t>.</w:t>
      </w:r>
      <w:r w:rsidRPr="003303C9">
        <w:rPr>
          <w:rFonts w:ascii="Times" w:hAnsi="Times"/>
          <w:szCs w:val="24"/>
        </w:rPr>
        <w:t xml:space="preserve"> No significant difference was observed in total glutathione</w:t>
      </w:r>
      <w:r w:rsidR="00FE4E88" w:rsidRPr="003303C9">
        <w:rPr>
          <w:rFonts w:ascii="Times" w:hAnsi="Times"/>
          <w:szCs w:val="24"/>
        </w:rPr>
        <w:t xml:space="preserve"> levels</w:t>
      </w:r>
      <w:r w:rsidRPr="003303C9">
        <w:rPr>
          <w:rFonts w:ascii="Times" w:hAnsi="Times"/>
          <w:szCs w:val="24"/>
        </w:rPr>
        <w:t xml:space="preserve"> in </w:t>
      </w:r>
      <w:proofErr w:type="spellStart"/>
      <w:proofErr w:type="gramStart"/>
      <w:r w:rsidR="0059750A" w:rsidRPr="003303C9">
        <w:rPr>
          <w:rFonts w:ascii="Times" w:hAnsi="Times"/>
        </w:rPr>
        <w:t>Tg</w:t>
      </w:r>
      <w:proofErr w:type="spellEnd"/>
      <w:r w:rsidR="0059750A" w:rsidRPr="003303C9">
        <w:rPr>
          <w:rFonts w:ascii="Times" w:hAnsi="Times"/>
        </w:rPr>
        <w:t>(</w:t>
      </w:r>
      <w:proofErr w:type="gramEnd"/>
      <w:r w:rsidR="0059750A" w:rsidRPr="003303C9">
        <w:rPr>
          <w:rFonts w:ascii="Times" w:hAnsi="Times"/>
          <w:i/>
          <w:iCs/>
        </w:rPr>
        <w:t>TXN2</w:t>
      </w:r>
      <w:r w:rsidR="0059750A" w:rsidRPr="003303C9">
        <w:rPr>
          <w:rFonts w:ascii="Times" w:hAnsi="Times"/>
        </w:rPr>
        <w:t>)</w:t>
      </w:r>
      <w:r w:rsidR="0059750A" w:rsidRPr="003303C9">
        <w:rPr>
          <w:rFonts w:ascii="Times" w:hAnsi="Times"/>
          <w:vertAlign w:val="superscript"/>
        </w:rPr>
        <w:t>+/0</w:t>
      </w:r>
      <w:r w:rsidR="0059750A" w:rsidRPr="003303C9">
        <w:rPr>
          <w:rFonts w:ascii="Times" w:hAnsi="Times"/>
        </w:rPr>
        <w:t xml:space="preserve"> x Trx1KO</w:t>
      </w:r>
      <w:r w:rsidR="0059750A" w:rsidRPr="003303C9">
        <w:rPr>
          <w:rFonts w:ascii="Times" w:hAnsi="Times"/>
          <w:szCs w:val="24"/>
        </w:rPr>
        <w:t xml:space="preserve"> </w:t>
      </w:r>
      <w:r w:rsidRPr="003303C9">
        <w:rPr>
          <w:rFonts w:ascii="Times" w:hAnsi="Times"/>
          <w:szCs w:val="24"/>
        </w:rPr>
        <w:t>compared</w:t>
      </w:r>
      <w:r w:rsidRPr="00843BB8">
        <w:rPr>
          <w:rFonts w:ascii="Times" w:hAnsi="Times"/>
          <w:szCs w:val="24"/>
        </w:rPr>
        <w:t xml:space="preserve"> to WT mice. The data are the mean </w:t>
      </w:r>
      <w:r w:rsidRPr="00843BB8">
        <w:rPr>
          <w:rFonts w:ascii="Times" w:hAnsi="Times"/>
          <w:szCs w:val="24"/>
        </w:rPr>
        <w:sym w:font="Symbol" w:char="F0B1"/>
      </w:r>
      <w:r w:rsidRPr="00843BB8">
        <w:rPr>
          <w:rFonts w:ascii="Times" w:hAnsi="Times"/>
          <w:szCs w:val="24"/>
        </w:rPr>
        <w:t xml:space="preserve"> SEM from three to five mice.</w:t>
      </w:r>
    </w:p>
    <w:p w14:paraId="7FEDE2B2" w14:textId="3CF75429" w:rsidR="00AB709E" w:rsidRPr="00843BB8" w:rsidRDefault="00AB709E" w:rsidP="00A47EE2">
      <w:pPr>
        <w:spacing w:line="240" w:lineRule="auto"/>
        <w:jc w:val="both"/>
        <w:rPr>
          <w:rFonts w:ascii="Times" w:hAnsi="Times"/>
          <w:b/>
          <w:szCs w:val="24"/>
        </w:rPr>
      </w:pPr>
    </w:p>
    <w:p w14:paraId="65FB17D6" w14:textId="3FF78EB2" w:rsidR="00486AAC" w:rsidRPr="001B357B" w:rsidRDefault="00486AAC" w:rsidP="00486AAC">
      <w:pPr>
        <w:spacing w:line="240" w:lineRule="auto"/>
        <w:jc w:val="both"/>
        <w:rPr>
          <w:rFonts w:ascii="Times" w:hAnsi="Times"/>
          <w:szCs w:val="24"/>
        </w:rPr>
      </w:pPr>
      <w:r w:rsidRPr="001B357B">
        <w:rPr>
          <w:rFonts w:ascii="Times" w:hAnsi="Times"/>
          <w:b/>
          <w:szCs w:val="24"/>
        </w:rPr>
        <w:t xml:space="preserve">Figure </w:t>
      </w:r>
      <w:r w:rsidR="006B6EDE" w:rsidRPr="001B357B">
        <w:rPr>
          <w:rFonts w:ascii="Times" w:hAnsi="Times"/>
          <w:b/>
          <w:szCs w:val="24"/>
        </w:rPr>
        <w:t>3</w:t>
      </w:r>
      <w:r w:rsidRPr="001B357B">
        <w:rPr>
          <w:rFonts w:ascii="Times" w:hAnsi="Times"/>
          <w:b/>
          <w:szCs w:val="24"/>
        </w:rPr>
        <w:t>. Cu/</w:t>
      </w:r>
      <w:proofErr w:type="spellStart"/>
      <w:r w:rsidRPr="001B357B">
        <w:rPr>
          <w:rFonts w:ascii="Times" w:hAnsi="Times"/>
          <w:b/>
          <w:szCs w:val="24"/>
        </w:rPr>
        <w:t>ZnSOD</w:t>
      </w:r>
      <w:proofErr w:type="spellEnd"/>
      <w:r w:rsidRPr="001B357B">
        <w:rPr>
          <w:rFonts w:ascii="Times" w:hAnsi="Times"/>
          <w:b/>
          <w:szCs w:val="24"/>
        </w:rPr>
        <w:t xml:space="preserve">, </w:t>
      </w:r>
      <w:proofErr w:type="spellStart"/>
      <w:r w:rsidRPr="001B357B">
        <w:rPr>
          <w:rFonts w:ascii="Times" w:hAnsi="Times"/>
          <w:b/>
          <w:szCs w:val="24"/>
        </w:rPr>
        <w:t>MnSOD</w:t>
      </w:r>
      <w:proofErr w:type="spellEnd"/>
      <w:r w:rsidRPr="001B357B">
        <w:rPr>
          <w:rFonts w:ascii="Times" w:hAnsi="Times"/>
          <w:b/>
          <w:szCs w:val="24"/>
        </w:rPr>
        <w:t xml:space="preserve">, </w:t>
      </w:r>
      <w:proofErr w:type="spellStart"/>
      <w:r w:rsidRPr="001B357B">
        <w:rPr>
          <w:rFonts w:ascii="Times" w:hAnsi="Times"/>
          <w:b/>
          <w:szCs w:val="24"/>
        </w:rPr>
        <w:t>GP</w:t>
      </w:r>
      <w:r w:rsidR="00FA2476" w:rsidRPr="001B357B">
        <w:rPr>
          <w:rFonts w:ascii="Times" w:hAnsi="Times"/>
          <w:b/>
          <w:szCs w:val="24"/>
        </w:rPr>
        <w:t>x</w:t>
      </w:r>
      <w:proofErr w:type="spellEnd"/>
      <w:r w:rsidRPr="001B357B">
        <w:rPr>
          <w:rFonts w:ascii="Times" w:hAnsi="Times"/>
          <w:b/>
          <w:szCs w:val="24"/>
        </w:rPr>
        <w:t xml:space="preserve">, and catalase activity in </w:t>
      </w:r>
      <w:proofErr w:type="spellStart"/>
      <w:proofErr w:type="gramStart"/>
      <w:r w:rsidR="0059750A" w:rsidRPr="001B357B">
        <w:rPr>
          <w:rFonts w:ascii="Times" w:hAnsi="Times"/>
          <w:b/>
          <w:iCs/>
        </w:rPr>
        <w:t>Tg</w:t>
      </w:r>
      <w:proofErr w:type="spellEnd"/>
      <w:r w:rsidR="0059750A" w:rsidRPr="001B357B">
        <w:rPr>
          <w:rFonts w:ascii="Times" w:hAnsi="Times"/>
          <w:b/>
          <w:iCs/>
        </w:rPr>
        <w:t>(</w:t>
      </w:r>
      <w:proofErr w:type="gramEnd"/>
      <w:r w:rsidR="0059750A" w:rsidRPr="001B357B">
        <w:rPr>
          <w:rFonts w:ascii="Times" w:hAnsi="Times"/>
          <w:b/>
          <w:i/>
        </w:rPr>
        <w:t>TXN2</w:t>
      </w:r>
      <w:r w:rsidR="0059750A" w:rsidRPr="001B357B">
        <w:rPr>
          <w:rFonts w:ascii="Times" w:hAnsi="Times"/>
          <w:b/>
          <w:iCs/>
        </w:rPr>
        <w:t>)</w:t>
      </w:r>
      <w:r w:rsidR="0059750A" w:rsidRPr="001B357B">
        <w:rPr>
          <w:rFonts w:ascii="Times" w:hAnsi="Times"/>
          <w:b/>
          <w:iCs/>
          <w:vertAlign w:val="superscript"/>
        </w:rPr>
        <w:t>+/0</w:t>
      </w:r>
      <w:r w:rsidR="0059750A" w:rsidRPr="001B357B">
        <w:rPr>
          <w:rFonts w:ascii="Times" w:hAnsi="Times"/>
          <w:b/>
          <w:iCs/>
        </w:rPr>
        <w:t xml:space="preserve"> x Trx1KO</w:t>
      </w:r>
      <w:r w:rsidR="0059750A" w:rsidRPr="001B357B">
        <w:rPr>
          <w:rFonts w:ascii="Times" w:hAnsi="Times"/>
          <w:b/>
          <w:szCs w:val="24"/>
        </w:rPr>
        <w:t xml:space="preserve"> </w:t>
      </w:r>
      <w:r w:rsidRPr="001B357B">
        <w:rPr>
          <w:rFonts w:ascii="Times" w:hAnsi="Times"/>
          <w:b/>
          <w:szCs w:val="24"/>
        </w:rPr>
        <w:t>and WT mice.</w:t>
      </w:r>
      <w:r w:rsidRPr="001B357B">
        <w:rPr>
          <w:rFonts w:ascii="Times" w:hAnsi="Times"/>
          <w:szCs w:val="24"/>
        </w:rPr>
        <w:t xml:space="preserve"> The activities of Cu/</w:t>
      </w:r>
      <w:proofErr w:type="spellStart"/>
      <w:r w:rsidRPr="001B357B">
        <w:rPr>
          <w:rFonts w:ascii="Times" w:hAnsi="Times"/>
          <w:szCs w:val="24"/>
        </w:rPr>
        <w:t>ZnSOD</w:t>
      </w:r>
      <w:proofErr w:type="spellEnd"/>
      <w:r w:rsidRPr="001B357B">
        <w:rPr>
          <w:rFonts w:ascii="Times" w:hAnsi="Times"/>
          <w:szCs w:val="24"/>
        </w:rPr>
        <w:t xml:space="preserve"> (</w:t>
      </w:r>
      <w:r w:rsidR="00E43C93" w:rsidRPr="001B357B">
        <w:rPr>
          <w:rFonts w:ascii="Times" w:hAnsi="Times"/>
          <w:szCs w:val="24"/>
        </w:rPr>
        <w:t>Figure 3a:</w:t>
      </w:r>
      <w:r w:rsidRPr="001B357B">
        <w:rPr>
          <w:rFonts w:ascii="Times" w:hAnsi="Times"/>
          <w:szCs w:val="24"/>
        </w:rPr>
        <w:t xml:space="preserve"> left, top), </w:t>
      </w:r>
      <w:proofErr w:type="spellStart"/>
      <w:r w:rsidRPr="001B357B">
        <w:rPr>
          <w:rFonts w:ascii="Times" w:hAnsi="Times"/>
          <w:szCs w:val="24"/>
        </w:rPr>
        <w:t>MnSOD</w:t>
      </w:r>
      <w:proofErr w:type="spellEnd"/>
      <w:r w:rsidRPr="001B357B">
        <w:rPr>
          <w:rFonts w:ascii="Times" w:hAnsi="Times"/>
          <w:szCs w:val="24"/>
        </w:rPr>
        <w:t xml:space="preserve"> (</w:t>
      </w:r>
      <w:r w:rsidR="00E43C93" w:rsidRPr="001B357B">
        <w:rPr>
          <w:rFonts w:ascii="Times" w:hAnsi="Times"/>
          <w:szCs w:val="24"/>
        </w:rPr>
        <w:t xml:space="preserve">Figure </w:t>
      </w:r>
      <w:r w:rsidR="006B6EDE" w:rsidRPr="001B357B">
        <w:rPr>
          <w:rFonts w:ascii="Times" w:hAnsi="Times"/>
          <w:szCs w:val="24"/>
        </w:rPr>
        <w:t>3</w:t>
      </w:r>
      <w:r w:rsidR="00E43C93" w:rsidRPr="001B357B">
        <w:rPr>
          <w:rFonts w:ascii="Times" w:hAnsi="Times"/>
          <w:szCs w:val="24"/>
        </w:rPr>
        <w:t>b</w:t>
      </w:r>
      <w:r w:rsidRPr="001B357B">
        <w:rPr>
          <w:rFonts w:ascii="Times" w:hAnsi="Times"/>
          <w:szCs w:val="24"/>
        </w:rPr>
        <w:t xml:space="preserve">: right, top), </w:t>
      </w:r>
      <w:proofErr w:type="spellStart"/>
      <w:r w:rsidRPr="001B357B">
        <w:rPr>
          <w:rFonts w:ascii="Times" w:hAnsi="Times"/>
          <w:szCs w:val="24"/>
        </w:rPr>
        <w:t>GP</w:t>
      </w:r>
      <w:r w:rsidR="00E43C93" w:rsidRPr="001B357B">
        <w:rPr>
          <w:rFonts w:ascii="Times" w:hAnsi="Times"/>
          <w:szCs w:val="24"/>
        </w:rPr>
        <w:t>x</w:t>
      </w:r>
      <w:proofErr w:type="spellEnd"/>
      <w:r w:rsidRPr="001B357B">
        <w:rPr>
          <w:rFonts w:ascii="Times" w:hAnsi="Times"/>
          <w:szCs w:val="24"/>
        </w:rPr>
        <w:t xml:space="preserve"> (</w:t>
      </w:r>
      <w:r w:rsidR="00E43C93" w:rsidRPr="001B357B">
        <w:rPr>
          <w:rFonts w:ascii="Times" w:hAnsi="Times"/>
          <w:szCs w:val="24"/>
        </w:rPr>
        <w:t>Figure</w:t>
      </w:r>
      <w:r w:rsidRPr="001B357B">
        <w:rPr>
          <w:rFonts w:ascii="Times" w:hAnsi="Times"/>
          <w:szCs w:val="24"/>
        </w:rPr>
        <w:t xml:space="preserve"> </w:t>
      </w:r>
      <w:r w:rsidR="006B6EDE" w:rsidRPr="001B357B">
        <w:rPr>
          <w:rFonts w:ascii="Times" w:hAnsi="Times"/>
          <w:szCs w:val="24"/>
        </w:rPr>
        <w:t>3</w:t>
      </w:r>
      <w:r w:rsidR="00E43C93" w:rsidRPr="001B357B">
        <w:rPr>
          <w:rFonts w:ascii="Times" w:hAnsi="Times"/>
          <w:szCs w:val="24"/>
        </w:rPr>
        <w:t>c</w:t>
      </w:r>
      <w:r w:rsidRPr="001B357B">
        <w:rPr>
          <w:rFonts w:ascii="Times" w:hAnsi="Times"/>
          <w:szCs w:val="24"/>
        </w:rPr>
        <w:t>: left, bottom), and catalase (</w:t>
      </w:r>
      <w:r w:rsidR="00E43C93" w:rsidRPr="001B357B">
        <w:rPr>
          <w:rFonts w:ascii="Times" w:hAnsi="Times"/>
          <w:szCs w:val="24"/>
        </w:rPr>
        <w:t xml:space="preserve">Figure </w:t>
      </w:r>
      <w:r w:rsidR="006B6EDE" w:rsidRPr="001B357B">
        <w:rPr>
          <w:rFonts w:ascii="Times" w:hAnsi="Times"/>
          <w:szCs w:val="24"/>
        </w:rPr>
        <w:t>3</w:t>
      </w:r>
      <w:r w:rsidR="00E43C93" w:rsidRPr="001B357B">
        <w:rPr>
          <w:rFonts w:ascii="Times" w:hAnsi="Times"/>
          <w:szCs w:val="24"/>
        </w:rPr>
        <w:t>d</w:t>
      </w:r>
      <w:r w:rsidRPr="001B357B">
        <w:rPr>
          <w:rFonts w:ascii="Times" w:hAnsi="Times"/>
          <w:szCs w:val="24"/>
        </w:rPr>
        <w:t>: right, bottom) were measured in the liver</w:t>
      </w:r>
      <w:r w:rsidR="00E43C93" w:rsidRPr="001B357B">
        <w:rPr>
          <w:rFonts w:ascii="Times" w:hAnsi="Times"/>
          <w:szCs w:val="24"/>
        </w:rPr>
        <w:t xml:space="preserve"> and kidney</w:t>
      </w:r>
      <w:r w:rsidRPr="001B357B">
        <w:rPr>
          <w:rFonts w:ascii="Times" w:hAnsi="Times"/>
          <w:szCs w:val="24"/>
        </w:rPr>
        <w:t xml:space="preserve"> of </w:t>
      </w:r>
      <w:r w:rsidR="0059750A" w:rsidRPr="001B357B">
        <w:rPr>
          <w:rFonts w:ascii="Times" w:hAnsi="Times"/>
          <w:szCs w:val="24"/>
        </w:rPr>
        <w:t>4</w:t>
      </w:r>
      <w:r w:rsidRPr="001B357B">
        <w:rPr>
          <w:rFonts w:ascii="Times" w:hAnsi="Times"/>
          <w:szCs w:val="24"/>
        </w:rPr>
        <w:t xml:space="preserve"> to </w:t>
      </w:r>
      <w:r w:rsidR="006B6EDE" w:rsidRPr="001B357B">
        <w:rPr>
          <w:rFonts w:ascii="Times" w:hAnsi="Times"/>
          <w:szCs w:val="24"/>
        </w:rPr>
        <w:t>6</w:t>
      </w:r>
      <w:r w:rsidRPr="001B357B">
        <w:rPr>
          <w:rFonts w:ascii="Times" w:hAnsi="Times"/>
          <w:szCs w:val="24"/>
        </w:rPr>
        <w:t xml:space="preserve"> month old </w:t>
      </w:r>
      <w:proofErr w:type="spellStart"/>
      <w:r w:rsidR="00843BB8" w:rsidRPr="001B357B">
        <w:rPr>
          <w:rFonts w:ascii="Times" w:hAnsi="Times"/>
        </w:rPr>
        <w:t>Tg</w:t>
      </w:r>
      <w:proofErr w:type="spellEnd"/>
      <w:r w:rsidR="00843BB8" w:rsidRPr="001B357B">
        <w:rPr>
          <w:rFonts w:ascii="Times" w:hAnsi="Times"/>
        </w:rPr>
        <w:t>(</w:t>
      </w:r>
      <w:r w:rsidR="00843BB8" w:rsidRPr="001B357B">
        <w:rPr>
          <w:rFonts w:ascii="Times" w:hAnsi="Times"/>
          <w:i/>
          <w:iCs/>
        </w:rPr>
        <w:t>TXN2</w:t>
      </w:r>
      <w:r w:rsidR="00843BB8" w:rsidRPr="001B357B">
        <w:rPr>
          <w:rFonts w:ascii="Times" w:hAnsi="Times"/>
        </w:rPr>
        <w:t>)</w:t>
      </w:r>
      <w:r w:rsidR="00843BB8" w:rsidRPr="001B357B">
        <w:rPr>
          <w:rFonts w:ascii="Times" w:hAnsi="Times"/>
          <w:vertAlign w:val="superscript"/>
        </w:rPr>
        <w:t>+/0</w:t>
      </w:r>
      <w:r w:rsidR="00843BB8" w:rsidRPr="001B357B">
        <w:rPr>
          <w:rFonts w:ascii="Times" w:hAnsi="Times"/>
        </w:rPr>
        <w:t xml:space="preserve"> x Trx1KO</w:t>
      </w:r>
      <w:r w:rsidR="00843BB8" w:rsidRPr="001B357B">
        <w:rPr>
          <w:rFonts w:ascii="Times" w:hAnsi="Times"/>
          <w:szCs w:val="24"/>
        </w:rPr>
        <w:t xml:space="preserve"> </w:t>
      </w:r>
      <w:r w:rsidRPr="001B357B">
        <w:rPr>
          <w:rFonts w:ascii="Times" w:hAnsi="Times"/>
          <w:szCs w:val="24"/>
        </w:rPr>
        <w:t>(closed bar) and WT (open bar) mice. Cu/</w:t>
      </w:r>
      <w:proofErr w:type="spellStart"/>
      <w:r w:rsidRPr="001B357B">
        <w:rPr>
          <w:rFonts w:ascii="Times" w:hAnsi="Times"/>
          <w:szCs w:val="24"/>
        </w:rPr>
        <w:t>ZnSOD</w:t>
      </w:r>
      <w:proofErr w:type="spellEnd"/>
      <w:r w:rsidRPr="001B357B">
        <w:rPr>
          <w:rFonts w:ascii="Times" w:hAnsi="Times"/>
          <w:szCs w:val="24"/>
        </w:rPr>
        <w:t xml:space="preserve">, </w:t>
      </w:r>
      <w:proofErr w:type="spellStart"/>
      <w:r w:rsidRPr="001B357B">
        <w:rPr>
          <w:rFonts w:ascii="Times" w:hAnsi="Times"/>
          <w:szCs w:val="24"/>
        </w:rPr>
        <w:t>MnSOD</w:t>
      </w:r>
      <w:proofErr w:type="spellEnd"/>
      <w:r w:rsidRPr="001B357B">
        <w:rPr>
          <w:rFonts w:ascii="Times" w:hAnsi="Times"/>
          <w:szCs w:val="24"/>
        </w:rPr>
        <w:t xml:space="preserve">, </w:t>
      </w:r>
      <w:proofErr w:type="spellStart"/>
      <w:r w:rsidRPr="001B357B">
        <w:rPr>
          <w:rFonts w:ascii="Times" w:hAnsi="Times"/>
          <w:szCs w:val="24"/>
        </w:rPr>
        <w:t>GP</w:t>
      </w:r>
      <w:r w:rsidR="00E43C93" w:rsidRPr="001B357B">
        <w:rPr>
          <w:rFonts w:ascii="Times" w:hAnsi="Times"/>
          <w:szCs w:val="24"/>
        </w:rPr>
        <w:t>x</w:t>
      </w:r>
      <w:proofErr w:type="spellEnd"/>
      <w:r w:rsidRPr="001B357B">
        <w:rPr>
          <w:rFonts w:ascii="Times" w:hAnsi="Times"/>
          <w:szCs w:val="24"/>
        </w:rPr>
        <w:t xml:space="preserve">, and catalase </w:t>
      </w:r>
      <w:r w:rsidR="006B6EDE" w:rsidRPr="001B357B">
        <w:rPr>
          <w:rFonts w:ascii="Times" w:hAnsi="Times"/>
          <w:szCs w:val="24"/>
        </w:rPr>
        <w:t xml:space="preserve">activities </w:t>
      </w:r>
      <w:r w:rsidRPr="001B357B">
        <w:rPr>
          <w:rFonts w:ascii="Times" w:hAnsi="Times"/>
          <w:szCs w:val="24"/>
        </w:rPr>
        <w:t xml:space="preserve">were similar between </w:t>
      </w:r>
      <w:proofErr w:type="spellStart"/>
      <w:proofErr w:type="gramStart"/>
      <w:r w:rsidR="0059750A" w:rsidRPr="001B357B">
        <w:rPr>
          <w:rFonts w:ascii="Times" w:hAnsi="Times"/>
        </w:rPr>
        <w:t>Tg</w:t>
      </w:r>
      <w:proofErr w:type="spellEnd"/>
      <w:r w:rsidR="0059750A" w:rsidRPr="001B357B">
        <w:rPr>
          <w:rFonts w:ascii="Times" w:hAnsi="Times"/>
        </w:rPr>
        <w:t>(</w:t>
      </w:r>
      <w:proofErr w:type="gramEnd"/>
      <w:r w:rsidR="0059750A" w:rsidRPr="001B357B">
        <w:rPr>
          <w:rFonts w:ascii="Times" w:hAnsi="Times"/>
          <w:i/>
          <w:iCs/>
        </w:rPr>
        <w:t>TXN2</w:t>
      </w:r>
      <w:r w:rsidR="0059750A" w:rsidRPr="001B357B">
        <w:rPr>
          <w:rFonts w:ascii="Times" w:hAnsi="Times"/>
        </w:rPr>
        <w:t>)</w:t>
      </w:r>
      <w:r w:rsidR="0059750A" w:rsidRPr="001B357B">
        <w:rPr>
          <w:rFonts w:ascii="Times" w:hAnsi="Times"/>
          <w:vertAlign w:val="superscript"/>
        </w:rPr>
        <w:t>+/0</w:t>
      </w:r>
      <w:r w:rsidR="0059750A" w:rsidRPr="001B357B">
        <w:rPr>
          <w:rFonts w:ascii="Times" w:hAnsi="Times"/>
        </w:rPr>
        <w:t xml:space="preserve"> x Trx1KO</w:t>
      </w:r>
      <w:r w:rsidR="0059750A" w:rsidRPr="001B357B">
        <w:rPr>
          <w:rFonts w:ascii="Times" w:hAnsi="Times"/>
          <w:szCs w:val="24"/>
        </w:rPr>
        <w:t xml:space="preserve"> </w:t>
      </w:r>
      <w:r w:rsidRPr="001B357B">
        <w:rPr>
          <w:rFonts w:ascii="Times" w:hAnsi="Times"/>
          <w:szCs w:val="24"/>
        </w:rPr>
        <w:t xml:space="preserve">and WT mice. Data are the mean </w:t>
      </w:r>
      <w:r w:rsidRPr="001B357B">
        <w:rPr>
          <w:rFonts w:ascii="Times" w:hAnsi="Times"/>
          <w:szCs w:val="24"/>
        </w:rPr>
        <w:sym w:font="Symbol" w:char="F0B1"/>
      </w:r>
      <w:r w:rsidRPr="001B357B">
        <w:rPr>
          <w:rFonts w:ascii="Times" w:hAnsi="Times"/>
          <w:szCs w:val="24"/>
        </w:rPr>
        <w:t xml:space="preserve"> SEM of three mice.</w:t>
      </w:r>
    </w:p>
    <w:p w14:paraId="43BEBBEA" w14:textId="77777777" w:rsidR="006B6EDE" w:rsidRPr="001B357B" w:rsidRDefault="006B6EDE" w:rsidP="006B6EDE">
      <w:pPr>
        <w:spacing w:line="240" w:lineRule="auto"/>
        <w:jc w:val="both"/>
        <w:rPr>
          <w:rFonts w:ascii="Times" w:hAnsi="Times"/>
          <w:b/>
          <w:caps/>
          <w:szCs w:val="24"/>
        </w:rPr>
      </w:pPr>
    </w:p>
    <w:p w14:paraId="073BDA7D" w14:textId="3969E0CC" w:rsidR="006B6EDE" w:rsidRPr="001B357B" w:rsidRDefault="006B6EDE" w:rsidP="006B6EDE">
      <w:pPr>
        <w:tabs>
          <w:tab w:val="left" w:pos="450"/>
          <w:tab w:val="left" w:pos="2430"/>
        </w:tabs>
        <w:spacing w:line="240" w:lineRule="auto"/>
        <w:jc w:val="both"/>
        <w:rPr>
          <w:rFonts w:ascii="Times" w:hAnsi="Times"/>
          <w:szCs w:val="24"/>
        </w:rPr>
      </w:pPr>
      <w:r w:rsidRPr="001B357B">
        <w:rPr>
          <w:rFonts w:ascii="Times" w:hAnsi="Times"/>
          <w:b/>
          <w:szCs w:val="24"/>
        </w:rPr>
        <w:t>Figure 4.</w:t>
      </w:r>
      <w:r w:rsidRPr="001B357B">
        <w:rPr>
          <w:rFonts w:ascii="Times" w:hAnsi="Times"/>
          <w:szCs w:val="24"/>
        </w:rPr>
        <w:t xml:space="preserve"> </w:t>
      </w:r>
      <w:r w:rsidRPr="001B357B">
        <w:rPr>
          <w:rFonts w:ascii="Times" w:hAnsi="Times"/>
          <w:b/>
        </w:rPr>
        <w:t xml:space="preserve">Survival curves of </w:t>
      </w:r>
      <w:proofErr w:type="spellStart"/>
      <w:proofErr w:type="gramStart"/>
      <w:r w:rsidRPr="001B357B">
        <w:rPr>
          <w:rFonts w:ascii="Times" w:hAnsi="Times"/>
          <w:b/>
          <w:iCs/>
        </w:rPr>
        <w:t>Tg</w:t>
      </w:r>
      <w:proofErr w:type="spellEnd"/>
      <w:r w:rsidRPr="001B357B">
        <w:rPr>
          <w:rFonts w:ascii="Times" w:hAnsi="Times"/>
          <w:b/>
          <w:iCs/>
        </w:rPr>
        <w:t>(</w:t>
      </w:r>
      <w:proofErr w:type="gramEnd"/>
      <w:r w:rsidRPr="001B357B">
        <w:rPr>
          <w:rFonts w:ascii="Times" w:hAnsi="Times"/>
          <w:b/>
          <w:i/>
          <w:iCs/>
        </w:rPr>
        <w:t>TXN2</w:t>
      </w:r>
      <w:r w:rsidRPr="001B357B">
        <w:rPr>
          <w:rFonts w:ascii="Times" w:hAnsi="Times"/>
          <w:b/>
          <w:iCs/>
        </w:rPr>
        <w:t>)</w:t>
      </w:r>
      <w:r w:rsidRPr="001B357B">
        <w:rPr>
          <w:rFonts w:ascii="Times" w:hAnsi="Times"/>
          <w:b/>
          <w:iCs/>
          <w:vertAlign w:val="superscript"/>
        </w:rPr>
        <w:t>+/0</w:t>
      </w:r>
      <w:r w:rsidRPr="001B357B">
        <w:rPr>
          <w:rFonts w:ascii="Times" w:hAnsi="Times"/>
          <w:b/>
          <w:iCs/>
        </w:rPr>
        <w:t xml:space="preserve"> x Trx1KO</w:t>
      </w:r>
      <w:r w:rsidRPr="001B357B">
        <w:rPr>
          <w:rFonts w:ascii="Times" w:hAnsi="Times"/>
          <w:b/>
          <w:i/>
        </w:rPr>
        <w:t xml:space="preserve"> </w:t>
      </w:r>
      <w:r w:rsidRPr="001B357B">
        <w:rPr>
          <w:rFonts w:ascii="Times" w:hAnsi="Times"/>
          <w:b/>
        </w:rPr>
        <w:t xml:space="preserve">and WT mice. </w:t>
      </w:r>
      <w:r w:rsidRPr="001B357B">
        <w:rPr>
          <w:rFonts w:ascii="Times" w:hAnsi="Times"/>
          <w:szCs w:val="24"/>
        </w:rPr>
        <w:t xml:space="preserve">The survival curves of </w:t>
      </w:r>
      <w:proofErr w:type="spellStart"/>
      <w:proofErr w:type="gramStart"/>
      <w:r w:rsidRPr="001B357B">
        <w:rPr>
          <w:rFonts w:ascii="Times" w:hAnsi="Times"/>
        </w:rPr>
        <w:t>Tg</w:t>
      </w:r>
      <w:proofErr w:type="spellEnd"/>
      <w:r w:rsidRPr="001B357B">
        <w:rPr>
          <w:rFonts w:ascii="Times" w:hAnsi="Times"/>
        </w:rPr>
        <w:t>(</w:t>
      </w:r>
      <w:proofErr w:type="gramEnd"/>
      <w:r w:rsidRPr="001B357B">
        <w:rPr>
          <w:rFonts w:ascii="Times" w:hAnsi="Times"/>
          <w:i/>
          <w:iCs/>
        </w:rPr>
        <w:t>TXN2</w:t>
      </w:r>
      <w:r w:rsidRPr="001B357B">
        <w:rPr>
          <w:rFonts w:ascii="Times" w:hAnsi="Times"/>
        </w:rPr>
        <w:t>)</w:t>
      </w:r>
      <w:r w:rsidRPr="001B357B">
        <w:rPr>
          <w:rFonts w:ascii="Times" w:hAnsi="Times"/>
          <w:vertAlign w:val="superscript"/>
        </w:rPr>
        <w:t>+/0</w:t>
      </w:r>
      <w:r w:rsidRPr="001B357B">
        <w:rPr>
          <w:rFonts w:ascii="Times" w:hAnsi="Times"/>
        </w:rPr>
        <w:t xml:space="preserve"> x Trx1KO</w:t>
      </w:r>
      <w:r w:rsidRPr="001B357B">
        <w:rPr>
          <w:rFonts w:ascii="Times" w:hAnsi="Times"/>
          <w:szCs w:val="24"/>
        </w:rPr>
        <w:t xml:space="preserve"> (closed squares) and WT (open triangles) mice are presented. The cohort consists of 35 </w:t>
      </w:r>
      <w:proofErr w:type="spellStart"/>
      <w:proofErr w:type="gramStart"/>
      <w:r w:rsidRPr="001B357B">
        <w:rPr>
          <w:rFonts w:ascii="Times" w:hAnsi="Times"/>
        </w:rPr>
        <w:t>Tg</w:t>
      </w:r>
      <w:proofErr w:type="spellEnd"/>
      <w:r w:rsidRPr="001B357B">
        <w:rPr>
          <w:rFonts w:ascii="Times" w:hAnsi="Times"/>
        </w:rPr>
        <w:t>(</w:t>
      </w:r>
      <w:proofErr w:type="gramEnd"/>
      <w:r w:rsidRPr="001B357B">
        <w:rPr>
          <w:rFonts w:ascii="Times" w:hAnsi="Times"/>
          <w:i/>
          <w:iCs/>
        </w:rPr>
        <w:t>TXN2</w:t>
      </w:r>
      <w:r w:rsidRPr="001B357B">
        <w:rPr>
          <w:rFonts w:ascii="Times" w:hAnsi="Times"/>
        </w:rPr>
        <w:t>)</w:t>
      </w:r>
      <w:r w:rsidRPr="001B357B">
        <w:rPr>
          <w:rFonts w:ascii="Times" w:hAnsi="Times"/>
          <w:vertAlign w:val="superscript"/>
        </w:rPr>
        <w:t>+/0</w:t>
      </w:r>
      <w:r w:rsidRPr="001B357B">
        <w:rPr>
          <w:rFonts w:ascii="Times" w:hAnsi="Times"/>
        </w:rPr>
        <w:t xml:space="preserve"> x Trx1KO</w:t>
      </w:r>
      <w:r w:rsidRPr="001B357B">
        <w:rPr>
          <w:rFonts w:ascii="Times" w:hAnsi="Times"/>
          <w:szCs w:val="24"/>
        </w:rPr>
        <w:t xml:space="preserve"> mice and 35 WT male mice. Although </w:t>
      </w:r>
      <w:proofErr w:type="spellStart"/>
      <w:r w:rsidRPr="001B357B">
        <w:rPr>
          <w:rFonts w:ascii="Times" w:hAnsi="Times"/>
        </w:rPr>
        <w:t>Tg</w:t>
      </w:r>
      <w:proofErr w:type="spellEnd"/>
      <w:r w:rsidRPr="001B357B">
        <w:rPr>
          <w:rFonts w:ascii="Times" w:hAnsi="Times"/>
        </w:rPr>
        <w:t>(</w:t>
      </w:r>
      <w:r w:rsidRPr="001B357B">
        <w:rPr>
          <w:rFonts w:ascii="Times" w:hAnsi="Times"/>
          <w:i/>
          <w:iCs/>
        </w:rPr>
        <w:t>TXN2</w:t>
      </w:r>
      <w:r w:rsidRPr="001B357B">
        <w:rPr>
          <w:rFonts w:ascii="Times" w:hAnsi="Times"/>
        </w:rPr>
        <w:t>)</w:t>
      </w:r>
      <w:r w:rsidRPr="001B357B">
        <w:rPr>
          <w:rFonts w:ascii="Times" w:hAnsi="Times"/>
          <w:vertAlign w:val="superscript"/>
        </w:rPr>
        <w:t>+/0</w:t>
      </w:r>
      <w:r w:rsidRPr="001B357B">
        <w:rPr>
          <w:rFonts w:ascii="Times" w:hAnsi="Times"/>
        </w:rPr>
        <w:t xml:space="preserve"> x Trx1KO</w:t>
      </w:r>
      <w:r w:rsidRPr="001B357B">
        <w:rPr>
          <w:rFonts w:ascii="Times" w:hAnsi="Times"/>
          <w:szCs w:val="24"/>
        </w:rPr>
        <w:t xml:space="preserve"> mice slightly extended the </w:t>
      </w:r>
      <w:r w:rsidR="00FF3FD1" w:rsidRPr="001B357B">
        <w:rPr>
          <w:rFonts w:ascii="Times" w:hAnsi="Times"/>
          <w:szCs w:val="24"/>
        </w:rPr>
        <w:t xml:space="preserve">lifespan in </w:t>
      </w:r>
      <w:r w:rsidR="00CE262D" w:rsidRPr="001B357B">
        <w:rPr>
          <w:rFonts w:ascii="Times" w:hAnsi="Times"/>
          <w:szCs w:val="24"/>
        </w:rPr>
        <w:t xml:space="preserve">the </w:t>
      </w:r>
      <w:r w:rsidR="00FF3FD1" w:rsidRPr="001B357B">
        <w:rPr>
          <w:rFonts w:ascii="Times" w:hAnsi="Times"/>
          <w:szCs w:val="24"/>
        </w:rPr>
        <w:t>early stage of life (30.7% extension at 75</w:t>
      </w:r>
      <w:r w:rsidR="00FF3FD1" w:rsidRPr="001B357B">
        <w:rPr>
          <w:rFonts w:ascii="Times" w:hAnsi="Times"/>
          <w:szCs w:val="24"/>
          <w:vertAlign w:val="superscript"/>
        </w:rPr>
        <w:t>th</w:t>
      </w:r>
      <w:r w:rsidR="00FF3FD1" w:rsidRPr="001B357B">
        <w:rPr>
          <w:rFonts w:ascii="Times" w:hAnsi="Times"/>
          <w:szCs w:val="24"/>
        </w:rPr>
        <w:t xml:space="preserve"> percentile), t</w:t>
      </w:r>
      <w:r w:rsidRPr="001B357B">
        <w:rPr>
          <w:rFonts w:ascii="Times" w:hAnsi="Times"/>
          <w:szCs w:val="24"/>
        </w:rPr>
        <w:t xml:space="preserve">he survival curves were not significantly different between </w:t>
      </w:r>
      <w:proofErr w:type="spellStart"/>
      <w:r w:rsidRPr="001B357B">
        <w:rPr>
          <w:rFonts w:ascii="Times" w:hAnsi="Times"/>
          <w:iCs/>
        </w:rPr>
        <w:t>Tg</w:t>
      </w:r>
      <w:proofErr w:type="spellEnd"/>
      <w:r w:rsidRPr="001B357B">
        <w:rPr>
          <w:rFonts w:ascii="Times" w:hAnsi="Times"/>
          <w:iCs/>
        </w:rPr>
        <w:t>(</w:t>
      </w:r>
      <w:r w:rsidRPr="001B357B">
        <w:rPr>
          <w:rFonts w:ascii="Times" w:hAnsi="Times"/>
          <w:i/>
        </w:rPr>
        <w:t>TXN2</w:t>
      </w:r>
      <w:r w:rsidRPr="001B357B">
        <w:rPr>
          <w:rFonts w:ascii="Times" w:hAnsi="Times"/>
          <w:iCs/>
        </w:rPr>
        <w:t>)</w:t>
      </w:r>
      <w:r w:rsidRPr="001B357B">
        <w:rPr>
          <w:rFonts w:ascii="Times" w:hAnsi="Times"/>
          <w:iCs/>
          <w:vertAlign w:val="superscript"/>
        </w:rPr>
        <w:t>+/0</w:t>
      </w:r>
      <w:r w:rsidRPr="001B357B">
        <w:rPr>
          <w:rFonts w:ascii="Times" w:hAnsi="Times"/>
          <w:iCs/>
        </w:rPr>
        <w:t xml:space="preserve"> x Trx1KO</w:t>
      </w:r>
      <w:r w:rsidRPr="001B357B">
        <w:rPr>
          <w:rFonts w:ascii="Times" w:hAnsi="Times"/>
          <w:iCs/>
          <w:szCs w:val="24"/>
        </w:rPr>
        <w:t xml:space="preserve"> and WT</w:t>
      </w:r>
      <w:r w:rsidRPr="001B357B">
        <w:rPr>
          <w:rFonts w:ascii="Times" w:hAnsi="Times"/>
          <w:szCs w:val="24"/>
        </w:rPr>
        <w:t xml:space="preserve"> mice. </w:t>
      </w:r>
    </w:p>
    <w:p w14:paraId="6CCE6872" w14:textId="77777777" w:rsidR="00486AAC" w:rsidRPr="001B357B" w:rsidRDefault="00486AAC" w:rsidP="00486AAC">
      <w:pPr>
        <w:spacing w:line="240" w:lineRule="auto"/>
        <w:jc w:val="both"/>
        <w:rPr>
          <w:rFonts w:ascii="Times" w:hAnsi="Times"/>
          <w:szCs w:val="24"/>
        </w:rPr>
      </w:pPr>
    </w:p>
    <w:p w14:paraId="18CAF7EA" w14:textId="194E496E" w:rsidR="00486AAC" w:rsidRPr="001B357B" w:rsidRDefault="00486AAC" w:rsidP="00486AAC">
      <w:pPr>
        <w:spacing w:line="240" w:lineRule="auto"/>
        <w:jc w:val="both"/>
        <w:rPr>
          <w:rFonts w:ascii="Times" w:hAnsi="Times"/>
          <w:b/>
          <w:szCs w:val="24"/>
        </w:rPr>
      </w:pPr>
      <w:r w:rsidRPr="001B357B">
        <w:rPr>
          <w:rFonts w:ascii="Times" w:hAnsi="Times"/>
          <w:b/>
          <w:szCs w:val="24"/>
        </w:rPr>
        <w:t xml:space="preserve">Figure </w:t>
      </w:r>
      <w:r w:rsidR="00FF3FD1" w:rsidRPr="001B357B">
        <w:rPr>
          <w:rFonts w:ascii="Times" w:hAnsi="Times"/>
          <w:b/>
          <w:szCs w:val="24"/>
        </w:rPr>
        <w:t>5</w:t>
      </w:r>
      <w:r w:rsidRPr="001B357B">
        <w:rPr>
          <w:rFonts w:ascii="Times" w:hAnsi="Times"/>
          <w:b/>
          <w:szCs w:val="24"/>
        </w:rPr>
        <w:t>. Tumor burden</w:t>
      </w:r>
      <w:r w:rsidR="00B33A99" w:rsidRPr="001B357B">
        <w:rPr>
          <w:rFonts w:ascii="Times" w:hAnsi="Times"/>
          <w:b/>
          <w:szCs w:val="24"/>
        </w:rPr>
        <w:t xml:space="preserve">, </w:t>
      </w:r>
      <w:r w:rsidRPr="001B357B">
        <w:rPr>
          <w:rFonts w:ascii="Times" w:hAnsi="Times"/>
          <w:b/>
          <w:szCs w:val="24"/>
        </w:rPr>
        <w:t>s</w:t>
      </w:r>
      <w:r w:rsidRPr="001B357B">
        <w:rPr>
          <w:rFonts w:ascii="Times" w:hAnsi="Times"/>
          <w:b/>
          <w:color w:val="000000"/>
          <w:szCs w:val="24"/>
        </w:rPr>
        <w:t>everity of lymphoma</w:t>
      </w:r>
      <w:r w:rsidR="00B33A99" w:rsidRPr="001B357B">
        <w:rPr>
          <w:rFonts w:ascii="Times" w:hAnsi="Times"/>
          <w:b/>
          <w:color w:val="000000"/>
          <w:szCs w:val="24"/>
        </w:rPr>
        <w:t xml:space="preserve"> and </w:t>
      </w:r>
      <w:r w:rsidRPr="001B357B">
        <w:rPr>
          <w:rFonts w:ascii="Times" w:hAnsi="Times"/>
          <w:b/>
          <w:color w:val="000000"/>
          <w:szCs w:val="24"/>
        </w:rPr>
        <w:t>glomerulonephritis</w:t>
      </w:r>
      <w:r w:rsidR="00FF3FD1" w:rsidRPr="001B357B">
        <w:rPr>
          <w:rFonts w:ascii="Times" w:hAnsi="Times"/>
          <w:b/>
          <w:color w:val="000000"/>
          <w:szCs w:val="24"/>
        </w:rPr>
        <w:t>, and disease burden</w:t>
      </w:r>
      <w:r w:rsidR="00843BB8" w:rsidRPr="001B357B">
        <w:rPr>
          <w:rFonts w:ascii="Times" w:hAnsi="Times"/>
          <w:b/>
          <w:color w:val="000000"/>
          <w:szCs w:val="24"/>
        </w:rPr>
        <w:t xml:space="preserve"> </w:t>
      </w:r>
      <w:r w:rsidRPr="001B357B">
        <w:rPr>
          <w:rFonts w:ascii="Times" w:hAnsi="Times"/>
          <w:b/>
          <w:szCs w:val="24"/>
        </w:rPr>
        <w:t xml:space="preserve">in </w:t>
      </w:r>
      <w:proofErr w:type="spellStart"/>
      <w:proofErr w:type="gramStart"/>
      <w:r w:rsidR="0059750A" w:rsidRPr="001B357B">
        <w:rPr>
          <w:rFonts w:ascii="Times" w:hAnsi="Times"/>
          <w:b/>
          <w:iCs/>
        </w:rPr>
        <w:t>Tg</w:t>
      </w:r>
      <w:proofErr w:type="spellEnd"/>
      <w:r w:rsidR="0059750A" w:rsidRPr="001B357B">
        <w:rPr>
          <w:rFonts w:ascii="Times" w:hAnsi="Times"/>
          <w:b/>
          <w:iCs/>
        </w:rPr>
        <w:t>(</w:t>
      </w:r>
      <w:proofErr w:type="gramEnd"/>
      <w:r w:rsidR="0059750A" w:rsidRPr="001B357B">
        <w:rPr>
          <w:rFonts w:ascii="Times" w:hAnsi="Times"/>
          <w:b/>
          <w:i/>
        </w:rPr>
        <w:t>TXN2</w:t>
      </w:r>
      <w:r w:rsidR="0059750A" w:rsidRPr="001B357B">
        <w:rPr>
          <w:rFonts w:ascii="Times" w:hAnsi="Times"/>
          <w:b/>
          <w:iCs/>
        </w:rPr>
        <w:t>)</w:t>
      </w:r>
      <w:r w:rsidR="0059750A" w:rsidRPr="001B357B">
        <w:rPr>
          <w:rFonts w:ascii="Times" w:hAnsi="Times"/>
          <w:b/>
          <w:iCs/>
          <w:vertAlign w:val="superscript"/>
        </w:rPr>
        <w:t>+/0</w:t>
      </w:r>
      <w:r w:rsidR="0059750A" w:rsidRPr="001B357B">
        <w:rPr>
          <w:rFonts w:ascii="Times" w:hAnsi="Times"/>
          <w:b/>
          <w:iCs/>
        </w:rPr>
        <w:t xml:space="preserve"> x Trx1KO</w:t>
      </w:r>
      <w:r w:rsidR="0059750A" w:rsidRPr="001B357B">
        <w:rPr>
          <w:rFonts w:ascii="Times" w:hAnsi="Times"/>
          <w:b/>
          <w:szCs w:val="24"/>
        </w:rPr>
        <w:t xml:space="preserve"> </w:t>
      </w:r>
      <w:r w:rsidRPr="001B357B">
        <w:rPr>
          <w:rFonts w:ascii="Times" w:hAnsi="Times"/>
          <w:b/>
          <w:szCs w:val="24"/>
        </w:rPr>
        <w:t xml:space="preserve">and WT mice. </w:t>
      </w:r>
    </w:p>
    <w:p w14:paraId="2E2A380F" w14:textId="3009E3F0" w:rsidR="008B5F88" w:rsidRDefault="00FF3FD1" w:rsidP="00A47EE2">
      <w:pPr>
        <w:spacing w:line="240" w:lineRule="auto"/>
        <w:jc w:val="both"/>
        <w:rPr>
          <w:rFonts w:ascii="Times" w:hAnsi="Times"/>
          <w:b/>
          <w:bCs/>
          <w:szCs w:val="24"/>
        </w:rPr>
      </w:pPr>
      <w:r w:rsidRPr="001B357B">
        <w:rPr>
          <w:rFonts w:ascii="Times" w:hAnsi="Times"/>
        </w:rPr>
        <w:t>T</w:t>
      </w:r>
      <w:r w:rsidR="00486AAC" w:rsidRPr="001B357B">
        <w:rPr>
          <w:rFonts w:ascii="Times" w:hAnsi="Times"/>
        </w:rPr>
        <w:t>umor burden</w:t>
      </w:r>
      <w:r w:rsidRPr="001B357B">
        <w:rPr>
          <w:rFonts w:ascii="Times" w:hAnsi="Times"/>
        </w:rPr>
        <w:t xml:space="preserve"> (the number of different types of tumors) </w:t>
      </w:r>
      <w:r w:rsidR="00486AAC" w:rsidRPr="001B357B">
        <w:rPr>
          <w:rFonts w:ascii="Times" w:hAnsi="Times"/>
          <w:szCs w:val="24"/>
        </w:rPr>
        <w:t>(</w:t>
      </w:r>
      <w:r w:rsidR="00E43C93" w:rsidRPr="001B357B">
        <w:rPr>
          <w:rFonts w:ascii="Times" w:hAnsi="Times"/>
          <w:szCs w:val="24"/>
        </w:rPr>
        <w:t>Figure 5a</w:t>
      </w:r>
      <w:r w:rsidR="00486AAC" w:rsidRPr="001B357B">
        <w:rPr>
          <w:rFonts w:ascii="Times" w:hAnsi="Times"/>
          <w:szCs w:val="24"/>
        </w:rPr>
        <w:t xml:space="preserve">: </w:t>
      </w:r>
      <w:r w:rsidR="00F00D1D" w:rsidRPr="001B357B">
        <w:rPr>
          <w:rFonts w:ascii="Times" w:hAnsi="Times"/>
          <w:szCs w:val="24"/>
        </w:rPr>
        <w:t xml:space="preserve">top, </w:t>
      </w:r>
      <w:r w:rsidR="00486AAC" w:rsidRPr="001B357B">
        <w:rPr>
          <w:rFonts w:ascii="Times" w:hAnsi="Times"/>
          <w:szCs w:val="24"/>
        </w:rPr>
        <w:t>left),</w:t>
      </w:r>
      <w:r w:rsidR="00486AAC" w:rsidRPr="001B357B">
        <w:rPr>
          <w:rFonts w:ascii="Times" w:hAnsi="Times"/>
        </w:rPr>
        <w:t xml:space="preserve"> the </w:t>
      </w:r>
      <w:r w:rsidR="00486AAC" w:rsidRPr="001B357B">
        <w:rPr>
          <w:rFonts w:ascii="Times" w:hAnsi="Times"/>
          <w:szCs w:val="24"/>
        </w:rPr>
        <w:t>s</w:t>
      </w:r>
      <w:r w:rsidR="00486AAC" w:rsidRPr="001B357B">
        <w:rPr>
          <w:rFonts w:ascii="Times" w:hAnsi="Times"/>
          <w:color w:val="000000"/>
          <w:szCs w:val="24"/>
        </w:rPr>
        <w:t xml:space="preserve">everity of lymphoma </w:t>
      </w:r>
      <w:r w:rsidR="00486AAC" w:rsidRPr="001B357B">
        <w:rPr>
          <w:rFonts w:ascii="Times" w:hAnsi="Times"/>
          <w:szCs w:val="24"/>
        </w:rPr>
        <w:t>(</w:t>
      </w:r>
      <w:r w:rsidR="00E43C93" w:rsidRPr="001B357B">
        <w:rPr>
          <w:rFonts w:ascii="Times" w:hAnsi="Times"/>
          <w:szCs w:val="24"/>
        </w:rPr>
        <w:t xml:space="preserve">Figure </w:t>
      </w:r>
      <w:r w:rsidR="00DA1FFF" w:rsidRPr="001B357B">
        <w:rPr>
          <w:rFonts w:ascii="Times" w:hAnsi="Times"/>
          <w:szCs w:val="24"/>
        </w:rPr>
        <w:t>5</w:t>
      </w:r>
      <w:r w:rsidR="00E43C93" w:rsidRPr="001B357B">
        <w:rPr>
          <w:rFonts w:ascii="Times" w:hAnsi="Times"/>
          <w:szCs w:val="24"/>
        </w:rPr>
        <w:t>b</w:t>
      </w:r>
      <w:r w:rsidR="00486AAC" w:rsidRPr="001B357B">
        <w:rPr>
          <w:rFonts w:ascii="Times" w:hAnsi="Times"/>
          <w:szCs w:val="24"/>
        </w:rPr>
        <w:t xml:space="preserve">: </w:t>
      </w:r>
      <w:r w:rsidR="00F00D1D" w:rsidRPr="001B357B">
        <w:rPr>
          <w:rFonts w:ascii="Times" w:hAnsi="Times"/>
          <w:szCs w:val="24"/>
        </w:rPr>
        <w:t xml:space="preserve">top, </w:t>
      </w:r>
      <w:r w:rsidR="00486AAC" w:rsidRPr="001B357B">
        <w:rPr>
          <w:rFonts w:ascii="Times" w:hAnsi="Times"/>
          <w:szCs w:val="24"/>
        </w:rPr>
        <w:t>right)</w:t>
      </w:r>
      <w:r w:rsidR="00486AAC" w:rsidRPr="001B357B">
        <w:rPr>
          <w:rFonts w:ascii="Times" w:hAnsi="Times"/>
          <w:color w:val="000000"/>
          <w:szCs w:val="24"/>
        </w:rPr>
        <w:t xml:space="preserve">, </w:t>
      </w:r>
      <w:r w:rsidRPr="001B357B">
        <w:rPr>
          <w:rFonts w:ascii="Times" w:hAnsi="Times"/>
          <w:color w:val="000000"/>
          <w:szCs w:val="24"/>
        </w:rPr>
        <w:t xml:space="preserve">severity of </w:t>
      </w:r>
      <w:r w:rsidR="00486AAC" w:rsidRPr="001B357B">
        <w:rPr>
          <w:rFonts w:ascii="Times" w:hAnsi="Times"/>
          <w:color w:val="000000"/>
          <w:szCs w:val="24"/>
        </w:rPr>
        <w:t xml:space="preserve">glomerulonephritis </w:t>
      </w:r>
      <w:r w:rsidR="00486AAC" w:rsidRPr="001B357B">
        <w:rPr>
          <w:rFonts w:ascii="Times" w:hAnsi="Times"/>
          <w:szCs w:val="24"/>
        </w:rPr>
        <w:t>(</w:t>
      </w:r>
      <w:r w:rsidR="00E43C93" w:rsidRPr="001B357B">
        <w:rPr>
          <w:rFonts w:ascii="Times" w:hAnsi="Times"/>
          <w:szCs w:val="24"/>
        </w:rPr>
        <w:t xml:space="preserve">Figure </w:t>
      </w:r>
      <w:r w:rsidR="00DA1FFF" w:rsidRPr="001B357B">
        <w:rPr>
          <w:rFonts w:ascii="Times" w:hAnsi="Times"/>
          <w:szCs w:val="24"/>
        </w:rPr>
        <w:t>5</w:t>
      </w:r>
      <w:r w:rsidR="00E43C93" w:rsidRPr="001B357B">
        <w:rPr>
          <w:rFonts w:ascii="Times" w:hAnsi="Times"/>
          <w:szCs w:val="24"/>
        </w:rPr>
        <w:t>c</w:t>
      </w:r>
      <w:r w:rsidR="00486AAC" w:rsidRPr="001B357B">
        <w:rPr>
          <w:rFonts w:ascii="Times" w:hAnsi="Times"/>
          <w:szCs w:val="24"/>
        </w:rPr>
        <w:t xml:space="preserve">: </w:t>
      </w:r>
      <w:r w:rsidR="00F00D1D" w:rsidRPr="001B357B">
        <w:rPr>
          <w:rFonts w:ascii="Times" w:hAnsi="Times"/>
          <w:szCs w:val="24"/>
        </w:rPr>
        <w:t xml:space="preserve">bottom, </w:t>
      </w:r>
      <w:r w:rsidR="00486AAC" w:rsidRPr="001B357B">
        <w:rPr>
          <w:rFonts w:ascii="Times" w:hAnsi="Times"/>
          <w:szCs w:val="24"/>
        </w:rPr>
        <w:t>left),</w:t>
      </w:r>
      <w:r w:rsidR="00486AAC" w:rsidRPr="001B357B">
        <w:rPr>
          <w:rFonts w:ascii="Times" w:hAnsi="Times"/>
          <w:color w:val="000000"/>
          <w:szCs w:val="24"/>
        </w:rPr>
        <w:t xml:space="preserve"> and </w:t>
      </w:r>
      <w:r w:rsidR="00843BB8" w:rsidRPr="001B357B">
        <w:rPr>
          <w:rFonts w:ascii="Times" w:hAnsi="Times"/>
          <w:color w:val="000000"/>
          <w:szCs w:val="24"/>
        </w:rPr>
        <w:t>disease burden</w:t>
      </w:r>
      <w:r w:rsidR="00486AAC" w:rsidRPr="001B357B">
        <w:rPr>
          <w:rFonts w:ascii="Times" w:hAnsi="Times"/>
        </w:rPr>
        <w:t xml:space="preserve"> </w:t>
      </w:r>
      <w:r w:rsidR="00486AAC" w:rsidRPr="001B357B">
        <w:rPr>
          <w:rFonts w:ascii="Times" w:hAnsi="Times"/>
          <w:szCs w:val="24"/>
        </w:rPr>
        <w:t>(</w:t>
      </w:r>
      <w:r w:rsidR="00E43C93" w:rsidRPr="001B357B">
        <w:rPr>
          <w:rFonts w:ascii="Times" w:hAnsi="Times"/>
          <w:szCs w:val="24"/>
        </w:rPr>
        <w:t xml:space="preserve">Figure </w:t>
      </w:r>
      <w:r w:rsidR="00DA1FFF" w:rsidRPr="001B357B">
        <w:rPr>
          <w:rFonts w:ascii="Times" w:hAnsi="Times"/>
          <w:szCs w:val="24"/>
        </w:rPr>
        <w:t>5</w:t>
      </w:r>
      <w:r w:rsidR="00E43C93" w:rsidRPr="001B357B">
        <w:rPr>
          <w:rFonts w:ascii="Times" w:hAnsi="Times"/>
          <w:szCs w:val="24"/>
        </w:rPr>
        <w:t>d</w:t>
      </w:r>
      <w:r w:rsidR="00486AAC" w:rsidRPr="001B357B">
        <w:rPr>
          <w:rFonts w:ascii="Times" w:hAnsi="Times"/>
          <w:szCs w:val="24"/>
        </w:rPr>
        <w:t xml:space="preserve">: </w:t>
      </w:r>
      <w:r w:rsidR="00F00D1D" w:rsidRPr="001B357B">
        <w:rPr>
          <w:rFonts w:ascii="Times" w:hAnsi="Times"/>
          <w:szCs w:val="24"/>
        </w:rPr>
        <w:t xml:space="preserve">bottom, </w:t>
      </w:r>
      <w:r w:rsidR="00486AAC" w:rsidRPr="001B357B">
        <w:rPr>
          <w:rFonts w:ascii="Times" w:hAnsi="Times"/>
          <w:szCs w:val="24"/>
        </w:rPr>
        <w:t xml:space="preserve">right) </w:t>
      </w:r>
      <w:r w:rsidR="00486AAC" w:rsidRPr="001B357B">
        <w:rPr>
          <w:rFonts w:ascii="Times" w:hAnsi="Times"/>
        </w:rPr>
        <w:t xml:space="preserve">in </w:t>
      </w:r>
      <w:proofErr w:type="spellStart"/>
      <w:r w:rsidR="0059750A" w:rsidRPr="001B357B">
        <w:rPr>
          <w:rFonts w:ascii="Times" w:hAnsi="Times"/>
        </w:rPr>
        <w:t>Tg</w:t>
      </w:r>
      <w:proofErr w:type="spellEnd"/>
      <w:r w:rsidR="0059750A" w:rsidRPr="001B357B">
        <w:rPr>
          <w:rFonts w:ascii="Times" w:hAnsi="Times"/>
        </w:rPr>
        <w:t>(</w:t>
      </w:r>
      <w:r w:rsidR="0059750A" w:rsidRPr="001B357B">
        <w:rPr>
          <w:rFonts w:ascii="Times" w:hAnsi="Times"/>
          <w:i/>
          <w:iCs/>
        </w:rPr>
        <w:t>TXN2</w:t>
      </w:r>
      <w:r w:rsidR="0059750A" w:rsidRPr="001B357B">
        <w:rPr>
          <w:rFonts w:ascii="Times" w:hAnsi="Times"/>
        </w:rPr>
        <w:t>)</w:t>
      </w:r>
      <w:r w:rsidR="0059750A" w:rsidRPr="001B357B">
        <w:rPr>
          <w:rFonts w:ascii="Times" w:hAnsi="Times"/>
          <w:vertAlign w:val="superscript"/>
        </w:rPr>
        <w:t>+/0</w:t>
      </w:r>
      <w:r w:rsidR="0059750A" w:rsidRPr="001B357B">
        <w:rPr>
          <w:rFonts w:ascii="Times" w:hAnsi="Times"/>
        </w:rPr>
        <w:t xml:space="preserve"> x Trx1KO</w:t>
      </w:r>
      <w:r w:rsidR="0059750A" w:rsidRPr="001B357B">
        <w:rPr>
          <w:rFonts w:ascii="Times" w:hAnsi="Times"/>
          <w:szCs w:val="24"/>
        </w:rPr>
        <w:t xml:space="preserve"> </w:t>
      </w:r>
      <w:r w:rsidR="00486AAC" w:rsidRPr="001B357B">
        <w:rPr>
          <w:rFonts w:ascii="Times" w:hAnsi="Times"/>
          <w:szCs w:val="24"/>
        </w:rPr>
        <w:t xml:space="preserve">(closed bar) and WT(open bar) mice were compared. </w:t>
      </w:r>
      <w:r w:rsidR="00486AAC" w:rsidRPr="001B357B">
        <w:rPr>
          <w:rFonts w:ascii="Times" w:hAnsi="Times"/>
        </w:rPr>
        <w:t>The tumor burden</w:t>
      </w:r>
      <w:r w:rsidR="0073650B" w:rsidRPr="001B357B">
        <w:rPr>
          <w:rFonts w:ascii="Times" w:hAnsi="Times"/>
        </w:rPr>
        <w:t xml:space="preserve"> and severity of lymphoma</w:t>
      </w:r>
      <w:r w:rsidR="00486AAC" w:rsidRPr="001B357B">
        <w:rPr>
          <w:rFonts w:ascii="Times" w:hAnsi="Times"/>
        </w:rPr>
        <w:t xml:space="preserve"> for the </w:t>
      </w:r>
      <w:proofErr w:type="spellStart"/>
      <w:proofErr w:type="gramStart"/>
      <w:r w:rsidR="0059750A" w:rsidRPr="001B357B">
        <w:rPr>
          <w:rFonts w:ascii="Times" w:hAnsi="Times"/>
        </w:rPr>
        <w:t>Tg</w:t>
      </w:r>
      <w:proofErr w:type="spellEnd"/>
      <w:r w:rsidR="0059750A" w:rsidRPr="001B357B">
        <w:rPr>
          <w:rFonts w:ascii="Times" w:hAnsi="Times"/>
        </w:rPr>
        <w:t>(</w:t>
      </w:r>
      <w:proofErr w:type="gramEnd"/>
      <w:r w:rsidR="0059750A" w:rsidRPr="001B357B">
        <w:rPr>
          <w:rFonts w:ascii="Times" w:hAnsi="Times"/>
          <w:i/>
          <w:iCs/>
        </w:rPr>
        <w:t>TXN2</w:t>
      </w:r>
      <w:r w:rsidR="0059750A" w:rsidRPr="001B357B">
        <w:rPr>
          <w:rFonts w:ascii="Times" w:hAnsi="Times"/>
        </w:rPr>
        <w:t>)</w:t>
      </w:r>
      <w:r w:rsidR="0059750A" w:rsidRPr="001B357B">
        <w:rPr>
          <w:rFonts w:ascii="Times" w:hAnsi="Times"/>
          <w:vertAlign w:val="superscript"/>
        </w:rPr>
        <w:t>+/0</w:t>
      </w:r>
      <w:r w:rsidR="0059750A" w:rsidRPr="001B357B">
        <w:rPr>
          <w:rFonts w:ascii="Times" w:hAnsi="Times"/>
        </w:rPr>
        <w:t xml:space="preserve"> x Trx1KO</w:t>
      </w:r>
      <w:r w:rsidR="0059750A" w:rsidRPr="001B357B">
        <w:rPr>
          <w:rFonts w:ascii="Times" w:hAnsi="Times"/>
          <w:szCs w:val="24"/>
        </w:rPr>
        <w:t xml:space="preserve"> </w:t>
      </w:r>
      <w:r w:rsidR="00486AAC" w:rsidRPr="001B357B">
        <w:rPr>
          <w:rFonts w:ascii="Times" w:hAnsi="Times"/>
        </w:rPr>
        <w:t xml:space="preserve">mice </w:t>
      </w:r>
      <w:r w:rsidR="0073650B" w:rsidRPr="001B357B">
        <w:rPr>
          <w:rFonts w:ascii="Times" w:hAnsi="Times"/>
        </w:rPr>
        <w:t>w</w:t>
      </w:r>
      <w:r w:rsidR="00E43C93" w:rsidRPr="001B357B">
        <w:rPr>
          <w:rFonts w:ascii="Times" w:hAnsi="Times"/>
        </w:rPr>
        <w:t>ere</w:t>
      </w:r>
      <w:r w:rsidR="00486AAC" w:rsidRPr="001B357B">
        <w:rPr>
          <w:rFonts w:ascii="Times" w:hAnsi="Times"/>
        </w:rPr>
        <w:t xml:space="preserve"> </w:t>
      </w:r>
      <w:r w:rsidR="0073650B" w:rsidRPr="001B357B">
        <w:rPr>
          <w:rFonts w:ascii="Times" w:hAnsi="Times"/>
        </w:rPr>
        <w:t xml:space="preserve">similar to </w:t>
      </w:r>
      <w:r w:rsidR="00486AAC" w:rsidRPr="001B357B">
        <w:rPr>
          <w:rFonts w:ascii="Times" w:hAnsi="Times"/>
        </w:rPr>
        <w:t xml:space="preserve"> WT mice (</w:t>
      </w:r>
      <w:r w:rsidR="00E43C93" w:rsidRPr="001B357B">
        <w:rPr>
          <w:rFonts w:ascii="Times" w:hAnsi="Times"/>
          <w:i/>
        </w:rPr>
        <w:t>p</w:t>
      </w:r>
      <w:r w:rsidR="00CC3691" w:rsidRPr="001B357B">
        <w:rPr>
          <w:rFonts w:ascii="Times" w:hAnsi="Times"/>
          <w:i/>
        </w:rPr>
        <w:t xml:space="preserve"> </w:t>
      </w:r>
      <w:r w:rsidR="0073650B" w:rsidRPr="001B357B">
        <w:rPr>
          <w:rFonts w:ascii="Times" w:hAnsi="Times"/>
        </w:rPr>
        <w:t>&gt;</w:t>
      </w:r>
      <w:r w:rsidR="00CC3691" w:rsidRPr="001B357B">
        <w:rPr>
          <w:rFonts w:ascii="Times" w:hAnsi="Times"/>
        </w:rPr>
        <w:t xml:space="preserve"> </w:t>
      </w:r>
      <w:r w:rsidR="0073650B" w:rsidRPr="001B357B">
        <w:rPr>
          <w:rFonts w:ascii="Times" w:hAnsi="Times"/>
        </w:rPr>
        <w:t>0.05</w:t>
      </w:r>
      <w:r w:rsidR="00486AAC" w:rsidRPr="001B357B">
        <w:rPr>
          <w:rFonts w:ascii="Times" w:hAnsi="Times"/>
        </w:rPr>
        <w:t xml:space="preserve">). </w:t>
      </w:r>
      <w:r w:rsidR="0073650B" w:rsidRPr="001B357B">
        <w:rPr>
          <w:rFonts w:ascii="Times" w:hAnsi="Times"/>
        </w:rPr>
        <w:t xml:space="preserve">Severity of glomerulonephritis was slightly higher in </w:t>
      </w:r>
      <w:proofErr w:type="spellStart"/>
      <w:proofErr w:type="gramStart"/>
      <w:r w:rsidR="0073650B" w:rsidRPr="001B357B">
        <w:rPr>
          <w:rFonts w:ascii="Times" w:hAnsi="Times"/>
        </w:rPr>
        <w:t>Tg</w:t>
      </w:r>
      <w:proofErr w:type="spellEnd"/>
      <w:r w:rsidR="0073650B" w:rsidRPr="001B357B">
        <w:rPr>
          <w:rFonts w:ascii="Times" w:hAnsi="Times"/>
        </w:rPr>
        <w:t>(</w:t>
      </w:r>
      <w:proofErr w:type="gramEnd"/>
      <w:r w:rsidR="0073650B" w:rsidRPr="001B357B">
        <w:rPr>
          <w:rFonts w:ascii="Times" w:hAnsi="Times"/>
          <w:i/>
        </w:rPr>
        <w:t>TXN2</w:t>
      </w:r>
      <w:r w:rsidR="0073650B" w:rsidRPr="001B357B">
        <w:rPr>
          <w:rFonts w:ascii="Times" w:hAnsi="Times"/>
        </w:rPr>
        <w:t>)</w:t>
      </w:r>
      <w:r w:rsidR="0073650B" w:rsidRPr="001B357B">
        <w:rPr>
          <w:rFonts w:ascii="Times" w:hAnsi="Times"/>
          <w:vertAlign w:val="superscript"/>
        </w:rPr>
        <w:t>+/0</w:t>
      </w:r>
      <w:r w:rsidR="0073650B" w:rsidRPr="001B357B">
        <w:rPr>
          <w:rFonts w:ascii="Times" w:hAnsi="Times"/>
        </w:rPr>
        <w:t xml:space="preserve"> x Trx1KO than WT mice, however, this difference was not statistically significant (</w:t>
      </w:r>
      <w:r w:rsidR="0073650B" w:rsidRPr="001B357B">
        <w:rPr>
          <w:rFonts w:ascii="Times" w:hAnsi="Times"/>
          <w:i/>
        </w:rPr>
        <w:t>p</w:t>
      </w:r>
      <w:r w:rsidR="00CC3691" w:rsidRPr="001B357B">
        <w:rPr>
          <w:rFonts w:ascii="Times" w:hAnsi="Times"/>
          <w:i/>
        </w:rPr>
        <w:t xml:space="preserve"> </w:t>
      </w:r>
      <w:r w:rsidR="0073650B" w:rsidRPr="001B357B">
        <w:rPr>
          <w:rFonts w:ascii="Times" w:hAnsi="Times"/>
        </w:rPr>
        <w:t>&gt;</w:t>
      </w:r>
      <w:r w:rsidR="00CC3691" w:rsidRPr="001B357B">
        <w:rPr>
          <w:rFonts w:ascii="Times" w:hAnsi="Times"/>
        </w:rPr>
        <w:t xml:space="preserve"> </w:t>
      </w:r>
      <w:r w:rsidR="0073650B" w:rsidRPr="001B357B">
        <w:rPr>
          <w:rFonts w:ascii="Times" w:hAnsi="Times"/>
        </w:rPr>
        <w:t xml:space="preserve">0.05). The disease burden was slightly less in </w:t>
      </w:r>
      <w:proofErr w:type="spellStart"/>
      <w:proofErr w:type="gramStart"/>
      <w:r w:rsidR="0073650B" w:rsidRPr="001B357B">
        <w:rPr>
          <w:rFonts w:ascii="Times" w:hAnsi="Times"/>
        </w:rPr>
        <w:t>Tg</w:t>
      </w:r>
      <w:proofErr w:type="spellEnd"/>
      <w:r w:rsidR="0073650B" w:rsidRPr="001B357B">
        <w:rPr>
          <w:rFonts w:ascii="Times" w:hAnsi="Times"/>
        </w:rPr>
        <w:t>(</w:t>
      </w:r>
      <w:proofErr w:type="gramEnd"/>
      <w:r w:rsidR="0073650B" w:rsidRPr="001B357B">
        <w:rPr>
          <w:rFonts w:ascii="Times" w:hAnsi="Times"/>
          <w:i/>
        </w:rPr>
        <w:t>TXN2</w:t>
      </w:r>
      <w:r w:rsidR="0073650B" w:rsidRPr="001B357B">
        <w:rPr>
          <w:rFonts w:ascii="Times" w:hAnsi="Times"/>
        </w:rPr>
        <w:t>)</w:t>
      </w:r>
      <w:r w:rsidR="0073650B" w:rsidRPr="001B357B">
        <w:rPr>
          <w:rFonts w:ascii="Times" w:hAnsi="Times"/>
          <w:vertAlign w:val="superscript"/>
        </w:rPr>
        <w:t>+/0</w:t>
      </w:r>
      <w:r w:rsidR="0073650B" w:rsidRPr="001B357B">
        <w:rPr>
          <w:rFonts w:ascii="Times" w:hAnsi="Times"/>
        </w:rPr>
        <w:t xml:space="preserve"> x Trx1KO</w:t>
      </w:r>
      <w:r w:rsidR="00573E45" w:rsidRPr="001B357B">
        <w:rPr>
          <w:rFonts w:ascii="Times" w:hAnsi="Times"/>
        </w:rPr>
        <w:t xml:space="preserve"> (3.67)</w:t>
      </w:r>
      <w:r w:rsidR="0073650B" w:rsidRPr="001B357B">
        <w:rPr>
          <w:rFonts w:ascii="Times" w:hAnsi="Times"/>
        </w:rPr>
        <w:t xml:space="preserve"> than WT (4.15) mice, which also did not reach statistical significance.</w:t>
      </w:r>
    </w:p>
    <w:p w14:paraId="37765290" w14:textId="765DD4A4" w:rsidR="00100114" w:rsidRPr="00A47EE2" w:rsidRDefault="00100114" w:rsidP="007F0427">
      <w:pPr>
        <w:spacing w:line="240" w:lineRule="auto"/>
        <w:jc w:val="both"/>
        <w:rPr>
          <w:rFonts w:ascii="Times" w:hAnsi="Times"/>
          <w:b/>
          <w:szCs w:val="24"/>
        </w:rPr>
      </w:pPr>
    </w:p>
    <w:sectPr w:rsidR="00100114" w:rsidRPr="00A47EE2" w:rsidSect="00BA500C">
      <w:footerReference w:type="even" r:id="rId7"/>
      <w:footerReference w:type="default" r:id="rId8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1800" w14:textId="77777777" w:rsidR="00154A94" w:rsidRDefault="00154A94" w:rsidP="005A2DAF">
      <w:r>
        <w:separator/>
      </w:r>
    </w:p>
  </w:endnote>
  <w:endnote w:type="continuationSeparator" w:id="0">
    <w:p w14:paraId="1BFB27C7" w14:textId="77777777" w:rsidR="00154A94" w:rsidRDefault="00154A94" w:rsidP="005A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B583" w14:textId="77777777" w:rsidR="00B0227A" w:rsidRDefault="00B0227A" w:rsidP="005A2D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3FA25CD" w14:textId="77777777" w:rsidR="00B0227A" w:rsidRDefault="00B0227A" w:rsidP="005A2DAF">
    <w:pPr>
      <w:pStyle w:val="Footer"/>
    </w:pPr>
    <w:r>
      <w:tab/>
    </w:r>
    <w:r>
      <w:tab/>
      <w:t xml:space="preserve">   Ikeno</w:t>
    </w:r>
    <w:r>
      <w:tab/>
    </w:r>
    <w:r>
      <w:tab/>
    </w:r>
    <w:r>
      <w:tab/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4A43" w14:textId="77777777" w:rsidR="00B0227A" w:rsidRDefault="00B0227A" w:rsidP="005A2DAF">
    <w:pPr>
      <w:pStyle w:val="Footer"/>
      <w:rPr>
        <w:rStyle w:val="PageNumber"/>
      </w:rPr>
    </w:pPr>
  </w:p>
  <w:p w14:paraId="3BE9BC97" w14:textId="77777777" w:rsidR="00B0227A" w:rsidRDefault="00B0227A" w:rsidP="005A2DA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709E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D64F" w14:textId="77777777" w:rsidR="00154A94" w:rsidRDefault="00154A94" w:rsidP="005A2DAF">
      <w:r>
        <w:separator/>
      </w:r>
    </w:p>
  </w:footnote>
  <w:footnote w:type="continuationSeparator" w:id="0">
    <w:p w14:paraId="53DA74D3" w14:textId="77777777" w:rsidR="00154A94" w:rsidRDefault="00154A94" w:rsidP="005A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B40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71A18"/>
    <w:multiLevelType w:val="hybridMultilevel"/>
    <w:tmpl w:val="0E645126"/>
    <w:lvl w:ilvl="0" w:tplc="711C9B3E">
      <w:start w:val="1"/>
      <w:numFmt w:val="decimal"/>
      <w:lvlText w:val="%1."/>
      <w:lvlJc w:val="left"/>
      <w:pPr>
        <w:ind w:left="990" w:hanging="360"/>
      </w:pPr>
      <w:rPr>
        <w:color w:val="00B05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71C"/>
    <w:multiLevelType w:val="multilevel"/>
    <w:tmpl w:val="F75AF1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2"/>
    </w:lvlOverride>
  </w:num>
  <w:num w:numId="2">
    <w:abstractNumId w:val="2"/>
    <w:lvlOverride w:ilvl="0">
      <w:startOverride w:val="23"/>
    </w:lvlOverride>
  </w:num>
  <w:num w:numId="3">
    <w:abstractNumId w:val="2"/>
    <w:lvlOverride w:ilvl="0">
      <w:startOverride w:val="24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mirrorMargins/>
  <w:bordersDoNotSurroundHeader/>
  <w:bordersDoNotSurroundFooter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cienceTrx.enl&lt;/item&gt;&lt;/Libraries&gt;&lt;/ENLibraries&gt;"/>
  </w:docVars>
  <w:rsids>
    <w:rsidRoot w:val="00536FB3"/>
    <w:rsid w:val="000057B6"/>
    <w:rsid w:val="00016C06"/>
    <w:rsid w:val="00033E99"/>
    <w:rsid w:val="000373A5"/>
    <w:rsid w:val="000452F3"/>
    <w:rsid w:val="00060A33"/>
    <w:rsid w:val="00075788"/>
    <w:rsid w:val="00100114"/>
    <w:rsid w:val="00112683"/>
    <w:rsid w:val="00112DA2"/>
    <w:rsid w:val="001211A8"/>
    <w:rsid w:val="00153FBF"/>
    <w:rsid w:val="00154A94"/>
    <w:rsid w:val="001627BB"/>
    <w:rsid w:val="0017317A"/>
    <w:rsid w:val="00176995"/>
    <w:rsid w:val="0018116D"/>
    <w:rsid w:val="00185ADC"/>
    <w:rsid w:val="00191D18"/>
    <w:rsid w:val="001A328F"/>
    <w:rsid w:val="001A637C"/>
    <w:rsid w:val="001B357B"/>
    <w:rsid w:val="001C3A71"/>
    <w:rsid w:val="001E43F6"/>
    <w:rsid w:val="00201769"/>
    <w:rsid w:val="0025759F"/>
    <w:rsid w:val="00257814"/>
    <w:rsid w:val="00257A11"/>
    <w:rsid w:val="00262F64"/>
    <w:rsid w:val="00265404"/>
    <w:rsid w:val="00275B37"/>
    <w:rsid w:val="002B42EF"/>
    <w:rsid w:val="002B4921"/>
    <w:rsid w:val="002B71B2"/>
    <w:rsid w:val="002C7DFE"/>
    <w:rsid w:val="002E2C14"/>
    <w:rsid w:val="002F2ED8"/>
    <w:rsid w:val="0032360D"/>
    <w:rsid w:val="003303C9"/>
    <w:rsid w:val="00340518"/>
    <w:rsid w:val="003619D1"/>
    <w:rsid w:val="00372A19"/>
    <w:rsid w:val="00383640"/>
    <w:rsid w:val="003A2A9B"/>
    <w:rsid w:val="003C46ED"/>
    <w:rsid w:val="003E5E2B"/>
    <w:rsid w:val="0040710A"/>
    <w:rsid w:val="004074E2"/>
    <w:rsid w:val="00412AC7"/>
    <w:rsid w:val="00415563"/>
    <w:rsid w:val="00486AAC"/>
    <w:rsid w:val="00492CD5"/>
    <w:rsid w:val="004B4925"/>
    <w:rsid w:val="004D6595"/>
    <w:rsid w:val="004F573C"/>
    <w:rsid w:val="00510283"/>
    <w:rsid w:val="00513B53"/>
    <w:rsid w:val="00522CC6"/>
    <w:rsid w:val="00532193"/>
    <w:rsid w:val="00532FB0"/>
    <w:rsid w:val="00536FB3"/>
    <w:rsid w:val="00573E45"/>
    <w:rsid w:val="0059750A"/>
    <w:rsid w:val="005A2DAF"/>
    <w:rsid w:val="005C5A62"/>
    <w:rsid w:val="00603D5F"/>
    <w:rsid w:val="00623ABA"/>
    <w:rsid w:val="00632C10"/>
    <w:rsid w:val="006550B4"/>
    <w:rsid w:val="00680F50"/>
    <w:rsid w:val="006A0E5A"/>
    <w:rsid w:val="006B140F"/>
    <w:rsid w:val="006B6EDE"/>
    <w:rsid w:val="006C23F7"/>
    <w:rsid w:val="006C27CE"/>
    <w:rsid w:val="006E761E"/>
    <w:rsid w:val="006E7AE6"/>
    <w:rsid w:val="006F203A"/>
    <w:rsid w:val="0070023E"/>
    <w:rsid w:val="007277FD"/>
    <w:rsid w:val="00732160"/>
    <w:rsid w:val="0073650B"/>
    <w:rsid w:val="00756694"/>
    <w:rsid w:val="00773529"/>
    <w:rsid w:val="007C57C4"/>
    <w:rsid w:val="007D2303"/>
    <w:rsid w:val="007F0427"/>
    <w:rsid w:val="007F04F5"/>
    <w:rsid w:val="007F1421"/>
    <w:rsid w:val="0083601D"/>
    <w:rsid w:val="00843BB8"/>
    <w:rsid w:val="008449AE"/>
    <w:rsid w:val="0085345F"/>
    <w:rsid w:val="00866CF9"/>
    <w:rsid w:val="00872ADE"/>
    <w:rsid w:val="008831F8"/>
    <w:rsid w:val="00884065"/>
    <w:rsid w:val="008845DD"/>
    <w:rsid w:val="00885353"/>
    <w:rsid w:val="00886D9B"/>
    <w:rsid w:val="00892103"/>
    <w:rsid w:val="008A7769"/>
    <w:rsid w:val="008B5CF7"/>
    <w:rsid w:val="008B5F88"/>
    <w:rsid w:val="008C033B"/>
    <w:rsid w:val="008C2432"/>
    <w:rsid w:val="008C6709"/>
    <w:rsid w:val="008D1C3E"/>
    <w:rsid w:val="008E54DD"/>
    <w:rsid w:val="00916CB9"/>
    <w:rsid w:val="00922CA7"/>
    <w:rsid w:val="00932F31"/>
    <w:rsid w:val="00936155"/>
    <w:rsid w:val="00936C80"/>
    <w:rsid w:val="0093706A"/>
    <w:rsid w:val="009A0FCB"/>
    <w:rsid w:val="009B6BD8"/>
    <w:rsid w:val="009C73CE"/>
    <w:rsid w:val="009E53D0"/>
    <w:rsid w:val="009E65B0"/>
    <w:rsid w:val="009E6981"/>
    <w:rsid w:val="00A47EE2"/>
    <w:rsid w:val="00A50082"/>
    <w:rsid w:val="00A513E7"/>
    <w:rsid w:val="00A65B2E"/>
    <w:rsid w:val="00A7714F"/>
    <w:rsid w:val="00A8612F"/>
    <w:rsid w:val="00A93291"/>
    <w:rsid w:val="00AA263F"/>
    <w:rsid w:val="00AA7022"/>
    <w:rsid w:val="00AB33ED"/>
    <w:rsid w:val="00AB709E"/>
    <w:rsid w:val="00AD2BE5"/>
    <w:rsid w:val="00AE5BCA"/>
    <w:rsid w:val="00B012ED"/>
    <w:rsid w:val="00B0227A"/>
    <w:rsid w:val="00B1030A"/>
    <w:rsid w:val="00B33A99"/>
    <w:rsid w:val="00B371B1"/>
    <w:rsid w:val="00BA500C"/>
    <w:rsid w:val="00BA7CC6"/>
    <w:rsid w:val="00BB74D3"/>
    <w:rsid w:val="00BD3FB4"/>
    <w:rsid w:val="00BF02E3"/>
    <w:rsid w:val="00BF7D51"/>
    <w:rsid w:val="00C01752"/>
    <w:rsid w:val="00C06F89"/>
    <w:rsid w:val="00C22B69"/>
    <w:rsid w:val="00C27AFC"/>
    <w:rsid w:val="00C51444"/>
    <w:rsid w:val="00C70AE5"/>
    <w:rsid w:val="00C77554"/>
    <w:rsid w:val="00CA126C"/>
    <w:rsid w:val="00CA7F7F"/>
    <w:rsid w:val="00CC11CC"/>
    <w:rsid w:val="00CC3691"/>
    <w:rsid w:val="00CE262D"/>
    <w:rsid w:val="00CE5246"/>
    <w:rsid w:val="00D13725"/>
    <w:rsid w:val="00D2695B"/>
    <w:rsid w:val="00D47A15"/>
    <w:rsid w:val="00D530E9"/>
    <w:rsid w:val="00D57027"/>
    <w:rsid w:val="00D725D8"/>
    <w:rsid w:val="00D769E7"/>
    <w:rsid w:val="00D92876"/>
    <w:rsid w:val="00DA0035"/>
    <w:rsid w:val="00DA0C45"/>
    <w:rsid w:val="00DA1FFF"/>
    <w:rsid w:val="00DE0AB9"/>
    <w:rsid w:val="00DE5B65"/>
    <w:rsid w:val="00DE7BAC"/>
    <w:rsid w:val="00DE7C5B"/>
    <w:rsid w:val="00E32556"/>
    <w:rsid w:val="00E327C3"/>
    <w:rsid w:val="00E43C93"/>
    <w:rsid w:val="00E5428C"/>
    <w:rsid w:val="00E82E99"/>
    <w:rsid w:val="00EB0170"/>
    <w:rsid w:val="00F00D1D"/>
    <w:rsid w:val="00F23BCF"/>
    <w:rsid w:val="00F2543C"/>
    <w:rsid w:val="00F31A89"/>
    <w:rsid w:val="00F4270D"/>
    <w:rsid w:val="00F61B2E"/>
    <w:rsid w:val="00F943EA"/>
    <w:rsid w:val="00FA2476"/>
    <w:rsid w:val="00FB40EE"/>
    <w:rsid w:val="00FD2E70"/>
    <w:rsid w:val="00FE4E88"/>
    <w:rsid w:val="00FE649A"/>
    <w:rsid w:val="00FF2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FED05"/>
  <w14:defaultImageDpi w14:val="300"/>
  <w15:docId w15:val="{01DD25DC-CA15-6C49-9166-F188462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D5A"/>
    <w:pPr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color w:val="000080"/>
    </w:rPr>
  </w:style>
  <w:style w:type="paragraph" w:styleId="Heading5">
    <w:name w:val="heading 5"/>
    <w:basedOn w:val="Normal"/>
    <w:next w:val="Normal"/>
    <w:qFormat/>
    <w:pPr>
      <w:keepNext/>
      <w:tabs>
        <w:tab w:val="left" w:pos="810"/>
        <w:tab w:val="left" w:pos="1440"/>
        <w:tab w:val="left" w:pos="2160"/>
        <w:tab w:val="left" w:pos="2610"/>
        <w:tab w:val="left" w:pos="3600"/>
        <w:tab w:val="left" w:pos="4860"/>
        <w:tab w:val="left" w:pos="5940"/>
      </w:tabs>
      <w:ind w:left="540"/>
      <w:jc w:val="both"/>
      <w:outlineLvl w:val="4"/>
    </w:pPr>
    <w:rPr>
      <w:rFonts w:ascii="Arial" w:hAnsi="Arial"/>
      <w:color w:val="00008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color w:val="00008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color w:val="00008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0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90"/>
      <w:jc w:val="both"/>
    </w:pPr>
    <w:rPr>
      <w:rFonts w:ascii="Arial" w:hAnsi="Arial"/>
      <w:color w:val="0000FF"/>
      <w:sz w:val="22"/>
    </w:rPr>
  </w:style>
  <w:style w:type="paragraph" w:styleId="BodyTextIndent">
    <w:name w:val="Body Text Indent"/>
    <w:basedOn w:val="Normal"/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customStyle="1" w:styleId="BodyText21">
    <w:name w:val="Body Text 21"/>
    <w:basedOn w:val="Normal"/>
    <w:pPr>
      <w:ind w:left="360"/>
      <w:jc w:val="both"/>
    </w:p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tabs>
        <w:tab w:val="left" w:leader="dot" w:pos="8280"/>
        <w:tab w:val="right" w:pos="8640"/>
      </w:tabs>
      <w:ind w:left="1440" w:right="720"/>
    </w:pPr>
    <w:rPr>
      <w:color w:val="0000FF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280"/>
        <w:tab w:val="right" w:pos="8640"/>
      </w:tabs>
      <w:ind w:left="720" w:right="720"/>
    </w:pPr>
    <w:rPr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280"/>
        <w:tab w:val="right" w:pos="8640"/>
      </w:tabs>
      <w:ind w:left="1440" w:right="720"/>
    </w:pPr>
    <w:rPr>
      <w:color w:val="0000FF"/>
    </w:rPr>
  </w:style>
  <w:style w:type="paragraph" w:styleId="FootnoteText">
    <w:name w:val="footnote text"/>
    <w:basedOn w:val="Normal"/>
    <w:semiHidden/>
    <w:pPr>
      <w:tabs>
        <w:tab w:val="left" w:pos="360"/>
      </w:tabs>
      <w:ind w:left="540" w:hanging="540"/>
    </w:pPr>
    <w:rPr>
      <w:color w:val="0000FF"/>
      <w:sz w:val="20"/>
    </w:rPr>
  </w:style>
  <w:style w:type="paragraph" w:styleId="EndnoteText">
    <w:name w:val="endnote text"/>
    <w:basedOn w:val="Normal"/>
    <w:semiHidden/>
    <w:rPr>
      <w:color w:val="0000FF"/>
      <w:sz w:val="20"/>
    </w:rPr>
  </w:style>
  <w:style w:type="paragraph" w:customStyle="1" w:styleId="PostScript">
    <w:name w:val="PostScript"/>
    <w:basedOn w:val="Normal"/>
    <w:next w:val="Normal"/>
    <w:rPr>
      <w:b/>
      <w:vanish/>
      <w:color w:val="0000FF"/>
      <w:sz w:val="20"/>
    </w:rPr>
  </w:style>
  <w:style w:type="paragraph" w:styleId="Bibliography">
    <w:name w:val="Bibliography"/>
    <w:basedOn w:val="Normal"/>
    <w:pPr>
      <w:ind w:left="540" w:hanging="540"/>
    </w:pPr>
    <w:rPr>
      <w:color w:val="0000FF"/>
    </w:rPr>
  </w:style>
  <w:style w:type="paragraph" w:customStyle="1" w:styleId="FPpage">
    <w:name w:val="FP page"/>
    <w:basedOn w:val="Normal"/>
    <w:pPr>
      <w:tabs>
        <w:tab w:val="left" w:pos="-80"/>
        <w:tab w:val="left" w:pos="6120"/>
      </w:tabs>
      <w:spacing w:before="240"/>
    </w:pPr>
    <w:rPr>
      <w:color w:val="0000FF"/>
      <w:sz w:val="18"/>
    </w:rPr>
  </w:style>
  <w:style w:type="paragraph" w:customStyle="1" w:styleId="footerNIHContPg">
    <w:name w:val="footer NIH Cont Pg"/>
    <w:basedOn w:val="Footer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etica" w:hAnsi="Helvetica"/>
      <w:color w:val="0000FF"/>
      <w:sz w:val="18"/>
    </w:rPr>
  </w:style>
  <w:style w:type="paragraph" w:customStyle="1" w:styleId="FPOutline">
    <w:name w:val="FP Outline"/>
    <w:basedOn w:val="FPpage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al"/>
    <w:pPr>
      <w:tabs>
        <w:tab w:val="left" w:pos="-80"/>
        <w:tab w:val="left" w:pos="1260"/>
        <w:tab w:val="left" w:pos="6120"/>
      </w:tabs>
    </w:pPr>
    <w:rPr>
      <w:color w:val="0000FF"/>
      <w:sz w:val="28"/>
    </w:rPr>
  </w:style>
  <w:style w:type="paragraph" w:customStyle="1" w:styleId="FPHeader">
    <w:name w:val="FP Header"/>
    <w:basedOn w:val="Header"/>
    <w:pPr>
      <w:tabs>
        <w:tab w:val="clear" w:pos="8640"/>
        <w:tab w:val="right" w:pos="6120"/>
        <w:tab w:val="left" w:pos="7920"/>
        <w:tab w:val="right" w:pos="13760"/>
      </w:tabs>
    </w:pPr>
    <w:rPr>
      <w:color w:val="0000FF"/>
      <w:sz w:val="18"/>
    </w:rPr>
  </w:style>
  <w:style w:type="paragraph" w:customStyle="1" w:styleId="Biblio">
    <w:name w:val="# Biblio"/>
    <w:basedOn w:val="Bibliography"/>
    <w:pPr>
      <w:tabs>
        <w:tab w:val="decimal" w:pos="360"/>
      </w:tabs>
      <w:spacing w:before="240"/>
      <w:ind w:left="620" w:hanging="620"/>
    </w:pPr>
  </w:style>
  <w:style w:type="paragraph" w:customStyle="1" w:styleId="headerNIHContPg">
    <w:name w:val="header NIH Cont Pg"/>
    <w:basedOn w:val="Header"/>
    <w:pPr>
      <w:pBdr>
        <w:bottom w:val="single" w:sz="6" w:space="0" w:color="auto"/>
      </w:pBdr>
      <w:tabs>
        <w:tab w:val="clear" w:pos="8640"/>
        <w:tab w:val="right" w:pos="10440"/>
      </w:tabs>
    </w:pPr>
    <w:rPr>
      <w:rFonts w:ascii="Helvetica" w:hAnsi="Helvetica"/>
      <w:caps/>
      <w:color w:val="0000FF"/>
      <w:sz w:val="14"/>
    </w:rPr>
  </w:style>
  <w:style w:type="paragraph" w:customStyle="1" w:styleId="Times12">
    <w:name w:val="Times12"/>
    <w:basedOn w:val="Normal"/>
    <w:pPr>
      <w:spacing w:before="160" w:line="480" w:lineRule="atLeast"/>
    </w:pPr>
    <w:rPr>
      <w:color w:val="0000FF"/>
    </w:rPr>
  </w:style>
  <w:style w:type="paragraph" w:customStyle="1" w:styleId="series">
    <w:name w:val="# series"/>
    <w:basedOn w:val="Normal"/>
    <w:pPr>
      <w:tabs>
        <w:tab w:val="decimal" w:pos="270"/>
        <w:tab w:val="left" w:pos="540"/>
      </w:tabs>
      <w:ind w:left="720" w:hanging="720"/>
    </w:pPr>
    <w:rPr>
      <w:color w:val="0000FF"/>
    </w:rPr>
  </w:style>
  <w:style w:type="paragraph" w:customStyle="1" w:styleId="ASTRO">
    <w:name w:val="ASTRO"/>
    <w:basedOn w:val="Normal"/>
    <w:pPr>
      <w:tabs>
        <w:tab w:val="left" w:pos="720"/>
      </w:tabs>
      <w:spacing w:before="160"/>
    </w:pPr>
    <w:rPr>
      <w:color w:val="0000FF"/>
    </w:rPr>
  </w:style>
  <w:style w:type="paragraph" w:customStyle="1" w:styleId="Biblio0">
    <w:name w:val="Biblio"/>
    <w:basedOn w:val="Normal"/>
    <w:pPr>
      <w:ind w:left="360" w:hanging="360"/>
    </w:pPr>
    <w:rPr>
      <w:color w:val="0000FF"/>
    </w:rPr>
  </w:style>
  <w:style w:type="paragraph" w:customStyle="1" w:styleId="Computer">
    <w:name w:val="Computer"/>
    <w:basedOn w:val="Normal"/>
    <w:pPr>
      <w:spacing w:before="120"/>
    </w:pPr>
    <w:rPr>
      <w:rFonts w:ascii="Courier" w:hAnsi="Courier"/>
      <w:color w:val="0000FF"/>
      <w:sz w:val="18"/>
    </w:rPr>
  </w:style>
  <w:style w:type="paragraph" w:customStyle="1" w:styleId="CV">
    <w:name w:val="CV"/>
    <w:basedOn w:val="Normal"/>
    <w:pPr>
      <w:ind w:left="360" w:hanging="360"/>
    </w:pPr>
    <w:rPr>
      <w:rFonts w:ascii="Helvetica" w:hAnsi="Helvetica"/>
      <w:color w:val="0000FF"/>
      <w:sz w:val="20"/>
    </w:rPr>
  </w:style>
  <w:style w:type="paragraph" w:customStyle="1" w:styleId="Geneva10">
    <w:name w:val="Geneva 10"/>
    <w:basedOn w:val="Normal"/>
    <w:pPr>
      <w:tabs>
        <w:tab w:val="left" w:pos="720"/>
      </w:tabs>
      <w:ind w:left="360" w:hanging="360"/>
    </w:pPr>
    <w:rPr>
      <w:rFonts w:ascii="Helvetica" w:hAnsi="Helvetica"/>
      <w:color w:val="0000FF"/>
      <w:sz w:val="20"/>
    </w:rPr>
  </w:style>
  <w:style w:type="paragraph" w:customStyle="1" w:styleId="Grant">
    <w:name w:val="Grant"/>
    <w:basedOn w:val="Normal"/>
    <w:pPr>
      <w:tabs>
        <w:tab w:val="left" w:pos="720"/>
      </w:tabs>
      <w:spacing w:before="240" w:line="480" w:lineRule="atLeast"/>
      <w:ind w:right="720"/>
    </w:pPr>
    <w:rPr>
      <w:color w:val="0000FF"/>
    </w:rPr>
  </w:style>
  <w:style w:type="paragraph" w:customStyle="1" w:styleId="Livesey">
    <w:name w:val="Livesey"/>
    <w:basedOn w:val="Normal"/>
    <w:pPr>
      <w:tabs>
        <w:tab w:val="left" w:pos="720"/>
        <w:tab w:val="left" w:pos="5040"/>
      </w:tabs>
    </w:pPr>
    <w:rPr>
      <w:color w:val="0000FF"/>
    </w:rPr>
  </w:style>
  <w:style w:type="paragraph" w:customStyle="1" w:styleId="Ltrhd">
    <w:name w:val="Ltrhd"/>
    <w:basedOn w:val="Normal"/>
    <w:pPr>
      <w:tabs>
        <w:tab w:val="left" w:pos="720"/>
        <w:tab w:val="center" w:pos="5040"/>
        <w:tab w:val="left" w:pos="5400"/>
      </w:tabs>
    </w:pPr>
    <w:rPr>
      <w:color w:val="0000FF"/>
    </w:rPr>
  </w:style>
  <w:style w:type="paragraph" w:customStyle="1" w:styleId="Memo">
    <w:name w:val="Memo"/>
    <w:basedOn w:val="Normal"/>
    <w:pPr>
      <w:tabs>
        <w:tab w:val="left" w:pos="900"/>
        <w:tab w:val="left" w:pos="1440"/>
      </w:tabs>
    </w:pPr>
    <w:rPr>
      <w:color w:val="0000FF"/>
    </w:rPr>
  </w:style>
  <w:style w:type="paragraph" w:customStyle="1" w:styleId="NumberedSeries">
    <w:name w:val="Numbered Series"/>
    <w:basedOn w:val="Normal"/>
    <w:pPr>
      <w:tabs>
        <w:tab w:val="decimal" w:pos="270"/>
        <w:tab w:val="left" w:pos="540"/>
      </w:tabs>
      <w:ind w:left="540" w:hanging="540"/>
    </w:pPr>
    <w:rPr>
      <w:color w:val="0000FF"/>
    </w:rPr>
  </w:style>
  <w:style w:type="paragraph" w:customStyle="1" w:styleId="OutlineGen12">
    <w:name w:val="Outline Gen12"/>
    <w:basedOn w:val="Normal"/>
    <w:pPr>
      <w:tabs>
        <w:tab w:val="left" w:pos="720"/>
      </w:tabs>
      <w:ind w:left="360" w:hanging="360"/>
    </w:pPr>
    <w:rPr>
      <w:rFonts w:ascii="Helvetica" w:hAnsi="Helvetica"/>
      <w:color w:val="0000FF"/>
    </w:rPr>
  </w:style>
  <w:style w:type="paragraph" w:customStyle="1" w:styleId="PHS2590">
    <w:name w:val="PHS2590"/>
    <w:basedOn w:val="Normal"/>
    <w:rPr>
      <w:rFonts w:ascii="Helvetica" w:hAnsi="Helvetica"/>
      <w:color w:val="0000FF"/>
      <w:sz w:val="20"/>
    </w:rPr>
  </w:style>
  <w:style w:type="paragraph" w:customStyle="1" w:styleId="Protocol">
    <w:name w:val="Protocol"/>
    <w:basedOn w:val="Geneva10"/>
    <w:pPr>
      <w:tabs>
        <w:tab w:val="clear" w:pos="720"/>
        <w:tab w:val="left" w:pos="540"/>
      </w:tabs>
      <w:spacing w:before="240"/>
      <w:ind w:left="0" w:right="360" w:firstLine="0"/>
    </w:pPr>
    <w:rPr>
      <w:rFonts w:ascii="Times" w:hAnsi="Times"/>
      <w:sz w:val="24"/>
    </w:rPr>
  </w:style>
  <w:style w:type="paragraph" w:customStyle="1" w:styleId="Times">
    <w:name w:val="Times"/>
    <w:basedOn w:val="Normal"/>
    <w:rPr>
      <w:rFonts w:ascii="Helvetica" w:hAnsi="Helvetica"/>
      <w:color w:val="0000FF"/>
      <w:position w:val="-8"/>
    </w:rPr>
  </w:style>
  <w:style w:type="paragraph" w:customStyle="1" w:styleId="Times120">
    <w:name w:val="Times 12"/>
    <w:basedOn w:val="Normal"/>
    <w:pPr>
      <w:tabs>
        <w:tab w:val="left" w:pos="360"/>
      </w:tabs>
      <w:spacing w:before="240"/>
      <w:ind w:right="720"/>
    </w:pPr>
    <w:rPr>
      <w:color w:val="0000FF"/>
    </w:rPr>
  </w:style>
  <w:style w:type="paragraph" w:customStyle="1" w:styleId="Timesseries">
    <w:name w:val="Times series"/>
    <w:basedOn w:val="Times"/>
    <w:pPr>
      <w:tabs>
        <w:tab w:val="left" w:pos="360"/>
      </w:tabs>
      <w:ind w:left="540" w:hanging="540"/>
    </w:pPr>
    <w:rPr>
      <w:rFonts w:ascii="Times" w:hAnsi="Times"/>
      <w:position w:val="0"/>
    </w:rPr>
  </w:style>
  <w:style w:type="paragraph" w:customStyle="1" w:styleId="Tasks">
    <w:name w:val="Tasks"/>
    <w:basedOn w:val="series"/>
    <w:pPr>
      <w:tabs>
        <w:tab w:val="clear" w:pos="270"/>
        <w:tab w:val="left" w:pos="180"/>
        <w:tab w:val="decimal" w:pos="360"/>
      </w:tabs>
    </w:pPr>
  </w:style>
  <w:style w:type="paragraph" w:customStyle="1" w:styleId="RRS">
    <w:name w:val="RRS"/>
    <w:basedOn w:val="Normal"/>
    <w:pPr>
      <w:jc w:val="both"/>
    </w:pPr>
    <w:rPr>
      <w:caps/>
      <w:color w:val="0000FF"/>
    </w:rPr>
  </w:style>
  <w:style w:type="paragraph" w:customStyle="1" w:styleId="RRSbody">
    <w:name w:val="RRSbody"/>
    <w:basedOn w:val="RRS"/>
    <w:pPr>
      <w:spacing w:before="240"/>
    </w:pPr>
    <w:rPr>
      <w:caps w:val="0"/>
    </w:rPr>
  </w:style>
  <w:style w:type="paragraph" w:customStyle="1" w:styleId="Interdept">
    <w:name w:val="Interdept"/>
    <w:basedOn w:val="Normal"/>
    <w:pPr>
      <w:tabs>
        <w:tab w:val="left" w:pos="1440"/>
      </w:tabs>
    </w:pPr>
    <w:rPr>
      <w:color w:val="0000FF"/>
    </w:rPr>
  </w:style>
  <w:style w:type="paragraph" w:customStyle="1" w:styleId="Paragraph">
    <w:name w:val="Paragraph"/>
    <w:basedOn w:val="Normal"/>
    <w:pPr>
      <w:spacing w:before="240"/>
      <w:ind w:firstLine="720"/>
    </w:pPr>
    <w:rPr>
      <w:color w:val="000000"/>
    </w:rPr>
  </w:style>
  <w:style w:type="paragraph" w:customStyle="1" w:styleId="Manuscript">
    <w:name w:val="Manuscript"/>
    <w:basedOn w:val="Normal"/>
    <w:pPr>
      <w:spacing w:line="480" w:lineRule="atLeast"/>
      <w:ind w:firstLine="720"/>
    </w:pPr>
    <w:rPr>
      <w:color w:val="000000"/>
    </w:rPr>
  </w:style>
  <w:style w:type="paragraph" w:customStyle="1" w:styleId="Heading">
    <w:name w:val="Heading"/>
    <w:basedOn w:val="Normal"/>
    <w:pPr>
      <w:spacing w:line="480" w:lineRule="atLeast"/>
    </w:pPr>
    <w:rPr>
      <w:color w:val="000000"/>
    </w:rPr>
  </w:style>
  <w:style w:type="paragraph" w:customStyle="1" w:styleId="hangindent">
    <w:name w:val="hang indent"/>
    <w:basedOn w:val="Normal"/>
    <w:pPr>
      <w:ind w:left="720" w:right="-720" w:hanging="720"/>
    </w:pPr>
    <w:rPr>
      <w:color w:val="000000"/>
    </w:rPr>
  </w:style>
  <w:style w:type="paragraph" w:customStyle="1" w:styleId="p15">
    <w:name w:val="p15"/>
    <w:basedOn w:val="Normal"/>
    <w:pPr>
      <w:widowControl w:val="0"/>
      <w:tabs>
        <w:tab w:val="left" w:pos="740"/>
      </w:tabs>
      <w:spacing w:line="520" w:lineRule="atLeast"/>
      <w:ind w:left="1440" w:firstLine="720"/>
      <w:jc w:val="both"/>
    </w:pPr>
  </w:style>
  <w:style w:type="paragraph" w:styleId="BodyTextIndent3">
    <w:name w:val="Body Text Indent 3"/>
    <w:basedOn w:val="Normal"/>
    <w:pPr>
      <w:ind w:left="360"/>
    </w:pPr>
    <w:rPr>
      <w:color w:val="000080"/>
    </w:rPr>
  </w:style>
  <w:style w:type="paragraph" w:styleId="BodyText2">
    <w:name w:val="Body Text 2"/>
    <w:basedOn w:val="Normal"/>
    <w:rPr>
      <w:color w:val="00008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lockText">
    <w:name w:val="Block Text"/>
    <w:basedOn w:val="Normal"/>
    <w:uiPriority w:val="99"/>
    <w:pPr>
      <w:ind w:left="360" w:right="90" w:hanging="360"/>
      <w:jc w:val="both"/>
    </w:pPr>
    <w:rPr>
      <w:color w:val="000080"/>
    </w:rPr>
  </w:style>
  <w:style w:type="paragraph" w:styleId="CommentText">
    <w:name w:val="annotation text"/>
    <w:basedOn w:val="Normal"/>
    <w:link w:val="CommentTextChar"/>
    <w:semiHidden/>
    <w:rPr>
      <w:sz w:val="20"/>
      <w:lang w:val="x-none" w:eastAsia="x-none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noProof/>
      <w:color w:val="0000FF"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="Times" w:hAnsi="Times"/>
      <w:b/>
      <w:bCs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BA7E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056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43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038">
                  <w:marLeft w:val="85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</vt:lpstr>
    </vt:vector>
  </TitlesOfParts>
  <Company>UT Health Science Center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</dc:title>
  <dc:subject/>
  <dc:creator>Yuji Ikeno</dc:creator>
  <cp:keywords/>
  <cp:lastModifiedBy>Flores, Lisa</cp:lastModifiedBy>
  <cp:revision>3</cp:revision>
  <cp:lastPrinted>2017-08-28T16:21:00Z</cp:lastPrinted>
  <dcterms:created xsi:type="dcterms:W3CDTF">2020-11-19T13:36:00Z</dcterms:created>
  <dcterms:modified xsi:type="dcterms:W3CDTF">2020-11-19T16:30:00Z</dcterms:modified>
</cp:coreProperties>
</file>