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DB58B" w14:textId="4B0B773D" w:rsidR="00470DA0" w:rsidRDefault="00470DA0" w:rsidP="003D6EB2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bookmarkStart w:id="0" w:name="_Hlk57634769"/>
      <w:r>
        <w:rPr>
          <w:rFonts w:ascii="Calibri" w:hAnsi="Calibri" w:cs="Calibri"/>
          <w:b/>
          <w:bCs/>
          <w:sz w:val="24"/>
          <w:szCs w:val="24"/>
        </w:rPr>
        <w:t>Model Profile</w:t>
      </w:r>
    </w:p>
    <w:p w14:paraId="48D68C92" w14:textId="77777777" w:rsidR="00470DA0" w:rsidRDefault="00470DA0" w:rsidP="003D6EB2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DE7B61D" w14:textId="776A6CA2" w:rsidR="00867D1E" w:rsidRPr="003D6EB2" w:rsidRDefault="00867D1E" w:rsidP="003D6EB2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D6EB2">
        <w:rPr>
          <w:rFonts w:ascii="Calibri" w:hAnsi="Calibri" w:cs="Calibri"/>
          <w:b/>
          <w:bCs/>
          <w:sz w:val="24"/>
          <w:szCs w:val="24"/>
        </w:rPr>
        <w:t xml:space="preserve">Neutrophil </w:t>
      </w:r>
      <w:r w:rsidR="00A37374">
        <w:rPr>
          <w:rFonts w:ascii="Calibri" w:hAnsi="Calibri" w:cs="Calibri"/>
          <w:b/>
          <w:bCs/>
          <w:sz w:val="24"/>
          <w:szCs w:val="24"/>
        </w:rPr>
        <w:t>r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esponse to </w:t>
      </w:r>
      <w:r w:rsidR="00A37374">
        <w:rPr>
          <w:rFonts w:ascii="Calibri" w:hAnsi="Calibri" w:cs="Calibri"/>
          <w:b/>
          <w:bCs/>
          <w:sz w:val="24"/>
          <w:szCs w:val="24"/>
        </w:rPr>
        <w:t>c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yclophosphamide </w:t>
      </w:r>
      <w:r w:rsidR="00A37374">
        <w:rPr>
          <w:rFonts w:ascii="Calibri" w:hAnsi="Calibri" w:cs="Calibri"/>
          <w:b/>
          <w:bCs/>
          <w:sz w:val="24"/>
          <w:szCs w:val="24"/>
        </w:rPr>
        <w:t>p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redicts </w:t>
      </w:r>
      <w:r w:rsidR="00A37374">
        <w:rPr>
          <w:rFonts w:ascii="Calibri" w:hAnsi="Calibri" w:cs="Calibri"/>
          <w:b/>
          <w:bCs/>
          <w:sz w:val="24"/>
          <w:szCs w:val="24"/>
        </w:rPr>
        <w:t>r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esilience to </w:t>
      </w:r>
      <w:r w:rsidR="00A37374">
        <w:rPr>
          <w:rFonts w:ascii="Calibri" w:hAnsi="Calibri" w:cs="Calibri"/>
          <w:b/>
          <w:bCs/>
          <w:sz w:val="24"/>
          <w:szCs w:val="24"/>
        </w:rPr>
        <w:t>a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ge-related </w:t>
      </w:r>
      <w:r w:rsidR="00A37374">
        <w:rPr>
          <w:rFonts w:ascii="Calibri" w:hAnsi="Calibri" w:cs="Calibri"/>
          <w:b/>
          <w:bCs/>
          <w:sz w:val="24"/>
          <w:szCs w:val="24"/>
        </w:rPr>
        <w:t>l</w:t>
      </w:r>
      <w:r w:rsidRPr="003D6EB2">
        <w:rPr>
          <w:rFonts w:ascii="Calibri" w:hAnsi="Calibri" w:cs="Calibri"/>
          <w:b/>
          <w:bCs/>
          <w:sz w:val="24"/>
          <w:szCs w:val="24"/>
        </w:rPr>
        <w:t xml:space="preserve">earning </w:t>
      </w:r>
      <w:r w:rsidR="00A37374">
        <w:rPr>
          <w:rFonts w:ascii="Calibri" w:hAnsi="Calibri" w:cs="Calibri"/>
          <w:b/>
          <w:bCs/>
          <w:sz w:val="24"/>
          <w:szCs w:val="24"/>
        </w:rPr>
        <w:t>i</w:t>
      </w:r>
      <w:r w:rsidRPr="003D6EB2">
        <w:rPr>
          <w:rFonts w:ascii="Calibri" w:hAnsi="Calibri" w:cs="Calibri"/>
          <w:b/>
          <w:bCs/>
          <w:sz w:val="24"/>
          <w:szCs w:val="24"/>
        </w:rPr>
        <w:t>mpairment</w:t>
      </w:r>
    </w:p>
    <w:p w14:paraId="7B42D5C1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9F32F92" w14:textId="02C36E57" w:rsidR="00867D1E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Katie</w:t>
      </w:r>
      <w:r w:rsidR="00470DA0">
        <w:rPr>
          <w:rFonts w:ascii="Calibri" w:hAnsi="Calibri" w:cs="Calibri"/>
          <w:sz w:val="24"/>
          <w:szCs w:val="24"/>
        </w:rPr>
        <w:t xml:space="preserve"> Nickel</w:t>
      </w:r>
      <w:r>
        <w:rPr>
          <w:rFonts w:ascii="Calibri" w:hAnsi="Calibri" w:cs="Calibri"/>
          <w:sz w:val="24"/>
          <w:szCs w:val="24"/>
        </w:rPr>
        <w:t xml:space="preserve">, </w:t>
      </w:r>
      <w:r w:rsidR="00867D1E" w:rsidRPr="003D6EB2">
        <w:rPr>
          <w:rFonts w:ascii="Calibri" w:hAnsi="Calibri" w:cs="Calibri"/>
          <w:sz w:val="24"/>
          <w:szCs w:val="24"/>
        </w:rPr>
        <w:t xml:space="preserve">Marianne Bjorner, </w:t>
      </w:r>
      <w:r w:rsidRPr="003D6EB2">
        <w:rPr>
          <w:rFonts w:ascii="Calibri" w:hAnsi="Calibri" w:cs="Calibri"/>
          <w:sz w:val="24"/>
          <w:szCs w:val="24"/>
        </w:rPr>
        <w:t>Warren Ladiges</w:t>
      </w:r>
      <w:r w:rsidRPr="003D6EB2">
        <w:rPr>
          <w:rFonts w:ascii="Calibri" w:hAnsi="Calibri" w:cs="Calibri"/>
          <w:sz w:val="24"/>
          <w:szCs w:val="24"/>
          <w:vertAlign w:val="superscript"/>
        </w:rPr>
        <w:t>*</w:t>
      </w:r>
      <w:r>
        <w:rPr>
          <w:rFonts w:ascii="Calibri" w:hAnsi="Calibri" w:cs="Calibri"/>
          <w:sz w:val="24"/>
          <w:szCs w:val="24"/>
        </w:rPr>
        <w:t xml:space="preserve">, </w:t>
      </w:r>
      <w:r w:rsidR="00867D1E" w:rsidRPr="003D6EB2">
        <w:rPr>
          <w:rFonts w:ascii="Calibri" w:hAnsi="Calibri" w:cs="Calibri"/>
          <w:sz w:val="24"/>
          <w:szCs w:val="24"/>
        </w:rPr>
        <w:t xml:space="preserve">Lida Zhu </w:t>
      </w:r>
    </w:p>
    <w:p w14:paraId="75B12F39" w14:textId="101151F1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Department of Conparative Medicine, School of Medicine, University of Washington, Seattle, WA 98195</w:t>
      </w:r>
    </w:p>
    <w:p w14:paraId="69B50EFA" w14:textId="77777777" w:rsidR="003D6EB2" w:rsidRDefault="003D6EB2" w:rsidP="003D6EB2">
      <w:pPr>
        <w:spacing w:before="0" w:after="0" w:line="240" w:lineRule="auto"/>
        <w:rPr>
          <w:b/>
          <w:bCs/>
          <w:color w:val="0070C0"/>
          <w:sz w:val="28"/>
          <w:szCs w:val="28"/>
        </w:rPr>
      </w:pPr>
    </w:p>
    <w:p w14:paraId="6AF3C916" w14:textId="77777777" w:rsidR="00855169" w:rsidRPr="00470DA0" w:rsidRDefault="00855169" w:rsidP="00855169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470DA0">
        <w:rPr>
          <w:rFonts w:ascii="Calibri" w:hAnsi="Calibri" w:cs="Calibri"/>
          <w:b/>
          <w:bCs/>
          <w:sz w:val="24"/>
          <w:szCs w:val="24"/>
        </w:rPr>
        <w:t>*Corresponding author:</w:t>
      </w:r>
      <w:r w:rsidRPr="00470DA0">
        <w:rPr>
          <w:rFonts w:ascii="Calibri" w:hAnsi="Calibri" w:cs="Calibri"/>
          <w:sz w:val="24"/>
          <w:szCs w:val="24"/>
        </w:rPr>
        <w:t xml:space="preserve"> W Ladiges, wladiges@uw.edu  </w:t>
      </w:r>
    </w:p>
    <w:p w14:paraId="6124F533" w14:textId="4A7F10A1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5B3719A1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2"/>
          <w:szCs w:val="22"/>
        </w:rPr>
      </w:pPr>
    </w:p>
    <w:p w14:paraId="6BB16944" w14:textId="514F9BA0" w:rsidR="003D6EB2" w:rsidRPr="00470DA0" w:rsidRDefault="003D6EB2" w:rsidP="003D6EB2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470DA0">
        <w:rPr>
          <w:rFonts w:ascii="Calibri" w:hAnsi="Calibri" w:cs="Calibri"/>
          <w:b/>
          <w:bCs/>
          <w:sz w:val="24"/>
          <w:szCs w:val="24"/>
        </w:rPr>
        <w:t>Abstract</w:t>
      </w:r>
    </w:p>
    <w:p w14:paraId="761218B2" w14:textId="77777777" w:rsidR="003D6EB2" w:rsidRPr="00470DA0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1DF9027" w14:textId="0C00A6AF" w:rsidR="003D6EB2" w:rsidRPr="00470DA0" w:rsidRDefault="00A37374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470DA0">
        <w:rPr>
          <w:rFonts w:ascii="Calibri" w:hAnsi="Calibri" w:cs="Calibri"/>
          <w:sz w:val="24"/>
          <w:szCs w:val="24"/>
        </w:rPr>
        <w:t>The a</w:t>
      </w:r>
      <w:r w:rsidR="003D6EB2" w:rsidRPr="00470DA0">
        <w:rPr>
          <w:rFonts w:ascii="Calibri" w:hAnsi="Calibri" w:cs="Calibri"/>
          <w:sz w:val="24"/>
          <w:szCs w:val="24"/>
        </w:rPr>
        <w:t xml:space="preserve">bility to respond to stress, defined as resilience, was measured by white blood cell counts in C57BL/6 mice </w:t>
      </w:r>
      <w:r w:rsidRPr="00470DA0">
        <w:rPr>
          <w:rFonts w:ascii="Calibri" w:hAnsi="Calibri" w:cs="Calibri"/>
          <w:sz w:val="24"/>
          <w:szCs w:val="24"/>
        </w:rPr>
        <w:t xml:space="preserve">of various ages </w:t>
      </w:r>
      <w:r w:rsidR="003D6EB2" w:rsidRPr="00470DA0">
        <w:rPr>
          <w:rFonts w:ascii="Calibri" w:hAnsi="Calibri" w:cs="Calibri"/>
          <w:sz w:val="24"/>
          <w:szCs w:val="24"/>
        </w:rPr>
        <w:t>receiving a nonlethal dose of cyclophosphamide (CYP). Neutrophil counts dipped and then rebounded in a consistent and age-dependent manner. Low neutrophil rebound correlated with improved learning in middle age mice suggesting CYP-induced neutrophil response may predict resilience to aging.</w:t>
      </w:r>
    </w:p>
    <w:p w14:paraId="537CB0DC" w14:textId="77777777" w:rsidR="003D6EB2" w:rsidRPr="00470DA0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6E7BEFB" w14:textId="77777777" w:rsidR="00855169" w:rsidRDefault="00855169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0DEC699" w14:textId="25764FFF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A37374">
        <w:rPr>
          <w:rFonts w:ascii="Calibri" w:hAnsi="Calibri" w:cs="Calibri"/>
          <w:b/>
          <w:bCs/>
          <w:sz w:val="24"/>
          <w:szCs w:val="24"/>
        </w:rPr>
        <w:t>Key words:</w:t>
      </w:r>
      <w:r>
        <w:rPr>
          <w:rFonts w:ascii="Calibri" w:hAnsi="Calibri" w:cs="Calibri"/>
          <w:sz w:val="24"/>
          <w:szCs w:val="24"/>
        </w:rPr>
        <w:t xml:space="preserve"> </w:t>
      </w:r>
      <w:r w:rsidR="00A37374">
        <w:rPr>
          <w:rFonts w:ascii="Calibri" w:hAnsi="Calibri" w:cs="Calibri"/>
          <w:sz w:val="24"/>
          <w:szCs w:val="24"/>
        </w:rPr>
        <w:t>Preclinical model of resilience to aging, Neutrophil rebound response, Aging mice, Cyclophosphamide</w:t>
      </w:r>
      <w:r w:rsidR="001C0FC3">
        <w:rPr>
          <w:rFonts w:ascii="Calibri" w:hAnsi="Calibri" w:cs="Calibri"/>
          <w:sz w:val="24"/>
          <w:szCs w:val="24"/>
        </w:rPr>
        <w:t>, Age-related learning impairment</w:t>
      </w:r>
    </w:p>
    <w:p w14:paraId="08BD9666" w14:textId="6C3F8AF0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bookmarkEnd w:id="0"/>
    <w:p w14:paraId="5CC208C1" w14:textId="1AD6BFCA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B885C89" w14:textId="7952B76D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553D19F" w14:textId="2B9DB8E0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5CCA2371" w14:textId="51BE9D7C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8AC8C6B" w14:textId="2E93ADB4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27B9B25" w14:textId="0AFBC298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7650746" w14:textId="77777777" w:rsidR="003D6EB2" w:rsidRP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F4E2DB0" w14:textId="759F8BC2" w:rsidR="009B6EBB" w:rsidRPr="003D6EB2" w:rsidRDefault="009B6EBB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04C18492" w14:textId="77777777" w:rsidR="0085718F" w:rsidRPr="003D6EB2" w:rsidRDefault="0085718F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5BACB3D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B3C2BC3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74F7D78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3FAEF89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0C977D2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60A1281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1F0E758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EB80C0D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B7D251E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B74A2D0" w14:textId="77777777" w:rsidR="003D6EB2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4E049FA" w14:textId="69D0D02C" w:rsidR="00867D1E" w:rsidRPr="003D6EB2" w:rsidRDefault="00867D1E" w:rsidP="003D6EB2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bookmarkStart w:id="1" w:name="_Hlk57634830"/>
      <w:r w:rsidRPr="003D6EB2">
        <w:rPr>
          <w:rFonts w:ascii="Calibri" w:hAnsi="Calibri" w:cs="Calibri"/>
          <w:sz w:val="24"/>
          <w:szCs w:val="24"/>
        </w:rPr>
        <w:lastRenderedPageBreak/>
        <w:t>Resilience is the ability to respond and recover from stressors which disrupt homeostasis</w:t>
      </w:r>
      <w:r w:rsidR="001C0FC3">
        <w:rPr>
          <w:rFonts w:ascii="Calibri" w:hAnsi="Calibri" w:cs="Calibri"/>
          <w:sz w:val="24"/>
          <w:szCs w:val="24"/>
        </w:rPr>
        <w:t xml:space="preserve"> [1]</w:t>
      </w:r>
      <w:r w:rsidRPr="003D6EB2">
        <w:rPr>
          <w:rFonts w:ascii="Calibri" w:hAnsi="Calibri" w:cs="Calibri"/>
          <w:sz w:val="24"/>
          <w:szCs w:val="24"/>
        </w:rPr>
        <w:t>.</w:t>
      </w:r>
      <w:r w:rsidR="00A65C02" w:rsidRPr="003D6EB2">
        <w:rPr>
          <w:rFonts w:ascii="Calibri" w:hAnsi="Calibri" w:cs="Calibri"/>
          <w:sz w:val="24"/>
          <w:szCs w:val="24"/>
        </w:rPr>
        <w:t xml:space="preserve"> </w:t>
      </w:r>
      <w:r w:rsidRPr="003D6EB2">
        <w:rPr>
          <w:rFonts w:ascii="Calibri" w:hAnsi="Calibri" w:cs="Calibri"/>
          <w:sz w:val="24"/>
          <w:szCs w:val="24"/>
        </w:rPr>
        <w:t>Cyclophosphamide (CYP) is a chemotherapeutic drug that halts cell cycling of precursor neutrophils, which decreases the number of mature neutrophils until the drug is eliminated from body</w:t>
      </w:r>
      <w:r w:rsidR="001C0FC3">
        <w:rPr>
          <w:rFonts w:ascii="Calibri" w:hAnsi="Calibri" w:cs="Calibri"/>
          <w:sz w:val="24"/>
          <w:szCs w:val="24"/>
        </w:rPr>
        <w:t xml:space="preserve"> [2]</w:t>
      </w:r>
      <w:r w:rsidRPr="003D6EB2">
        <w:rPr>
          <w:rFonts w:ascii="Calibri" w:hAnsi="Calibri" w:cs="Calibri"/>
          <w:sz w:val="24"/>
          <w:szCs w:val="24"/>
        </w:rPr>
        <w:t>.</w:t>
      </w:r>
      <w:r w:rsidR="00A65C02" w:rsidRPr="003D6EB2">
        <w:rPr>
          <w:rFonts w:ascii="Calibri" w:hAnsi="Calibri" w:cs="Calibri"/>
          <w:sz w:val="24"/>
          <w:szCs w:val="24"/>
        </w:rPr>
        <w:t xml:space="preserve"> </w:t>
      </w:r>
      <w:r w:rsidRPr="003D6EB2">
        <w:rPr>
          <w:rFonts w:ascii="Calibri" w:hAnsi="Calibri" w:cs="Calibri"/>
          <w:sz w:val="24"/>
          <w:szCs w:val="24"/>
        </w:rPr>
        <w:t>In th</w:t>
      </w:r>
      <w:r w:rsidR="00826FF1">
        <w:rPr>
          <w:rFonts w:ascii="Calibri" w:hAnsi="Calibri" w:cs="Calibri"/>
          <w:sz w:val="24"/>
          <w:szCs w:val="24"/>
        </w:rPr>
        <w:t>e mod</w:t>
      </w:r>
      <w:r w:rsidR="00C77B4A">
        <w:rPr>
          <w:rFonts w:ascii="Calibri" w:hAnsi="Calibri" w:cs="Calibri"/>
          <w:sz w:val="24"/>
          <w:szCs w:val="24"/>
        </w:rPr>
        <w:t>el</w:t>
      </w:r>
      <w:r w:rsidR="00826FF1">
        <w:rPr>
          <w:rFonts w:ascii="Calibri" w:hAnsi="Calibri" w:cs="Calibri"/>
          <w:sz w:val="24"/>
          <w:szCs w:val="24"/>
        </w:rPr>
        <w:t xml:space="preserve"> described in this report</w:t>
      </w:r>
      <w:r w:rsidRPr="003D6EB2">
        <w:rPr>
          <w:rFonts w:ascii="Calibri" w:hAnsi="Calibri" w:cs="Calibri"/>
          <w:sz w:val="24"/>
          <w:szCs w:val="24"/>
        </w:rPr>
        <w:t>, CYP was used as a stressor, where the resilience of mice to respond to one dose was quantified by changes in circulating neutrophil percentages</w:t>
      </w:r>
      <w:r w:rsidR="00A65C02" w:rsidRPr="003D6EB2">
        <w:rPr>
          <w:rFonts w:ascii="Calibri" w:hAnsi="Calibri" w:cs="Calibri"/>
          <w:sz w:val="24"/>
          <w:szCs w:val="24"/>
        </w:rPr>
        <w:t xml:space="preserve"> </w:t>
      </w:r>
      <w:r w:rsidRPr="003D6EB2">
        <w:rPr>
          <w:rFonts w:ascii="Calibri" w:hAnsi="Calibri" w:cs="Calibri"/>
          <w:sz w:val="24"/>
          <w:szCs w:val="24"/>
        </w:rPr>
        <w:t xml:space="preserve">and compared to the aging parameter of </w:t>
      </w:r>
      <w:r w:rsidR="00826FF1">
        <w:rPr>
          <w:rFonts w:ascii="Calibri" w:hAnsi="Calibri" w:cs="Calibri"/>
          <w:sz w:val="24"/>
          <w:szCs w:val="24"/>
        </w:rPr>
        <w:t>cognitive impairment</w:t>
      </w:r>
      <w:r w:rsidR="002A1287" w:rsidRPr="003D6EB2">
        <w:rPr>
          <w:rFonts w:ascii="Calibri" w:hAnsi="Calibri" w:cs="Calibri"/>
          <w:sz w:val="24"/>
          <w:szCs w:val="24"/>
        </w:rPr>
        <w:t>.</w:t>
      </w:r>
      <w:r w:rsidR="009B5A67" w:rsidRPr="003D6EB2">
        <w:rPr>
          <w:rFonts w:ascii="Calibri" w:hAnsi="Calibri" w:cs="Calibri"/>
          <w:noProof/>
          <w:sz w:val="24"/>
          <w:szCs w:val="24"/>
        </w:rPr>
        <w:t xml:space="preserve"> </w:t>
      </w:r>
    </w:p>
    <w:p w14:paraId="63343878" w14:textId="15282D8B" w:rsidR="000C059E" w:rsidRPr="003D6EB2" w:rsidRDefault="000C059E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AF1C2A0" w14:textId="388CE8E2" w:rsidR="00195793" w:rsidRPr="003D6EB2" w:rsidRDefault="00C53447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E9E5417" wp14:editId="5657E875">
                <wp:simplePos x="0" y="0"/>
                <wp:positionH relativeFrom="column">
                  <wp:posOffset>6499650</wp:posOffset>
                </wp:positionH>
                <wp:positionV relativeFrom="paragraph">
                  <wp:posOffset>468300</wp:posOffset>
                </wp:positionV>
                <wp:extent cx="360" cy="360"/>
                <wp:effectExtent l="38100" t="38100" r="38100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07DF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511.45pt;margin-top:36.5pt;width:.7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">
                <v:imagedata r:id="rId9" o:title=""/>
              </v:shape>
            </w:pict>
          </mc:Fallback>
        </mc:AlternateContent>
      </w: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23963EE" wp14:editId="406B2D33">
                <wp:simplePos x="0" y="0"/>
                <wp:positionH relativeFrom="column">
                  <wp:posOffset>6499650</wp:posOffset>
                </wp:positionH>
                <wp:positionV relativeFrom="paragraph">
                  <wp:posOffset>468300</wp:posOffset>
                </wp:positionV>
                <wp:extent cx="360" cy="360"/>
                <wp:effectExtent l="38100" t="38100" r="3810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D34F" id="Ink 11" o:spid="_x0000_s1026" type="#_x0000_t75" style="position:absolute;margin-left:511.45pt;margin-top:36.5pt;width: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">
                <v:imagedata r:id="rId13" o:title=""/>
              </v:shape>
            </w:pict>
          </mc:Fallback>
        </mc:AlternateContent>
      </w:r>
      <w:r w:rsidR="00A65C02" w:rsidRPr="003D6EB2">
        <w:rPr>
          <w:rFonts w:ascii="Calibri" w:hAnsi="Calibri" w:cs="Calibri"/>
          <w:sz w:val="24"/>
          <w:szCs w:val="24"/>
        </w:rPr>
        <w:t>C57Bl/6 male mice aged 4, 12, 17, and 28 months old were injected with 100mg/kg CYP intraperitoneally.  Control groups</w:t>
      </w:r>
      <w:r w:rsidR="007821AE" w:rsidRPr="003D6EB2">
        <w:rPr>
          <w:rFonts w:ascii="Calibri" w:hAnsi="Calibri" w:cs="Calibri"/>
          <w:sz w:val="24"/>
          <w:szCs w:val="24"/>
        </w:rPr>
        <w:t xml:space="preserve"> were</w:t>
      </w:r>
      <w:r w:rsidR="00A65C02" w:rsidRPr="003D6EB2">
        <w:rPr>
          <w:rFonts w:ascii="Calibri" w:hAnsi="Calibri" w:cs="Calibri"/>
          <w:sz w:val="24"/>
          <w:szCs w:val="24"/>
        </w:rPr>
        <w:t xml:space="preserve"> injected with 0.9% saline.  A drop of tail blood was collected periodically after injection and white blood cells </w:t>
      </w:r>
      <w:r w:rsidR="002A1287" w:rsidRPr="003D6EB2">
        <w:rPr>
          <w:rFonts w:ascii="Calibri" w:hAnsi="Calibri" w:cs="Calibri"/>
          <w:sz w:val="24"/>
          <w:szCs w:val="24"/>
        </w:rPr>
        <w:t xml:space="preserve">were </w:t>
      </w:r>
      <w:r w:rsidR="00A65C02" w:rsidRPr="003D6EB2">
        <w:rPr>
          <w:rFonts w:ascii="Calibri" w:hAnsi="Calibri" w:cs="Calibri"/>
          <w:sz w:val="24"/>
          <w:szCs w:val="24"/>
        </w:rPr>
        <w:t>counted (Figure 1)</w:t>
      </w:r>
      <w:r w:rsidR="002A1287" w:rsidRPr="003D6EB2">
        <w:rPr>
          <w:rFonts w:ascii="Calibri" w:hAnsi="Calibri" w:cs="Calibri"/>
          <w:sz w:val="24"/>
          <w:szCs w:val="24"/>
        </w:rPr>
        <w:t>. A</w:t>
      </w:r>
      <w:r w:rsidR="00A65C02" w:rsidRPr="003D6EB2">
        <w:rPr>
          <w:rFonts w:ascii="Calibri" w:hAnsi="Calibri" w:cs="Calibri"/>
          <w:sz w:val="24"/>
          <w:szCs w:val="24"/>
        </w:rPr>
        <w:t xml:space="preserve"> </w:t>
      </w:r>
      <w:r w:rsidR="001C0FC3">
        <w:rPr>
          <w:rFonts w:ascii="Calibri" w:hAnsi="Calibri" w:cs="Calibri"/>
          <w:sz w:val="24"/>
          <w:szCs w:val="24"/>
        </w:rPr>
        <w:t>spatial navigation task (</w:t>
      </w:r>
      <w:r w:rsidR="00A65C02" w:rsidRPr="003D6EB2">
        <w:rPr>
          <w:rFonts w:ascii="Calibri" w:hAnsi="Calibri" w:cs="Calibri"/>
          <w:sz w:val="24"/>
          <w:szCs w:val="24"/>
        </w:rPr>
        <w:t>Box Maze</w:t>
      </w:r>
      <w:r w:rsidR="001C0FC3">
        <w:rPr>
          <w:rFonts w:ascii="Calibri" w:hAnsi="Calibri" w:cs="Calibri"/>
          <w:sz w:val="24"/>
          <w:szCs w:val="24"/>
        </w:rPr>
        <w:t>)</w:t>
      </w:r>
      <w:r w:rsidR="00A65C02" w:rsidRPr="003D6EB2">
        <w:rPr>
          <w:rFonts w:ascii="Calibri" w:hAnsi="Calibri" w:cs="Calibri"/>
          <w:sz w:val="24"/>
          <w:szCs w:val="24"/>
        </w:rPr>
        <w:t xml:space="preserve"> was used to assess lear</w:t>
      </w:r>
      <w:r w:rsidR="00182BC9" w:rsidRPr="003D6EB2">
        <w:rPr>
          <w:rFonts w:ascii="Calibri" w:hAnsi="Calibri" w:cs="Calibri"/>
          <w:sz w:val="24"/>
          <w:szCs w:val="24"/>
        </w:rPr>
        <w:t>ni</w:t>
      </w:r>
      <w:r w:rsidR="00A65C02" w:rsidRPr="003D6EB2">
        <w:rPr>
          <w:rFonts w:ascii="Calibri" w:hAnsi="Calibri" w:cs="Calibri"/>
          <w:sz w:val="24"/>
          <w:szCs w:val="24"/>
        </w:rPr>
        <w:t>ng ability</w:t>
      </w:r>
      <w:r w:rsidR="001C0FC3">
        <w:rPr>
          <w:rFonts w:ascii="Calibri" w:hAnsi="Calibri" w:cs="Calibri"/>
          <w:sz w:val="24"/>
          <w:szCs w:val="24"/>
        </w:rPr>
        <w:t xml:space="preserve"> [3]</w:t>
      </w:r>
      <w:r w:rsidR="00A65C02" w:rsidRPr="003D6EB2">
        <w:rPr>
          <w:rFonts w:ascii="Calibri" w:hAnsi="Calibri" w:cs="Calibri"/>
          <w:sz w:val="24"/>
          <w:szCs w:val="24"/>
        </w:rPr>
        <w:t xml:space="preserve"> (Figure 2).  </w:t>
      </w:r>
      <w:r w:rsidR="00826FF1">
        <w:rPr>
          <w:rFonts w:ascii="Calibri" w:hAnsi="Calibri" w:cs="Calibri"/>
          <w:sz w:val="24"/>
          <w:szCs w:val="24"/>
        </w:rPr>
        <w:t>Cohorts</w:t>
      </w:r>
      <w:r w:rsidR="00A65C02" w:rsidRPr="003D6EB2">
        <w:rPr>
          <w:rFonts w:ascii="Calibri" w:hAnsi="Calibri" w:cs="Calibri"/>
          <w:sz w:val="24"/>
          <w:szCs w:val="24"/>
        </w:rPr>
        <w:t xml:space="preserve"> of 8-10 mice </w:t>
      </w:r>
      <w:r w:rsidR="00826FF1">
        <w:rPr>
          <w:rFonts w:ascii="Calibri" w:hAnsi="Calibri" w:cs="Calibri"/>
          <w:sz w:val="24"/>
          <w:szCs w:val="24"/>
        </w:rPr>
        <w:t xml:space="preserve">per age group </w:t>
      </w:r>
      <w:r w:rsidR="00A65C02" w:rsidRPr="003D6EB2">
        <w:rPr>
          <w:rFonts w:ascii="Calibri" w:hAnsi="Calibri" w:cs="Calibri"/>
          <w:sz w:val="24"/>
          <w:szCs w:val="24"/>
        </w:rPr>
        <w:t>w</w:t>
      </w:r>
      <w:r w:rsidR="00826FF1">
        <w:rPr>
          <w:rFonts w:ascii="Calibri" w:hAnsi="Calibri" w:cs="Calibri"/>
          <w:sz w:val="24"/>
          <w:szCs w:val="24"/>
        </w:rPr>
        <w:t>ere</w:t>
      </w:r>
      <w:r w:rsidR="00A65C02" w:rsidRPr="003D6EB2">
        <w:rPr>
          <w:rFonts w:ascii="Calibri" w:hAnsi="Calibri" w:cs="Calibri"/>
          <w:sz w:val="24"/>
          <w:szCs w:val="24"/>
        </w:rPr>
        <w:t xml:space="preserve"> used</w:t>
      </w:r>
      <w:r w:rsidR="00F05ED4" w:rsidRPr="003D6EB2">
        <w:rPr>
          <w:rFonts w:ascii="Calibri" w:hAnsi="Calibri" w:cs="Calibri"/>
          <w:sz w:val="24"/>
          <w:szCs w:val="24"/>
        </w:rPr>
        <w:t>.</w:t>
      </w:r>
    </w:p>
    <w:p w14:paraId="42A6F7C9" w14:textId="77777777" w:rsidR="00E5212A" w:rsidRDefault="00E5212A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4595287" w14:textId="2BD91929" w:rsidR="001526D6" w:rsidRPr="003D6EB2" w:rsidRDefault="001526D6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  <w:sectPr w:rsidR="001526D6" w:rsidRPr="003D6EB2" w:rsidSect="008F7517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FD4B7F" w14:textId="5FF3ED07" w:rsidR="00FB6815" w:rsidRPr="003D6EB2" w:rsidRDefault="001526D6" w:rsidP="003D6EB2">
      <w:pPr>
        <w:spacing w:before="0" w:after="0" w:line="240" w:lineRule="auto"/>
        <w:jc w:val="both"/>
        <w:rPr>
          <w:rFonts w:ascii="Calibri" w:hAnsi="Calibri" w:cs="Calibri"/>
          <w:sz w:val="24"/>
          <w:szCs w:val="24"/>
        </w:rPr>
        <w:sectPr w:rsidR="00FB6815" w:rsidRPr="003D6EB2" w:rsidSect="001D4E2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911588" wp14:editId="29210991">
                <wp:simplePos x="0" y="0"/>
                <wp:positionH relativeFrom="margin">
                  <wp:posOffset>1136900</wp:posOffset>
                </wp:positionH>
                <wp:positionV relativeFrom="paragraph">
                  <wp:posOffset>16364</wp:posOffset>
                </wp:positionV>
                <wp:extent cx="3171825" cy="2545715"/>
                <wp:effectExtent l="0" t="0" r="28575" b="2603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545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3CB0B1" w14:textId="77777777" w:rsidR="009B5A67" w:rsidRDefault="009B5A67" w:rsidP="009B5A67">
                            <w:r w:rsidRPr="00FB6815">
                              <w:rPr>
                                <w:noProof/>
                                <w14:textOutline w14:w="1270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B537F32" wp14:editId="3CE9EC21">
                                  <wp:extent cx="2975081" cy="2345064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661" cy="2449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1158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9.5pt;margin-top:1.3pt;width:249.75pt;height:200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" fillcolor="window" strokecolor="black [3213]">
                <v:textbox>
                  <w:txbxContent>
                    <w:p w14:paraId="783CB0B1" w14:textId="77777777" w:rsidR="009B5A67" w:rsidRDefault="009B5A67" w:rsidP="009B5A67">
                      <w:r w:rsidRPr="00FB6815">
                        <w:rPr>
                          <w:noProof/>
                          <w14:textOutline w14:w="1270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B537F32" wp14:editId="3CE9EC21">
                            <wp:extent cx="2975081" cy="2345064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7661" cy="2449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7C00A9" w14:textId="6FF332E2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7E6A720" w14:textId="056B2F79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42B4F612" w14:textId="21E17490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4187450F" w14:textId="626DA783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7808DAB8" w14:textId="42219406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692A95A5" w14:textId="7CB43C42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A1E824D" w14:textId="7D65E17E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7A5265D" w14:textId="287A0E91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65FB8075" w14:textId="091EE72B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BD18BA9" w14:textId="3F1FE8E6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0390826B" w14:textId="6CDA1CCA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59466F7" w14:textId="0EA70576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1F10C401" w14:textId="10EAD5A7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3D408E44" w14:textId="77777777" w:rsidR="001526D6" w:rsidRDefault="001526D6" w:rsidP="003D6EB2">
      <w:pPr>
        <w:spacing w:before="0" w:after="0" w:line="240" w:lineRule="auto"/>
        <w:rPr>
          <w:rFonts w:ascii="Calibri" w:hAnsi="Calibri" w:cs="Calibri"/>
          <w:b/>
          <w:bCs/>
          <w:noProof/>
          <w:sz w:val="22"/>
          <w:szCs w:val="22"/>
        </w:rPr>
      </w:pPr>
    </w:p>
    <w:p w14:paraId="5B611AF2" w14:textId="1A7CB536" w:rsidR="003D6EB2" w:rsidRPr="009D7F85" w:rsidRDefault="00B73BCE" w:rsidP="003D6EB2">
      <w:pPr>
        <w:spacing w:before="0" w:after="0" w:line="240" w:lineRule="auto"/>
        <w:rPr>
          <w:rFonts w:ascii="Calibri" w:hAnsi="Calibri" w:cs="Calibri"/>
          <w:b/>
          <w:bCs/>
          <w:sz w:val="22"/>
          <w:szCs w:val="22"/>
        </w:rPr>
      </w:pPr>
      <w:r w:rsidRPr="00C1142C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C38E" wp14:editId="4E88AAB1">
                <wp:simplePos x="0" y="0"/>
                <wp:positionH relativeFrom="margin">
                  <wp:posOffset>1351280</wp:posOffset>
                </wp:positionH>
                <wp:positionV relativeFrom="paragraph">
                  <wp:posOffset>495935</wp:posOffset>
                </wp:positionV>
                <wp:extent cx="2917825" cy="1710055"/>
                <wp:effectExtent l="0" t="0" r="15875" b="2349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71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25CBAB" w14:textId="77777777" w:rsidR="003D595F" w:rsidRPr="009B5A67" w:rsidRDefault="003D595F" w:rsidP="003D595F">
                            <w:pPr>
                              <w:rPr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A67">
                              <w:rPr>
                                <w:noProof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8033D15" wp14:editId="45F7DB8C">
                                  <wp:extent cx="2720140" cy="1443789"/>
                                  <wp:effectExtent l="0" t="0" r="4445" b="444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5385" cy="153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C38E" id="Text Box 6" o:spid="_x0000_s1027" type="#_x0000_t202" style="position:absolute;margin-left:106.4pt;margin-top:39.05pt;width:229.75pt;height:134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" fillcolor="window" strokecolor="black [3213]">
                <v:textbox>
                  <w:txbxContent>
                    <w:p w14:paraId="3F25CBAB" w14:textId="77777777" w:rsidR="003D595F" w:rsidRPr="009B5A67" w:rsidRDefault="003D595F" w:rsidP="003D595F">
                      <w:pPr>
                        <w:rPr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A67">
                        <w:rPr>
                          <w:noProof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8033D15" wp14:editId="45F7DB8C">
                            <wp:extent cx="2720140" cy="1443789"/>
                            <wp:effectExtent l="0" t="0" r="4445" b="444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5385" cy="1531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142C">
        <w:rPr>
          <w:rFonts w:ascii="Calibri" w:hAnsi="Calibri" w:cs="Calibri"/>
          <w:b/>
          <w:bCs/>
          <w:noProof/>
          <w:sz w:val="22"/>
          <w:szCs w:val="22"/>
        </w:rPr>
        <w:t>Figure 1.</w:t>
      </w:r>
      <w:r w:rsidRPr="00C1142C">
        <w:rPr>
          <w:rFonts w:ascii="Calibri" w:hAnsi="Calibri" w:cs="Calibri"/>
          <w:noProof/>
          <w:sz w:val="22"/>
          <w:szCs w:val="22"/>
        </w:rPr>
        <w:t xml:space="preserve"> </w:t>
      </w:r>
      <w:r w:rsidRPr="009D7F85">
        <w:rPr>
          <w:rFonts w:ascii="Calibri" w:hAnsi="Calibri" w:cs="Calibri"/>
          <w:b/>
          <w:bCs/>
          <w:noProof/>
          <w:sz w:val="22"/>
          <w:szCs w:val="22"/>
        </w:rPr>
        <w:t xml:space="preserve">Timeline of experiment and description of the white blood cell counting procedure </w:t>
      </w:r>
    </w:p>
    <w:p w14:paraId="1B2EF741" w14:textId="170D8E12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1649283C" w14:textId="34CE113B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0584751B" w14:textId="603396A0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5430617D" w14:textId="7692740A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5BF0DD4F" w14:textId="1085A159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08373E7E" w14:textId="17E47464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3158076" w14:textId="6C144E82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63841677" w14:textId="13AD527B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181BEF6F" w14:textId="5011B992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D9994BC" w14:textId="1474D68A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6C0028E" w14:textId="5949D9D0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2F3DE8F7" w14:textId="6F8452A3" w:rsidR="003D6EB2" w:rsidRDefault="003D6EB2" w:rsidP="003D6EB2">
      <w:pPr>
        <w:spacing w:before="0" w:after="0" w:line="240" w:lineRule="auto"/>
        <w:rPr>
          <w:rFonts w:ascii="Calibri" w:hAnsi="Calibri" w:cs="Calibri"/>
          <w:b/>
          <w:bCs/>
          <w:color w:val="0070C0"/>
          <w:sz w:val="24"/>
          <w:szCs w:val="24"/>
        </w:rPr>
      </w:pPr>
    </w:p>
    <w:p w14:paraId="4780DD3F" w14:textId="34E62AC7" w:rsidR="003D6EB2" w:rsidRPr="00C1142C" w:rsidRDefault="00C1142C" w:rsidP="003D6EB2">
      <w:pPr>
        <w:spacing w:before="0" w:after="0" w:line="240" w:lineRule="auto"/>
        <w:rPr>
          <w:rFonts w:ascii="Calibri" w:hAnsi="Calibri" w:cs="Calibri"/>
          <w:sz w:val="22"/>
          <w:szCs w:val="22"/>
        </w:rPr>
      </w:pPr>
      <w:r w:rsidRPr="009D7F85">
        <w:rPr>
          <w:rFonts w:ascii="Calibri" w:hAnsi="Calibri" w:cs="Calibri"/>
          <w:b/>
          <w:bCs/>
          <w:sz w:val="22"/>
          <w:szCs w:val="22"/>
        </w:rPr>
        <w:t>Figure 2. Spatial navigation task designated as the Box maze.</w:t>
      </w:r>
      <w:r w:rsidRPr="00C1142C">
        <w:rPr>
          <w:rFonts w:ascii="Calibri" w:hAnsi="Calibri" w:cs="Calibri"/>
          <w:sz w:val="22"/>
          <w:szCs w:val="22"/>
        </w:rPr>
        <w:t xml:space="preserve"> Five 2-minute trials were conducted per mouse, noting time to reach an open escape hole.</w:t>
      </w:r>
    </w:p>
    <w:p w14:paraId="6960B196" w14:textId="77777777" w:rsidR="003D6EB2" w:rsidRPr="00C1142C" w:rsidRDefault="003D6EB2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1958DDBB" w14:textId="1216DB10" w:rsidR="003D595F" w:rsidRPr="003D6EB2" w:rsidRDefault="009F738A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3D6EB2">
        <w:rPr>
          <w:rFonts w:ascii="Calibri" w:hAnsi="Calibri" w:cs="Calibri"/>
          <w:sz w:val="24"/>
          <w:szCs w:val="24"/>
        </w:rPr>
        <w:lastRenderedPageBreak/>
        <w:t xml:space="preserve">The neutrophil percentages followed a predictable pattern across age groups: an initial increase after injection, then a decrease reaching a nadir at day 5, and </w:t>
      </w:r>
      <w:r w:rsidR="00C438AA" w:rsidRPr="003D6EB2">
        <w:rPr>
          <w:rFonts w:ascii="Calibri" w:hAnsi="Calibri" w:cs="Calibri"/>
          <w:sz w:val="24"/>
          <w:szCs w:val="24"/>
        </w:rPr>
        <w:t xml:space="preserve">a </w:t>
      </w:r>
      <w:r w:rsidRPr="003D6EB2">
        <w:rPr>
          <w:rFonts w:ascii="Calibri" w:hAnsi="Calibri" w:cs="Calibri"/>
          <w:sz w:val="24"/>
          <w:szCs w:val="24"/>
        </w:rPr>
        <w:t>rebound at day 7 (Figures 3A, 3B, 3C, and 3D).  The degree to which neutrophil percentages changed was dependent upon age; in particular, the strength of the neutrophil percentage rebound from day 5 to day 7 decreased with increasing age (Figure 4A).  Neutrophil rebound negatively correlated with escape speed from a box maze, a learning paradigm where higher speeds are associated with resilience to age-related cognitive decline (Figure 4B).</w:t>
      </w:r>
    </w:p>
    <w:p w14:paraId="2FE2C709" w14:textId="33603842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6C54C61" w14:textId="7F092D37" w:rsidR="009B5A67" w:rsidRPr="003D6EB2" w:rsidRDefault="001526D6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1D5FE" wp14:editId="508DF7CA">
                <wp:simplePos x="0" y="0"/>
                <wp:positionH relativeFrom="column">
                  <wp:posOffset>1272540</wp:posOffset>
                </wp:positionH>
                <wp:positionV relativeFrom="paragraph">
                  <wp:posOffset>11430</wp:posOffset>
                </wp:positionV>
                <wp:extent cx="3132455" cy="2821940"/>
                <wp:effectExtent l="0" t="0" r="10795" b="165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55" cy="282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02A22B" w14:textId="0F1C730A" w:rsidR="009B5A67" w:rsidRPr="00332236" w:rsidRDefault="009B5A67">
                            <w:pPr>
                              <w:rPr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236">
                              <w:rPr>
                                <w:noProof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1760246" wp14:editId="62BD4D20">
                                  <wp:extent cx="2940081" cy="259371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972" cy="2622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D5FE" id="Text Box 15" o:spid="_x0000_s1028" type="#_x0000_t202" style="position:absolute;left:0;text-align:left;margin-left:100.2pt;margin-top:.9pt;width:246.65pt;height:2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" fillcolor="white [3201]" strokecolor="black [3213]">
                <v:textbox>
                  <w:txbxContent>
                    <w:p w14:paraId="2002A22B" w14:textId="0F1C730A" w:rsidR="009B5A67" w:rsidRPr="00332236" w:rsidRDefault="009B5A67">
                      <w:pPr>
                        <w:rPr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236">
                        <w:rPr>
                          <w:noProof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1760246" wp14:editId="62BD4D20">
                            <wp:extent cx="2940081" cy="259371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2972" cy="2622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13EC03" w14:textId="2668015E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7F3F7CE7" w14:textId="1357F651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590DCF62" w14:textId="2B1F90E7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1AD11932" w14:textId="5E49E503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09CC976E" w14:textId="4406697E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32E2D8ED" w14:textId="61C8C9CB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3C94C759" w14:textId="41ECC1FA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34757B0F" w14:textId="78252B78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5BD2AD86" w14:textId="05C8521D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0ED8C7A1" w14:textId="11CC50F6" w:rsidR="009B5A67" w:rsidRPr="003D6EB2" w:rsidRDefault="009B5A67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bookmarkEnd w:id="1"/>
    <w:p w14:paraId="33E06F8D" w14:textId="74D4A3CF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CE82F1C" w14:textId="60D4FAA0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58DCD31" w14:textId="2DA62EDC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3500625" w14:textId="0862799D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011BA475" w14:textId="495C934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55A61AAF" w14:textId="57F3699B" w:rsidR="00C1142C" w:rsidRPr="00C1142C" w:rsidRDefault="00C1142C" w:rsidP="003D6EB2">
      <w:pPr>
        <w:spacing w:before="0" w:after="0" w:line="240" w:lineRule="auto"/>
        <w:rPr>
          <w:rFonts w:ascii="Calibri" w:hAnsi="Calibri" w:cs="Calibri"/>
          <w:sz w:val="22"/>
          <w:szCs w:val="22"/>
        </w:rPr>
      </w:pPr>
      <w:r w:rsidRPr="00C1142C">
        <w:rPr>
          <w:rFonts w:ascii="Calibri" w:hAnsi="Calibri" w:cs="Calibri"/>
          <w:b/>
          <w:bCs/>
          <w:sz w:val="22"/>
          <w:szCs w:val="22"/>
        </w:rPr>
        <w:t>Figure 3</w:t>
      </w:r>
      <w:r w:rsidRPr="009D7F85">
        <w:rPr>
          <w:rFonts w:ascii="Calibri" w:hAnsi="Calibri" w:cs="Calibri"/>
          <w:b/>
          <w:bCs/>
          <w:sz w:val="22"/>
          <w:szCs w:val="22"/>
        </w:rPr>
        <w:t>. Change in neutrophil percentage relative to total white blood cell counts for both control and CYP injected mice over a period of 2</w:t>
      </w:r>
      <w:r w:rsidR="001526D6" w:rsidRPr="009D7F85">
        <w:rPr>
          <w:rFonts w:ascii="Calibri" w:hAnsi="Calibri" w:cs="Calibri"/>
          <w:b/>
          <w:bCs/>
          <w:sz w:val="22"/>
          <w:szCs w:val="22"/>
        </w:rPr>
        <w:t>5</w:t>
      </w:r>
      <w:r w:rsidRPr="009D7F85">
        <w:rPr>
          <w:rFonts w:ascii="Calibri" w:hAnsi="Calibri" w:cs="Calibri"/>
          <w:b/>
          <w:bCs/>
          <w:sz w:val="22"/>
          <w:szCs w:val="22"/>
        </w:rPr>
        <w:t xml:space="preserve"> days.</w:t>
      </w:r>
      <w:r w:rsidRPr="00C1142C">
        <w:rPr>
          <w:rFonts w:ascii="Calibri" w:hAnsi="Calibri" w:cs="Calibri"/>
          <w:sz w:val="22"/>
          <w:szCs w:val="22"/>
        </w:rPr>
        <w:t xml:space="preserve"> Mice were separated by age at </w:t>
      </w:r>
      <w:r w:rsidRPr="00C1142C">
        <w:rPr>
          <w:rFonts w:ascii="Calibri" w:hAnsi="Calibri" w:cs="Calibri"/>
          <w:b/>
          <w:bCs/>
          <w:sz w:val="22"/>
          <w:szCs w:val="22"/>
        </w:rPr>
        <w:t>A)</w:t>
      </w:r>
      <w:r w:rsidRPr="00C1142C">
        <w:rPr>
          <w:rFonts w:ascii="Calibri" w:hAnsi="Calibri" w:cs="Calibri"/>
          <w:sz w:val="22"/>
          <w:szCs w:val="22"/>
        </w:rPr>
        <w:t xml:space="preserve"> 4 months; </w:t>
      </w:r>
      <w:r w:rsidRPr="00C1142C">
        <w:rPr>
          <w:rFonts w:ascii="Calibri" w:hAnsi="Calibri" w:cs="Calibri"/>
          <w:b/>
          <w:bCs/>
          <w:sz w:val="22"/>
          <w:szCs w:val="22"/>
        </w:rPr>
        <w:t>B)</w:t>
      </w:r>
      <w:r w:rsidRPr="00C1142C">
        <w:rPr>
          <w:rFonts w:ascii="Calibri" w:hAnsi="Calibri" w:cs="Calibri"/>
          <w:sz w:val="22"/>
          <w:szCs w:val="22"/>
        </w:rPr>
        <w:t xml:space="preserve"> 12 months; </w:t>
      </w:r>
      <w:r w:rsidRPr="00C1142C">
        <w:rPr>
          <w:rFonts w:ascii="Calibri" w:hAnsi="Calibri" w:cs="Calibri"/>
          <w:b/>
          <w:bCs/>
          <w:sz w:val="22"/>
          <w:szCs w:val="22"/>
        </w:rPr>
        <w:t>C)</w:t>
      </w:r>
      <w:r w:rsidRPr="00C1142C">
        <w:rPr>
          <w:rFonts w:ascii="Calibri" w:hAnsi="Calibri" w:cs="Calibri"/>
          <w:sz w:val="22"/>
          <w:szCs w:val="22"/>
        </w:rPr>
        <w:t xml:space="preserve"> 17 months; and </w:t>
      </w:r>
      <w:r w:rsidRPr="00C1142C">
        <w:rPr>
          <w:rFonts w:ascii="Calibri" w:hAnsi="Calibri" w:cs="Calibri"/>
          <w:b/>
          <w:bCs/>
          <w:sz w:val="22"/>
          <w:szCs w:val="22"/>
        </w:rPr>
        <w:t>D)</w:t>
      </w:r>
      <w:r w:rsidRPr="00C1142C">
        <w:rPr>
          <w:rFonts w:ascii="Calibri" w:hAnsi="Calibri" w:cs="Calibri"/>
          <w:sz w:val="22"/>
          <w:szCs w:val="22"/>
        </w:rPr>
        <w:t xml:space="preserve"> 27 months. </w:t>
      </w:r>
    </w:p>
    <w:p w14:paraId="4A6C817F" w14:textId="74A257FE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8484942" w14:textId="47325234" w:rsidR="00C1142C" w:rsidRDefault="001526D6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8F636C" wp14:editId="4619BF24">
                <wp:simplePos x="0" y="0"/>
                <wp:positionH relativeFrom="column">
                  <wp:posOffset>1146175</wp:posOffset>
                </wp:positionH>
                <wp:positionV relativeFrom="paragraph">
                  <wp:posOffset>5080</wp:posOffset>
                </wp:positionV>
                <wp:extent cx="3390265" cy="2445385"/>
                <wp:effectExtent l="0" t="0" r="19685" b="1206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2445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27BB353" w14:textId="77777777" w:rsidR="001526D6" w:rsidRPr="00332236" w:rsidRDefault="001526D6" w:rsidP="001526D6">
                            <w:pPr>
                              <w:rPr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B57F6" wp14:editId="388A45EB">
                                  <wp:extent cx="3198213" cy="2305688"/>
                                  <wp:effectExtent l="0" t="0" r="254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6554" cy="232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636C" id="Text Box 24" o:spid="_x0000_s1029" type="#_x0000_t202" style="position:absolute;margin-left:90.25pt;margin-top:.4pt;width:266.95pt;height:19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" fillcolor="window" strokecolor="windowText">
                <v:textbox>
                  <w:txbxContent>
                    <w:p w14:paraId="327BB353" w14:textId="77777777" w:rsidR="001526D6" w:rsidRPr="00332236" w:rsidRDefault="001526D6" w:rsidP="001526D6">
                      <w:pPr>
                        <w:rPr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B57F6" wp14:editId="388A45EB">
                            <wp:extent cx="3198213" cy="2305688"/>
                            <wp:effectExtent l="0" t="0" r="254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4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6554" cy="232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2D6CAA" w14:textId="1E629672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A051499" w14:textId="4E46914E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00F3D993" w14:textId="3C8ABACF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A800E84" w14:textId="22B1138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AAE32CB" w14:textId="53A831CD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2471979" w14:textId="74464FCC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0D7EBB61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2DEC2CFD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1F03785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BCA7CB9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98BABF5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5F0003D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4016ED32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79645B36" w14:textId="0E85C088" w:rsidR="001526D6" w:rsidRPr="001526D6" w:rsidRDefault="001526D6" w:rsidP="001526D6">
      <w:pPr>
        <w:spacing w:before="0" w:after="0" w:line="240" w:lineRule="auto"/>
        <w:rPr>
          <w:rFonts w:ascii="Calibri" w:hAnsi="Calibri" w:cs="Calibri"/>
          <w:sz w:val="22"/>
          <w:szCs w:val="22"/>
        </w:rPr>
      </w:pPr>
      <w:r w:rsidRPr="001526D6">
        <w:rPr>
          <w:rFonts w:ascii="Calibri" w:hAnsi="Calibri" w:cs="Calibri"/>
          <w:b/>
          <w:bCs/>
          <w:sz w:val="22"/>
          <w:szCs w:val="22"/>
        </w:rPr>
        <w:t>Figure 4. A)</w:t>
      </w:r>
      <w:r w:rsidRPr="001526D6">
        <w:rPr>
          <w:rFonts w:ascii="Calibri" w:hAnsi="Calibri" w:cs="Calibri"/>
          <w:sz w:val="22"/>
          <w:szCs w:val="22"/>
        </w:rPr>
        <w:t xml:space="preserve"> As the age of </w:t>
      </w:r>
      <w:r w:rsidR="00826FF1">
        <w:rPr>
          <w:rFonts w:ascii="Calibri" w:hAnsi="Calibri" w:cs="Calibri"/>
          <w:sz w:val="22"/>
          <w:szCs w:val="22"/>
        </w:rPr>
        <w:t>m</w:t>
      </w:r>
      <w:r w:rsidRPr="001526D6">
        <w:rPr>
          <w:rFonts w:ascii="Calibri" w:hAnsi="Calibri" w:cs="Calibri"/>
          <w:sz w:val="22"/>
          <w:szCs w:val="22"/>
        </w:rPr>
        <w:t xml:space="preserve">ice increased, the strength of the neutrophil rebound decreased. </w:t>
      </w:r>
    </w:p>
    <w:p w14:paraId="1A0C2CAB" w14:textId="3C37E1B2" w:rsidR="001526D6" w:rsidRPr="001526D6" w:rsidRDefault="001526D6" w:rsidP="001526D6">
      <w:pPr>
        <w:spacing w:before="0" w:after="0" w:line="240" w:lineRule="auto"/>
        <w:rPr>
          <w:rFonts w:ascii="Calibri" w:hAnsi="Calibri" w:cs="Calibri"/>
          <w:sz w:val="22"/>
          <w:szCs w:val="22"/>
        </w:rPr>
      </w:pPr>
      <w:r w:rsidRPr="001526D6">
        <w:rPr>
          <w:rFonts w:ascii="Calibri" w:hAnsi="Calibri" w:cs="Calibri"/>
          <w:b/>
          <w:bCs/>
          <w:sz w:val="22"/>
          <w:szCs w:val="22"/>
        </w:rPr>
        <w:lastRenderedPageBreak/>
        <w:t xml:space="preserve">B) </w:t>
      </w:r>
      <w:r w:rsidRPr="001526D6">
        <w:rPr>
          <w:rFonts w:ascii="Calibri" w:hAnsi="Calibri" w:cs="Calibri"/>
          <w:sz w:val="22"/>
          <w:szCs w:val="22"/>
        </w:rPr>
        <w:t xml:space="preserve">The change in escape times in the spatial navigation task (Box maze) from trial 1 to trial 5 was negatively correlated with the neutrophil rebound response. </w:t>
      </w:r>
    </w:p>
    <w:p w14:paraId="30BD6B73" w14:textId="77777777" w:rsidR="00C1142C" w:rsidRDefault="00C1142C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23C78230" w14:textId="69EDECE9" w:rsidR="008865A7" w:rsidRPr="00712EE8" w:rsidRDefault="00822970" w:rsidP="003D6EB2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1692EC8" wp14:editId="551BA51D">
                <wp:simplePos x="0" y="0"/>
                <wp:positionH relativeFrom="column">
                  <wp:posOffset>2900400</wp:posOffset>
                </wp:positionH>
                <wp:positionV relativeFrom="paragraph">
                  <wp:posOffset>1187285</wp:posOffset>
                </wp:positionV>
                <wp:extent cx="360" cy="360"/>
                <wp:effectExtent l="0" t="0" r="0" b="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67E1" id="Ink 30" o:spid="_x0000_s1026" type="#_x0000_t75" style="position:absolute;margin-left:227.7pt;margin-top:92.8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">
                <v:imagedata r:id="rId24" o:title=""/>
              </v:shape>
            </w:pict>
          </mc:Fallback>
        </mc:AlternateContent>
      </w:r>
      <w:r w:rsidRPr="003D6EB2">
        <w:rPr>
          <w:rFonts w:ascii="Calibri" w:hAnsi="Calibri" w:cs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CDAF667" wp14:editId="382EAC39">
                <wp:simplePos x="0" y="0"/>
                <wp:positionH relativeFrom="column">
                  <wp:posOffset>2900400</wp:posOffset>
                </wp:positionH>
                <wp:positionV relativeFrom="paragraph">
                  <wp:posOffset>1187285</wp:posOffset>
                </wp:positionV>
                <wp:extent cx="360" cy="360"/>
                <wp:effectExtent l="0" t="0" r="0" b="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13F7" id="Ink 29" o:spid="_x0000_s1026" type="#_x0000_t75" style="position:absolute;margin-left:227.7pt;margin-top:92.8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JgB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">
                <v:imagedata r:id="rId24" o:title=""/>
              </v:shape>
            </w:pict>
          </mc:Fallback>
        </mc:AlternateContent>
      </w:r>
      <w:r w:rsidR="001526D6">
        <w:rPr>
          <w:rFonts w:ascii="Calibri" w:hAnsi="Calibri" w:cs="Calibri"/>
          <w:sz w:val="24"/>
          <w:szCs w:val="24"/>
        </w:rPr>
        <w:t>In summary, o</w:t>
      </w:r>
      <w:r w:rsidR="008865A7" w:rsidRPr="003D6EB2">
        <w:rPr>
          <w:rFonts w:ascii="Calibri" w:hAnsi="Calibri" w:cs="Calibri"/>
          <w:sz w:val="24"/>
          <w:szCs w:val="24"/>
        </w:rPr>
        <w:t xml:space="preserve">ne </w:t>
      </w:r>
      <w:r w:rsidR="001526D6">
        <w:rPr>
          <w:rFonts w:ascii="Calibri" w:hAnsi="Calibri" w:cs="Calibri"/>
          <w:sz w:val="24"/>
          <w:szCs w:val="24"/>
        </w:rPr>
        <w:t xml:space="preserve">non-lethal </w:t>
      </w:r>
      <w:r w:rsidR="008865A7" w:rsidRPr="003D6EB2">
        <w:rPr>
          <w:rFonts w:ascii="Calibri" w:hAnsi="Calibri" w:cs="Calibri"/>
          <w:sz w:val="24"/>
          <w:szCs w:val="24"/>
        </w:rPr>
        <w:t>dose of CYP induced a neutrophil rebound response that was consistent over all age groups</w:t>
      </w:r>
      <w:r w:rsidR="00644E1C">
        <w:rPr>
          <w:rFonts w:ascii="Calibri" w:hAnsi="Calibri" w:cs="Calibri"/>
          <w:sz w:val="24"/>
          <w:szCs w:val="24"/>
        </w:rPr>
        <w:t xml:space="preserve"> as previously reported [4]</w:t>
      </w:r>
      <w:r w:rsidR="008865A7" w:rsidRPr="003D6EB2">
        <w:rPr>
          <w:rFonts w:ascii="Calibri" w:hAnsi="Calibri" w:cs="Calibri"/>
          <w:sz w:val="24"/>
          <w:szCs w:val="24"/>
        </w:rPr>
        <w:t>. The rebound strength decreased with increasing age, so it was age</w:t>
      </w:r>
      <w:r w:rsidR="00284942" w:rsidRPr="003D6EB2">
        <w:rPr>
          <w:rFonts w:ascii="Calibri" w:hAnsi="Calibri" w:cs="Calibri"/>
          <w:sz w:val="24"/>
          <w:szCs w:val="24"/>
        </w:rPr>
        <w:t xml:space="preserve"> </w:t>
      </w:r>
      <w:r w:rsidR="008865A7" w:rsidRPr="003D6EB2">
        <w:rPr>
          <w:rFonts w:ascii="Calibri" w:hAnsi="Calibri" w:cs="Calibri"/>
          <w:sz w:val="24"/>
          <w:szCs w:val="24"/>
        </w:rPr>
        <w:t xml:space="preserve">dependent.  </w:t>
      </w:r>
      <w:r w:rsidR="001526D6">
        <w:rPr>
          <w:rFonts w:ascii="Calibri" w:hAnsi="Calibri" w:cs="Calibri"/>
          <w:sz w:val="24"/>
          <w:szCs w:val="24"/>
        </w:rPr>
        <w:t>A l</w:t>
      </w:r>
      <w:r w:rsidR="008865A7" w:rsidRPr="003D6EB2">
        <w:rPr>
          <w:rFonts w:ascii="Calibri" w:hAnsi="Calibri" w:cs="Calibri"/>
          <w:sz w:val="24"/>
          <w:szCs w:val="24"/>
        </w:rPr>
        <w:t xml:space="preserve">ow CYP-induced neutrophil rebound response was associated with decreased learning impairment. This may predict resilience to aging given the correlation with established cognitive aging parameters, though the cause of this relationship </w:t>
      </w:r>
      <w:r w:rsidR="008865A7" w:rsidRPr="00712EE8">
        <w:rPr>
          <w:rFonts w:ascii="Calibri" w:hAnsi="Calibri" w:cs="Calibri"/>
          <w:sz w:val="24"/>
          <w:szCs w:val="24"/>
        </w:rPr>
        <w:t xml:space="preserve">requires further study.  These observations provide </w:t>
      </w:r>
      <w:r w:rsidR="00A37374" w:rsidRPr="00712EE8">
        <w:rPr>
          <w:rFonts w:ascii="Calibri" w:hAnsi="Calibri" w:cs="Calibri"/>
          <w:sz w:val="24"/>
          <w:szCs w:val="24"/>
        </w:rPr>
        <w:t>a preclinical model</w:t>
      </w:r>
      <w:r w:rsidR="008865A7" w:rsidRPr="00712EE8">
        <w:rPr>
          <w:rFonts w:ascii="Calibri" w:hAnsi="Calibri" w:cs="Calibri"/>
          <w:sz w:val="24"/>
          <w:szCs w:val="24"/>
        </w:rPr>
        <w:t xml:space="preserve"> for developing clinical </w:t>
      </w:r>
      <w:r w:rsidR="008865A7" w:rsidRPr="00712EE8">
        <w:rPr>
          <w:rFonts w:ascii="Calibri" w:hAnsi="Calibri" w:cs="Calibri"/>
          <w:i/>
          <w:iCs/>
          <w:sz w:val="24"/>
          <w:szCs w:val="24"/>
        </w:rPr>
        <w:t>in vitro</w:t>
      </w:r>
      <w:r w:rsidR="008865A7" w:rsidRPr="00712EE8">
        <w:rPr>
          <w:rFonts w:ascii="Calibri" w:hAnsi="Calibri" w:cs="Calibri"/>
          <w:sz w:val="24"/>
          <w:szCs w:val="24"/>
        </w:rPr>
        <w:t xml:space="preserve"> </w:t>
      </w:r>
      <w:r w:rsidR="001A48E4" w:rsidRPr="00712EE8">
        <w:rPr>
          <w:rFonts w:ascii="Calibri" w:hAnsi="Calibri" w:cs="Calibri"/>
          <w:sz w:val="24"/>
          <w:szCs w:val="24"/>
        </w:rPr>
        <w:t>investigations</w:t>
      </w:r>
      <w:r w:rsidR="008865A7" w:rsidRPr="00712EE8">
        <w:rPr>
          <w:rFonts w:ascii="Calibri" w:hAnsi="Calibri" w:cs="Calibri"/>
          <w:sz w:val="24"/>
          <w:szCs w:val="24"/>
        </w:rPr>
        <w:t xml:space="preserve"> using </w:t>
      </w:r>
      <w:r w:rsidR="001A48E4" w:rsidRPr="00712EE8">
        <w:rPr>
          <w:rFonts w:ascii="Calibri" w:hAnsi="Calibri" w:cs="Calibri"/>
          <w:sz w:val="24"/>
          <w:szCs w:val="24"/>
        </w:rPr>
        <w:t xml:space="preserve">CYP-induced stress in </w:t>
      </w:r>
      <w:r w:rsidR="008865A7" w:rsidRPr="00712EE8">
        <w:rPr>
          <w:rFonts w:ascii="Calibri" w:hAnsi="Calibri" w:cs="Calibri"/>
          <w:sz w:val="24"/>
          <w:szCs w:val="24"/>
        </w:rPr>
        <w:t>human peripheral white blood cells.</w:t>
      </w:r>
    </w:p>
    <w:p w14:paraId="7F8DB0B1" w14:textId="6F3A4320" w:rsidR="00795E93" w:rsidRPr="00712EE8" w:rsidRDefault="00795E93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00AEEC81" w14:textId="28B14A65" w:rsidR="00712EE8" w:rsidRPr="00712EE8" w:rsidRDefault="00712EE8" w:rsidP="00712EE8">
      <w:pPr>
        <w:autoSpaceDE w:val="0"/>
        <w:autoSpaceDN w:val="0"/>
        <w:adjustRightInd w:val="0"/>
        <w:spacing w:before="0"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712EE8">
        <w:rPr>
          <w:rFonts w:ascii="Calibri" w:eastAsia="Calibri" w:hAnsi="Calibri" w:cs="Calibri"/>
          <w:b/>
          <w:bCs/>
          <w:sz w:val="24"/>
          <w:szCs w:val="24"/>
        </w:rPr>
        <w:t>Acknowledgement</w:t>
      </w:r>
    </w:p>
    <w:p w14:paraId="37F0D9E2" w14:textId="0F63BF4F" w:rsidR="00712EE8" w:rsidRPr="00712EE8" w:rsidRDefault="00712EE8" w:rsidP="00712EE8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712EE8">
        <w:rPr>
          <w:rFonts w:ascii="Calibri" w:eastAsia="Calibri" w:hAnsi="Calibri" w:cs="Calibri"/>
          <w:sz w:val="24"/>
          <w:szCs w:val="24"/>
        </w:rPr>
        <w:t xml:space="preserve">This work was supported by </w:t>
      </w:r>
      <w:r w:rsidRPr="00712EE8">
        <w:rPr>
          <w:rFonts w:ascii="Calibri" w:hAnsi="Calibri" w:cs="Calibri"/>
          <w:sz w:val="24"/>
          <w:szCs w:val="24"/>
        </w:rPr>
        <w:t xml:space="preserve">NIA grant R01 AG057381 (Ladiges, PI). </w:t>
      </w:r>
    </w:p>
    <w:p w14:paraId="7F3EBD93" w14:textId="77777777" w:rsidR="00712EE8" w:rsidRPr="00712EE8" w:rsidRDefault="00712EE8" w:rsidP="00712EE8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00AB8BB" w14:textId="6C21768A" w:rsidR="00B76583" w:rsidRDefault="00B76583" w:rsidP="00712EE8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Conflict of interest</w:t>
      </w:r>
    </w:p>
    <w:p w14:paraId="5ACD6A51" w14:textId="5BB9D0AE" w:rsidR="00B76583" w:rsidRPr="00B76583" w:rsidRDefault="00B76583" w:rsidP="00712EE8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authors declare no conflict of interest.</w:t>
      </w:r>
    </w:p>
    <w:p w14:paraId="5212B31D" w14:textId="77777777" w:rsidR="00B76583" w:rsidRDefault="00B76583" w:rsidP="00712EE8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EBE16A3" w14:textId="0287775C" w:rsidR="001C0FC3" w:rsidRPr="00B76583" w:rsidRDefault="001C0FC3" w:rsidP="00712EE8">
      <w:pPr>
        <w:spacing w:before="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C0FC3">
        <w:rPr>
          <w:rFonts w:ascii="Calibri" w:hAnsi="Calibri" w:cs="Calibri"/>
          <w:b/>
          <w:bCs/>
          <w:sz w:val="24"/>
          <w:szCs w:val="24"/>
        </w:rPr>
        <w:t>References</w:t>
      </w:r>
    </w:p>
    <w:p w14:paraId="62B6D318" w14:textId="2A3A95F9" w:rsidR="001C0FC3" w:rsidRDefault="001C0FC3" w:rsidP="00712EE8">
      <w:pPr>
        <w:autoSpaceDE w:val="0"/>
        <w:autoSpaceDN w:val="0"/>
        <w:adjustRightInd w:val="0"/>
        <w:spacing w:before="0" w:after="0" w:line="240" w:lineRule="auto"/>
        <w:ind w:left="480" w:hanging="48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1. </w:t>
      </w:r>
      <w:r w:rsidR="00712EE8" w:rsidRPr="00357248">
        <w:rPr>
          <w:rFonts w:ascii="Calibri" w:hAnsi="Calibri" w:cs="Calibri"/>
          <w:noProof/>
          <w:sz w:val="24"/>
          <w:szCs w:val="24"/>
        </w:rPr>
        <w:t>Schorr A, Carter C, Ladiges W (2017)</w:t>
      </w:r>
      <w:r w:rsidR="008556D6">
        <w:rPr>
          <w:rFonts w:ascii="Calibri" w:hAnsi="Calibri" w:cs="Calibri"/>
          <w:noProof/>
          <w:sz w:val="24"/>
          <w:szCs w:val="24"/>
        </w:rPr>
        <w:t>.</w:t>
      </w:r>
      <w:r w:rsidR="00712EE8" w:rsidRPr="00357248">
        <w:rPr>
          <w:rFonts w:ascii="Calibri" w:hAnsi="Calibri" w:cs="Calibri"/>
          <w:noProof/>
          <w:sz w:val="24"/>
          <w:szCs w:val="24"/>
        </w:rPr>
        <w:t xml:space="preserve"> The potential use of physical resilience to predict</w:t>
      </w:r>
      <w:r w:rsidR="00EE7867">
        <w:rPr>
          <w:rFonts w:ascii="Calibri" w:hAnsi="Calibri" w:cs="Calibri"/>
          <w:noProof/>
          <w:sz w:val="24"/>
          <w:szCs w:val="24"/>
        </w:rPr>
        <w:t xml:space="preserve"> </w:t>
      </w:r>
      <w:r w:rsidR="00712EE8" w:rsidRPr="00357248">
        <w:rPr>
          <w:rFonts w:ascii="Calibri" w:hAnsi="Calibri" w:cs="Calibri"/>
          <w:noProof/>
          <w:sz w:val="24"/>
          <w:szCs w:val="24"/>
        </w:rPr>
        <w:t>healthy aging. Pathobiol Aging Age-related Dis 8:1403844. ttps://doi.org/</w:t>
      </w:r>
      <w:r w:rsidR="009D7F85">
        <w:rPr>
          <w:rFonts w:ascii="Calibri" w:hAnsi="Calibri" w:cs="Calibri"/>
          <w:noProof/>
          <w:sz w:val="24"/>
          <w:szCs w:val="24"/>
        </w:rPr>
        <w:t xml:space="preserve"> </w:t>
      </w:r>
      <w:r w:rsidR="00712EE8" w:rsidRPr="00357248">
        <w:rPr>
          <w:rFonts w:ascii="Calibri" w:hAnsi="Calibri" w:cs="Calibri"/>
          <w:noProof/>
          <w:sz w:val="24"/>
          <w:szCs w:val="24"/>
        </w:rPr>
        <w:t>10.1080/</w:t>
      </w:r>
      <w:r w:rsidR="00EE7867">
        <w:rPr>
          <w:rFonts w:ascii="Calibri" w:hAnsi="Calibri" w:cs="Calibri"/>
          <w:noProof/>
          <w:sz w:val="24"/>
          <w:szCs w:val="24"/>
        </w:rPr>
        <w:t xml:space="preserve"> </w:t>
      </w:r>
      <w:r w:rsidR="00712EE8" w:rsidRPr="00357248">
        <w:rPr>
          <w:rFonts w:ascii="Calibri" w:hAnsi="Calibri" w:cs="Calibri"/>
          <w:noProof/>
          <w:sz w:val="24"/>
          <w:szCs w:val="24"/>
        </w:rPr>
        <w:t>20010001.2017.1403844</w:t>
      </w:r>
      <w:r w:rsidR="00EE7867">
        <w:rPr>
          <w:rFonts w:ascii="Calibri" w:hAnsi="Calibri" w:cs="Calibri"/>
          <w:noProof/>
          <w:sz w:val="24"/>
          <w:szCs w:val="24"/>
        </w:rPr>
        <w:t>..</w:t>
      </w:r>
    </w:p>
    <w:p w14:paraId="7295607E" w14:textId="4058F70C" w:rsidR="001C0FC3" w:rsidRDefault="001C0FC3" w:rsidP="00712EE8">
      <w:pPr>
        <w:autoSpaceDE w:val="0"/>
        <w:autoSpaceDN w:val="0"/>
        <w:adjustRightInd w:val="0"/>
        <w:spacing w:before="0" w:after="0" w:line="240" w:lineRule="auto"/>
        <w:ind w:left="480" w:hanging="48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 </w:t>
      </w:r>
      <w:r w:rsidR="00712EE8" w:rsidRPr="00357248">
        <w:rPr>
          <w:rFonts w:ascii="Calibri" w:hAnsi="Calibri" w:cs="Calibri"/>
          <w:noProof/>
          <w:sz w:val="24"/>
          <w:szCs w:val="24"/>
        </w:rPr>
        <w:t>Emmenegger U, Man S, Shaked Y, et al (2004)</w:t>
      </w:r>
      <w:r w:rsidR="00712EE8">
        <w:rPr>
          <w:rFonts w:ascii="Calibri" w:hAnsi="Calibri" w:cs="Calibri"/>
          <w:noProof/>
          <w:sz w:val="24"/>
          <w:szCs w:val="24"/>
        </w:rPr>
        <w:t>.</w:t>
      </w:r>
      <w:r w:rsidR="00712EE8" w:rsidRPr="00357248">
        <w:rPr>
          <w:rFonts w:ascii="Calibri" w:hAnsi="Calibri" w:cs="Calibri"/>
          <w:noProof/>
          <w:sz w:val="24"/>
          <w:szCs w:val="24"/>
        </w:rPr>
        <w:t xml:space="preserve"> A comparative analysis of low-dose metronomic cyclophosphamide reveals absent or low-grade toxicity on tissues highly sensitive to the toxic effects of maximum tolerated dose regimens. Cancer Res 64:3994–4000. https://doi.org/10.1158/0008-5472.CAN-04-0580</w:t>
      </w:r>
    </w:p>
    <w:p w14:paraId="6BBD7548" w14:textId="24984873" w:rsidR="00712EE8" w:rsidRDefault="001C0FC3" w:rsidP="00712EE8">
      <w:pPr>
        <w:autoSpaceDE w:val="0"/>
        <w:autoSpaceDN w:val="0"/>
        <w:adjustRightInd w:val="0"/>
        <w:spacing w:before="0" w:after="0" w:line="240" w:lineRule="auto"/>
        <w:ind w:left="480" w:hanging="48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3. </w:t>
      </w:r>
      <w:r w:rsidR="00712EE8" w:rsidRPr="00357248">
        <w:rPr>
          <w:rFonts w:ascii="Calibri" w:hAnsi="Calibri" w:cs="Calibri"/>
          <w:noProof/>
          <w:sz w:val="24"/>
          <w:szCs w:val="24"/>
        </w:rPr>
        <w:t>Darvas M, Mukherjee K, Lee A, Ladiges W (2020)</w:t>
      </w:r>
      <w:r w:rsidR="00712EE8">
        <w:rPr>
          <w:rFonts w:ascii="Calibri" w:hAnsi="Calibri" w:cs="Calibri"/>
          <w:noProof/>
          <w:sz w:val="24"/>
          <w:szCs w:val="24"/>
        </w:rPr>
        <w:t>.</w:t>
      </w:r>
      <w:r w:rsidR="00712EE8" w:rsidRPr="00357248">
        <w:rPr>
          <w:rFonts w:ascii="Calibri" w:hAnsi="Calibri" w:cs="Calibri"/>
          <w:noProof/>
          <w:sz w:val="24"/>
          <w:szCs w:val="24"/>
        </w:rPr>
        <w:t xml:space="preserve"> A Novel One‐Day Learning Procedure for Mice. Curr Protoc Mouse Biol 10:1–6</w:t>
      </w:r>
      <w:r w:rsidR="00712EE8" w:rsidRPr="00712EE8">
        <w:rPr>
          <w:rFonts w:ascii="Calibri" w:hAnsi="Calibri" w:cs="Calibri"/>
          <w:noProof/>
          <w:sz w:val="24"/>
          <w:szCs w:val="24"/>
        </w:rPr>
        <w:t xml:space="preserve">. </w:t>
      </w:r>
      <w:hyperlink r:id="rId26" w:history="1">
        <w:r w:rsidR="00712EE8" w:rsidRPr="00712EE8">
          <w:rPr>
            <w:rStyle w:val="Hyperlink"/>
            <w:rFonts w:ascii="Calibri" w:hAnsi="Calibri" w:cs="Calibri"/>
            <w:noProof/>
            <w:color w:val="auto"/>
            <w:sz w:val="24"/>
            <w:szCs w:val="24"/>
            <w:u w:val="none"/>
          </w:rPr>
          <w:t>https://doi.org/10.1002/cpmo.68</w:t>
        </w:r>
      </w:hyperlink>
      <w:r w:rsidR="00EE7867">
        <w:rPr>
          <w:rFonts w:ascii="Calibri" w:hAnsi="Calibri" w:cs="Calibri"/>
          <w:noProof/>
          <w:sz w:val="24"/>
          <w:szCs w:val="24"/>
        </w:rPr>
        <w:t>.</w:t>
      </w:r>
    </w:p>
    <w:p w14:paraId="4ABE8A36" w14:textId="01203933" w:rsidR="001C0FC3" w:rsidRPr="00712EE8" w:rsidRDefault="001C0FC3" w:rsidP="00712EE8">
      <w:pPr>
        <w:spacing w:before="0" w:after="0" w:line="240" w:lineRule="auto"/>
        <w:ind w:left="270" w:hanging="270"/>
        <w:rPr>
          <w:rFonts w:ascii="Calibri" w:hAnsi="Calibri" w:cs="Calibri"/>
          <w:sz w:val="24"/>
          <w:szCs w:val="24"/>
        </w:rPr>
      </w:pPr>
      <w:r w:rsidRPr="00712EE8">
        <w:rPr>
          <w:rFonts w:ascii="Calibri" w:hAnsi="Calibri" w:cs="Calibri"/>
          <w:sz w:val="24"/>
          <w:szCs w:val="24"/>
        </w:rPr>
        <w:t xml:space="preserve">4. </w:t>
      </w:r>
      <w:bookmarkStart w:id="2" w:name="_Hlk57828260"/>
      <w:r w:rsidR="00712EE8" w:rsidRPr="00712EE8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>Zhu L, Dou</w:t>
      </w:r>
      <w:r w:rsidR="00712EE8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 xml:space="preserve"> Y</w:t>
      </w:r>
      <w:r w:rsidR="00712EE8" w:rsidRPr="00712EE8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>, Bjorner M</w:t>
      </w:r>
      <w:r w:rsidR="00712EE8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>, Ladiges W (2020)</w:t>
      </w:r>
      <w:r w:rsidR="00712EE8" w:rsidRPr="00712EE8">
        <w:rPr>
          <w:rFonts w:ascii="Calibri" w:hAnsi="Calibri" w:cs="Calibri"/>
          <w:i/>
          <w:iCs/>
          <w:color w:val="333333"/>
          <w:sz w:val="24"/>
          <w:szCs w:val="24"/>
          <w:shd w:val="clear" w:color="auto" w:fill="FCFCFC"/>
        </w:rPr>
        <w:t>.</w:t>
      </w:r>
      <w:r w:rsidR="00712EE8" w:rsidRPr="00712EE8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> Development of a cyclophosphamide stress test to predict resilience to aging in mice. GeroScience. https://doi.org/10.1007/s11357-020-00222-z</w:t>
      </w:r>
      <w:r w:rsidR="00EE7867">
        <w:rPr>
          <w:rFonts w:ascii="Calibri" w:hAnsi="Calibri" w:cs="Calibri"/>
          <w:color w:val="333333"/>
          <w:sz w:val="24"/>
          <w:szCs w:val="24"/>
          <w:shd w:val="clear" w:color="auto" w:fill="FCFCFC"/>
        </w:rPr>
        <w:t>.</w:t>
      </w:r>
      <w:r w:rsidRPr="00712EE8">
        <w:rPr>
          <w:rFonts w:ascii="Calibri" w:hAnsi="Calibri" w:cs="Calibri"/>
          <w:sz w:val="24"/>
          <w:szCs w:val="24"/>
        </w:rPr>
        <w:t xml:space="preserve"> </w:t>
      </w:r>
    </w:p>
    <w:bookmarkEnd w:id="2"/>
    <w:p w14:paraId="73195A44" w14:textId="41D89B64" w:rsidR="00795E93" w:rsidRDefault="00795E93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2DCE1968" w14:textId="56B16899" w:rsidR="00712EE8" w:rsidRDefault="00712EE8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6F0689CD" w14:textId="68E15D9A" w:rsidR="00712EE8" w:rsidRDefault="00712EE8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28D0DEF3" w14:textId="7005C95F" w:rsidR="00712EE8" w:rsidRDefault="00712EE8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p w14:paraId="290B2B16" w14:textId="77777777" w:rsidR="00712EE8" w:rsidRPr="003D6EB2" w:rsidRDefault="00712EE8" w:rsidP="003D6EB2">
      <w:pPr>
        <w:spacing w:before="0" w:after="0" w:line="240" w:lineRule="auto"/>
        <w:ind w:firstLine="720"/>
        <w:rPr>
          <w:rFonts w:ascii="Calibri" w:hAnsi="Calibri" w:cs="Calibri"/>
          <w:sz w:val="24"/>
          <w:szCs w:val="24"/>
        </w:rPr>
      </w:pPr>
    </w:p>
    <w:sectPr w:rsidR="00712EE8" w:rsidRPr="003D6EB2" w:rsidSect="001D4E2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76901" w14:textId="77777777" w:rsidR="00D2373C" w:rsidRDefault="00D2373C" w:rsidP="000C204C">
      <w:pPr>
        <w:spacing w:before="0" w:after="0" w:line="240" w:lineRule="auto"/>
      </w:pPr>
      <w:r>
        <w:separator/>
      </w:r>
    </w:p>
  </w:endnote>
  <w:endnote w:type="continuationSeparator" w:id="0">
    <w:p w14:paraId="16C1D595" w14:textId="77777777" w:rsidR="00D2373C" w:rsidRDefault="00D2373C" w:rsidP="000C20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302EF" w14:textId="77777777" w:rsidR="00D2373C" w:rsidRDefault="00D2373C" w:rsidP="000C204C">
      <w:pPr>
        <w:spacing w:before="0" w:after="0" w:line="240" w:lineRule="auto"/>
      </w:pPr>
      <w:r>
        <w:separator/>
      </w:r>
    </w:p>
  </w:footnote>
  <w:footnote w:type="continuationSeparator" w:id="0">
    <w:p w14:paraId="67CCDB8C" w14:textId="77777777" w:rsidR="00D2373C" w:rsidRDefault="00D2373C" w:rsidP="000C20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1328B" w14:textId="5C9B9057" w:rsidR="0009497D" w:rsidRDefault="0009497D" w:rsidP="000C204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4121"/>
    <w:multiLevelType w:val="hybridMultilevel"/>
    <w:tmpl w:val="3A3C6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435FE"/>
    <w:multiLevelType w:val="hybridMultilevel"/>
    <w:tmpl w:val="4E44F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B3356"/>
    <w:multiLevelType w:val="hybridMultilevel"/>
    <w:tmpl w:val="D940E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4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085"/>
    <w:rsid w:val="00074717"/>
    <w:rsid w:val="0009497D"/>
    <w:rsid w:val="000B1DF8"/>
    <w:rsid w:val="000C059E"/>
    <w:rsid w:val="000C204C"/>
    <w:rsid w:val="000C5FB8"/>
    <w:rsid w:val="000F7217"/>
    <w:rsid w:val="001526D6"/>
    <w:rsid w:val="00182BC9"/>
    <w:rsid w:val="00195793"/>
    <w:rsid w:val="00195D9C"/>
    <w:rsid w:val="001A48E4"/>
    <w:rsid w:val="001C0FC3"/>
    <w:rsid w:val="001D4E21"/>
    <w:rsid w:val="002240DD"/>
    <w:rsid w:val="00284942"/>
    <w:rsid w:val="002A1287"/>
    <w:rsid w:val="002C343F"/>
    <w:rsid w:val="002C720C"/>
    <w:rsid w:val="00331F7B"/>
    <w:rsid w:val="00332236"/>
    <w:rsid w:val="00385F3C"/>
    <w:rsid w:val="003D595F"/>
    <w:rsid w:val="003D6EB2"/>
    <w:rsid w:val="003F1C82"/>
    <w:rsid w:val="00470DA0"/>
    <w:rsid w:val="004E5B1F"/>
    <w:rsid w:val="004E708A"/>
    <w:rsid w:val="0051727C"/>
    <w:rsid w:val="005464C8"/>
    <w:rsid w:val="005D398E"/>
    <w:rsid w:val="005F54A7"/>
    <w:rsid w:val="00604DDF"/>
    <w:rsid w:val="00644E1C"/>
    <w:rsid w:val="006E2221"/>
    <w:rsid w:val="006E4660"/>
    <w:rsid w:val="00712EE8"/>
    <w:rsid w:val="007623DE"/>
    <w:rsid w:val="007821AE"/>
    <w:rsid w:val="00795E93"/>
    <w:rsid w:val="00822970"/>
    <w:rsid w:val="00826FF1"/>
    <w:rsid w:val="00855169"/>
    <w:rsid w:val="008556D6"/>
    <w:rsid w:val="0085718F"/>
    <w:rsid w:val="00867D1E"/>
    <w:rsid w:val="008865A7"/>
    <w:rsid w:val="008B7404"/>
    <w:rsid w:val="008F7517"/>
    <w:rsid w:val="00986BB2"/>
    <w:rsid w:val="009B48D4"/>
    <w:rsid w:val="009B5A67"/>
    <w:rsid w:val="009B6EBB"/>
    <w:rsid w:val="009C6127"/>
    <w:rsid w:val="009C7085"/>
    <w:rsid w:val="009D7F85"/>
    <w:rsid w:val="009F738A"/>
    <w:rsid w:val="00A37374"/>
    <w:rsid w:val="00A65C02"/>
    <w:rsid w:val="00A93AF1"/>
    <w:rsid w:val="00AA1E25"/>
    <w:rsid w:val="00AC61B6"/>
    <w:rsid w:val="00B02FCD"/>
    <w:rsid w:val="00B73BCE"/>
    <w:rsid w:val="00B76583"/>
    <w:rsid w:val="00BB4A5B"/>
    <w:rsid w:val="00BD1528"/>
    <w:rsid w:val="00C06D68"/>
    <w:rsid w:val="00C1142C"/>
    <w:rsid w:val="00C11E38"/>
    <w:rsid w:val="00C24811"/>
    <w:rsid w:val="00C438AA"/>
    <w:rsid w:val="00C47242"/>
    <w:rsid w:val="00C53447"/>
    <w:rsid w:val="00C77B4A"/>
    <w:rsid w:val="00C9355D"/>
    <w:rsid w:val="00D037C5"/>
    <w:rsid w:val="00D2373C"/>
    <w:rsid w:val="00E01402"/>
    <w:rsid w:val="00E5212A"/>
    <w:rsid w:val="00E7517D"/>
    <w:rsid w:val="00EA1466"/>
    <w:rsid w:val="00EC761C"/>
    <w:rsid w:val="00EE6D1B"/>
    <w:rsid w:val="00EE7867"/>
    <w:rsid w:val="00EF2AA8"/>
    <w:rsid w:val="00F05ED4"/>
    <w:rsid w:val="00F521C3"/>
    <w:rsid w:val="00F606D1"/>
    <w:rsid w:val="00FB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03FB0"/>
  <w15:chartTrackingRefBased/>
  <w15:docId w15:val="{CA4F9265-1168-4F18-BECD-0E8D27BB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404"/>
  </w:style>
  <w:style w:type="paragraph" w:styleId="Heading1">
    <w:name w:val="heading 1"/>
    <w:basedOn w:val="Normal"/>
    <w:next w:val="Normal"/>
    <w:link w:val="Heading1Char"/>
    <w:uiPriority w:val="9"/>
    <w:qFormat/>
    <w:rsid w:val="008B7404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404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404"/>
    <w:pPr>
      <w:pBdr>
        <w:top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404"/>
    <w:pPr>
      <w:pBdr>
        <w:top w:val="dotted" w:sz="6" w:space="2" w:color="83992A" w:themeColor="accent1"/>
      </w:pBdr>
      <w:spacing w:before="200" w:after="0"/>
      <w:outlineLvl w:val="3"/>
    </w:pPr>
    <w:rPr>
      <w:caps/>
      <w:color w:val="61721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404"/>
    <w:pPr>
      <w:pBdr>
        <w:bottom w:val="single" w:sz="6" w:space="1" w:color="83992A" w:themeColor="accent1"/>
      </w:pBdr>
      <w:spacing w:before="200" w:after="0"/>
      <w:outlineLvl w:val="4"/>
    </w:pPr>
    <w:rPr>
      <w:caps/>
      <w:color w:val="61721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404"/>
    <w:pPr>
      <w:pBdr>
        <w:bottom w:val="dotted" w:sz="6" w:space="1" w:color="83992A" w:themeColor="accent1"/>
      </w:pBdr>
      <w:spacing w:before="200" w:after="0"/>
      <w:outlineLvl w:val="5"/>
    </w:pPr>
    <w:rPr>
      <w:caps/>
      <w:color w:val="61721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404"/>
    <w:pPr>
      <w:spacing w:before="200" w:after="0"/>
      <w:outlineLvl w:val="6"/>
    </w:pPr>
    <w:rPr>
      <w:caps/>
      <w:color w:val="61721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40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40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D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B7404"/>
    <w:rPr>
      <w:caps/>
      <w:color w:val="FFFFFF" w:themeColor="background1"/>
      <w:spacing w:val="15"/>
      <w:sz w:val="22"/>
      <w:szCs w:val="22"/>
      <w:shd w:val="clear" w:color="auto" w:fill="83992A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404"/>
    <w:rPr>
      <w:caps/>
      <w:spacing w:val="15"/>
      <w:shd w:val="clear" w:color="auto" w:fill="EAF1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404"/>
    <w:rPr>
      <w:caps/>
      <w:color w:val="414C1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404"/>
    <w:rPr>
      <w:caps/>
      <w:color w:val="61721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404"/>
    <w:rPr>
      <w:caps/>
      <w:color w:val="61721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404"/>
    <w:rPr>
      <w:caps/>
      <w:color w:val="61721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404"/>
    <w:rPr>
      <w:caps/>
      <w:color w:val="61721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40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40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7404"/>
    <w:rPr>
      <w:b/>
      <w:bCs/>
      <w:color w:val="61721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B7404"/>
    <w:pPr>
      <w:spacing w:before="0" w:after="0"/>
    </w:pPr>
    <w:rPr>
      <w:rFonts w:asciiTheme="majorHAnsi" w:eastAsiaTheme="majorEastAsia" w:hAnsiTheme="majorHAnsi" w:cstheme="majorBidi"/>
      <w:caps/>
      <w:color w:val="83992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7404"/>
    <w:rPr>
      <w:rFonts w:asciiTheme="majorHAnsi" w:eastAsiaTheme="majorEastAsia" w:hAnsiTheme="majorHAnsi" w:cstheme="majorBidi"/>
      <w:caps/>
      <w:color w:val="83992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40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B740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B7404"/>
    <w:rPr>
      <w:b/>
      <w:bCs/>
    </w:rPr>
  </w:style>
  <w:style w:type="character" w:styleId="Emphasis">
    <w:name w:val="Emphasis"/>
    <w:uiPriority w:val="20"/>
    <w:qFormat/>
    <w:rsid w:val="008B7404"/>
    <w:rPr>
      <w:caps/>
      <w:color w:val="414C15" w:themeColor="accent1" w:themeShade="7F"/>
      <w:spacing w:val="5"/>
    </w:rPr>
  </w:style>
  <w:style w:type="paragraph" w:styleId="NoSpacing">
    <w:name w:val="No Spacing"/>
    <w:uiPriority w:val="1"/>
    <w:qFormat/>
    <w:rsid w:val="008B740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B740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B740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404"/>
    <w:pPr>
      <w:spacing w:before="240" w:after="240" w:line="240" w:lineRule="auto"/>
      <w:ind w:left="1080" w:right="1080"/>
      <w:jc w:val="center"/>
    </w:pPr>
    <w:rPr>
      <w:color w:val="83992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404"/>
    <w:rPr>
      <w:color w:val="83992A" w:themeColor="accent1"/>
      <w:sz w:val="24"/>
      <w:szCs w:val="24"/>
    </w:rPr>
  </w:style>
  <w:style w:type="character" w:styleId="SubtleEmphasis">
    <w:name w:val="Subtle Emphasis"/>
    <w:uiPriority w:val="19"/>
    <w:qFormat/>
    <w:rsid w:val="008B7404"/>
    <w:rPr>
      <w:i/>
      <w:iCs/>
      <w:color w:val="414C15" w:themeColor="accent1" w:themeShade="7F"/>
    </w:rPr>
  </w:style>
  <w:style w:type="character" w:styleId="IntenseEmphasis">
    <w:name w:val="Intense Emphasis"/>
    <w:uiPriority w:val="21"/>
    <w:qFormat/>
    <w:rsid w:val="008B7404"/>
    <w:rPr>
      <w:b/>
      <w:bCs/>
      <w:caps/>
      <w:color w:val="414C15" w:themeColor="accent1" w:themeShade="7F"/>
      <w:spacing w:val="10"/>
    </w:rPr>
  </w:style>
  <w:style w:type="character" w:styleId="SubtleReference">
    <w:name w:val="Subtle Reference"/>
    <w:uiPriority w:val="31"/>
    <w:qFormat/>
    <w:rsid w:val="008B7404"/>
    <w:rPr>
      <w:b/>
      <w:bCs/>
      <w:color w:val="83992A" w:themeColor="accent1"/>
    </w:rPr>
  </w:style>
  <w:style w:type="character" w:styleId="IntenseReference">
    <w:name w:val="Intense Reference"/>
    <w:uiPriority w:val="32"/>
    <w:qFormat/>
    <w:rsid w:val="008B7404"/>
    <w:rPr>
      <w:b/>
      <w:bCs/>
      <w:i/>
      <w:iCs/>
      <w:caps/>
      <w:color w:val="83992A" w:themeColor="accent1"/>
    </w:rPr>
  </w:style>
  <w:style w:type="character" w:styleId="BookTitle">
    <w:name w:val="Book Title"/>
    <w:uiPriority w:val="33"/>
    <w:qFormat/>
    <w:rsid w:val="008B740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740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C204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04C"/>
  </w:style>
  <w:style w:type="paragraph" w:styleId="Footer">
    <w:name w:val="footer"/>
    <w:basedOn w:val="Normal"/>
    <w:link w:val="FooterChar"/>
    <w:uiPriority w:val="99"/>
    <w:unhideWhenUsed/>
    <w:rsid w:val="000C204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04C"/>
  </w:style>
  <w:style w:type="character" w:styleId="Hyperlink">
    <w:name w:val="Hyperlink"/>
    <w:basedOn w:val="DefaultParagraphFont"/>
    <w:uiPriority w:val="99"/>
    <w:unhideWhenUsed/>
    <w:rsid w:val="000C204C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0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10.png"/><Relationship Id="rId18" Type="http://schemas.openxmlformats.org/officeDocument/2006/relationships/image" Target="media/image30.jpeg"/><Relationship Id="rId26" Type="http://schemas.openxmlformats.org/officeDocument/2006/relationships/hyperlink" Target="https://doi.org/10.1002/cpmo.68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customXml" Target="ink/ink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ustomXml" Target="ink/ink3.xml"/><Relationship Id="rId28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50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05T21:40:24.55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05T21:40:23.54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23:51:20.3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23:51:19.9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02FEC-359B-4B5F-A909-DEF5DE05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Morton</dc:creator>
  <cp:keywords/>
  <dc:description/>
  <cp:lastModifiedBy>Warren Ladiges</cp:lastModifiedBy>
  <cp:revision>15</cp:revision>
  <cp:lastPrinted>2020-02-03T23:04:00Z</cp:lastPrinted>
  <dcterms:created xsi:type="dcterms:W3CDTF">2020-12-03T03:12:00Z</dcterms:created>
  <dcterms:modified xsi:type="dcterms:W3CDTF">2020-12-03T05:27:00Z</dcterms:modified>
</cp:coreProperties>
</file>