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4A" w:rsidRPr="00E76ABF" w:rsidRDefault="00B7564A" w:rsidP="0037370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Arthritis as an Adverse Event of Special Interest post COVID-19 vaccine implementation</w:t>
      </w:r>
    </w:p>
    <w:p w:rsidR="003B38F3" w:rsidRPr="00E76ABF" w:rsidRDefault="003B38F3" w:rsidP="0037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6ABF" w:rsidRPr="00146756" w:rsidRDefault="00E76ABF" w:rsidP="0037370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467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Author:</w:t>
      </w:r>
    </w:p>
    <w:p w:rsidR="00146756" w:rsidRPr="00E76ABF" w:rsidRDefault="00146756" w:rsidP="0037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6ABF" w:rsidRPr="00E76ABF" w:rsidRDefault="00E76ABF" w:rsidP="0037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Shyh Poh, Teo</w:t>
      </w:r>
    </w:p>
    <w:p w:rsidR="00E76ABF" w:rsidRPr="00E76ABF" w:rsidRDefault="00E76ABF" w:rsidP="0037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6ABF" w:rsidRPr="00E76ABF" w:rsidRDefault="00E76ABF" w:rsidP="0037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Department of Internal Medicine, Raja </w:t>
      </w:r>
      <w:proofErr w:type="spellStart"/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Isteri</w:t>
      </w:r>
      <w:proofErr w:type="spellEnd"/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Pengiran</w:t>
      </w:r>
      <w:proofErr w:type="spellEnd"/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Saleha</w:t>
      </w:r>
      <w:proofErr w:type="spellEnd"/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(RIPAS) Hospital, Bandar Seri Begawan, Brunei Darussalam</w:t>
      </w:r>
    </w:p>
    <w:p w:rsidR="00E76ABF" w:rsidRPr="00E76ABF" w:rsidRDefault="00E76ABF" w:rsidP="0037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370D" w:rsidRDefault="0037370D" w:rsidP="0037370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76ABF" w:rsidRPr="00146756" w:rsidRDefault="00E76ABF" w:rsidP="0037370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467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Corresponding Author:</w:t>
      </w:r>
    </w:p>
    <w:p w:rsidR="00E76ABF" w:rsidRPr="00E76ABF" w:rsidRDefault="00E76ABF" w:rsidP="0037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6ABF" w:rsidRDefault="00E76ABF" w:rsidP="0037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Shyh Poh Teo</w:t>
      </w:r>
    </w:p>
    <w:p w:rsidR="00146756" w:rsidRPr="00E76ABF" w:rsidRDefault="00146756" w:rsidP="0037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6ABF" w:rsidRPr="00E76ABF" w:rsidRDefault="00146756" w:rsidP="0037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Address: </w:t>
      </w:r>
      <w:r w:rsidR="00E76ABF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Department of Internal Medicine, Raja </w:t>
      </w:r>
      <w:proofErr w:type="spellStart"/>
      <w:r w:rsidR="00E76ABF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Isteri</w:t>
      </w:r>
      <w:proofErr w:type="spellEnd"/>
      <w:r w:rsidR="00E76ABF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6ABF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Pengiran</w:t>
      </w:r>
      <w:proofErr w:type="spellEnd"/>
      <w:r w:rsidR="00E76ABF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6ABF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="00E76ABF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6ABF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Saleha</w:t>
      </w:r>
      <w:proofErr w:type="spellEnd"/>
      <w:r w:rsidR="00E76ABF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(RIPAS) Hospital, Bandar Seri Begawan, BA1710, Brunei Darussalam</w:t>
      </w:r>
    </w:p>
    <w:p w:rsidR="00E76ABF" w:rsidRPr="00E76ABF" w:rsidRDefault="00E76ABF" w:rsidP="0037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6ABF" w:rsidRPr="00E76ABF" w:rsidRDefault="00E76ABF" w:rsidP="0037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Email: </w:t>
      </w:r>
      <w:hyperlink r:id="rId5" w:history="1">
        <w:r w:rsidRPr="00E76ABF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shyhpoh.teo@moh.gov.bn</w:t>
        </w:r>
      </w:hyperlink>
    </w:p>
    <w:p w:rsidR="00E76ABF" w:rsidRPr="00E76ABF" w:rsidRDefault="00E76ABF" w:rsidP="0037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6ABF" w:rsidRPr="00E76ABF" w:rsidRDefault="00E76ABF" w:rsidP="0037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ORCID </w:t>
      </w:r>
      <w:proofErr w:type="spellStart"/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iD</w:t>
      </w:r>
      <w:proofErr w:type="spellEnd"/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E76A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0000-0002-6117-5774</w:t>
      </w:r>
    </w:p>
    <w:p w:rsidR="00E76ABF" w:rsidRPr="00E76ABF" w:rsidRDefault="00E76ABF" w:rsidP="0037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6ABF" w:rsidRDefault="00E76ABF" w:rsidP="0037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564A" w:rsidRPr="00E76ABF" w:rsidRDefault="00B7564A" w:rsidP="0037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6ABF" w:rsidRDefault="00E76ABF" w:rsidP="0037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370D" w:rsidRDefault="0037370D" w:rsidP="0037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370D" w:rsidRDefault="0037370D" w:rsidP="0037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370D" w:rsidRDefault="0037370D" w:rsidP="0037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370D" w:rsidRDefault="0037370D" w:rsidP="0037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370D" w:rsidRDefault="0037370D" w:rsidP="0037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370D" w:rsidRDefault="0037370D" w:rsidP="0037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370D" w:rsidRDefault="0037370D" w:rsidP="0037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370D" w:rsidRDefault="0037370D" w:rsidP="0037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370D" w:rsidRDefault="0037370D" w:rsidP="0037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370D" w:rsidRDefault="0037370D" w:rsidP="0037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370D" w:rsidRDefault="0037370D" w:rsidP="0037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370D" w:rsidRDefault="0037370D" w:rsidP="0037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370D" w:rsidRDefault="0037370D" w:rsidP="0037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370D" w:rsidRDefault="0037370D" w:rsidP="0037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370D" w:rsidRDefault="0037370D" w:rsidP="0037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370D" w:rsidRDefault="0037370D" w:rsidP="0037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370D" w:rsidRDefault="0037370D" w:rsidP="0037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370D" w:rsidRDefault="0037370D" w:rsidP="0037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370D" w:rsidRDefault="0037370D" w:rsidP="0037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370D" w:rsidRDefault="0037370D" w:rsidP="0037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370D" w:rsidRDefault="0037370D" w:rsidP="0037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370D" w:rsidRPr="00E76ABF" w:rsidRDefault="0037370D" w:rsidP="0037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564A" w:rsidRPr="00E76ABF" w:rsidRDefault="00B7564A" w:rsidP="0037370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Arthritis as an Adverse Event of Special Interest post COVID-19 vaccine implementation</w:t>
      </w:r>
    </w:p>
    <w:p w:rsidR="00146756" w:rsidRDefault="00146756" w:rsidP="0037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6756" w:rsidRDefault="00146756" w:rsidP="0037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7220E" w:rsidRPr="00E76ABF" w:rsidRDefault="00A7220E" w:rsidP="0037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Dear Editor,</w:t>
      </w:r>
    </w:p>
    <w:p w:rsidR="00A7220E" w:rsidRPr="00E76ABF" w:rsidRDefault="00A7220E" w:rsidP="0037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1462" w:rsidRPr="00E76ABF" w:rsidRDefault="00AA5685" w:rsidP="0037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COVID-19 vaccines are currently in development or being rolled out as a public health response to manage the pandemic. While vaccines selected for mass public immunization </w:t>
      </w:r>
      <w:proofErr w:type="spellStart"/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programmes</w:t>
      </w:r>
      <w:proofErr w:type="spellEnd"/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would have demonstrated safety and efficacy in Phase 3 trials, vaccine safety monitoring including reporting of adverse events following immunization (AEFI) and investigation of reported cases are still required for safety surveillance. </w:t>
      </w:r>
      <w:r w:rsidR="00A7220E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Monitoring of </w:t>
      </w:r>
      <w:r w:rsidR="00F150EC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AEFI post COVID-19 vaccin</w:t>
      </w:r>
      <w:r w:rsidR="00A7220E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ation is </w:t>
      </w:r>
      <w:r w:rsidR="00146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quite</w:t>
      </w:r>
      <w:r w:rsidR="00A7220E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relevant to </w:t>
      </w:r>
      <w:r w:rsidR="00B756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clinicians</w:t>
      </w:r>
      <w:r w:rsidR="00F150EC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150EC" w:rsidRPr="00E76ABF" w:rsidRDefault="00F150EC" w:rsidP="0037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38F3" w:rsidRPr="00E76ABF" w:rsidRDefault="00B7564A" w:rsidP="0037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F150EC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ll clinicians play a role in reporting suspected AEFI to national pharmacovigilance </w:t>
      </w:r>
      <w:proofErr w:type="spellStart"/>
      <w:r w:rsidR="00F150EC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centres</w:t>
      </w:r>
      <w:proofErr w:type="spellEnd"/>
      <w:r w:rsidR="00F150EC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11462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These reports</w:t>
      </w:r>
      <w:r w:rsidR="00F150EC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are submitted</w:t>
      </w:r>
      <w:r w:rsidR="00D11462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="00D11462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Vigibase</w:t>
      </w:r>
      <w:proofErr w:type="spellEnd"/>
      <w:r w:rsidR="00D11462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the World Health </w:t>
      </w:r>
      <w:proofErr w:type="spellStart"/>
      <w:r w:rsidR="00D11462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Organisation’s</w:t>
      </w:r>
      <w:proofErr w:type="spellEnd"/>
      <w:r w:rsidR="00D11462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database of adverse drug reactions, which is </w:t>
      </w:r>
      <w:proofErr w:type="spellStart"/>
      <w:r w:rsidR="00F150EC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utilised</w:t>
      </w:r>
      <w:proofErr w:type="spellEnd"/>
      <w:r w:rsidR="00D11462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international safety signal detection.</w:t>
      </w:r>
      <w:r w:rsidR="00AA5685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0EC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This approach for vaccine safety monitoring is of particular importance for COVID-19 vaccines, given the rapid implementation via Emergency Use </w:t>
      </w:r>
      <w:proofErr w:type="spellStart"/>
      <w:r w:rsidR="00F150EC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Authorisation</w:t>
      </w:r>
      <w:proofErr w:type="spellEnd"/>
      <w:r w:rsidR="00F150EC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the planned administration to large populations over a short</w:t>
      </w:r>
      <w:r w:rsidR="0052721E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period of</w:t>
      </w:r>
      <w:r w:rsidR="00F150EC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time</w:t>
      </w:r>
      <w:r w:rsidR="00A7220E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[1]</w:t>
      </w:r>
      <w:r w:rsidR="00F150EC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3B38F3" w:rsidRPr="00E76ABF" w:rsidRDefault="003B38F3" w:rsidP="0037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28AC" w:rsidRPr="00E76ABF" w:rsidRDefault="00C72F9B" w:rsidP="0037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s</w:t>
      </w:r>
      <w:r w:rsidR="00F150EC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ome AEFI</w:t>
      </w:r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it may be intuitive that the adverse event was </w:t>
      </w:r>
      <w:r w:rsidR="00CF3FF7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direc</w:t>
      </w:r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consequence of the vaccination</w:t>
      </w:r>
      <w:r w:rsidR="00CF3FF7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428AC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CF3FF7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example, a case report described</w:t>
      </w:r>
      <w:r w:rsidR="00B428AC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patient presenting with an acutely painful right shoulder after </w:t>
      </w:r>
      <w:r w:rsidR="00CF3FF7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receiving</w:t>
      </w:r>
      <w:r w:rsidR="0052721E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CF3FF7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3FF7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Pneumovax</w:t>
      </w:r>
      <w:proofErr w:type="spellEnd"/>
      <w:r w:rsidR="00CF3FF7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injection. The</w:t>
      </w:r>
      <w:r w:rsidR="00B428AC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28AC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pseudoseptic</w:t>
      </w:r>
      <w:proofErr w:type="spellEnd"/>
      <w:r w:rsidR="00B428AC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arthritis</w:t>
      </w:r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6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was postulated to have</w:t>
      </w:r>
      <w:r w:rsidR="00CF3FF7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developed</w:t>
      </w:r>
      <w:r w:rsidR="00B428AC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from</w:t>
      </w:r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</w:t>
      </w:r>
      <w:r w:rsidR="00B428AC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accidental intra-articular </w:t>
      </w:r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administration</w:t>
      </w:r>
      <w:r w:rsidR="00B428AC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given the proximity of deltoid injections to the </w:t>
      </w:r>
      <w:proofErr w:type="spellStart"/>
      <w:r w:rsidR="00B428AC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glenohumeral</w:t>
      </w:r>
      <w:proofErr w:type="spellEnd"/>
      <w:r w:rsidR="00B428AC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join</w:t>
      </w:r>
      <w:r w:rsidR="00CF3FF7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A7220E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[2]</w:t>
      </w:r>
      <w:r w:rsidR="00CF3FF7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428AC" w:rsidRPr="00E76ABF" w:rsidRDefault="00B428AC" w:rsidP="0037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F3FF7" w:rsidRPr="00E76ABF" w:rsidRDefault="00CF3FF7" w:rsidP="0037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However, some AEFI may not be easil</w:t>
      </w:r>
      <w:r w:rsidR="00C72F9B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 attribu</w:t>
      </w:r>
      <w:r w:rsidR="0052721E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table to vaccinations</w:t>
      </w:r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may manifest as </w:t>
      </w:r>
      <w:r w:rsidR="00B756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possibly unrelated conditions</w:t>
      </w:r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C72F9B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Clinicians should have a low threshold to report suspected AEFI, as this may lead to signal detection and trigger further investigations and causality assessment. This was previously experienced with the rubella vaccine</w:t>
      </w:r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B428AC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 1991, the Institute of Medicine </w:t>
      </w:r>
      <w:r w:rsidR="0067526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reviewed a wide range of information sources and </w:t>
      </w:r>
      <w:r w:rsidR="00B428AC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published a report</w:t>
      </w:r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2721E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concluding</w:t>
      </w:r>
      <w:r w:rsidR="00B428AC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causal relationship between the rubella vaccine with acute and chronic arthritis in adult women</w:t>
      </w:r>
      <w:r w:rsidR="00A7220E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[3]</w:t>
      </w:r>
      <w:r w:rsidR="00C72F9B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A7220E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Subsequent to this, claims for chronic </w:t>
      </w:r>
      <w:proofErr w:type="spellStart"/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arthropathy</w:t>
      </w:r>
      <w:proofErr w:type="spellEnd"/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post-rubella vaccination were submitted to the National Vaccine Injury Compensation </w:t>
      </w:r>
      <w:proofErr w:type="spellStart"/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Programme</w:t>
      </w:r>
      <w:proofErr w:type="spellEnd"/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Majority of the claims were for symptoms between one and six weeks after vaccination, ranging from arthralgia and fibromyalgia to multiple symptoms with minimal arthralgia or myalgia</w:t>
      </w:r>
      <w:r w:rsidR="00A7220E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[4]</w:t>
      </w:r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30D63" w:rsidRPr="00E76ABF" w:rsidRDefault="00630D63" w:rsidP="0037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4752" w:rsidRPr="00E76ABF" w:rsidRDefault="0067526D" w:rsidP="0037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While a</w:t>
      </w:r>
      <w:r w:rsidR="00CF3FF7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large retrospective cohort study did not find any associated risk for new onset chronic </w:t>
      </w:r>
      <w:proofErr w:type="spellStart"/>
      <w:r w:rsidR="00CF3FF7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arthropathies</w:t>
      </w:r>
      <w:proofErr w:type="spellEnd"/>
      <w:r w:rsidR="00CF3FF7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women receiving the RA27/3 rubella vaccine</w:t>
      </w:r>
      <w:r w:rsidR="00A7220E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[5]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idiosyncratic reactions are usually rare and identified during post-marketing surveillance.</w:t>
      </w:r>
      <w:r w:rsidR="00CF3FF7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220E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systematic review evaluating the association between vaccinations to incident arthritis or worsening of arthritis conditions found that </w:t>
      </w:r>
      <w:r w:rsidR="00304752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studies were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also </w:t>
      </w:r>
      <w:r w:rsidR="00304752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quite </w:t>
      </w:r>
      <w:proofErr w:type="spellStart"/>
      <w:r w:rsidR="00304752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heterogenous</w:t>
      </w:r>
      <w:proofErr w:type="spellEnd"/>
      <w:r w:rsidR="00304752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incomplete for rigorous causality assessment to be performed [6].</w:t>
      </w:r>
    </w:p>
    <w:p w:rsidR="00304752" w:rsidRPr="00E76ABF" w:rsidRDefault="00304752" w:rsidP="0037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38F3" w:rsidRPr="00E76ABF" w:rsidRDefault="00304752" w:rsidP="0037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Due to this previous experience, acute aseptic arthritis was identified as an Adverse Event of Special Interest (AESI). For </w:t>
      </w:r>
      <w:r w:rsidR="00B756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clinician</w:t>
      </w:r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s, this means that cases of acute aseptic arthritis warrant reporting to national pharmacovigilance </w:t>
      </w:r>
      <w:proofErr w:type="spellStart"/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centres</w:t>
      </w:r>
      <w:proofErr w:type="spellEnd"/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particularly if there is a temporal relationship to </w:t>
      </w:r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receiving a COVID-19 vaccine. The case definition for acute aseptic arthritis and a guideline template for reporting is available from the Brighton Collaboration [7]. </w:t>
      </w:r>
      <w:r w:rsidR="0052721E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addition to arthritis, there are also frequently reported autoimmune manifestations post-vaccination, such as vasculitis, encephalitis, thrombocytopenia and Guillain-Barre syndrome. However, </w:t>
      </w:r>
      <w:r w:rsidR="006752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it should be noted that </w:t>
      </w:r>
      <w:r w:rsidR="0052721E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controlled studies of autoimmunity following viral vaccines did not identify evidence of an association [8].</w:t>
      </w:r>
    </w:p>
    <w:p w:rsidR="003B38F3" w:rsidRPr="00E76ABF" w:rsidRDefault="003B38F3" w:rsidP="0037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304752" w:rsidRPr="00E76ABF" w:rsidRDefault="00E76ABF" w:rsidP="0037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Overall, while </w:t>
      </w:r>
      <w:r w:rsidR="0052721E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occurrence of arthritis and autoimmune conditions after vaccines </w:t>
      </w:r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remain controversial, </w:t>
      </w:r>
      <w:r w:rsidR="00B756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clinicians</w:t>
      </w:r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should report all suspected AEFI. </w:t>
      </w:r>
      <w:r w:rsidR="006752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67526D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cute aseptic arthritis constitutes an AESI, which should be reported</w:t>
      </w:r>
      <w:r w:rsidR="006752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 part of vaccine safety surveillance</w:t>
      </w:r>
      <w:r w:rsidR="0067526D"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COVID-19 vaccine recipients.</w:t>
      </w:r>
      <w:r w:rsidR="006752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These will contribute towards signal detection and trigger further inve</w:t>
      </w:r>
      <w:r w:rsidR="006752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stigations if warranted. </w:t>
      </w:r>
    </w:p>
    <w:p w:rsidR="0049347F" w:rsidRDefault="0049347F" w:rsidP="0037370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347F" w:rsidRPr="00E76ABF" w:rsidRDefault="0049347F" w:rsidP="0037370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4752" w:rsidRPr="00146756" w:rsidRDefault="00146756" w:rsidP="003737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67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Conflicts of Interest:</w:t>
      </w:r>
    </w:p>
    <w:p w:rsidR="00146756" w:rsidRDefault="00146756" w:rsidP="0037370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756" w:rsidRPr="00E76ABF" w:rsidRDefault="00146756" w:rsidP="0037370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author declares no conflicts of interest.</w:t>
      </w:r>
    </w:p>
    <w:p w:rsidR="00B7564A" w:rsidRDefault="00B7564A" w:rsidP="003737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564A" w:rsidRDefault="00B7564A" w:rsidP="003737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564A" w:rsidRDefault="00B7564A" w:rsidP="003737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564A" w:rsidRDefault="00B7564A" w:rsidP="003737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564A" w:rsidRDefault="00B7564A" w:rsidP="003737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370D" w:rsidRDefault="0037370D" w:rsidP="003737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370D" w:rsidRDefault="0037370D" w:rsidP="003737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370D" w:rsidRDefault="0037370D" w:rsidP="003737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370D" w:rsidRDefault="0037370D" w:rsidP="003737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370D" w:rsidRDefault="0037370D" w:rsidP="003737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370D" w:rsidRDefault="0037370D" w:rsidP="003737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370D" w:rsidRDefault="0037370D" w:rsidP="003737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370D" w:rsidRDefault="0037370D" w:rsidP="003737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370D" w:rsidRDefault="0037370D" w:rsidP="003737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370D" w:rsidRDefault="0037370D" w:rsidP="003737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370D" w:rsidRDefault="0037370D" w:rsidP="003737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370D" w:rsidRDefault="0037370D" w:rsidP="003737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370D" w:rsidRDefault="0037370D" w:rsidP="003737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370D" w:rsidRDefault="0037370D" w:rsidP="003737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370D" w:rsidRDefault="0037370D" w:rsidP="003737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370D" w:rsidRDefault="0037370D" w:rsidP="003737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370D" w:rsidRDefault="0037370D" w:rsidP="003737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370D" w:rsidRDefault="0037370D" w:rsidP="003737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370D" w:rsidRDefault="0037370D" w:rsidP="003737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370D" w:rsidRDefault="0037370D" w:rsidP="003737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370D" w:rsidRDefault="0037370D" w:rsidP="003737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370D" w:rsidRDefault="0037370D" w:rsidP="003737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370D" w:rsidRDefault="0037370D" w:rsidP="003737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370D" w:rsidRDefault="0037370D" w:rsidP="003737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4752" w:rsidRPr="00E76ABF" w:rsidRDefault="00304752" w:rsidP="003737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6A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References:</w:t>
      </w:r>
    </w:p>
    <w:p w:rsidR="00304752" w:rsidRDefault="00304752" w:rsidP="0037370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370D" w:rsidRPr="00E76ABF" w:rsidRDefault="0037370D" w:rsidP="0037370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304752" w:rsidRPr="00E76ABF" w:rsidRDefault="00304752" w:rsidP="003737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World Health </w:t>
      </w:r>
      <w:proofErr w:type="spellStart"/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Organisation</w:t>
      </w:r>
      <w:proofErr w:type="spellEnd"/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COVID-19 vaccines: safety surveillance manual. Module: Stakeholders in COVID-19 vaccine safety surveillance [Internet]. WHO; 20</w:t>
      </w:r>
      <w:r w:rsidR="00B756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 [Updated 2020; cited 2021 Jan</w:t>
      </w:r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28]. Available from: https://www.who.int/vaccine_safety/committee/Module_Stakeholders.pdf?ua=1</w:t>
      </w:r>
    </w:p>
    <w:p w:rsidR="00304752" w:rsidRPr="00E76ABF" w:rsidRDefault="00304752" w:rsidP="0037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4752" w:rsidRPr="00E76ABF" w:rsidRDefault="00304752" w:rsidP="003737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McColgan</w:t>
      </w:r>
      <w:proofErr w:type="spellEnd"/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BP, </w:t>
      </w:r>
      <w:proofErr w:type="spellStart"/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Borschke</w:t>
      </w:r>
      <w:proofErr w:type="spellEnd"/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FA. </w:t>
      </w:r>
      <w:proofErr w:type="spellStart"/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Pseudoseptic</w:t>
      </w:r>
      <w:proofErr w:type="spellEnd"/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arthritis after accidental intra-articular deposition of pneumococcal polyvalent vaccine: a case report. Am J </w:t>
      </w:r>
      <w:proofErr w:type="spellStart"/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Emerg</w:t>
      </w:r>
      <w:proofErr w:type="spellEnd"/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Med 2007;25(7</w:t>
      </w:r>
      <w:proofErr w:type="gramStart"/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):864.E</w:t>
      </w:r>
      <w:proofErr w:type="gramEnd"/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1-864.E3. </w:t>
      </w:r>
      <w:proofErr w:type="spellStart"/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10.1016/j.ajem.2007.02.021</w:t>
      </w:r>
    </w:p>
    <w:p w:rsidR="00304752" w:rsidRPr="00E76ABF" w:rsidRDefault="00304752" w:rsidP="0037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4752" w:rsidRPr="00E76ABF" w:rsidRDefault="00304752" w:rsidP="003737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Howson CP, </w:t>
      </w:r>
      <w:proofErr w:type="spellStart"/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Fineberg</w:t>
      </w:r>
      <w:proofErr w:type="spellEnd"/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HV. Adverse events following pertussis and rubella vaccines. JAMA 1992;267(3):392-396. </w:t>
      </w:r>
      <w:proofErr w:type="spellStart"/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10.1001/jama.1992.03480030070039</w:t>
      </w:r>
    </w:p>
    <w:p w:rsidR="00304752" w:rsidRPr="00E76ABF" w:rsidRDefault="00304752" w:rsidP="0037370D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4752" w:rsidRPr="00E76ABF" w:rsidRDefault="00304752" w:rsidP="0037370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proofErr w:type="spellStart"/>
      <w:r w:rsidRPr="00E76AB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Weibel</w:t>
      </w:r>
      <w:proofErr w:type="spellEnd"/>
      <w:r w:rsidRPr="00E76AB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RE, </w:t>
      </w:r>
      <w:proofErr w:type="spellStart"/>
      <w:r w:rsidRPr="00E76AB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Benor</w:t>
      </w:r>
      <w:proofErr w:type="spellEnd"/>
      <w:r w:rsidRPr="00E76AB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DE. Chronic </w:t>
      </w:r>
      <w:proofErr w:type="spellStart"/>
      <w:r w:rsidRPr="00E76AB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arthropathy</w:t>
      </w:r>
      <w:proofErr w:type="spellEnd"/>
      <w:r w:rsidRPr="00E76AB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and musculoskeletal symptoms associated with rubella vaccines. A review of 124 claims submitted to the national vaccine injury compensation program. Arthritis </w:t>
      </w:r>
      <w:proofErr w:type="spellStart"/>
      <w:r w:rsidRPr="00E76AB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Rheumatol</w:t>
      </w:r>
      <w:proofErr w:type="spellEnd"/>
      <w:r w:rsidRPr="00E76AB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1996;39(9):1529-1534.</w:t>
      </w:r>
    </w:p>
    <w:p w:rsidR="00304752" w:rsidRPr="00E76ABF" w:rsidRDefault="00304752" w:rsidP="0037370D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4752" w:rsidRPr="00E76ABF" w:rsidRDefault="00304752" w:rsidP="003737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Ray P, Black S, </w:t>
      </w:r>
      <w:proofErr w:type="spellStart"/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Shinefield</w:t>
      </w:r>
      <w:proofErr w:type="spellEnd"/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H, et al. Risk of chronic </w:t>
      </w:r>
      <w:proofErr w:type="spellStart"/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arthropathy</w:t>
      </w:r>
      <w:proofErr w:type="spellEnd"/>
      <w:r w:rsidRPr="00E76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among women after rubella vaccination. JAMA 1997;278(7):551-556. doi:10.1001/jama.1997.03550070043036</w:t>
      </w:r>
    </w:p>
    <w:p w:rsidR="00304752" w:rsidRPr="00E76ABF" w:rsidRDefault="00304752" w:rsidP="0037370D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4752" w:rsidRPr="00E76ABF" w:rsidRDefault="00304752" w:rsidP="0037370D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proofErr w:type="spellStart"/>
      <w:r w:rsidRPr="00E76AB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Panozzo</w:t>
      </w:r>
      <w:proofErr w:type="spellEnd"/>
      <w:r w:rsidRPr="00E76AB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CA, </w:t>
      </w:r>
      <w:proofErr w:type="spellStart"/>
      <w:r w:rsidRPr="00E76AB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Pourmalek</w:t>
      </w:r>
      <w:proofErr w:type="spellEnd"/>
      <w:r w:rsidRPr="00E76AB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F, </w:t>
      </w:r>
      <w:proofErr w:type="spellStart"/>
      <w:r w:rsidRPr="00E76AB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Pernus</w:t>
      </w:r>
      <w:proofErr w:type="spellEnd"/>
      <w:r w:rsidRPr="00E76AB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YB, et al. Arthritis and arthralgia as an adverse event following immunization: A systematic literature review</w:t>
      </w:r>
      <w:r w:rsidRPr="00E76AB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. Vaccine 2019;37(2):372-383.</w:t>
      </w:r>
      <w:hyperlink r:id="rId6" w:history="1">
        <w:r w:rsidRPr="00E76ABF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4"/>
            <w:szCs w:val="24"/>
          </w:rPr>
          <w:t xml:space="preserve"> </w:t>
        </w:r>
        <w:r w:rsidRPr="00E76ABF">
          <w:rPr>
            <w:rFonts w:ascii="Times New Roman" w:eastAsia="Times New Roman" w:hAnsi="Times New Roman" w:cs="Times New Roman"/>
            <w:color w:val="000000" w:themeColor="text1"/>
            <w:kern w:val="36"/>
            <w:sz w:val="24"/>
            <w:szCs w:val="24"/>
          </w:rPr>
          <w:t>https://doi.org/10.1016/j.vaccine.2018.06.067</w:t>
        </w:r>
      </w:hyperlink>
    </w:p>
    <w:p w:rsidR="00304752" w:rsidRPr="00E76ABF" w:rsidRDefault="00304752" w:rsidP="0037370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4752" w:rsidRPr="00E76ABF" w:rsidRDefault="00304752" w:rsidP="0037370D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proofErr w:type="spellStart"/>
      <w:r w:rsidRPr="00E76AB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Woerner</w:t>
      </w:r>
      <w:proofErr w:type="spellEnd"/>
      <w:r w:rsidRPr="00E76AB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A, </w:t>
      </w:r>
      <w:proofErr w:type="spellStart"/>
      <w:r w:rsidRPr="00E76AB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Pourmalek</w:t>
      </w:r>
      <w:proofErr w:type="spellEnd"/>
      <w:r w:rsidRPr="00E76AB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F, </w:t>
      </w:r>
      <w:proofErr w:type="spellStart"/>
      <w:r w:rsidRPr="00E76AB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Panozzo</w:t>
      </w:r>
      <w:proofErr w:type="spellEnd"/>
      <w:r w:rsidRPr="00E76AB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C, et al. Acute aseptic arthritis: Case definition &amp; guidelines for data collection, analysis, and presentation of </w:t>
      </w:r>
      <w:proofErr w:type="spellStart"/>
      <w:r w:rsidRPr="00E76AB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immunisation</w:t>
      </w:r>
      <w:proofErr w:type="spellEnd"/>
      <w:r w:rsidRPr="00E76AB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safety data. Vaccine 2019;37(2):384-391.</w:t>
      </w:r>
      <w:hyperlink r:id="rId7" w:history="1">
        <w:r w:rsidRPr="00E76ABF">
          <w:rPr>
            <w:rFonts w:ascii="Times New Roman" w:eastAsia="Times New Roman" w:hAnsi="Times New Roman" w:cs="Times New Roman"/>
            <w:color w:val="000000" w:themeColor="text1"/>
            <w:kern w:val="36"/>
            <w:sz w:val="24"/>
            <w:szCs w:val="24"/>
          </w:rPr>
          <w:t xml:space="preserve"> </w:t>
        </w:r>
        <w:r w:rsidRPr="00E76ABF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4"/>
            <w:szCs w:val="24"/>
          </w:rPr>
          <w:t>https://doi.org/10.1016/j.vaccine.2017.08.087</w:t>
        </w:r>
      </w:hyperlink>
    </w:p>
    <w:p w:rsidR="00E76ABF" w:rsidRPr="00E76ABF" w:rsidRDefault="00E76ABF" w:rsidP="0037370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6ABF" w:rsidRPr="00E76ABF" w:rsidRDefault="00E76ABF" w:rsidP="0037370D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proofErr w:type="spellStart"/>
      <w:r w:rsidRPr="00E76AB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Schattner</w:t>
      </w:r>
      <w:proofErr w:type="spellEnd"/>
      <w:r w:rsidRPr="00E76AB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A. Consequence or </w:t>
      </w:r>
      <w:proofErr w:type="gramStart"/>
      <w:r w:rsidRPr="00E76AB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coincidence?</w:t>
      </w:r>
      <w:r w:rsidRPr="00E76AB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:</w:t>
      </w:r>
      <w:proofErr w:type="gramEnd"/>
      <w:r w:rsidRPr="00E76AB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The occurrence, pathogenesis and significance of autoimmune manifestations after viral vaccines. Vaccine 2005;23(30):3876-3886.</w:t>
      </w:r>
      <w:hyperlink r:id="rId8" w:history="1">
        <w:r w:rsidRPr="00E76ABF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4"/>
            <w:szCs w:val="24"/>
          </w:rPr>
          <w:t xml:space="preserve"> https://doi.org/10.1016/j.vaccine.2005.03.005</w:t>
        </w:r>
      </w:hyperlink>
    </w:p>
    <w:p w:rsidR="009B7355" w:rsidRPr="00B203BB" w:rsidRDefault="009B7355" w:rsidP="0037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370D" w:rsidRPr="00B203BB" w:rsidRDefault="0037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37370D" w:rsidRPr="00B20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2124"/>
    <w:multiLevelType w:val="hybridMultilevel"/>
    <w:tmpl w:val="2CAC3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F3"/>
    <w:rsid w:val="00146756"/>
    <w:rsid w:val="00304752"/>
    <w:rsid w:val="0037370D"/>
    <w:rsid w:val="003B38F3"/>
    <w:rsid w:val="0049347F"/>
    <w:rsid w:val="0052721E"/>
    <w:rsid w:val="005C446A"/>
    <w:rsid w:val="00630D63"/>
    <w:rsid w:val="0067526D"/>
    <w:rsid w:val="00912640"/>
    <w:rsid w:val="009B7355"/>
    <w:rsid w:val="00A7220E"/>
    <w:rsid w:val="00AA5685"/>
    <w:rsid w:val="00B203BB"/>
    <w:rsid w:val="00B428AC"/>
    <w:rsid w:val="00B7564A"/>
    <w:rsid w:val="00C72F9B"/>
    <w:rsid w:val="00CF3FF7"/>
    <w:rsid w:val="00D11462"/>
    <w:rsid w:val="00E76ABF"/>
    <w:rsid w:val="00F1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70545"/>
  <w15:chartTrackingRefBased/>
  <w15:docId w15:val="{D988A4AA-79F5-42F5-9302-5087E6A4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38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B38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8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B38F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B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38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6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vaccine.2005.03.0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16/j.vaccine.2017.08.0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vaccine.2018.06.067" TargetMode="External"/><Relationship Id="rId5" Type="http://schemas.openxmlformats.org/officeDocument/2006/relationships/hyperlink" Target="mailto:shyhpoh.teo@moh.gov.b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Shyh Poh Teo</dc:creator>
  <cp:keywords/>
  <dc:description/>
  <cp:lastModifiedBy>Dr Shyh Poh Teo</cp:lastModifiedBy>
  <cp:revision>4</cp:revision>
  <dcterms:created xsi:type="dcterms:W3CDTF">2021-02-10T21:46:00Z</dcterms:created>
  <dcterms:modified xsi:type="dcterms:W3CDTF">2021-02-10T21:47:00Z</dcterms:modified>
</cp:coreProperties>
</file>