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i/>
          <w:iCs/>
          <w:sz w:val="24"/>
          <w:szCs w:val="24"/>
        </w:rPr>
      </w:pPr>
      <w:bookmarkStart w:id="2" w:name="_GoBack"/>
      <w:bookmarkEnd w:id="2"/>
      <w:bookmarkStart w:id="0" w:name="_Hlk67348235"/>
      <w:r>
        <w:rPr>
          <w:i/>
          <w:iCs/>
          <w:sz w:val="24"/>
          <w:szCs w:val="24"/>
        </w:rPr>
        <w:t>Therapeutic Brief</w:t>
      </w:r>
    </w:p>
    <w:p>
      <w:pPr>
        <w:spacing w:after="0" w:line="240" w:lineRule="auto"/>
        <w:rPr>
          <w:b/>
          <w:bCs/>
          <w:sz w:val="24"/>
          <w:szCs w:val="24"/>
        </w:rPr>
      </w:pPr>
    </w:p>
    <w:p>
      <w:pPr>
        <w:spacing w:after="0" w:line="240" w:lineRule="auto"/>
        <w:rPr>
          <w:b/>
          <w:bCs/>
          <w:sz w:val="24"/>
          <w:szCs w:val="24"/>
        </w:rPr>
      </w:pPr>
      <w:r>
        <w:rPr>
          <w:b/>
          <w:bCs/>
          <w:sz w:val="24"/>
          <w:szCs w:val="24"/>
        </w:rPr>
        <w:t>Physical performance is enhanced in old mice fed a short term diet medicated with rapamycin, acarbose, and phenylbutyrate</w:t>
      </w:r>
    </w:p>
    <w:bookmarkEnd w:id="0"/>
    <w:p>
      <w:pPr>
        <w:spacing w:after="0" w:line="240" w:lineRule="auto"/>
        <w:rPr>
          <w:sz w:val="24"/>
          <w:szCs w:val="24"/>
        </w:rPr>
      </w:pPr>
    </w:p>
    <w:p>
      <w:pPr>
        <w:spacing w:after="0" w:line="240" w:lineRule="auto"/>
        <w:rPr>
          <w:b/>
          <w:bCs/>
          <w:sz w:val="24"/>
          <w:szCs w:val="24"/>
        </w:rPr>
      </w:pPr>
      <w:r>
        <w:rPr>
          <w:b/>
          <w:bCs/>
          <w:sz w:val="24"/>
          <w:szCs w:val="24"/>
        </w:rPr>
        <w:t>Megan Ellis, Warren Ladiges*, Zhou Jiang</w:t>
      </w:r>
    </w:p>
    <w:p>
      <w:pPr>
        <w:spacing w:after="0" w:line="240" w:lineRule="auto"/>
        <w:rPr>
          <w:sz w:val="24"/>
          <w:szCs w:val="24"/>
        </w:rPr>
      </w:pPr>
      <w:r>
        <w:rPr>
          <w:sz w:val="24"/>
          <w:szCs w:val="24"/>
        </w:rPr>
        <w:t>Department of Comparative Medicine, School of Medicine, University of Washington, Seattle, WA 98195</w:t>
      </w:r>
    </w:p>
    <w:p>
      <w:pPr>
        <w:spacing w:after="0" w:line="240" w:lineRule="auto"/>
        <w:rPr>
          <w:sz w:val="24"/>
          <w:szCs w:val="24"/>
        </w:rPr>
      </w:pPr>
    </w:p>
    <w:p>
      <w:pPr>
        <w:spacing w:after="0" w:line="240" w:lineRule="auto"/>
        <w:rPr>
          <w:sz w:val="24"/>
          <w:szCs w:val="24"/>
        </w:rPr>
      </w:pPr>
    </w:p>
    <w:p>
      <w:pPr>
        <w:spacing w:after="0" w:line="240" w:lineRule="auto"/>
        <w:rPr>
          <w:b/>
          <w:bCs/>
          <w:sz w:val="24"/>
          <w:szCs w:val="24"/>
        </w:rPr>
      </w:pPr>
      <w:r>
        <w:rPr>
          <w:b/>
          <w:bCs/>
          <w:sz w:val="24"/>
          <w:szCs w:val="24"/>
        </w:rPr>
        <w:t xml:space="preserve">Abstract </w:t>
      </w:r>
    </w:p>
    <w:p>
      <w:pPr>
        <w:spacing w:after="0" w:line="240" w:lineRule="auto"/>
        <w:rPr>
          <w:sz w:val="24"/>
          <w:szCs w:val="24"/>
        </w:rPr>
      </w:pPr>
      <w:r>
        <w:rPr>
          <w:sz w:val="24"/>
          <w:szCs w:val="24"/>
        </w:rPr>
        <w:t xml:space="preserve">Loss of physical performance, as seen in humans by decreased grip strength and overall physical fitness, is generally accepted to be a consequence of aging. Treatments to delay or reduce these changes or increase resilience to them are generally not available. In this preliminary study, 20-month-old male and female C57BL/6 mice were given either a standard mouse diet or a formulated mouse diet containing rapamycin (14 ppm), acarbose (1000 ppm), and phenylbutyrate (1000 ppm), or a diet containing one half dose of each drug, for 3 months. At the end of the study, performance on a rotarod and grip strength test was compared. In general, mice fed the full dose drug cocktail diet performed better on these assays, with significant improvements in rotarod performance in females fed the full dose cocktail and in grip strength in males fed the full dose cocktail, and females fed the low dose cocktail. These observations provide support for the concept that short term treatment with a cocktail of drugs that targets multiple aging pathways can increase resilience to aging, and suggests that this prototype cocktail could be part of a clinical therapeutic strategy for delaying age-related loss of physical performance in people. </w:t>
      </w:r>
    </w:p>
    <w:p>
      <w:pPr>
        <w:spacing w:after="0" w:line="240" w:lineRule="auto"/>
        <w:rPr>
          <w:b/>
          <w:bCs/>
          <w:sz w:val="24"/>
          <w:szCs w:val="24"/>
        </w:rPr>
      </w:pPr>
    </w:p>
    <w:p>
      <w:pPr>
        <w:spacing w:after="0" w:line="240" w:lineRule="auto"/>
        <w:rPr>
          <w:sz w:val="24"/>
          <w:szCs w:val="24"/>
        </w:rPr>
      </w:pPr>
      <w:r>
        <w:rPr>
          <w:b/>
          <w:bCs/>
          <w:sz w:val="24"/>
          <w:szCs w:val="24"/>
        </w:rPr>
        <w:t>Key words</w:t>
      </w:r>
      <w:r>
        <w:rPr>
          <w:sz w:val="24"/>
          <w:szCs w:val="24"/>
        </w:rPr>
        <w:t>. Healthy aging, Physical performance,</w:t>
      </w:r>
      <w:r>
        <w:rPr>
          <w:b/>
          <w:bCs/>
          <w:sz w:val="24"/>
          <w:szCs w:val="24"/>
        </w:rPr>
        <w:t xml:space="preserve"> </w:t>
      </w:r>
      <w:r>
        <w:rPr>
          <w:sz w:val="24"/>
          <w:szCs w:val="24"/>
        </w:rPr>
        <w:t xml:space="preserve">Aging processes, Anti-aging drug cocktail, Rapamycin, Acarbose, Phenylbutyrate, Aging mice. </w:t>
      </w:r>
    </w:p>
    <w:p>
      <w:pPr>
        <w:spacing w:after="0" w:line="240" w:lineRule="auto"/>
        <w:rPr>
          <w:b/>
          <w:bCs/>
          <w:sz w:val="24"/>
          <w:szCs w:val="24"/>
        </w:rPr>
      </w:pPr>
    </w:p>
    <w:p>
      <w:pPr>
        <w:spacing w:after="0" w:line="240" w:lineRule="auto"/>
        <w:rPr>
          <w:sz w:val="24"/>
          <w:szCs w:val="24"/>
        </w:rPr>
      </w:pPr>
      <w:r>
        <w:rPr>
          <w:b/>
          <w:bCs/>
          <w:sz w:val="24"/>
          <w:szCs w:val="24"/>
        </w:rPr>
        <w:t xml:space="preserve">*Correspondence. </w:t>
      </w:r>
      <w:r>
        <w:rPr>
          <w:sz w:val="24"/>
          <w:szCs w:val="24"/>
        </w:rPr>
        <w:t>W Ladiges, wladiges@uw.edu</w:t>
      </w: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r>
        <w:rPr>
          <w:b/>
          <w:bCs/>
          <w:sz w:val="24"/>
          <w:szCs w:val="24"/>
        </w:rPr>
        <w:br w:type="page"/>
      </w:r>
      <w:r>
        <w:rPr>
          <w:rFonts w:cstheme="minorHAnsi"/>
          <w:sz w:val="24"/>
          <w:szCs w:val="24"/>
        </w:rPr>
        <w:t>Aging is a complex multifactorial process, meaning that multiple pathways need to be targeted to effectively prevent or slow aging [1]. A number of molecular targets are well known for influencing aging, but only a few have been successfully targeted with individual drugs. Three drugs, rapamycin (Rap), acrobose (Acb), and phenylbuterate (Pba), were selected to test as a cocktail. The rationale for the drug cocktail was based on validated anti-aging effects of the individual drugs, each targeting different but overlapping processes of aging. Rap blocks m</w:t>
      </w:r>
      <w:r>
        <w:rPr>
          <w:rFonts w:eastAsia="Times New Roman" w:cstheme="minorHAnsi"/>
          <w:sz w:val="24"/>
          <w:szCs w:val="24"/>
        </w:rPr>
        <w:t xml:space="preserve">TOR, a protein shown to integrate signals from growth factors and nutrients to control protein synthesis. The anti-aging effect of downregulating mTOR was confirmed by the NIA Intervention Testing Program showing that rapamycin extended lifespan in mice [2]. </w:t>
      </w:r>
      <w:r>
        <w:rPr>
          <w:rFonts w:eastAsiaTheme="minorEastAsia" w:cstheme="minorHAnsi"/>
          <w:sz w:val="24"/>
          <w:szCs w:val="24"/>
          <w:lang w:eastAsia="zh-CN"/>
        </w:rPr>
        <w:t xml:space="preserve">Acb is a popular type 2 diabetes medication used for glucoregulatory control [3], and it also increases mouse lifespan [4]. Phenylbutyrate (Pba) is clinically approved as an ammonia scavenger for urea cycle disorders in children, and is also an inhibitor of histone deacetylase. In aging mice, it enhances physical and cognitive performance [5]. </w:t>
      </w:r>
    </w:p>
    <w:p>
      <w:pPr>
        <w:pStyle w:val="2"/>
        <w:spacing w:before="0" w:beforeAutospacing="0" w:after="0" w:afterAutospacing="0"/>
        <w:rPr>
          <w:rFonts w:hAnsi="Calibri" w:asciiTheme="minorHAnsi" w:eastAsiaTheme="minorEastAsia" w:cstheme="minorBidi"/>
          <w:color w:val="000000" w:themeColor="text1"/>
          <w:kern w:val="24"/>
          <w14:textFill>
            <w14:solidFill>
              <w14:schemeClr w14:val="tx1"/>
            </w14:solidFill>
          </w14:textFill>
        </w:rPr>
      </w:pPr>
    </w:p>
    <w:p>
      <w:pPr>
        <w:spacing w:after="0" w:line="240" w:lineRule="auto"/>
        <w:rPr>
          <w:rFonts w:eastAsiaTheme="minorEastAsia" w:cstheme="minorHAnsi"/>
          <w:sz w:val="24"/>
          <w:szCs w:val="24"/>
          <w:lang w:eastAsia="zh-CN"/>
        </w:rPr>
      </w:pPr>
      <w:r>
        <w:rPr>
          <w:rFonts w:hAnsi="Calibri" w:eastAsiaTheme="minorEastAsia"/>
          <w:color w:val="000000" w:themeColor="text1"/>
          <w:kern w:val="24"/>
          <w:sz w:val="24"/>
          <w:szCs w:val="24"/>
          <w14:textFill>
            <w14:solidFill>
              <w14:schemeClr w14:val="tx1"/>
            </w14:solidFill>
          </w14:textFill>
        </w:rPr>
        <w:t>Male and female C57BL/6 mice were fed a diet containing Rap (14 ppm), Acb (1000 ppm), and Pba (1000 ppm), a diet containing a half-dose of each drug, or a non-medicated control diet, for 3 months starting at 20 months of age.</w:t>
      </w:r>
      <w:r>
        <w:t xml:space="preserve"> </w:t>
      </w:r>
      <w:r>
        <w:rPr>
          <w:rFonts w:hAnsi="Calibri" w:eastAsiaTheme="minorEastAsia"/>
          <w:color w:val="000000" w:themeColor="text1"/>
          <w:kern w:val="24"/>
          <w:sz w:val="24"/>
          <w:szCs w:val="24"/>
          <w14:textFill>
            <w14:solidFill>
              <w14:schemeClr w14:val="tx1"/>
            </w14:solidFill>
          </w14:textFill>
        </w:rPr>
        <w:t>Mice were then tested in a rotarod activity system and a grip strength apparatus for determining physiological performance</w:t>
      </w:r>
      <w:r>
        <w:rPr>
          <w:rFonts w:hAnsi="Calibri" w:eastAsiaTheme="minorEastAsia"/>
          <w:color w:val="000000" w:themeColor="text1"/>
          <w:kern w:val="24"/>
          <w14:textFill>
            <w14:solidFill>
              <w14:schemeClr w14:val="tx1"/>
            </w14:solidFill>
          </w14:textFill>
        </w:rPr>
        <w:t xml:space="preserve">. </w:t>
      </w:r>
      <w:bookmarkStart w:id="1" w:name="_Hlk67345638"/>
      <w:r>
        <w:rPr>
          <w:rFonts w:eastAsiaTheme="minorEastAsia" w:cstheme="minorHAnsi"/>
          <w:sz w:val="24"/>
          <w:szCs w:val="24"/>
          <w:lang w:eastAsia="zh-CN"/>
        </w:rPr>
        <w:t>The rotarod apparatus (Rotamax 4/8, Columbus Instruments, Inc.) allowed mice to walk on a rotating rod with</w:t>
      </w:r>
      <w:r>
        <w:rPr>
          <w:rFonts w:cstheme="minorHAnsi"/>
          <w:sz w:val="24"/>
          <w:szCs w:val="24"/>
        </w:rPr>
        <w:t xml:space="preserve"> speed increased by 0.1 RPM/sec from 0 to 40 RPM over 5 minutes or until all mice were dislodged as determined by an infrared sensor. </w:t>
      </w:r>
      <w:r>
        <w:rPr>
          <w:rFonts w:eastAsiaTheme="minorEastAsia" w:cstheme="minorHAnsi"/>
          <w:sz w:val="24"/>
          <w:szCs w:val="24"/>
          <w:lang w:eastAsia="zh-CN"/>
        </w:rPr>
        <w:t xml:space="preserve">The time in seconds was recorded for three trails with half hour resting time in between each trail. The grip strength test in mice is similar to the hand grip test for people in that it assesses the ability to grip a device with the front paw (Liu et al., 2014; Whitehead et al., 2014). Mice were positioned horizontally with front paws gripping the bar (Columbus Instruments, Inc.) and pulled back by the tail slowly and steadily until they released their grip. The test was repeated 5 times and peak force  was recorded and normalized to body weight. </w:t>
      </w:r>
    </w:p>
    <w:bookmarkEnd w:id="1"/>
    <w:p>
      <w:pPr>
        <w:spacing w:after="0" w:line="240" w:lineRule="auto"/>
        <w:rPr>
          <w:rFonts w:eastAsiaTheme="minorEastAsia" w:cstheme="minorHAnsi"/>
          <w:sz w:val="24"/>
          <w:szCs w:val="24"/>
          <w:lang w:eastAsia="zh-CN"/>
        </w:rPr>
      </w:pPr>
    </w:p>
    <w:p>
      <w:pPr>
        <w:pStyle w:val="2"/>
        <w:spacing w:before="0" w:beforeAutospacing="0" w:after="0" w:afterAutospacing="0"/>
        <w:rPr>
          <w:rFonts w:hAnsi="Calibri" w:asciiTheme="minorHAnsi" w:eastAsiaTheme="minorEastAsia" w:cstheme="minorBidi"/>
          <w:color w:val="000000" w:themeColor="text1"/>
          <w:kern w:val="24"/>
          <w14:textFill>
            <w14:solidFill>
              <w14:schemeClr w14:val="tx1"/>
            </w14:solidFill>
          </w14:textFill>
        </w:rPr>
      </w:pPr>
      <w:r>
        <w:rPr>
          <w:rFonts w:hAnsi="Calibri" w:asciiTheme="minorHAnsi" w:eastAsiaTheme="minorEastAsia" w:cstheme="minorBidi"/>
          <w:color w:val="000000" w:themeColor="text1"/>
          <w:kern w:val="24"/>
          <w14:textFill>
            <w14:solidFill>
              <w14:schemeClr w14:val="tx1"/>
            </w14:solidFill>
          </w14:textFill>
        </w:rPr>
        <w:t xml:space="preserve">Female C57Bl/6 mice receiving the cocktail diet had significantly improved rotarod run times (Figure 1A). Male mice also had increased rotarod run times, with p = 0.08 for the full dose group and p = 0.10 in the half dose group. While these are not statistically significant with an alpha of 0.05, they show a trend towards increased physical health that could reach significance with a longer treatment time or  larger groups. Both male and female mice receiving the full dose cocktail diet showed a significantly increased grip strength versus mice on the control diet (Figure 1B). Female mice receiving the half dose cocktail diet also showed increased grip strength, with a p-value of 0.08. The lack of significance at an alpha of 0.05 in this group could be due to a wider variance in outcome values, but the average was still  higher than in the control group. </w:t>
      </w:r>
    </w:p>
    <w:p>
      <w:pPr>
        <w:pStyle w:val="2"/>
        <w:spacing w:before="0" w:beforeAutospacing="0" w:after="0" w:afterAutospacing="0"/>
        <w:rPr>
          <w:rFonts w:hAnsi="Calibri" w:asciiTheme="minorHAnsi" w:eastAsiaTheme="minorEastAsia" w:cstheme="minorBidi"/>
          <w:color w:val="000000" w:themeColor="text1"/>
          <w:kern w:val="24"/>
          <w14:textFill>
            <w14:solidFill>
              <w14:schemeClr w14:val="tx1"/>
            </w14:solidFill>
          </w14:textFill>
        </w:rPr>
      </w:pPr>
    </w:p>
    <w:p>
      <w:pPr>
        <w:pStyle w:val="2"/>
        <w:spacing w:before="0" w:beforeAutospacing="0" w:after="0" w:afterAutospacing="0"/>
        <w:rPr>
          <w:rFonts w:hAnsi="Calibri" w:asciiTheme="minorHAnsi" w:eastAsiaTheme="minorEastAsia" w:cstheme="minorBidi"/>
          <w:color w:val="000000" w:themeColor="text1"/>
          <w:kern w:val="24"/>
          <w14:textFill>
            <w14:solidFill>
              <w14:schemeClr w14:val="tx1"/>
            </w14:solidFill>
          </w14:textFill>
        </w:rPr>
      </w:pPr>
      <w:r>
        <w:rPr>
          <w:rFonts w:eastAsiaTheme="minorEastAsia" w:cstheme="minorHAnsi"/>
          <w:lang w:eastAsia="zh-CN"/>
        </w:rPr>
        <mc:AlternateContent>
          <mc:Choice Requires="wps">
            <w:drawing>
              <wp:anchor distT="45720" distB="45720" distL="114300" distR="114300" simplePos="0" relativeHeight="251670528" behindDoc="0" locked="0" layoutInCell="1" allowOverlap="1">
                <wp:simplePos x="0" y="0"/>
                <wp:positionH relativeFrom="margin">
                  <wp:posOffset>151765</wp:posOffset>
                </wp:positionH>
                <wp:positionV relativeFrom="paragraph">
                  <wp:posOffset>0</wp:posOffset>
                </wp:positionV>
                <wp:extent cx="5983605" cy="2786380"/>
                <wp:effectExtent l="0" t="0" r="17145" b="1397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983605" cy="2786380"/>
                        </a:xfrm>
                        <a:prstGeom prst="rect">
                          <a:avLst/>
                        </a:prstGeom>
                        <a:solidFill>
                          <a:srgbClr val="FFFFFF"/>
                        </a:solidFill>
                        <a:ln w="9525">
                          <a:solidFill>
                            <a:srgbClr val="000000"/>
                          </a:solidFill>
                          <a:miter lim="800000"/>
                        </a:ln>
                      </wps:spPr>
                      <wps:txbx>
                        <w:txbxContent>
                          <w:p>
                            <w:pPr>
                              <w:rPr>
                                <w:b/>
                                <w:bCs/>
                                <w:sz w:val="24"/>
                                <w:szCs w:val="24"/>
                              </w:rPr>
                            </w:pPr>
                            <w:r>
                              <w:rPr>
                                <w:b/>
                                <w:bCs/>
                                <w:sz w:val="24"/>
                                <w:szCs w:val="24"/>
                              </w:rPr>
                              <w:t xml:space="preserve">         A                                                                                  B </w:t>
                            </w:r>
                          </w:p>
                          <w:p>
                            <w:pPr>
                              <w:rPr>
                                <w:b/>
                                <w:bCs/>
                                <w:sz w:val="24"/>
                                <w:szCs w:val="24"/>
                              </w:rPr>
                            </w:pPr>
                            <w:r>
                              <w:drawing>
                                <wp:inline distT="0" distB="0" distL="0" distR="0">
                                  <wp:extent cx="2921635" cy="2292350"/>
                                  <wp:effectExtent l="0" t="0" r="12065"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drawing>
                                <wp:inline distT="0" distB="0" distL="0" distR="0">
                                  <wp:extent cx="2851150" cy="2292350"/>
                                  <wp:effectExtent l="0" t="0" r="6350"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1.95pt;margin-top:0pt;height:219.4pt;width:471.15pt;mso-position-horizontal-relative:margin;mso-wrap-distance-bottom:3.6pt;mso-wrap-distance-left:9pt;mso-wrap-distance-right:9pt;mso-wrap-distance-top:3.6pt;z-index:251670528;mso-width-relative:page;mso-height-relative:page;" fillcolor="#FFFFFF" filled="t" stroked="t" coordsize="21600,21600" o:gfxdata="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IlzCrXAAAABwEAAA8AAAAAAAAAAQAgAAAAIgAAAGRycy9kb3ducmV2LnhtbFBLAQIU&#10;ABQAAAAIAIdO4kA46iqRLQIAAH0EAAAOAAAAAAAAAAEAIAAAACYBAABkcnMvZTJvRG9jLnhtbFBL&#10;BQYAAAAABgAGAFkBAADFBQAAAAA=&#10;">
                <v:fill on="t" focussize="0,0"/>
                <v:stroke color="#000000" miterlimit="8" joinstyle="miter"/>
                <v:imagedata o:title=""/>
                <o:lock v:ext="edit" aspectratio="f"/>
                <v:textbox>
                  <w:txbxContent>
                    <w:p>
                      <w:pPr>
                        <w:rPr>
                          <w:b/>
                          <w:bCs/>
                          <w:sz w:val="24"/>
                          <w:szCs w:val="24"/>
                        </w:rPr>
                      </w:pPr>
                      <w:r>
                        <w:rPr>
                          <w:b/>
                          <w:bCs/>
                          <w:sz w:val="24"/>
                          <w:szCs w:val="24"/>
                        </w:rPr>
                        <w:t xml:space="preserve">         A                                                                                  B </w:t>
                      </w:r>
                    </w:p>
                    <w:p>
                      <w:pPr>
                        <w:rPr>
                          <w:b/>
                          <w:bCs/>
                          <w:sz w:val="24"/>
                          <w:szCs w:val="24"/>
                        </w:rPr>
                      </w:pPr>
                      <w:r>
                        <w:drawing>
                          <wp:inline distT="0" distB="0" distL="0" distR="0">
                            <wp:extent cx="2921635" cy="2292350"/>
                            <wp:effectExtent l="0" t="0" r="12065"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drawing>
                          <wp:inline distT="0" distB="0" distL="0" distR="0">
                            <wp:extent cx="2851150" cy="2292350"/>
                            <wp:effectExtent l="0" t="0" r="6350"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xbxContent>
                </v:textbox>
                <w10:wrap type="square"/>
              </v:shape>
            </w:pict>
          </mc:Fallback>
        </mc:AlternateContent>
      </w:r>
    </w:p>
    <w:p>
      <w:r>
        <w:rPr>
          <w:b/>
          <w:bCs/>
        </w:rPr>
        <w:t>Figure 1.</w:t>
      </w:r>
      <w:r>
        <w:t xml:space="preserve"> Female and male C57BL/6 mice, 20 months of age, were fed a rodent chow diet (high dose) containing Rap (14 ppm), Acb (1000 ppm) and Pba (1000 ppm), a diet containing one half the dose (low dose) of each drug, or a control nonmedicated rodent chow diet for three months and then tested for physical performance using a rotarod and grip strength normalized to body weight. </w:t>
      </w:r>
      <w:r>
        <w:rPr>
          <w:b/>
          <w:bCs/>
        </w:rPr>
        <w:t>A.</w:t>
      </w:r>
      <w:r>
        <w:t xml:space="preserve"> The full dose cocktail treatment improved rotarod times in females but not males. </w:t>
      </w:r>
      <w:r>
        <w:rPr>
          <w:b/>
          <w:bCs/>
        </w:rPr>
        <w:t>B.</w:t>
      </w:r>
      <w:r>
        <w:t xml:space="preserve"> The full dose and half dose cocktail diets improved grip strength in females, but males only showed improvement with the full dose cocktail. N= 10-12;  *Significance at p &lt; 0.05, using student’s t-test.</w:t>
      </w:r>
    </w:p>
    <w:p>
      <w:pPr>
        <w:pStyle w:val="2"/>
        <w:spacing w:before="0" w:beforeAutospacing="0" w:after="0" w:afterAutospacing="0"/>
        <w:rPr>
          <w:rFonts w:hAnsi="Calibri" w:asciiTheme="minorHAnsi" w:eastAsiaTheme="minorEastAsia" w:cstheme="minorBidi"/>
          <w:color w:val="000000" w:themeColor="text1"/>
          <w:kern w:val="24"/>
          <w14:textFill>
            <w14:solidFill>
              <w14:schemeClr w14:val="tx1"/>
            </w14:solidFill>
          </w14:textFill>
        </w:rPr>
      </w:pPr>
      <w:r>
        <w:rPr>
          <w:rFonts w:hAnsi="Calibri" w:asciiTheme="minorHAnsi" w:eastAsiaTheme="minorEastAsia" w:cstheme="minorBidi"/>
          <w:color w:val="000000" w:themeColor="text1"/>
          <w:kern w:val="24"/>
          <w14:textFill>
            <w14:solidFill>
              <w14:schemeClr w14:val="tx1"/>
            </w14:solidFill>
          </w14:textFill>
        </w:rPr>
        <w:t>The amount of time animals were able to stay on a rotarod was dose- and gender-dependent, with improvements seen most significantly in female mice receiving the full dose. Grip strength, which correlates strongly with physical fitness tests performed on humans, was improved in mice seemingly independent of the dose administered and gender in mice fed the full dose cocktail. These observations suggest that a combination of Rap, Acb, and Pba for as little as three months can increase physical performance in aging mice, with beneficial effects in both genders. Further studies with a larger number of animals and more outcome parameters could further validate efficacy of this drug combination, and provide the rationale for testing efficacy in other mouse strains and as well as other species at older ages.</w:t>
      </w:r>
    </w:p>
    <w:p>
      <w:pPr>
        <w:spacing w:after="0" w:line="240" w:lineRule="auto"/>
        <w:rPr>
          <w:rFonts w:eastAsiaTheme="minorEastAsia" w:cstheme="minorHAnsi"/>
          <w:sz w:val="24"/>
          <w:szCs w:val="24"/>
          <w:lang w:eastAsia="zh-CN"/>
        </w:rPr>
      </w:pPr>
    </w:p>
    <w:p>
      <w:pPr>
        <w:spacing w:after="0" w:line="240" w:lineRule="auto"/>
        <w:rPr>
          <w:rFonts w:eastAsiaTheme="minorEastAsia" w:cstheme="minorHAnsi"/>
          <w:b/>
          <w:bCs/>
          <w:sz w:val="24"/>
          <w:szCs w:val="24"/>
          <w:lang w:eastAsia="zh-CN"/>
        </w:rPr>
      </w:pPr>
      <w:r>
        <w:rPr>
          <w:rFonts w:eastAsiaTheme="minorEastAsia" w:cstheme="minorHAnsi"/>
          <w:b/>
          <w:bCs/>
          <w:sz w:val="24"/>
          <w:szCs w:val="24"/>
          <w:lang w:eastAsia="zh-CN"/>
        </w:rPr>
        <w:t>Acknowledgements</w:t>
      </w:r>
    </w:p>
    <w:p>
      <w:pPr>
        <w:spacing w:after="0" w:line="240" w:lineRule="auto"/>
        <w:rPr>
          <w:rFonts w:cstheme="minorHAnsi"/>
          <w:sz w:val="24"/>
          <w:szCs w:val="24"/>
        </w:rPr>
      </w:pPr>
      <w:r>
        <w:rPr>
          <w:rFonts w:cstheme="minorHAnsi"/>
          <w:sz w:val="24"/>
          <w:szCs w:val="24"/>
        </w:rPr>
        <w:t xml:space="preserve">Supported by NIH grants </w:t>
      </w:r>
      <w:r>
        <w:rPr>
          <w:sz w:val="24"/>
          <w:szCs w:val="24"/>
        </w:rPr>
        <w:t xml:space="preserve">R56 AG058543 and </w:t>
      </w:r>
      <w:r>
        <w:rPr>
          <w:rFonts w:cstheme="minorHAnsi"/>
          <w:sz w:val="24"/>
          <w:szCs w:val="24"/>
        </w:rPr>
        <w:t>R01 AG057381 (PI, Ladiges)</w:t>
      </w:r>
    </w:p>
    <w:p>
      <w:pPr>
        <w:spacing w:after="0" w:line="240" w:lineRule="auto"/>
        <w:rPr>
          <w:rFonts w:eastAsiaTheme="minorEastAsia" w:cstheme="minorHAnsi"/>
          <w:sz w:val="24"/>
          <w:szCs w:val="24"/>
          <w:lang w:eastAsia="zh-CN"/>
        </w:rPr>
      </w:pPr>
    </w:p>
    <w:p>
      <w:pPr>
        <w:shd w:val="clear" w:color="auto" w:fill="FFFFFF"/>
        <w:spacing w:after="0" w:line="240" w:lineRule="auto"/>
        <w:rPr>
          <w:rFonts w:cstheme="minorHAnsi"/>
          <w:b/>
          <w:bCs/>
          <w:sz w:val="24"/>
          <w:szCs w:val="24"/>
        </w:rPr>
      </w:pPr>
      <w:r>
        <w:rPr>
          <w:rFonts w:cstheme="minorHAnsi"/>
          <w:b/>
          <w:bCs/>
          <w:sz w:val="24"/>
          <w:szCs w:val="24"/>
        </w:rPr>
        <w:t>References</w:t>
      </w:r>
    </w:p>
    <w:p>
      <w:pPr>
        <w:pStyle w:val="7"/>
        <w:spacing w:after="0"/>
        <w:rPr>
          <w:rFonts w:asciiTheme="minorHAnsi" w:hAnsiTheme="minorHAnsi" w:cstheme="minorHAnsi"/>
          <w:sz w:val="24"/>
          <w:szCs w:val="24"/>
        </w:rPr>
      </w:pPr>
      <w:r>
        <w:rPr>
          <w:rFonts w:asciiTheme="minorHAnsi" w:hAnsiTheme="minorHAnsi" w:cstheme="minorHAnsi"/>
          <w:sz w:val="24"/>
          <w:szCs w:val="24"/>
        </w:rPr>
        <w:t xml:space="preserve">1. Ladiges W. The quality control theory of aging. Pathobiol Aging Age Relat Dis. 2014;4 PubMed PMID: </w:t>
      </w:r>
      <w:r>
        <w:fldChar w:fldCharType="begin"/>
      </w:r>
      <w:r>
        <w:instrText xml:space="preserve"> HYPERLINK "http://www.ncbi.nlm.nih.gov/pubmed/24891937/" </w:instrText>
      </w:r>
      <w:r>
        <w:fldChar w:fldCharType="separate"/>
      </w:r>
      <w:r>
        <w:rPr>
          <w:rFonts w:asciiTheme="minorHAnsi" w:hAnsiTheme="minorHAnsi" w:cstheme="minorHAnsi"/>
          <w:sz w:val="24"/>
          <w:szCs w:val="24"/>
        </w:rPr>
        <w:t>24891937</w:t>
      </w:r>
      <w:r>
        <w:rPr>
          <w:rFonts w:asciiTheme="minorHAnsi" w:hAnsiTheme="minorHAnsi" w:cstheme="minorHAnsi"/>
          <w:sz w:val="24"/>
          <w:szCs w:val="24"/>
        </w:rPr>
        <w:fldChar w:fldCharType="end"/>
      </w:r>
      <w:r>
        <w:rPr>
          <w:rFonts w:asciiTheme="minorHAnsi" w:hAnsiTheme="minorHAnsi" w:cstheme="minorHAnsi"/>
          <w:sz w:val="24"/>
          <w:szCs w:val="24"/>
        </w:rPr>
        <w:t xml:space="preserve">; PubMed Central PMCID: </w:t>
      </w:r>
      <w:r>
        <w:fldChar w:fldCharType="begin"/>
      </w:r>
      <w:r>
        <w:instrText xml:space="preserve"> HYPERLINK "http://www.ncbi.nlm.nih.gov/pmc/articles/PMC4033319/" </w:instrText>
      </w:r>
      <w:r>
        <w:fldChar w:fldCharType="separate"/>
      </w:r>
      <w:r>
        <w:rPr>
          <w:rFonts w:asciiTheme="minorHAnsi" w:hAnsiTheme="minorHAnsi" w:cstheme="minorHAnsi"/>
          <w:sz w:val="24"/>
          <w:szCs w:val="24"/>
        </w:rPr>
        <w:t>PMC4033319</w:t>
      </w:r>
      <w:r>
        <w:rPr>
          <w:rFonts w:asciiTheme="minorHAnsi" w:hAnsiTheme="minorHAnsi" w:cstheme="minorHAnsi"/>
          <w:sz w:val="24"/>
          <w:szCs w:val="24"/>
        </w:rPr>
        <w:fldChar w:fldCharType="end"/>
      </w:r>
      <w:r>
        <w:rPr>
          <w:rFonts w:asciiTheme="minorHAnsi" w:hAnsiTheme="minorHAnsi" w:cstheme="minorHAnsi"/>
          <w:sz w:val="24"/>
          <w:szCs w:val="24"/>
        </w:rPr>
        <w:t xml:space="preserve">. </w:t>
      </w:r>
    </w:p>
    <w:p>
      <w:pPr>
        <w:pStyle w:val="8"/>
        <w:shd w:val="clear" w:color="auto" w:fill="FFFFFF"/>
        <w:rPr>
          <w:rFonts w:asciiTheme="minorHAnsi" w:hAnsiTheme="minorHAnsi" w:cstheme="minorHAnsi"/>
          <w:sz w:val="24"/>
          <w:szCs w:val="24"/>
        </w:rPr>
      </w:pPr>
    </w:p>
    <w:p>
      <w:pPr>
        <w:pStyle w:val="8"/>
        <w:shd w:val="clear" w:color="auto" w:fill="FFFFFF"/>
        <w:rPr>
          <w:rFonts w:asciiTheme="minorHAnsi" w:hAnsiTheme="minorHAnsi" w:cstheme="minorHAnsi"/>
          <w:sz w:val="24"/>
          <w:szCs w:val="24"/>
        </w:rPr>
      </w:pPr>
      <w:r>
        <w:rPr>
          <w:rFonts w:asciiTheme="minorHAnsi" w:hAnsiTheme="minorHAnsi" w:cstheme="minorHAnsi"/>
          <w:sz w:val="24"/>
          <w:szCs w:val="24"/>
        </w:rPr>
        <w:t xml:space="preserve">2. Miller RA, Harrison DE, Astle CM, Fernandez E, Flurkey K, Han M, Javors MA, Li X, Nadon NL, Nelson JF, Pletcher S, Salmon AB, Sharp ZD, Van Roekel S, Winkleman L, Strong R. </w:t>
      </w:r>
      <w:r>
        <w:fldChar w:fldCharType="begin"/>
      </w:r>
      <w:r>
        <w:instrText xml:space="preserve"> HYPERLINK "https://www.ncbi.nlm.nih.gov/pubmed/24341993" </w:instrText>
      </w:r>
      <w:r>
        <w:fldChar w:fldCharType="separate"/>
      </w:r>
      <w:r>
        <w:rPr>
          <w:rFonts w:asciiTheme="minorHAnsi" w:hAnsiTheme="minorHAnsi" w:cstheme="minorHAnsi"/>
          <w:bCs/>
          <w:sz w:val="24"/>
          <w:szCs w:val="24"/>
        </w:rPr>
        <w:t>Rapamycin</w:t>
      </w:r>
      <w:r>
        <w:rPr>
          <w:rFonts w:asciiTheme="minorHAnsi" w:hAnsiTheme="minorHAnsi" w:cstheme="minorHAnsi"/>
          <w:sz w:val="24"/>
          <w:szCs w:val="24"/>
        </w:rPr>
        <w:t xml:space="preserve">-mediated lifespan increase in </w:t>
      </w:r>
      <w:r>
        <w:rPr>
          <w:rFonts w:asciiTheme="minorHAnsi" w:hAnsiTheme="minorHAnsi" w:cstheme="minorHAnsi"/>
          <w:bCs/>
          <w:sz w:val="24"/>
          <w:szCs w:val="24"/>
        </w:rPr>
        <w:t>mice</w:t>
      </w:r>
      <w:r>
        <w:rPr>
          <w:rFonts w:asciiTheme="minorHAnsi" w:hAnsiTheme="minorHAnsi" w:cstheme="minorHAnsi"/>
          <w:sz w:val="24"/>
          <w:szCs w:val="24"/>
        </w:rPr>
        <w:t xml:space="preserve"> is dose and sex dependent and metabolically distinct from dietary restriction.</w:t>
      </w:r>
      <w:r>
        <w:rPr>
          <w:rFonts w:asciiTheme="minorHAnsi" w:hAnsiTheme="minorHAnsi" w:cstheme="minorHAnsi"/>
          <w:sz w:val="24"/>
          <w:szCs w:val="24"/>
        </w:rPr>
        <w:fldChar w:fldCharType="end"/>
      </w:r>
      <w:r>
        <w:rPr>
          <w:rFonts w:asciiTheme="minorHAnsi" w:hAnsiTheme="minorHAnsi" w:cstheme="minorHAnsi"/>
          <w:sz w:val="24"/>
          <w:szCs w:val="24"/>
        </w:rPr>
        <w:t xml:space="preserve"> </w:t>
      </w:r>
      <w:r>
        <w:rPr>
          <w:rStyle w:val="6"/>
          <w:rFonts w:asciiTheme="minorHAnsi" w:hAnsiTheme="minorHAnsi" w:cstheme="minorHAnsi"/>
          <w:sz w:val="24"/>
          <w:szCs w:val="24"/>
        </w:rPr>
        <w:t>Aging Cell</w:t>
      </w:r>
      <w:r>
        <w:rPr>
          <w:rFonts w:asciiTheme="minorHAnsi" w:hAnsiTheme="minorHAnsi" w:cstheme="minorHAnsi"/>
          <w:sz w:val="24"/>
          <w:szCs w:val="24"/>
        </w:rPr>
        <w:t xml:space="preserve">. </w:t>
      </w:r>
      <w:r>
        <w:rPr>
          <w:rFonts w:asciiTheme="minorHAnsi" w:hAnsiTheme="minorHAnsi" w:cstheme="minorHAnsi"/>
          <w:bCs/>
          <w:sz w:val="24"/>
          <w:szCs w:val="24"/>
        </w:rPr>
        <w:t>2014</w:t>
      </w:r>
      <w:r>
        <w:rPr>
          <w:rFonts w:asciiTheme="minorHAnsi" w:hAnsiTheme="minorHAnsi" w:cstheme="minorHAnsi"/>
          <w:sz w:val="24"/>
          <w:szCs w:val="24"/>
        </w:rPr>
        <w:t xml:space="preserve"> Jun;13(3):468-77. doi: 10.1111/acel.12194.</w:t>
      </w:r>
    </w:p>
    <w:p>
      <w:pPr>
        <w:shd w:val="clear" w:color="auto" w:fill="FFFFFF"/>
        <w:spacing w:after="0" w:line="240" w:lineRule="auto"/>
        <w:rPr>
          <w:rFonts w:eastAsia="Times New Roman" w:cstheme="minorHAnsi"/>
          <w:sz w:val="24"/>
          <w:szCs w:val="24"/>
        </w:rPr>
      </w:pPr>
      <w:r>
        <w:rPr>
          <w:rFonts w:cstheme="minorHAnsi"/>
          <w:sz w:val="24"/>
          <w:szCs w:val="24"/>
        </w:rPr>
        <w:t xml:space="preserve">3. </w:t>
      </w:r>
      <w:r>
        <w:fldChar w:fldCharType="begin"/>
      </w:r>
      <w:r>
        <w:instrText xml:space="preserve"> HYPERLINK "https://www.ncbi.nlm.nih.gov/pubmed/?term=Balfour%20JA%5BAuthor%5D&amp;cauthor=true&amp;cauthor_uid=7510610" </w:instrText>
      </w:r>
      <w:r>
        <w:fldChar w:fldCharType="separate"/>
      </w:r>
      <w:r>
        <w:rPr>
          <w:rFonts w:eastAsia="Times New Roman" w:cstheme="minorHAnsi"/>
          <w:sz w:val="24"/>
          <w:szCs w:val="24"/>
        </w:rPr>
        <w:t>Balfour JA</w:t>
      </w:r>
      <w:r>
        <w:rPr>
          <w:rFonts w:eastAsia="Times New Roman" w:cstheme="minorHAnsi"/>
          <w:sz w:val="24"/>
          <w:szCs w:val="24"/>
        </w:rPr>
        <w:fldChar w:fldCharType="end"/>
      </w:r>
      <w:r>
        <w:rPr>
          <w:rFonts w:eastAsia="Times New Roman" w:cstheme="minorHAnsi"/>
          <w:sz w:val="24"/>
          <w:szCs w:val="24"/>
        </w:rPr>
        <w:t xml:space="preserve">, </w:t>
      </w:r>
      <w:r>
        <w:fldChar w:fldCharType="begin"/>
      </w:r>
      <w:r>
        <w:instrText xml:space="preserve"> HYPERLINK "https://www.ncbi.nlm.nih.gov/pubmed/?term=McTavish%20D%5BAuthor%5D&amp;cauthor=true&amp;cauthor_uid=7510610" </w:instrText>
      </w:r>
      <w:r>
        <w:fldChar w:fldCharType="separate"/>
      </w:r>
      <w:r>
        <w:rPr>
          <w:rFonts w:eastAsia="Times New Roman" w:cstheme="minorHAnsi"/>
          <w:sz w:val="24"/>
          <w:szCs w:val="24"/>
        </w:rPr>
        <w:t>McTavish D</w:t>
      </w:r>
      <w:r>
        <w:rPr>
          <w:rFonts w:eastAsia="Times New Roman" w:cstheme="minorHAnsi"/>
          <w:sz w:val="24"/>
          <w:szCs w:val="24"/>
        </w:rPr>
        <w:fldChar w:fldCharType="end"/>
      </w:r>
      <w:r>
        <w:rPr>
          <w:rFonts w:eastAsia="Times New Roman" w:cstheme="minorHAnsi"/>
          <w:sz w:val="24"/>
          <w:szCs w:val="24"/>
        </w:rPr>
        <w:t xml:space="preserve">. </w:t>
      </w:r>
      <w:r>
        <w:rPr>
          <w:rFonts w:eastAsia="Times New Roman" w:cstheme="minorHAnsi"/>
          <w:bCs/>
          <w:kern w:val="36"/>
          <w:sz w:val="24"/>
          <w:szCs w:val="24"/>
        </w:rPr>
        <w:t>Acarbose. An update of its pharmacology and therapeutic use in diabetes mellitus.</w:t>
      </w:r>
      <w:r>
        <w:rPr>
          <w:rFonts w:eastAsia="Times New Roman" w:cstheme="minorHAnsi"/>
          <w:sz w:val="24"/>
          <w:szCs w:val="24"/>
        </w:rPr>
        <w:t xml:space="preserve"> </w:t>
      </w:r>
      <w:r>
        <w:fldChar w:fldCharType="begin"/>
      </w:r>
      <w:r>
        <w:instrText xml:space="preserve"> HYPERLINK "https://www.ncbi.nlm.nih.gov/pubmed/?term=balfour+j+and+acarbose+and+1993" \o "Drugs." </w:instrText>
      </w:r>
      <w:r>
        <w:fldChar w:fldCharType="separate"/>
      </w:r>
      <w:r>
        <w:rPr>
          <w:rFonts w:eastAsia="Times New Roman" w:cstheme="minorHAnsi"/>
          <w:sz w:val="24"/>
          <w:szCs w:val="24"/>
        </w:rPr>
        <w:t>Drugs.</w:t>
      </w:r>
      <w:r>
        <w:rPr>
          <w:rFonts w:eastAsia="Times New Roman" w:cstheme="minorHAnsi"/>
          <w:sz w:val="24"/>
          <w:szCs w:val="24"/>
        </w:rPr>
        <w:fldChar w:fldCharType="end"/>
      </w:r>
      <w:r>
        <w:rPr>
          <w:rFonts w:eastAsia="Times New Roman" w:cstheme="minorHAnsi"/>
          <w:sz w:val="24"/>
          <w:szCs w:val="24"/>
        </w:rPr>
        <w:t xml:space="preserve"> 1993 Dec;46(6):1025-54.</w:t>
      </w:r>
    </w:p>
    <w:p>
      <w:pPr>
        <w:pStyle w:val="5"/>
        <w:shd w:val="clear" w:color="auto" w:fill="FFFFFF"/>
        <w:rPr>
          <w:rFonts w:asciiTheme="minorHAnsi" w:hAnsiTheme="minorHAnsi" w:cstheme="minorHAnsi"/>
          <w:sz w:val="24"/>
          <w:szCs w:val="24"/>
        </w:rPr>
      </w:pPr>
    </w:p>
    <w:p>
      <w:pPr>
        <w:pStyle w:val="5"/>
        <w:shd w:val="clear" w:color="auto" w:fill="FFFFFF"/>
        <w:rPr>
          <w:rFonts w:asciiTheme="minorHAnsi" w:hAnsiTheme="minorHAnsi" w:cstheme="minorHAnsi"/>
          <w:sz w:val="24"/>
          <w:szCs w:val="24"/>
        </w:rPr>
      </w:pPr>
      <w:r>
        <w:rPr>
          <w:rFonts w:asciiTheme="minorHAnsi" w:hAnsiTheme="minorHAnsi" w:cstheme="minorHAnsi"/>
          <w:sz w:val="24"/>
          <w:szCs w:val="24"/>
        </w:rPr>
        <w:t xml:space="preserve">4. Harrison DE, Strong R, Allison DB, Ames BN, Astle CM, Atamna H, Fernandez E, Flurkey K, Javors MA, Nadon NL, Nelson JF, Pletcher S, Simpkins JW, Smith D, Wilkinson JE, Miller RA. </w:t>
      </w:r>
      <w:r>
        <w:fldChar w:fldCharType="begin"/>
      </w:r>
      <w:r>
        <w:instrText xml:space="preserve"> HYPERLINK "https://www.ncbi.nlm.nih.gov/pubmed/24245565" </w:instrText>
      </w:r>
      <w:r>
        <w:fldChar w:fldCharType="separate"/>
      </w:r>
      <w:r>
        <w:rPr>
          <w:rFonts w:asciiTheme="minorHAnsi" w:hAnsiTheme="minorHAnsi" w:cstheme="minorHAnsi"/>
          <w:sz w:val="24"/>
          <w:szCs w:val="24"/>
        </w:rPr>
        <w:t xml:space="preserve">Acarbose, 17-α-estradiol, and nordihydroguaiaretic acid extend </w:t>
      </w:r>
      <w:r>
        <w:rPr>
          <w:rFonts w:asciiTheme="minorHAnsi" w:hAnsiTheme="minorHAnsi" w:cstheme="minorHAnsi"/>
          <w:bCs/>
          <w:sz w:val="24"/>
          <w:szCs w:val="24"/>
        </w:rPr>
        <w:t>mouse</w:t>
      </w:r>
      <w:r>
        <w:rPr>
          <w:rFonts w:asciiTheme="minorHAnsi" w:hAnsiTheme="minorHAnsi" w:cstheme="minorHAnsi"/>
          <w:sz w:val="24"/>
          <w:szCs w:val="24"/>
        </w:rPr>
        <w:t xml:space="preserve"> lifespan preferentially in males.</w:t>
      </w:r>
      <w:r>
        <w:rPr>
          <w:rFonts w:asciiTheme="minorHAnsi" w:hAnsiTheme="minorHAnsi" w:cstheme="minorHAnsi"/>
          <w:sz w:val="24"/>
          <w:szCs w:val="24"/>
        </w:rPr>
        <w:fldChar w:fldCharType="end"/>
      </w:r>
      <w:r>
        <w:rPr>
          <w:rFonts w:asciiTheme="minorHAnsi" w:hAnsiTheme="minorHAnsi" w:cstheme="minorHAnsi"/>
          <w:sz w:val="24"/>
          <w:szCs w:val="24"/>
        </w:rPr>
        <w:t xml:space="preserve"> </w:t>
      </w:r>
      <w:r>
        <w:rPr>
          <w:rStyle w:val="6"/>
          <w:rFonts w:asciiTheme="minorHAnsi" w:hAnsiTheme="minorHAnsi" w:cstheme="minorHAnsi"/>
          <w:sz w:val="24"/>
          <w:szCs w:val="24"/>
        </w:rPr>
        <w:t>Aging Cell</w:t>
      </w:r>
      <w:r>
        <w:rPr>
          <w:rFonts w:asciiTheme="minorHAnsi" w:hAnsiTheme="minorHAnsi" w:cstheme="minorHAnsi"/>
          <w:sz w:val="24"/>
          <w:szCs w:val="24"/>
        </w:rPr>
        <w:t xml:space="preserve">. </w:t>
      </w:r>
      <w:r>
        <w:rPr>
          <w:rFonts w:asciiTheme="minorHAnsi" w:hAnsiTheme="minorHAnsi" w:cstheme="minorHAnsi"/>
          <w:bCs/>
          <w:sz w:val="24"/>
          <w:szCs w:val="24"/>
        </w:rPr>
        <w:t>2014</w:t>
      </w:r>
      <w:r>
        <w:rPr>
          <w:rFonts w:asciiTheme="minorHAnsi" w:hAnsiTheme="minorHAnsi" w:cstheme="minorHAnsi"/>
          <w:sz w:val="24"/>
          <w:szCs w:val="24"/>
        </w:rPr>
        <w:t xml:space="preserve"> Apr;13(2):273-82. doi: 10.1111/acel.12170</w:t>
      </w:r>
    </w:p>
    <w:p>
      <w:pPr>
        <w:pStyle w:val="5"/>
        <w:shd w:val="clear" w:color="auto" w:fill="FFFFFF"/>
        <w:rPr>
          <w:rFonts w:asciiTheme="minorHAnsi" w:hAnsiTheme="minorHAnsi" w:cstheme="minorHAnsi"/>
          <w:sz w:val="24"/>
          <w:szCs w:val="24"/>
        </w:rPr>
      </w:pPr>
    </w:p>
    <w:p>
      <w:pPr>
        <w:pStyle w:val="5"/>
        <w:shd w:val="clear" w:color="auto" w:fill="FFFFFF"/>
        <w:rPr>
          <w:rFonts w:ascii="Arial" w:hAnsi="Arial" w:cs="Arial"/>
          <w:sz w:val="22"/>
          <w:szCs w:val="22"/>
        </w:rPr>
      </w:pPr>
      <w:r>
        <w:rPr>
          <w:rFonts w:asciiTheme="minorHAnsi" w:hAnsiTheme="minorHAnsi" w:cstheme="minorHAnsi"/>
          <w:sz w:val="24"/>
          <w:szCs w:val="24"/>
        </w:rPr>
        <w:t xml:space="preserve">5. Wiley JC, Pettan-Brewer C, Ladiges WC. </w:t>
      </w:r>
      <w:r>
        <w:fldChar w:fldCharType="begin"/>
      </w:r>
      <w:r>
        <w:instrText xml:space="preserve"> HYPERLINK "https://www.ncbi.nlm.nih.gov/pubmed/21272191" </w:instrText>
      </w:r>
      <w:r>
        <w:fldChar w:fldCharType="separate"/>
      </w:r>
      <w:r>
        <w:rPr>
          <w:rFonts w:asciiTheme="minorHAnsi" w:hAnsiTheme="minorHAnsi" w:cstheme="minorHAnsi"/>
          <w:sz w:val="24"/>
          <w:szCs w:val="24"/>
        </w:rPr>
        <w:t>Phenylbutyric acid reduces amyloid plaques and rescues cognitive behavior in AD transgenic mice.</w:t>
      </w:r>
      <w:r>
        <w:rPr>
          <w:rFonts w:asciiTheme="minorHAnsi" w:hAnsiTheme="minorHAnsi" w:cstheme="minorHAnsi"/>
          <w:sz w:val="24"/>
          <w:szCs w:val="24"/>
        </w:rPr>
        <w:fldChar w:fldCharType="end"/>
      </w:r>
      <w:r>
        <w:rPr>
          <w:rFonts w:ascii="Arial" w:hAnsi="Arial" w:cs="Arial"/>
          <w:sz w:val="22"/>
          <w:szCs w:val="22"/>
        </w:rPr>
        <w:t xml:space="preserve"> Aging Cell. 2011 Jun;10(3):418-28. </w:t>
      </w:r>
    </w:p>
    <w:p>
      <w:pPr>
        <w:spacing w:after="0" w:line="240" w:lineRule="auto"/>
        <w:rPr>
          <w:rFonts w:eastAsiaTheme="minorEastAsia" w:cstheme="minorHAnsi"/>
          <w:sz w:val="24"/>
          <w:szCs w:val="24"/>
          <w:lang w:eastAsia="zh-CN"/>
        </w:rPr>
      </w:pPr>
    </w:p>
    <w:sectPr>
      <w:pgSz w:w="12240" w:h="15840"/>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2D"/>
    <w:rsid w:val="000054A7"/>
    <w:rsid w:val="000346CC"/>
    <w:rsid w:val="00043DE3"/>
    <w:rsid w:val="000D336C"/>
    <w:rsid w:val="000D64E5"/>
    <w:rsid w:val="000E5F5F"/>
    <w:rsid w:val="000E734A"/>
    <w:rsid w:val="0010718F"/>
    <w:rsid w:val="00143A90"/>
    <w:rsid w:val="00152F1A"/>
    <w:rsid w:val="001C4693"/>
    <w:rsid w:val="00214013"/>
    <w:rsid w:val="00220116"/>
    <w:rsid w:val="00225714"/>
    <w:rsid w:val="003524BF"/>
    <w:rsid w:val="00361011"/>
    <w:rsid w:val="00446975"/>
    <w:rsid w:val="004668B8"/>
    <w:rsid w:val="00491DA1"/>
    <w:rsid w:val="00503938"/>
    <w:rsid w:val="00505FFB"/>
    <w:rsid w:val="00544FE9"/>
    <w:rsid w:val="005C367E"/>
    <w:rsid w:val="00616753"/>
    <w:rsid w:val="006B772A"/>
    <w:rsid w:val="006E6DC1"/>
    <w:rsid w:val="00705445"/>
    <w:rsid w:val="0072571B"/>
    <w:rsid w:val="00734107"/>
    <w:rsid w:val="00747EC1"/>
    <w:rsid w:val="007E4FBF"/>
    <w:rsid w:val="008033D0"/>
    <w:rsid w:val="00822239"/>
    <w:rsid w:val="00824E4D"/>
    <w:rsid w:val="00840484"/>
    <w:rsid w:val="008E7816"/>
    <w:rsid w:val="008F6B94"/>
    <w:rsid w:val="00905A09"/>
    <w:rsid w:val="009F43ED"/>
    <w:rsid w:val="009F4F01"/>
    <w:rsid w:val="00A05FF5"/>
    <w:rsid w:val="00A16995"/>
    <w:rsid w:val="00A501F3"/>
    <w:rsid w:val="00AC6113"/>
    <w:rsid w:val="00B447BD"/>
    <w:rsid w:val="00B81C0F"/>
    <w:rsid w:val="00BE33F1"/>
    <w:rsid w:val="00C003C2"/>
    <w:rsid w:val="00C06942"/>
    <w:rsid w:val="00C67ADF"/>
    <w:rsid w:val="00CB230B"/>
    <w:rsid w:val="00CF7F47"/>
    <w:rsid w:val="00D27043"/>
    <w:rsid w:val="00D32DD9"/>
    <w:rsid w:val="00D865BD"/>
    <w:rsid w:val="00D97570"/>
    <w:rsid w:val="00DA6A65"/>
    <w:rsid w:val="00E04167"/>
    <w:rsid w:val="00E24E8A"/>
    <w:rsid w:val="00E5683A"/>
    <w:rsid w:val="00E874AA"/>
    <w:rsid w:val="00EB4FBC"/>
    <w:rsid w:val="00EB7FD4"/>
    <w:rsid w:val="00EC6478"/>
    <w:rsid w:val="00F2272D"/>
    <w:rsid w:val="00F7324A"/>
    <w:rsid w:val="00FA6D3D"/>
    <w:rsid w:val="6D4F4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5">
    <w:name w:val="title1"/>
    <w:basedOn w:val="1"/>
    <w:uiPriority w:val="0"/>
    <w:pPr>
      <w:spacing w:after="0" w:line="240" w:lineRule="auto"/>
    </w:pPr>
    <w:rPr>
      <w:rFonts w:ascii="Times New Roman" w:hAnsi="Times New Roman" w:eastAsia="Times New Roman" w:cs="Times New Roman"/>
      <w:sz w:val="27"/>
      <w:szCs w:val="27"/>
    </w:rPr>
  </w:style>
  <w:style w:type="character" w:customStyle="1" w:styleId="6">
    <w:name w:val="jrnl"/>
    <w:basedOn w:val="4"/>
    <w:qFormat/>
    <w:uiPriority w:val="0"/>
  </w:style>
  <w:style w:type="paragraph" w:customStyle="1" w:styleId="7">
    <w:name w:val="citationUl_li Paragraph"/>
    <w:basedOn w:val="1"/>
    <w:qFormat/>
    <w:uiPriority w:val="0"/>
    <w:pPr>
      <w:spacing w:after="75" w:line="240" w:lineRule="auto"/>
    </w:pPr>
    <w:rPr>
      <w:rFonts w:ascii="Arial" w:hAnsi="Arial" w:eastAsia="Arial" w:cs="Arial"/>
    </w:rPr>
  </w:style>
  <w:style w:type="paragraph" w:customStyle="1" w:styleId="8">
    <w:name w:val="desc2"/>
    <w:basedOn w:val="1"/>
    <w:qFormat/>
    <w:uiPriority w:val="0"/>
    <w:pPr>
      <w:spacing w:after="0" w:line="240" w:lineRule="auto"/>
    </w:pPr>
    <w:rPr>
      <w:rFonts w:ascii="Times New Roman" w:hAnsi="Times New Roman" w:eastAsia="Times New Roman" w:cs="Times New Roman"/>
      <w:sz w:val="26"/>
      <w:szCs w:val="2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5" Type="http://schemas.microsoft.com/office/2011/relationships/chartColorStyle" Target="colors1.xml"/><Relationship Id="rId4" Type="http://schemas.microsoft.com/office/2011/relationships/chartStyle" Target="style1.xml"/><Relationship Id="rId3" Type="http://schemas.openxmlformats.org/officeDocument/2006/relationships/chartUserShapes" Target="../drawings/drawing1.xml"/><Relationship Id="rId2" Type="http://schemas.openxmlformats.org/officeDocument/2006/relationships/themeOverride" Target="../theme/themeOverride1.xml"/><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5" Type="http://schemas.microsoft.com/office/2011/relationships/chartColorStyle" Target="colors2.xml"/><Relationship Id="rId4" Type="http://schemas.microsoft.com/office/2011/relationships/chartStyle" Target="style2.xml"/><Relationship Id="rId3" Type="http://schemas.openxmlformats.org/officeDocument/2006/relationships/chartUserShapes" Target="../drawings/drawing2.xml"/><Relationship Id="rId2" Type="http://schemas.openxmlformats.org/officeDocument/2006/relationships/themeOverride" Target="../theme/themeOverride2.xml"/><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4729949801051"/>
          <c:y val="0.0997229916897507"/>
          <c:w val="0.490102580461024"/>
          <c:h val="0.793877898226711"/>
        </c:manualLayout>
      </c:layout>
      <c:barChart>
        <c:barDir val="col"/>
        <c:grouping val="clustered"/>
        <c:varyColors val="0"/>
        <c:ser>
          <c:idx val="0"/>
          <c:order val="0"/>
          <c:tx>
            <c:strRef>
              <c:f>High Dose</c:f>
              <c:strCache>
                <c:ptCount val="1"/>
                <c:pt idx="0">
                  <c:v>High Dose</c:v>
                </c:pt>
              </c:strCache>
            </c:strRef>
          </c:tx>
          <c:spPr>
            <a:solidFill>
              <a:schemeClr val="tx1"/>
            </a:solidFill>
            <a:ln>
              <a:solidFill>
                <a:schemeClr val="tx1"/>
              </a:solidFill>
            </a:ln>
            <a:effectLst/>
          </c:spPr>
          <c:invertIfNegative val="0"/>
          <c:dPt>
            <c:idx val="0"/>
            <c:invertIfNegative val="0"/>
            <c:bubble3D val="0"/>
            <c:spPr>
              <a:solidFill>
                <a:schemeClr val="tx1"/>
              </a:solidFill>
              <a:ln>
                <a:solidFill>
                  <a:schemeClr val="tx1"/>
                </a:solidFill>
              </a:ln>
              <a:effectLst/>
            </c:spPr>
          </c:dPt>
          <c:dPt>
            <c:idx val="1"/>
            <c:invertIfNegative val="0"/>
            <c:bubble3D val="0"/>
            <c:spPr>
              <a:solidFill>
                <a:schemeClr val="tx1"/>
              </a:solidFill>
              <a:ln>
                <a:solidFill>
                  <a:schemeClr val="tx1"/>
                </a:solidFill>
              </a:ln>
              <a:effectLst/>
            </c:spPr>
          </c:dPt>
          <c:dLbls>
            <c:delete val="1"/>
          </c:dLbls>
          <c:errBars>
            <c:errBarType val="both"/>
            <c:errValType val="cust"/>
            <c:noEndCap val="0"/>
            <c:plus>
              <c:numRef>
                <c:f>Sheet1!$I$2:$I$3</c:f>
                <c:numCache>
                  <c:formatCode>General</c:formatCode>
                  <c:ptCount val="2"/>
                  <c:pt idx="0">
                    <c:v>11.38</c:v>
                  </c:pt>
                  <c:pt idx="1">
                    <c:v>8.72</c:v>
                  </c:pt>
                </c:numCache>
              </c:numRef>
            </c:plus>
            <c:minus>
              <c:numRef>
                <c:f>Sheet1!$I$2:$I$3</c:f>
                <c:numCache>
                  <c:formatCode>General</c:formatCode>
                  <c:ptCount val="2"/>
                  <c:pt idx="0">
                    <c:v>11.38</c:v>
                  </c:pt>
                  <c:pt idx="1">
                    <c:v>8.72</c:v>
                  </c:pt>
                </c:numCache>
              </c:numRef>
            </c:minus>
            <c:spPr>
              <a:noFill/>
              <a:ln w="9525" cap="flat" cmpd="sng" algn="ctr">
                <a:solidFill>
                  <a:schemeClr val="tx1">
                    <a:lumMod val="65000"/>
                    <a:lumOff val="35000"/>
                  </a:schemeClr>
                </a:solidFill>
                <a:round/>
              </a:ln>
              <a:effectLst/>
            </c:spPr>
          </c:errBars>
          <c:cat>
            <c:strRef>
              <c:f>{"Female","Male"}</c:f>
              <c:strCache>
                <c:ptCount val="2"/>
                <c:pt idx="0">
                  <c:v>Female</c:v>
                </c:pt>
                <c:pt idx="1">
                  <c:v>Male</c:v>
                </c:pt>
              </c:strCache>
            </c:strRef>
          </c:cat>
          <c:val>
            <c:numRef>
              <c:f>(Sheet1!$D$17,Sheet1!$D$62)</c:f>
              <c:numCache>
                <c:formatCode>General</c:formatCode>
                <c:ptCount val="2"/>
                <c:pt idx="0">
                  <c:v>147.407692307692</c:v>
                </c:pt>
                <c:pt idx="1" c:formatCode="0.0">
                  <c:v>114.271428571429</c:v>
                </c:pt>
              </c:numCache>
            </c:numRef>
          </c:val>
        </c:ser>
        <c:ser>
          <c:idx val="1"/>
          <c:order val="1"/>
          <c:tx>
            <c:strRef>
              <c:f>Low Dose</c:f>
              <c:strCache>
                <c:ptCount val="1"/>
                <c:pt idx="0">
                  <c:v>Low Dose</c:v>
                </c:pt>
              </c:strCache>
            </c:strRef>
          </c:tx>
          <c:spPr>
            <a:solidFill>
              <a:schemeClr val="bg2">
                <a:lumMod val="50000"/>
              </a:schemeClr>
            </a:solidFill>
            <a:ln>
              <a:solidFill>
                <a:schemeClr val="tx1"/>
              </a:solidFill>
            </a:ln>
            <a:effectLst/>
          </c:spPr>
          <c:invertIfNegative val="0"/>
          <c:dPt>
            <c:idx val="0"/>
            <c:invertIfNegative val="0"/>
            <c:bubble3D val="0"/>
            <c:spPr>
              <a:solidFill>
                <a:schemeClr val="bg2">
                  <a:lumMod val="50000"/>
                </a:schemeClr>
              </a:solidFill>
              <a:ln>
                <a:solidFill>
                  <a:schemeClr val="tx1"/>
                </a:solidFill>
              </a:ln>
              <a:effectLst/>
            </c:spPr>
          </c:dPt>
          <c:dPt>
            <c:idx val="1"/>
            <c:invertIfNegative val="0"/>
            <c:bubble3D val="0"/>
            <c:spPr>
              <a:solidFill>
                <a:schemeClr val="bg2">
                  <a:lumMod val="50000"/>
                </a:schemeClr>
              </a:solidFill>
              <a:ln>
                <a:solidFill>
                  <a:schemeClr val="tx1"/>
                </a:solidFill>
              </a:ln>
              <a:effectLst/>
            </c:spPr>
          </c:dPt>
          <c:dLbls>
            <c:delete val="1"/>
          </c:dLbls>
          <c:errBars>
            <c:errBarType val="both"/>
            <c:errValType val="cust"/>
            <c:noEndCap val="0"/>
            <c:plus>
              <c:numRef>
                <c:f>Sheet1!$J$2:$J$3</c:f>
                <c:numCache>
                  <c:formatCode>General</c:formatCode>
                  <c:ptCount val="2"/>
                  <c:pt idx="0">
                    <c:v>10.39</c:v>
                  </c:pt>
                  <c:pt idx="1">
                    <c:v>11.4</c:v>
                  </c:pt>
                </c:numCache>
              </c:numRef>
            </c:plus>
            <c:minus>
              <c:numRef>
                <c:f>Sheet1!$J$2:$J$3</c:f>
                <c:numCache>
                  <c:formatCode>General</c:formatCode>
                  <c:ptCount val="2"/>
                  <c:pt idx="0">
                    <c:v>10.39</c:v>
                  </c:pt>
                  <c:pt idx="1">
                    <c:v>11.4</c:v>
                  </c:pt>
                </c:numCache>
              </c:numRef>
            </c:minus>
            <c:spPr>
              <a:noFill/>
              <a:ln w="9525" cap="flat" cmpd="sng" algn="ctr">
                <a:solidFill>
                  <a:schemeClr val="tx1">
                    <a:alpha val="92000"/>
                  </a:schemeClr>
                </a:solidFill>
                <a:round/>
              </a:ln>
              <a:effectLst/>
            </c:spPr>
          </c:errBars>
          <c:cat>
            <c:strRef>
              <c:f>{"Female","Male"}</c:f>
              <c:strCache>
                <c:ptCount val="2"/>
                <c:pt idx="0">
                  <c:v>Female</c:v>
                </c:pt>
                <c:pt idx="1">
                  <c:v>Male</c:v>
                </c:pt>
              </c:strCache>
            </c:strRef>
          </c:cat>
          <c:val>
            <c:numRef>
              <c:f>(Sheet1!$D$33,Sheet1!$D$78)</c:f>
              <c:numCache>
                <c:formatCode>General</c:formatCode>
                <c:ptCount val="2"/>
                <c:pt idx="0">
                  <c:v>111.707142857143</c:v>
                </c:pt>
                <c:pt idx="1">
                  <c:v>115.111111111111</c:v>
                </c:pt>
              </c:numCache>
            </c:numRef>
          </c:val>
        </c:ser>
        <c:ser>
          <c:idx val="2"/>
          <c:order val="2"/>
          <c:tx>
            <c:strRef>
              <c:f>Control</c:f>
              <c:strCache>
                <c:ptCount val="1"/>
                <c:pt idx="0">
                  <c:v>Control</c:v>
                </c:pt>
              </c:strCache>
            </c:strRef>
          </c:tx>
          <c:spPr>
            <a:solidFill>
              <a:schemeClr val="bg2">
                <a:lumMod val="90000"/>
              </a:schemeClr>
            </a:solidFill>
            <a:ln>
              <a:solidFill>
                <a:schemeClr val="tx1"/>
              </a:solidFill>
            </a:ln>
            <a:effectLst/>
          </c:spPr>
          <c:invertIfNegative val="0"/>
          <c:dPt>
            <c:idx val="1"/>
            <c:invertIfNegative val="0"/>
            <c:bubble3D val="0"/>
            <c:spPr>
              <a:solidFill>
                <a:schemeClr val="bg2">
                  <a:lumMod val="90000"/>
                </a:schemeClr>
              </a:solidFill>
              <a:ln>
                <a:solidFill>
                  <a:schemeClr val="tx1"/>
                </a:solidFill>
              </a:ln>
              <a:effectLst/>
            </c:spPr>
          </c:dPt>
          <c:dLbls>
            <c:delete val="1"/>
          </c:dLbls>
          <c:errBars>
            <c:errBarType val="both"/>
            <c:errValType val="cust"/>
            <c:noEndCap val="0"/>
            <c:plus>
              <c:numRef>
                <c:f>Sheet1!$K$2:$K$3</c:f>
                <c:numCache>
                  <c:formatCode>General</c:formatCode>
                  <c:ptCount val="2"/>
                  <c:pt idx="0">
                    <c:v>6.58</c:v>
                  </c:pt>
                  <c:pt idx="1">
                    <c:v>6.5</c:v>
                  </c:pt>
                </c:numCache>
              </c:numRef>
            </c:plus>
            <c:minus>
              <c:numRef>
                <c:f>Sheet1!$K$2:$K$3</c:f>
                <c:numCache>
                  <c:formatCode>General</c:formatCode>
                  <c:ptCount val="2"/>
                  <c:pt idx="0">
                    <c:v>6.58</c:v>
                  </c:pt>
                  <c:pt idx="1">
                    <c:v>6.5</c:v>
                  </c:pt>
                </c:numCache>
              </c:numRef>
            </c:minus>
            <c:spPr>
              <a:noFill/>
              <a:ln w="9525" cap="flat" cmpd="sng" algn="ctr">
                <a:solidFill>
                  <a:schemeClr val="tx1">
                    <a:lumMod val="65000"/>
                    <a:lumOff val="35000"/>
                  </a:schemeClr>
                </a:solidFill>
                <a:round/>
              </a:ln>
              <a:effectLst/>
            </c:spPr>
          </c:errBars>
          <c:cat>
            <c:strRef>
              <c:f>{"Female","Male"}</c:f>
              <c:strCache>
                <c:ptCount val="2"/>
                <c:pt idx="0">
                  <c:v>Female</c:v>
                </c:pt>
                <c:pt idx="1">
                  <c:v>Male</c:v>
                </c:pt>
              </c:strCache>
            </c:strRef>
          </c:cat>
          <c:val>
            <c:numRef>
              <c:f>(Sheet1!$D$46,Sheet1!$D$93)</c:f>
              <c:numCache>
                <c:formatCode>General</c:formatCode>
                <c:ptCount val="2"/>
                <c:pt idx="0">
                  <c:v>106.277777777778</c:v>
                </c:pt>
                <c:pt idx="1">
                  <c:v>94.0333333333333</c:v>
                </c:pt>
              </c:numCache>
            </c:numRef>
          </c:val>
        </c:ser>
        <c:dLbls>
          <c:showLegendKey val="0"/>
          <c:showVal val="0"/>
          <c:showCatName val="0"/>
          <c:showSerName val="0"/>
          <c:showPercent val="0"/>
          <c:showBubbleSize val="0"/>
        </c:dLbls>
        <c:gapWidth val="150"/>
        <c:overlap val="-24"/>
        <c:axId val="1910763456"/>
        <c:axId val="1910762208"/>
      </c:barChart>
      <c:catAx>
        <c:axId val="1910763456"/>
        <c:scaling>
          <c:orientation val="minMax"/>
        </c:scaling>
        <c:delete val="1"/>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t>Female</a:t>
                </a:r>
                <a:r>
                  <a:rPr lang="en-US" baseline="0"/>
                  <a:t>             Male</a:t>
                </a:r>
                <a:endParaRPr lang="en-US"/>
              </a:p>
            </c:rich>
          </c:tx>
          <c:layout>
            <c:manualLayout>
              <c:xMode val="edge"/>
              <c:yMode val="edge"/>
              <c:x val="0.291657572654164"/>
              <c:y val="0.888060723711475"/>
            </c:manualLayout>
          </c:layout>
          <c:overlay val="0"/>
          <c:spPr>
            <a:noFill/>
            <a:ln>
              <a:noFill/>
            </a:ln>
            <a:effectLst/>
          </c:spPr>
        </c:title>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10762208"/>
        <c:crosses val="autoZero"/>
        <c:auto val="1"/>
        <c:lblAlgn val="ctr"/>
        <c:lblOffset val="100"/>
        <c:noMultiLvlLbl val="0"/>
      </c:catAx>
      <c:valAx>
        <c:axId val="1910762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t>Run</a:t>
                </a:r>
                <a:r>
                  <a:rPr lang="en-US" baseline="0"/>
                  <a:t> time (s)</a:t>
                </a:r>
                <a:endParaRPr lang="en-US"/>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1076345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rgbClr val="000000"/>
      </a:solidFill>
      <a:round/>
    </a:ln>
    <a:effectLst/>
  </c:spPr>
  <c:txPr>
    <a:bodyPr/>
    <a:lstStyle/>
    <a:p>
      <a:pPr>
        <a:defRPr lang="zh-CN"/>
      </a:pPr>
    </a:p>
  </c:txPr>
  <c:externalData r:id="rId1">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High Dose</c:f>
              <c:strCache>
                <c:ptCount val="1"/>
                <c:pt idx="0">
                  <c:v>High Dose</c:v>
                </c:pt>
              </c:strCache>
            </c:strRef>
          </c:tx>
          <c:spPr>
            <a:solidFill>
              <a:schemeClr val="tx1"/>
            </a:solidFill>
            <a:ln>
              <a:solidFill>
                <a:schemeClr val="tx1"/>
              </a:solidFill>
            </a:ln>
            <a:effectLst/>
          </c:spPr>
          <c:invertIfNegative val="0"/>
          <c:dLbls>
            <c:delete val="1"/>
          </c:dLbls>
          <c:errBars>
            <c:errBarType val="both"/>
            <c:errValType val="cust"/>
            <c:noEndCap val="0"/>
            <c:plus>
              <c:numRef>
                <c:f>Sheet1!$I$13:$I$14</c:f>
                <c:numCache>
                  <c:formatCode>General</c:formatCode>
                  <c:ptCount val="2"/>
                  <c:pt idx="0">
                    <c:v>0.77</c:v>
                  </c:pt>
                  <c:pt idx="1">
                    <c:v>0.36</c:v>
                  </c:pt>
                </c:numCache>
              </c:numRef>
            </c:plus>
            <c:minus>
              <c:numRef>
                <c:f>Sheet1!$I$13:$I$14</c:f>
                <c:numCache>
                  <c:formatCode>General</c:formatCode>
                  <c:ptCount val="2"/>
                  <c:pt idx="0">
                    <c:v>0.77</c:v>
                  </c:pt>
                  <c:pt idx="1">
                    <c:v>0.36</c:v>
                  </c:pt>
                </c:numCache>
              </c:numRef>
            </c:minus>
            <c:spPr>
              <a:noFill/>
              <a:ln w="9525" cap="flat" cmpd="sng" algn="ctr">
                <a:solidFill>
                  <a:schemeClr val="tx1">
                    <a:lumMod val="65000"/>
                    <a:lumOff val="35000"/>
                  </a:schemeClr>
                </a:solidFill>
                <a:round/>
              </a:ln>
              <a:effectLst/>
            </c:spPr>
          </c:errBars>
          <c:cat>
            <c:strRef>
              <c:f>{"Female","Male"}</c:f>
              <c:strCache>
                <c:ptCount val="2"/>
                <c:pt idx="0">
                  <c:v>Female</c:v>
                </c:pt>
                <c:pt idx="1">
                  <c:v>Male</c:v>
                </c:pt>
              </c:strCache>
            </c:strRef>
          </c:cat>
          <c:val>
            <c:numRef>
              <c:f>(Sheet1!$E$17,Sheet1!$E$62)</c:f>
              <c:numCache>
                <c:formatCode>General</c:formatCode>
                <c:ptCount val="2"/>
                <c:pt idx="0">
                  <c:v>5.18814699269231</c:v>
                </c:pt>
                <c:pt idx="1" c:formatCode="0.0">
                  <c:v>4.7553656422501</c:v>
                </c:pt>
              </c:numCache>
            </c:numRef>
          </c:val>
        </c:ser>
        <c:ser>
          <c:idx val="1"/>
          <c:order val="1"/>
          <c:tx>
            <c:strRef>
              <c:f>Low Dose</c:f>
              <c:strCache>
                <c:ptCount val="1"/>
                <c:pt idx="0">
                  <c:v>Low Dose</c:v>
                </c:pt>
              </c:strCache>
            </c:strRef>
          </c:tx>
          <c:spPr>
            <a:solidFill>
              <a:schemeClr val="bg2">
                <a:lumMod val="50000"/>
              </a:schemeClr>
            </a:solidFill>
            <a:ln>
              <a:solidFill>
                <a:schemeClr val="tx1"/>
              </a:solidFill>
            </a:ln>
            <a:effectLst/>
          </c:spPr>
          <c:invertIfNegative val="0"/>
          <c:dLbls>
            <c:delete val="1"/>
          </c:dLbls>
          <c:errBars>
            <c:errBarType val="both"/>
            <c:errValType val="cust"/>
            <c:noEndCap val="0"/>
            <c:plus>
              <c:numRef>
                <c:f>Sheet1!$J$13:$J$14</c:f>
                <c:numCache>
                  <c:formatCode>General</c:formatCode>
                  <c:ptCount val="2"/>
                  <c:pt idx="0">
                    <c:v>0.36</c:v>
                  </c:pt>
                  <c:pt idx="1">
                    <c:v>0.27</c:v>
                  </c:pt>
                </c:numCache>
              </c:numRef>
            </c:plus>
            <c:minus>
              <c:numRef>
                <c:f>Sheet1!$J$13:$J$14</c:f>
                <c:numCache>
                  <c:formatCode>General</c:formatCode>
                  <c:ptCount val="2"/>
                  <c:pt idx="0">
                    <c:v>0.36</c:v>
                  </c:pt>
                  <c:pt idx="1">
                    <c:v>0.27</c:v>
                  </c:pt>
                </c:numCache>
              </c:numRef>
            </c:minus>
            <c:spPr>
              <a:noFill/>
              <a:ln w="9525" cap="flat" cmpd="sng" algn="ctr">
                <a:solidFill>
                  <a:schemeClr val="tx1">
                    <a:alpha val="92000"/>
                  </a:schemeClr>
                </a:solidFill>
                <a:round/>
              </a:ln>
              <a:effectLst/>
            </c:spPr>
          </c:errBars>
          <c:cat>
            <c:strRef>
              <c:f>{"Female","Male"}</c:f>
              <c:strCache>
                <c:ptCount val="2"/>
                <c:pt idx="0">
                  <c:v>Female</c:v>
                </c:pt>
                <c:pt idx="1">
                  <c:v>Male</c:v>
                </c:pt>
              </c:strCache>
            </c:strRef>
          </c:cat>
          <c:val>
            <c:numRef>
              <c:f>(Sheet1!$E$33,Sheet1!$E$78)</c:f>
              <c:numCache>
                <c:formatCode>General</c:formatCode>
                <c:ptCount val="2"/>
                <c:pt idx="0">
                  <c:v>4.39998176292857</c:v>
                </c:pt>
                <c:pt idx="1">
                  <c:v>3.62082960125593</c:v>
                </c:pt>
              </c:numCache>
            </c:numRef>
          </c:val>
        </c:ser>
        <c:ser>
          <c:idx val="2"/>
          <c:order val="2"/>
          <c:tx>
            <c:strRef>
              <c:f>Control</c:f>
              <c:strCache>
                <c:ptCount val="1"/>
                <c:pt idx="0">
                  <c:v>Control</c:v>
                </c:pt>
              </c:strCache>
            </c:strRef>
          </c:tx>
          <c:spPr>
            <a:solidFill>
              <a:schemeClr val="bg2">
                <a:lumMod val="90000"/>
              </a:schemeClr>
            </a:solidFill>
            <a:ln>
              <a:solidFill>
                <a:schemeClr val="tx1"/>
              </a:solidFill>
            </a:ln>
            <a:effectLst/>
          </c:spPr>
          <c:invertIfNegative val="0"/>
          <c:dLbls>
            <c:delete val="1"/>
          </c:dLbls>
          <c:errBars>
            <c:errBarType val="both"/>
            <c:errValType val="cust"/>
            <c:noEndCap val="0"/>
            <c:plus>
              <c:numRef>
                <c:f>Sheet1!$K$13:$K$14</c:f>
                <c:numCache>
                  <c:formatCode>General</c:formatCode>
                  <c:ptCount val="2"/>
                  <c:pt idx="0">
                    <c:v>0.25</c:v>
                  </c:pt>
                  <c:pt idx="1">
                    <c:v>0.24</c:v>
                  </c:pt>
                </c:numCache>
              </c:numRef>
            </c:plus>
            <c:minus>
              <c:numRef>
                <c:f>Sheet1!$K$13:$K$14</c:f>
                <c:numCache>
                  <c:formatCode>General</c:formatCode>
                  <c:ptCount val="2"/>
                  <c:pt idx="0">
                    <c:v>0.25</c:v>
                  </c:pt>
                  <c:pt idx="1">
                    <c:v>0.24</c:v>
                  </c:pt>
                </c:numCache>
              </c:numRef>
            </c:minus>
            <c:spPr>
              <a:noFill/>
              <a:ln w="9525" cap="flat" cmpd="sng" algn="ctr">
                <a:solidFill>
                  <a:schemeClr val="tx1">
                    <a:lumMod val="65000"/>
                    <a:lumOff val="35000"/>
                  </a:schemeClr>
                </a:solidFill>
                <a:round/>
              </a:ln>
              <a:effectLst/>
            </c:spPr>
          </c:errBars>
          <c:cat>
            <c:strRef>
              <c:f>{"Female","Male"}</c:f>
              <c:strCache>
                <c:ptCount val="2"/>
                <c:pt idx="0">
                  <c:v>Female</c:v>
                </c:pt>
                <c:pt idx="1">
                  <c:v>Male</c:v>
                </c:pt>
              </c:strCache>
            </c:strRef>
          </c:cat>
          <c:val>
            <c:numRef>
              <c:f>(Sheet1!$E$46,Sheet1!$E$93)</c:f>
              <c:numCache>
                <c:formatCode>General</c:formatCode>
                <c:ptCount val="2"/>
                <c:pt idx="0">
                  <c:v>3.44802473577778</c:v>
                </c:pt>
                <c:pt idx="1">
                  <c:v>3.76412088457981</c:v>
                </c:pt>
              </c:numCache>
            </c:numRef>
          </c:val>
        </c:ser>
        <c:dLbls>
          <c:showLegendKey val="0"/>
          <c:showVal val="0"/>
          <c:showCatName val="0"/>
          <c:showSerName val="0"/>
          <c:showPercent val="0"/>
          <c:showBubbleSize val="0"/>
        </c:dLbls>
        <c:gapWidth val="150"/>
        <c:overlap val="-24"/>
        <c:axId val="1910763456"/>
        <c:axId val="1910762208"/>
      </c:barChart>
      <c:catAx>
        <c:axId val="1910763456"/>
        <c:scaling>
          <c:orientation val="minMax"/>
        </c:scaling>
        <c:delete val="1"/>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t>Female</a:t>
                </a:r>
                <a:r>
                  <a:rPr lang="en-US" baseline="0"/>
                  <a:t>                 Male</a:t>
                </a:r>
                <a:endParaRPr lang="en-US"/>
              </a:p>
            </c:rich>
          </c:tx>
          <c:layout>
            <c:manualLayout>
              <c:xMode val="edge"/>
              <c:yMode val="edge"/>
              <c:x val="0.24467085339029"/>
              <c:y val="0.860359892686544"/>
            </c:manualLayout>
          </c:layout>
          <c:overlay val="0"/>
          <c:spPr>
            <a:noFill/>
            <a:ln>
              <a:noFill/>
            </a:ln>
            <a:effectLst/>
          </c:spPr>
        </c:title>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10762208"/>
        <c:crosses val="autoZero"/>
        <c:auto val="1"/>
        <c:lblAlgn val="ctr"/>
        <c:lblOffset val="100"/>
        <c:noMultiLvlLbl val="0"/>
      </c:catAx>
      <c:valAx>
        <c:axId val="1910762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t>Grip strength/</a:t>
                </a:r>
                <a:r>
                  <a:rPr lang="en-US" baseline="0"/>
                  <a:t> body weight</a:t>
                </a:r>
                <a:endParaRPr lang="en-US"/>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1076345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rgbClr val="000000"/>
      </a:solidFill>
      <a:round/>
    </a:ln>
    <a:effectLst/>
  </c:spPr>
  <c:txPr>
    <a:bodyPr/>
    <a:lstStyle/>
    <a:p>
      <a:pPr>
        <a:defRPr lang="zh-CN"/>
      </a:pPr>
    </a:p>
  </c:txPr>
  <c:externalData r:id="rId1">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0.67871</cdr:x>
      <cdr:y>0.05344</cdr:y>
    </cdr:from>
    <cdr:to>
      <cdr:x>0.78595</cdr:x>
      <cdr:y>0.17559</cdr:y>
    </cdr:to>
    <cdr:sp>
      <cdr:nvSpPr>
        <cdr:cNvPr id="2" name="矩形 1"/>
        <cdr:cNvSpPr/>
      </cdr:nvSpPr>
      <cdr:spPr xmlns:a="http://schemas.openxmlformats.org/drawingml/2006/main">
        <a:xfrm xmlns:a="http://schemas.openxmlformats.org/drawingml/2006/main">
          <a:off x="2021305" y="122503"/>
          <a:ext cx="319384" cy="280008"/>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endParaRPr lang="en-US" sz="1100"/>
        </a:p>
      </cdr:txBody>
    </cdr:sp>
  </cdr:relSizeAnchor>
  <cdr:relSizeAnchor xmlns:cdr="http://schemas.openxmlformats.org/drawingml/2006/chartDrawing">
    <cdr:from>
      <cdr:x>0.27031</cdr:x>
      <cdr:y>0.10688</cdr:y>
    </cdr:from>
    <cdr:to>
      <cdr:x>0.34523</cdr:x>
      <cdr:y>0.18323</cdr:y>
    </cdr:to>
    <cdr:sp>
      <cdr:nvSpPr>
        <cdr:cNvPr id="3" name="矩形 2"/>
        <cdr:cNvSpPr/>
      </cdr:nvSpPr>
      <cdr:spPr xmlns:a="http://schemas.openxmlformats.org/drawingml/2006/main">
        <a:xfrm xmlns:a="http://schemas.openxmlformats.org/drawingml/2006/main">
          <a:off x="805021" y="245000"/>
          <a:ext cx="223123" cy="175020"/>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en-US" sz="1100"/>
            <a:t>*</a:t>
          </a:r>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0.26247</cdr:x>
      <cdr:y>0.17624</cdr:y>
    </cdr:from>
    <cdr:to>
      <cdr:x>0.3336</cdr:x>
      <cdr:y>0.25259</cdr:y>
    </cdr:to>
    <cdr:sp>
      <cdr:nvSpPr>
        <cdr:cNvPr id="2" name="矩形 1"/>
        <cdr:cNvSpPr/>
      </cdr:nvSpPr>
      <cdr:spPr xmlns:a="http://schemas.openxmlformats.org/drawingml/2006/main">
        <a:xfrm xmlns:a="http://schemas.openxmlformats.org/drawingml/2006/main">
          <a:off x="823357" y="404013"/>
          <a:ext cx="223123" cy="175020"/>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r>
            <a:rPr lang="en-US" sz="1100"/>
            <a:t>*</a:t>
          </a:r>
          <a:endParaRPr lang="en-US" sz="1100"/>
        </a:p>
      </cdr:txBody>
    </cdr:sp>
  </cdr:relSizeAnchor>
  <cdr:relSizeAnchor xmlns:cdr="http://schemas.openxmlformats.org/drawingml/2006/chartDrawing">
    <cdr:from>
      <cdr:x>0.47118</cdr:x>
      <cdr:y>0.15106</cdr:y>
    </cdr:from>
    <cdr:to>
      <cdr:x>0.55712</cdr:x>
      <cdr:y>0.20539</cdr:y>
    </cdr:to>
    <cdr:sp>
      <cdr:nvSpPr>
        <cdr:cNvPr id="3" name="矩形 2"/>
        <cdr:cNvSpPr/>
      </cdr:nvSpPr>
      <cdr:spPr xmlns:a="http://schemas.openxmlformats.org/drawingml/2006/main">
        <a:xfrm xmlns:a="http://schemas.openxmlformats.org/drawingml/2006/main">
          <a:off x="1478046" y="346281"/>
          <a:ext cx="269594" cy="124538"/>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r>
            <a:rPr lang="en-US" sz="1100"/>
            <a:t>*</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1241</Words>
  <Characters>7075</Characters>
  <Lines>58</Lines>
  <Paragraphs>16</Paragraphs>
  <TotalTime>25</TotalTime>
  <ScaleCrop>false</ScaleCrop>
  <LinksUpToDate>false</LinksUpToDate>
  <CharactersWithSpaces>8300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2021-03-23T05:33:00Z</dcterms:created>
  <dc:creator>Warren Ladiges</dc:creator>
  <cp:lastModifiedBy>lala</cp:lastModifiedBy>
  <dcterms:modified xsi:type="dcterms:W3CDTF">2021-03-23T06:57:58Z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