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389E"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Irreversible Effects of Anticholinergic Withdrawal in the Elderly: A Case Report</w:t>
      </w:r>
    </w:p>
    <w:p w14:paraId="2D6BF4E5" w14:textId="77777777" w:rsidR="0024255F" w:rsidRDefault="007A48BC">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Authors: </w:t>
      </w:r>
      <w:r>
        <w:rPr>
          <w:rFonts w:ascii="Times New Roman" w:hAnsi="Times New Roman" w:cs="Times New Roman"/>
          <w:b/>
          <w:bCs/>
          <w:sz w:val="24"/>
          <w:szCs w:val="24"/>
        </w:rPr>
        <w:t>Charisse Chehovich, PharmD</w:t>
      </w:r>
      <w:r>
        <w:rPr>
          <w:rFonts w:ascii="Times New Roman" w:hAnsi="Times New Roman" w:cs="Times New Roman"/>
          <w:b/>
          <w:bCs/>
          <w:sz w:val="24"/>
          <w:szCs w:val="24"/>
          <w:vertAlign w:val="superscript"/>
        </w:rPr>
        <w:t>1*</w:t>
      </w:r>
      <w:r>
        <w:rPr>
          <w:rFonts w:ascii="Times New Roman" w:hAnsi="Times New Roman" w:cs="Times New Roman"/>
          <w:b/>
          <w:bCs/>
          <w:sz w:val="24"/>
          <w:szCs w:val="24"/>
        </w:rPr>
        <w:t>; Claudia Lee, MD</w:t>
      </w:r>
      <w:r>
        <w:rPr>
          <w:rFonts w:ascii="Times New Roman" w:hAnsi="Times New Roman" w:cs="Times New Roman"/>
          <w:b/>
          <w:bCs/>
          <w:sz w:val="24"/>
          <w:szCs w:val="24"/>
          <w:vertAlign w:val="superscript"/>
        </w:rPr>
        <w:t>1</w:t>
      </w:r>
      <w:r>
        <w:rPr>
          <w:rFonts w:ascii="Times New Roman" w:hAnsi="Times New Roman" w:cs="Times New Roman"/>
          <w:b/>
          <w:bCs/>
          <w:sz w:val="24"/>
          <w:szCs w:val="24"/>
        </w:rPr>
        <w:t>; TammieLee Demler, B.S., Pharm.D., MBA, BCGP, BCPP</w:t>
      </w:r>
      <w:r>
        <w:rPr>
          <w:rFonts w:ascii="Times New Roman" w:hAnsi="Times New Roman" w:cs="Times New Roman"/>
          <w:b/>
          <w:bCs/>
          <w:sz w:val="24"/>
          <w:szCs w:val="24"/>
          <w:vertAlign w:val="superscript"/>
        </w:rPr>
        <w:t>1,2,3</w:t>
      </w:r>
    </w:p>
    <w:p w14:paraId="219EB376" w14:textId="77777777" w:rsidR="0024255F" w:rsidRDefault="007A48B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Buffalo Psychiatric Center, Office of Mental Health</w:t>
      </w:r>
    </w:p>
    <w:p w14:paraId="6057672B" w14:textId="77777777" w:rsidR="0024255F" w:rsidRDefault="007A48B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University at Buffalo School of Pharmacy and Pharmaceutical Sciences </w:t>
      </w:r>
    </w:p>
    <w:p w14:paraId="141DCA65" w14:textId="77777777" w:rsidR="0024255F" w:rsidRDefault="007A48B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University at Buffalo School of Medicine, Department of Psychiatry</w:t>
      </w:r>
    </w:p>
    <w:p w14:paraId="55EA3C23"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*Corresponding author: </w:t>
      </w:r>
      <w:r>
        <w:rPr>
          <w:rFonts w:ascii="Times New Roman" w:hAnsi="Times New Roman" w:cs="Times New Roman"/>
          <w:sz w:val="24"/>
          <w:szCs w:val="24"/>
        </w:rPr>
        <w:t xml:space="preserve">Charisse Chehovich, PharmD, Email: </w:t>
      </w:r>
      <w:hyperlink r:id="rId9" w:history="1">
        <w:r>
          <w:rPr>
            <w:rStyle w:val="Hyperlink"/>
            <w:rFonts w:ascii="Times New Roman" w:hAnsi="Times New Roman" w:cs="Times New Roman"/>
            <w:sz w:val="24"/>
            <w:szCs w:val="24"/>
          </w:rPr>
          <w:t>Charisse.Chehovich@omh.ny.gov</w:t>
        </w:r>
      </w:hyperlink>
      <w:r>
        <w:rPr>
          <w:rFonts w:ascii="Times New Roman" w:hAnsi="Times New Roman" w:cs="Times New Roman"/>
          <w:sz w:val="24"/>
          <w:szCs w:val="24"/>
        </w:rPr>
        <w:t>, Phone: 716-816-2290, Fax: 716-816-2496</w:t>
      </w:r>
    </w:p>
    <w:p w14:paraId="1611F471"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7DDF872F" w14:textId="3C49680D"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Anticholinergics, such as benztropine and trihexyphenidyl, are a class of medications that have been used to treat several different conditions including antipsychotic-induced extrapyramidal side effects (EPS) that are most often associated with first-generation antipsychotics (FGAs), such as haloperidol and fluphenazine.  Many other medications, including antimuscarinics, antipsychotics, and antidepressants, also have anticholinergic effects</w:t>
      </w:r>
      <w:r w:rsidRPr="008F0BA6">
        <w:rPr>
          <w:rFonts w:ascii="Times New Roman" w:hAnsi="Times New Roman" w:cs="Times New Roman"/>
          <w:b/>
          <w:bCs/>
          <w:sz w:val="24"/>
          <w:szCs w:val="24"/>
        </w:rPr>
        <w:t xml:space="preserve">. </w:t>
      </w:r>
      <w:r w:rsidR="00305B81" w:rsidRPr="008F0BA6">
        <w:rPr>
          <w:rFonts w:ascii="Times New Roman" w:hAnsi="Times New Roman" w:cs="Times New Roman"/>
          <w:b/>
          <w:bCs/>
          <w:sz w:val="24"/>
          <w:szCs w:val="24"/>
        </w:rPr>
        <w:t xml:space="preserve">In this report, we review the case of an 80-year-old male who experiences irreversible </w:t>
      </w:r>
      <w:r w:rsidR="001B7998" w:rsidRPr="008F0BA6">
        <w:rPr>
          <w:rFonts w:ascii="Times New Roman" w:hAnsi="Times New Roman" w:cs="Times New Roman"/>
          <w:b/>
          <w:bCs/>
          <w:sz w:val="24"/>
          <w:szCs w:val="24"/>
        </w:rPr>
        <w:t>anticholinergic</w:t>
      </w:r>
      <w:r w:rsidR="00305B81" w:rsidRPr="008F0BA6">
        <w:rPr>
          <w:rFonts w:ascii="Times New Roman" w:hAnsi="Times New Roman" w:cs="Times New Roman"/>
          <w:b/>
          <w:bCs/>
          <w:sz w:val="24"/>
          <w:szCs w:val="24"/>
        </w:rPr>
        <w:t xml:space="preserve"> withdrawal </w:t>
      </w:r>
      <w:r w:rsidR="001B7998" w:rsidRPr="008F0BA6">
        <w:rPr>
          <w:rFonts w:ascii="Times New Roman" w:hAnsi="Times New Roman" w:cs="Times New Roman"/>
          <w:b/>
          <w:bCs/>
          <w:sz w:val="24"/>
          <w:szCs w:val="24"/>
        </w:rPr>
        <w:t xml:space="preserve">effects </w:t>
      </w:r>
      <w:r w:rsidR="00305B81" w:rsidRPr="008F0BA6">
        <w:rPr>
          <w:rFonts w:ascii="Times New Roman" w:hAnsi="Times New Roman" w:cs="Times New Roman"/>
          <w:b/>
          <w:bCs/>
          <w:sz w:val="24"/>
          <w:szCs w:val="24"/>
        </w:rPr>
        <w:t xml:space="preserve">following the discontinuation of </w:t>
      </w:r>
      <w:r w:rsidR="001B7998" w:rsidRPr="008F0BA6">
        <w:rPr>
          <w:rFonts w:ascii="Times New Roman" w:hAnsi="Times New Roman" w:cs="Times New Roman"/>
          <w:b/>
          <w:bCs/>
          <w:sz w:val="24"/>
          <w:szCs w:val="24"/>
        </w:rPr>
        <w:t xml:space="preserve">trihexyphenidyl and trospium </w:t>
      </w:r>
      <w:r w:rsidR="008810C1" w:rsidRPr="008F0BA6">
        <w:rPr>
          <w:rFonts w:ascii="Times New Roman" w:hAnsi="Times New Roman" w:cs="Times New Roman"/>
          <w:b/>
          <w:bCs/>
          <w:sz w:val="24"/>
          <w:szCs w:val="24"/>
        </w:rPr>
        <w:t>secondary</w:t>
      </w:r>
      <w:r w:rsidR="001B7998" w:rsidRPr="008F0BA6">
        <w:rPr>
          <w:rFonts w:ascii="Times New Roman" w:hAnsi="Times New Roman" w:cs="Times New Roman"/>
          <w:b/>
          <w:bCs/>
          <w:sz w:val="24"/>
          <w:szCs w:val="24"/>
        </w:rPr>
        <w:t xml:space="preserve"> to side effects.</w:t>
      </w:r>
      <w:r w:rsidR="001B7998">
        <w:rPr>
          <w:rFonts w:ascii="Times New Roman" w:hAnsi="Times New Roman" w:cs="Times New Roman"/>
          <w:sz w:val="24"/>
          <w:szCs w:val="24"/>
        </w:rPr>
        <w:t xml:space="preserve"> </w:t>
      </w:r>
      <w:r>
        <w:rPr>
          <w:rFonts w:ascii="Times New Roman" w:hAnsi="Times New Roman" w:cs="Times New Roman"/>
          <w:sz w:val="24"/>
          <w:szCs w:val="24"/>
        </w:rPr>
        <w:t xml:space="preserve">Discontinuation of anticholinergics must be approached with care as abrupt withdrawal can lead to cholinergic rebound and muscular rigidity, and in some cases can lead to acute hospitalization and an inability to return to baseline functioning, </w:t>
      </w:r>
      <w:r w:rsidR="001B7998">
        <w:rPr>
          <w:rFonts w:ascii="Times New Roman" w:hAnsi="Times New Roman" w:cs="Times New Roman"/>
          <w:sz w:val="24"/>
          <w:szCs w:val="24"/>
        </w:rPr>
        <w:t>as seen in our elderly patient</w:t>
      </w:r>
      <w:r>
        <w:rPr>
          <w:rFonts w:ascii="Times New Roman" w:hAnsi="Times New Roman" w:cs="Times New Roman"/>
          <w:sz w:val="24"/>
          <w:szCs w:val="24"/>
        </w:rPr>
        <w:t>.</w:t>
      </w:r>
      <w:r w:rsidR="00305B81">
        <w:rPr>
          <w:rFonts w:ascii="Times New Roman" w:hAnsi="Times New Roman" w:cs="Times New Roman"/>
          <w:sz w:val="24"/>
          <w:szCs w:val="24"/>
        </w:rPr>
        <w:t xml:space="preserve"> </w:t>
      </w:r>
    </w:p>
    <w:p w14:paraId="23541E78" w14:textId="6D21BA02" w:rsidR="00805DB9" w:rsidRDefault="00805DB9">
      <w:pPr>
        <w:spacing w:line="480" w:lineRule="auto"/>
        <w:rPr>
          <w:rFonts w:ascii="Times New Roman" w:hAnsi="Times New Roman" w:cs="Times New Roman"/>
          <w:sz w:val="24"/>
          <w:szCs w:val="24"/>
        </w:rPr>
      </w:pPr>
    </w:p>
    <w:p w14:paraId="41E9C574" w14:textId="77777777" w:rsidR="00805DB9" w:rsidRDefault="00805DB9">
      <w:pPr>
        <w:spacing w:line="480" w:lineRule="auto"/>
        <w:rPr>
          <w:rFonts w:ascii="Times New Roman" w:hAnsi="Times New Roman" w:cs="Times New Roman"/>
          <w:sz w:val="24"/>
          <w:szCs w:val="24"/>
        </w:rPr>
      </w:pPr>
    </w:p>
    <w:p w14:paraId="03520D5D"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Keywords</w:t>
      </w:r>
    </w:p>
    <w:p w14:paraId="7DD762DA"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Anticholinergic withdrawal, trihexyphenidyl, trihexyphenidyl withdrawal, trospium, anticholinergic drugs, cholinergic rebound</w:t>
      </w:r>
    </w:p>
    <w:p w14:paraId="4AF83CA2"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303AF1F0"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 xml:space="preserve">Anticholinergic medications can be used for many disease states, including irritable bowel syndrome, Parkinson’s disease, peptic ulcer disease, urinary incontinence, and for the prophylaxis and treatment of drug-induced extrapyramidal effects secondary to antipsychotic use [1-3]. While anticholinergics can clinically benefit certain conditions, they are not without risk. Due to their mechanism of action on the central and peripheral nervous systems to induce their effects, anticholinergic medications can also have serious side effects ranging from constipation and dry mouth to cognitive impairment, hallucinations, tachyarrhythmias, and congestive heart failure [1]. Trihexyphenidyl and trospium are two such anticholinergic medications. Trihexyphenidyl is a medication considered to have a “high anticholinergic load”, and was first approved by the Food and Drug Administration (FDA) in April 2003 and is indicated for the treatment of Parkinson’s Disease and drug-induced extrapyramidal effects, especially in those treated with a FGA, such as fluphenazine [1,2,4]. Trospium on the other hand is used to treat overactive bladder and has low blood brain barrier penetration due to its hydrophilic properties. For this reason, trospium does not exert anticholinergic activity on the central nervous system [5]. The risks associated with anticholinergic medications can lead to discontinuation, but while there is much discussion regarding anticholinergic effects and burden, providers must also be aware of the consequences of abrupt anticholinergic discontinuation leading to withdrawal. Anticholinergic withdrawal can lead to cholinergic rebound which includes urinary urgency, </w:t>
      </w:r>
      <w:r>
        <w:rPr>
          <w:rFonts w:ascii="Times New Roman" w:hAnsi="Times New Roman" w:cs="Times New Roman"/>
          <w:sz w:val="24"/>
          <w:szCs w:val="24"/>
        </w:rPr>
        <w:lastRenderedPageBreak/>
        <w:t>sweating, and nausea [6]. According to Saheed and colleagues, the most common symptom of trihexyphenidyl withdrawal was rigidity [7]. In other cases, anticholinergic withdrawal can be so severe it leads to hospitalization, as noted in this case report.</w:t>
      </w:r>
    </w:p>
    <w:p w14:paraId="60604AEB" w14:textId="77777777" w:rsidR="0024255F" w:rsidRDefault="0024255F">
      <w:pPr>
        <w:spacing w:line="480" w:lineRule="auto"/>
        <w:rPr>
          <w:rFonts w:ascii="Times New Roman" w:hAnsi="Times New Roman" w:cs="Times New Roman"/>
          <w:sz w:val="24"/>
          <w:szCs w:val="24"/>
        </w:rPr>
      </w:pPr>
    </w:p>
    <w:p w14:paraId="69270531"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Case Report</w:t>
      </w:r>
    </w:p>
    <w:p w14:paraId="4471E3B2" w14:textId="3CD9D1F6" w:rsidR="00CF32D9" w:rsidRDefault="007A48BC" w:rsidP="00CF32D9">
      <w:pPr>
        <w:spacing w:line="480" w:lineRule="auto"/>
        <w:rPr>
          <w:rFonts w:ascii="Times New Roman" w:hAnsi="Times New Roman" w:cs="Times New Roman"/>
          <w:sz w:val="24"/>
          <w:szCs w:val="24"/>
        </w:rPr>
      </w:pPr>
      <w:r>
        <w:rPr>
          <w:rFonts w:ascii="Times New Roman" w:hAnsi="Times New Roman" w:cs="Times New Roman"/>
          <w:sz w:val="24"/>
          <w:szCs w:val="24"/>
        </w:rPr>
        <w:t>An 80-year-old black male was admitted to an inpatient psychiatric facility in July 2016 after he was found wandering the halls of his apartment building carrying a knife, as he believed someone was trying to murder him. He began showing signs of mental illness at the age of thirty and was hospitalized on multiple occasions within inpatient psychiatric settings. As of 2019, he had a psychiatric diagnosis of schizophrenia treated with fluphenazine decanoate and medical diagnoses to include constipation treated with polyethylene glycol, hyperlipidemia treated with atorvastatin, hypertension treated with amlodipine, prostate cancer treated with monthly leuprolide injections, vitamin D deficiency treated with cholecalciferol, glaucoma treated with latanoprost, dry eyes treated with polyvinyl alcohol, gastroesophageal reflux disease (GERD) treated with omeprazole, osteoarthritis treated with acetaminophen and menthol/methyl salicylate cream, and urinary incontinence treated with tamsulosin and trospium. The patient also received trihexyphenidyl for prevention of extrapyramidal side effects (EPS) (table 1).</w:t>
      </w:r>
    </w:p>
    <w:p w14:paraId="66FF5C51" w14:textId="77777777" w:rsidR="0024255F" w:rsidRDefault="007A48BC">
      <w:pPr>
        <w:rPr>
          <w:rFonts w:ascii="Times New Roman" w:hAnsi="Times New Roman" w:cs="Times New Roman"/>
          <w:b/>
          <w:bCs/>
          <w:sz w:val="24"/>
          <w:szCs w:val="24"/>
        </w:rPr>
      </w:pPr>
      <w:r>
        <w:rPr>
          <w:rFonts w:ascii="Times New Roman" w:hAnsi="Times New Roman" w:cs="Times New Roman"/>
          <w:b/>
          <w:bCs/>
          <w:sz w:val="24"/>
          <w:szCs w:val="24"/>
        </w:rPr>
        <w:t>Table 1: Inpatient Medication List</w:t>
      </w:r>
    </w:p>
    <w:tbl>
      <w:tblPr>
        <w:tblStyle w:val="GridTable41"/>
        <w:tblW w:w="9828" w:type="dxa"/>
        <w:tblLayout w:type="fixed"/>
        <w:tblLook w:val="04A0" w:firstRow="1" w:lastRow="0" w:firstColumn="1" w:lastColumn="0" w:noHBand="0" w:noVBand="1"/>
      </w:tblPr>
      <w:tblGrid>
        <w:gridCol w:w="1982"/>
        <w:gridCol w:w="1096"/>
        <w:gridCol w:w="2340"/>
        <w:gridCol w:w="1620"/>
        <w:gridCol w:w="1260"/>
        <w:gridCol w:w="1530"/>
      </w:tblGrid>
      <w:tr w:rsidR="0024255F" w14:paraId="45EE6E32" w14:textId="77777777" w:rsidTr="0024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6D858057"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Medication</w:t>
            </w:r>
          </w:p>
        </w:tc>
        <w:tc>
          <w:tcPr>
            <w:tcW w:w="1096" w:type="dxa"/>
          </w:tcPr>
          <w:p w14:paraId="35997F8B" w14:textId="77777777" w:rsidR="0024255F" w:rsidRDefault="007A48B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Dose</w:t>
            </w:r>
          </w:p>
        </w:tc>
        <w:tc>
          <w:tcPr>
            <w:tcW w:w="2340" w:type="dxa"/>
          </w:tcPr>
          <w:p w14:paraId="5CBECDBD" w14:textId="77777777" w:rsidR="0024255F" w:rsidRDefault="007A48B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Directions</w:t>
            </w:r>
          </w:p>
        </w:tc>
        <w:tc>
          <w:tcPr>
            <w:tcW w:w="1620" w:type="dxa"/>
          </w:tcPr>
          <w:p w14:paraId="1EE7A820" w14:textId="77777777" w:rsidR="0024255F" w:rsidRDefault="007A48B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Indication</w:t>
            </w:r>
          </w:p>
        </w:tc>
        <w:tc>
          <w:tcPr>
            <w:tcW w:w="1260" w:type="dxa"/>
          </w:tcPr>
          <w:p w14:paraId="38298CA5" w14:textId="77777777" w:rsidR="0024255F" w:rsidRDefault="007A48B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Date of Initiation</w:t>
            </w:r>
          </w:p>
        </w:tc>
        <w:tc>
          <w:tcPr>
            <w:tcW w:w="1530" w:type="dxa"/>
          </w:tcPr>
          <w:p w14:paraId="2D05788C" w14:textId="77777777" w:rsidR="0024255F" w:rsidRDefault="007A48B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Date of Discontinuation</w:t>
            </w:r>
          </w:p>
        </w:tc>
      </w:tr>
      <w:tr w:rsidR="0024255F" w14:paraId="0BC3D78E"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67065E1C"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Acetaminophen</w:t>
            </w:r>
          </w:p>
        </w:tc>
        <w:tc>
          <w:tcPr>
            <w:tcW w:w="1096" w:type="dxa"/>
            <w:shd w:val="clear" w:color="auto" w:fill="CCCCCC" w:themeFill="text1" w:themeFillTint="33"/>
          </w:tcPr>
          <w:p w14:paraId="7A55523A"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325 mg</w:t>
            </w:r>
          </w:p>
        </w:tc>
        <w:tc>
          <w:tcPr>
            <w:tcW w:w="2340" w:type="dxa"/>
            <w:shd w:val="clear" w:color="auto" w:fill="CCCCCC" w:themeFill="text1" w:themeFillTint="33"/>
          </w:tcPr>
          <w:p w14:paraId="36407727"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650 mg by mouth twice daily for pain and every 4 hours as needed</w:t>
            </w:r>
          </w:p>
        </w:tc>
        <w:tc>
          <w:tcPr>
            <w:tcW w:w="1620" w:type="dxa"/>
            <w:shd w:val="clear" w:color="auto" w:fill="CCCCCC" w:themeFill="text1" w:themeFillTint="33"/>
          </w:tcPr>
          <w:p w14:paraId="6227E53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osteoarthritis pain</w:t>
            </w:r>
          </w:p>
        </w:tc>
        <w:tc>
          <w:tcPr>
            <w:tcW w:w="1260" w:type="dxa"/>
            <w:shd w:val="clear" w:color="auto" w:fill="CCCCCC" w:themeFill="text1" w:themeFillTint="33"/>
          </w:tcPr>
          <w:p w14:paraId="2F9144DA"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9/18/2018</w:t>
            </w:r>
          </w:p>
        </w:tc>
        <w:tc>
          <w:tcPr>
            <w:tcW w:w="1530" w:type="dxa"/>
            <w:shd w:val="clear" w:color="auto" w:fill="CCCCCC" w:themeFill="text1" w:themeFillTint="33"/>
          </w:tcPr>
          <w:p w14:paraId="730B18D0"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291EC0B0" w14:textId="77777777" w:rsidTr="0024255F">
        <w:tc>
          <w:tcPr>
            <w:cnfStyle w:val="001000000000" w:firstRow="0" w:lastRow="0" w:firstColumn="1" w:lastColumn="0" w:oddVBand="0" w:evenVBand="0" w:oddHBand="0" w:evenHBand="0" w:firstRowFirstColumn="0" w:firstRowLastColumn="0" w:lastRowFirstColumn="0" w:lastRowLastColumn="0"/>
            <w:tcW w:w="1982" w:type="dxa"/>
          </w:tcPr>
          <w:p w14:paraId="73311CF4"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lastRenderedPageBreak/>
              <w:t xml:space="preserve">Amlodipine </w:t>
            </w:r>
          </w:p>
        </w:tc>
        <w:tc>
          <w:tcPr>
            <w:tcW w:w="1096" w:type="dxa"/>
          </w:tcPr>
          <w:p w14:paraId="3E30A99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mg</w:t>
            </w:r>
          </w:p>
        </w:tc>
        <w:tc>
          <w:tcPr>
            <w:tcW w:w="2340" w:type="dxa"/>
          </w:tcPr>
          <w:p w14:paraId="6BE6BD8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mg by mouth daily</w:t>
            </w:r>
          </w:p>
        </w:tc>
        <w:tc>
          <w:tcPr>
            <w:tcW w:w="1620" w:type="dxa"/>
          </w:tcPr>
          <w:p w14:paraId="0E01BC50"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hypertension</w:t>
            </w:r>
          </w:p>
        </w:tc>
        <w:tc>
          <w:tcPr>
            <w:tcW w:w="1260" w:type="dxa"/>
          </w:tcPr>
          <w:p w14:paraId="73A1FBA3"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7/26/2016</w:t>
            </w:r>
          </w:p>
        </w:tc>
        <w:tc>
          <w:tcPr>
            <w:tcW w:w="1530" w:type="dxa"/>
          </w:tcPr>
          <w:p w14:paraId="283F8D5C"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35685833"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1BD2F79B"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Atorvastatin</w:t>
            </w:r>
          </w:p>
        </w:tc>
        <w:tc>
          <w:tcPr>
            <w:tcW w:w="1096" w:type="dxa"/>
            <w:shd w:val="clear" w:color="auto" w:fill="CCCCCC" w:themeFill="text1" w:themeFillTint="33"/>
          </w:tcPr>
          <w:p w14:paraId="0771BCB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mg</w:t>
            </w:r>
          </w:p>
        </w:tc>
        <w:tc>
          <w:tcPr>
            <w:tcW w:w="2340" w:type="dxa"/>
            <w:shd w:val="clear" w:color="auto" w:fill="CCCCCC" w:themeFill="text1" w:themeFillTint="33"/>
          </w:tcPr>
          <w:p w14:paraId="3161964B"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mg by mouth at bedtime</w:t>
            </w:r>
          </w:p>
        </w:tc>
        <w:tc>
          <w:tcPr>
            <w:tcW w:w="1620" w:type="dxa"/>
            <w:shd w:val="clear" w:color="auto" w:fill="CCCCCC" w:themeFill="text1" w:themeFillTint="33"/>
          </w:tcPr>
          <w:p w14:paraId="07CF7E9C"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hyperlipidemia</w:t>
            </w:r>
          </w:p>
        </w:tc>
        <w:tc>
          <w:tcPr>
            <w:tcW w:w="1260" w:type="dxa"/>
            <w:shd w:val="clear" w:color="auto" w:fill="CCCCCC" w:themeFill="text1" w:themeFillTint="33"/>
          </w:tcPr>
          <w:p w14:paraId="3E38E57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1/24/2017</w:t>
            </w:r>
          </w:p>
        </w:tc>
        <w:tc>
          <w:tcPr>
            <w:tcW w:w="1530" w:type="dxa"/>
            <w:shd w:val="clear" w:color="auto" w:fill="CCCCCC" w:themeFill="text1" w:themeFillTint="33"/>
          </w:tcPr>
          <w:p w14:paraId="27C7C1F3"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7770B3C1" w14:textId="77777777" w:rsidTr="0024255F">
        <w:tc>
          <w:tcPr>
            <w:cnfStyle w:val="001000000000" w:firstRow="0" w:lastRow="0" w:firstColumn="1" w:lastColumn="0" w:oddVBand="0" w:evenVBand="0" w:oddHBand="0" w:evenHBand="0" w:firstRowFirstColumn="0" w:firstRowLastColumn="0" w:lastRowFirstColumn="0" w:lastRowLastColumn="0"/>
            <w:tcW w:w="1982" w:type="dxa"/>
          </w:tcPr>
          <w:p w14:paraId="7F0C7CF5"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Cholecalciferol</w:t>
            </w:r>
          </w:p>
        </w:tc>
        <w:tc>
          <w:tcPr>
            <w:tcW w:w="1096" w:type="dxa"/>
          </w:tcPr>
          <w:p w14:paraId="1D22BA7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mcg</w:t>
            </w:r>
          </w:p>
        </w:tc>
        <w:tc>
          <w:tcPr>
            <w:tcW w:w="2340" w:type="dxa"/>
          </w:tcPr>
          <w:p w14:paraId="58574935"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mcg by mouth daily</w:t>
            </w:r>
          </w:p>
        </w:tc>
        <w:tc>
          <w:tcPr>
            <w:tcW w:w="1620" w:type="dxa"/>
          </w:tcPr>
          <w:p w14:paraId="27A04D0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vitamin D deficiency</w:t>
            </w:r>
          </w:p>
        </w:tc>
        <w:tc>
          <w:tcPr>
            <w:tcW w:w="1260" w:type="dxa"/>
          </w:tcPr>
          <w:p w14:paraId="4BB79FB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8/7/2016</w:t>
            </w:r>
          </w:p>
        </w:tc>
        <w:tc>
          <w:tcPr>
            <w:tcW w:w="1530" w:type="dxa"/>
          </w:tcPr>
          <w:p w14:paraId="5E763233"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493E3151"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39ACDC2A"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Fluphenazine decanoate</w:t>
            </w:r>
          </w:p>
        </w:tc>
        <w:tc>
          <w:tcPr>
            <w:tcW w:w="1096" w:type="dxa"/>
            <w:shd w:val="clear" w:color="auto" w:fill="CCCCCC" w:themeFill="text1" w:themeFillTint="33"/>
          </w:tcPr>
          <w:p w14:paraId="3787043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37.5 mg</w:t>
            </w:r>
          </w:p>
        </w:tc>
        <w:tc>
          <w:tcPr>
            <w:tcW w:w="2340" w:type="dxa"/>
            <w:shd w:val="clear" w:color="auto" w:fill="CCCCCC" w:themeFill="text1" w:themeFillTint="33"/>
          </w:tcPr>
          <w:p w14:paraId="51B953FF"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37.5 mg intramuscularly every other week</w:t>
            </w:r>
          </w:p>
        </w:tc>
        <w:tc>
          <w:tcPr>
            <w:tcW w:w="1620" w:type="dxa"/>
            <w:shd w:val="clear" w:color="auto" w:fill="CCCCCC" w:themeFill="text1" w:themeFillTint="33"/>
          </w:tcPr>
          <w:p w14:paraId="4DD8494F"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Psychosis</w:t>
            </w:r>
          </w:p>
        </w:tc>
        <w:tc>
          <w:tcPr>
            <w:tcW w:w="1260" w:type="dxa"/>
            <w:shd w:val="clear" w:color="auto" w:fill="CCCCCC" w:themeFill="text1" w:themeFillTint="33"/>
          </w:tcPr>
          <w:p w14:paraId="7D81363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3/21/2018</w:t>
            </w:r>
          </w:p>
        </w:tc>
        <w:tc>
          <w:tcPr>
            <w:tcW w:w="1530" w:type="dxa"/>
            <w:shd w:val="clear" w:color="auto" w:fill="CCCCCC" w:themeFill="text1" w:themeFillTint="33"/>
          </w:tcPr>
          <w:p w14:paraId="61099FA4"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70D81DA0" w14:textId="77777777" w:rsidTr="0024255F">
        <w:tc>
          <w:tcPr>
            <w:cnfStyle w:val="001000000000" w:firstRow="0" w:lastRow="0" w:firstColumn="1" w:lastColumn="0" w:oddVBand="0" w:evenVBand="0" w:oddHBand="0" w:evenHBand="0" w:firstRowFirstColumn="0" w:firstRowLastColumn="0" w:lastRowFirstColumn="0" w:lastRowLastColumn="0"/>
            <w:tcW w:w="1982" w:type="dxa"/>
          </w:tcPr>
          <w:p w14:paraId="71F6C8FD"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Latanoprost eye drops</w:t>
            </w:r>
          </w:p>
        </w:tc>
        <w:tc>
          <w:tcPr>
            <w:tcW w:w="1096" w:type="dxa"/>
          </w:tcPr>
          <w:p w14:paraId="23898693"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0.005%</w:t>
            </w:r>
          </w:p>
        </w:tc>
        <w:tc>
          <w:tcPr>
            <w:tcW w:w="2340" w:type="dxa"/>
          </w:tcPr>
          <w:p w14:paraId="6DFC8832"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one drop into each eye at bedtime</w:t>
            </w:r>
          </w:p>
        </w:tc>
        <w:tc>
          <w:tcPr>
            <w:tcW w:w="1620" w:type="dxa"/>
          </w:tcPr>
          <w:p w14:paraId="0C01DB5B"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Glaucoma</w:t>
            </w:r>
          </w:p>
        </w:tc>
        <w:tc>
          <w:tcPr>
            <w:tcW w:w="1260" w:type="dxa"/>
          </w:tcPr>
          <w:p w14:paraId="3E48E8D5"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10/10/2018</w:t>
            </w:r>
          </w:p>
        </w:tc>
        <w:tc>
          <w:tcPr>
            <w:tcW w:w="1530" w:type="dxa"/>
          </w:tcPr>
          <w:p w14:paraId="0E1904C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0E69E57E"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2DF58833"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Menthol/ methyl salicylate cream</w:t>
            </w:r>
          </w:p>
        </w:tc>
        <w:tc>
          <w:tcPr>
            <w:tcW w:w="1096" w:type="dxa"/>
            <w:shd w:val="clear" w:color="auto" w:fill="CCCCCC" w:themeFill="text1" w:themeFillTint="33"/>
          </w:tcPr>
          <w:p w14:paraId="3F76D6C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10%/30%</w:t>
            </w:r>
          </w:p>
        </w:tc>
        <w:tc>
          <w:tcPr>
            <w:tcW w:w="2340" w:type="dxa"/>
            <w:shd w:val="clear" w:color="auto" w:fill="CCCCCC" w:themeFill="text1" w:themeFillTint="33"/>
          </w:tcPr>
          <w:p w14:paraId="4D1A90B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Apply a small amount four times daily as needed</w:t>
            </w:r>
          </w:p>
        </w:tc>
        <w:tc>
          <w:tcPr>
            <w:tcW w:w="1620" w:type="dxa"/>
            <w:shd w:val="clear" w:color="auto" w:fill="CCCCCC" w:themeFill="text1" w:themeFillTint="33"/>
          </w:tcPr>
          <w:p w14:paraId="0F2EC96D"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Osteoarthritis pain</w:t>
            </w:r>
          </w:p>
        </w:tc>
        <w:tc>
          <w:tcPr>
            <w:tcW w:w="1260" w:type="dxa"/>
            <w:shd w:val="clear" w:color="auto" w:fill="CCCCCC" w:themeFill="text1" w:themeFillTint="33"/>
          </w:tcPr>
          <w:p w14:paraId="10F20144"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3/27/2018</w:t>
            </w:r>
          </w:p>
        </w:tc>
        <w:tc>
          <w:tcPr>
            <w:tcW w:w="1530" w:type="dxa"/>
            <w:shd w:val="clear" w:color="auto" w:fill="CCCCCC" w:themeFill="text1" w:themeFillTint="33"/>
          </w:tcPr>
          <w:p w14:paraId="2F2736B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02F92EC3" w14:textId="77777777" w:rsidTr="0024255F">
        <w:tc>
          <w:tcPr>
            <w:cnfStyle w:val="001000000000" w:firstRow="0" w:lastRow="0" w:firstColumn="1" w:lastColumn="0" w:oddVBand="0" w:evenVBand="0" w:oddHBand="0" w:evenHBand="0" w:firstRowFirstColumn="0" w:firstRowLastColumn="0" w:lastRowFirstColumn="0" w:lastRowLastColumn="0"/>
            <w:tcW w:w="1982" w:type="dxa"/>
          </w:tcPr>
          <w:p w14:paraId="0F95C74D"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Omeprazole</w:t>
            </w:r>
          </w:p>
        </w:tc>
        <w:tc>
          <w:tcPr>
            <w:tcW w:w="1096" w:type="dxa"/>
          </w:tcPr>
          <w:p w14:paraId="000B951E"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mg</w:t>
            </w:r>
          </w:p>
        </w:tc>
        <w:tc>
          <w:tcPr>
            <w:tcW w:w="2340" w:type="dxa"/>
          </w:tcPr>
          <w:p w14:paraId="57643F9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mg by mouth daily</w:t>
            </w:r>
          </w:p>
        </w:tc>
        <w:tc>
          <w:tcPr>
            <w:tcW w:w="1620" w:type="dxa"/>
          </w:tcPr>
          <w:p w14:paraId="3BE87DB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GERD*</w:t>
            </w:r>
          </w:p>
        </w:tc>
        <w:tc>
          <w:tcPr>
            <w:tcW w:w="1260" w:type="dxa"/>
          </w:tcPr>
          <w:p w14:paraId="612ABDC0"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8/24/2017</w:t>
            </w:r>
          </w:p>
        </w:tc>
        <w:tc>
          <w:tcPr>
            <w:tcW w:w="1530" w:type="dxa"/>
          </w:tcPr>
          <w:p w14:paraId="3FBE4F6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335CC946"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2C83AA7C"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Polyethylene glycol</w:t>
            </w:r>
          </w:p>
        </w:tc>
        <w:tc>
          <w:tcPr>
            <w:tcW w:w="1096" w:type="dxa"/>
            <w:shd w:val="clear" w:color="auto" w:fill="CCCCCC" w:themeFill="text1" w:themeFillTint="33"/>
          </w:tcPr>
          <w:p w14:paraId="5230210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 grams</w:t>
            </w:r>
          </w:p>
        </w:tc>
        <w:tc>
          <w:tcPr>
            <w:tcW w:w="2340" w:type="dxa"/>
            <w:shd w:val="clear" w:color="auto" w:fill="CCCCCC" w:themeFill="text1" w:themeFillTint="33"/>
          </w:tcPr>
          <w:p w14:paraId="1B6EF88F"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 grams by mouth daily</w:t>
            </w:r>
          </w:p>
        </w:tc>
        <w:tc>
          <w:tcPr>
            <w:tcW w:w="1620" w:type="dxa"/>
            <w:shd w:val="clear" w:color="auto" w:fill="CCCCCC" w:themeFill="text1" w:themeFillTint="33"/>
          </w:tcPr>
          <w:p w14:paraId="0B424D9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constipation</w:t>
            </w:r>
          </w:p>
        </w:tc>
        <w:tc>
          <w:tcPr>
            <w:tcW w:w="1260" w:type="dxa"/>
            <w:shd w:val="clear" w:color="auto" w:fill="CCCCCC" w:themeFill="text1" w:themeFillTint="33"/>
          </w:tcPr>
          <w:p w14:paraId="09A7197C"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8/29/2018</w:t>
            </w:r>
          </w:p>
        </w:tc>
        <w:tc>
          <w:tcPr>
            <w:tcW w:w="1530" w:type="dxa"/>
            <w:shd w:val="clear" w:color="auto" w:fill="CCCCCC" w:themeFill="text1" w:themeFillTint="33"/>
          </w:tcPr>
          <w:p w14:paraId="6A89610B"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0BFBD633" w14:textId="77777777" w:rsidTr="0024255F">
        <w:tc>
          <w:tcPr>
            <w:cnfStyle w:val="001000000000" w:firstRow="0" w:lastRow="0" w:firstColumn="1" w:lastColumn="0" w:oddVBand="0" w:evenVBand="0" w:oddHBand="0" w:evenHBand="0" w:firstRowFirstColumn="0" w:firstRowLastColumn="0" w:lastRowFirstColumn="0" w:lastRowLastColumn="0"/>
            <w:tcW w:w="1982" w:type="dxa"/>
          </w:tcPr>
          <w:p w14:paraId="09A259F3"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Polyvinyl alcohol eye drops</w:t>
            </w:r>
          </w:p>
        </w:tc>
        <w:tc>
          <w:tcPr>
            <w:tcW w:w="1096" w:type="dxa"/>
          </w:tcPr>
          <w:p w14:paraId="346178C0"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2340" w:type="dxa"/>
          </w:tcPr>
          <w:p w14:paraId="1A621D7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one drop into each eye twice daily</w:t>
            </w:r>
          </w:p>
        </w:tc>
        <w:tc>
          <w:tcPr>
            <w:tcW w:w="1620" w:type="dxa"/>
          </w:tcPr>
          <w:p w14:paraId="41103AAA"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dry eyes</w:t>
            </w:r>
          </w:p>
        </w:tc>
        <w:tc>
          <w:tcPr>
            <w:tcW w:w="1260" w:type="dxa"/>
          </w:tcPr>
          <w:p w14:paraId="26A7519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10/10/2018</w:t>
            </w:r>
          </w:p>
        </w:tc>
        <w:tc>
          <w:tcPr>
            <w:tcW w:w="1530" w:type="dxa"/>
          </w:tcPr>
          <w:p w14:paraId="7BF1F2C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26B855F6"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57551999"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Tamsulosin</w:t>
            </w:r>
          </w:p>
        </w:tc>
        <w:tc>
          <w:tcPr>
            <w:tcW w:w="1096" w:type="dxa"/>
            <w:shd w:val="clear" w:color="auto" w:fill="CCCCCC" w:themeFill="text1" w:themeFillTint="33"/>
          </w:tcPr>
          <w:p w14:paraId="76C3EFD3"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 mg</w:t>
            </w:r>
          </w:p>
        </w:tc>
        <w:tc>
          <w:tcPr>
            <w:tcW w:w="2340" w:type="dxa"/>
            <w:shd w:val="clear" w:color="auto" w:fill="CCCCCC" w:themeFill="text1" w:themeFillTint="33"/>
          </w:tcPr>
          <w:p w14:paraId="55D46B69"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 mg by mouth twice daily</w:t>
            </w:r>
          </w:p>
        </w:tc>
        <w:tc>
          <w:tcPr>
            <w:tcW w:w="1620" w:type="dxa"/>
            <w:shd w:val="clear" w:color="auto" w:fill="CCCCCC" w:themeFill="text1" w:themeFillTint="33"/>
          </w:tcPr>
          <w:p w14:paraId="51297B6D"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urinary incontinence</w:t>
            </w:r>
          </w:p>
        </w:tc>
        <w:tc>
          <w:tcPr>
            <w:tcW w:w="1260" w:type="dxa"/>
            <w:shd w:val="clear" w:color="auto" w:fill="CCCCCC" w:themeFill="text1" w:themeFillTint="33"/>
          </w:tcPr>
          <w:p w14:paraId="3F70EE19"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3/31/2017</w:t>
            </w:r>
          </w:p>
        </w:tc>
        <w:tc>
          <w:tcPr>
            <w:tcW w:w="1530" w:type="dxa"/>
            <w:shd w:val="clear" w:color="auto" w:fill="CCCCCC" w:themeFill="text1" w:themeFillTint="33"/>
          </w:tcPr>
          <w:p w14:paraId="6A6B0554"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458F60B9" w14:textId="77777777" w:rsidTr="0024255F">
        <w:tc>
          <w:tcPr>
            <w:cnfStyle w:val="001000000000" w:firstRow="0" w:lastRow="0" w:firstColumn="1" w:lastColumn="0" w:oddVBand="0" w:evenVBand="0" w:oddHBand="0" w:evenHBand="0" w:firstRowFirstColumn="0" w:firstRowLastColumn="0" w:lastRowFirstColumn="0" w:lastRowLastColumn="0"/>
            <w:tcW w:w="1982" w:type="dxa"/>
          </w:tcPr>
          <w:p w14:paraId="08C68E2B"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Trihexyphenidyl</w:t>
            </w:r>
          </w:p>
        </w:tc>
        <w:tc>
          <w:tcPr>
            <w:tcW w:w="1096" w:type="dxa"/>
          </w:tcPr>
          <w:p w14:paraId="4448CC4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mg</w:t>
            </w:r>
          </w:p>
        </w:tc>
        <w:tc>
          <w:tcPr>
            <w:tcW w:w="2340" w:type="dxa"/>
          </w:tcPr>
          <w:p w14:paraId="37D0C224"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mg by mouth twice daily</w:t>
            </w:r>
          </w:p>
        </w:tc>
        <w:tc>
          <w:tcPr>
            <w:tcW w:w="1620" w:type="dxa"/>
          </w:tcPr>
          <w:p w14:paraId="5EB4A177"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EPS* prevention</w:t>
            </w:r>
          </w:p>
        </w:tc>
        <w:tc>
          <w:tcPr>
            <w:tcW w:w="1260" w:type="dxa"/>
          </w:tcPr>
          <w:p w14:paraId="52A32985"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7/11/2018</w:t>
            </w:r>
          </w:p>
        </w:tc>
        <w:tc>
          <w:tcPr>
            <w:tcW w:w="1530" w:type="dxa"/>
          </w:tcPr>
          <w:p w14:paraId="587CC49B"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6/26/2019</w:t>
            </w:r>
          </w:p>
        </w:tc>
      </w:tr>
      <w:tr w:rsidR="0024255F" w14:paraId="1B0A6161"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287E810F"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Trospium</w:t>
            </w:r>
          </w:p>
        </w:tc>
        <w:tc>
          <w:tcPr>
            <w:tcW w:w="1096" w:type="dxa"/>
            <w:shd w:val="clear" w:color="auto" w:fill="CCCCCC" w:themeFill="text1" w:themeFillTint="33"/>
          </w:tcPr>
          <w:p w14:paraId="1829ECDA"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mg</w:t>
            </w:r>
          </w:p>
        </w:tc>
        <w:tc>
          <w:tcPr>
            <w:tcW w:w="2340" w:type="dxa"/>
            <w:shd w:val="clear" w:color="auto" w:fill="CCCCCC" w:themeFill="text1" w:themeFillTint="33"/>
          </w:tcPr>
          <w:p w14:paraId="1B7016DA"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mg by mouth at bedtime</w:t>
            </w:r>
          </w:p>
        </w:tc>
        <w:tc>
          <w:tcPr>
            <w:tcW w:w="1620" w:type="dxa"/>
            <w:shd w:val="clear" w:color="auto" w:fill="CCCCCC" w:themeFill="text1" w:themeFillTint="33"/>
          </w:tcPr>
          <w:p w14:paraId="362970C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urinary incontinence</w:t>
            </w:r>
          </w:p>
        </w:tc>
        <w:tc>
          <w:tcPr>
            <w:tcW w:w="1260" w:type="dxa"/>
            <w:shd w:val="clear" w:color="auto" w:fill="CCCCCC" w:themeFill="text1" w:themeFillTint="33"/>
          </w:tcPr>
          <w:p w14:paraId="6ED7617F"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6/13/2017</w:t>
            </w:r>
          </w:p>
        </w:tc>
        <w:tc>
          <w:tcPr>
            <w:tcW w:w="1530" w:type="dxa"/>
            <w:shd w:val="clear" w:color="auto" w:fill="CCCCCC" w:themeFill="text1" w:themeFillTint="33"/>
          </w:tcPr>
          <w:p w14:paraId="57C4269E"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6/12/2019</w:t>
            </w:r>
          </w:p>
        </w:tc>
      </w:tr>
    </w:tbl>
    <w:p w14:paraId="784681E1" w14:textId="77777777" w:rsidR="0024255F" w:rsidRDefault="007A48BC">
      <w:pPr>
        <w:rPr>
          <w:rFonts w:ascii="Times New Roman" w:hAnsi="Times New Roman" w:cs="Times New Roman"/>
          <w:sz w:val="24"/>
          <w:szCs w:val="24"/>
        </w:rPr>
      </w:pPr>
      <w:r>
        <w:rPr>
          <w:rFonts w:ascii="Times New Roman" w:hAnsi="Times New Roman" w:cs="Times New Roman"/>
          <w:sz w:val="24"/>
          <w:szCs w:val="24"/>
        </w:rPr>
        <w:t>Table 1: *GERD=gastroesophageal reflux disorder, EPS=extrapyramidal side effects</w:t>
      </w:r>
    </w:p>
    <w:p w14:paraId="0C849429" w14:textId="77777777" w:rsidR="005E75ED" w:rsidRDefault="005E75ED" w:rsidP="005E75ED">
      <w:pPr>
        <w:spacing w:line="480" w:lineRule="auto"/>
        <w:rPr>
          <w:rFonts w:ascii="Times New Roman" w:hAnsi="Times New Roman" w:cs="Times New Roman"/>
          <w:sz w:val="24"/>
          <w:szCs w:val="24"/>
        </w:rPr>
      </w:pPr>
    </w:p>
    <w:p w14:paraId="7A7CC623" w14:textId="67627028" w:rsidR="00FA348B" w:rsidRPr="008F0BA6" w:rsidRDefault="005F78F4" w:rsidP="005E75ED">
      <w:pPr>
        <w:spacing w:line="480" w:lineRule="auto"/>
        <w:rPr>
          <w:rFonts w:ascii="Times New Roman" w:hAnsi="Times New Roman" w:cs="Times New Roman"/>
          <w:b/>
          <w:bCs/>
          <w:sz w:val="24"/>
          <w:szCs w:val="24"/>
        </w:rPr>
      </w:pPr>
      <w:r w:rsidRPr="008F0BA6">
        <w:rPr>
          <w:rFonts w:ascii="Times New Roman" w:hAnsi="Times New Roman" w:cs="Times New Roman"/>
          <w:b/>
          <w:bCs/>
          <w:sz w:val="24"/>
          <w:szCs w:val="24"/>
        </w:rPr>
        <w:t xml:space="preserve">Coadministration of fluphenazine with leuprolide can decrease the effectiveness of leuprolide in addition to increasing the risk of QTc prolongation. </w:t>
      </w:r>
      <w:r w:rsidR="003E337E" w:rsidRPr="008F0BA6">
        <w:rPr>
          <w:rFonts w:ascii="Times New Roman" w:hAnsi="Times New Roman" w:cs="Times New Roman"/>
          <w:b/>
          <w:bCs/>
          <w:sz w:val="24"/>
          <w:szCs w:val="24"/>
        </w:rPr>
        <w:t>However, the cardiovascular events associated with leuprolide may be due to hypogonadism rather that leuprolide itself [</w:t>
      </w:r>
      <w:r w:rsidR="008C29C8" w:rsidRPr="008F0BA6">
        <w:rPr>
          <w:rFonts w:ascii="Times New Roman" w:hAnsi="Times New Roman" w:cs="Times New Roman"/>
          <w:b/>
          <w:bCs/>
          <w:sz w:val="24"/>
          <w:szCs w:val="24"/>
        </w:rPr>
        <w:t>8</w:t>
      </w:r>
      <w:r w:rsidR="003E337E" w:rsidRPr="008F0BA6">
        <w:rPr>
          <w:rFonts w:ascii="Times New Roman" w:hAnsi="Times New Roman" w:cs="Times New Roman"/>
          <w:b/>
          <w:bCs/>
          <w:sz w:val="24"/>
          <w:szCs w:val="24"/>
        </w:rPr>
        <w:t xml:space="preserve">]. </w:t>
      </w:r>
      <w:r w:rsidRPr="008F0BA6">
        <w:rPr>
          <w:rFonts w:ascii="Times New Roman" w:hAnsi="Times New Roman" w:cs="Times New Roman"/>
          <w:b/>
          <w:bCs/>
          <w:sz w:val="24"/>
          <w:szCs w:val="24"/>
        </w:rPr>
        <w:t>As the patient was stabilized on fluphenazine prior to initiation of leuprolide</w:t>
      </w:r>
      <w:r w:rsidR="003E1F2C" w:rsidRPr="008F0BA6">
        <w:rPr>
          <w:rFonts w:ascii="Times New Roman" w:hAnsi="Times New Roman" w:cs="Times New Roman"/>
          <w:b/>
          <w:bCs/>
          <w:sz w:val="24"/>
          <w:szCs w:val="24"/>
        </w:rPr>
        <w:t xml:space="preserve"> and fluphenazine does not have a high risk of QTc prolongation</w:t>
      </w:r>
      <w:r w:rsidRPr="008F0BA6">
        <w:rPr>
          <w:rFonts w:ascii="Times New Roman" w:hAnsi="Times New Roman" w:cs="Times New Roman"/>
          <w:b/>
          <w:bCs/>
          <w:sz w:val="24"/>
          <w:szCs w:val="24"/>
        </w:rPr>
        <w:t xml:space="preserve">, the decision to </w:t>
      </w:r>
      <w:r w:rsidRPr="008F0BA6">
        <w:rPr>
          <w:rFonts w:ascii="Times New Roman" w:hAnsi="Times New Roman" w:cs="Times New Roman"/>
          <w:b/>
          <w:bCs/>
          <w:sz w:val="24"/>
          <w:szCs w:val="24"/>
        </w:rPr>
        <w:lastRenderedPageBreak/>
        <w:t>continue fluphenazine outweighed the risk of QTc prolongation, and the patient’s cardiac function was monitored</w:t>
      </w:r>
      <w:r w:rsidR="0071788A" w:rsidRPr="008F0BA6">
        <w:rPr>
          <w:rFonts w:ascii="Times New Roman" w:hAnsi="Times New Roman" w:cs="Times New Roman"/>
          <w:b/>
          <w:bCs/>
          <w:sz w:val="24"/>
          <w:szCs w:val="24"/>
        </w:rPr>
        <w:t xml:space="preserve"> [</w:t>
      </w:r>
      <w:r w:rsidR="008C29C8" w:rsidRPr="008F0BA6">
        <w:rPr>
          <w:rFonts w:ascii="Times New Roman" w:hAnsi="Times New Roman" w:cs="Times New Roman"/>
          <w:b/>
          <w:bCs/>
          <w:sz w:val="24"/>
          <w:szCs w:val="24"/>
        </w:rPr>
        <w:t>9</w:t>
      </w:r>
      <w:r w:rsidR="0071788A" w:rsidRPr="008F0BA6">
        <w:rPr>
          <w:rFonts w:ascii="Times New Roman" w:hAnsi="Times New Roman" w:cs="Times New Roman"/>
          <w:b/>
          <w:bCs/>
          <w:sz w:val="24"/>
          <w:szCs w:val="24"/>
        </w:rPr>
        <w:t>]</w:t>
      </w:r>
      <w:r w:rsidRPr="008F0BA6">
        <w:rPr>
          <w:rFonts w:ascii="Times New Roman" w:hAnsi="Times New Roman" w:cs="Times New Roman"/>
          <w:b/>
          <w:bCs/>
          <w:sz w:val="24"/>
          <w:szCs w:val="24"/>
        </w:rPr>
        <w:t xml:space="preserve">. Fluphenazine in addition to trospium and trihexyphenidyl can increase the risk of anticholinergic effects, especially in the elderly. Alternative therapies </w:t>
      </w:r>
      <w:r w:rsidR="008810C1" w:rsidRPr="008F0BA6">
        <w:rPr>
          <w:rFonts w:ascii="Times New Roman" w:hAnsi="Times New Roman" w:cs="Times New Roman"/>
          <w:b/>
          <w:bCs/>
          <w:sz w:val="24"/>
          <w:szCs w:val="24"/>
        </w:rPr>
        <w:t xml:space="preserve">that result in a lower anticholinergic burden </w:t>
      </w:r>
      <w:r w:rsidRPr="008F0BA6">
        <w:rPr>
          <w:rFonts w:ascii="Times New Roman" w:hAnsi="Times New Roman" w:cs="Times New Roman"/>
          <w:b/>
          <w:bCs/>
          <w:sz w:val="24"/>
          <w:szCs w:val="24"/>
        </w:rPr>
        <w:t>should be considered when possible.</w:t>
      </w:r>
      <w:r w:rsidR="008810C1" w:rsidRPr="008F0BA6">
        <w:rPr>
          <w:rFonts w:ascii="Times New Roman" w:hAnsi="Times New Roman" w:cs="Times New Roman"/>
          <w:b/>
          <w:bCs/>
          <w:sz w:val="24"/>
          <w:szCs w:val="24"/>
        </w:rPr>
        <w:t xml:space="preserve"> Mi</w:t>
      </w:r>
      <w:r w:rsidR="00414C55" w:rsidRPr="008F0BA6">
        <w:rPr>
          <w:rFonts w:ascii="Times New Roman" w:hAnsi="Times New Roman" w:cs="Times New Roman"/>
          <w:b/>
          <w:bCs/>
          <w:sz w:val="24"/>
          <w:szCs w:val="24"/>
        </w:rPr>
        <w:t xml:space="preserve">rabegron </w:t>
      </w:r>
      <w:r w:rsidR="00E66191" w:rsidRPr="008F0BA6">
        <w:rPr>
          <w:rFonts w:ascii="Times New Roman" w:hAnsi="Times New Roman" w:cs="Times New Roman"/>
          <w:b/>
          <w:bCs/>
          <w:sz w:val="24"/>
          <w:szCs w:val="24"/>
        </w:rPr>
        <w:t xml:space="preserve">is a </w:t>
      </w:r>
      <w:r w:rsidR="00E66191" w:rsidRPr="008F0BA6">
        <w:rPr>
          <w:rFonts w:ascii="Times New Roman" w:hAnsi="Times New Roman" w:cs="Times New Roman"/>
          <w:b/>
          <w:bCs/>
          <w:color w:val="000000"/>
          <w:sz w:val="24"/>
          <w:szCs w:val="24"/>
          <w:shd w:val="clear" w:color="auto" w:fill="FFFFFF"/>
        </w:rPr>
        <w:t>β</w:t>
      </w:r>
      <w:r w:rsidR="00E66191" w:rsidRPr="008F0BA6">
        <w:rPr>
          <w:rFonts w:ascii="Times New Roman" w:hAnsi="Times New Roman" w:cs="Times New Roman"/>
          <w:b/>
          <w:bCs/>
          <w:color w:val="000000"/>
          <w:sz w:val="24"/>
          <w:szCs w:val="24"/>
          <w:shd w:val="clear" w:color="auto" w:fill="FFFFFF"/>
          <w:vertAlign w:val="subscript"/>
        </w:rPr>
        <w:t>3</w:t>
      </w:r>
      <w:r w:rsidR="00E66191" w:rsidRPr="008F0BA6">
        <w:rPr>
          <w:rFonts w:ascii="Times New Roman" w:hAnsi="Times New Roman" w:cs="Times New Roman"/>
          <w:b/>
          <w:bCs/>
          <w:color w:val="000000"/>
          <w:sz w:val="24"/>
          <w:szCs w:val="24"/>
          <w:shd w:val="clear" w:color="auto" w:fill="FFFFFF"/>
        </w:rPr>
        <w:t>-adrenoceptor agonist</w:t>
      </w:r>
      <w:r w:rsidR="00414C55" w:rsidRPr="008F0BA6">
        <w:rPr>
          <w:rFonts w:ascii="Times New Roman" w:hAnsi="Times New Roman" w:cs="Times New Roman"/>
          <w:b/>
          <w:bCs/>
          <w:sz w:val="24"/>
          <w:szCs w:val="24"/>
        </w:rPr>
        <w:t xml:space="preserve"> used for the treatment of overactive bladder </w:t>
      </w:r>
      <w:r w:rsidR="008810C1" w:rsidRPr="008F0BA6">
        <w:rPr>
          <w:rFonts w:ascii="Times New Roman" w:hAnsi="Times New Roman" w:cs="Times New Roman"/>
          <w:b/>
          <w:bCs/>
          <w:sz w:val="24"/>
          <w:szCs w:val="24"/>
        </w:rPr>
        <w:t>and does not have</w:t>
      </w:r>
      <w:r w:rsidR="00B2444A" w:rsidRPr="008F0BA6">
        <w:rPr>
          <w:rFonts w:ascii="Times New Roman" w:hAnsi="Times New Roman" w:cs="Times New Roman"/>
          <w:b/>
          <w:bCs/>
          <w:sz w:val="24"/>
          <w:szCs w:val="24"/>
        </w:rPr>
        <w:t xml:space="preserve"> anticholinergic </w:t>
      </w:r>
      <w:r w:rsidR="008810C1" w:rsidRPr="008F0BA6">
        <w:rPr>
          <w:rFonts w:ascii="Times New Roman" w:hAnsi="Times New Roman" w:cs="Times New Roman"/>
          <w:b/>
          <w:bCs/>
          <w:sz w:val="24"/>
          <w:szCs w:val="24"/>
        </w:rPr>
        <w:t>properties</w:t>
      </w:r>
      <w:r w:rsidR="00E66191" w:rsidRPr="008F0BA6">
        <w:rPr>
          <w:rFonts w:ascii="Times New Roman" w:hAnsi="Times New Roman" w:cs="Times New Roman"/>
          <w:b/>
          <w:bCs/>
          <w:sz w:val="24"/>
          <w:szCs w:val="24"/>
        </w:rPr>
        <w:t xml:space="preserve"> [</w:t>
      </w:r>
      <w:r w:rsidR="008C29C8" w:rsidRPr="008F0BA6">
        <w:rPr>
          <w:rFonts w:ascii="Times New Roman" w:hAnsi="Times New Roman" w:cs="Times New Roman"/>
          <w:b/>
          <w:bCs/>
          <w:sz w:val="24"/>
          <w:szCs w:val="24"/>
        </w:rPr>
        <w:t>10</w:t>
      </w:r>
      <w:r w:rsidR="00E66191" w:rsidRPr="008F0BA6">
        <w:rPr>
          <w:rFonts w:ascii="Times New Roman" w:hAnsi="Times New Roman" w:cs="Times New Roman"/>
          <w:b/>
          <w:bCs/>
          <w:sz w:val="24"/>
          <w:szCs w:val="24"/>
        </w:rPr>
        <w:t>]</w:t>
      </w:r>
      <w:r w:rsidR="00414C55" w:rsidRPr="008F0BA6">
        <w:rPr>
          <w:rFonts w:ascii="Times New Roman" w:hAnsi="Times New Roman" w:cs="Times New Roman"/>
          <w:b/>
          <w:bCs/>
          <w:sz w:val="24"/>
          <w:szCs w:val="24"/>
        </w:rPr>
        <w:t>.</w:t>
      </w:r>
      <w:r w:rsidR="00B2444A" w:rsidRPr="008F0BA6">
        <w:rPr>
          <w:rFonts w:ascii="Times New Roman" w:hAnsi="Times New Roman" w:cs="Times New Roman"/>
          <w:b/>
          <w:bCs/>
          <w:sz w:val="24"/>
          <w:szCs w:val="24"/>
        </w:rPr>
        <w:t xml:space="preserve"> Mirabegron is currently only available as a </w:t>
      </w:r>
      <w:r w:rsidR="004E64FF" w:rsidRPr="008F0BA6">
        <w:rPr>
          <w:rFonts w:ascii="Times New Roman" w:hAnsi="Times New Roman" w:cs="Times New Roman"/>
          <w:b/>
          <w:bCs/>
          <w:sz w:val="24"/>
          <w:szCs w:val="24"/>
        </w:rPr>
        <w:t>brand-named</w:t>
      </w:r>
      <w:r w:rsidR="00B2444A" w:rsidRPr="008F0BA6">
        <w:rPr>
          <w:rFonts w:ascii="Times New Roman" w:hAnsi="Times New Roman" w:cs="Times New Roman"/>
          <w:b/>
          <w:bCs/>
          <w:sz w:val="24"/>
          <w:szCs w:val="24"/>
        </w:rPr>
        <w:t xml:space="preserve"> product, and </w:t>
      </w:r>
      <w:r w:rsidR="008810C1" w:rsidRPr="008F0BA6">
        <w:rPr>
          <w:rFonts w:ascii="Times New Roman" w:hAnsi="Times New Roman" w:cs="Times New Roman"/>
          <w:b/>
          <w:bCs/>
          <w:sz w:val="24"/>
          <w:szCs w:val="24"/>
        </w:rPr>
        <w:t>its</w:t>
      </w:r>
      <w:r w:rsidR="00B2444A" w:rsidRPr="008F0BA6">
        <w:rPr>
          <w:rFonts w:ascii="Times New Roman" w:hAnsi="Times New Roman" w:cs="Times New Roman"/>
          <w:b/>
          <w:bCs/>
          <w:sz w:val="24"/>
          <w:szCs w:val="24"/>
        </w:rPr>
        <w:t xml:space="preserve"> expense could limit </w:t>
      </w:r>
      <w:r w:rsidR="008810C1" w:rsidRPr="008F0BA6">
        <w:rPr>
          <w:rFonts w:ascii="Times New Roman" w:hAnsi="Times New Roman" w:cs="Times New Roman"/>
          <w:b/>
          <w:bCs/>
          <w:sz w:val="24"/>
          <w:szCs w:val="24"/>
        </w:rPr>
        <w:t>the use of this medication as</w:t>
      </w:r>
      <w:r w:rsidR="00B2444A" w:rsidRPr="008F0BA6">
        <w:rPr>
          <w:rFonts w:ascii="Times New Roman" w:hAnsi="Times New Roman" w:cs="Times New Roman"/>
          <w:b/>
          <w:bCs/>
          <w:sz w:val="24"/>
          <w:szCs w:val="24"/>
        </w:rPr>
        <w:t xml:space="preserve"> other generic alternatives are on the market.</w:t>
      </w:r>
      <w:r w:rsidR="00414C55" w:rsidRPr="008F0BA6">
        <w:rPr>
          <w:rFonts w:ascii="Times New Roman" w:hAnsi="Times New Roman" w:cs="Times New Roman"/>
          <w:b/>
          <w:bCs/>
          <w:sz w:val="24"/>
          <w:szCs w:val="24"/>
        </w:rPr>
        <w:t xml:space="preserve"> </w:t>
      </w:r>
      <w:r w:rsidR="00C95BB8" w:rsidRPr="008F0BA6">
        <w:rPr>
          <w:rFonts w:ascii="Times New Roman" w:hAnsi="Times New Roman" w:cs="Times New Roman"/>
          <w:b/>
          <w:bCs/>
          <w:sz w:val="24"/>
          <w:szCs w:val="24"/>
        </w:rPr>
        <w:t xml:space="preserve"> Due to the patient’s inpatient status, this combination of </w:t>
      </w:r>
      <w:r w:rsidR="008810C1" w:rsidRPr="008F0BA6">
        <w:rPr>
          <w:rFonts w:ascii="Times New Roman" w:hAnsi="Times New Roman" w:cs="Times New Roman"/>
          <w:b/>
          <w:bCs/>
          <w:sz w:val="24"/>
          <w:szCs w:val="24"/>
        </w:rPr>
        <w:t xml:space="preserve">fluphenazine, trospium, and trihexyphenidyl </w:t>
      </w:r>
      <w:r w:rsidR="00C95BB8" w:rsidRPr="008F0BA6">
        <w:rPr>
          <w:rFonts w:ascii="Times New Roman" w:hAnsi="Times New Roman" w:cs="Times New Roman"/>
          <w:b/>
          <w:bCs/>
          <w:sz w:val="24"/>
          <w:szCs w:val="24"/>
        </w:rPr>
        <w:t>was deemed appropriate as the patient could be monitored around the clock for signs of anticholinergic effects. Calcium channel blockers, such as amlodipine can increase the risk of hypotensive effects in combination with tamsulosin. It is important to monitor a patient’s blood pressure on a regular basis.</w:t>
      </w:r>
      <w:r w:rsidR="005E75ED" w:rsidRPr="008F0BA6">
        <w:rPr>
          <w:rFonts w:ascii="Times New Roman" w:hAnsi="Times New Roman" w:cs="Times New Roman"/>
          <w:b/>
          <w:bCs/>
          <w:sz w:val="24"/>
          <w:szCs w:val="24"/>
        </w:rPr>
        <w:t xml:space="preserve"> Based on all factors, t</w:t>
      </w:r>
      <w:r w:rsidR="00A564B7" w:rsidRPr="008F0BA6">
        <w:rPr>
          <w:rFonts w:ascii="Times New Roman" w:hAnsi="Times New Roman" w:cs="Times New Roman"/>
          <w:b/>
          <w:bCs/>
          <w:sz w:val="24"/>
          <w:szCs w:val="24"/>
        </w:rPr>
        <w:t xml:space="preserve">he patient’s clinical team concluded that the </w:t>
      </w:r>
      <w:r w:rsidR="005E75ED" w:rsidRPr="008F0BA6">
        <w:rPr>
          <w:rFonts w:ascii="Times New Roman" w:hAnsi="Times New Roman" w:cs="Times New Roman"/>
          <w:b/>
          <w:bCs/>
          <w:sz w:val="24"/>
          <w:szCs w:val="24"/>
        </w:rPr>
        <w:t>benefits of using this combination of medications outweighed the risk of potential drug interactions</w:t>
      </w:r>
      <w:r w:rsidR="003E1F2C" w:rsidRPr="008F0BA6">
        <w:rPr>
          <w:rFonts w:ascii="Times New Roman" w:hAnsi="Times New Roman" w:cs="Times New Roman"/>
          <w:b/>
          <w:bCs/>
          <w:sz w:val="24"/>
          <w:szCs w:val="24"/>
        </w:rPr>
        <w:t xml:space="preserve"> </w:t>
      </w:r>
      <w:r w:rsidR="008810C1" w:rsidRPr="008F0BA6">
        <w:rPr>
          <w:rFonts w:ascii="Times New Roman" w:hAnsi="Times New Roman" w:cs="Times New Roman"/>
          <w:b/>
          <w:bCs/>
          <w:sz w:val="24"/>
          <w:szCs w:val="24"/>
        </w:rPr>
        <w:t>because he c</w:t>
      </w:r>
      <w:r w:rsidR="003E1F2C" w:rsidRPr="008F0BA6">
        <w:rPr>
          <w:rFonts w:ascii="Times New Roman" w:hAnsi="Times New Roman" w:cs="Times New Roman"/>
          <w:b/>
          <w:bCs/>
          <w:sz w:val="24"/>
          <w:szCs w:val="24"/>
        </w:rPr>
        <w:t>ould be monitored in the inpatient setting</w:t>
      </w:r>
      <w:r w:rsidR="005E75ED" w:rsidRPr="008F0BA6">
        <w:rPr>
          <w:rFonts w:ascii="Times New Roman" w:hAnsi="Times New Roman" w:cs="Times New Roman"/>
          <w:b/>
          <w:bCs/>
          <w:sz w:val="24"/>
          <w:szCs w:val="24"/>
        </w:rPr>
        <w:t>.</w:t>
      </w:r>
      <w:r w:rsidR="00414C55" w:rsidRPr="008F0BA6">
        <w:rPr>
          <w:rFonts w:ascii="Times New Roman" w:hAnsi="Times New Roman" w:cs="Times New Roman"/>
          <w:b/>
          <w:bCs/>
          <w:sz w:val="24"/>
          <w:szCs w:val="24"/>
        </w:rPr>
        <w:t xml:space="preserve"> To mitigate the risk of adverse drug reactions, clinicians should prescribe as few medications as are deemed necessary for treatment. When alternative safer therapy is available, it should be considered.</w:t>
      </w:r>
    </w:p>
    <w:p w14:paraId="238A4EB7" w14:textId="7C83D272" w:rsidR="0024255F" w:rsidRPr="008F0BA6" w:rsidRDefault="007A48BC">
      <w:pPr>
        <w:spacing w:line="480" w:lineRule="auto"/>
        <w:rPr>
          <w:rFonts w:ascii="Times New Roman" w:hAnsi="Times New Roman" w:cs="Times New Roman"/>
          <w:b/>
          <w:bCs/>
          <w:sz w:val="24"/>
          <w:szCs w:val="24"/>
        </w:rPr>
      </w:pPr>
      <w:r>
        <w:rPr>
          <w:rFonts w:ascii="Times New Roman" w:hAnsi="Times New Roman" w:cs="Times New Roman"/>
          <w:sz w:val="24"/>
          <w:szCs w:val="24"/>
        </w:rPr>
        <w:t>In May of 2019, the patient began complaining of difficulty with urination and trospium was discontinued. Shortly after, a foley catheter was inserted on June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due to its potential anticholinergic effects leading to urinary retention, trihexyphenidyl was discontinued on June 26</w:t>
      </w:r>
      <w:r>
        <w:rPr>
          <w:rFonts w:ascii="Times New Roman" w:hAnsi="Times New Roman" w:cs="Times New Roman"/>
          <w:sz w:val="24"/>
          <w:szCs w:val="24"/>
          <w:vertAlign w:val="superscript"/>
        </w:rPr>
        <w:t>th</w:t>
      </w:r>
      <w:r>
        <w:rPr>
          <w:rFonts w:ascii="Times New Roman" w:hAnsi="Times New Roman" w:cs="Times New Roman"/>
          <w:sz w:val="24"/>
          <w:szCs w:val="24"/>
        </w:rPr>
        <w:t>. The foley catheter was removed shortly after, on June 28</w:t>
      </w:r>
      <w:r>
        <w:rPr>
          <w:rFonts w:ascii="Times New Roman" w:hAnsi="Times New Roman" w:cs="Times New Roman"/>
          <w:sz w:val="24"/>
          <w:szCs w:val="24"/>
          <w:vertAlign w:val="superscript"/>
        </w:rPr>
        <w:t>th</w:t>
      </w:r>
      <w:r>
        <w:rPr>
          <w:rFonts w:ascii="Times New Roman" w:hAnsi="Times New Roman" w:cs="Times New Roman"/>
          <w:sz w:val="24"/>
          <w:szCs w:val="24"/>
        </w:rPr>
        <w:t>, with continuous output monitoring. On July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the patient complained of fatigue and was noted to be having difficulty ambulating, increased drooling and difficulty using hands effectively to use urinal and hold a </w:t>
      </w:r>
      <w:r>
        <w:rPr>
          <w:rFonts w:ascii="Times New Roman" w:hAnsi="Times New Roman" w:cs="Times New Roman"/>
          <w:sz w:val="24"/>
          <w:szCs w:val="24"/>
        </w:rPr>
        <w:lastRenderedPageBreak/>
        <w:t>cup. The patient was sent for further evaluation to rule out a cerebrovascular event on July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due to difficulty swallowing and moving his legs. The patient was admitted for hospitalization for further treatment and evaluation. An MRI of the brain with and without contrast showed a tiny right sided lacunar infarct involving the posterior limb of the right internal capsule with severe periventricular/subcortical deep white matter microangiopathy, but this was not thought to account for his symptoms</w:t>
      </w:r>
      <w:r w:rsidR="008C7FA0">
        <w:rPr>
          <w:rFonts w:ascii="Times New Roman" w:hAnsi="Times New Roman" w:cs="Times New Roman"/>
          <w:sz w:val="24"/>
          <w:szCs w:val="24"/>
        </w:rPr>
        <w:t xml:space="preserve"> </w:t>
      </w:r>
      <w:r w:rsidR="008C7FA0" w:rsidRPr="008F0BA6">
        <w:rPr>
          <w:rFonts w:ascii="Times New Roman" w:hAnsi="Times New Roman" w:cs="Times New Roman"/>
          <w:b/>
          <w:bCs/>
          <w:sz w:val="24"/>
          <w:szCs w:val="24"/>
        </w:rPr>
        <w:t>as the lacunar infarct could not have accounted for the severity of the symptoms</w:t>
      </w:r>
      <w:r w:rsidRPr="008F0BA6">
        <w:rPr>
          <w:rFonts w:ascii="Times New Roman" w:hAnsi="Times New Roman" w:cs="Times New Roman"/>
          <w:b/>
          <w:bCs/>
          <w:sz w:val="24"/>
          <w:szCs w:val="24"/>
        </w:rPr>
        <w:t>. Neuroleptic malignant syndrome (NMS) was also considered, but ultimately determined to not be a factor</w:t>
      </w:r>
      <w:r w:rsidR="00FA348B" w:rsidRPr="008F0BA6">
        <w:rPr>
          <w:rFonts w:ascii="Times New Roman" w:hAnsi="Times New Roman" w:cs="Times New Roman"/>
          <w:b/>
          <w:bCs/>
          <w:sz w:val="24"/>
          <w:szCs w:val="24"/>
        </w:rPr>
        <w:t xml:space="preserve"> in the absence of a </w:t>
      </w:r>
      <w:r w:rsidR="00E15BF6" w:rsidRPr="008F0BA6">
        <w:rPr>
          <w:rFonts w:ascii="Times New Roman" w:hAnsi="Times New Roman" w:cs="Times New Roman"/>
          <w:b/>
          <w:bCs/>
          <w:sz w:val="24"/>
          <w:szCs w:val="24"/>
        </w:rPr>
        <w:t>pyrexia</w:t>
      </w:r>
      <w:r w:rsidR="00FA348B" w:rsidRPr="008F0BA6">
        <w:rPr>
          <w:rFonts w:ascii="Times New Roman" w:hAnsi="Times New Roman" w:cs="Times New Roman"/>
          <w:b/>
          <w:bCs/>
          <w:sz w:val="24"/>
          <w:szCs w:val="24"/>
        </w:rPr>
        <w:t xml:space="preserve"> or</w:t>
      </w:r>
      <w:r w:rsidR="00E15BF6" w:rsidRPr="008F0BA6">
        <w:rPr>
          <w:rFonts w:ascii="Times New Roman" w:hAnsi="Times New Roman" w:cs="Times New Roman"/>
          <w:b/>
          <w:bCs/>
          <w:sz w:val="24"/>
          <w:szCs w:val="24"/>
        </w:rPr>
        <w:t xml:space="preserve"> an</w:t>
      </w:r>
      <w:r w:rsidR="00FA348B" w:rsidRPr="008F0BA6">
        <w:rPr>
          <w:rFonts w:ascii="Times New Roman" w:hAnsi="Times New Roman" w:cs="Times New Roman"/>
          <w:b/>
          <w:bCs/>
          <w:sz w:val="24"/>
          <w:szCs w:val="24"/>
        </w:rPr>
        <w:t xml:space="preserve"> elevated creatine phosphokinase (CPK). </w:t>
      </w:r>
      <w:r w:rsidR="005E75ED" w:rsidRPr="008F0BA6">
        <w:rPr>
          <w:rFonts w:ascii="Times New Roman" w:hAnsi="Times New Roman" w:cs="Times New Roman"/>
          <w:b/>
          <w:bCs/>
          <w:sz w:val="24"/>
          <w:szCs w:val="24"/>
        </w:rPr>
        <w:t>Additionally, a review of the patient’s medications did not indicate that any of the remaining medications would have influence the severity of the patient’s symptoms.</w:t>
      </w:r>
    </w:p>
    <w:p w14:paraId="69A7ED50" w14:textId="3356D9DB" w:rsidR="00414C55"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On July 10</w:t>
      </w:r>
      <w:r>
        <w:rPr>
          <w:rFonts w:ascii="Times New Roman" w:hAnsi="Times New Roman" w:cs="Times New Roman"/>
          <w:sz w:val="24"/>
          <w:szCs w:val="24"/>
          <w:vertAlign w:val="superscript"/>
        </w:rPr>
        <w:t>th</w:t>
      </w:r>
      <w:r>
        <w:rPr>
          <w:rFonts w:ascii="Times New Roman" w:hAnsi="Times New Roman" w:cs="Times New Roman"/>
          <w:sz w:val="24"/>
          <w:szCs w:val="24"/>
        </w:rPr>
        <w:t>, the patient was unable to stand independently, ambulate, or feed himself due to muscle weakness. It was concluded that the patient was experiencing withdrawal of anticholinergics leading to generalized weakness. Trihexyphenidyl was reintroduced at half the discontinuation dose, 1 mg twice daily. The patient was transferred to subacute rehab on July 12</w:t>
      </w:r>
      <w:r>
        <w:rPr>
          <w:rFonts w:ascii="Times New Roman" w:hAnsi="Times New Roman" w:cs="Times New Roman"/>
          <w:sz w:val="24"/>
          <w:szCs w:val="24"/>
          <w:vertAlign w:val="superscript"/>
        </w:rPr>
        <w:t>th</w:t>
      </w:r>
      <w:r>
        <w:rPr>
          <w:rFonts w:ascii="Times New Roman" w:hAnsi="Times New Roman" w:cs="Times New Roman"/>
          <w:sz w:val="24"/>
          <w:szCs w:val="24"/>
        </w:rPr>
        <w:t>. As of August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the patient did not have much improvement in walking and eating. It was determined that placement back into his inpatient psychiatric facility was not appropriate due to the level of care he now required. </w:t>
      </w:r>
    </w:p>
    <w:p w14:paraId="0035D46E"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 xml:space="preserve">Prior to transfer to an acute medical care hospital, the patient was independent with activities of daily living. While admitted to acute care, he required assistance for functional mobility, ambulation, and activities of daily living. Despite reintroduction of trihexyphenidyl and rehabilitation, the patient did not return to baseline and did not regain his strength and was placed in a skilled nursing facility. </w:t>
      </w:r>
    </w:p>
    <w:p w14:paraId="2C234353" w14:textId="77777777" w:rsidR="0024255F" w:rsidRDefault="0024255F">
      <w:pPr>
        <w:spacing w:line="480" w:lineRule="auto"/>
        <w:rPr>
          <w:rFonts w:ascii="Times New Roman" w:hAnsi="Times New Roman" w:cs="Times New Roman"/>
          <w:sz w:val="24"/>
          <w:szCs w:val="24"/>
        </w:rPr>
      </w:pPr>
    </w:p>
    <w:p w14:paraId="5FDA85F1"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Discussion</w:t>
      </w:r>
    </w:p>
    <w:p w14:paraId="5D515F04" w14:textId="509D5C13"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It has been estimated that 22-37% of adults at least 60 years of age are prescribed at least one anticholinergic medication [</w:t>
      </w:r>
      <w:r w:rsidR="008C29C8">
        <w:rPr>
          <w:rFonts w:ascii="Times New Roman" w:hAnsi="Times New Roman" w:cs="Times New Roman"/>
          <w:sz w:val="24"/>
          <w:szCs w:val="24"/>
        </w:rPr>
        <w:t>11</w:t>
      </w:r>
      <w:r>
        <w:rPr>
          <w:rFonts w:ascii="Times New Roman" w:hAnsi="Times New Roman" w:cs="Times New Roman"/>
          <w:sz w:val="24"/>
          <w:szCs w:val="24"/>
        </w:rPr>
        <w:t>]. In patients on depot FGAs, 32.8% can experience EPS, which can lead to a prescription for an anticholinergic to treat this side effect [</w:t>
      </w:r>
      <w:r w:rsidR="008C29C8">
        <w:rPr>
          <w:rFonts w:ascii="Times New Roman" w:hAnsi="Times New Roman" w:cs="Times New Roman"/>
          <w:sz w:val="24"/>
          <w:szCs w:val="24"/>
        </w:rPr>
        <w:t>12</w:t>
      </w:r>
      <w:r>
        <w:rPr>
          <w:rFonts w:ascii="Times New Roman" w:hAnsi="Times New Roman" w:cs="Times New Roman"/>
          <w:sz w:val="24"/>
          <w:szCs w:val="24"/>
        </w:rPr>
        <w:t xml:space="preserve">]. </w:t>
      </w:r>
      <w:r w:rsidR="00A86DB1" w:rsidRPr="00AB7381">
        <w:rPr>
          <w:rFonts w:ascii="Times New Roman" w:hAnsi="Times New Roman" w:cs="Times New Roman"/>
          <w:b/>
          <w:bCs/>
          <w:sz w:val="24"/>
          <w:szCs w:val="24"/>
        </w:rPr>
        <w:t>Adults over 65 years of age are more likely to have a higher anticholinergic burden than the rest of the population [</w:t>
      </w:r>
      <w:r w:rsidR="008C29C8" w:rsidRPr="00AB7381">
        <w:rPr>
          <w:rFonts w:ascii="Times New Roman" w:hAnsi="Times New Roman" w:cs="Times New Roman"/>
          <w:b/>
          <w:bCs/>
          <w:sz w:val="24"/>
          <w:szCs w:val="24"/>
        </w:rPr>
        <w:t>13</w:t>
      </w:r>
      <w:r w:rsidR="00A86DB1" w:rsidRPr="00AB7381">
        <w:rPr>
          <w:rFonts w:ascii="Times New Roman" w:hAnsi="Times New Roman" w:cs="Times New Roman"/>
          <w:b/>
          <w:bCs/>
          <w:sz w:val="24"/>
          <w:szCs w:val="24"/>
        </w:rPr>
        <w:t xml:space="preserve">]. </w:t>
      </w:r>
      <w:r>
        <w:rPr>
          <w:rFonts w:ascii="Times New Roman" w:hAnsi="Times New Roman" w:cs="Times New Roman"/>
          <w:sz w:val="24"/>
          <w:szCs w:val="24"/>
        </w:rPr>
        <w:t>There are several studies that discuss the potential anticholinergic side effects experienced by elderly patients [6,</w:t>
      </w:r>
      <w:r w:rsidR="008C29C8">
        <w:rPr>
          <w:rFonts w:ascii="Times New Roman" w:hAnsi="Times New Roman" w:cs="Times New Roman"/>
          <w:sz w:val="24"/>
          <w:szCs w:val="24"/>
        </w:rPr>
        <w:t>14-16</w:t>
      </w:r>
      <w:r>
        <w:rPr>
          <w:rFonts w:ascii="Times New Roman" w:hAnsi="Times New Roman" w:cs="Times New Roman"/>
          <w:sz w:val="24"/>
          <w:szCs w:val="24"/>
        </w:rPr>
        <w:t>]. With increased age, there is greater decline in production of acetylcholine which can lead to an increased risk of side effects in older populations [1</w:t>
      </w:r>
      <w:r w:rsidR="008C29C8">
        <w:rPr>
          <w:rFonts w:ascii="Times New Roman" w:hAnsi="Times New Roman" w:cs="Times New Roman"/>
          <w:sz w:val="24"/>
          <w:szCs w:val="24"/>
        </w:rPr>
        <w:t>7</w:t>
      </w:r>
      <w:r>
        <w:rPr>
          <w:rFonts w:ascii="Times New Roman" w:hAnsi="Times New Roman" w:cs="Times New Roman"/>
          <w:sz w:val="24"/>
          <w:szCs w:val="24"/>
        </w:rPr>
        <w:t>]. Side effects can include dizziness, blurred vision, drowsiness, cognitive effects, tachycardia, and as our patient experienced, urinary retention [1</w:t>
      </w:r>
      <w:r w:rsidR="008C29C8">
        <w:rPr>
          <w:rFonts w:ascii="Times New Roman" w:hAnsi="Times New Roman" w:cs="Times New Roman"/>
          <w:sz w:val="24"/>
          <w:szCs w:val="24"/>
        </w:rPr>
        <w:t>8</w:t>
      </w:r>
      <w:r>
        <w:rPr>
          <w:rFonts w:ascii="Times New Roman" w:hAnsi="Times New Roman" w:cs="Times New Roman"/>
          <w:sz w:val="24"/>
          <w:szCs w:val="24"/>
        </w:rPr>
        <w:t>].</w:t>
      </w:r>
    </w:p>
    <w:p w14:paraId="2AC5225F" w14:textId="3F0C7439"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Given the risk of side effects in elderly populations, anticholinergic discontinuation could be considered beneficial based on a clinical risk versus benefit analysis. However, discontinuation, particularly abrupt discontinuation, does not come without its own risks [1</w:t>
      </w:r>
      <w:r w:rsidR="008C29C8">
        <w:rPr>
          <w:rFonts w:ascii="Times New Roman" w:hAnsi="Times New Roman" w:cs="Times New Roman"/>
          <w:sz w:val="24"/>
          <w:szCs w:val="24"/>
        </w:rPr>
        <w:t>6</w:t>
      </w:r>
      <w:r>
        <w:rPr>
          <w:rFonts w:ascii="Times New Roman" w:hAnsi="Times New Roman" w:cs="Times New Roman"/>
          <w:sz w:val="24"/>
          <w:szCs w:val="24"/>
        </w:rPr>
        <w:t>]. Anxiety, nausea, sweating, urinary incontinence, and tachycardia are withdrawal effects associated with cholinergic rebound syndrome due to anticholinergic discontinuation [1</w:t>
      </w:r>
      <w:r w:rsidR="008C29C8">
        <w:rPr>
          <w:rFonts w:ascii="Times New Roman" w:hAnsi="Times New Roman" w:cs="Times New Roman"/>
          <w:sz w:val="24"/>
          <w:szCs w:val="24"/>
        </w:rPr>
        <w:t>9</w:t>
      </w:r>
      <w:r>
        <w:rPr>
          <w:rFonts w:ascii="Times New Roman" w:hAnsi="Times New Roman" w:cs="Times New Roman"/>
          <w:sz w:val="24"/>
          <w:szCs w:val="24"/>
        </w:rPr>
        <w:t>]. Trihexyphenidyl can have a higher risk of anticholinergic discontinuation syndrome due to its high affinity for muscarinic receptors, as anticholinergics exert their therapeutic effects via muscarinic acetylcholine receptor antagonism [</w:t>
      </w:r>
      <w:r w:rsidR="008C29C8">
        <w:rPr>
          <w:rFonts w:ascii="Times New Roman" w:hAnsi="Times New Roman" w:cs="Times New Roman"/>
          <w:sz w:val="24"/>
          <w:szCs w:val="24"/>
        </w:rPr>
        <w:t>20</w:t>
      </w:r>
      <w:r>
        <w:rPr>
          <w:rFonts w:ascii="Times New Roman" w:hAnsi="Times New Roman" w:cs="Times New Roman"/>
          <w:sz w:val="24"/>
          <w:szCs w:val="24"/>
        </w:rPr>
        <w:t>].</w:t>
      </w:r>
    </w:p>
    <w:p w14:paraId="740EB5C6" w14:textId="51260A29"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To decrease this risk of these adverse effects, many recommend tapering of anticholinergics rather than abrupt discontinuation [3,1</w:t>
      </w:r>
      <w:r w:rsidR="008C29C8">
        <w:rPr>
          <w:rFonts w:ascii="Times New Roman" w:hAnsi="Times New Roman" w:cs="Times New Roman"/>
          <w:sz w:val="24"/>
          <w:szCs w:val="24"/>
        </w:rPr>
        <w:t>9</w:t>
      </w:r>
      <w:r>
        <w:rPr>
          <w:rFonts w:ascii="Times New Roman" w:hAnsi="Times New Roman" w:cs="Times New Roman"/>
          <w:sz w:val="24"/>
          <w:szCs w:val="24"/>
        </w:rPr>
        <w:t xml:space="preserve">]. While there are no guidelines to indicate an appropriate anticholinergic taper, one recommendation is to decrease the dose by 2-5 mg equivalents of </w:t>
      </w:r>
      <w:r>
        <w:rPr>
          <w:rFonts w:ascii="Times New Roman" w:hAnsi="Times New Roman" w:cs="Times New Roman"/>
          <w:sz w:val="24"/>
          <w:szCs w:val="24"/>
        </w:rPr>
        <w:lastRenderedPageBreak/>
        <w:t>trihexyphenidyl every six weeks [</w:t>
      </w:r>
      <w:r w:rsidR="008C29C8">
        <w:rPr>
          <w:rFonts w:ascii="Times New Roman" w:hAnsi="Times New Roman" w:cs="Times New Roman"/>
          <w:sz w:val="24"/>
          <w:szCs w:val="24"/>
        </w:rPr>
        <w:t>21</w:t>
      </w:r>
      <w:r>
        <w:rPr>
          <w:rFonts w:ascii="Times New Roman" w:hAnsi="Times New Roman" w:cs="Times New Roman"/>
          <w:sz w:val="24"/>
          <w:szCs w:val="24"/>
        </w:rPr>
        <w:t>]. Based on these recommendations, it would have been most appropriate to decrease the dose of trihexyphenidyl from 2 mg twice daily to 2 mg once daily for six weeks, and then discontinue the dose thereafter for our patient. Regarding trospium discontinuation, there is no taper schedule available. The patient was on trospium 20 mg once daily at bedtime, and an abrupt discontinuation would have been appropriate based on dose. However, due to age and risk of withdrawal due to the discontinuation of multiple anticholinergic agents, a taper schedule may have been beneficial based on patient specific factors. Unfortunately, the 80-year-old patient’s onset of urinary retention resulted in a more urgent treatment intervention.</w:t>
      </w:r>
    </w:p>
    <w:p w14:paraId="73605753" w14:textId="35ABF318"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 xml:space="preserve">Abrupt anticholinergic withdrawal can lead to many side effects including a marked irreversible change in functioning, especially in the elderly as noted in this case report. </w:t>
      </w:r>
      <w:r w:rsidR="00E66191" w:rsidRPr="00AB7381">
        <w:rPr>
          <w:rFonts w:ascii="Times New Roman" w:hAnsi="Times New Roman" w:cs="Times New Roman"/>
          <w:b/>
          <w:bCs/>
          <w:sz w:val="24"/>
          <w:szCs w:val="24"/>
        </w:rPr>
        <w:t xml:space="preserve">More studies should be conducted to detect a difference in the risk of withdrawal of anticholinergic medications between young and old patients. However, </w:t>
      </w:r>
      <w:r w:rsidR="00D9784D" w:rsidRPr="00AB7381">
        <w:rPr>
          <w:rFonts w:ascii="Times New Roman" w:hAnsi="Times New Roman" w:cs="Times New Roman"/>
          <w:b/>
          <w:bCs/>
          <w:sz w:val="24"/>
          <w:szCs w:val="24"/>
        </w:rPr>
        <w:t xml:space="preserve">it </w:t>
      </w:r>
      <w:r w:rsidR="00CD3414" w:rsidRPr="00AB7381">
        <w:rPr>
          <w:rFonts w:ascii="Times New Roman" w:hAnsi="Times New Roman" w:cs="Times New Roman"/>
          <w:b/>
          <w:bCs/>
          <w:sz w:val="24"/>
          <w:szCs w:val="24"/>
        </w:rPr>
        <w:t>can be inferred that</w:t>
      </w:r>
      <w:r w:rsidR="00E66191" w:rsidRPr="00AB7381">
        <w:rPr>
          <w:rFonts w:ascii="Times New Roman" w:hAnsi="Times New Roman" w:cs="Times New Roman"/>
          <w:b/>
          <w:bCs/>
          <w:sz w:val="24"/>
          <w:szCs w:val="24"/>
        </w:rPr>
        <w:t xml:space="preserve"> elderly patients may be at a greater risk of anticholinergic withdrawal effects due t</w:t>
      </w:r>
      <w:r w:rsidR="003F31F1" w:rsidRPr="00AB7381">
        <w:rPr>
          <w:rFonts w:ascii="Times New Roman" w:hAnsi="Times New Roman" w:cs="Times New Roman"/>
          <w:b/>
          <w:bCs/>
          <w:sz w:val="24"/>
          <w:szCs w:val="24"/>
        </w:rPr>
        <w:t>heir</w:t>
      </w:r>
      <w:r w:rsidR="00CD3414" w:rsidRPr="00AB7381">
        <w:rPr>
          <w:rFonts w:ascii="Times New Roman" w:hAnsi="Times New Roman" w:cs="Times New Roman"/>
          <w:b/>
          <w:bCs/>
          <w:sz w:val="24"/>
          <w:szCs w:val="24"/>
        </w:rPr>
        <w:t xml:space="preserve"> higher anticholinergic burden</w:t>
      </w:r>
      <w:r w:rsidR="00D9784D" w:rsidRPr="00AB7381">
        <w:rPr>
          <w:rFonts w:ascii="Times New Roman" w:hAnsi="Times New Roman" w:cs="Times New Roman"/>
          <w:b/>
          <w:bCs/>
          <w:sz w:val="24"/>
          <w:szCs w:val="24"/>
        </w:rPr>
        <w:t xml:space="preserve"> and changes in pharmacodynamics and pharmacokinetics with age</w:t>
      </w:r>
      <w:r w:rsidR="003F31F1" w:rsidRPr="00AB7381">
        <w:rPr>
          <w:rFonts w:ascii="Times New Roman" w:hAnsi="Times New Roman" w:cs="Times New Roman"/>
          <w:b/>
          <w:bCs/>
          <w:sz w:val="24"/>
          <w:szCs w:val="24"/>
        </w:rPr>
        <w:t>.</w:t>
      </w:r>
      <w:r w:rsidR="003F31F1">
        <w:rPr>
          <w:rFonts w:ascii="Times New Roman" w:hAnsi="Times New Roman" w:cs="Times New Roman"/>
          <w:sz w:val="24"/>
          <w:szCs w:val="24"/>
        </w:rPr>
        <w:t xml:space="preserve"> </w:t>
      </w:r>
      <w:r>
        <w:rPr>
          <w:rFonts w:ascii="Times New Roman" w:hAnsi="Times New Roman" w:cs="Times New Roman"/>
          <w:sz w:val="24"/>
          <w:szCs w:val="24"/>
        </w:rPr>
        <w:t>In clinical practice, anticholinergics should be slowly tapered due to the risk of potential lasting effects, which can be reduced or completely avoided with a gradual discontinuation. Tapering, rather than abruptly discontinuing, medication can avoid or minimize medication discontinuation effects [1</w:t>
      </w:r>
      <w:r w:rsidR="008C29C8">
        <w:rPr>
          <w:rFonts w:ascii="Times New Roman" w:hAnsi="Times New Roman" w:cs="Times New Roman"/>
          <w:sz w:val="24"/>
          <w:szCs w:val="24"/>
        </w:rPr>
        <w:t>9</w:t>
      </w:r>
      <w:r>
        <w:rPr>
          <w:rFonts w:ascii="Times New Roman" w:hAnsi="Times New Roman" w:cs="Times New Roman"/>
          <w:sz w:val="24"/>
          <w:szCs w:val="24"/>
        </w:rPr>
        <w:t xml:space="preserve">]. Providers should be aware of potential discontinuation effects with anticholinergic medications, and anticholinergic burden should be considered when deciding if it is appropriate to taper or discontinue an anticholinergic medication [6]. </w:t>
      </w:r>
    </w:p>
    <w:p w14:paraId="520308A8" w14:textId="77777777" w:rsidR="0024255F" w:rsidRDefault="0024255F">
      <w:pPr>
        <w:spacing w:line="480" w:lineRule="auto"/>
        <w:rPr>
          <w:rFonts w:ascii="Times New Roman" w:hAnsi="Times New Roman" w:cs="Times New Roman"/>
          <w:sz w:val="24"/>
          <w:szCs w:val="24"/>
        </w:rPr>
      </w:pPr>
    </w:p>
    <w:p w14:paraId="276CC7A6" w14:textId="77777777" w:rsidR="00D9784D" w:rsidRDefault="00D9784D">
      <w:pPr>
        <w:spacing w:line="480" w:lineRule="auto"/>
        <w:rPr>
          <w:rFonts w:ascii="Times New Roman" w:hAnsi="Times New Roman" w:cs="Times New Roman"/>
          <w:b/>
          <w:bCs/>
          <w:sz w:val="24"/>
          <w:szCs w:val="24"/>
        </w:rPr>
      </w:pPr>
    </w:p>
    <w:p w14:paraId="596FF876" w14:textId="236CFE84"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Conflict of Interest</w:t>
      </w:r>
    </w:p>
    <w:p w14:paraId="379BA221"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All authors declared that there are no conflicts of interest.</w:t>
      </w:r>
    </w:p>
    <w:p w14:paraId="68A7AEF7" w14:textId="77777777" w:rsidR="0024255F" w:rsidRDefault="0024255F">
      <w:pPr>
        <w:spacing w:line="480" w:lineRule="auto"/>
        <w:rPr>
          <w:rFonts w:ascii="Times New Roman" w:hAnsi="Times New Roman" w:cs="Times New Roman"/>
          <w:sz w:val="24"/>
          <w:szCs w:val="24"/>
        </w:rPr>
      </w:pPr>
    </w:p>
    <w:p w14:paraId="03F037EA"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Contributions</w:t>
      </w:r>
    </w:p>
    <w:p w14:paraId="319DBAFD"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Wrote manuscript with support and contributions from other authors: Chehovich C; provided support and contributions to the manuscript: Lee C, Demler TL</w:t>
      </w:r>
    </w:p>
    <w:p w14:paraId="0B1B517B" w14:textId="77777777" w:rsidR="0024255F" w:rsidRDefault="0024255F">
      <w:pPr>
        <w:spacing w:line="480" w:lineRule="auto"/>
        <w:rPr>
          <w:rFonts w:ascii="Times New Roman" w:hAnsi="Times New Roman" w:cs="Times New Roman"/>
          <w:sz w:val="24"/>
          <w:szCs w:val="24"/>
        </w:rPr>
      </w:pPr>
    </w:p>
    <w:p w14:paraId="32119FCB"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692C0CDB"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López-Álvarez J, Sevilla-Llewellyn-Jones J, Agüera-Ortiz L. Anticholinergic Drugs in Geriatric Psychopharmacology. Front Neuroscience 2019: 13:1309–1309. https://doi.org/10.3389/fnins.2019.01309</w:t>
      </w:r>
    </w:p>
    <w:p w14:paraId="59F60CCB" w14:textId="77777777" w:rsidR="0024255F" w:rsidRDefault="007A48BC">
      <w:pPr>
        <w:pStyle w:val="ListParagraph"/>
        <w:numPr>
          <w:ilvl w:val="0"/>
          <w:numId w:val="2"/>
        </w:numPr>
        <w:spacing w:line="48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Sheikh W. Prophylactic Use of Trihexyphenidyl (Artane) In Schizophrenia and Psychosis: A Critical Review of Literature to Guide for Evidence Based Practice in Zambia. Med J Zambia 2019: 46:133-139.</w:t>
      </w:r>
    </w:p>
    <w:p w14:paraId="4F559C6A"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Desmarais J, Beauclair L, Annable L, Bélanger M, Kolivakis T, Margolese H. Effects of discontinuing anticholinergic treatment on movement disorders, cognition and psychopathology in patients with schizophrenia. Ther Adv in Psychopharmacol 2014: 4(6):257–267. https://doi.org/10.1177/2045125314553611</w:t>
      </w:r>
    </w:p>
    <w:p w14:paraId="225E7217"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Brocks D. Anticholinergic drugs used in Parkinson’s disease: An overlooked class of drugs from a pharmacokinetic perspective. J Pharm Pharm Sci 1999: 2(2):39–46.</w:t>
      </w:r>
    </w:p>
    <w:p w14:paraId="1C4B9F32"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Chancellor M, Boone T. Anticholinergics for Overactive Bladder Therapy: Central Nervous System Effects. CNS Neurosci Ther 2012: 18(2):167–174. https://doi.org/10.1111/j.1755-5949.2011.00248.x</w:t>
      </w:r>
    </w:p>
    <w:p w14:paraId="1C26F58B"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Kouladjian O’Donnell L, Gnjidic D, Nahas R, Bell J, Hilmer S. Anticholinergic burden: considerations for older adults. J Pharm Pract Re. 2017: 47(1):67–77. https://doi.org/10.1002/jppr.1303</w:t>
      </w:r>
    </w:p>
    <w:p w14:paraId="1DA687B3"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Raji Saheed O. Trihexyphenidyl abuse in psychiatric outpatient clinic of a general hospital in Northern Nigeria. J Addict Med Ther Sci 2020: 6(1):3–8. https://doi.org/10.17352/2455-3484.000029</w:t>
      </w:r>
    </w:p>
    <w:p w14:paraId="064A92F0" w14:textId="77777777" w:rsidR="003F043E" w:rsidRDefault="003F043E" w:rsidP="003F043E">
      <w:pPr>
        <w:pStyle w:val="ListParagraph"/>
        <w:numPr>
          <w:ilvl w:val="0"/>
          <w:numId w:val="2"/>
        </w:numPr>
        <w:spacing w:line="480" w:lineRule="auto"/>
        <w:rPr>
          <w:rFonts w:ascii="Times New Roman" w:hAnsi="Times New Roman" w:cs="Times New Roman"/>
          <w:sz w:val="24"/>
          <w:szCs w:val="24"/>
        </w:rPr>
      </w:pPr>
      <w:r w:rsidRPr="0071788A">
        <w:rPr>
          <w:rFonts w:ascii="Times New Roman" w:hAnsi="Times New Roman" w:cs="Times New Roman"/>
          <w:sz w:val="24"/>
          <w:szCs w:val="24"/>
        </w:rPr>
        <w:t>Smith M, Klotz L, Persson B, Olesen T, Wilde A. Cardiovascular safety of degarelix: results from a 12-month, comparative, randomized, open label, parallel group phase III trial in patients with prostate cancer. J Urol. 2010</w:t>
      </w:r>
      <w:r>
        <w:rPr>
          <w:rFonts w:ascii="Times New Roman" w:hAnsi="Times New Roman" w:cs="Times New Roman"/>
          <w:sz w:val="24"/>
          <w:szCs w:val="24"/>
        </w:rPr>
        <w:t xml:space="preserve">: </w:t>
      </w:r>
      <w:r w:rsidRPr="0071788A">
        <w:rPr>
          <w:rFonts w:ascii="Times New Roman" w:hAnsi="Times New Roman" w:cs="Times New Roman"/>
          <w:sz w:val="24"/>
          <w:szCs w:val="24"/>
        </w:rPr>
        <w:t xml:space="preserve">184(6):2313-2319. </w:t>
      </w:r>
      <w:hyperlink r:id="rId10" w:history="1">
        <w:r w:rsidRPr="00A913EE">
          <w:rPr>
            <w:rStyle w:val="Hyperlink"/>
            <w:rFonts w:ascii="Times New Roman" w:hAnsi="Times New Roman" w:cs="Times New Roman"/>
            <w:sz w:val="24"/>
            <w:szCs w:val="24"/>
          </w:rPr>
          <w:t>http://doi:10.1016/j.juro.2010.08.012</w:t>
        </w:r>
      </w:hyperlink>
    </w:p>
    <w:p w14:paraId="238E969A" w14:textId="77777777" w:rsidR="003F043E" w:rsidRDefault="003F043E" w:rsidP="003F043E">
      <w:pPr>
        <w:pStyle w:val="ListParagraph"/>
        <w:numPr>
          <w:ilvl w:val="0"/>
          <w:numId w:val="2"/>
        </w:numPr>
        <w:spacing w:line="480" w:lineRule="auto"/>
        <w:rPr>
          <w:rFonts w:ascii="Times New Roman" w:hAnsi="Times New Roman" w:cs="Times New Roman"/>
          <w:sz w:val="24"/>
          <w:szCs w:val="24"/>
        </w:rPr>
      </w:pPr>
      <w:r w:rsidRPr="001F40D6">
        <w:rPr>
          <w:rFonts w:ascii="Times New Roman" w:hAnsi="Times New Roman" w:cs="Times New Roman"/>
          <w:sz w:val="24"/>
          <w:szCs w:val="24"/>
        </w:rPr>
        <w:t xml:space="preserve">Beach S, Celano C, Noseworthy P, Januzzi J, Huffman J. QTc Prolongation, Torsades de Pointes, and Psychotropic Medications. Psychosomatics </w:t>
      </w:r>
      <w:r>
        <w:rPr>
          <w:rFonts w:ascii="Times New Roman" w:hAnsi="Times New Roman" w:cs="Times New Roman"/>
          <w:sz w:val="24"/>
          <w:szCs w:val="24"/>
        </w:rPr>
        <w:t xml:space="preserve">2013: </w:t>
      </w:r>
      <w:r w:rsidRPr="001F40D6">
        <w:rPr>
          <w:rFonts w:ascii="Times New Roman" w:hAnsi="Times New Roman" w:cs="Times New Roman"/>
          <w:sz w:val="24"/>
          <w:szCs w:val="24"/>
        </w:rPr>
        <w:t>54(1)</w:t>
      </w:r>
      <w:r>
        <w:rPr>
          <w:rFonts w:ascii="Times New Roman" w:hAnsi="Times New Roman" w:cs="Times New Roman"/>
          <w:sz w:val="24"/>
          <w:szCs w:val="24"/>
        </w:rPr>
        <w:t>:</w:t>
      </w:r>
      <w:r w:rsidRPr="001F40D6">
        <w:rPr>
          <w:rFonts w:ascii="Times New Roman" w:hAnsi="Times New Roman" w:cs="Times New Roman"/>
          <w:sz w:val="24"/>
          <w:szCs w:val="24"/>
        </w:rPr>
        <w:t xml:space="preserve">1–13. </w:t>
      </w:r>
      <w:hyperlink r:id="rId11" w:history="1">
        <w:r w:rsidRPr="00A913EE">
          <w:rPr>
            <w:rStyle w:val="Hyperlink"/>
            <w:rFonts w:ascii="Times New Roman" w:hAnsi="Times New Roman" w:cs="Times New Roman"/>
            <w:sz w:val="24"/>
            <w:szCs w:val="24"/>
          </w:rPr>
          <w:t>https://doi.org/10.1016/j.psym.2012.11.001</w:t>
        </w:r>
      </w:hyperlink>
    </w:p>
    <w:p w14:paraId="62747997" w14:textId="77777777" w:rsidR="003F043E" w:rsidRPr="009D77D2" w:rsidRDefault="003F043E" w:rsidP="003F043E">
      <w:pPr>
        <w:pStyle w:val="ListParagraph"/>
        <w:numPr>
          <w:ilvl w:val="0"/>
          <w:numId w:val="2"/>
        </w:numPr>
        <w:spacing w:line="480" w:lineRule="auto"/>
        <w:rPr>
          <w:rFonts w:ascii="Times New Roman" w:hAnsi="Times New Roman" w:cs="Times New Roman"/>
          <w:sz w:val="24"/>
          <w:szCs w:val="24"/>
        </w:rPr>
      </w:pPr>
      <w:r w:rsidRPr="009D77D2">
        <w:rPr>
          <w:rFonts w:ascii="Times New Roman" w:hAnsi="Times New Roman" w:cs="Times New Roman"/>
          <w:color w:val="303030"/>
          <w:sz w:val="24"/>
          <w:szCs w:val="24"/>
          <w:shd w:val="clear" w:color="auto" w:fill="FFFFFF"/>
        </w:rPr>
        <w:t>Andersson K. On the Site and Mechanism of Action of β</w:t>
      </w:r>
      <w:r w:rsidRPr="009D77D2">
        <w:rPr>
          <w:rFonts w:ascii="Times New Roman" w:hAnsi="Times New Roman" w:cs="Times New Roman"/>
          <w:color w:val="303030"/>
          <w:sz w:val="24"/>
          <w:szCs w:val="24"/>
          <w:shd w:val="clear" w:color="auto" w:fill="FFFFFF"/>
          <w:vertAlign w:val="subscript"/>
        </w:rPr>
        <w:t>3</w:t>
      </w:r>
      <w:r w:rsidRPr="009D77D2">
        <w:rPr>
          <w:rFonts w:ascii="Times New Roman" w:hAnsi="Times New Roman" w:cs="Times New Roman"/>
          <w:color w:val="303030"/>
          <w:sz w:val="24"/>
          <w:szCs w:val="24"/>
          <w:shd w:val="clear" w:color="auto" w:fill="FFFFFF"/>
        </w:rPr>
        <w:t xml:space="preserve">-Adrenoceptor Agonists in the Bladder. Int Neurourol J. 2017: 21(1):6-11. </w:t>
      </w:r>
      <w:r w:rsidRPr="009D77D2">
        <w:rPr>
          <w:rFonts w:ascii="Times New Roman" w:hAnsi="Times New Roman" w:cs="Times New Roman"/>
          <w:sz w:val="24"/>
          <w:szCs w:val="24"/>
        </w:rPr>
        <w:t>https://doi.org/10.5213/inj.1734850.425</w:t>
      </w:r>
    </w:p>
    <w:p w14:paraId="517DDCD4" w14:textId="77777777" w:rsidR="003F043E" w:rsidRPr="003F043E" w:rsidRDefault="003F043E" w:rsidP="003F043E">
      <w:pPr>
        <w:pStyle w:val="ListParagraph"/>
        <w:numPr>
          <w:ilvl w:val="0"/>
          <w:numId w:val="2"/>
        </w:numPr>
        <w:spacing w:line="480" w:lineRule="auto"/>
        <w:rPr>
          <w:rFonts w:ascii="Times New Roman" w:hAnsi="Times New Roman" w:cs="Times New Roman"/>
          <w:sz w:val="24"/>
          <w:szCs w:val="24"/>
        </w:rPr>
      </w:pPr>
      <w:r>
        <w:rPr>
          <w:rStyle w:val="author"/>
          <w:rFonts w:ascii="Times New Roman" w:hAnsi="Times New Roman" w:cs="Times New Roman"/>
          <w:color w:val="1C1D1E"/>
          <w:sz w:val="24"/>
          <w:szCs w:val="24"/>
        </w:rPr>
        <w:t>Sittironnarit G, Ames D, Bush A, Faux N, Flicker L, Foster J, Hilmer S, Lautenschlager N, Maruff P, Masters C, Martins R, Rowe C, Szoeke C, Ellis K. Effects of Anticholinergic Drugs on Cognitive Function in Older Australians: Results from the AIBL Study. Dement Geriatr Cogn Disord 2011: 31(3):173–178. https://doi.org/10.1159/000325171</w:t>
      </w:r>
    </w:p>
    <w:p w14:paraId="4CCFE53C"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Novick D, Haro J, Bertsch J, Haddad P. Incidence of extrapyramidal symptoms and tardive dyskinesia in schizophrenia: thirty-six-month results from the European schizophrenia outpatient health outcomes study. J Clin Psychopharmacol 2021: 30(5):531–540. https://doi.org/10.1097/JCP.0b013e3181f14098</w:t>
      </w:r>
    </w:p>
    <w:p w14:paraId="273CAC67" w14:textId="77777777" w:rsidR="003F043E" w:rsidRDefault="003F043E" w:rsidP="003F043E">
      <w:pPr>
        <w:pStyle w:val="ListParagraph"/>
        <w:numPr>
          <w:ilvl w:val="0"/>
          <w:numId w:val="2"/>
        </w:numPr>
        <w:spacing w:line="480" w:lineRule="auto"/>
        <w:rPr>
          <w:rFonts w:ascii="Times New Roman" w:hAnsi="Times New Roman" w:cs="Times New Roman"/>
          <w:sz w:val="24"/>
          <w:szCs w:val="24"/>
        </w:rPr>
      </w:pPr>
      <w:r w:rsidRPr="009D77D2">
        <w:rPr>
          <w:rFonts w:ascii="Times New Roman" w:hAnsi="Times New Roman" w:cs="Times New Roman"/>
          <w:sz w:val="24"/>
          <w:szCs w:val="24"/>
        </w:rPr>
        <w:t>Cebron Lipovec N, Jazbar</w:t>
      </w:r>
      <w:r>
        <w:rPr>
          <w:rFonts w:ascii="Times New Roman" w:hAnsi="Times New Roman" w:cs="Times New Roman"/>
          <w:sz w:val="24"/>
          <w:szCs w:val="24"/>
        </w:rPr>
        <w:t xml:space="preserve"> </w:t>
      </w:r>
      <w:r w:rsidRPr="009D77D2">
        <w:rPr>
          <w:rFonts w:ascii="Times New Roman" w:hAnsi="Times New Roman" w:cs="Times New Roman"/>
          <w:sz w:val="24"/>
          <w:szCs w:val="24"/>
        </w:rPr>
        <w:t>J</w:t>
      </w:r>
      <w:r>
        <w:rPr>
          <w:rFonts w:ascii="Times New Roman" w:hAnsi="Times New Roman" w:cs="Times New Roman"/>
          <w:sz w:val="24"/>
          <w:szCs w:val="24"/>
        </w:rPr>
        <w:t>,</w:t>
      </w:r>
      <w:r w:rsidRPr="009D77D2">
        <w:rPr>
          <w:rFonts w:ascii="Times New Roman" w:hAnsi="Times New Roman" w:cs="Times New Roman"/>
          <w:sz w:val="24"/>
          <w:szCs w:val="24"/>
        </w:rPr>
        <w:t xml:space="preserve"> Kos M. Anticholinergic Burden in Children, Adults and Older Adults in Slovenia: A Nationwide Database Study. Sci Rep </w:t>
      </w:r>
      <w:r>
        <w:rPr>
          <w:rFonts w:ascii="Times New Roman" w:hAnsi="Times New Roman" w:cs="Times New Roman"/>
          <w:sz w:val="24"/>
          <w:szCs w:val="24"/>
        </w:rPr>
        <w:t xml:space="preserve">2020: </w:t>
      </w:r>
      <w:r w:rsidRPr="009D77D2">
        <w:rPr>
          <w:rFonts w:ascii="Times New Roman" w:hAnsi="Times New Roman" w:cs="Times New Roman"/>
          <w:sz w:val="24"/>
          <w:szCs w:val="24"/>
        </w:rPr>
        <w:t>10</w:t>
      </w:r>
      <w:r>
        <w:rPr>
          <w:rFonts w:ascii="Times New Roman" w:hAnsi="Times New Roman" w:cs="Times New Roman"/>
          <w:sz w:val="24"/>
          <w:szCs w:val="24"/>
        </w:rPr>
        <w:t>:</w:t>
      </w:r>
      <w:r w:rsidRPr="009D77D2">
        <w:rPr>
          <w:rFonts w:ascii="Times New Roman" w:hAnsi="Times New Roman" w:cs="Times New Roman"/>
          <w:sz w:val="24"/>
          <w:szCs w:val="24"/>
        </w:rPr>
        <w:t xml:space="preserve">9337. </w:t>
      </w:r>
      <w:hyperlink r:id="rId12" w:history="1">
        <w:r w:rsidRPr="009D77D2">
          <w:rPr>
            <w:rStyle w:val="Hyperlink"/>
            <w:rFonts w:ascii="Times New Roman" w:hAnsi="Times New Roman" w:cs="Times New Roman"/>
            <w:sz w:val="24"/>
            <w:szCs w:val="24"/>
          </w:rPr>
          <w:t>https://doi.org/10.1038/s41598-020-65989-9</w:t>
        </w:r>
      </w:hyperlink>
    </w:p>
    <w:p w14:paraId="5E9A1D04" w14:textId="1117D8E3"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Carrière I, Fourrier-Reglat A, Dartigues J, Rouaud O, Pasquier F, Ritchie K, Ancelin M. Drugs With Anticholinergic Properties, Cognitive Decline, and Dementia in an Elderly General Population: The 3-City Study. Arch InterN Med 2009: 169(14):1317–1324. </w:t>
      </w:r>
      <w:hyperlink r:id="rId13" w:history="1">
        <w:r w:rsidR="003F043E" w:rsidRPr="00A913EE">
          <w:rPr>
            <w:rStyle w:val="Hyperlink"/>
            <w:rFonts w:ascii="Times New Roman" w:hAnsi="Times New Roman" w:cs="Times New Roman"/>
            <w:sz w:val="24"/>
            <w:szCs w:val="24"/>
          </w:rPr>
          <w:t>https://doi.org/10.1001/archinternmed.2009.229</w:t>
        </w:r>
      </w:hyperlink>
    </w:p>
    <w:p w14:paraId="595803B5"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Heinik J. Effects of Trihexyphenidyl on MMSE and CAMCOG Scores of Medicated Elderly Patients With Schizophrenia. Int Psychogeriatr 1998: 10(1):103–108. https://doi.org/10.1017/S1041610298005195</w:t>
      </w:r>
    </w:p>
    <w:p w14:paraId="20932E1E"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Nishtala P, Salahudeen M, Hilmer S. Anticholinergics: theoretical and clinical overview. Expert Opin Drug Saf 2016: 15(6):753–69. https://doi.org/10.1517/14740338.2016.1165664</w:t>
      </w:r>
    </w:p>
    <w:p w14:paraId="495CF5F0"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Hsu W, Wen Y, Chen L, Hsiao F. Comparative Associations Between Measures of Anti-cholinergic Burden and Adverse Clinical Outcomes. Ann Fam Med 2017: 15(6):561–569. </w:t>
      </w:r>
      <w:r>
        <w:rPr>
          <w:rFonts w:ascii="Times New Roman" w:eastAsia="Times New Roman" w:hAnsi="Times New Roman" w:cs="Times New Roman"/>
          <w:sz w:val="24"/>
          <w:szCs w:val="24"/>
          <w:lang w:val="en"/>
        </w:rPr>
        <w:t>https://doi.org/10.1370/afm.2131</w:t>
      </w:r>
    </w:p>
    <w:p w14:paraId="0E53C524"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eastAsia="Times New Roman" w:hAnsi="Times New Roman" w:cs="Times New Roman"/>
          <w:sz w:val="24"/>
          <w:szCs w:val="24"/>
          <w:lang w:val="en"/>
        </w:rPr>
        <w:t>Gerretsen P, Pollock B. Drugs with anticholinergic properties: a current perspective on use and safety. Expert Opin Drug Saf 2011: 10(5):751–765. https://doi.org/10.1517/14740338.2011.579899</w:t>
      </w:r>
    </w:p>
    <w:p w14:paraId="3EBEBE76"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Howland R. Potential adverse effects of discontinuing psychotropic drugs: part 1: Adrenergic, Cholinergic, and Histamine Drugs. J Psychosoc Nurs Ment Health Serv 2010: 48(6):11-4. https://doi.org/10.3928/02793695-20100506-01</w:t>
      </w:r>
    </w:p>
    <w:p w14:paraId="369D7A2D"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Giachetti A, Giraldo E, Ladinsky H, Montagna E. Binding and functional profiles of the selective M1 muscarinic receptor antagonists trihexyphenidyl and dicyclomine. Brit J Pharmacol 1986: 89(1):83–90. https://doi.org/10.1111/j.1476-5381.1986.tb11123.x</w:t>
      </w:r>
    </w:p>
    <w:p w14:paraId="5264EADC" w14:textId="3DCF771F"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Sathienluckana T, Unaharassamee W, Suthisisang C, Suanchang O, Suansanae T. Anticholinergic discontinuation and cognitive functions in patients with schizophrenia: a pharmacist-physician collaboration in the outpatient department. Integr Pharm Res Pract 2018: 7:161–171. </w:t>
      </w:r>
      <w:hyperlink r:id="rId14" w:history="1">
        <w:r w:rsidR="003E1F2C" w:rsidRPr="00A913EE">
          <w:rPr>
            <w:rStyle w:val="Hyperlink"/>
            <w:rFonts w:ascii="Times New Roman" w:hAnsi="Times New Roman" w:cs="Times New Roman"/>
            <w:sz w:val="24"/>
            <w:szCs w:val="24"/>
          </w:rPr>
          <w:t>https://doi.org/10.2147/IPRP.S176653</w:t>
        </w:r>
      </w:hyperlink>
    </w:p>
    <w:p w14:paraId="16180BBD" w14:textId="487A3857" w:rsidR="009D77D2" w:rsidRPr="009D77D2" w:rsidRDefault="009D77D2" w:rsidP="009D77D2">
      <w:pPr>
        <w:spacing w:line="480" w:lineRule="auto"/>
        <w:rPr>
          <w:rFonts w:ascii="Times New Roman" w:hAnsi="Times New Roman" w:cs="Times New Roman"/>
          <w:sz w:val="24"/>
          <w:szCs w:val="24"/>
        </w:rPr>
      </w:pPr>
    </w:p>
    <w:sectPr w:rsidR="009D77D2" w:rsidRPr="009D77D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B21D" w14:textId="77777777" w:rsidR="0001088F" w:rsidRDefault="0001088F">
      <w:pPr>
        <w:spacing w:after="0" w:line="240" w:lineRule="auto"/>
      </w:pPr>
      <w:r>
        <w:separator/>
      </w:r>
    </w:p>
  </w:endnote>
  <w:endnote w:type="continuationSeparator" w:id="0">
    <w:p w14:paraId="27595974" w14:textId="77777777" w:rsidR="0001088F" w:rsidRDefault="0001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79D6" w14:textId="77777777" w:rsidR="0001088F" w:rsidRDefault="0001088F">
      <w:pPr>
        <w:spacing w:after="0" w:line="240" w:lineRule="auto"/>
      </w:pPr>
      <w:r>
        <w:separator/>
      </w:r>
    </w:p>
  </w:footnote>
  <w:footnote w:type="continuationSeparator" w:id="0">
    <w:p w14:paraId="6AC0BA82" w14:textId="77777777" w:rsidR="0001088F" w:rsidRDefault="00010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721410"/>
      <w:docPartObj>
        <w:docPartGallery w:val="AutoText"/>
      </w:docPartObj>
    </w:sdtPr>
    <w:sdtEndPr/>
    <w:sdtContent>
      <w:p w14:paraId="1DE77379" w14:textId="77777777" w:rsidR="0024255F" w:rsidRDefault="007A48BC">
        <w:pPr>
          <w:pStyle w:val="Header"/>
          <w:jc w:val="right"/>
        </w:pPr>
        <w:r>
          <w:fldChar w:fldCharType="begin"/>
        </w:r>
        <w:r>
          <w:instrText xml:space="preserve"> PAGE   \* MERGEFORMAT </w:instrText>
        </w:r>
        <w:r>
          <w:fldChar w:fldCharType="separate"/>
        </w:r>
        <w:r>
          <w:t>2</w:t>
        </w:r>
        <w:r>
          <w:fldChar w:fldCharType="end"/>
        </w:r>
      </w:p>
    </w:sdtContent>
  </w:sdt>
  <w:p w14:paraId="5345A86C" w14:textId="77777777" w:rsidR="0024255F" w:rsidRDefault="0024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20A1"/>
    <w:multiLevelType w:val="multilevel"/>
    <w:tmpl w:val="2D4A20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363A75"/>
    <w:multiLevelType w:val="multilevel"/>
    <w:tmpl w:val="3F363A7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EC"/>
    <w:rsid w:val="0001088F"/>
    <w:rsid w:val="0003707A"/>
    <w:rsid w:val="00037534"/>
    <w:rsid w:val="00045D61"/>
    <w:rsid w:val="00081066"/>
    <w:rsid w:val="000911BE"/>
    <w:rsid w:val="000C134F"/>
    <w:rsid w:val="000D7D43"/>
    <w:rsid w:val="000F2619"/>
    <w:rsid w:val="001120E2"/>
    <w:rsid w:val="00127E1A"/>
    <w:rsid w:val="00150217"/>
    <w:rsid w:val="00170756"/>
    <w:rsid w:val="00171597"/>
    <w:rsid w:val="00195C99"/>
    <w:rsid w:val="001B197A"/>
    <w:rsid w:val="001B7998"/>
    <w:rsid w:val="001C0BF3"/>
    <w:rsid w:val="001C7E54"/>
    <w:rsid w:val="001D4348"/>
    <w:rsid w:val="001D72E8"/>
    <w:rsid w:val="001F40D6"/>
    <w:rsid w:val="001F6D5D"/>
    <w:rsid w:val="0021258F"/>
    <w:rsid w:val="00214273"/>
    <w:rsid w:val="00221B54"/>
    <w:rsid w:val="00231128"/>
    <w:rsid w:val="00234A3B"/>
    <w:rsid w:val="002409FF"/>
    <w:rsid w:val="0024255F"/>
    <w:rsid w:val="00271065"/>
    <w:rsid w:val="002711A7"/>
    <w:rsid w:val="0028643D"/>
    <w:rsid w:val="002A0005"/>
    <w:rsid w:val="002B2B5E"/>
    <w:rsid w:val="002D2318"/>
    <w:rsid w:val="002E1B25"/>
    <w:rsid w:val="002E2F5D"/>
    <w:rsid w:val="002E3ACE"/>
    <w:rsid w:val="002F40EC"/>
    <w:rsid w:val="00305B81"/>
    <w:rsid w:val="0030615E"/>
    <w:rsid w:val="003101BA"/>
    <w:rsid w:val="00310412"/>
    <w:rsid w:val="003211EC"/>
    <w:rsid w:val="00332C8D"/>
    <w:rsid w:val="00337C7F"/>
    <w:rsid w:val="00355718"/>
    <w:rsid w:val="00366962"/>
    <w:rsid w:val="00373FAB"/>
    <w:rsid w:val="003774D1"/>
    <w:rsid w:val="0039699A"/>
    <w:rsid w:val="003C54CD"/>
    <w:rsid w:val="003D2A88"/>
    <w:rsid w:val="003E1F2C"/>
    <w:rsid w:val="003E337E"/>
    <w:rsid w:val="003F043E"/>
    <w:rsid w:val="003F31F1"/>
    <w:rsid w:val="00400900"/>
    <w:rsid w:val="00414C55"/>
    <w:rsid w:val="00421E65"/>
    <w:rsid w:val="00436957"/>
    <w:rsid w:val="004447F4"/>
    <w:rsid w:val="004751BD"/>
    <w:rsid w:val="00496076"/>
    <w:rsid w:val="004C017C"/>
    <w:rsid w:val="004D0662"/>
    <w:rsid w:val="004E64FF"/>
    <w:rsid w:val="004F5F11"/>
    <w:rsid w:val="005045A0"/>
    <w:rsid w:val="00514D60"/>
    <w:rsid w:val="00520E7A"/>
    <w:rsid w:val="00533AE4"/>
    <w:rsid w:val="0054081A"/>
    <w:rsid w:val="00553801"/>
    <w:rsid w:val="005B5F8C"/>
    <w:rsid w:val="005D7E3A"/>
    <w:rsid w:val="005E44EC"/>
    <w:rsid w:val="005E4BFE"/>
    <w:rsid w:val="005E75ED"/>
    <w:rsid w:val="005F78F4"/>
    <w:rsid w:val="006319BC"/>
    <w:rsid w:val="00646149"/>
    <w:rsid w:val="00662E47"/>
    <w:rsid w:val="006648A4"/>
    <w:rsid w:val="00670656"/>
    <w:rsid w:val="0067571D"/>
    <w:rsid w:val="00681772"/>
    <w:rsid w:val="0068743B"/>
    <w:rsid w:val="00687999"/>
    <w:rsid w:val="006A14D6"/>
    <w:rsid w:val="006A3B50"/>
    <w:rsid w:val="006B4D1C"/>
    <w:rsid w:val="006E459B"/>
    <w:rsid w:val="006F1FC1"/>
    <w:rsid w:val="00706B5E"/>
    <w:rsid w:val="0071788A"/>
    <w:rsid w:val="007314B9"/>
    <w:rsid w:val="0075070B"/>
    <w:rsid w:val="007512E8"/>
    <w:rsid w:val="00757DB1"/>
    <w:rsid w:val="007772ED"/>
    <w:rsid w:val="00781CA7"/>
    <w:rsid w:val="00781CFA"/>
    <w:rsid w:val="007843BF"/>
    <w:rsid w:val="00784B90"/>
    <w:rsid w:val="00785079"/>
    <w:rsid w:val="00792D3F"/>
    <w:rsid w:val="007A48BC"/>
    <w:rsid w:val="007B1827"/>
    <w:rsid w:val="00805DB9"/>
    <w:rsid w:val="008270AD"/>
    <w:rsid w:val="0083435E"/>
    <w:rsid w:val="0083570C"/>
    <w:rsid w:val="00854E0F"/>
    <w:rsid w:val="00862D47"/>
    <w:rsid w:val="008808F4"/>
    <w:rsid w:val="008810C1"/>
    <w:rsid w:val="00882CA0"/>
    <w:rsid w:val="008C29C8"/>
    <w:rsid w:val="008C6412"/>
    <w:rsid w:val="008C7FA0"/>
    <w:rsid w:val="008F0BA6"/>
    <w:rsid w:val="009041E2"/>
    <w:rsid w:val="00916EA0"/>
    <w:rsid w:val="0092293C"/>
    <w:rsid w:val="00931898"/>
    <w:rsid w:val="00932D72"/>
    <w:rsid w:val="0093405E"/>
    <w:rsid w:val="00940405"/>
    <w:rsid w:val="00941E61"/>
    <w:rsid w:val="0095641D"/>
    <w:rsid w:val="00960116"/>
    <w:rsid w:val="00963A1B"/>
    <w:rsid w:val="009A28FB"/>
    <w:rsid w:val="009D30C5"/>
    <w:rsid w:val="009D666A"/>
    <w:rsid w:val="009D77D2"/>
    <w:rsid w:val="00A147B1"/>
    <w:rsid w:val="00A152C2"/>
    <w:rsid w:val="00A36DBF"/>
    <w:rsid w:val="00A40668"/>
    <w:rsid w:val="00A43314"/>
    <w:rsid w:val="00A564B7"/>
    <w:rsid w:val="00A86DB1"/>
    <w:rsid w:val="00AA3E80"/>
    <w:rsid w:val="00AA49F4"/>
    <w:rsid w:val="00AB7381"/>
    <w:rsid w:val="00AC0E65"/>
    <w:rsid w:val="00AF3BE7"/>
    <w:rsid w:val="00B001D9"/>
    <w:rsid w:val="00B01F9D"/>
    <w:rsid w:val="00B2444A"/>
    <w:rsid w:val="00B34329"/>
    <w:rsid w:val="00B377F2"/>
    <w:rsid w:val="00B515C5"/>
    <w:rsid w:val="00B911E4"/>
    <w:rsid w:val="00BA4F54"/>
    <w:rsid w:val="00BB7E7C"/>
    <w:rsid w:val="00BC071D"/>
    <w:rsid w:val="00BF3CA1"/>
    <w:rsid w:val="00C013BF"/>
    <w:rsid w:val="00C10183"/>
    <w:rsid w:val="00C1676B"/>
    <w:rsid w:val="00C24B87"/>
    <w:rsid w:val="00C424D9"/>
    <w:rsid w:val="00C81805"/>
    <w:rsid w:val="00C87E44"/>
    <w:rsid w:val="00C95BB8"/>
    <w:rsid w:val="00CA6A8B"/>
    <w:rsid w:val="00CB50A1"/>
    <w:rsid w:val="00CD13AD"/>
    <w:rsid w:val="00CD3414"/>
    <w:rsid w:val="00CE694D"/>
    <w:rsid w:val="00CE7ABC"/>
    <w:rsid w:val="00CF08EE"/>
    <w:rsid w:val="00CF32D9"/>
    <w:rsid w:val="00CF3B30"/>
    <w:rsid w:val="00D04C67"/>
    <w:rsid w:val="00D21F7D"/>
    <w:rsid w:val="00D43F38"/>
    <w:rsid w:val="00D53650"/>
    <w:rsid w:val="00D57F0C"/>
    <w:rsid w:val="00D60D2C"/>
    <w:rsid w:val="00D62282"/>
    <w:rsid w:val="00D96E41"/>
    <w:rsid w:val="00D9784D"/>
    <w:rsid w:val="00DE1225"/>
    <w:rsid w:val="00E03986"/>
    <w:rsid w:val="00E04F7A"/>
    <w:rsid w:val="00E12522"/>
    <w:rsid w:val="00E12DD1"/>
    <w:rsid w:val="00E145B6"/>
    <w:rsid w:val="00E15BF6"/>
    <w:rsid w:val="00E178E0"/>
    <w:rsid w:val="00E45307"/>
    <w:rsid w:val="00E66191"/>
    <w:rsid w:val="00F04C2F"/>
    <w:rsid w:val="00F04E58"/>
    <w:rsid w:val="00F15F5C"/>
    <w:rsid w:val="00F77370"/>
    <w:rsid w:val="00F9396F"/>
    <w:rsid w:val="00FA348B"/>
    <w:rsid w:val="00FD40A7"/>
    <w:rsid w:val="00FF135A"/>
    <w:rsid w:val="00FF29A2"/>
    <w:rsid w:val="00FF74F9"/>
    <w:rsid w:val="236B5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0495B"/>
  <w15:docId w15:val="{ED5FE31C-C07D-4AF0-999F-AF92AF1D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table" w:styleId="TableGrid">
    <w:name w:val="Table Grid"/>
    <w:basedOn w:val="TableNormal"/>
    <w:uiPriority w:val="59"/>
    <w:qFormat/>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HTMLCite">
    <w:name w:val="HTML Cite"/>
    <w:basedOn w:val="DefaultParagraphFont"/>
    <w:uiPriority w:val="99"/>
    <w:semiHidden/>
    <w:unhideWhenUsed/>
    <w:rPr>
      <w:i/>
      <w:iCs/>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GridTable41">
    <w:name w:val="Grid Table 41"/>
    <w:basedOn w:val="TableNormal"/>
    <w:uiPriority w:val="49"/>
    <w:pPr>
      <w:spacing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
    <w:name w:val="author"/>
    <w:basedOn w:val="DefaultParagraphFont"/>
  </w:style>
  <w:style w:type="character" w:customStyle="1" w:styleId="articletitle">
    <w:name w:val="articletitle"/>
    <w:basedOn w:val="DefaultParagraphFont"/>
  </w:style>
  <w:style w:type="character" w:customStyle="1" w:styleId="pubyear">
    <w:name w:val="pubyear"/>
    <w:basedOn w:val="DefaultParagraphFont"/>
  </w:style>
  <w:style w:type="character" w:customStyle="1" w:styleId="vol">
    <w:name w:val="vol"/>
    <w:basedOn w:val="DefaultParagraphFont"/>
  </w:style>
  <w:style w:type="character" w:customStyle="1" w:styleId="pagefirst">
    <w:name w:val="pagefirst"/>
    <w:basedOn w:val="DefaultParagraphFont"/>
    <w:qFormat/>
  </w:style>
  <w:style w:type="character" w:customStyle="1" w:styleId="pagelast">
    <w:name w:val="pagelast"/>
    <w:basedOn w:val="DefaultParagraphFont"/>
  </w:style>
  <w:style w:type="character" w:customStyle="1" w:styleId="cit-auth">
    <w:name w:val="cit-auth"/>
    <w:basedOn w:val="DefaultParagraphFont"/>
    <w:rPr>
      <w:sz w:val="24"/>
      <w:szCs w:val="24"/>
      <w:vertAlign w:val="baseline"/>
    </w:rPr>
  </w:style>
  <w:style w:type="character" w:customStyle="1" w:styleId="cit-name-surname">
    <w:name w:val="cit-name-surname"/>
    <w:basedOn w:val="DefaultParagraphFont"/>
    <w:rPr>
      <w:sz w:val="24"/>
      <w:szCs w:val="24"/>
      <w:vertAlign w:val="baseline"/>
    </w:rPr>
  </w:style>
  <w:style w:type="character" w:customStyle="1" w:styleId="cit-name-given-names">
    <w:name w:val="cit-name-given-names"/>
    <w:basedOn w:val="DefaultParagraphFont"/>
    <w:rPr>
      <w:sz w:val="24"/>
      <w:szCs w:val="24"/>
      <w:vertAlign w:val="baseline"/>
    </w:rPr>
  </w:style>
  <w:style w:type="character" w:customStyle="1" w:styleId="cit-article-title">
    <w:name w:val="cit-article-title"/>
    <w:basedOn w:val="DefaultParagraphFont"/>
    <w:rPr>
      <w:sz w:val="24"/>
      <w:szCs w:val="24"/>
      <w:vertAlign w:val="baseline"/>
    </w:rPr>
  </w:style>
  <w:style w:type="character" w:customStyle="1" w:styleId="cit-pub-date">
    <w:name w:val="cit-pub-date"/>
    <w:basedOn w:val="DefaultParagraphFont"/>
    <w:rPr>
      <w:sz w:val="24"/>
      <w:szCs w:val="24"/>
      <w:vertAlign w:val="baseline"/>
    </w:rPr>
  </w:style>
  <w:style w:type="character" w:customStyle="1" w:styleId="cit-vol2">
    <w:name w:val="cit-vol2"/>
    <w:basedOn w:val="DefaultParagraphFont"/>
    <w:rPr>
      <w:sz w:val="24"/>
      <w:szCs w:val="24"/>
      <w:vertAlign w:val="baseline"/>
    </w:rPr>
  </w:style>
  <w:style w:type="character" w:customStyle="1" w:styleId="cit-issue">
    <w:name w:val="cit-issue"/>
    <w:basedOn w:val="DefaultParagraphFont"/>
    <w:rPr>
      <w:sz w:val="24"/>
      <w:szCs w:val="24"/>
      <w:vertAlign w:val="baseline"/>
    </w:rPr>
  </w:style>
  <w:style w:type="character" w:customStyle="1" w:styleId="cit-fpage">
    <w:name w:val="cit-fpage"/>
    <w:basedOn w:val="DefaultParagraphFont"/>
    <w:rPr>
      <w:sz w:val="24"/>
      <w:szCs w:val="24"/>
      <w:vertAlign w:val="baseline"/>
    </w:rPr>
  </w:style>
  <w:style w:type="character" w:customStyle="1" w:styleId="cit-lpage">
    <w:name w:val="cit-lpage"/>
    <w:basedOn w:val="DefaultParagraphFont"/>
    <w:rPr>
      <w:sz w:val="24"/>
      <w:szCs w:val="24"/>
      <w:vertAlign w:val="baselin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sid w:val="003E1F2C"/>
    <w:rPr>
      <w:color w:val="605E5C"/>
      <w:shd w:val="clear" w:color="auto" w:fill="E1DFDD"/>
    </w:rPr>
  </w:style>
  <w:style w:type="paragraph" w:styleId="BalloonText">
    <w:name w:val="Balloon Text"/>
    <w:basedOn w:val="Normal"/>
    <w:link w:val="BalloonTextChar"/>
    <w:uiPriority w:val="99"/>
    <w:semiHidden/>
    <w:unhideWhenUsed/>
    <w:rsid w:val="00E15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1/archinternmed.2009.22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038/s41598-020-65989-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psym.2012.11.0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i:10.1016/j.juro.2010.08.012" TargetMode="External"/><Relationship Id="rId4" Type="http://schemas.openxmlformats.org/officeDocument/2006/relationships/styles" Target="styles.xml"/><Relationship Id="rId9" Type="http://schemas.openxmlformats.org/officeDocument/2006/relationships/hyperlink" Target="mailto:Charisse.Chehovich@omh.ny.gov" TargetMode="External"/><Relationship Id="rId14" Type="http://schemas.openxmlformats.org/officeDocument/2006/relationships/hyperlink" Target="https://doi.org/10.2147/IPRP.S176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1AE71-726E-4AD2-94BB-A3D740D6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Chehovich, Charisse B (OMH)</dc:creator>
  <cp:lastModifiedBy>Warren Ladiges</cp:lastModifiedBy>
  <cp:revision>2</cp:revision>
  <cp:lastPrinted>2021-05-13T17:13:00Z</cp:lastPrinted>
  <dcterms:created xsi:type="dcterms:W3CDTF">2021-06-08T06:29:00Z</dcterms:created>
  <dcterms:modified xsi:type="dcterms:W3CDTF">2021-06-08T06:29:00Z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