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cs="Times New Roman"/>
          <w:sz w:val="24"/>
          <w:szCs w:val="24"/>
        </w:rPr>
      </w:pPr>
      <w:r>
        <w:rPr>
          <w:rFonts w:ascii="Times New Roman" w:hAnsi="Times New Roman" w:cs="Times New Roman"/>
          <w:sz w:val="24"/>
          <w:szCs w:val="24"/>
        </w:rPr>
        <w:t>Irreversible Effects of Anticholinergic Withdrawal in the Elderly: A Case Report</w:t>
      </w:r>
    </w:p>
    <w:p>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Authors: </w:t>
      </w:r>
      <w:r>
        <w:rPr>
          <w:rFonts w:ascii="Times New Roman" w:hAnsi="Times New Roman" w:cs="Times New Roman"/>
          <w:b/>
          <w:bCs/>
          <w:sz w:val="24"/>
          <w:szCs w:val="24"/>
        </w:rPr>
        <w:t>Charisse Chehovich, PharmD</w:t>
      </w:r>
      <w:r>
        <w:rPr>
          <w:rFonts w:ascii="Times New Roman" w:hAnsi="Times New Roman" w:cs="Times New Roman"/>
          <w:b/>
          <w:bCs/>
          <w:sz w:val="24"/>
          <w:szCs w:val="24"/>
          <w:vertAlign w:val="superscript"/>
        </w:rPr>
        <w:t>1*</w:t>
      </w:r>
      <w:r>
        <w:rPr>
          <w:rFonts w:ascii="Times New Roman" w:hAnsi="Times New Roman" w:cs="Times New Roman"/>
          <w:b/>
          <w:bCs/>
          <w:sz w:val="24"/>
          <w:szCs w:val="24"/>
        </w:rPr>
        <w:t>; Claudia Lee, MD</w:t>
      </w:r>
      <w:r>
        <w:rPr>
          <w:rFonts w:ascii="Times New Roman" w:hAnsi="Times New Roman" w:cs="Times New Roman"/>
          <w:b/>
          <w:bCs/>
          <w:sz w:val="24"/>
          <w:szCs w:val="24"/>
          <w:vertAlign w:val="superscript"/>
        </w:rPr>
        <w:t>1</w:t>
      </w:r>
      <w:r>
        <w:rPr>
          <w:rFonts w:ascii="Times New Roman" w:hAnsi="Times New Roman" w:cs="Times New Roman"/>
          <w:b/>
          <w:bCs/>
          <w:sz w:val="24"/>
          <w:szCs w:val="24"/>
        </w:rPr>
        <w:t>; TammieLee Demler, B.S., Pharm.D., MBA, BCGP, BCPP</w:t>
      </w:r>
      <w:r>
        <w:rPr>
          <w:rFonts w:ascii="Times New Roman" w:hAnsi="Times New Roman" w:cs="Times New Roman"/>
          <w:b/>
          <w:bCs/>
          <w:sz w:val="24"/>
          <w:szCs w:val="24"/>
          <w:vertAlign w:val="superscript"/>
        </w:rPr>
        <w:t>1,2,3</w:t>
      </w:r>
    </w:p>
    <w:p>
      <w:pPr>
        <w:pStyle w:val="1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Buffalo Psychiatric Center, Office of Mental Health</w:t>
      </w:r>
    </w:p>
    <w:p>
      <w:pPr>
        <w:pStyle w:val="1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University at Buffalo School of Pharmacy and Pharmaceutical Sciences </w:t>
      </w:r>
    </w:p>
    <w:p>
      <w:pPr>
        <w:pStyle w:val="10"/>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University at Buffalo School of Medicine, Department of Psychiatry</w:t>
      </w:r>
    </w:p>
    <w:p>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*Corresponding author: </w:t>
      </w:r>
      <w:r>
        <w:rPr>
          <w:rFonts w:ascii="Times New Roman" w:hAnsi="Times New Roman" w:cs="Times New Roman"/>
          <w:sz w:val="24"/>
          <w:szCs w:val="24"/>
        </w:rPr>
        <w:t xml:space="preserve">Charisse Chehovich, PharmD, Email: </w:t>
      </w:r>
      <w:r>
        <w:fldChar w:fldCharType="begin"/>
      </w:r>
      <w:r>
        <w:instrText xml:space="preserve"> HYPERLINK "mailto:Charisse.Chehovich@omh.ny.gov" </w:instrText>
      </w:r>
      <w:r>
        <w:fldChar w:fldCharType="separate"/>
      </w:r>
      <w:r>
        <w:rPr>
          <w:rStyle w:val="8"/>
          <w:rFonts w:ascii="Times New Roman" w:hAnsi="Times New Roman" w:cs="Times New Roman"/>
          <w:sz w:val="24"/>
          <w:szCs w:val="24"/>
        </w:rPr>
        <w:t>Charisse.Chehovich@omh.ny.gov</w:t>
      </w:r>
      <w:r>
        <w:rPr>
          <w:rStyle w:val="8"/>
          <w:rFonts w:ascii="Times New Roman" w:hAnsi="Times New Roman" w:cs="Times New Roman"/>
          <w:sz w:val="24"/>
          <w:szCs w:val="24"/>
        </w:rPr>
        <w:fldChar w:fldCharType="end"/>
      </w:r>
      <w:r>
        <w:rPr>
          <w:rFonts w:ascii="Times New Roman" w:hAnsi="Times New Roman" w:cs="Times New Roman"/>
          <w:sz w:val="24"/>
          <w:szCs w:val="24"/>
        </w:rPr>
        <w:t>, Phone: 716-816-2290, Fax: 716-816-2496</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Abstract</w:t>
      </w:r>
    </w:p>
    <w:p>
      <w:pPr>
        <w:spacing w:line="480" w:lineRule="auto"/>
        <w:rPr>
          <w:rFonts w:ascii="Times New Roman" w:hAnsi="Times New Roman" w:cs="Times New Roman"/>
          <w:sz w:val="24"/>
          <w:szCs w:val="24"/>
        </w:rPr>
      </w:pPr>
      <w:r>
        <w:rPr>
          <w:rFonts w:ascii="Times New Roman" w:hAnsi="Times New Roman" w:cs="Times New Roman"/>
          <w:sz w:val="24"/>
          <w:szCs w:val="24"/>
        </w:rPr>
        <w:t>Anticholinergics, such as benztropine and trihexyphenidyl, are a class of medications that have been used to treat several different conditions including antipsychotic-induced extrapyramidal side effects (EPS) that are most often associated with first-generation antipsychotics (FGAs), such as haloperidol and fluphenazine.  Many other medications, including antimuscarinics, antipsychotics, and antidepressants, also have anticholinergic effects. Antimuscarinics, such as trospium and oxybutynin that are used to treat overactive bladder are administered due to their anticholinergic therapeutic effects. While anticholinergics are used to treat multiple conditions, in some cases they are discontinued due to side effects, lack of efficacy, or to decrease polypharmacy. Discontinuation of anticholinergics must be approached with care as abrupt withdrawal can lead to cholinergic rebound and muscular rigidity, and in some cases can lead to acute hospitalization and an inability to return to baseline functioning, particularly in the elderly.</w:t>
      </w:r>
    </w:p>
    <w:p>
      <w:pPr>
        <w:spacing w:line="480" w:lineRule="auto"/>
        <w:rPr>
          <w:rFonts w:ascii="Times New Roman" w:hAnsi="Times New Roman" w:cs="Times New Roman"/>
          <w:sz w:val="24"/>
          <w:szCs w:val="24"/>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Keywords</w:t>
      </w:r>
    </w:p>
    <w:p>
      <w:pPr>
        <w:spacing w:line="480" w:lineRule="auto"/>
        <w:rPr>
          <w:rFonts w:ascii="Times New Roman" w:hAnsi="Times New Roman" w:cs="Times New Roman"/>
          <w:sz w:val="24"/>
          <w:szCs w:val="24"/>
        </w:rPr>
      </w:pPr>
      <w:r>
        <w:rPr>
          <w:rFonts w:ascii="Times New Roman" w:hAnsi="Times New Roman" w:cs="Times New Roman"/>
          <w:sz w:val="24"/>
          <w:szCs w:val="24"/>
        </w:rPr>
        <w:t>Anticholinergic withdrawal, trihexyphenidyl, trihexyphenidyl withdrawal, trospium, anticholinergic drugs, cholinergic rebound</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Introduction</w:t>
      </w:r>
    </w:p>
    <w:p>
      <w:pPr>
        <w:spacing w:line="480" w:lineRule="auto"/>
        <w:rPr>
          <w:rFonts w:ascii="Times New Roman" w:hAnsi="Times New Roman" w:cs="Times New Roman"/>
          <w:sz w:val="24"/>
          <w:szCs w:val="24"/>
        </w:rPr>
      </w:pPr>
      <w:r>
        <w:rPr>
          <w:rFonts w:ascii="Times New Roman" w:hAnsi="Times New Roman" w:cs="Times New Roman"/>
          <w:sz w:val="24"/>
          <w:szCs w:val="24"/>
        </w:rPr>
        <w:t>Anticholinergic medications can be used for many disease states, including irritable bowel syndrome, Parkinson’s disease, peptic ulcer disease, urinary incontinence, and for the prophylaxis and treatment of drug-induced extrapyramidal effects secondary to antipsychotic use [1-3]. While anticholinergics can clinically benefit certain conditions, they are not without risk. Due to their mechanism of action on the central and peripheral nervous systems to induce their effects, anticholinergic medications can also have serious side effects ranging from constipation and dry mouth to cognitive impairment, hallucinations, tachyarrhythmias, and congestive heart failure [1]. Trihexyphenidyl and trospium are two such anticholinergic medications. Trihexyphenidyl is a medication considered to have a “high anticholinergic load”, and was first approved by the Food and Drug Administration (FDA) in April 2003 and is indicated for the treatment of Parkinson’s Disease and drug-induced extrapyramidal effects, especially in those treated with a FGA, such as fluphenazine [1,2,4]. Trospium on the other hand is used to treat overactive bladder and has low blood brain barrier penetration due to its hydrophilic properties. For this reason, trospium does not exert anticholinergic activity on the central nervous system [5]. The risks associated with anticholinergic medications can lead to discontinuation, but while there is much discussion regarding anticholinergic effects and burden, providers must also be aware of the consequences of abrupt anticholinergic discontinuation leading to withdrawal. Anticholinergic withdrawal can lead to cholinergic rebound which includes urinary urgency, sweating, and nausea [6]. According to Saheed and colleagues, the most common symptom of trihexyphenidyl withdrawal was rigidity [7]. In other cases, anticholinergic withdrawal can be so severe it leads to hospitalization, as noted in this case report.</w:t>
      </w:r>
    </w:p>
    <w:p>
      <w:pPr>
        <w:spacing w:line="480" w:lineRule="auto"/>
        <w:rPr>
          <w:rFonts w:ascii="Times New Roman" w:hAnsi="Times New Roman" w:cs="Times New Roman"/>
          <w:sz w:val="24"/>
          <w:szCs w:val="24"/>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Case Report</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An 80-year-old black male was admitted to an inpatient psychiatric facility in July 2016 after he was found wandering the halls of his apartment building carrying a knife, as he believed someone was trying to murder him. He began showing signs of mental illness at the age of thirty and was hospitalized on multiple occasions within inpatient psychiatric settings. As of 2019, he had a psychiatric diagnosis of schizophrenia treated with fluphenazine decanoate and medical diagnoses to include constipation treated with polyethylene glycol, hyperlipidemia treated with atorvastatin, hypertension treated with amlodipine, prostate cancer treated with monthly leuprolide injections, vitamin D deficiency treated with cholecalciferol, glaucoma treated with latanoprost, dry eyes treated with polyvinyl alcohol, gastroesophageal reflux disease (GERD) treated with omeprazole, osteoarthritis treated with acetaminophen and menthol/methyl salicylate cream, and urinary incontinence treated with tamsulosin and trospium. The patient also received trihexyphenidyl for prevention of extrapyramidal side effects (EPS) (table 1). </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Table 1: Inpatient Medication List</w:t>
      </w:r>
    </w:p>
    <w:tbl>
      <w:tblPr>
        <w:tblStyle w:val="12"/>
        <w:tblW w:w="9828" w:type="dxa"/>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Grid>
        <w:gridCol w:w="1982"/>
        <w:gridCol w:w="1096"/>
        <w:gridCol w:w="2340"/>
        <w:gridCol w:w="1620"/>
        <w:gridCol w:w="1260"/>
        <w:gridCol w:w="1530"/>
      </w:tblGrid>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tcBorders>
              <w:top w:val="single" w:color="000000" w:themeColor="text1" w:sz="4" w:space="0"/>
              <w:left w:val="single" w:color="000000" w:themeColor="text1" w:sz="4" w:space="0"/>
              <w:bottom w:val="single" w:color="000000" w:themeColor="text1" w:sz="4" w:space="0"/>
              <w:right w:val="nil"/>
              <w:insideH w:val="single" w:sz="4" w:space="0"/>
              <w:insideV w:val="nil"/>
            </w:tcBorders>
            <w:shd w:val="clear" w:color="auto" w:fill="000000" w:themeFill="text1"/>
          </w:tcPr>
          <w:p>
            <w:pPr>
              <w:spacing w:line="240" w:lineRule="auto"/>
              <w:rPr>
                <w:rFonts w:ascii="Times New Roman" w:hAnsi="Times New Roman" w:cs="Times New Roman"/>
                <w:b w:val="0"/>
                <w:bCs w:val="0"/>
                <w:color w:val="FFFFFF" w:themeColor="background1"/>
                <w:sz w:val="24"/>
                <w:szCs w:val="24"/>
                <w14:textFill>
                  <w14:solidFill>
                    <w14:schemeClr w14:val="bg1"/>
                  </w14:solidFill>
                </w14:textFill>
              </w:rPr>
            </w:pPr>
            <w:r>
              <w:rPr>
                <w:rFonts w:ascii="Times New Roman" w:hAnsi="Times New Roman" w:cs="Times New Roman"/>
                <w:b w:val="0"/>
                <w:bCs w:val="0"/>
                <w:color w:val="FFFFFF" w:themeColor="background1"/>
                <w:sz w:val="24"/>
                <w:szCs w:val="24"/>
                <w14:textFill>
                  <w14:solidFill>
                    <w14:schemeClr w14:val="bg1"/>
                  </w14:solidFill>
                </w14:textFill>
              </w:rPr>
              <w:t>Medication</w:t>
            </w:r>
          </w:p>
        </w:tc>
        <w:tc>
          <w:tcPr>
            <w:tcW w:w="1096" w:type="dxa"/>
            <w:tcBorders>
              <w:top w:val="single" w:color="000000" w:themeColor="text1" w:sz="4" w:space="0"/>
              <w:bottom w:val="single" w:color="000000" w:themeColor="text1" w:sz="4" w:space="0"/>
              <w:right w:val="nil"/>
              <w:insideH w:val="single" w:sz="4" w:space="0"/>
              <w:insideV w:val="nil"/>
            </w:tcBorders>
            <w:shd w:val="clear" w:color="auto" w:fill="000000" w:themeFill="text1"/>
          </w:tcPr>
          <w:p>
            <w:pPr>
              <w:spacing w:line="240" w:lineRule="auto"/>
              <w:rPr>
                <w:rFonts w:ascii="Times New Roman" w:hAnsi="Times New Roman" w:cs="Times New Roman"/>
                <w:b w:val="0"/>
                <w:bCs w:val="0"/>
                <w:color w:val="FFFFFF" w:themeColor="background1"/>
                <w:sz w:val="24"/>
                <w:szCs w:val="24"/>
                <w14:textFill>
                  <w14:solidFill>
                    <w14:schemeClr w14:val="bg1"/>
                  </w14:solidFill>
                </w14:textFill>
              </w:rPr>
            </w:pPr>
            <w:r>
              <w:rPr>
                <w:rFonts w:ascii="Times New Roman" w:hAnsi="Times New Roman" w:cs="Times New Roman"/>
                <w:b w:val="0"/>
                <w:bCs w:val="0"/>
                <w:color w:val="FFFFFF" w:themeColor="background1"/>
                <w:sz w:val="24"/>
                <w:szCs w:val="24"/>
                <w14:textFill>
                  <w14:solidFill>
                    <w14:schemeClr w14:val="bg1"/>
                  </w14:solidFill>
                </w14:textFill>
              </w:rPr>
              <w:t>Dose</w:t>
            </w:r>
          </w:p>
        </w:tc>
        <w:tc>
          <w:tcPr>
            <w:tcW w:w="2340" w:type="dxa"/>
            <w:tcBorders>
              <w:top w:val="single" w:color="000000" w:themeColor="text1" w:sz="4" w:space="0"/>
              <w:bottom w:val="single" w:color="000000" w:themeColor="text1" w:sz="4" w:space="0"/>
              <w:right w:val="nil"/>
              <w:insideH w:val="single" w:sz="4" w:space="0"/>
              <w:insideV w:val="nil"/>
            </w:tcBorders>
            <w:shd w:val="clear" w:color="auto" w:fill="000000" w:themeFill="text1"/>
          </w:tcPr>
          <w:p>
            <w:pPr>
              <w:spacing w:line="240" w:lineRule="auto"/>
              <w:rPr>
                <w:rFonts w:ascii="Times New Roman" w:hAnsi="Times New Roman" w:cs="Times New Roman"/>
                <w:b w:val="0"/>
                <w:bCs w:val="0"/>
                <w:color w:val="FFFFFF" w:themeColor="background1"/>
                <w:sz w:val="24"/>
                <w:szCs w:val="24"/>
                <w14:textFill>
                  <w14:solidFill>
                    <w14:schemeClr w14:val="bg1"/>
                  </w14:solidFill>
                </w14:textFill>
              </w:rPr>
            </w:pPr>
            <w:r>
              <w:rPr>
                <w:rFonts w:ascii="Times New Roman" w:hAnsi="Times New Roman" w:cs="Times New Roman"/>
                <w:b w:val="0"/>
                <w:bCs w:val="0"/>
                <w:color w:val="FFFFFF" w:themeColor="background1"/>
                <w:sz w:val="24"/>
                <w:szCs w:val="24"/>
                <w14:textFill>
                  <w14:solidFill>
                    <w14:schemeClr w14:val="bg1"/>
                  </w14:solidFill>
                </w14:textFill>
              </w:rPr>
              <w:t>Directions</w:t>
            </w:r>
          </w:p>
        </w:tc>
        <w:tc>
          <w:tcPr>
            <w:tcW w:w="1620" w:type="dxa"/>
            <w:tcBorders>
              <w:top w:val="single" w:color="000000" w:themeColor="text1" w:sz="4" w:space="0"/>
              <w:bottom w:val="single" w:color="000000" w:themeColor="text1" w:sz="4" w:space="0"/>
              <w:right w:val="nil"/>
              <w:insideH w:val="single" w:sz="4" w:space="0"/>
              <w:insideV w:val="nil"/>
            </w:tcBorders>
            <w:shd w:val="clear" w:color="auto" w:fill="000000" w:themeFill="text1"/>
          </w:tcPr>
          <w:p>
            <w:pPr>
              <w:spacing w:line="240" w:lineRule="auto"/>
              <w:rPr>
                <w:rFonts w:ascii="Times New Roman" w:hAnsi="Times New Roman" w:cs="Times New Roman"/>
                <w:b w:val="0"/>
                <w:bCs w:val="0"/>
                <w:color w:val="FFFFFF" w:themeColor="background1"/>
                <w:sz w:val="24"/>
                <w:szCs w:val="24"/>
                <w14:textFill>
                  <w14:solidFill>
                    <w14:schemeClr w14:val="bg1"/>
                  </w14:solidFill>
                </w14:textFill>
              </w:rPr>
            </w:pPr>
            <w:r>
              <w:rPr>
                <w:rFonts w:ascii="Times New Roman" w:hAnsi="Times New Roman" w:cs="Times New Roman"/>
                <w:b w:val="0"/>
                <w:bCs w:val="0"/>
                <w:color w:val="FFFFFF" w:themeColor="background1"/>
                <w:sz w:val="24"/>
                <w:szCs w:val="24"/>
                <w14:textFill>
                  <w14:solidFill>
                    <w14:schemeClr w14:val="bg1"/>
                  </w14:solidFill>
                </w14:textFill>
              </w:rPr>
              <w:t>Indication</w:t>
            </w:r>
          </w:p>
        </w:tc>
        <w:tc>
          <w:tcPr>
            <w:tcW w:w="1260" w:type="dxa"/>
            <w:tcBorders>
              <w:top w:val="single" w:color="000000" w:themeColor="text1" w:sz="4" w:space="0"/>
              <w:bottom w:val="single" w:color="000000" w:themeColor="text1" w:sz="4" w:space="0"/>
              <w:right w:val="nil"/>
              <w:insideH w:val="single" w:sz="4" w:space="0"/>
              <w:insideV w:val="nil"/>
            </w:tcBorders>
            <w:shd w:val="clear" w:color="auto" w:fill="000000" w:themeFill="text1"/>
          </w:tcPr>
          <w:p>
            <w:pPr>
              <w:spacing w:line="240" w:lineRule="auto"/>
              <w:rPr>
                <w:rFonts w:ascii="Times New Roman" w:hAnsi="Times New Roman" w:cs="Times New Roman"/>
                <w:b w:val="0"/>
                <w:bCs w:val="0"/>
                <w:color w:val="FFFFFF" w:themeColor="background1"/>
                <w:sz w:val="24"/>
                <w:szCs w:val="24"/>
                <w14:textFill>
                  <w14:solidFill>
                    <w14:schemeClr w14:val="bg1"/>
                  </w14:solidFill>
                </w14:textFill>
              </w:rPr>
            </w:pPr>
            <w:r>
              <w:rPr>
                <w:rFonts w:ascii="Times New Roman" w:hAnsi="Times New Roman" w:cs="Times New Roman"/>
                <w:b w:val="0"/>
                <w:bCs w:val="0"/>
                <w:color w:val="FFFFFF" w:themeColor="background1"/>
                <w:sz w:val="24"/>
                <w:szCs w:val="24"/>
                <w14:textFill>
                  <w14:solidFill>
                    <w14:schemeClr w14:val="bg1"/>
                  </w14:solidFill>
                </w14:textFill>
              </w:rPr>
              <w:t>Date of Initiation</w:t>
            </w:r>
          </w:p>
        </w:tc>
        <w:tc>
          <w:tcPr>
            <w:tcW w:w="1530" w:type="dxa"/>
            <w:tcBorders>
              <w:top w:val="single" w:color="000000" w:themeColor="text1" w:sz="4" w:space="0"/>
              <w:bottom w:val="single" w:color="000000" w:themeColor="text1" w:sz="4" w:space="0"/>
              <w:right w:val="single" w:color="000000" w:themeColor="text1" w:sz="4" w:space="0"/>
              <w:insideH w:val="single" w:sz="4" w:space="0"/>
              <w:insideV w:val="nil"/>
            </w:tcBorders>
            <w:shd w:val="clear" w:color="auto" w:fill="000000" w:themeFill="text1"/>
          </w:tcPr>
          <w:p>
            <w:pPr>
              <w:spacing w:line="240" w:lineRule="auto"/>
              <w:rPr>
                <w:rFonts w:ascii="Times New Roman" w:hAnsi="Times New Roman" w:cs="Times New Roman"/>
                <w:b w:val="0"/>
                <w:bCs w:val="0"/>
                <w:color w:val="FFFFFF" w:themeColor="background1"/>
                <w:sz w:val="24"/>
                <w:szCs w:val="24"/>
                <w14:textFill>
                  <w14:solidFill>
                    <w14:schemeClr w14:val="bg1"/>
                  </w14:solidFill>
                </w14:textFill>
              </w:rPr>
            </w:pPr>
            <w:r>
              <w:rPr>
                <w:rFonts w:ascii="Times New Roman" w:hAnsi="Times New Roman" w:cs="Times New Roman"/>
                <w:b w:val="0"/>
                <w:bCs w:val="0"/>
                <w:color w:val="FFFFFF" w:themeColor="background1"/>
                <w:sz w:val="24"/>
                <w:szCs w:val="24"/>
                <w14:textFill>
                  <w14:solidFill>
                    <w14:schemeClr w14:val="bg1"/>
                  </w14:solidFill>
                </w14:textFill>
              </w:rPr>
              <w:t>Date of Discontinuation</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shd w:val="clear" w:color="auto" w:fill="CCCCCC" w:themeFill="text1" w:themeFillTint="33"/>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Acetaminophen</w:t>
            </w:r>
          </w:p>
        </w:tc>
        <w:tc>
          <w:tcPr>
            <w:tcW w:w="1096"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325 mg</w:t>
            </w:r>
          </w:p>
        </w:tc>
        <w:tc>
          <w:tcPr>
            <w:tcW w:w="234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650 mg by mouth twice daily for pain and every 4 hours as needed</w:t>
            </w:r>
          </w:p>
        </w:tc>
        <w:tc>
          <w:tcPr>
            <w:tcW w:w="162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osteoarthritis pain</w:t>
            </w:r>
          </w:p>
        </w:tc>
        <w:tc>
          <w:tcPr>
            <w:tcW w:w="126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9/18/2018</w:t>
            </w:r>
          </w:p>
        </w:tc>
        <w:tc>
          <w:tcPr>
            <w:tcW w:w="153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Amlodipine </w:t>
            </w:r>
          </w:p>
        </w:tc>
        <w:tc>
          <w:tcPr>
            <w:tcW w:w="1096" w:type="dxa"/>
          </w:tcPr>
          <w:p>
            <w:pPr>
              <w:spacing w:line="240" w:lineRule="auto"/>
              <w:rPr>
                <w:rFonts w:ascii="Times New Roman" w:hAnsi="Times New Roman" w:cs="Times New Roman"/>
                <w:sz w:val="24"/>
                <w:szCs w:val="24"/>
              </w:rPr>
            </w:pPr>
            <w:r>
              <w:rPr>
                <w:rFonts w:ascii="Times New Roman" w:hAnsi="Times New Roman" w:cs="Times New Roman"/>
                <w:sz w:val="24"/>
                <w:szCs w:val="24"/>
              </w:rPr>
              <w:t>5 mg</w:t>
            </w:r>
          </w:p>
        </w:tc>
        <w:tc>
          <w:tcPr>
            <w:tcW w:w="2340" w:type="dxa"/>
          </w:tcPr>
          <w:p>
            <w:pPr>
              <w:spacing w:line="240" w:lineRule="auto"/>
              <w:rPr>
                <w:rFonts w:ascii="Times New Roman" w:hAnsi="Times New Roman" w:cs="Times New Roman"/>
                <w:sz w:val="24"/>
                <w:szCs w:val="24"/>
              </w:rPr>
            </w:pPr>
            <w:r>
              <w:rPr>
                <w:rFonts w:ascii="Times New Roman" w:hAnsi="Times New Roman" w:cs="Times New Roman"/>
                <w:sz w:val="24"/>
                <w:szCs w:val="24"/>
              </w:rPr>
              <w:t>5 mg by mouth daily</w:t>
            </w:r>
          </w:p>
        </w:tc>
        <w:tc>
          <w:tcPr>
            <w:tcW w:w="1620" w:type="dxa"/>
          </w:tcPr>
          <w:p>
            <w:pPr>
              <w:spacing w:line="240" w:lineRule="auto"/>
              <w:rPr>
                <w:rFonts w:ascii="Times New Roman" w:hAnsi="Times New Roman" w:cs="Times New Roman"/>
                <w:sz w:val="24"/>
                <w:szCs w:val="24"/>
              </w:rPr>
            </w:pPr>
            <w:r>
              <w:rPr>
                <w:rFonts w:ascii="Times New Roman" w:hAnsi="Times New Roman" w:cs="Times New Roman"/>
                <w:sz w:val="24"/>
                <w:szCs w:val="24"/>
              </w:rPr>
              <w:t>hypertension</w:t>
            </w:r>
          </w:p>
        </w:tc>
        <w:tc>
          <w:tcPr>
            <w:tcW w:w="1260" w:type="dxa"/>
          </w:tcPr>
          <w:p>
            <w:pPr>
              <w:spacing w:line="240" w:lineRule="auto"/>
              <w:rPr>
                <w:rFonts w:ascii="Times New Roman" w:hAnsi="Times New Roman" w:cs="Times New Roman"/>
                <w:sz w:val="24"/>
                <w:szCs w:val="24"/>
              </w:rPr>
            </w:pPr>
            <w:r>
              <w:rPr>
                <w:rFonts w:ascii="Times New Roman" w:hAnsi="Times New Roman" w:cs="Times New Roman"/>
                <w:sz w:val="24"/>
                <w:szCs w:val="24"/>
              </w:rPr>
              <w:t>7/26/2016</w:t>
            </w:r>
          </w:p>
        </w:tc>
        <w:tc>
          <w:tcPr>
            <w:tcW w:w="1530" w:type="dxa"/>
          </w:tcPr>
          <w:p>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shd w:val="clear" w:color="auto" w:fill="CCCCCC" w:themeFill="text1" w:themeFillTint="33"/>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Atorvastatin</w:t>
            </w:r>
          </w:p>
        </w:tc>
        <w:tc>
          <w:tcPr>
            <w:tcW w:w="1096"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20 mg</w:t>
            </w:r>
          </w:p>
        </w:tc>
        <w:tc>
          <w:tcPr>
            <w:tcW w:w="234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20 mg by mouth at bedtime</w:t>
            </w:r>
          </w:p>
        </w:tc>
        <w:tc>
          <w:tcPr>
            <w:tcW w:w="162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hyperlipidemia</w:t>
            </w:r>
          </w:p>
        </w:tc>
        <w:tc>
          <w:tcPr>
            <w:tcW w:w="126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1/24/2017</w:t>
            </w:r>
          </w:p>
        </w:tc>
        <w:tc>
          <w:tcPr>
            <w:tcW w:w="153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Cholecalciferol</w:t>
            </w:r>
          </w:p>
        </w:tc>
        <w:tc>
          <w:tcPr>
            <w:tcW w:w="1096" w:type="dxa"/>
          </w:tcPr>
          <w:p>
            <w:pPr>
              <w:spacing w:line="240" w:lineRule="auto"/>
              <w:rPr>
                <w:rFonts w:ascii="Times New Roman" w:hAnsi="Times New Roman" w:cs="Times New Roman"/>
                <w:sz w:val="24"/>
                <w:szCs w:val="24"/>
              </w:rPr>
            </w:pPr>
            <w:r>
              <w:rPr>
                <w:rFonts w:ascii="Times New Roman" w:hAnsi="Times New Roman" w:cs="Times New Roman"/>
                <w:sz w:val="24"/>
                <w:szCs w:val="24"/>
              </w:rPr>
              <w:t>10 mcg</w:t>
            </w:r>
          </w:p>
        </w:tc>
        <w:tc>
          <w:tcPr>
            <w:tcW w:w="2340" w:type="dxa"/>
          </w:tcPr>
          <w:p>
            <w:pPr>
              <w:spacing w:line="240" w:lineRule="auto"/>
              <w:rPr>
                <w:rFonts w:ascii="Times New Roman" w:hAnsi="Times New Roman" w:cs="Times New Roman"/>
                <w:sz w:val="24"/>
                <w:szCs w:val="24"/>
              </w:rPr>
            </w:pPr>
            <w:r>
              <w:rPr>
                <w:rFonts w:ascii="Times New Roman" w:hAnsi="Times New Roman" w:cs="Times New Roman"/>
                <w:sz w:val="24"/>
                <w:szCs w:val="24"/>
              </w:rPr>
              <w:t>20 mcg by mouth daily</w:t>
            </w:r>
          </w:p>
        </w:tc>
        <w:tc>
          <w:tcPr>
            <w:tcW w:w="1620" w:type="dxa"/>
          </w:tcPr>
          <w:p>
            <w:pPr>
              <w:spacing w:line="240" w:lineRule="auto"/>
              <w:rPr>
                <w:rFonts w:ascii="Times New Roman" w:hAnsi="Times New Roman" w:cs="Times New Roman"/>
                <w:sz w:val="24"/>
                <w:szCs w:val="24"/>
              </w:rPr>
            </w:pPr>
            <w:r>
              <w:rPr>
                <w:rFonts w:ascii="Times New Roman" w:hAnsi="Times New Roman" w:cs="Times New Roman"/>
                <w:sz w:val="24"/>
                <w:szCs w:val="24"/>
              </w:rPr>
              <w:t>vitamin D deficiency</w:t>
            </w:r>
          </w:p>
        </w:tc>
        <w:tc>
          <w:tcPr>
            <w:tcW w:w="1260" w:type="dxa"/>
          </w:tcPr>
          <w:p>
            <w:pPr>
              <w:spacing w:line="240" w:lineRule="auto"/>
              <w:rPr>
                <w:rFonts w:ascii="Times New Roman" w:hAnsi="Times New Roman" w:cs="Times New Roman"/>
                <w:sz w:val="24"/>
                <w:szCs w:val="24"/>
              </w:rPr>
            </w:pPr>
            <w:r>
              <w:rPr>
                <w:rFonts w:ascii="Times New Roman" w:hAnsi="Times New Roman" w:cs="Times New Roman"/>
                <w:sz w:val="24"/>
                <w:szCs w:val="24"/>
              </w:rPr>
              <w:t>8/7/2016</w:t>
            </w:r>
          </w:p>
        </w:tc>
        <w:tc>
          <w:tcPr>
            <w:tcW w:w="1530" w:type="dxa"/>
          </w:tcPr>
          <w:p>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shd w:val="clear" w:color="auto" w:fill="CCCCCC" w:themeFill="text1" w:themeFillTint="33"/>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Fluphenazine decanoate</w:t>
            </w:r>
          </w:p>
        </w:tc>
        <w:tc>
          <w:tcPr>
            <w:tcW w:w="1096"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37.5 mg</w:t>
            </w:r>
          </w:p>
        </w:tc>
        <w:tc>
          <w:tcPr>
            <w:tcW w:w="234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37.5 mg intramuscularly every other week</w:t>
            </w:r>
          </w:p>
        </w:tc>
        <w:tc>
          <w:tcPr>
            <w:tcW w:w="162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Psychosis</w:t>
            </w:r>
          </w:p>
        </w:tc>
        <w:tc>
          <w:tcPr>
            <w:tcW w:w="126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3/21/2018</w:t>
            </w:r>
          </w:p>
        </w:tc>
        <w:tc>
          <w:tcPr>
            <w:tcW w:w="153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Latanoprost eye drops</w:t>
            </w:r>
          </w:p>
        </w:tc>
        <w:tc>
          <w:tcPr>
            <w:tcW w:w="1096" w:type="dxa"/>
          </w:tcPr>
          <w:p>
            <w:pPr>
              <w:spacing w:line="240" w:lineRule="auto"/>
              <w:rPr>
                <w:rFonts w:ascii="Times New Roman" w:hAnsi="Times New Roman" w:cs="Times New Roman"/>
                <w:sz w:val="24"/>
                <w:szCs w:val="24"/>
              </w:rPr>
            </w:pPr>
            <w:r>
              <w:rPr>
                <w:rFonts w:ascii="Times New Roman" w:hAnsi="Times New Roman" w:cs="Times New Roman"/>
                <w:sz w:val="24"/>
                <w:szCs w:val="24"/>
              </w:rPr>
              <w:t>0.005%</w:t>
            </w:r>
          </w:p>
        </w:tc>
        <w:tc>
          <w:tcPr>
            <w:tcW w:w="2340" w:type="dxa"/>
          </w:tcPr>
          <w:p>
            <w:pPr>
              <w:spacing w:line="240" w:lineRule="auto"/>
              <w:rPr>
                <w:rFonts w:ascii="Times New Roman" w:hAnsi="Times New Roman" w:cs="Times New Roman"/>
                <w:sz w:val="24"/>
                <w:szCs w:val="24"/>
              </w:rPr>
            </w:pPr>
            <w:r>
              <w:rPr>
                <w:rFonts w:ascii="Times New Roman" w:hAnsi="Times New Roman" w:cs="Times New Roman"/>
                <w:sz w:val="24"/>
                <w:szCs w:val="24"/>
              </w:rPr>
              <w:t>one drop into each eye at bedtime</w:t>
            </w:r>
          </w:p>
        </w:tc>
        <w:tc>
          <w:tcPr>
            <w:tcW w:w="1620" w:type="dxa"/>
          </w:tcPr>
          <w:p>
            <w:pPr>
              <w:spacing w:line="240" w:lineRule="auto"/>
              <w:rPr>
                <w:rFonts w:ascii="Times New Roman" w:hAnsi="Times New Roman" w:cs="Times New Roman"/>
                <w:sz w:val="24"/>
                <w:szCs w:val="24"/>
              </w:rPr>
            </w:pPr>
            <w:r>
              <w:rPr>
                <w:rFonts w:ascii="Times New Roman" w:hAnsi="Times New Roman" w:cs="Times New Roman"/>
                <w:sz w:val="24"/>
                <w:szCs w:val="24"/>
              </w:rPr>
              <w:t>Glaucoma</w:t>
            </w:r>
          </w:p>
        </w:tc>
        <w:tc>
          <w:tcPr>
            <w:tcW w:w="1260" w:type="dxa"/>
          </w:tcPr>
          <w:p>
            <w:pPr>
              <w:spacing w:line="240" w:lineRule="auto"/>
              <w:rPr>
                <w:rFonts w:ascii="Times New Roman" w:hAnsi="Times New Roman" w:cs="Times New Roman"/>
                <w:sz w:val="24"/>
                <w:szCs w:val="24"/>
              </w:rPr>
            </w:pPr>
            <w:r>
              <w:rPr>
                <w:rFonts w:ascii="Times New Roman" w:hAnsi="Times New Roman" w:cs="Times New Roman"/>
                <w:sz w:val="24"/>
                <w:szCs w:val="24"/>
              </w:rPr>
              <w:t>10/10/2018</w:t>
            </w:r>
          </w:p>
        </w:tc>
        <w:tc>
          <w:tcPr>
            <w:tcW w:w="1530" w:type="dxa"/>
          </w:tcPr>
          <w:p>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shd w:val="clear" w:color="auto" w:fill="CCCCCC" w:themeFill="text1" w:themeFillTint="33"/>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Menthol/ methyl salicylate cream</w:t>
            </w:r>
          </w:p>
        </w:tc>
        <w:tc>
          <w:tcPr>
            <w:tcW w:w="1096"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10%/30%</w:t>
            </w:r>
          </w:p>
        </w:tc>
        <w:tc>
          <w:tcPr>
            <w:tcW w:w="234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Apply a small amount four times daily as needed</w:t>
            </w:r>
          </w:p>
        </w:tc>
        <w:tc>
          <w:tcPr>
            <w:tcW w:w="162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Osteoarthritis pain</w:t>
            </w:r>
          </w:p>
        </w:tc>
        <w:tc>
          <w:tcPr>
            <w:tcW w:w="126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3/27/2018</w:t>
            </w:r>
          </w:p>
        </w:tc>
        <w:tc>
          <w:tcPr>
            <w:tcW w:w="153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Omeprazole</w:t>
            </w:r>
          </w:p>
        </w:tc>
        <w:tc>
          <w:tcPr>
            <w:tcW w:w="1096" w:type="dxa"/>
          </w:tcPr>
          <w:p>
            <w:pPr>
              <w:spacing w:line="240" w:lineRule="auto"/>
              <w:rPr>
                <w:rFonts w:ascii="Times New Roman" w:hAnsi="Times New Roman" w:cs="Times New Roman"/>
                <w:sz w:val="24"/>
                <w:szCs w:val="24"/>
              </w:rPr>
            </w:pPr>
            <w:r>
              <w:rPr>
                <w:rFonts w:ascii="Times New Roman" w:hAnsi="Times New Roman" w:cs="Times New Roman"/>
                <w:sz w:val="24"/>
                <w:szCs w:val="24"/>
              </w:rPr>
              <w:t>20 mg</w:t>
            </w:r>
          </w:p>
        </w:tc>
        <w:tc>
          <w:tcPr>
            <w:tcW w:w="2340" w:type="dxa"/>
          </w:tcPr>
          <w:p>
            <w:pPr>
              <w:spacing w:line="240" w:lineRule="auto"/>
              <w:rPr>
                <w:rFonts w:ascii="Times New Roman" w:hAnsi="Times New Roman" w:cs="Times New Roman"/>
                <w:sz w:val="24"/>
                <w:szCs w:val="24"/>
              </w:rPr>
            </w:pPr>
            <w:r>
              <w:rPr>
                <w:rFonts w:ascii="Times New Roman" w:hAnsi="Times New Roman" w:cs="Times New Roman"/>
                <w:sz w:val="24"/>
                <w:szCs w:val="24"/>
              </w:rPr>
              <w:t>20 mg by mouth daily</w:t>
            </w:r>
          </w:p>
        </w:tc>
        <w:tc>
          <w:tcPr>
            <w:tcW w:w="1620" w:type="dxa"/>
          </w:tcPr>
          <w:p>
            <w:pPr>
              <w:spacing w:line="240" w:lineRule="auto"/>
              <w:rPr>
                <w:rFonts w:ascii="Times New Roman" w:hAnsi="Times New Roman" w:cs="Times New Roman"/>
                <w:sz w:val="24"/>
                <w:szCs w:val="24"/>
              </w:rPr>
            </w:pPr>
            <w:r>
              <w:rPr>
                <w:rFonts w:ascii="Times New Roman" w:hAnsi="Times New Roman" w:cs="Times New Roman"/>
                <w:sz w:val="24"/>
                <w:szCs w:val="24"/>
              </w:rPr>
              <w:t>GERD*</w:t>
            </w:r>
          </w:p>
        </w:tc>
        <w:tc>
          <w:tcPr>
            <w:tcW w:w="1260" w:type="dxa"/>
          </w:tcPr>
          <w:p>
            <w:pPr>
              <w:spacing w:line="240" w:lineRule="auto"/>
              <w:rPr>
                <w:rFonts w:ascii="Times New Roman" w:hAnsi="Times New Roman" w:cs="Times New Roman"/>
                <w:sz w:val="24"/>
                <w:szCs w:val="24"/>
              </w:rPr>
            </w:pPr>
            <w:r>
              <w:rPr>
                <w:rFonts w:ascii="Times New Roman" w:hAnsi="Times New Roman" w:cs="Times New Roman"/>
                <w:sz w:val="24"/>
                <w:szCs w:val="24"/>
              </w:rPr>
              <w:t>8/24/2017</w:t>
            </w:r>
          </w:p>
        </w:tc>
        <w:tc>
          <w:tcPr>
            <w:tcW w:w="1530" w:type="dxa"/>
          </w:tcPr>
          <w:p>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shd w:val="clear" w:color="auto" w:fill="CCCCCC" w:themeFill="text1" w:themeFillTint="33"/>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Polyethylene glycol</w:t>
            </w:r>
          </w:p>
        </w:tc>
        <w:tc>
          <w:tcPr>
            <w:tcW w:w="1096"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17 grams</w:t>
            </w:r>
          </w:p>
        </w:tc>
        <w:tc>
          <w:tcPr>
            <w:tcW w:w="234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17 grams by mouth daily</w:t>
            </w:r>
          </w:p>
        </w:tc>
        <w:tc>
          <w:tcPr>
            <w:tcW w:w="162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constipation</w:t>
            </w:r>
          </w:p>
        </w:tc>
        <w:tc>
          <w:tcPr>
            <w:tcW w:w="126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8/29/2018</w:t>
            </w:r>
          </w:p>
        </w:tc>
        <w:tc>
          <w:tcPr>
            <w:tcW w:w="153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Polyvinyl alcohol eye drops</w:t>
            </w:r>
          </w:p>
        </w:tc>
        <w:tc>
          <w:tcPr>
            <w:tcW w:w="1096" w:type="dxa"/>
          </w:tcPr>
          <w:p>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2340" w:type="dxa"/>
          </w:tcPr>
          <w:p>
            <w:pPr>
              <w:spacing w:line="240" w:lineRule="auto"/>
              <w:rPr>
                <w:rFonts w:ascii="Times New Roman" w:hAnsi="Times New Roman" w:cs="Times New Roman"/>
                <w:sz w:val="24"/>
                <w:szCs w:val="24"/>
              </w:rPr>
            </w:pPr>
            <w:r>
              <w:rPr>
                <w:rFonts w:ascii="Times New Roman" w:hAnsi="Times New Roman" w:cs="Times New Roman"/>
                <w:sz w:val="24"/>
                <w:szCs w:val="24"/>
              </w:rPr>
              <w:t>one drop into each eye twice daily</w:t>
            </w:r>
          </w:p>
        </w:tc>
        <w:tc>
          <w:tcPr>
            <w:tcW w:w="1620" w:type="dxa"/>
          </w:tcPr>
          <w:p>
            <w:pPr>
              <w:spacing w:line="240" w:lineRule="auto"/>
              <w:rPr>
                <w:rFonts w:ascii="Times New Roman" w:hAnsi="Times New Roman" w:cs="Times New Roman"/>
                <w:sz w:val="24"/>
                <w:szCs w:val="24"/>
              </w:rPr>
            </w:pPr>
            <w:r>
              <w:rPr>
                <w:rFonts w:ascii="Times New Roman" w:hAnsi="Times New Roman" w:cs="Times New Roman"/>
                <w:sz w:val="24"/>
                <w:szCs w:val="24"/>
              </w:rPr>
              <w:t>dry eyes</w:t>
            </w:r>
          </w:p>
        </w:tc>
        <w:tc>
          <w:tcPr>
            <w:tcW w:w="1260" w:type="dxa"/>
          </w:tcPr>
          <w:p>
            <w:pPr>
              <w:spacing w:line="240" w:lineRule="auto"/>
              <w:rPr>
                <w:rFonts w:ascii="Times New Roman" w:hAnsi="Times New Roman" w:cs="Times New Roman"/>
                <w:sz w:val="24"/>
                <w:szCs w:val="24"/>
              </w:rPr>
            </w:pPr>
            <w:r>
              <w:rPr>
                <w:rFonts w:ascii="Times New Roman" w:hAnsi="Times New Roman" w:cs="Times New Roman"/>
                <w:sz w:val="24"/>
                <w:szCs w:val="24"/>
              </w:rPr>
              <w:t>10/10/2018</w:t>
            </w:r>
          </w:p>
        </w:tc>
        <w:tc>
          <w:tcPr>
            <w:tcW w:w="1530" w:type="dxa"/>
          </w:tcPr>
          <w:p>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shd w:val="clear" w:color="auto" w:fill="CCCCCC" w:themeFill="text1" w:themeFillTint="33"/>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Tamsulosin</w:t>
            </w:r>
          </w:p>
        </w:tc>
        <w:tc>
          <w:tcPr>
            <w:tcW w:w="1096"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0.4 mg</w:t>
            </w:r>
          </w:p>
        </w:tc>
        <w:tc>
          <w:tcPr>
            <w:tcW w:w="234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0.4 mg by mouth twice daily</w:t>
            </w:r>
          </w:p>
        </w:tc>
        <w:tc>
          <w:tcPr>
            <w:tcW w:w="162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urinary incontinence</w:t>
            </w:r>
          </w:p>
        </w:tc>
        <w:tc>
          <w:tcPr>
            <w:tcW w:w="126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3/31/2017</w:t>
            </w:r>
          </w:p>
        </w:tc>
        <w:tc>
          <w:tcPr>
            <w:tcW w:w="153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N/A</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Trihexyphenidyl</w:t>
            </w:r>
          </w:p>
        </w:tc>
        <w:tc>
          <w:tcPr>
            <w:tcW w:w="1096" w:type="dxa"/>
          </w:tcPr>
          <w:p>
            <w:pPr>
              <w:spacing w:line="240" w:lineRule="auto"/>
              <w:rPr>
                <w:rFonts w:ascii="Times New Roman" w:hAnsi="Times New Roman" w:cs="Times New Roman"/>
                <w:sz w:val="24"/>
                <w:szCs w:val="24"/>
              </w:rPr>
            </w:pPr>
            <w:r>
              <w:rPr>
                <w:rFonts w:ascii="Times New Roman" w:hAnsi="Times New Roman" w:cs="Times New Roman"/>
                <w:sz w:val="24"/>
                <w:szCs w:val="24"/>
              </w:rPr>
              <w:t>2 mg</w:t>
            </w:r>
          </w:p>
        </w:tc>
        <w:tc>
          <w:tcPr>
            <w:tcW w:w="2340" w:type="dxa"/>
          </w:tcPr>
          <w:p>
            <w:pPr>
              <w:spacing w:line="240" w:lineRule="auto"/>
              <w:rPr>
                <w:rFonts w:ascii="Times New Roman" w:hAnsi="Times New Roman" w:cs="Times New Roman"/>
                <w:sz w:val="24"/>
                <w:szCs w:val="24"/>
              </w:rPr>
            </w:pPr>
            <w:r>
              <w:rPr>
                <w:rFonts w:ascii="Times New Roman" w:hAnsi="Times New Roman" w:cs="Times New Roman"/>
                <w:sz w:val="24"/>
                <w:szCs w:val="24"/>
              </w:rPr>
              <w:t>2 mg by mouth twice daily</w:t>
            </w:r>
          </w:p>
        </w:tc>
        <w:tc>
          <w:tcPr>
            <w:tcW w:w="1620" w:type="dxa"/>
          </w:tcPr>
          <w:p>
            <w:pPr>
              <w:spacing w:line="240" w:lineRule="auto"/>
              <w:rPr>
                <w:rFonts w:ascii="Times New Roman" w:hAnsi="Times New Roman" w:cs="Times New Roman"/>
                <w:sz w:val="24"/>
                <w:szCs w:val="24"/>
              </w:rPr>
            </w:pPr>
            <w:r>
              <w:rPr>
                <w:rFonts w:ascii="Times New Roman" w:hAnsi="Times New Roman" w:cs="Times New Roman"/>
                <w:sz w:val="24"/>
                <w:szCs w:val="24"/>
              </w:rPr>
              <w:t>EPS* prevention</w:t>
            </w:r>
          </w:p>
        </w:tc>
        <w:tc>
          <w:tcPr>
            <w:tcW w:w="1260" w:type="dxa"/>
          </w:tcPr>
          <w:p>
            <w:pPr>
              <w:spacing w:line="240" w:lineRule="auto"/>
              <w:rPr>
                <w:rFonts w:ascii="Times New Roman" w:hAnsi="Times New Roman" w:cs="Times New Roman"/>
                <w:sz w:val="24"/>
                <w:szCs w:val="24"/>
              </w:rPr>
            </w:pPr>
            <w:r>
              <w:rPr>
                <w:rFonts w:ascii="Times New Roman" w:hAnsi="Times New Roman" w:cs="Times New Roman"/>
                <w:sz w:val="24"/>
                <w:szCs w:val="24"/>
              </w:rPr>
              <w:t>7/11/2018</w:t>
            </w:r>
          </w:p>
        </w:tc>
        <w:tc>
          <w:tcPr>
            <w:tcW w:w="1530" w:type="dxa"/>
          </w:tcPr>
          <w:p>
            <w:pPr>
              <w:spacing w:line="240" w:lineRule="auto"/>
              <w:rPr>
                <w:rFonts w:ascii="Times New Roman" w:hAnsi="Times New Roman" w:cs="Times New Roman"/>
                <w:sz w:val="24"/>
                <w:szCs w:val="24"/>
              </w:rPr>
            </w:pPr>
            <w:r>
              <w:rPr>
                <w:rFonts w:ascii="Times New Roman" w:hAnsi="Times New Roman" w:cs="Times New Roman"/>
                <w:sz w:val="24"/>
                <w:szCs w:val="24"/>
              </w:rPr>
              <w:t>6/26/2019</w:t>
            </w:r>
          </w:p>
        </w:tc>
      </w:tr>
      <w:tr>
        <w:tblPrEx>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Ex>
        <w:tc>
          <w:tcPr>
            <w:tcW w:w="1982" w:type="dxa"/>
            <w:shd w:val="clear" w:color="auto" w:fill="CCCCCC" w:themeFill="text1" w:themeFillTint="33"/>
          </w:tcPr>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Trospium</w:t>
            </w:r>
          </w:p>
        </w:tc>
        <w:tc>
          <w:tcPr>
            <w:tcW w:w="1096"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20 mg</w:t>
            </w:r>
          </w:p>
        </w:tc>
        <w:tc>
          <w:tcPr>
            <w:tcW w:w="234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20 mg by mouth at bedtime</w:t>
            </w:r>
          </w:p>
        </w:tc>
        <w:tc>
          <w:tcPr>
            <w:tcW w:w="162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urinary incontinence</w:t>
            </w:r>
          </w:p>
        </w:tc>
        <w:tc>
          <w:tcPr>
            <w:tcW w:w="126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6/13/2017</w:t>
            </w:r>
          </w:p>
        </w:tc>
        <w:tc>
          <w:tcPr>
            <w:tcW w:w="1530" w:type="dxa"/>
            <w:shd w:val="clear" w:color="auto" w:fill="CCCCCC" w:themeFill="text1" w:themeFillTint="33"/>
          </w:tcPr>
          <w:p>
            <w:pPr>
              <w:spacing w:line="240" w:lineRule="auto"/>
              <w:rPr>
                <w:rFonts w:ascii="Times New Roman" w:hAnsi="Times New Roman" w:cs="Times New Roman"/>
                <w:sz w:val="24"/>
                <w:szCs w:val="24"/>
              </w:rPr>
            </w:pPr>
            <w:r>
              <w:rPr>
                <w:rFonts w:ascii="Times New Roman" w:hAnsi="Times New Roman" w:cs="Times New Roman"/>
                <w:sz w:val="24"/>
                <w:szCs w:val="24"/>
              </w:rPr>
              <w:t>6/12/2019</w:t>
            </w:r>
          </w:p>
        </w:tc>
      </w:tr>
    </w:tbl>
    <w:p>
      <w:pPr>
        <w:rPr>
          <w:rFonts w:ascii="Times New Roman" w:hAnsi="Times New Roman" w:cs="Times New Roman"/>
          <w:sz w:val="24"/>
          <w:szCs w:val="24"/>
        </w:rPr>
      </w:pPr>
      <w:r>
        <w:rPr>
          <w:rFonts w:ascii="Times New Roman" w:hAnsi="Times New Roman" w:cs="Times New Roman"/>
          <w:sz w:val="24"/>
          <w:szCs w:val="24"/>
        </w:rPr>
        <w:t>Table 1: *GERD=gastroesophageal reflux disorder, EPS=extrapyramidal side effects</w:t>
      </w:r>
    </w:p>
    <w:p>
      <w:pPr>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In May of 2019, the patient began complaining of difficulty with urination and trospium was discontinued. Shortly after, a foley catheter was inserted on June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due to its potential anticholinergic effects leading to urinary retention, trihexyphenidyl was discontinued on June 26</w:t>
      </w:r>
      <w:r>
        <w:rPr>
          <w:rFonts w:ascii="Times New Roman" w:hAnsi="Times New Roman" w:cs="Times New Roman"/>
          <w:sz w:val="24"/>
          <w:szCs w:val="24"/>
          <w:vertAlign w:val="superscript"/>
        </w:rPr>
        <w:t>th</w:t>
      </w:r>
      <w:r>
        <w:rPr>
          <w:rFonts w:ascii="Times New Roman" w:hAnsi="Times New Roman" w:cs="Times New Roman"/>
          <w:sz w:val="24"/>
          <w:szCs w:val="24"/>
        </w:rPr>
        <w:t>. The foley catheter was removed shortly after, on June 28</w:t>
      </w:r>
      <w:r>
        <w:rPr>
          <w:rFonts w:ascii="Times New Roman" w:hAnsi="Times New Roman" w:cs="Times New Roman"/>
          <w:sz w:val="24"/>
          <w:szCs w:val="24"/>
          <w:vertAlign w:val="superscript"/>
        </w:rPr>
        <w:t>th</w:t>
      </w:r>
      <w:r>
        <w:rPr>
          <w:rFonts w:ascii="Times New Roman" w:hAnsi="Times New Roman" w:cs="Times New Roman"/>
          <w:sz w:val="24"/>
          <w:szCs w:val="24"/>
        </w:rPr>
        <w:t>, with continuous output monitoring. On July 1</w:t>
      </w:r>
      <w:r>
        <w:rPr>
          <w:rFonts w:ascii="Times New Roman" w:hAnsi="Times New Roman" w:cs="Times New Roman"/>
          <w:sz w:val="24"/>
          <w:szCs w:val="24"/>
          <w:vertAlign w:val="superscript"/>
        </w:rPr>
        <w:t>st</w:t>
      </w:r>
      <w:r>
        <w:rPr>
          <w:rFonts w:ascii="Times New Roman" w:hAnsi="Times New Roman" w:cs="Times New Roman"/>
          <w:sz w:val="24"/>
          <w:szCs w:val="24"/>
        </w:rPr>
        <w:t>, the patient complained of fatigue and was noted to be having difficulty ambulating, increased drooling and difficulty using hands effectively to use urinal and hold a cup. The patient was sent for further evaluation to rule out a cerebrovascular event on July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due to difficulty swallowing and moving his legs. The patient was admitted for hospitalization for further treatment and evaluation. An MRI of the brain with and without contrast showed a tiny right sided lacunar infarct involving the posterior limb of the right internal capsule with severe periventricular/subcortical deep white matter microangiopathy, but this was not thought to account for his symptoms. Neuroleptic malignant syndrome (NMS) was also considered, but ultimately determined to not be a factor.</w:t>
      </w:r>
    </w:p>
    <w:p>
      <w:pPr>
        <w:spacing w:line="480" w:lineRule="auto"/>
        <w:rPr>
          <w:rFonts w:ascii="Times New Roman" w:hAnsi="Times New Roman" w:cs="Times New Roman"/>
          <w:sz w:val="24"/>
          <w:szCs w:val="24"/>
        </w:rPr>
      </w:pPr>
      <w:r>
        <w:rPr>
          <w:rFonts w:ascii="Times New Roman" w:hAnsi="Times New Roman" w:cs="Times New Roman"/>
          <w:sz w:val="24"/>
          <w:szCs w:val="24"/>
        </w:rPr>
        <w:t>On July 10</w:t>
      </w:r>
      <w:r>
        <w:rPr>
          <w:rFonts w:ascii="Times New Roman" w:hAnsi="Times New Roman" w:cs="Times New Roman"/>
          <w:sz w:val="24"/>
          <w:szCs w:val="24"/>
          <w:vertAlign w:val="superscript"/>
        </w:rPr>
        <w:t>th</w:t>
      </w:r>
      <w:r>
        <w:rPr>
          <w:rFonts w:ascii="Times New Roman" w:hAnsi="Times New Roman" w:cs="Times New Roman"/>
          <w:sz w:val="24"/>
          <w:szCs w:val="24"/>
        </w:rPr>
        <w:t>, the patient was unable to stand independently, ambulate, or feed himself due to muscle weakness. It was concluded that the patient was experiencing withdrawal of anticholinergics leading to generalized weakness. Trihexyphenidyl was reintroduced at half the discontinuation dose, 1 mg twice daily. The patient was transferred to subacute rehab on July 12</w:t>
      </w:r>
      <w:r>
        <w:rPr>
          <w:rFonts w:ascii="Times New Roman" w:hAnsi="Times New Roman" w:cs="Times New Roman"/>
          <w:sz w:val="24"/>
          <w:szCs w:val="24"/>
          <w:vertAlign w:val="superscript"/>
        </w:rPr>
        <w:t>th</w:t>
      </w:r>
      <w:r>
        <w:rPr>
          <w:rFonts w:ascii="Times New Roman" w:hAnsi="Times New Roman" w:cs="Times New Roman"/>
          <w:sz w:val="24"/>
          <w:szCs w:val="24"/>
        </w:rPr>
        <w:t>. As of August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the patient did not have much improvement in walking and eating. It was determined that placement back into his inpatient psychiatric facility was not appropriate due to the level of care he now required. </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Prior to transfer to an acute medical care hospital, the patient was independent with activities of daily living. While admitted to acute care, he required assistance for functional mobility, ambulation, and activities of daily living. Despite reintroduction of trihexyphenidyl and rehabilitation, the patient did not return to baseline and did not regain his strength and was placed in a skilled nursing facility. </w:t>
      </w:r>
    </w:p>
    <w:p>
      <w:pPr>
        <w:spacing w:line="480" w:lineRule="auto"/>
        <w:rPr>
          <w:rFonts w:ascii="Times New Roman" w:hAnsi="Times New Roman" w:cs="Times New Roman"/>
          <w:sz w:val="24"/>
          <w:szCs w:val="24"/>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Discussion</w:t>
      </w:r>
    </w:p>
    <w:p>
      <w:pPr>
        <w:spacing w:line="480" w:lineRule="auto"/>
        <w:rPr>
          <w:rFonts w:ascii="Times New Roman" w:hAnsi="Times New Roman" w:cs="Times New Roman"/>
          <w:sz w:val="24"/>
          <w:szCs w:val="24"/>
        </w:rPr>
      </w:pPr>
      <w:r>
        <w:rPr>
          <w:rFonts w:ascii="Times New Roman" w:hAnsi="Times New Roman" w:cs="Times New Roman"/>
          <w:sz w:val="24"/>
          <w:szCs w:val="24"/>
        </w:rPr>
        <w:t>It has been estimated that 22-37% of adults at least 60 years of age are prescribed at least one anticholinergic medication [8]. In patients on depot FGAs, 32.8% can experience EPS, which can lead to a prescription for an anticholinergic to treat this side effect [9]. There are several studies that discuss the potential anticholinergic side effects experienced by elderly patients [6,10-12]. With increased age, there is greater decline in production of acetylcholine which can lead to an increased risk of side effects in older populations [13]. Side effects can include dizziness, blurred vision, drowsiness, cognitive effects, tachycardia, and as our patient experienced, urinary retention [14].</w:t>
      </w:r>
    </w:p>
    <w:p>
      <w:pPr>
        <w:spacing w:line="480" w:lineRule="auto"/>
        <w:rPr>
          <w:rFonts w:ascii="Times New Roman" w:hAnsi="Times New Roman" w:cs="Times New Roman"/>
          <w:sz w:val="24"/>
          <w:szCs w:val="24"/>
        </w:rPr>
      </w:pPr>
      <w:r>
        <w:rPr>
          <w:rFonts w:ascii="Times New Roman" w:hAnsi="Times New Roman" w:cs="Times New Roman"/>
          <w:sz w:val="24"/>
          <w:szCs w:val="24"/>
        </w:rPr>
        <w:t>Given the risk of side effects in elderly populations, anticholinergic discontinuation could be considered beneficial based on a clinical risk versus benefit analysis. However, discontinuation, particularly abrupt discontinuation, does not come without its own risks [12]. Anxiety, nausea, sweating, urinary incontinence, and tachycardia are withdrawal effects associated with cholinergic rebound syndrome due to anticholinergic discontinuation [15]. Trihexyphenidyl can have a higher risk of anticholinergic discontinuation syndrome due to its high affinity for muscarinic receptors, as anticholinergics exert their therapeutic effects via muscarinic acetylcholine receptor antagonism [16].</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To decrease this risk of these adverse effects, many recommend tapering of anticholinergics rather than abrupt discontinuation [3,15]. While there are no guidelines to indicate an appropriate anticholinergic taper, one recommendation is to decrease the dose by 2-5 mg equivalents of trihexyphenidyl every six weeks [17]. Based on these recommendations, it would have been most appropriate to decrease the dose of trihexyphenidyl from 2 mg twice daily to 2 mg once daily for six weeks, and then discontinue the dose thereafter for our patient. Regarding trospium discontinuation, there is no taper schedule available. The patient was on trospium 20 mg once daily at bedtime, and an abrupt discontinuation would have been appropriate based on dose. However, due to age and risk of withdrawal due to the discontinuation of multiple anticholinergic agents, a taper schedule may have been beneficial based on patient specific factors. Unfortunately, the 80-year-old patient’s onset of urinary retention resulted in a more urgent treatment intervention.</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Abrupt anticholinergic withdrawal can lead to many side effects including a marked irreversible change in functioning, especially in the elderly as noted in this case report. In clinical practice, anticholinergics should be slowly tapered due to the risk of potential lasting effects, which can be reduced or completely avoided with a gradual discontinuation. Tapering, rather than abruptly discontinuing, medication can avoid or minimize medication discontinuation effects [15]. Providers should be aware of potential discontinuation effects with anticholinergic medications, and anticholinergic burden should be considered when deciding if it is appropriate to taper or discontinue an anticholinergic medication [6]. </w:t>
      </w:r>
    </w:p>
    <w:p>
      <w:pPr>
        <w:spacing w:line="480" w:lineRule="auto"/>
        <w:rPr>
          <w:rFonts w:ascii="Times New Roman" w:hAnsi="Times New Roman" w:cs="Times New Roman"/>
          <w:sz w:val="24"/>
          <w:szCs w:val="24"/>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Conflict of Interest</w:t>
      </w:r>
    </w:p>
    <w:p>
      <w:pPr>
        <w:spacing w:line="480" w:lineRule="auto"/>
        <w:rPr>
          <w:rFonts w:ascii="Times New Roman" w:hAnsi="Times New Roman" w:cs="Times New Roman"/>
          <w:sz w:val="24"/>
          <w:szCs w:val="24"/>
        </w:rPr>
      </w:pPr>
      <w:r>
        <w:rPr>
          <w:rFonts w:ascii="Times New Roman" w:hAnsi="Times New Roman" w:cs="Times New Roman"/>
          <w:sz w:val="24"/>
          <w:szCs w:val="24"/>
        </w:rPr>
        <w:t>All authors declared that there are no conflicts of interest.</w:t>
      </w:r>
    </w:p>
    <w:p>
      <w:pPr>
        <w:spacing w:line="480" w:lineRule="auto"/>
        <w:rPr>
          <w:rFonts w:ascii="Times New Roman" w:hAnsi="Times New Roman" w:cs="Times New Roman"/>
          <w:sz w:val="24"/>
          <w:szCs w:val="24"/>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Contributions</w:t>
      </w:r>
    </w:p>
    <w:p>
      <w:pPr>
        <w:spacing w:line="480" w:lineRule="auto"/>
        <w:rPr>
          <w:rFonts w:ascii="Times New Roman" w:hAnsi="Times New Roman" w:cs="Times New Roman"/>
          <w:sz w:val="24"/>
          <w:szCs w:val="24"/>
        </w:rPr>
      </w:pPr>
      <w:r>
        <w:rPr>
          <w:rFonts w:ascii="Times New Roman" w:hAnsi="Times New Roman" w:cs="Times New Roman"/>
          <w:sz w:val="24"/>
          <w:szCs w:val="24"/>
        </w:rPr>
        <w:t>Wrote manuscript with support and contributions from other authors: Chehovich C; provided support and contributions to the manuscript: Lee C, Demler TL</w:t>
      </w:r>
      <w:bookmarkStart w:id="0" w:name="_GoBack"/>
      <w:bookmarkEnd w:id="0"/>
    </w:p>
    <w:p>
      <w:pPr>
        <w:spacing w:line="480" w:lineRule="auto"/>
        <w:rPr>
          <w:rFonts w:ascii="Times New Roman" w:hAnsi="Times New Roman" w:cs="Times New Roman"/>
          <w:sz w:val="24"/>
          <w:szCs w:val="24"/>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References</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López-Álvarez J, Sevilla-Llewellyn-Jones J, Agüera-Ortiz L. Anticholinergic Drugs in Geriatric Psychopharmacology. Front Neuroscience 2019: 13:1309–1309. https://doi.org/10.3389/fnins.2019.01309</w:t>
      </w:r>
    </w:p>
    <w:p>
      <w:pPr>
        <w:pStyle w:val="10"/>
        <w:numPr>
          <w:ilvl w:val="0"/>
          <w:numId w:val="2"/>
        </w:numPr>
        <w:spacing w:line="480" w:lineRule="auto"/>
        <w:rPr>
          <w:rStyle w:val="8"/>
          <w:rFonts w:ascii="Times New Roman" w:hAnsi="Times New Roman" w:cs="Times New Roman"/>
          <w:color w:val="auto"/>
          <w:sz w:val="24"/>
          <w:szCs w:val="24"/>
          <w:u w:val="none"/>
        </w:rPr>
      </w:pPr>
      <w:r>
        <w:rPr>
          <w:rFonts w:ascii="Times New Roman" w:hAnsi="Times New Roman" w:cs="Times New Roman"/>
          <w:sz w:val="24"/>
          <w:szCs w:val="24"/>
        </w:rPr>
        <w:t>Sheikh W. Prophylactic Use of Trihexyphenidyl (Artane) In Schizophrenia and Psychosis: A Critical Review of Literature to Guide for Evidence Based Practice in Zambia. Med J Zambia 2019: 46:133-139.</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Desmarais J, Beauclair L, Annable L, Bélanger M, Kolivakis T, Margolese H. Effects of discontinuing anticholinergic treatment on movement disorders, cognition and psychopathology in patients with schizophrenia. Ther Adv in Psychopharmacol 2014: 4(6):257–267. https://doi.org/10.1177/2045125314553611</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Brocks D. Anticholinergic drugs used in Parkinson’s disease: An overlooked class of drugs from a pharmacokinetic perspective. J Pharm Pharm Sci 1999: 2(2):39–46.</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Chancellor M, Boone T. Anticholinergics for Overactive Bladder Therapy: Central Nervous System Effects. CNS Neurosci Ther 2012: 18(2):167–174. https://doi.org/10.1111/j.1755-5949.2011.00248.x</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Kouladjian O’Donnell L, Gnjidic D, Nahas R, Bell J, Hilmer S. Anticholinergic burden: considerations for older adults. J Pharm Pract Re. 2017: 47(1):67–77. https://doi.org/10.1002/jppr.1303</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Raji Saheed O. Trihexyphenidyl abuse in psychiatric outpatient clinic of a general hospital in Northern Nigeria. J Addict Med Ther Sci 2020: 6(1):3–8. https://doi.org/10.17352/2455-3484.000029</w:t>
      </w:r>
    </w:p>
    <w:p>
      <w:pPr>
        <w:pStyle w:val="10"/>
        <w:numPr>
          <w:ilvl w:val="0"/>
          <w:numId w:val="2"/>
        </w:numPr>
        <w:spacing w:line="480" w:lineRule="auto"/>
        <w:rPr>
          <w:rStyle w:val="13"/>
          <w:rFonts w:ascii="Times New Roman" w:hAnsi="Times New Roman" w:cs="Times New Roman"/>
          <w:sz w:val="24"/>
          <w:szCs w:val="24"/>
        </w:rPr>
      </w:pPr>
      <w:r>
        <w:rPr>
          <w:rStyle w:val="13"/>
          <w:rFonts w:ascii="Times New Roman" w:hAnsi="Times New Roman" w:cs="Times New Roman"/>
          <w:color w:val="1C1D1E"/>
          <w:sz w:val="24"/>
          <w:szCs w:val="24"/>
        </w:rPr>
        <w:t>Sittironnarit G, Ames D, Bush A, Faux N, Flicker L, Foster J, Hilmer S, Lautenschlager N, Maruff P, Masters C, Martins R, Rowe C, Szoeke C, Ellis K. Effects of Anticholinergic Drugs on Cognitive Function in Older Australians: Results from the AIBL Study. Dement Geriatr Cogn Disord 2011: 31(3):173–178. https://doi.org/10.1159/000325171</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Novick D, Haro J, Bertsch J, Haddad P. Incidence of extrapyramidal symptoms and tardive dyskinesia in schizophrenia: thirty-six-month results from the European schizophrenia outpatient health outcomes study. J Clin Psychopharmacol 2021: 30(5):531–540. https://doi.org/10.1097/JCP.0b013e3181f14098</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Carrière I, Fourrier-Reglat A, Dartigues J, Rouaud O, Pasquier F, Ritchie K, Ancelin M. Drugs With Anticholinergic Properties, Cognitive Decline, and Dementia in an Elderly General Population: The 3-City Study. Arch InterN Med 2009: 169(14):1317–1324. https://doi.org/10.1001/archinternmed.2009.229</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Heinik J. Effects of Trihexyphenidyl on MMSE and CAMCOG Scores of Medicated Elderly Patients With Schizophrenia. Int Psychogeriatr 1998: 10(1):103–108. https://doi.org/10.1017/S1041610298005195</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Nishtala P, Salahudeen M, Hilmer S. Anticholinergics: theoretical and clinical overview. Expert Opin Drug Saf 2016: 15(6):753–69. https://doi.org/10.1517/14740338.2016.1165664</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Hsu W, Wen Y, Chen L, Hsiao F. Comparative Associations Between Measures of Anti-cholinergic Burden and Adverse Clinical Outcomes. Ann Fam Med 2017: 15(6):561–569. </w:t>
      </w:r>
      <w:r>
        <w:rPr>
          <w:rFonts w:ascii="Times New Roman" w:hAnsi="Times New Roman" w:eastAsia="Times New Roman" w:cs="Times New Roman"/>
          <w:sz w:val="24"/>
          <w:szCs w:val="24"/>
          <w:lang w:val="en"/>
        </w:rPr>
        <w:t>https://doi.org/10.1370/afm.2131</w:t>
      </w:r>
    </w:p>
    <w:p>
      <w:pPr>
        <w:pStyle w:val="10"/>
        <w:numPr>
          <w:ilvl w:val="0"/>
          <w:numId w:val="2"/>
        </w:numPr>
        <w:spacing w:line="480" w:lineRule="auto"/>
        <w:rPr>
          <w:rFonts w:ascii="Times New Roman" w:hAnsi="Times New Roman" w:cs="Times New Roman"/>
          <w:sz w:val="24"/>
          <w:szCs w:val="24"/>
        </w:rPr>
      </w:pPr>
      <w:r>
        <w:rPr>
          <w:rFonts w:ascii="Times New Roman" w:hAnsi="Times New Roman" w:eastAsia="Times New Roman" w:cs="Times New Roman"/>
          <w:sz w:val="24"/>
          <w:szCs w:val="24"/>
          <w:lang w:val="en"/>
        </w:rPr>
        <w:t>Gerretsen P</w:t>
      </w:r>
      <w:r>
        <w:rPr>
          <w:rFonts w:ascii="Times New Roman" w:hAnsi="Times New Roman" w:eastAsia="Times New Roman" w:cs="Times New Roman"/>
          <w:sz w:val="24"/>
          <w:szCs w:val="24"/>
          <w:lang w:val="en"/>
        </w:rPr>
        <w:t xml:space="preserve">, </w:t>
      </w:r>
      <w:r>
        <w:rPr>
          <w:rFonts w:ascii="Times New Roman" w:hAnsi="Times New Roman" w:eastAsia="Times New Roman" w:cs="Times New Roman"/>
          <w:sz w:val="24"/>
          <w:szCs w:val="24"/>
          <w:lang w:val="en"/>
        </w:rPr>
        <w:t>Pollock B.</w:t>
      </w:r>
      <w:r>
        <w:rPr>
          <w:rFonts w:ascii="Times New Roman" w:hAnsi="Times New Roman" w:eastAsia="Times New Roman" w:cs="Times New Roman"/>
          <w:sz w:val="24"/>
          <w:szCs w:val="24"/>
          <w:lang w:val="en"/>
        </w:rPr>
        <w:t xml:space="preserve"> </w:t>
      </w:r>
      <w:r>
        <w:rPr>
          <w:rFonts w:ascii="Times New Roman" w:hAnsi="Times New Roman" w:eastAsia="Times New Roman" w:cs="Times New Roman"/>
          <w:sz w:val="24"/>
          <w:szCs w:val="24"/>
          <w:lang w:val="en"/>
        </w:rPr>
        <w:t>Drugs with anticholinergic properties: a current perspective on use and safety</w:t>
      </w:r>
      <w:r>
        <w:rPr>
          <w:rFonts w:ascii="Times New Roman" w:hAnsi="Times New Roman" w:eastAsia="Times New Roman" w:cs="Times New Roman"/>
          <w:sz w:val="24"/>
          <w:szCs w:val="24"/>
          <w:lang w:val="en"/>
        </w:rPr>
        <w:t xml:space="preserve">. Expert Opin Drug Saf 2011: </w:t>
      </w:r>
      <w:r>
        <w:rPr>
          <w:rFonts w:ascii="Times New Roman" w:hAnsi="Times New Roman" w:eastAsia="Times New Roman" w:cs="Times New Roman"/>
          <w:sz w:val="24"/>
          <w:szCs w:val="24"/>
          <w:lang w:val="en"/>
        </w:rPr>
        <w:t>10</w:t>
      </w:r>
      <w:r>
        <w:rPr>
          <w:rFonts w:ascii="Times New Roman" w:hAnsi="Times New Roman" w:eastAsia="Times New Roman" w:cs="Times New Roman"/>
          <w:sz w:val="24"/>
          <w:szCs w:val="24"/>
          <w:lang w:val="en"/>
        </w:rPr>
        <w:t>(</w:t>
      </w:r>
      <w:r>
        <w:rPr>
          <w:rFonts w:ascii="Times New Roman" w:hAnsi="Times New Roman" w:eastAsia="Times New Roman" w:cs="Times New Roman"/>
          <w:sz w:val="24"/>
          <w:szCs w:val="24"/>
          <w:lang w:val="en"/>
        </w:rPr>
        <w:t>5</w:t>
      </w:r>
      <w:r>
        <w:rPr>
          <w:rFonts w:ascii="Times New Roman" w:hAnsi="Times New Roman" w:eastAsia="Times New Roman" w:cs="Times New Roman"/>
          <w:sz w:val="24"/>
          <w:szCs w:val="24"/>
          <w:lang w:val="en"/>
        </w:rPr>
        <w:t>):</w:t>
      </w:r>
      <w:r>
        <w:rPr>
          <w:rFonts w:ascii="Times New Roman" w:hAnsi="Times New Roman" w:eastAsia="Times New Roman" w:cs="Times New Roman"/>
          <w:sz w:val="24"/>
          <w:szCs w:val="24"/>
          <w:lang w:val="en"/>
        </w:rPr>
        <w:t>751</w:t>
      </w:r>
      <w:r>
        <w:rPr>
          <w:rFonts w:ascii="Times New Roman" w:hAnsi="Times New Roman" w:eastAsia="Times New Roman" w:cs="Times New Roman"/>
          <w:sz w:val="24"/>
          <w:szCs w:val="24"/>
          <w:lang w:val="en"/>
        </w:rPr>
        <w:t>–</w:t>
      </w:r>
      <w:r>
        <w:rPr>
          <w:rFonts w:ascii="Times New Roman" w:hAnsi="Times New Roman" w:eastAsia="Times New Roman" w:cs="Times New Roman"/>
          <w:sz w:val="24"/>
          <w:szCs w:val="24"/>
          <w:lang w:val="en"/>
        </w:rPr>
        <w:t>765</w:t>
      </w:r>
      <w:r>
        <w:rPr>
          <w:rFonts w:ascii="Times New Roman" w:hAnsi="Times New Roman" w:eastAsia="Times New Roman" w:cs="Times New Roman"/>
          <w:sz w:val="24"/>
          <w:szCs w:val="24"/>
          <w:lang w:val="en"/>
        </w:rPr>
        <w:t>. https://doi.org/10.1517/14740338.2011.579899</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Howland R. Potential adverse effects of discontinuing psychotropic drugs: part 1: Adrenergic, Cholinergic, and Histamine Drugs. J Psychosoc Nurs Ment Health Serv 2010: 48(6):11-4. https://doi.org/10.3928/02793695-20100506-01</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Giachetti A, Giraldo E, Ladinsky H, Montagna E. Binding and functional profiles of the selective M1 muscarinic receptor antagonists trihexyphenidyl and dicyclomine. Brit J Pharmacol 1986: 89(1):83–90. https://doi.org/10.1111/j.1476-5381.1986.tb11123.x</w:t>
      </w:r>
    </w:p>
    <w:p>
      <w:pPr>
        <w:pStyle w:val="10"/>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Sathienluckana T, Unaharassamee W, Suthisisang C, Suanchang O, Suansanae T. Anticholinergic discontinuation and cognitive functions in patients with schizophrenia: a pharmacist-physician collaboration in the outpatient department. Integr Pharm Res Pract 2018: 7:161–171. https://doi.org/10.2147/IPRP.S176653</w:t>
      </w:r>
    </w:p>
    <w:p>
      <w:pPr>
        <w:spacing w:line="480" w:lineRule="auto"/>
        <w:ind w:left="360"/>
        <w:rPr>
          <w:rFonts w:ascii="Times New Roman" w:hAnsi="Times New Roman" w:cs="Times New Roman"/>
          <w:sz w:val="24"/>
          <w:szCs w:val="24"/>
          <w:highlight w:val="yellow"/>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6721410"/>
      <w:docPartObj>
        <w:docPartGallery w:val="AutoText"/>
      </w:docPartObj>
    </w:sdtPr>
    <w:sdtContent>
      <w:p>
        <w:pPr>
          <w:pStyle w:val="3"/>
          <w:jc w:val="right"/>
        </w:pPr>
        <w:r>
          <w:fldChar w:fldCharType="begin"/>
        </w:r>
        <w:r>
          <w:instrText xml:space="preserve"> PAGE   \* MERGEFORMAT </w:instrText>
        </w:r>
        <w:r>
          <w:fldChar w:fldCharType="separate"/>
        </w:r>
        <w:r>
          <w:t>2</w:t>
        </w:r>
        <w:r>
          <w:fldChar w:fldCharType="end"/>
        </w:r>
      </w:p>
    </w:sdtContent>
  </w:sdt>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A20A1"/>
    <w:multiLevelType w:val="multilevel"/>
    <w:tmpl w:val="2D4A20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F363A75"/>
    <w:multiLevelType w:val="multilevel"/>
    <w:tmpl w:val="3F363A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EC"/>
    <w:rsid w:val="00037534"/>
    <w:rsid w:val="00045D61"/>
    <w:rsid w:val="00081066"/>
    <w:rsid w:val="000911BE"/>
    <w:rsid w:val="000C134F"/>
    <w:rsid w:val="000D7D43"/>
    <w:rsid w:val="000F2619"/>
    <w:rsid w:val="001120E2"/>
    <w:rsid w:val="00127E1A"/>
    <w:rsid w:val="00150217"/>
    <w:rsid w:val="00171597"/>
    <w:rsid w:val="00195C99"/>
    <w:rsid w:val="001B197A"/>
    <w:rsid w:val="001C0BF3"/>
    <w:rsid w:val="001C7E54"/>
    <w:rsid w:val="001D4348"/>
    <w:rsid w:val="001D72E8"/>
    <w:rsid w:val="001F6D5D"/>
    <w:rsid w:val="00214273"/>
    <w:rsid w:val="00221B54"/>
    <w:rsid w:val="00231128"/>
    <w:rsid w:val="00234A3B"/>
    <w:rsid w:val="00271065"/>
    <w:rsid w:val="002711A7"/>
    <w:rsid w:val="0028643D"/>
    <w:rsid w:val="002A0005"/>
    <w:rsid w:val="002E1B25"/>
    <w:rsid w:val="002E2F5D"/>
    <w:rsid w:val="002E3ACE"/>
    <w:rsid w:val="002F40EC"/>
    <w:rsid w:val="0030615E"/>
    <w:rsid w:val="003101BA"/>
    <w:rsid w:val="00310412"/>
    <w:rsid w:val="003211EC"/>
    <w:rsid w:val="00332C8D"/>
    <w:rsid w:val="00337C7F"/>
    <w:rsid w:val="00355718"/>
    <w:rsid w:val="00366962"/>
    <w:rsid w:val="00373FAB"/>
    <w:rsid w:val="0039699A"/>
    <w:rsid w:val="003C54CD"/>
    <w:rsid w:val="003D2A88"/>
    <w:rsid w:val="00400900"/>
    <w:rsid w:val="00421E65"/>
    <w:rsid w:val="00436957"/>
    <w:rsid w:val="004447F4"/>
    <w:rsid w:val="004751BD"/>
    <w:rsid w:val="00496076"/>
    <w:rsid w:val="004C017C"/>
    <w:rsid w:val="004F5F11"/>
    <w:rsid w:val="00514D60"/>
    <w:rsid w:val="00520E7A"/>
    <w:rsid w:val="00533AE4"/>
    <w:rsid w:val="0054081A"/>
    <w:rsid w:val="00553801"/>
    <w:rsid w:val="005B5F8C"/>
    <w:rsid w:val="005D7E3A"/>
    <w:rsid w:val="005E44EC"/>
    <w:rsid w:val="005E4BFE"/>
    <w:rsid w:val="006319BC"/>
    <w:rsid w:val="00646149"/>
    <w:rsid w:val="00662E47"/>
    <w:rsid w:val="006648A4"/>
    <w:rsid w:val="00670656"/>
    <w:rsid w:val="0067571D"/>
    <w:rsid w:val="00681772"/>
    <w:rsid w:val="0068743B"/>
    <w:rsid w:val="00687999"/>
    <w:rsid w:val="006A3B50"/>
    <w:rsid w:val="006B4D1C"/>
    <w:rsid w:val="006E459B"/>
    <w:rsid w:val="00706B5E"/>
    <w:rsid w:val="007314B9"/>
    <w:rsid w:val="0075070B"/>
    <w:rsid w:val="007512E8"/>
    <w:rsid w:val="00757DB1"/>
    <w:rsid w:val="00781CA7"/>
    <w:rsid w:val="00781CFA"/>
    <w:rsid w:val="007843BF"/>
    <w:rsid w:val="00784B90"/>
    <w:rsid w:val="00785079"/>
    <w:rsid w:val="00792D3F"/>
    <w:rsid w:val="007B1827"/>
    <w:rsid w:val="008270AD"/>
    <w:rsid w:val="0083435E"/>
    <w:rsid w:val="0083570C"/>
    <w:rsid w:val="00854E0F"/>
    <w:rsid w:val="00862D47"/>
    <w:rsid w:val="008808F4"/>
    <w:rsid w:val="00882CA0"/>
    <w:rsid w:val="008C6412"/>
    <w:rsid w:val="009041E2"/>
    <w:rsid w:val="00916EA0"/>
    <w:rsid w:val="0092293C"/>
    <w:rsid w:val="00931898"/>
    <w:rsid w:val="00932D72"/>
    <w:rsid w:val="0093405E"/>
    <w:rsid w:val="00940405"/>
    <w:rsid w:val="00941E61"/>
    <w:rsid w:val="0095641D"/>
    <w:rsid w:val="00960116"/>
    <w:rsid w:val="00963A1B"/>
    <w:rsid w:val="009A28FB"/>
    <w:rsid w:val="009D666A"/>
    <w:rsid w:val="00A147B1"/>
    <w:rsid w:val="00A152C2"/>
    <w:rsid w:val="00A40668"/>
    <w:rsid w:val="00A43314"/>
    <w:rsid w:val="00AA3E80"/>
    <w:rsid w:val="00AA49F4"/>
    <w:rsid w:val="00AC0E65"/>
    <w:rsid w:val="00AF3BE7"/>
    <w:rsid w:val="00B001D9"/>
    <w:rsid w:val="00B01F9D"/>
    <w:rsid w:val="00B34329"/>
    <w:rsid w:val="00B377F2"/>
    <w:rsid w:val="00B515C5"/>
    <w:rsid w:val="00B911E4"/>
    <w:rsid w:val="00BA4F54"/>
    <w:rsid w:val="00BB7E7C"/>
    <w:rsid w:val="00BC071D"/>
    <w:rsid w:val="00BF3CA1"/>
    <w:rsid w:val="00C013BF"/>
    <w:rsid w:val="00C10183"/>
    <w:rsid w:val="00C1676B"/>
    <w:rsid w:val="00C24B87"/>
    <w:rsid w:val="00C424D9"/>
    <w:rsid w:val="00C81805"/>
    <w:rsid w:val="00C87E44"/>
    <w:rsid w:val="00CB50A1"/>
    <w:rsid w:val="00CE694D"/>
    <w:rsid w:val="00CE7ABC"/>
    <w:rsid w:val="00CF08EE"/>
    <w:rsid w:val="00CF3B30"/>
    <w:rsid w:val="00D04C67"/>
    <w:rsid w:val="00D21F7D"/>
    <w:rsid w:val="00D43F38"/>
    <w:rsid w:val="00D53650"/>
    <w:rsid w:val="00D57F0C"/>
    <w:rsid w:val="00D60D2C"/>
    <w:rsid w:val="00D62282"/>
    <w:rsid w:val="00D96E41"/>
    <w:rsid w:val="00E03986"/>
    <w:rsid w:val="00E04F7A"/>
    <w:rsid w:val="00E12522"/>
    <w:rsid w:val="00E12DD1"/>
    <w:rsid w:val="00E145B6"/>
    <w:rsid w:val="00E178E0"/>
    <w:rsid w:val="00E45307"/>
    <w:rsid w:val="00F04C2F"/>
    <w:rsid w:val="00F04E58"/>
    <w:rsid w:val="00F15F5C"/>
    <w:rsid w:val="00FD40A7"/>
    <w:rsid w:val="00FF135A"/>
    <w:rsid w:val="00FF29A2"/>
    <w:rsid w:val="00FF74F9"/>
    <w:rsid w:val="236B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29"/>
    <w:unhideWhenUsed/>
    <w:uiPriority w:val="99"/>
    <w:pPr>
      <w:tabs>
        <w:tab w:val="center" w:pos="4680"/>
        <w:tab w:val="right" w:pos="9360"/>
      </w:tabs>
      <w:spacing w:line="240" w:lineRule="auto"/>
    </w:pPr>
  </w:style>
  <w:style w:type="paragraph" w:styleId="3">
    <w:name w:val="header"/>
    <w:basedOn w:val="1"/>
    <w:link w:val="28"/>
    <w:unhideWhenUsed/>
    <w:qFormat/>
    <w:uiPriority w:val="99"/>
    <w:pPr>
      <w:tabs>
        <w:tab w:val="center" w:pos="4680"/>
        <w:tab w:val="right" w:pos="9360"/>
      </w:tabs>
      <w:spacing w:line="240" w:lineRule="auto"/>
    </w:pPr>
  </w:style>
  <w:style w:type="table" w:styleId="5">
    <w:name w:val="Table Grid"/>
    <w:basedOn w:val="4"/>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styleId="9">
    <w:name w:val="HTML Cite"/>
    <w:basedOn w:val="6"/>
    <w:semiHidden/>
    <w:unhideWhenUsed/>
    <w:uiPriority w:val="99"/>
    <w:rPr>
      <w:i/>
      <w:iCs/>
    </w:rPr>
  </w:style>
  <w:style w:type="paragraph" w:styleId="10">
    <w:name w:val="List Paragraph"/>
    <w:basedOn w:val="1"/>
    <w:qFormat/>
    <w:uiPriority w:val="34"/>
    <w:pPr>
      <w:ind w:left="720"/>
      <w:contextualSpacing/>
    </w:pPr>
  </w:style>
  <w:style w:type="character" w:customStyle="1" w:styleId="11">
    <w:name w:val="Unresolved Mention"/>
    <w:basedOn w:val="6"/>
    <w:semiHidden/>
    <w:unhideWhenUsed/>
    <w:qFormat/>
    <w:uiPriority w:val="99"/>
    <w:rPr>
      <w:color w:val="605E5C"/>
      <w:shd w:val="clear" w:color="auto" w:fill="E1DFDD"/>
    </w:rPr>
  </w:style>
  <w:style w:type="table" w:customStyle="1" w:styleId="12">
    <w:name w:val="Grid Table 4"/>
    <w:basedOn w:val="4"/>
    <w:uiPriority w:val="49"/>
    <w:pPr>
      <w:spacing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3">
    <w:name w:val="author"/>
    <w:basedOn w:val="6"/>
    <w:uiPriority w:val="0"/>
  </w:style>
  <w:style w:type="character" w:customStyle="1" w:styleId="14">
    <w:name w:val="articletitle"/>
    <w:basedOn w:val="6"/>
    <w:uiPriority w:val="0"/>
  </w:style>
  <w:style w:type="character" w:customStyle="1" w:styleId="15">
    <w:name w:val="pubyear"/>
    <w:basedOn w:val="6"/>
    <w:uiPriority w:val="0"/>
  </w:style>
  <w:style w:type="character" w:customStyle="1" w:styleId="16">
    <w:name w:val="vol"/>
    <w:basedOn w:val="6"/>
    <w:uiPriority w:val="0"/>
  </w:style>
  <w:style w:type="character" w:customStyle="1" w:styleId="17">
    <w:name w:val="pagefirst"/>
    <w:basedOn w:val="6"/>
    <w:qFormat/>
    <w:uiPriority w:val="0"/>
  </w:style>
  <w:style w:type="character" w:customStyle="1" w:styleId="18">
    <w:name w:val="pagelast"/>
    <w:basedOn w:val="6"/>
    <w:uiPriority w:val="0"/>
  </w:style>
  <w:style w:type="character" w:customStyle="1" w:styleId="19">
    <w:name w:val="cit-auth"/>
    <w:basedOn w:val="6"/>
    <w:uiPriority w:val="0"/>
    <w:rPr>
      <w:sz w:val="24"/>
      <w:szCs w:val="24"/>
      <w:vertAlign w:val="baseline"/>
    </w:rPr>
  </w:style>
  <w:style w:type="character" w:customStyle="1" w:styleId="20">
    <w:name w:val="cit-name-surname"/>
    <w:basedOn w:val="6"/>
    <w:uiPriority w:val="0"/>
    <w:rPr>
      <w:sz w:val="24"/>
      <w:szCs w:val="24"/>
      <w:vertAlign w:val="baseline"/>
    </w:rPr>
  </w:style>
  <w:style w:type="character" w:customStyle="1" w:styleId="21">
    <w:name w:val="cit-name-given-names"/>
    <w:basedOn w:val="6"/>
    <w:uiPriority w:val="0"/>
    <w:rPr>
      <w:sz w:val="24"/>
      <w:szCs w:val="24"/>
      <w:vertAlign w:val="baseline"/>
    </w:rPr>
  </w:style>
  <w:style w:type="character" w:customStyle="1" w:styleId="22">
    <w:name w:val="cit-article-title"/>
    <w:basedOn w:val="6"/>
    <w:uiPriority w:val="0"/>
    <w:rPr>
      <w:sz w:val="24"/>
      <w:szCs w:val="24"/>
      <w:vertAlign w:val="baseline"/>
    </w:rPr>
  </w:style>
  <w:style w:type="character" w:customStyle="1" w:styleId="23">
    <w:name w:val="cit-pub-date"/>
    <w:basedOn w:val="6"/>
    <w:uiPriority w:val="0"/>
    <w:rPr>
      <w:sz w:val="24"/>
      <w:szCs w:val="24"/>
      <w:vertAlign w:val="baseline"/>
    </w:rPr>
  </w:style>
  <w:style w:type="character" w:customStyle="1" w:styleId="24">
    <w:name w:val="cit-vol2"/>
    <w:basedOn w:val="6"/>
    <w:uiPriority w:val="0"/>
    <w:rPr>
      <w:sz w:val="24"/>
      <w:szCs w:val="24"/>
      <w:vertAlign w:val="baseline"/>
    </w:rPr>
  </w:style>
  <w:style w:type="character" w:customStyle="1" w:styleId="25">
    <w:name w:val="cit-issue"/>
    <w:basedOn w:val="6"/>
    <w:uiPriority w:val="0"/>
    <w:rPr>
      <w:sz w:val="24"/>
      <w:szCs w:val="24"/>
      <w:vertAlign w:val="baseline"/>
    </w:rPr>
  </w:style>
  <w:style w:type="character" w:customStyle="1" w:styleId="26">
    <w:name w:val="cit-fpage"/>
    <w:basedOn w:val="6"/>
    <w:uiPriority w:val="0"/>
    <w:rPr>
      <w:sz w:val="24"/>
      <w:szCs w:val="24"/>
      <w:vertAlign w:val="baseline"/>
    </w:rPr>
  </w:style>
  <w:style w:type="character" w:customStyle="1" w:styleId="27">
    <w:name w:val="cit-lpage"/>
    <w:basedOn w:val="6"/>
    <w:uiPriority w:val="0"/>
    <w:rPr>
      <w:sz w:val="24"/>
      <w:szCs w:val="24"/>
      <w:vertAlign w:val="baseline"/>
    </w:rPr>
  </w:style>
  <w:style w:type="character" w:customStyle="1" w:styleId="28">
    <w:name w:val="Header Char"/>
    <w:basedOn w:val="6"/>
    <w:link w:val="3"/>
    <w:uiPriority w:val="99"/>
  </w:style>
  <w:style w:type="character" w:customStyle="1" w:styleId="29">
    <w:name w:val="Footer Char"/>
    <w:basedOn w:val="6"/>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2344</Words>
  <Characters>13361</Characters>
  <Lines>111</Lines>
  <Paragraphs>31</Paragraphs>
  <TotalTime>222</TotalTime>
  <ScaleCrop>false</ScaleCrop>
  <LinksUpToDate>false</LinksUpToDate>
  <CharactersWithSpaces>15674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2021-03-09T14:17:00Z</dcterms:created>
  <dc:creator>Chehovich, Charisse B (OMH)</dc:creator>
  <cp:lastModifiedBy>lala</cp:lastModifiedBy>
  <cp:lastPrinted>2021-02-19T14:05:00Z</cp:lastPrinted>
  <dcterms:modified xsi:type="dcterms:W3CDTF">2021-03-15T00:46:01Z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