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47" w:rsidRPr="00D13F47" w:rsidRDefault="00D13F47" w:rsidP="002D72EC">
      <w:pPr>
        <w:spacing w:after="0" w:line="480" w:lineRule="auto"/>
        <w:rPr>
          <w:rFonts w:ascii="Times New Roman" w:hAnsi="Times New Roman" w:cs="Times New Roman"/>
          <w:b/>
          <w:sz w:val="24"/>
          <w:szCs w:val="24"/>
        </w:rPr>
      </w:pPr>
      <w:r w:rsidRPr="00D13F47">
        <w:rPr>
          <w:rFonts w:ascii="Times New Roman" w:hAnsi="Times New Roman" w:cs="Times New Roman"/>
          <w:b/>
          <w:sz w:val="24"/>
          <w:szCs w:val="24"/>
        </w:rPr>
        <w:t>Adverse Events of Special Interest (AESI) for Active Vaccine Safety Surveillance in Brunei</w:t>
      </w:r>
    </w:p>
    <w:p w:rsidR="00D13F47" w:rsidRDefault="00D13F47" w:rsidP="002D72EC">
      <w:pPr>
        <w:spacing w:after="0" w:line="480" w:lineRule="auto"/>
        <w:rPr>
          <w:rFonts w:ascii="Times New Roman" w:hAnsi="Times New Roman" w:cs="Times New Roman"/>
          <w:b/>
          <w:sz w:val="24"/>
          <w:szCs w:val="24"/>
        </w:rPr>
      </w:pPr>
      <w:r>
        <w:rPr>
          <w:rFonts w:ascii="Times New Roman" w:hAnsi="Times New Roman" w:cs="Times New Roman"/>
          <w:b/>
          <w:sz w:val="24"/>
          <w:szCs w:val="24"/>
        </w:rPr>
        <w:t>(Letter to the Editor)</w:t>
      </w:r>
    </w:p>
    <w:p w:rsidR="002D72EC" w:rsidRDefault="002D72EC" w:rsidP="002D72EC">
      <w:pPr>
        <w:spacing w:after="0" w:line="480" w:lineRule="auto"/>
        <w:rPr>
          <w:rFonts w:ascii="Times New Roman" w:hAnsi="Times New Roman" w:cs="Times New Roman"/>
          <w:sz w:val="24"/>
          <w:szCs w:val="24"/>
        </w:rPr>
      </w:pPr>
    </w:p>
    <w:p w:rsidR="002D72EC" w:rsidRDefault="002D72EC" w:rsidP="002D72EC">
      <w:pPr>
        <w:spacing w:after="0" w:line="480" w:lineRule="auto"/>
        <w:rPr>
          <w:rFonts w:ascii="Times New Roman" w:hAnsi="Times New Roman" w:cs="Times New Roman"/>
          <w:sz w:val="24"/>
          <w:szCs w:val="24"/>
        </w:rPr>
      </w:pPr>
      <w:r w:rsidRPr="002D72EC">
        <w:rPr>
          <w:rFonts w:ascii="Times New Roman" w:hAnsi="Times New Roman" w:cs="Times New Roman"/>
          <w:sz w:val="24"/>
          <w:szCs w:val="24"/>
        </w:rPr>
        <w:t>Short Running Title:</w:t>
      </w:r>
      <w:r>
        <w:rPr>
          <w:rFonts w:ascii="Times New Roman" w:hAnsi="Times New Roman" w:cs="Times New Roman"/>
          <w:sz w:val="24"/>
          <w:szCs w:val="24"/>
        </w:rPr>
        <w:t xml:space="preserve"> </w:t>
      </w:r>
      <w:r w:rsidRPr="002D72EC">
        <w:rPr>
          <w:rFonts w:ascii="Times New Roman" w:hAnsi="Times New Roman" w:cs="Times New Roman"/>
          <w:sz w:val="24"/>
          <w:szCs w:val="24"/>
        </w:rPr>
        <w:t>AESI for active vaccine safety surveillance in Brunei</w:t>
      </w:r>
    </w:p>
    <w:p w:rsidR="002D72EC" w:rsidRPr="002D72EC" w:rsidRDefault="002D72EC" w:rsidP="002D72EC">
      <w:pPr>
        <w:spacing w:after="0" w:line="480" w:lineRule="auto"/>
        <w:rPr>
          <w:rFonts w:ascii="Times New Roman" w:hAnsi="Times New Roman" w:cs="Times New Roman"/>
          <w:sz w:val="24"/>
          <w:szCs w:val="24"/>
        </w:rPr>
      </w:pPr>
    </w:p>
    <w:p w:rsidR="002D72EC" w:rsidRPr="002D72EC" w:rsidRDefault="002D72EC" w:rsidP="002D72EC">
      <w:pPr>
        <w:spacing w:after="0" w:line="480" w:lineRule="auto"/>
        <w:rPr>
          <w:rFonts w:ascii="Times New Roman" w:hAnsi="Times New Roman" w:cs="Times New Roman"/>
          <w:sz w:val="24"/>
          <w:szCs w:val="24"/>
        </w:rPr>
      </w:pPr>
      <w:r w:rsidRPr="002D72EC">
        <w:rPr>
          <w:rFonts w:ascii="Times New Roman" w:hAnsi="Times New Roman" w:cs="Times New Roman"/>
          <w:sz w:val="24"/>
          <w:szCs w:val="24"/>
        </w:rPr>
        <w:t>Author:</w:t>
      </w:r>
    </w:p>
    <w:p w:rsidR="002D72EC" w:rsidRPr="002D72EC" w:rsidRDefault="002D72EC" w:rsidP="002D72EC">
      <w:pPr>
        <w:spacing w:after="0" w:line="480" w:lineRule="auto"/>
        <w:rPr>
          <w:rFonts w:ascii="Times New Roman" w:hAnsi="Times New Roman" w:cs="Times New Roman"/>
          <w:sz w:val="24"/>
          <w:szCs w:val="24"/>
        </w:rPr>
      </w:pPr>
      <w:r w:rsidRPr="002D72EC">
        <w:rPr>
          <w:rFonts w:ascii="Times New Roman" w:hAnsi="Times New Roman" w:cs="Times New Roman"/>
          <w:sz w:val="24"/>
          <w:szCs w:val="24"/>
        </w:rPr>
        <w:t>Shyh Poh, TEO</w:t>
      </w:r>
    </w:p>
    <w:p w:rsidR="002D72EC" w:rsidRPr="002D72EC" w:rsidRDefault="002D72EC" w:rsidP="002D72EC">
      <w:pPr>
        <w:spacing w:after="0" w:line="480" w:lineRule="auto"/>
        <w:rPr>
          <w:rFonts w:ascii="Times New Roman" w:hAnsi="Times New Roman" w:cs="Times New Roman"/>
          <w:sz w:val="24"/>
          <w:szCs w:val="24"/>
        </w:rPr>
      </w:pPr>
    </w:p>
    <w:p w:rsidR="002D72EC" w:rsidRDefault="002D72EC" w:rsidP="002D72EC">
      <w:pPr>
        <w:spacing w:after="0" w:line="480" w:lineRule="auto"/>
        <w:rPr>
          <w:rFonts w:ascii="Times New Roman" w:hAnsi="Times New Roman" w:cs="Times New Roman"/>
          <w:sz w:val="24"/>
          <w:szCs w:val="24"/>
        </w:rPr>
      </w:pPr>
      <w:r w:rsidRPr="002D72EC">
        <w:rPr>
          <w:rFonts w:ascii="Times New Roman" w:hAnsi="Times New Roman" w:cs="Times New Roman"/>
          <w:sz w:val="24"/>
          <w:szCs w:val="24"/>
        </w:rPr>
        <w:t>Affiliation:</w:t>
      </w:r>
    </w:p>
    <w:p w:rsidR="002D72EC" w:rsidRDefault="002D72EC" w:rsidP="002D72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Internal Medicine, Raja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Saleha</w:t>
      </w:r>
      <w:proofErr w:type="spellEnd"/>
      <w:r>
        <w:rPr>
          <w:rFonts w:ascii="Times New Roman" w:hAnsi="Times New Roman" w:cs="Times New Roman"/>
          <w:sz w:val="24"/>
          <w:szCs w:val="24"/>
        </w:rPr>
        <w:t xml:space="preserve"> (RIPAS) Hospital, Brunei Darussalam.</w:t>
      </w:r>
    </w:p>
    <w:p w:rsidR="002D72EC" w:rsidRDefault="002D72EC" w:rsidP="002D72EC">
      <w:pPr>
        <w:spacing w:after="0" w:line="480" w:lineRule="auto"/>
        <w:rPr>
          <w:rFonts w:ascii="Times New Roman" w:hAnsi="Times New Roman" w:cs="Times New Roman"/>
          <w:sz w:val="24"/>
          <w:szCs w:val="24"/>
        </w:rPr>
      </w:pPr>
    </w:p>
    <w:p w:rsidR="002D72EC" w:rsidRDefault="002D72EC" w:rsidP="002D72EC">
      <w:pPr>
        <w:spacing w:after="0" w:line="480" w:lineRule="auto"/>
        <w:rPr>
          <w:rFonts w:ascii="Times New Roman" w:hAnsi="Times New Roman" w:cs="Times New Roman"/>
          <w:sz w:val="24"/>
          <w:szCs w:val="24"/>
        </w:rPr>
      </w:pPr>
      <w:r>
        <w:rPr>
          <w:rFonts w:ascii="Times New Roman" w:hAnsi="Times New Roman" w:cs="Times New Roman"/>
          <w:sz w:val="24"/>
          <w:szCs w:val="24"/>
        </w:rPr>
        <w:t>Corresponding Author Details:</w:t>
      </w:r>
    </w:p>
    <w:p w:rsidR="002D72EC" w:rsidRDefault="002D72EC" w:rsidP="002D72EC">
      <w:pPr>
        <w:spacing w:after="0" w:line="480" w:lineRule="auto"/>
        <w:rPr>
          <w:rFonts w:ascii="Times New Roman" w:hAnsi="Times New Roman" w:cs="Times New Roman"/>
          <w:sz w:val="24"/>
          <w:szCs w:val="24"/>
        </w:rPr>
      </w:pPr>
      <w:r>
        <w:rPr>
          <w:rFonts w:ascii="Times New Roman" w:hAnsi="Times New Roman" w:cs="Times New Roman"/>
          <w:sz w:val="24"/>
          <w:szCs w:val="24"/>
        </w:rPr>
        <w:t>Name: Dr Shyh Poh Teo</w:t>
      </w:r>
    </w:p>
    <w:p w:rsidR="002D72EC" w:rsidRDefault="002D72EC" w:rsidP="002D72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 xml:space="preserve">Department of Internal Medicine, Raja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Saleha</w:t>
      </w:r>
      <w:proofErr w:type="spellEnd"/>
      <w:r>
        <w:rPr>
          <w:rFonts w:ascii="Times New Roman" w:hAnsi="Times New Roman" w:cs="Times New Roman"/>
          <w:sz w:val="24"/>
          <w:szCs w:val="24"/>
        </w:rPr>
        <w:t xml:space="preserve"> (RIPAS) Hospital,</w:t>
      </w:r>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Putera</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Muhtadee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Billah</w:t>
      </w:r>
      <w:proofErr w:type="spellEnd"/>
      <w:r>
        <w:rPr>
          <w:rFonts w:ascii="Times New Roman" w:hAnsi="Times New Roman" w:cs="Times New Roman"/>
          <w:sz w:val="24"/>
          <w:szCs w:val="24"/>
        </w:rPr>
        <w:t>, Bandar Seri Begawan, BA1710,</w:t>
      </w:r>
      <w:r>
        <w:rPr>
          <w:rFonts w:ascii="Times New Roman" w:hAnsi="Times New Roman" w:cs="Times New Roman"/>
          <w:sz w:val="24"/>
          <w:szCs w:val="24"/>
        </w:rPr>
        <w:t xml:space="preserve"> Brunei Darussalam.</w:t>
      </w:r>
    </w:p>
    <w:p w:rsidR="002D72EC" w:rsidRDefault="002D72EC" w:rsidP="002D72EC">
      <w:pPr>
        <w:spacing w:after="0" w:line="480" w:lineRule="auto"/>
        <w:rPr>
          <w:rFonts w:ascii="Times New Roman" w:hAnsi="Times New Roman" w:cs="Times New Roman"/>
          <w:sz w:val="24"/>
          <w:szCs w:val="24"/>
        </w:rPr>
      </w:pPr>
      <w:r>
        <w:rPr>
          <w:rFonts w:ascii="Times New Roman" w:hAnsi="Times New Roman" w:cs="Times New Roman"/>
          <w:sz w:val="24"/>
          <w:szCs w:val="24"/>
        </w:rPr>
        <w:t>Phone: (+673) 2242424</w:t>
      </w:r>
    </w:p>
    <w:p w:rsidR="002D72EC" w:rsidRPr="002D72EC" w:rsidRDefault="002D72EC" w:rsidP="002D72EC">
      <w:pPr>
        <w:spacing w:after="0" w:line="480" w:lineRule="auto"/>
        <w:rPr>
          <w:rFonts w:ascii="Times New Roman" w:hAnsi="Times New Roman" w:cs="Times New Roman"/>
          <w:sz w:val="24"/>
          <w:szCs w:val="24"/>
        </w:rPr>
      </w:pPr>
      <w:r>
        <w:rPr>
          <w:rFonts w:ascii="Times New Roman" w:hAnsi="Times New Roman" w:cs="Times New Roman"/>
          <w:sz w:val="24"/>
          <w:szCs w:val="24"/>
        </w:rPr>
        <w:t>Email: shyhpoh.teo@moh.gov.bn</w:t>
      </w:r>
    </w:p>
    <w:p w:rsidR="002D72EC" w:rsidRDefault="002D72EC" w:rsidP="002D72EC">
      <w:pPr>
        <w:spacing w:after="0" w:line="480" w:lineRule="auto"/>
        <w:rPr>
          <w:rFonts w:ascii="Times New Roman" w:hAnsi="Times New Roman" w:cs="Times New Roman"/>
          <w:b/>
          <w:sz w:val="24"/>
          <w:szCs w:val="24"/>
        </w:rPr>
      </w:pPr>
    </w:p>
    <w:p w:rsidR="002D72EC" w:rsidRDefault="002D72EC" w:rsidP="002D72EC">
      <w:pPr>
        <w:spacing w:after="0" w:line="480" w:lineRule="auto"/>
        <w:rPr>
          <w:rFonts w:ascii="Times New Roman" w:hAnsi="Times New Roman" w:cs="Times New Roman"/>
          <w:b/>
          <w:sz w:val="24"/>
          <w:szCs w:val="24"/>
        </w:rPr>
      </w:pPr>
      <w:r>
        <w:rPr>
          <w:rFonts w:ascii="Times New Roman" w:hAnsi="Times New Roman" w:cs="Times New Roman"/>
          <w:b/>
          <w:sz w:val="24"/>
          <w:szCs w:val="24"/>
        </w:rPr>
        <w:t>Declarations:</w:t>
      </w:r>
    </w:p>
    <w:p w:rsidR="002D72EC" w:rsidRPr="002D72EC" w:rsidRDefault="002D72EC" w:rsidP="002D72EC">
      <w:pPr>
        <w:spacing w:after="0" w:line="480" w:lineRule="auto"/>
        <w:rPr>
          <w:rFonts w:ascii="Times New Roman" w:hAnsi="Times New Roman" w:cs="Times New Roman"/>
          <w:sz w:val="24"/>
          <w:szCs w:val="24"/>
        </w:rPr>
      </w:pPr>
      <w:r w:rsidRPr="002D72EC">
        <w:rPr>
          <w:rFonts w:ascii="Times New Roman" w:hAnsi="Times New Roman" w:cs="Times New Roman"/>
          <w:sz w:val="24"/>
          <w:szCs w:val="24"/>
        </w:rPr>
        <w:t>The author has no conflicts of interests to declare.</w:t>
      </w:r>
    </w:p>
    <w:p w:rsidR="002D72EC" w:rsidRDefault="002D72EC" w:rsidP="002D72EC">
      <w:pPr>
        <w:spacing w:after="0" w:line="480" w:lineRule="auto"/>
        <w:rPr>
          <w:rFonts w:ascii="Times New Roman" w:hAnsi="Times New Roman" w:cs="Times New Roman"/>
          <w:sz w:val="24"/>
          <w:szCs w:val="24"/>
        </w:rPr>
      </w:pPr>
      <w:r w:rsidRPr="002D72EC">
        <w:rPr>
          <w:rFonts w:ascii="Times New Roman" w:hAnsi="Times New Roman" w:cs="Times New Roman"/>
          <w:sz w:val="24"/>
          <w:szCs w:val="24"/>
        </w:rPr>
        <w:t>No funds were obtained for production of this manuscript.</w:t>
      </w:r>
    </w:p>
    <w:p w:rsidR="002D72EC" w:rsidRDefault="002D72EC" w:rsidP="002D72EC">
      <w:pPr>
        <w:spacing w:after="0" w:line="480" w:lineRule="auto"/>
        <w:rPr>
          <w:rFonts w:ascii="Times New Roman" w:hAnsi="Times New Roman" w:cs="Times New Roman"/>
          <w:sz w:val="24"/>
          <w:szCs w:val="24"/>
        </w:rPr>
      </w:pPr>
      <w:r>
        <w:rPr>
          <w:rFonts w:ascii="Times New Roman" w:hAnsi="Times New Roman" w:cs="Times New Roman"/>
          <w:sz w:val="24"/>
          <w:szCs w:val="24"/>
        </w:rPr>
        <w:t>This manuscript has not been submitted elsewhere for consideration of publication.</w:t>
      </w:r>
    </w:p>
    <w:p w:rsidR="00515BD9" w:rsidRPr="00D13F47" w:rsidRDefault="00515BD9" w:rsidP="00D13F47">
      <w:pPr>
        <w:spacing w:after="0" w:line="480" w:lineRule="auto"/>
        <w:rPr>
          <w:rFonts w:ascii="Times New Roman" w:hAnsi="Times New Roman" w:cs="Times New Roman"/>
          <w:b/>
          <w:sz w:val="24"/>
          <w:szCs w:val="24"/>
        </w:rPr>
      </w:pPr>
      <w:r w:rsidRPr="00D13F47">
        <w:rPr>
          <w:rFonts w:ascii="Times New Roman" w:hAnsi="Times New Roman" w:cs="Times New Roman"/>
          <w:b/>
          <w:sz w:val="24"/>
          <w:szCs w:val="24"/>
        </w:rPr>
        <w:lastRenderedPageBreak/>
        <w:t xml:space="preserve">Adverse Events of Special Interest (AESI) </w:t>
      </w:r>
      <w:r w:rsidR="00D13F47" w:rsidRPr="00D13F47">
        <w:rPr>
          <w:rFonts w:ascii="Times New Roman" w:hAnsi="Times New Roman" w:cs="Times New Roman"/>
          <w:b/>
          <w:sz w:val="24"/>
          <w:szCs w:val="24"/>
        </w:rPr>
        <w:t xml:space="preserve">for </w:t>
      </w:r>
      <w:r w:rsidR="00806959" w:rsidRPr="00D13F47">
        <w:rPr>
          <w:rFonts w:ascii="Times New Roman" w:hAnsi="Times New Roman" w:cs="Times New Roman"/>
          <w:b/>
          <w:sz w:val="24"/>
          <w:szCs w:val="24"/>
        </w:rPr>
        <w:t>Active</w:t>
      </w:r>
      <w:r w:rsidR="00806959" w:rsidRPr="00D13F47">
        <w:rPr>
          <w:rFonts w:ascii="Times New Roman" w:hAnsi="Times New Roman" w:cs="Times New Roman"/>
          <w:b/>
          <w:sz w:val="24"/>
          <w:szCs w:val="24"/>
        </w:rPr>
        <w:t xml:space="preserve"> Vaccine Safety Surveillance</w:t>
      </w:r>
      <w:r w:rsidR="00D13F47" w:rsidRPr="00D13F47">
        <w:rPr>
          <w:rFonts w:ascii="Times New Roman" w:hAnsi="Times New Roman" w:cs="Times New Roman"/>
          <w:b/>
          <w:sz w:val="24"/>
          <w:szCs w:val="24"/>
        </w:rPr>
        <w:t xml:space="preserve"> in Brunei</w:t>
      </w:r>
    </w:p>
    <w:p w:rsidR="00515BD9" w:rsidRPr="00D13F47" w:rsidRDefault="00515BD9" w:rsidP="00D13F47">
      <w:pPr>
        <w:spacing w:after="0" w:line="480" w:lineRule="auto"/>
        <w:rPr>
          <w:rFonts w:ascii="Times New Roman" w:hAnsi="Times New Roman" w:cs="Times New Roman"/>
          <w:sz w:val="24"/>
          <w:szCs w:val="24"/>
        </w:rPr>
      </w:pPr>
    </w:p>
    <w:p w:rsidR="00515BD9" w:rsidRPr="00D13F47" w:rsidRDefault="00515BD9"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 xml:space="preserve">The introduction of COVID-19 vaccines requires systematic approaches for collecting safety data and details of adverse events following immunisation (AEFI). </w:t>
      </w:r>
      <w:r w:rsidRPr="00D13F47">
        <w:rPr>
          <w:rFonts w:ascii="Times New Roman" w:hAnsi="Times New Roman" w:cs="Times New Roman"/>
          <w:sz w:val="24"/>
          <w:szCs w:val="24"/>
        </w:rPr>
        <w:t>This requires clinicians to proactively report suspected AEFI to their national pharmacovigilance centres. However, it is known that g</w:t>
      </w:r>
      <w:r w:rsidRPr="00D13F47">
        <w:rPr>
          <w:rFonts w:ascii="Times New Roman" w:hAnsi="Times New Roman" w:cs="Times New Roman"/>
          <w:sz w:val="24"/>
          <w:szCs w:val="24"/>
        </w:rPr>
        <w:t>lobally, there is a need to improve AEFI reporting to improve the capacity of detecting and managing vaccine safety issues, particularly in low and middle-income countries</w:t>
      </w:r>
      <w:r w:rsidRPr="00D13F47">
        <w:rPr>
          <w:rFonts w:ascii="Times New Roman" w:hAnsi="Times New Roman" w:cs="Times New Roman"/>
          <w:sz w:val="24"/>
          <w:szCs w:val="24"/>
        </w:rPr>
        <w:t xml:space="preserve"> [1]</w:t>
      </w:r>
      <w:r w:rsidRPr="00D13F47">
        <w:rPr>
          <w:rFonts w:ascii="Times New Roman" w:hAnsi="Times New Roman" w:cs="Times New Roman"/>
          <w:sz w:val="24"/>
          <w:szCs w:val="24"/>
        </w:rPr>
        <w:t xml:space="preserve">.  </w:t>
      </w:r>
    </w:p>
    <w:p w:rsidR="00515BD9" w:rsidRPr="00D13F47" w:rsidRDefault="00515BD9" w:rsidP="00D13F47">
      <w:pPr>
        <w:spacing w:after="0" w:line="480" w:lineRule="auto"/>
        <w:rPr>
          <w:rFonts w:ascii="Times New Roman" w:hAnsi="Times New Roman" w:cs="Times New Roman"/>
          <w:sz w:val="24"/>
          <w:szCs w:val="24"/>
        </w:rPr>
      </w:pPr>
    </w:p>
    <w:p w:rsidR="008B78E6" w:rsidRPr="00D13F47" w:rsidRDefault="00515BD9"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For mass-vaccinati</w:t>
      </w:r>
      <w:r w:rsidR="008B78E6" w:rsidRPr="00D13F47">
        <w:rPr>
          <w:rFonts w:ascii="Times New Roman" w:hAnsi="Times New Roman" w:cs="Times New Roman"/>
          <w:sz w:val="24"/>
          <w:szCs w:val="24"/>
        </w:rPr>
        <w:t>on programmes of novel vaccines (such as the COVID-19 vaccines),</w:t>
      </w:r>
      <w:r w:rsidRPr="00D13F47">
        <w:rPr>
          <w:rFonts w:ascii="Times New Roman" w:hAnsi="Times New Roman" w:cs="Times New Roman"/>
          <w:sz w:val="24"/>
          <w:szCs w:val="24"/>
        </w:rPr>
        <w:t xml:space="preserve"> active vaccine safety surveillance is an important consideration. This collects relevant data from all individuals within a well-defined population, minimizing under-reporting. This may help with signal detection of potential AEFI attributed to the vaccine, as well as relative risk and rates of the events. This strategy was used during a mass-vaccination campaign of a meningococcal A conjugate vaccine in Burkina Faso, identifying a rate of 12.83 AEFI cases per 100,000 vaccine recipients. While there were frequent reports of convulsions, urticarial and bronchospasm, these attack rates were similar to baseline rates in the same population over a simila</w:t>
      </w:r>
      <w:r w:rsidR="008B78E6" w:rsidRPr="00D13F47">
        <w:rPr>
          <w:rFonts w:ascii="Times New Roman" w:hAnsi="Times New Roman" w:cs="Times New Roman"/>
          <w:sz w:val="24"/>
          <w:szCs w:val="24"/>
        </w:rPr>
        <w:t xml:space="preserve">r time period a year earlier [2]. As there was no increase in incidence of these symptoms of concern after the immunisation programme, it is less likely that these side effects were due to the vaccine. Thus, it is important to monitor for baseline rates of specific conditions to assist with signal detection and causality assessment for issues arising post-vaccination. </w:t>
      </w:r>
    </w:p>
    <w:p w:rsidR="00515BD9" w:rsidRPr="00D13F47" w:rsidRDefault="00515BD9" w:rsidP="00D13F47">
      <w:pPr>
        <w:spacing w:after="0" w:line="480" w:lineRule="auto"/>
        <w:rPr>
          <w:rFonts w:ascii="Times New Roman" w:hAnsi="Times New Roman" w:cs="Times New Roman"/>
          <w:sz w:val="24"/>
          <w:szCs w:val="24"/>
        </w:rPr>
      </w:pPr>
    </w:p>
    <w:p w:rsidR="00515BD9" w:rsidRPr="00D13F47" w:rsidRDefault="008B78E6"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lastRenderedPageBreak/>
        <w:t>These conditions are called</w:t>
      </w:r>
      <w:r w:rsidR="00515BD9" w:rsidRPr="00D13F47">
        <w:rPr>
          <w:rFonts w:ascii="Times New Roman" w:hAnsi="Times New Roman" w:cs="Times New Roman"/>
          <w:sz w:val="24"/>
          <w:szCs w:val="24"/>
        </w:rPr>
        <w:t xml:space="preserve"> adverse events of special interest (AESI)</w:t>
      </w:r>
      <w:r w:rsidRPr="00D13F47">
        <w:rPr>
          <w:rFonts w:ascii="Times New Roman" w:hAnsi="Times New Roman" w:cs="Times New Roman"/>
          <w:sz w:val="24"/>
          <w:szCs w:val="24"/>
        </w:rPr>
        <w:t>, which can be</w:t>
      </w:r>
      <w:r w:rsidR="00515BD9" w:rsidRPr="00D13F47">
        <w:rPr>
          <w:rFonts w:ascii="Times New Roman" w:hAnsi="Times New Roman" w:cs="Times New Roman"/>
          <w:sz w:val="24"/>
          <w:szCs w:val="24"/>
        </w:rPr>
        <w:t xml:space="preserve"> identified through a pro-active approach, reported, investigated and analysed to identify signals of potential harm. An AESI is defined as a ‘pre-specified medically significant event that has the potential to be causally associated with a vaccine product that needs to be carefully monitored and confirmed by further special studies’. These are shortlisted based on associations with immunisations, vaccine platforms or adjuvants, or theoretical concerns based on immunology or pre-c</w:t>
      </w:r>
      <w:r w:rsidRPr="00D13F47">
        <w:rPr>
          <w:rFonts w:ascii="Times New Roman" w:hAnsi="Times New Roman" w:cs="Times New Roman"/>
          <w:sz w:val="24"/>
          <w:szCs w:val="24"/>
        </w:rPr>
        <w:t>linical studies</w:t>
      </w:r>
      <w:r w:rsidR="00806959" w:rsidRPr="00D13F47">
        <w:rPr>
          <w:rFonts w:ascii="Times New Roman" w:hAnsi="Times New Roman" w:cs="Times New Roman"/>
          <w:sz w:val="24"/>
          <w:szCs w:val="24"/>
        </w:rPr>
        <w:t>.</w:t>
      </w:r>
      <w:r w:rsidRPr="00D13F47">
        <w:rPr>
          <w:rFonts w:ascii="Times New Roman" w:hAnsi="Times New Roman" w:cs="Times New Roman"/>
          <w:sz w:val="24"/>
          <w:szCs w:val="24"/>
        </w:rPr>
        <w:t xml:space="preserve"> </w:t>
      </w:r>
      <w:r w:rsidR="00806959" w:rsidRPr="00D13F47">
        <w:rPr>
          <w:rFonts w:ascii="Times New Roman" w:hAnsi="Times New Roman" w:cs="Times New Roman"/>
          <w:sz w:val="24"/>
          <w:szCs w:val="24"/>
        </w:rPr>
        <w:t xml:space="preserve">AESI conditions include anaphylaxis, generalized convulsions, Guillain-Barre syndrome, meningoencephalitis, coagulation disorders, aseptic arthritis and cutaneous vasculitis </w:t>
      </w:r>
      <w:r w:rsidR="00806959" w:rsidRPr="00D13F47">
        <w:rPr>
          <w:rFonts w:ascii="Times New Roman" w:hAnsi="Times New Roman" w:cs="Times New Roman"/>
          <w:sz w:val="24"/>
          <w:szCs w:val="24"/>
        </w:rPr>
        <w:t>[3]</w:t>
      </w:r>
      <w:r w:rsidRPr="00D13F47">
        <w:rPr>
          <w:rFonts w:ascii="Times New Roman" w:hAnsi="Times New Roman" w:cs="Times New Roman"/>
          <w:sz w:val="24"/>
          <w:szCs w:val="24"/>
        </w:rPr>
        <w:t>.</w:t>
      </w:r>
    </w:p>
    <w:p w:rsidR="00515BD9" w:rsidRPr="00D13F47" w:rsidRDefault="00515BD9" w:rsidP="00D13F47">
      <w:pPr>
        <w:spacing w:after="0" w:line="480" w:lineRule="auto"/>
        <w:rPr>
          <w:rFonts w:ascii="Times New Roman" w:hAnsi="Times New Roman" w:cs="Times New Roman"/>
          <w:sz w:val="24"/>
          <w:szCs w:val="24"/>
        </w:rPr>
      </w:pPr>
    </w:p>
    <w:p w:rsidR="00D13F47" w:rsidRPr="00D13F47" w:rsidRDefault="00806959"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B</w:t>
      </w:r>
      <w:r w:rsidR="009720A0" w:rsidRPr="00D13F47">
        <w:rPr>
          <w:rFonts w:ascii="Times New Roman" w:hAnsi="Times New Roman" w:cs="Times New Roman"/>
          <w:sz w:val="24"/>
          <w:szCs w:val="24"/>
        </w:rPr>
        <w:t>runei is a small country with a population of over 420000 people [4]. T</w:t>
      </w:r>
      <w:r w:rsidRPr="00D13F47">
        <w:rPr>
          <w:rFonts w:ascii="Times New Roman" w:hAnsi="Times New Roman" w:cs="Times New Roman"/>
          <w:sz w:val="24"/>
          <w:szCs w:val="24"/>
        </w:rPr>
        <w:t>he national electronic clinical records system (</w:t>
      </w:r>
      <w:proofErr w:type="spellStart"/>
      <w:r w:rsidRPr="00D13F47">
        <w:rPr>
          <w:rFonts w:ascii="Times New Roman" w:hAnsi="Times New Roman" w:cs="Times New Roman"/>
          <w:sz w:val="24"/>
          <w:szCs w:val="24"/>
        </w:rPr>
        <w:t>Bru</w:t>
      </w:r>
      <w:proofErr w:type="spellEnd"/>
      <w:r w:rsidRPr="00D13F47">
        <w:rPr>
          <w:rFonts w:ascii="Times New Roman" w:hAnsi="Times New Roman" w:cs="Times New Roman"/>
          <w:sz w:val="24"/>
          <w:szCs w:val="24"/>
        </w:rPr>
        <w:t xml:space="preserve">-HIMS) was used to obtain the baseline rates of specific AESI, which will be monitored after vaccine roll-out. </w:t>
      </w:r>
      <w:r w:rsidR="00D13F47" w:rsidRPr="00D13F47">
        <w:rPr>
          <w:rFonts w:ascii="Times New Roman" w:hAnsi="Times New Roman" w:cs="Times New Roman"/>
          <w:sz w:val="24"/>
          <w:szCs w:val="24"/>
        </w:rPr>
        <w:t xml:space="preserve">Figure 1 illustrates the number of patients with selected AESI for the years 2018-2020, with approximate baseline rates that can be appreciated. Note that for neurological conditions such as encephalomyelitis and Guillain-Barre syndrome, the reduced rates in 2020 can be explained by the national neurology service being moved to a different centre, with delayed implementation of the </w:t>
      </w:r>
      <w:proofErr w:type="spellStart"/>
      <w:r w:rsidR="00D13F47" w:rsidRPr="00D13F47">
        <w:rPr>
          <w:rFonts w:ascii="Times New Roman" w:hAnsi="Times New Roman" w:cs="Times New Roman"/>
          <w:sz w:val="24"/>
          <w:szCs w:val="24"/>
        </w:rPr>
        <w:t>Bru</w:t>
      </w:r>
      <w:proofErr w:type="spellEnd"/>
      <w:r w:rsidR="00D13F47" w:rsidRPr="00D13F47">
        <w:rPr>
          <w:rFonts w:ascii="Times New Roman" w:hAnsi="Times New Roman" w:cs="Times New Roman"/>
          <w:sz w:val="24"/>
          <w:szCs w:val="24"/>
        </w:rPr>
        <w:t xml:space="preserve">-HIMS system. For the national population of 420000, it is expected that there will be approximately 10 patients with encephalomyelitis, 30 with anaphylaxis, 20 with erythema </w:t>
      </w:r>
      <w:proofErr w:type="spellStart"/>
      <w:r w:rsidR="00D13F47" w:rsidRPr="00D13F47">
        <w:rPr>
          <w:rFonts w:ascii="Times New Roman" w:hAnsi="Times New Roman" w:cs="Times New Roman"/>
          <w:sz w:val="24"/>
          <w:szCs w:val="24"/>
        </w:rPr>
        <w:t>multiforme</w:t>
      </w:r>
      <w:proofErr w:type="spellEnd"/>
      <w:r w:rsidR="00D13F47" w:rsidRPr="00D13F47">
        <w:rPr>
          <w:rFonts w:ascii="Times New Roman" w:hAnsi="Times New Roman" w:cs="Times New Roman"/>
          <w:sz w:val="24"/>
          <w:szCs w:val="24"/>
        </w:rPr>
        <w:t xml:space="preserve">, 30 with cutaneous vasculitis and 10 with Guillain-Barre syndrome annually. Any significant increase in baseline rates for these AESI in 2021 may represent a signal of possible AEFI from COVID-19 vaccines. </w:t>
      </w:r>
    </w:p>
    <w:p w:rsidR="00806959" w:rsidRPr="00D13F47" w:rsidRDefault="00806959" w:rsidP="00D13F47">
      <w:pPr>
        <w:spacing w:after="0" w:line="480" w:lineRule="auto"/>
        <w:rPr>
          <w:rFonts w:ascii="Times New Roman" w:hAnsi="Times New Roman" w:cs="Times New Roman"/>
          <w:sz w:val="24"/>
          <w:szCs w:val="24"/>
        </w:rPr>
      </w:pPr>
    </w:p>
    <w:p w:rsidR="00515BD9" w:rsidRPr="00D13F47" w:rsidRDefault="00515BD9" w:rsidP="00D13F47">
      <w:pPr>
        <w:spacing w:after="0" w:line="480" w:lineRule="auto"/>
        <w:rPr>
          <w:rFonts w:ascii="Times New Roman" w:hAnsi="Times New Roman" w:cs="Times New Roman"/>
          <w:sz w:val="24"/>
          <w:szCs w:val="24"/>
        </w:rPr>
      </w:pPr>
    </w:p>
    <w:p w:rsidR="00515BD9" w:rsidRPr="00D13F47" w:rsidRDefault="00515BD9" w:rsidP="00D13F47">
      <w:pPr>
        <w:spacing w:after="0" w:line="480" w:lineRule="auto"/>
        <w:rPr>
          <w:rFonts w:ascii="Times New Roman" w:hAnsi="Times New Roman" w:cs="Times New Roman"/>
          <w:sz w:val="24"/>
          <w:szCs w:val="24"/>
        </w:rPr>
      </w:pPr>
      <w:r w:rsidRPr="00D13F47">
        <w:rPr>
          <w:rFonts w:ascii="Times New Roman" w:hAnsi="Times New Roman" w:cs="Times New Roman"/>
          <w:noProof/>
          <w:sz w:val="24"/>
          <w:szCs w:val="24"/>
        </w:rPr>
        <w:lastRenderedPageBreak/>
        <w:drawing>
          <wp:inline distT="0" distB="0" distL="0" distR="0" wp14:anchorId="4F1A4B09" wp14:editId="3EBD79C0">
            <wp:extent cx="5943600" cy="3399416"/>
            <wp:effectExtent l="0" t="0" r="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3F47" w:rsidRDefault="00D13F47" w:rsidP="00D13F47">
      <w:pPr>
        <w:spacing w:after="0" w:line="480" w:lineRule="auto"/>
        <w:rPr>
          <w:rFonts w:ascii="Times New Roman" w:hAnsi="Times New Roman" w:cs="Times New Roman"/>
          <w:sz w:val="24"/>
          <w:szCs w:val="24"/>
        </w:rPr>
      </w:pPr>
      <w:r>
        <w:rPr>
          <w:rFonts w:ascii="Times New Roman" w:hAnsi="Times New Roman" w:cs="Times New Roman"/>
          <w:sz w:val="24"/>
          <w:szCs w:val="24"/>
        </w:rPr>
        <w:t>Figure 1: Number of patients and selected adverse events of special interest (AESI) for 2018 to 2020</w:t>
      </w:r>
    </w:p>
    <w:p w:rsidR="00D13F47" w:rsidRDefault="00D13F47" w:rsidP="00D13F47">
      <w:pPr>
        <w:spacing w:after="0" w:line="480" w:lineRule="auto"/>
        <w:rPr>
          <w:rFonts w:ascii="Times New Roman" w:hAnsi="Times New Roman" w:cs="Times New Roman"/>
          <w:sz w:val="24"/>
          <w:szCs w:val="24"/>
        </w:rPr>
      </w:pPr>
    </w:p>
    <w:p w:rsidR="00515BD9" w:rsidRPr="00D13F47" w:rsidRDefault="009936B1"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Another consideration for AESI is to evaluate the accuracy of the diagnosis. The Brighton Collaboration provides case definitions and guideli</w:t>
      </w:r>
      <w:r w:rsidR="00C5190B" w:rsidRPr="00D13F47">
        <w:rPr>
          <w:rFonts w:ascii="Times New Roman" w:hAnsi="Times New Roman" w:cs="Times New Roman"/>
          <w:sz w:val="24"/>
          <w:szCs w:val="24"/>
        </w:rPr>
        <w:t xml:space="preserve">nes to ensure that investigations of AESI will only include patients with correct diagnoses. For example, if anaphylaxis AESI requires further evaluation, a case definition is available, which outlines major and minor criteria, as well as levels of diagnostic certainty [5]. </w:t>
      </w:r>
    </w:p>
    <w:p w:rsidR="00515BD9" w:rsidRPr="00D13F47" w:rsidRDefault="00515BD9" w:rsidP="00D13F47">
      <w:pPr>
        <w:spacing w:after="0" w:line="480" w:lineRule="auto"/>
        <w:rPr>
          <w:rFonts w:ascii="Times New Roman" w:hAnsi="Times New Roman" w:cs="Times New Roman"/>
          <w:sz w:val="24"/>
          <w:szCs w:val="24"/>
        </w:rPr>
      </w:pPr>
    </w:p>
    <w:p w:rsidR="00515BD9" w:rsidRPr="00D13F47" w:rsidRDefault="00C5190B"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 xml:space="preserve">For the 2020 data, there were </w:t>
      </w:r>
      <w:r w:rsidR="00515BD9" w:rsidRPr="00D13F47">
        <w:rPr>
          <w:rFonts w:ascii="Times New Roman" w:hAnsi="Times New Roman" w:cs="Times New Roman"/>
          <w:sz w:val="24"/>
          <w:szCs w:val="24"/>
        </w:rPr>
        <w:t>29 patients coded as an</w:t>
      </w:r>
      <w:r w:rsidRPr="00D13F47">
        <w:rPr>
          <w:rFonts w:ascii="Times New Roman" w:hAnsi="Times New Roman" w:cs="Times New Roman"/>
          <w:sz w:val="24"/>
          <w:szCs w:val="24"/>
        </w:rPr>
        <w:t>aphylaxis. There we</w:t>
      </w:r>
      <w:r w:rsidR="00515BD9" w:rsidRPr="00D13F47">
        <w:rPr>
          <w:rFonts w:ascii="Times New Roman" w:hAnsi="Times New Roman" w:cs="Times New Roman"/>
          <w:sz w:val="24"/>
          <w:szCs w:val="24"/>
        </w:rPr>
        <w:t xml:space="preserve">re 14 (48.3%) males and 15 (51.7%) females. Among these, 15 had previous allergies and 14 had previous immunisations. Event classification according to Brighton Collaboration case definitions of </w:t>
      </w:r>
      <w:r w:rsidR="00515BD9" w:rsidRPr="00D13F47">
        <w:rPr>
          <w:rFonts w:ascii="Times New Roman" w:hAnsi="Times New Roman" w:cs="Times New Roman"/>
          <w:sz w:val="24"/>
          <w:szCs w:val="24"/>
        </w:rPr>
        <w:lastRenderedPageBreak/>
        <w:t>anaphylaxis are summarized in Table 1.</w:t>
      </w:r>
      <w:r w:rsidRPr="00D13F47">
        <w:rPr>
          <w:rFonts w:ascii="Times New Roman" w:hAnsi="Times New Roman" w:cs="Times New Roman"/>
          <w:sz w:val="24"/>
          <w:szCs w:val="24"/>
        </w:rPr>
        <w:t xml:space="preserve"> Overall, only 79.3% of the patients met Level 1 to 3 criteria for the diagnosis of anaphylaxis. </w:t>
      </w:r>
    </w:p>
    <w:p w:rsidR="00515BD9" w:rsidRDefault="00515BD9" w:rsidP="00D13F47">
      <w:pPr>
        <w:spacing w:after="0" w:line="480" w:lineRule="auto"/>
        <w:rPr>
          <w:rFonts w:ascii="Times New Roman" w:hAnsi="Times New Roman" w:cs="Times New Roman"/>
          <w:sz w:val="24"/>
          <w:szCs w:val="24"/>
        </w:rPr>
      </w:pPr>
    </w:p>
    <w:p w:rsidR="00D13F47" w:rsidRDefault="00D13F47" w:rsidP="00D13F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1: Event Classification for anaphylaxis cases in 2020 using Brighton Collaboration Case Definitions </w:t>
      </w:r>
    </w:p>
    <w:p w:rsidR="00D13F47" w:rsidRPr="00D13F47" w:rsidRDefault="00D13F47" w:rsidP="00D13F47">
      <w:pPr>
        <w:spacing w:after="0" w:line="48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6565"/>
        <w:gridCol w:w="2790"/>
      </w:tblGrid>
      <w:tr w:rsidR="00515BD9" w:rsidRPr="00D13F47" w:rsidTr="00F6184C">
        <w:tc>
          <w:tcPr>
            <w:tcW w:w="6565"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Event Classification</w:t>
            </w:r>
          </w:p>
        </w:tc>
        <w:tc>
          <w:tcPr>
            <w:tcW w:w="2790"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N (%)</w:t>
            </w:r>
          </w:p>
        </w:tc>
      </w:tr>
      <w:tr w:rsidR="00515BD9" w:rsidRPr="00D13F47" w:rsidTr="00F6184C">
        <w:tc>
          <w:tcPr>
            <w:tcW w:w="6565"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Level 1 criteria</w:t>
            </w:r>
          </w:p>
        </w:tc>
        <w:tc>
          <w:tcPr>
            <w:tcW w:w="2790"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15 (51.7%)</w:t>
            </w:r>
          </w:p>
        </w:tc>
      </w:tr>
      <w:tr w:rsidR="00515BD9" w:rsidRPr="00D13F47" w:rsidTr="00F6184C">
        <w:tc>
          <w:tcPr>
            <w:tcW w:w="6565"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Level 2 criteria</w:t>
            </w:r>
          </w:p>
        </w:tc>
        <w:tc>
          <w:tcPr>
            <w:tcW w:w="2790"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7 (24.1%)</w:t>
            </w:r>
          </w:p>
        </w:tc>
      </w:tr>
      <w:tr w:rsidR="00515BD9" w:rsidRPr="00D13F47" w:rsidTr="00F6184C">
        <w:tc>
          <w:tcPr>
            <w:tcW w:w="6565"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Level 3 criteria</w:t>
            </w:r>
          </w:p>
        </w:tc>
        <w:tc>
          <w:tcPr>
            <w:tcW w:w="2790"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1 (3.4%)</w:t>
            </w:r>
          </w:p>
        </w:tc>
      </w:tr>
      <w:tr w:rsidR="00515BD9" w:rsidRPr="00D13F47" w:rsidTr="00F6184C">
        <w:tc>
          <w:tcPr>
            <w:tcW w:w="6565"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Reported anaphylaxis but insufficient evidence to meet case definition</w:t>
            </w:r>
          </w:p>
        </w:tc>
        <w:tc>
          <w:tcPr>
            <w:tcW w:w="2790"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2 (6.9%)</w:t>
            </w:r>
          </w:p>
        </w:tc>
      </w:tr>
      <w:tr w:rsidR="00515BD9" w:rsidRPr="00D13F47" w:rsidTr="00F6184C">
        <w:tc>
          <w:tcPr>
            <w:tcW w:w="6565"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Not a case of anaphylaxis</w:t>
            </w:r>
          </w:p>
        </w:tc>
        <w:tc>
          <w:tcPr>
            <w:tcW w:w="2790"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2 (6.9%)</w:t>
            </w:r>
          </w:p>
        </w:tc>
      </w:tr>
      <w:tr w:rsidR="00515BD9" w:rsidRPr="00D13F47" w:rsidTr="00F6184C">
        <w:tc>
          <w:tcPr>
            <w:tcW w:w="6565"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Follow-up case (incident from previous years)</w:t>
            </w:r>
          </w:p>
        </w:tc>
        <w:tc>
          <w:tcPr>
            <w:tcW w:w="2790" w:type="dxa"/>
          </w:tcPr>
          <w:p w:rsidR="00515BD9" w:rsidRPr="00D13F47" w:rsidRDefault="00515BD9" w:rsidP="00D13F47">
            <w:pPr>
              <w:spacing w:line="480" w:lineRule="auto"/>
              <w:jc w:val="center"/>
              <w:rPr>
                <w:rFonts w:ascii="Times New Roman" w:hAnsi="Times New Roman" w:cs="Times New Roman"/>
                <w:sz w:val="24"/>
                <w:szCs w:val="24"/>
              </w:rPr>
            </w:pPr>
            <w:r w:rsidRPr="00D13F47">
              <w:rPr>
                <w:rFonts w:ascii="Times New Roman" w:hAnsi="Times New Roman" w:cs="Times New Roman"/>
                <w:sz w:val="24"/>
                <w:szCs w:val="24"/>
              </w:rPr>
              <w:t>2 (6.9%)</w:t>
            </w:r>
          </w:p>
        </w:tc>
      </w:tr>
    </w:tbl>
    <w:p w:rsidR="00806959" w:rsidRPr="00D13F47" w:rsidRDefault="00806959" w:rsidP="00D13F47">
      <w:pPr>
        <w:spacing w:after="0" w:line="480" w:lineRule="auto"/>
        <w:rPr>
          <w:rFonts w:ascii="Times New Roman" w:hAnsi="Times New Roman" w:cs="Times New Roman"/>
          <w:sz w:val="24"/>
          <w:szCs w:val="24"/>
        </w:rPr>
      </w:pPr>
    </w:p>
    <w:p w:rsidR="00C5190B" w:rsidRPr="00D13F47" w:rsidRDefault="00C5190B"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In summary, obtaining baseline rates of AESI is an important task for a</w:t>
      </w:r>
      <w:r w:rsidRPr="00D13F47">
        <w:rPr>
          <w:rFonts w:ascii="Times New Roman" w:hAnsi="Times New Roman" w:cs="Times New Roman"/>
          <w:sz w:val="24"/>
          <w:szCs w:val="24"/>
        </w:rPr>
        <w:t>ctive</w:t>
      </w:r>
      <w:r w:rsidRPr="00D13F47">
        <w:rPr>
          <w:rFonts w:ascii="Times New Roman" w:hAnsi="Times New Roman" w:cs="Times New Roman"/>
          <w:sz w:val="24"/>
          <w:szCs w:val="24"/>
        </w:rPr>
        <w:t xml:space="preserve"> vaccine s</w:t>
      </w:r>
      <w:r w:rsidRPr="00D13F47">
        <w:rPr>
          <w:rFonts w:ascii="Times New Roman" w:hAnsi="Times New Roman" w:cs="Times New Roman"/>
          <w:sz w:val="24"/>
          <w:szCs w:val="24"/>
        </w:rPr>
        <w:t>afet</w:t>
      </w:r>
      <w:r w:rsidRPr="00D13F47">
        <w:rPr>
          <w:rFonts w:ascii="Times New Roman" w:hAnsi="Times New Roman" w:cs="Times New Roman"/>
          <w:sz w:val="24"/>
          <w:szCs w:val="24"/>
        </w:rPr>
        <w:t>y s</w:t>
      </w:r>
      <w:r w:rsidRPr="00D13F47">
        <w:rPr>
          <w:rFonts w:ascii="Times New Roman" w:hAnsi="Times New Roman" w:cs="Times New Roman"/>
          <w:sz w:val="24"/>
          <w:szCs w:val="24"/>
        </w:rPr>
        <w:t>urveillance</w:t>
      </w:r>
      <w:r w:rsidRPr="00D13F47">
        <w:rPr>
          <w:rFonts w:ascii="Times New Roman" w:hAnsi="Times New Roman" w:cs="Times New Roman"/>
          <w:sz w:val="24"/>
          <w:szCs w:val="24"/>
        </w:rPr>
        <w:t xml:space="preserve"> to pick up potential signals of harm after introduction of COVID-19 vaccines. The feasibility of this in Brunei was illustrated using data obtained from national electronic health records in Brunei.</w:t>
      </w:r>
      <w:r w:rsidR="00D13F47" w:rsidRPr="00D13F47">
        <w:rPr>
          <w:rFonts w:ascii="Times New Roman" w:hAnsi="Times New Roman" w:cs="Times New Roman"/>
          <w:sz w:val="24"/>
          <w:szCs w:val="24"/>
        </w:rPr>
        <w:t xml:space="preserve"> If specific AESI warrants further investigation, it is crucial to ensure there is diagnostic certainty using case definitions before inclusion in case numbers. </w:t>
      </w:r>
      <w:r w:rsidRPr="00D13F47">
        <w:rPr>
          <w:rFonts w:ascii="Times New Roman" w:hAnsi="Times New Roman" w:cs="Times New Roman"/>
          <w:sz w:val="24"/>
          <w:szCs w:val="24"/>
        </w:rPr>
        <w:t xml:space="preserve">  </w:t>
      </w:r>
    </w:p>
    <w:p w:rsidR="00C5190B" w:rsidRPr="00D13F47" w:rsidRDefault="00C5190B" w:rsidP="00D13F47">
      <w:pPr>
        <w:spacing w:after="0" w:line="480" w:lineRule="auto"/>
        <w:rPr>
          <w:rFonts w:ascii="Times New Roman" w:hAnsi="Times New Roman" w:cs="Times New Roman"/>
          <w:sz w:val="24"/>
          <w:szCs w:val="24"/>
        </w:rPr>
      </w:pPr>
    </w:p>
    <w:p w:rsidR="00C5190B" w:rsidRPr="00D13F47" w:rsidRDefault="00C5190B" w:rsidP="00D13F47">
      <w:pPr>
        <w:spacing w:after="0" w:line="480" w:lineRule="auto"/>
        <w:rPr>
          <w:rFonts w:ascii="Times New Roman" w:hAnsi="Times New Roman" w:cs="Times New Roman"/>
          <w:sz w:val="24"/>
          <w:szCs w:val="24"/>
        </w:rPr>
      </w:pPr>
    </w:p>
    <w:p w:rsidR="00C5190B" w:rsidRPr="00D13F47" w:rsidRDefault="00C5190B" w:rsidP="00D13F47">
      <w:pPr>
        <w:spacing w:after="0" w:line="480" w:lineRule="auto"/>
        <w:rPr>
          <w:rFonts w:ascii="Times New Roman" w:hAnsi="Times New Roman" w:cs="Times New Roman"/>
          <w:sz w:val="24"/>
          <w:szCs w:val="24"/>
        </w:rPr>
      </w:pPr>
    </w:p>
    <w:p w:rsidR="00806959" w:rsidRDefault="00806959" w:rsidP="00D13F47">
      <w:pPr>
        <w:spacing w:after="0" w:line="480" w:lineRule="auto"/>
        <w:rPr>
          <w:rFonts w:ascii="Times New Roman" w:hAnsi="Times New Roman" w:cs="Times New Roman"/>
          <w:sz w:val="24"/>
          <w:szCs w:val="24"/>
        </w:rPr>
      </w:pPr>
      <w:r w:rsidRPr="00D13F47">
        <w:rPr>
          <w:rFonts w:ascii="Times New Roman" w:hAnsi="Times New Roman" w:cs="Times New Roman"/>
          <w:sz w:val="24"/>
          <w:szCs w:val="24"/>
        </w:rPr>
        <w:lastRenderedPageBreak/>
        <w:t>Referenc</w:t>
      </w:r>
      <w:bookmarkStart w:id="0" w:name="_GoBack"/>
      <w:bookmarkEnd w:id="0"/>
      <w:r w:rsidRPr="00D13F47">
        <w:rPr>
          <w:rFonts w:ascii="Times New Roman" w:hAnsi="Times New Roman" w:cs="Times New Roman"/>
          <w:sz w:val="24"/>
          <w:szCs w:val="24"/>
        </w:rPr>
        <w:t>es:</w:t>
      </w:r>
    </w:p>
    <w:p w:rsidR="00D13F47" w:rsidRPr="00D13F47" w:rsidRDefault="00D13F47" w:rsidP="00D13F47">
      <w:pPr>
        <w:spacing w:after="0" w:line="480" w:lineRule="auto"/>
        <w:rPr>
          <w:rFonts w:ascii="Times New Roman" w:hAnsi="Times New Roman" w:cs="Times New Roman"/>
          <w:sz w:val="24"/>
          <w:szCs w:val="24"/>
        </w:rPr>
      </w:pPr>
    </w:p>
    <w:p w:rsidR="00806959" w:rsidRPr="00D13F47" w:rsidRDefault="00806959" w:rsidP="00D13F47">
      <w:pPr>
        <w:pStyle w:val="ListParagraph"/>
        <w:numPr>
          <w:ilvl w:val="0"/>
          <w:numId w:val="1"/>
        </w:num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Lei J, Balakrishnan MR, Gidudu JF, Zuber PLF. Use of a new global indicator for vaccine safety surveillance and trends in adverse events following immunisation reporting 2000-2015. Vaccine 2018;36(12):1577-82. Doi: 10.1016/j.vaccine.2018.02.012</w:t>
      </w:r>
    </w:p>
    <w:p w:rsidR="00806959" w:rsidRPr="00D13F47" w:rsidRDefault="00806959" w:rsidP="00D13F47">
      <w:pPr>
        <w:spacing w:after="0" w:line="480" w:lineRule="auto"/>
        <w:rPr>
          <w:rFonts w:ascii="Times New Roman" w:hAnsi="Times New Roman" w:cs="Times New Roman"/>
          <w:sz w:val="24"/>
          <w:szCs w:val="24"/>
        </w:rPr>
      </w:pPr>
    </w:p>
    <w:p w:rsidR="00806959" w:rsidRPr="00D13F47" w:rsidRDefault="00806959" w:rsidP="00D13F47">
      <w:pPr>
        <w:pStyle w:val="ListParagraph"/>
        <w:numPr>
          <w:ilvl w:val="0"/>
          <w:numId w:val="1"/>
        </w:num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 xml:space="preserve">Ouandaogo CR, Yameogo TM, Diomande FVK, et al. Adverse events following immunisation during mass vaccination campaigns at first introduction of a meningococcal A conjugate vaccine in Burkina Faso, 2010. Vaccine </w:t>
      </w:r>
      <w:proofErr w:type="gramStart"/>
      <w:r w:rsidRPr="00D13F47">
        <w:rPr>
          <w:rFonts w:ascii="Times New Roman" w:hAnsi="Times New Roman" w:cs="Times New Roman"/>
          <w:sz w:val="24"/>
          <w:szCs w:val="24"/>
        </w:rPr>
        <w:t>2012;30Suppl2:B46</w:t>
      </w:r>
      <w:proofErr w:type="gramEnd"/>
      <w:r w:rsidRPr="00D13F47">
        <w:rPr>
          <w:rFonts w:ascii="Times New Roman" w:hAnsi="Times New Roman" w:cs="Times New Roman"/>
          <w:sz w:val="24"/>
          <w:szCs w:val="24"/>
        </w:rPr>
        <w:t xml:space="preserve">-51. Doi: 10.1016/j.vaccine.2011.12.112. </w:t>
      </w:r>
    </w:p>
    <w:p w:rsidR="00806959" w:rsidRPr="00D13F47" w:rsidRDefault="00806959" w:rsidP="00D13F47">
      <w:pPr>
        <w:spacing w:after="0" w:line="480" w:lineRule="auto"/>
        <w:rPr>
          <w:rFonts w:ascii="Times New Roman" w:hAnsi="Times New Roman" w:cs="Times New Roman"/>
          <w:sz w:val="24"/>
          <w:szCs w:val="24"/>
        </w:rPr>
      </w:pPr>
    </w:p>
    <w:p w:rsidR="00806959" w:rsidRPr="00D13F47" w:rsidRDefault="00806959" w:rsidP="00D13F47">
      <w:pPr>
        <w:pStyle w:val="NormalWeb"/>
        <w:numPr>
          <w:ilvl w:val="0"/>
          <w:numId w:val="1"/>
        </w:numPr>
        <w:spacing w:before="0" w:beforeAutospacing="0" w:after="0" w:afterAutospacing="0" w:line="480" w:lineRule="auto"/>
        <w:rPr>
          <w:color w:val="000000" w:themeColor="text1"/>
        </w:rPr>
      </w:pPr>
      <w:r w:rsidRPr="00D13F47">
        <w:rPr>
          <w:color w:val="000000" w:themeColor="text1"/>
        </w:rPr>
        <w:t xml:space="preserve">World Health Organisation. COVID-19 vaccines: safety surveillance manual. Module: Establishing active surveillance systems for adverse events of special interest during COVID-19 vaccine introduction. [Internet]. WHO; 2020 [updated 2020; cited 2020 Mar 08]. Available from: </w:t>
      </w:r>
      <w:hyperlink r:id="rId6" w:history="1">
        <w:r w:rsidRPr="00D13F47">
          <w:rPr>
            <w:rStyle w:val="Hyperlink"/>
          </w:rPr>
          <w:t>https://www.who.int/vaccine_safety/committee/Module_Establishing_surveillance_systems.pdf?ua=1</w:t>
        </w:r>
      </w:hyperlink>
      <w:r w:rsidRPr="00D13F47">
        <w:rPr>
          <w:color w:val="000000" w:themeColor="text1"/>
        </w:rPr>
        <w:t xml:space="preserve"> </w:t>
      </w:r>
    </w:p>
    <w:p w:rsidR="00D13F47" w:rsidRPr="00D13F47" w:rsidRDefault="00D13F47" w:rsidP="00D13F47">
      <w:pPr>
        <w:pStyle w:val="NormalWeb"/>
        <w:spacing w:before="0" w:beforeAutospacing="0" w:after="0" w:afterAutospacing="0" w:line="480" w:lineRule="auto"/>
        <w:rPr>
          <w:color w:val="000000" w:themeColor="text1"/>
        </w:rPr>
      </w:pPr>
    </w:p>
    <w:p w:rsidR="009720A0" w:rsidRPr="00D13F47" w:rsidRDefault="009720A0" w:rsidP="00D13F47">
      <w:pPr>
        <w:pStyle w:val="ListParagraph"/>
        <w:numPr>
          <w:ilvl w:val="0"/>
          <w:numId w:val="1"/>
        </w:num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 xml:space="preserve">Ministry of Health. Brunei Darussalam. Health Information Booklet 2017 (Revised as of 11 December 2018. [Internet]. MOH, Brunei Darussalam. [updated 2018; cited 2020 Mar 08]. Available from: </w:t>
      </w:r>
      <w:hyperlink r:id="rId7" w:history="1">
        <w:r w:rsidR="00C5190B" w:rsidRPr="00D13F47">
          <w:rPr>
            <w:rStyle w:val="Hyperlink"/>
            <w:rFonts w:ascii="Times New Roman" w:hAnsi="Times New Roman" w:cs="Times New Roman"/>
            <w:sz w:val="24"/>
            <w:szCs w:val="24"/>
          </w:rPr>
          <w:t>http://www.moh.gov.bn/Downloadables/Health%20Information%20Bookler%202017%20(revised%20as%20of%20January%202019).pdf</w:t>
        </w:r>
      </w:hyperlink>
    </w:p>
    <w:p w:rsidR="00D13F47" w:rsidRPr="00D13F47" w:rsidRDefault="00D13F47" w:rsidP="00D13F47">
      <w:pPr>
        <w:spacing w:after="0" w:line="480" w:lineRule="auto"/>
        <w:rPr>
          <w:rFonts w:ascii="Times New Roman" w:hAnsi="Times New Roman" w:cs="Times New Roman"/>
          <w:sz w:val="24"/>
          <w:szCs w:val="24"/>
        </w:rPr>
      </w:pPr>
    </w:p>
    <w:p w:rsidR="00C5190B" w:rsidRPr="00D13F47" w:rsidRDefault="00C5190B" w:rsidP="00D13F47">
      <w:pPr>
        <w:pStyle w:val="ListParagraph"/>
        <w:numPr>
          <w:ilvl w:val="0"/>
          <w:numId w:val="1"/>
        </w:numPr>
        <w:spacing w:after="0" w:line="480" w:lineRule="auto"/>
        <w:rPr>
          <w:rFonts w:ascii="Times New Roman" w:hAnsi="Times New Roman" w:cs="Times New Roman"/>
          <w:sz w:val="24"/>
          <w:szCs w:val="24"/>
        </w:rPr>
      </w:pPr>
      <w:r w:rsidRPr="00D13F47">
        <w:rPr>
          <w:rFonts w:ascii="Times New Roman" w:hAnsi="Times New Roman" w:cs="Times New Roman"/>
          <w:sz w:val="24"/>
          <w:szCs w:val="24"/>
        </w:rPr>
        <w:t xml:space="preserve">Ruggeberg JU, Gold MS, Bayas JM, et al. Anaphylaxis: case definition and guidelines for data collection, analysis, and presentation of immunisation safety data. Vaccine </w:t>
      </w:r>
      <w:proofErr w:type="gramStart"/>
      <w:r w:rsidRPr="00D13F47">
        <w:rPr>
          <w:rFonts w:ascii="Times New Roman" w:hAnsi="Times New Roman" w:cs="Times New Roman"/>
          <w:sz w:val="24"/>
          <w:szCs w:val="24"/>
        </w:rPr>
        <w:t>2007;25:5675</w:t>
      </w:r>
      <w:proofErr w:type="gramEnd"/>
      <w:r w:rsidRPr="00D13F47">
        <w:rPr>
          <w:rFonts w:ascii="Times New Roman" w:hAnsi="Times New Roman" w:cs="Times New Roman"/>
          <w:sz w:val="24"/>
          <w:szCs w:val="24"/>
        </w:rPr>
        <w:t>-84. Doi: 10.1016/j.vaccine.2007.02.064</w:t>
      </w:r>
    </w:p>
    <w:p w:rsidR="00C5190B" w:rsidRDefault="00C5190B"/>
    <w:sectPr w:rsidR="00C5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2295"/>
    <w:multiLevelType w:val="hybridMultilevel"/>
    <w:tmpl w:val="AF108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D9"/>
    <w:rsid w:val="002D72EC"/>
    <w:rsid w:val="00515BD9"/>
    <w:rsid w:val="00806959"/>
    <w:rsid w:val="008B78E6"/>
    <w:rsid w:val="009720A0"/>
    <w:rsid w:val="009936B1"/>
    <w:rsid w:val="00B15654"/>
    <w:rsid w:val="00C5190B"/>
    <w:rsid w:val="00D1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13DB"/>
  <w15:chartTrackingRefBased/>
  <w15:docId w15:val="{BA585FC1-3AA8-4101-8222-E02B574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5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5BD9"/>
    <w:rPr>
      <w:color w:val="0563C1" w:themeColor="hyperlink"/>
      <w:u w:val="single"/>
    </w:rPr>
  </w:style>
  <w:style w:type="paragraph" w:styleId="ListParagraph">
    <w:name w:val="List Paragraph"/>
    <w:basedOn w:val="Normal"/>
    <w:uiPriority w:val="34"/>
    <w:qFormat/>
    <w:rsid w:val="00D1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h.gov.bn/Downloadables/Health%20Information%20Bookler%202017%20(revised%20as%20of%20January%20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vaccine_safety/committee/Module_Establishing_surveillance_systems.pdf?ua=1"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yhpoh_teo\Desktop\AE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400" b="1"/>
              <a:t>Number</a:t>
            </a:r>
            <a:r>
              <a:rPr lang="en-US" sz="1400" b="1" baseline="0"/>
              <a:t> of Patients - Selected Adverse Events of Special Interest (AESI)</a:t>
            </a:r>
            <a:endParaRPr lang="en-US" sz="1400" b="1"/>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stacked"/>
        <c:varyColors val="0"/>
        <c:ser>
          <c:idx val="0"/>
          <c:order val="0"/>
          <c:tx>
            <c:strRef>
              <c:f>Sheet6!$G$2</c:f>
              <c:strCache>
                <c:ptCount val="1"/>
                <c:pt idx="0">
                  <c:v>Male</c:v>
                </c:pt>
              </c:strCache>
            </c:strRef>
          </c:tx>
          <c:spPr>
            <a:solidFill>
              <a:schemeClr val="accent5">
                <a:lumMod val="50000"/>
              </a:schemeClr>
            </a:solidFill>
            <a:ln>
              <a:noFill/>
            </a:ln>
            <a:effectLst/>
          </c:spPr>
          <c:invertIfNegative val="0"/>
          <c:cat>
            <c:multiLvlStrRef>
              <c:f>Sheet6!$E$3:$F$21</c:f>
              <c:multiLvlStrCache>
                <c:ptCount val="19"/>
                <c:lvl>
                  <c:pt idx="0">
                    <c:v>2018</c:v>
                  </c:pt>
                  <c:pt idx="1">
                    <c:v>2019</c:v>
                  </c:pt>
                  <c:pt idx="2">
                    <c:v>2020</c:v>
                  </c:pt>
                  <c:pt idx="4">
                    <c:v>2018</c:v>
                  </c:pt>
                  <c:pt idx="5">
                    <c:v>2019</c:v>
                  </c:pt>
                  <c:pt idx="6">
                    <c:v>2020</c:v>
                  </c:pt>
                  <c:pt idx="8">
                    <c:v>2018</c:v>
                  </c:pt>
                  <c:pt idx="9">
                    <c:v>2019</c:v>
                  </c:pt>
                  <c:pt idx="10">
                    <c:v>2020</c:v>
                  </c:pt>
                  <c:pt idx="12">
                    <c:v>2018</c:v>
                  </c:pt>
                  <c:pt idx="13">
                    <c:v>2019</c:v>
                  </c:pt>
                  <c:pt idx="14">
                    <c:v>2020</c:v>
                  </c:pt>
                  <c:pt idx="16">
                    <c:v>2018</c:v>
                  </c:pt>
                  <c:pt idx="17">
                    <c:v>2019</c:v>
                  </c:pt>
                  <c:pt idx="18">
                    <c:v>2020</c:v>
                  </c:pt>
                </c:lvl>
                <c:lvl>
                  <c:pt idx="0">
                    <c:v>Encephalomyelitis</c:v>
                  </c:pt>
                  <c:pt idx="3">
                    <c:v>Anaphylaxis</c:v>
                  </c:pt>
                  <c:pt idx="7">
                    <c:v>Erythema multiforme</c:v>
                  </c:pt>
                  <c:pt idx="11">
                    <c:v>Cutaneous Vasculitis</c:v>
                  </c:pt>
                  <c:pt idx="15">
                    <c:v>Guillain-Barre Syndrome</c:v>
                  </c:pt>
                </c:lvl>
              </c:multiLvlStrCache>
            </c:multiLvlStrRef>
          </c:cat>
          <c:val>
            <c:numRef>
              <c:f>Sheet6!$G$3:$G$21</c:f>
              <c:numCache>
                <c:formatCode>General</c:formatCode>
                <c:ptCount val="19"/>
                <c:pt idx="0">
                  <c:v>2</c:v>
                </c:pt>
                <c:pt idx="1">
                  <c:v>2</c:v>
                </c:pt>
                <c:pt idx="2">
                  <c:v>2</c:v>
                </c:pt>
                <c:pt idx="4">
                  <c:v>15</c:v>
                </c:pt>
                <c:pt idx="5">
                  <c:v>19</c:v>
                </c:pt>
                <c:pt idx="6">
                  <c:v>14</c:v>
                </c:pt>
                <c:pt idx="8">
                  <c:v>10</c:v>
                </c:pt>
                <c:pt idx="9">
                  <c:v>9</c:v>
                </c:pt>
                <c:pt idx="10">
                  <c:v>6</c:v>
                </c:pt>
                <c:pt idx="12">
                  <c:v>12</c:v>
                </c:pt>
                <c:pt idx="13">
                  <c:v>6</c:v>
                </c:pt>
                <c:pt idx="14">
                  <c:v>2</c:v>
                </c:pt>
                <c:pt idx="16">
                  <c:v>5</c:v>
                </c:pt>
                <c:pt idx="17">
                  <c:v>4</c:v>
                </c:pt>
                <c:pt idx="18">
                  <c:v>3</c:v>
                </c:pt>
              </c:numCache>
            </c:numRef>
          </c:val>
          <c:extLst>
            <c:ext xmlns:c16="http://schemas.microsoft.com/office/drawing/2014/chart" uri="{C3380CC4-5D6E-409C-BE32-E72D297353CC}">
              <c16:uniqueId val="{00000000-8325-4EBC-AB6A-F1DFABAEF17B}"/>
            </c:ext>
          </c:extLst>
        </c:ser>
        <c:ser>
          <c:idx val="1"/>
          <c:order val="1"/>
          <c:tx>
            <c:strRef>
              <c:f>Sheet6!$H$2</c:f>
              <c:strCache>
                <c:ptCount val="1"/>
                <c:pt idx="0">
                  <c:v>Female</c:v>
                </c:pt>
              </c:strCache>
            </c:strRef>
          </c:tx>
          <c:spPr>
            <a:solidFill>
              <a:srgbClr val="FF0000"/>
            </a:solidFill>
            <a:ln>
              <a:noFill/>
            </a:ln>
            <a:effectLst/>
          </c:spPr>
          <c:invertIfNegative val="0"/>
          <c:cat>
            <c:multiLvlStrRef>
              <c:f>Sheet6!$E$3:$F$21</c:f>
              <c:multiLvlStrCache>
                <c:ptCount val="19"/>
                <c:lvl>
                  <c:pt idx="0">
                    <c:v>2018</c:v>
                  </c:pt>
                  <c:pt idx="1">
                    <c:v>2019</c:v>
                  </c:pt>
                  <c:pt idx="2">
                    <c:v>2020</c:v>
                  </c:pt>
                  <c:pt idx="4">
                    <c:v>2018</c:v>
                  </c:pt>
                  <c:pt idx="5">
                    <c:v>2019</c:v>
                  </c:pt>
                  <c:pt idx="6">
                    <c:v>2020</c:v>
                  </c:pt>
                  <c:pt idx="8">
                    <c:v>2018</c:v>
                  </c:pt>
                  <c:pt idx="9">
                    <c:v>2019</c:v>
                  </c:pt>
                  <c:pt idx="10">
                    <c:v>2020</c:v>
                  </c:pt>
                  <c:pt idx="12">
                    <c:v>2018</c:v>
                  </c:pt>
                  <c:pt idx="13">
                    <c:v>2019</c:v>
                  </c:pt>
                  <c:pt idx="14">
                    <c:v>2020</c:v>
                  </c:pt>
                  <c:pt idx="16">
                    <c:v>2018</c:v>
                  </c:pt>
                  <c:pt idx="17">
                    <c:v>2019</c:v>
                  </c:pt>
                  <c:pt idx="18">
                    <c:v>2020</c:v>
                  </c:pt>
                </c:lvl>
                <c:lvl>
                  <c:pt idx="0">
                    <c:v>Encephalomyelitis</c:v>
                  </c:pt>
                  <c:pt idx="3">
                    <c:v>Anaphylaxis</c:v>
                  </c:pt>
                  <c:pt idx="7">
                    <c:v>Erythema multiforme</c:v>
                  </c:pt>
                  <c:pt idx="11">
                    <c:v>Cutaneous Vasculitis</c:v>
                  </c:pt>
                  <c:pt idx="15">
                    <c:v>Guillain-Barre Syndrome</c:v>
                  </c:pt>
                </c:lvl>
              </c:multiLvlStrCache>
            </c:multiLvlStrRef>
          </c:cat>
          <c:val>
            <c:numRef>
              <c:f>Sheet6!$H$3:$H$21</c:f>
              <c:numCache>
                <c:formatCode>General</c:formatCode>
                <c:ptCount val="19"/>
                <c:pt idx="0">
                  <c:v>8</c:v>
                </c:pt>
                <c:pt idx="1">
                  <c:v>7</c:v>
                </c:pt>
                <c:pt idx="2">
                  <c:v>2</c:v>
                </c:pt>
                <c:pt idx="4">
                  <c:v>15</c:v>
                </c:pt>
                <c:pt idx="5">
                  <c:v>9</c:v>
                </c:pt>
                <c:pt idx="6">
                  <c:v>15</c:v>
                </c:pt>
                <c:pt idx="8">
                  <c:v>22</c:v>
                </c:pt>
                <c:pt idx="9">
                  <c:v>12</c:v>
                </c:pt>
                <c:pt idx="10">
                  <c:v>14</c:v>
                </c:pt>
                <c:pt idx="12">
                  <c:v>25</c:v>
                </c:pt>
                <c:pt idx="13">
                  <c:v>24</c:v>
                </c:pt>
                <c:pt idx="14">
                  <c:v>23</c:v>
                </c:pt>
                <c:pt idx="16">
                  <c:v>4</c:v>
                </c:pt>
                <c:pt idx="17">
                  <c:v>5</c:v>
                </c:pt>
                <c:pt idx="18">
                  <c:v>1</c:v>
                </c:pt>
              </c:numCache>
            </c:numRef>
          </c:val>
          <c:extLst>
            <c:ext xmlns:c16="http://schemas.microsoft.com/office/drawing/2014/chart" uri="{C3380CC4-5D6E-409C-BE32-E72D297353CC}">
              <c16:uniqueId val="{00000001-8325-4EBC-AB6A-F1DFABAEF17B}"/>
            </c:ext>
          </c:extLst>
        </c:ser>
        <c:dLbls>
          <c:showLegendKey val="0"/>
          <c:showVal val="0"/>
          <c:showCatName val="0"/>
          <c:showSerName val="0"/>
          <c:showPercent val="0"/>
          <c:showBubbleSize val="0"/>
        </c:dLbls>
        <c:gapWidth val="150"/>
        <c:overlap val="100"/>
        <c:axId val="1428865376"/>
        <c:axId val="1428870368"/>
      </c:barChart>
      <c:catAx>
        <c:axId val="1428865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428870368"/>
        <c:crosses val="autoZero"/>
        <c:auto val="1"/>
        <c:lblAlgn val="ctr"/>
        <c:lblOffset val="100"/>
        <c:noMultiLvlLbl val="0"/>
      </c:catAx>
      <c:valAx>
        <c:axId val="1428870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a:t>
                </a:r>
                <a:r>
                  <a:rPr lang="en-US" baseline="0"/>
                  <a:t> of patients</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886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Shyh Poh Teo</dc:creator>
  <cp:keywords/>
  <dc:description/>
  <cp:lastModifiedBy>Dr Shyh Poh Teo</cp:lastModifiedBy>
  <cp:revision>1</cp:revision>
  <dcterms:created xsi:type="dcterms:W3CDTF">2021-03-19T07:44:00Z</dcterms:created>
  <dcterms:modified xsi:type="dcterms:W3CDTF">2021-03-19T09:05:00Z</dcterms:modified>
</cp:coreProperties>
</file>