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6BF" w:rsidRDefault="00345C5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Therapeutic Brief</w:t>
      </w:r>
    </w:p>
    <w:p w14:paraId="00000002" w14:textId="77777777" w:rsidR="003076BF" w:rsidRDefault="003076B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000003" w14:textId="77777777" w:rsidR="003076BF" w:rsidRDefault="00345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antidiabetic drug acarbose suppresses age-related lesions in C57BL/6 mice in an organ dependent manner</w:t>
      </w:r>
    </w:p>
    <w:p w14:paraId="00000004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05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Sneh Gupta, Zhou Ziang, Warren Ladiges</w:t>
      </w:r>
    </w:p>
    <w:p w14:paraId="00000006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07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of Comparative Medicine, School of Medicine, University of Washington, Seattle, WA 98195</w:t>
      </w:r>
    </w:p>
    <w:p w14:paraId="00000008" w14:textId="77777777" w:rsidR="003076BF" w:rsidRDefault="003076BF">
      <w:pPr>
        <w:spacing w:after="0" w:line="240" w:lineRule="auto"/>
        <w:rPr>
          <w:b/>
          <w:sz w:val="24"/>
          <w:szCs w:val="24"/>
        </w:rPr>
      </w:pPr>
    </w:p>
    <w:p w14:paraId="00000009" w14:textId="77777777" w:rsidR="003076BF" w:rsidRDefault="00345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0000000A" w14:textId="4B50732B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Acarbose </w:t>
      </w:r>
      <w:r w:rsidR="00EC3FAE">
        <w:rPr>
          <w:sz w:val="24"/>
          <w:szCs w:val="24"/>
        </w:rPr>
        <w:t xml:space="preserve">(Acb) </w:t>
      </w:r>
      <w:r>
        <w:rPr>
          <w:sz w:val="24"/>
          <w:szCs w:val="24"/>
        </w:rPr>
        <w:t>is an antidiabetic drug used to reduce blood glucose by inhibiting conversion of complex carbohydrates into simple sugars. It has also sh</w:t>
      </w:r>
      <w:r>
        <w:rPr>
          <w:sz w:val="24"/>
          <w:szCs w:val="24"/>
        </w:rPr>
        <w:t>own promise as an anti-aging drug by increasing lifespan</w:t>
      </w:r>
      <w:r w:rsidR="000C6F9B">
        <w:rPr>
          <w:sz w:val="24"/>
          <w:szCs w:val="24"/>
        </w:rPr>
        <w:t xml:space="preserve"> in mice but studies have not been reported on effects of short term treatment in aging mice</w:t>
      </w:r>
      <w:r>
        <w:rPr>
          <w:sz w:val="24"/>
          <w:szCs w:val="24"/>
        </w:rPr>
        <w:t xml:space="preserve">. </w:t>
      </w:r>
      <w:r w:rsidR="000C6F9B">
        <w:rPr>
          <w:sz w:val="24"/>
          <w:szCs w:val="24"/>
        </w:rPr>
        <w:t>To address this question</w:t>
      </w:r>
      <w:r>
        <w:rPr>
          <w:sz w:val="24"/>
          <w:szCs w:val="24"/>
        </w:rPr>
        <w:t xml:space="preserve">, 20 month old C57BL/6 male and female mice were given a standard diet, or a diet supplemented with 1000 ppm </w:t>
      </w:r>
      <w:r w:rsidR="00EC3FAE">
        <w:rPr>
          <w:sz w:val="24"/>
          <w:szCs w:val="24"/>
        </w:rPr>
        <w:t>Acb</w:t>
      </w:r>
      <w:r>
        <w:rPr>
          <w:sz w:val="24"/>
          <w:szCs w:val="24"/>
        </w:rPr>
        <w:t xml:space="preserve"> for 3 months. After this period,</w:t>
      </w:r>
      <w:r>
        <w:rPr>
          <w:sz w:val="24"/>
          <w:szCs w:val="24"/>
        </w:rPr>
        <w:t xml:space="preserve"> mice were assessed for age-rel</w:t>
      </w:r>
      <w:r>
        <w:rPr>
          <w:sz w:val="24"/>
          <w:szCs w:val="24"/>
        </w:rPr>
        <w:t>ated lesion</w:t>
      </w:r>
      <w:r w:rsidR="00DC2C3D">
        <w:rPr>
          <w:sz w:val="24"/>
          <w:szCs w:val="24"/>
        </w:rPr>
        <w:t>s</w:t>
      </w:r>
      <w:r>
        <w:rPr>
          <w:sz w:val="24"/>
          <w:szCs w:val="24"/>
        </w:rPr>
        <w:t xml:space="preserve"> as readouts for delay in </w:t>
      </w:r>
      <w:r w:rsidR="000C6F9B">
        <w:rPr>
          <w:sz w:val="24"/>
          <w:szCs w:val="24"/>
        </w:rPr>
        <w:t xml:space="preserve">the progression of </w:t>
      </w:r>
      <w:r>
        <w:rPr>
          <w:sz w:val="24"/>
          <w:szCs w:val="24"/>
        </w:rPr>
        <w:t xml:space="preserve">aging. </w:t>
      </w:r>
      <w:r w:rsidR="000C6F9B">
        <w:rPr>
          <w:sz w:val="24"/>
          <w:szCs w:val="24"/>
        </w:rPr>
        <w:t>R</w:t>
      </w:r>
      <w:r>
        <w:rPr>
          <w:sz w:val="24"/>
          <w:szCs w:val="24"/>
        </w:rPr>
        <w:t xml:space="preserve">esults showed </w:t>
      </w:r>
      <w:r>
        <w:rPr>
          <w:sz w:val="24"/>
          <w:szCs w:val="24"/>
        </w:rPr>
        <w:t xml:space="preserve"> there was a significant decrease in lesions of the heart and kidney in mice treated with Acb</w:t>
      </w:r>
      <w:r>
        <w:rPr>
          <w:sz w:val="24"/>
          <w:szCs w:val="24"/>
        </w:rPr>
        <w:t xml:space="preserve"> suggest</w:t>
      </w:r>
      <w:r w:rsidR="00EC3FAE">
        <w:rPr>
          <w:sz w:val="24"/>
          <w:szCs w:val="24"/>
        </w:rPr>
        <w:t>ing</w:t>
      </w:r>
      <w:r>
        <w:rPr>
          <w:sz w:val="24"/>
          <w:szCs w:val="24"/>
        </w:rPr>
        <w:t xml:space="preserve"> that </w:t>
      </w:r>
      <w:r w:rsidR="00EC3FAE">
        <w:rPr>
          <w:sz w:val="24"/>
          <w:szCs w:val="24"/>
        </w:rPr>
        <w:t>Acb</w:t>
      </w:r>
      <w:r>
        <w:rPr>
          <w:sz w:val="24"/>
          <w:szCs w:val="24"/>
        </w:rPr>
        <w:t xml:space="preserve"> can suppress cardiac and renal pathology associ</w:t>
      </w:r>
      <w:r>
        <w:rPr>
          <w:sz w:val="24"/>
          <w:szCs w:val="24"/>
        </w:rPr>
        <w:t xml:space="preserve">ated with increasing age. </w:t>
      </w:r>
    </w:p>
    <w:p w14:paraId="0000000B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0C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0D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0E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0F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0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1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2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3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4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5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6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7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8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9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A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B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C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D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E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1F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0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1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2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3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4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5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6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7" w14:textId="57386855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Aging is a complex process and affects many organs in the body, so multiple pathways need to be targeted to combat or slow the effects of aging. Acarbose </w:t>
      </w:r>
      <w:r w:rsidR="00E41E65">
        <w:rPr>
          <w:sz w:val="24"/>
          <w:szCs w:val="24"/>
        </w:rPr>
        <w:t xml:space="preserve">(Acb) </w:t>
      </w:r>
      <w:r>
        <w:rPr>
          <w:sz w:val="24"/>
          <w:szCs w:val="24"/>
        </w:rPr>
        <w:t xml:space="preserve">is a well-known anti-diabetic drug for type 2 diabetic patients. It has been shown to decrease plasma </w:t>
      </w:r>
      <w:r>
        <w:rPr>
          <w:sz w:val="24"/>
          <w:szCs w:val="24"/>
        </w:rPr>
        <w:t>glucose levels and cholesterol levels</w:t>
      </w:r>
      <w:r>
        <w:rPr>
          <w:sz w:val="24"/>
          <w:szCs w:val="24"/>
        </w:rPr>
        <w:t xml:space="preserve"> by the reversible inhibition of membrane-bound intestinal alpha-glucosidase and </w:t>
      </w:r>
      <w:hyperlink r:id="rId5">
        <w:r>
          <w:rPr>
            <w:sz w:val="24"/>
            <w:szCs w:val="24"/>
          </w:rPr>
          <w:t>pancreatic</w:t>
        </w:r>
      </w:hyperlink>
      <w:r>
        <w:rPr>
          <w:sz w:val="24"/>
          <w:szCs w:val="24"/>
        </w:rPr>
        <w:t xml:space="preserve"> alpha-amylase, two enzymes needed to digest compl</w:t>
      </w:r>
      <w:r>
        <w:rPr>
          <w:sz w:val="24"/>
          <w:szCs w:val="24"/>
        </w:rPr>
        <w:t xml:space="preserve">ex carbohydrates </w:t>
      </w:r>
      <w:r w:rsidR="00EC3FAE">
        <w:rPr>
          <w:sz w:val="24"/>
          <w:szCs w:val="24"/>
        </w:rPr>
        <w:t>[1]</w:t>
      </w:r>
      <w:r>
        <w:rPr>
          <w:sz w:val="24"/>
          <w:szCs w:val="24"/>
        </w:rPr>
        <w:t xml:space="preserve">. Recently acarbose has been shown to increase median and maximum life-span in mice, when treated starting at </w:t>
      </w:r>
      <w:r w:rsidR="00EC3FAE">
        <w:rPr>
          <w:sz w:val="24"/>
          <w:szCs w:val="24"/>
        </w:rPr>
        <w:t>4</w:t>
      </w:r>
      <w:r>
        <w:rPr>
          <w:sz w:val="24"/>
          <w:szCs w:val="24"/>
        </w:rPr>
        <w:t xml:space="preserve"> months of age </w:t>
      </w:r>
      <w:r w:rsidR="00EC3FAE">
        <w:rPr>
          <w:sz w:val="24"/>
          <w:szCs w:val="24"/>
        </w:rPr>
        <w:t>[2]</w:t>
      </w:r>
      <w:r>
        <w:rPr>
          <w:sz w:val="24"/>
          <w:szCs w:val="24"/>
        </w:rPr>
        <w:t xml:space="preserve"> or starting at 8 months of age</w:t>
      </w:r>
      <w:r w:rsidR="00EC3FAE">
        <w:rPr>
          <w:sz w:val="24"/>
          <w:szCs w:val="24"/>
        </w:rPr>
        <w:t xml:space="preserve"> [3]</w:t>
      </w:r>
      <w:r>
        <w:rPr>
          <w:sz w:val="24"/>
          <w:szCs w:val="24"/>
        </w:rPr>
        <w:t xml:space="preserve">, </w:t>
      </w:r>
      <w:r w:rsidR="00EC3FAE">
        <w:rPr>
          <w:sz w:val="24"/>
          <w:szCs w:val="24"/>
        </w:rPr>
        <w:t xml:space="preserve">with </w:t>
      </w:r>
      <w:r>
        <w:rPr>
          <w:sz w:val="24"/>
          <w:szCs w:val="24"/>
        </w:rPr>
        <w:t>more</w:t>
      </w:r>
      <w:r w:rsidR="00EC3FAE">
        <w:rPr>
          <w:sz w:val="24"/>
          <w:szCs w:val="24"/>
        </w:rPr>
        <w:t xml:space="preserve"> pronounced effect</w:t>
      </w:r>
      <w:r>
        <w:rPr>
          <w:sz w:val="24"/>
          <w:szCs w:val="24"/>
        </w:rPr>
        <w:t xml:space="preserve"> in males than females. Aging increases the risk factor for cardiovascular diseases </w:t>
      </w:r>
      <w:r w:rsidR="000A26D6">
        <w:rPr>
          <w:sz w:val="24"/>
          <w:szCs w:val="24"/>
        </w:rPr>
        <w:t>[4]</w:t>
      </w:r>
      <w:r>
        <w:rPr>
          <w:sz w:val="24"/>
          <w:szCs w:val="24"/>
        </w:rPr>
        <w:t xml:space="preserve">, kidney impairment </w:t>
      </w:r>
      <w:r w:rsidR="000A26D6">
        <w:rPr>
          <w:sz w:val="24"/>
          <w:szCs w:val="24"/>
        </w:rPr>
        <w:t>[5]</w:t>
      </w:r>
      <w:r>
        <w:rPr>
          <w:sz w:val="24"/>
          <w:szCs w:val="24"/>
        </w:rPr>
        <w:t xml:space="preserve">, lung diseases </w:t>
      </w:r>
      <w:r w:rsidR="000A26D6">
        <w:rPr>
          <w:sz w:val="24"/>
          <w:szCs w:val="24"/>
        </w:rPr>
        <w:t>[6]</w:t>
      </w:r>
      <w:r>
        <w:rPr>
          <w:sz w:val="24"/>
          <w:szCs w:val="24"/>
        </w:rPr>
        <w:t xml:space="preserve"> and liver diseases </w:t>
      </w:r>
      <w:r w:rsidR="009C6A52">
        <w:rPr>
          <w:sz w:val="24"/>
          <w:szCs w:val="24"/>
        </w:rPr>
        <w:t>[7]</w:t>
      </w:r>
      <w:r>
        <w:rPr>
          <w:sz w:val="24"/>
          <w:szCs w:val="24"/>
        </w:rPr>
        <w:t>.</w:t>
      </w:r>
      <w:r>
        <w:t xml:space="preserve">  </w:t>
      </w:r>
      <w:r w:rsidR="00E41E65">
        <w:rPr>
          <w:sz w:val="24"/>
          <w:szCs w:val="24"/>
        </w:rPr>
        <w:t>It was therefore of interest</w:t>
      </w:r>
      <w:r>
        <w:rPr>
          <w:sz w:val="24"/>
          <w:szCs w:val="24"/>
        </w:rPr>
        <w:t xml:space="preserve"> </w:t>
      </w:r>
      <w:r w:rsidR="00E41E65">
        <w:rPr>
          <w:sz w:val="24"/>
          <w:szCs w:val="24"/>
        </w:rPr>
        <w:t xml:space="preserve">to see if </w:t>
      </w:r>
      <w:r w:rsidR="00EC3FAE">
        <w:rPr>
          <w:sz w:val="24"/>
          <w:szCs w:val="24"/>
        </w:rPr>
        <w:t>Acb</w:t>
      </w:r>
      <w:r w:rsidR="00E41E65">
        <w:rPr>
          <w:sz w:val="24"/>
          <w:szCs w:val="24"/>
        </w:rPr>
        <w:t xml:space="preserve"> </w:t>
      </w:r>
      <w:r w:rsidR="000C6F9B">
        <w:rPr>
          <w:sz w:val="24"/>
          <w:szCs w:val="24"/>
        </w:rPr>
        <w:t xml:space="preserve">might </w:t>
      </w:r>
      <w:r w:rsidR="00E41E65">
        <w:rPr>
          <w:sz w:val="24"/>
          <w:szCs w:val="24"/>
        </w:rPr>
        <w:t>reduce age related damage to organs</w:t>
      </w:r>
      <w:r w:rsidR="000C6F9B">
        <w:rPr>
          <w:sz w:val="24"/>
          <w:szCs w:val="24"/>
        </w:rPr>
        <w:t xml:space="preserve"> in aging</w:t>
      </w:r>
      <w:r>
        <w:rPr>
          <w:sz w:val="24"/>
          <w:szCs w:val="24"/>
        </w:rPr>
        <w:t xml:space="preserve"> mice</w:t>
      </w:r>
      <w:r w:rsidR="000C6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28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29" w14:textId="685686A3" w:rsidR="003076BF" w:rsidRDefault="00345C52">
      <w:pPr>
        <w:spacing w:after="0" w:line="240" w:lineRule="auto"/>
        <w:rPr>
          <w:b/>
        </w:rPr>
      </w:pPr>
      <w:r w:rsidRPr="00EC3FAE">
        <w:rPr>
          <w:rFonts w:asciiTheme="minorHAnsi" w:hAnsiTheme="minorHAnsi" w:cstheme="minorHAnsi"/>
          <w:sz w:val="24"/>
          <w:szCs w:val="24"/>
        </w:rPr>
        <w:t xml:space="preserve">Male and female C57BL/6 mice were used, 12 in each cohort. The experimental group was fed </w:t>
      </w:r>
      <w:r w:rsidR="00E41E65" w:rsidRPr="00EC3FAE">
        <w:rPr>
          <w:rFonts w:asciiTheme="minorHAnsi" w:hAnsiTheme="minorHAnsi" w:cstheme="minorHAnsi"/>
          <w:sz w:val="24"/>
          <w:szCs w:val="24"/>
        </w:rPr>
        <w:t>Acb (</w:t>
      </w:r>
      <w:r w:rsidR="00E41E65" w:rsidRPr="00EC3FAE">
        <w:rPr>
          <w:rFonts w:asciiTheme="minorHAnsi" w:hAnsiTheme="minorHAnsi" w:cstheme="minorHAnsi"/>
          <w:sz w:val="24"/>
          <w:szCs w:val="24"/>
        </w:rPr>
        <w:t>Cayman Chemical Co., Ann Arbor, MI</w:t>
      </w:r>
      <w:r w:rsidR="00E41E65" w:rsidRPr="00EC3FAE">
        <w:rPr>
          <w:rFonts w:asciiTheme="minorHAnsi" w:hAnsiTheme="minorHAnsi" w:cstheme="minorHAnsi"/>
          <w:sz w:val="24"/>
          <w:szCs w:val="24"/>
        </w:rPr>
        <w:t xml:space="preserve">) at </w:t>
      </w:r>
      <w:r w:rsidRPr="00EC3FAE">
        <w:rPr>
          <w:rFonts w:asciiTheme="minorHAnsi" w:hAnsiTheme="minorHAnsi" w:cstheme="minorHAnsi"/>
          <w:sz w:val="24"/>
          <w:szCs w:val="24"/>
        </w:rPr>
        <w:t>1000 ppm</w:t>
      </w:r>
      <w:r w:rsidR="00E41E65" w:rsidRPr="00EC3FAE">
        <w:rPr>
          <w:rFonts w:asciiTheme="minorHAnsi" w:hAnsiTheme="minorHAnsi" w:cstheme="minorHAnsi"/>
          <w:sz w:val="24"/>
          <w:szCs w:val="24"/>
        </w:rPr>
        <w:t xml:space="preserve"> </w:t>
      </w:r>
      <w:r w:rsidRPr="00EC3FAE">
        <w:rPr>
          <w:rFonts w:asciiTheme="minorHAnsi" w:hAnsiTheme="minorHAnsi" w:cstheme="minorHAnsi"/>
          <w:sz w:val="24"/>
          <w:szCs w:val="24"/>
        </w:rPr>
        <w:t>in their diet</w:t>
      </w:r>
      <w:r w:rsidR="00E41E65" w:rsidRPr="00EC3FAE">
        <w:rPr>
          <w:rFonts w:asciiTheme="minorHAnsi" w:hAnsiTheme="minorHAnsi" w:cstheme="minorHAnsi"/>
          <w:sz w:val="24"/>
          <w:szCs w:val="24"/>
        </w:rPr>
        <w:t xml:space="preserve"> (</w:t>
      </w:r>
      <w:r w:rsidR="00E41E65" w:rsidRPr="00EC3FAE">
        <w:rPr>
          <w:rFonts w:asciiTheme="minorHAnsi" w:hAnsiTheme="minorHAnsi" w:cstheme="minorHAnsi"/>
          <w:sz w:val="24"/>
          <w:szCs w:val="24"/>
        </w:rPr>
        <w:t>prepared by TestDiet, Inc, a division of Purina Mills</w:t>
      </w:r>
      <w:r w:rsidR="00E41E65" w:rsidRPr="00EC3FAE">
        <w:rPr>
          <w:rFonts w:asciiTheme="minorHAnsi" w:hAnsiTheme="minorHAnsi" w:cstheme="minorHAnsi"/>
          <w:sz w:val="24"/>
          <w:szCs w:val="24"/>
        </w:rPr>
        <w:t xml:space="preserve">, </w:t>
      </w:r>
      <w:r w:rsidR="00E41E65" w:rsidRPr="00EC3FAE">
        <w:rPr>
          <w:rFonts w:asciiTheme="minorHAnsi" w:hAnsiTheme="minorHAnsi" w:cstheme="minorHAnsi"/>
          <w:sz w:val="24"/>
          <w:szCs w:val="24"/>
        </w:rPr>
        <w:t>Richmond, IN)</w:t>
      </w:r>
      <w:r w:rsidRPr="00EC3FAE">
        <w:rPr>
          <w:rFonts w:asciiTheme="minorHAnsi" w:hAnsiTheme="minorHAnsi" w:cstheme="minorHAnsi"/>
          <w:sz w:val="24"/>
          <w:szCs w:val="24"/>
        </w:rPr>
        <w:t>, while the control group was fed an identical diet without medication for 3 months starting at 20 months of age. After this period</w:t>
      </w:r>
      <w:r w:rsidR="00E41E65" w:rsidRPr="00EC3FAE">
        <w:rPr>
          <w:rFonts w:asciiTheme="minorHAnsi" w:hAnsiTheme="minorHAnsi" w:cstheme="minorHAnsi"/>
          <w:sz w:val="24"/>
          <w:szCs w:val="24"/>
        </w:rPr>
        <w:t>,</w:t>
      </w:r>
      <w:r w:rsidRPr="00EC3FAE">
        <w:rPr>
          <w:rFonts w:asciiTheme="minorHAnsi" w:hAnsiTheme="minorHAnsi" w:cstheme="minorHAnsi"/>
          <w:sz w:val="24"/>
          <w:szCs w:val="24"/>
        </w:rPr>
        <w:t xml:space="preserve"> mice were euthanized</w:t>
      </w:r>
      <w:r w:rsidR="00E41E65" w:rsidRPr="00EC3FAE">
        <w:rPr>
          <w:rFonts w:asciiTheme="minorHAnsi" w:hAnsiTheme="minorHAnsi" w:cstheme="minorHAnsi"/>
          <w:sz w:val="24"/>
          <w:szCs w:val="24"/>
        </w:rPr>
        <w:t xml:space="preserve"> and </w:t>
      </w:r>
      <w:r w:rsidRPr="00EC3FAE">
        <w:rPr>
          <w:rFonts w:asciiTheme="minorHAnsi" w:hAnsiTheme="minorHAnsi" w:cstheme="minorHAnsi"/>
          <w:sz w:val="24"/>
          <w:szCs w:val="24"/>
        </w:rPr>
        <w:t>tissues collected and slides of heart, lungs, liver</w:t>
      </w:r>
      <w:r>
        <w:rPr>
          <w:sz w:val="24"/>
          <w:szCs w:val="24"/>
        </w:rPr>
        <w:t xml:space="preserve"> and kidney were read and s</w:t>
      </w:r>
      <w:r>
        <w:rPr>
          <w:sz w:val="24"/>
          <w:szCs w:val="24"/>
        </w:rPr>
        <w:t xml:space="preserve">cored for age related lesions using the geropathology grading platform (GGP) </w:t>
      </w:r>
      <w:r w:rsidR="009C6A52">
        <w:rPr>
          <w:sz w:val="24"/>
          <w:szCs w:val="24"/>
        </w:rPr>
        <w:t>[8]</w:t>
      </w:r>
      <w:r>
        <w:rPr>
          <w:sz w:val="24"/>
          <w:szCs w:val="24"/>
        </w:rPr>
        <w:t xml:space="preserve">. The results indicate that age-related lesions in the heart (Fig 1a) and kidney (Fig 1b) </w:t>
      </w:r>
      <w:r w:rsidR="000C6F9B">
        <w:rPr>
          <w:sz w:val="24"/>
          <w:szCs w:val="24"/>
        </w:rPr>
        <w:t>were</w:t>
      </w:r>
      <w:r>
        <w:rPr>
          <w:sz w:val="24"/>
          <w:szCs w:val="24"/>
        </w:rPr>
        <w:t xml:space="preserve"> significantly less in the </w:t>
      </w:r>
      <w:r w:rsidR="00EC3FAE">
        <w:rPr>
          <w:sz w:val="24"/>
          <w:szCs w:val="24"/>
        </w:rPr>
        <w:t>Acb</w:t>
      </w:r>
      <w:r>
        <w:rPr>
          <w:sz w:val="24"/>
          <w:szCs w:val="24"/>
        </w:rPr>
        <w:t xml:space="preserve"> treated group than the contro</w:t>
      </w:r>
      <w:r>
        <w:rPr>
          <w:sz w:val="24"/>
          <w:szCs w:val="24"/>
        </w:rPr>
        <w:t xml:space="preserve">l </w:t>
      </w:r>
      <w:r w:rsidR="000C6F9B">
        <w:rPr>
          <w:sz w:val="24"/>
          <w:szCs w:val="24"/>
        </w:rPr>
        <w:t xml:space="preserve">group </w:t>
      </w:r>
      <w:r>
        <w:rPr>
          <w:sz w:val="24"/>
          <w:szCs w:val="24"/>
        </w:rPr>
        <w:t>for both males and females. There was no significant difference in lesion</w:t>
      </w:r>
      <w:r w:rsidR="00E41E65">
        <w:rPr>
          <w:sz w:val="24"/>
          <w:szCs w:val="24"/>
        </w:rPr>
        <w:t xml:space="preserve"> severity</w:t>
      </w:r>
      <w:r>
        <w:rPr>
          <w:sz w:val="24"/>
          <w:szCs w:val="24"/>
        </w:rPr>
        <w:t xml:space="preserve"> in the liver (Fig 1c) </w:t>
      </w:r>
      <w:r w:rsidR="00E41E65">
        <w:rPr>
          <w:sz w:val="24"/>
          <w:szCs w:val="24"/>
        </w:rPr>
        <w:t>or</w:t>
      </w:r>
      <w:r>
        <w:rPr>
          <w:sz w:val="24"/>
          <w:szCs w:val="24"/>
        </w:rPr>
        <w:t xml:space="preserve"> lungs (Fig 1d) between treated and control mice. </w:t>
      </w:r>
    </w:p>
    <w:p w14:paraId="0000002A" w14:textId="77777777" w:rsidR="003076BF" w:rsidRDefault="003076BF">
      <w:pPr>
        <w:spacing w:after="0" w:line="240" w:lineRule="auto"/>
        <w:rPr>
          <w:b/>
        </w:rPr>
      </w:pPr>
    </w:p>
    <w:p w14:paraId="0000002B" w14:textId="77777777" w:rsidR="003076BF" w:rsidRDefault="003076BF">
      <w:pPr>
        <w:spacing w:after="0" w:line="240" w:lineRule="auto"/>
        <w:rPr>
          <w:b/>
        </w:rPr>
      </w:pPr>
    </w:p>
    <w:p w14:paraId="0000002D" w14:textId="77777777" w:rsidR="003076BF" w:rsidRDefault="003076BF">
      <w:pPr>
        <w:spacing w:after="0" w:line="240" w:lineRule="auto"/>
        <w:rPr>
          <w:b/>
        </w:rPr>
      </w:pPr>
    </w:p>
    <w:p w14:paraId="0000002E" w14:textId="77777777" w:rsidR="003076BF" w:rsidRDefault="00345C52">
      <w:pPr>
        <w:spacing w:after="0" w:line="240" w:lineRule="auto"/>
        <w:rPr>
          <w:b/>
        </w:rPr>
      </w:pPr>
      <w:r>
        <w:rPr>
          <w:b/>
          <w:noProof/>
        </w:rPr>
        <w:drawing>
          <wp:inline distT="114300" distB="114300" distL="114300" distR="114300" wp14:anchorId="682FDE26" wp14:editId="0F6A419B">
            <wp:extent cx="6864866" cy="4567238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866" cy="456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F" w14:textId="685F28A3" w:rsidR="003076BF" w:rsidRDefault="00345C52">
      <w:pPr>
        <w:spacing w:after="0" w:line="240" w:lineRule="auto"/>
        <w:rPr>
          <w:sz w:val="24"/>
          <w:szCs w:val="24"/>
        </w:rPr>
      </w:pPr>
      <w:r>
        <w:rPr>
          <w:b/>
        </w:rPr>
        <w:lastRenderedPageBreak/>
        <w:t>Figure 1.</w:t>
      </w:r>
      <w:r>
        <w:t xml:space="preserve"> Male and female 57BL/6 mice, 20 months of age, were fed a diet containing 1000 PPM acar</w:t>
      </w:r>
      <w:r>
        <w:t>bose or a control diet without acarbose for three months.Tissues were collected and scored for age-related lesions. Mice fed the acarbose diet had decreased lesion</w:t>
      </w:r>
      <w:r>
        <w:t xml:space="preserve"> scores in the heart and kidney compared to m</w:t>
      </w:r>
      <w:r w:rsidR="000C6F9B">
        <w:t>ice</w:t>
      </w:r>
      <w:r>
        <w:t xml:space="preserve"> fed the control </w:t>
      </w:r>
      <w:r w:rsidRPr="000C6F9B">
        <w:rPr>
          <w:bCs/>
        </w:rPr>
        <w:t>diet</w:t>
      </w:r>
      <w:r>
        <w:rPr>
          <w:b/>
        </w:rPr>
        <w:t xml:space="preserve"> (a and b),</w:t>
      </w:r>
      <w:r>
        <w:t xml:space="preserve"> but no diff</w:t>
      </w:r>
      <w:r>
        <w:t xml:space="preserve">erences were seen in the lungs </w:t>
      </w:r>
      <w:r w:rsidR="000C6F9B">
        <w:t>or</w:t>
      </w:r>
      <w:r>
        <w:t xml:space="preserve"> liver </w:t>
      </w:r>
      <w:r>
        <w:rPr>
          <w:b/>
        </w:rPr>
        <w:t>(c and d). *p≤0.05</w:t>
      </w:r>
    </w:p>
    <w:p w14:paraId="00000030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31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32" w14:textId="78D77C42" w:rsidR="003076BF" w:rsidRPr="000C6F9B" w:rsidRDefault="00345C52">
      <w:pPr>
        <w:spacing w:after="0" w:line="240" w:lineRule="auto"/>
        <w:rPr>
          <w:sz w:val="24"/>
          <w:szCs w:val="24"/>
        </w:rPr>
      </w:pPr>
      <w:r w:rsidRPr="000C6F9B">
        <w:rPr>
          <w:sz w:val="24"/>
          <w:szCs w:val="24"/>
        </w:rPr>
        <w:t xml:space="preserve">These observations suggest that Acb can potentially be used to decrease the risk of cardiac and renal lesions associated with aging. Type 2 diabetes is associated with kidney and heart failure </w:t>
      </w:r>
      <w:r w:rsidR="009C6A52">
        <w:rPr>
          <w:sz w:val="24"/>
          <w:szCs w:val="24"/>
        </w:rPr>
        <w:t>[9]</w:t>
      </w:r>
      <w:r w:rsidRPr="000C6F9B">
        <w:rPr>
          <w:sz w:val="24"/>
          <w:szCs w:val="24"/>
        </w:rPr>
        <w:t xml:space="preserve"> due to increased plasma sugar. Decreasing risk of heart and kidney disease by </w:t>
      </w:r>
      <w:r w:rsidR="000C6F9B" w:rsidRPr="000C6F9B">
        <w:rPr>
          <w:sz w:val="24"/>
          <w:szCs w:val="24"/>
        </w:rPr>
        <w:t>Acb</w:t>
      </w:r>
      <w:r w:rsidRPr="000C6F9B">
        <w:rPr>
          <w:sz w:val="24"/>
          <w:szCs w:val="24"/>
        </w:rPr>
        <w:t xml:space="preserve"> is consistent with this observation. Hence, Acb c</w:t>
      </w:r>
      <w:r w:rsidR="00DC2C3D">
        <w:rPr>
          <w:sz w:val="24"/>
          <w:szCs w:val="24"/>
        </w:rPr>
        <w:t>ould</w:t>
      </w:r>
      <w:r w:rsidRPr="000C6F9B">
        <w:rPr>
          <w:sz w:val="24"/>
          <w:szCs w:val="24"/>
        </w:rPr>
        <w:t xml:space="preserve"> potentially be used to decrease the risk of renal and cardiac diseases for people with a family</w:t>
      </w:r>
      <w:r w:rsidRPr="000C6F9B">
        <w:rPr>
          <w:sz w:val="24"/>
          <w:szCs w:val="24"/>
        </w:rPr>
        <w:t xml:space="preserve"> history of these </w:t>
      </w:r>
      <w:r w:rsidR="000C6F9B" w:rsidRPr="000C6F9B">
        <w:rPr>
          <w:sz w:val="24"/>
          <w:szCs w:val="24"/>
        </w:rPr>
        <w:t>conditon</w:t>
      </w:r>
      <w:r w:rsidR="00EC3FAE">
        <w:rPr>
          <w:sz w:val="24"/>
          <w:szCs w:val="24"/>
        </w:rPr>
        <w:t>s</w:t>
      </w:r>
      <w:r w:rsidRPr="000C6F9B">
        <w:rPr>
          <w:sz w:val="24"/>
          <w:szCs w:val="24"/>
        </w:rPr>
        <w:t xml:space="preserve">. Further studies </w:t>
      </w:r>
      <w:r w:rsidR="00DC2C3D">
        <w:rPr>
          <w:sz w:val="24"/>
          <w:szCs w:val="24"/>
        </w:rPr>
        <w:t>would be of interest</w:t>
      </w:r>
      <w:r w:rsidRPr="000C6F9B">
        <w:rPr>
          <w:sz w:val="24"/>
          <w:szCs w:val="24"/>
        </w:rPr>
        <w:t xml:space="preserve"> to see the effects of acarbose in combination with other drugs like Rapamycin, which has been shown to decrease pathological lesions in the lungs </w:t>
      </w:r>
      <w:r w:rsidR="009C6A52">
        <w:rPr>
          <w:sz w:val="24"/>
          <w:szCs w:val="24"/>
        </w:rPr>
        <w:t>[10]</w:t>
      </w:r>
      <w:r w:rsidRPr="000C6F9B">
        <w:rPr>
          <w:sz w:val="24"/>
          <w:szCs w:val="24"/>
        </w:rPr>
        <w:t>, and</w:t>
      </w:r>
      <w:r w:rsidRPr="000C6F9B">
        <w:rPr>
          <w:sz w:val="24"/>
          <w:szCs w:val="24"/>
        </w:rPr>
        <w:t xml:space="preserve"> liver </w:t>
      </w:r>
      <w:r w:rsidR="009C6A52">
        <w:rPr>
          <w:sz w:val="24"/>
          <w:szCs w:val="24"/>
        </w:rPr>
        <w:t>[11]</w:t>
      </w:r>
      <w:r w:rsidRPr="000C6F9B">
        <w:rPr>
          <w:sz w:val="24"/>
          <w:szCs w:val="24"/>
        </w:rPr>
        <w:t xml:space="preserve">. </w:t>
      </w:r>
    </w:p>
    <w:p w14:paraId="00000033" w14:textId="77777777" w:rsidR="003076BF" w:rsidRDefault="003076BF">
      <w:pPr>
        <w:rPr>
          <w:sz w:val="24"/>
          <w:szCs w:val="24"/>
        </w:rPr>
      </w:pPr>
    </w:p>
    <w:p w14:paraId="00000034" w14:textId="77777777" w:rsidR="003076BF" w:rsidRPr="00EC3FAE" w:rsidRDefault="00345C52">
      <w:pPr>
        <w:rPr>
          <w:rFonts w:asciiTheme="minorHAnsi" w:hAnsiTheme="minorHAnsi" w:cstheme="minorHAnsi"/>
          <w:b/>
          <w:sz w:val="24"/>
          <w:szCs w:val="24"/>
        </w:rPr>
      </w:pPr>
      <w:r w:rsidRPr="00EC3FAE">
        <w:rPr>
          <w:rFonts w:asciiTheme="minorHAnsi" w:hAnsiTheme="minorHAnsi" w:cstheme="minorHAnsi"/>
          <w:b/>
          <w:sz w:val="24"/>
          <w:szCs w:val="24"/>
        </w:rPr>
        <w:t>References</w:t>
      </w:r>
    </w:p>
    <w:p w14:paraId="00000035" w14:textId="12E72D3C" w:rsidR="003076BF" w:rsidRPr="00EC3FAE" w:rsidRDefault="00EC3F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345C52" w:rsidRPr="00EC3FAE">
        <w:rPr>
          <w:rFonts w:asciiTheme="minorHAnsi" w:hAnsiTheme="minorHAnsi" w:cstheme="minorHAnsi"/>
          <w:sz w:val="24"/>
          <w:szCs w:val="24"/>
        </w:rPr>
        <w:t xml:space="preserve">Balfour JA, McTavish D. Acarbose. An update of its pharmacology and therapeutic use in diabetes mellitus. Drugs. 1993 Dec;46(6):1025-54. doi: 10.2165/00003495-199346060-00007. Erratum in: Drugs </w:t>
      </w:r>
      <w:r w:rsidR="00345C52" w:rsidRPr="00EC3FAE">
        <w:rPr>
          <w:rFonts w:asciiTheme="minorHAnsi" w:hAnsiTheme="minorHAnsi" w:cstheme="minorHAnsi"/>
          <w:sz w:val="24"/>
          <w:szCs w:val="24"/>
        </w:rPr>
        <w:t>1994 Dec;48(6):929. PMID: 7510610.</w:t>
      </w:r>
    </w:p>
    <w:p w14:paraId="00000036" w14:textId="66B436D0" w:rsidR="003076BF" w:rsidRPr="00EC3FAE" w:rsidRDefault="00EC3F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345C52" w:rsidRPr="00EC3FAE">
        <w:rPr>
          <w:rFonts w:asciiTheme="minorHAnsi" w:hAnsiTheme="minorHAnsi" w:cstheme="minorHAnsi"/>
          <w:sz w:val="24"/>
          <w:szCs w:val="24"/>
        </w:rPr>
        <w:t>Harrison D E, Strong R, Allison D B, et al. Acarbose, 17‐α‐ estradiol, and nordihydroguaiaretic acid extend mouse lifespan preferentially in males. Aging cell, 2014, 13(2): 273-282.</w:t>
      </w:r>
    </w:p>
    <w:p w14:paraId="00000037" w14:textId="2C32A454" w:rsidR="003076BF" w:rsidRPr="00EC3FAE" w:rsidRDefault="00EC3F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>3.</w:t>
      </w:r>
      <w:r w:rsidR="000A26D6"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 xml:space="preserve"> </w:t>
      </w:r>
      <w:r w:rsidR="00345C52" w:rsidRPr="00EC3FAE"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 xml:space="preserve">Harrison, D. E., Strong, R., Alavez, S., Astle, C. M., DiGiovanni, J., Fernandez, E., ... &amp; Miller, R. A. (2019). Acarbose improves health and lifespan in aging HET3 mice. </w:t>
      </w:r>
      <w:r w:rsidR="00345C52" w:rsidRPr="00EC3FAE">
        <w:rPr>
          <w:rFonts w:asciiTheme="minorHAnsi" w:eastAsia="Arial" w:hAnsiTheme="minorHAnsi" w:cstheme="minorHAnsi"/>
          <w:i/>
          <w:color w:val="222222"/>
          <w:sz w:val="24"/>
          <w:szCs w:val="24"/>
          <w:highlight w:val="white"/>
        </w:rPr>
        <w:t>Aging Cell</w:t>
      </w:r>
      <w:r w:rsidR="00345C52" w:rsidRPr="00EC3FAE"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 xml:space="preserve">, </w:t>
      </w:r>
      <w:r w:rsidR="00345C52" w:rsidRPr="00EC3FAE">
        <w:rPr>
          <w:rFonts w:asciiTheme="minorHAnsi" w:eastAsia="Arial" w:hAnsiTheme="minorHAnsi" w:cstheme="minorHAnsi"/>
          <w:i/>
          <w:color w:val="222222"/>
          <w:sz w:val="24"/>
          <w:szCs w:val="24"/>
          <w:highlight w:val="white"/>
        </w:rPr>
        <w:t>18</w:t>
      </w:r>
      <w:r w:rsidR="00345C52" w:rsidRPr="00EC3FAE">
        <w:rPr>
          <w:rFonts w:asciiTheme="minorHAnsi" w:eastAsia="Arial" w:hAnsiTheme="minorHAnsi" w:cstheme="minorHAnsi"/>
          <w:color w:val="222222"/>
          <w:sz w:val="24"/>
          <w:szCs w:val="24"/>
          <w:highlight w:val="white"/>
        </w:rPr>
        <w:t>(2), e12898.</w:t>
      </w:r>
    </w:p>
    <w:p w14:paraId="00000039" w14:textId="45879085" w:rsidR="003076BF" w:rsidRPr="00EC3FAE" w:rsidRDefault="000A2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345C52" w:rsidRPr="00EC3FAE">
        <w:rPr>
          <w:rFonts w:asciiTheme="minorHAnsi" w:hAnsiTheme="minorHAnsi" w:cstheme="minorHAnsi"/>
          <w:sz w:val="24"/>
          <w:szCs w:val="24"/>
        </w:rPr>
        <w:t>Steenman, Marja, &amp; Lande, Gilles. (2017). C</w:t>
      </w:r>
      <w:r w:rsidR="00345C52" w:rsidRPr="00EC3FAE">
        <w:rPr>
          <w:rFonts w:asciiTheme="minorHAnsi" w:hAnsiTheme="minorHAnsi" w:cstheme="minorHAnsi"/>
          <w:sz w:val="24"/>
          <w:szCs w:val="24"/>
        </w:rPr>
        <w:t>ardiac aging and heart disease in humans. Biophysical Reviews, 9(2), 131-137.</w:t>
      </w:r>
    </w:p>
    <w:p w14:paraId="0000003A" w14:textId="46ABAE95" w:rsidR="003076BF" w:rsidRPr="00EC3FAE" w:rsidRDefault="000A2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345C52" w:rsidRPr="00EC3FAE">
        <w:rPr>
          <w:rFonts w:asciiTheme="minorHAnsi" w:hAnsiTheme="minorHAnsi" w:cstheme="minorHAnsi"/>
          <w:sz w:val="24"/>
          <w:szCs w:val="24"/>
        </w:rPr>
        <w:t>O'Sullivan, Eoin D, Hughes, Jeremy, &amp; Ferenbach, David A. (2017). Renal Aging: Causes and Consequences. Journal of the American Society of Nephrology, 28(2), 407-420.</w:t>
      </w:r>
    </w:p>
    <w:p w14:paraId="64DBCADF" w14:textId="2443DE2E" w:rsidR="000A26D6" w:rsidRDefault="000A2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345C52" w:rsidRPr="00EC3FAE">
        <w:rPr>
          <w:rFonts w:asciiTheme="minorHAnsi" w:hAnsiTheme="minorHAnsi" w:cstheme="minorHAnsi"/>
          <w:sz w:val="24"/>
          <w:szCs w:val="24"/>
        </w:rPr>
        <w:t>Rojas, Maur</w:t>
      </w:r>
      <w:r w:rsidR="00345C52" w:rsidRPr="00EC3FAE">
        <w:rPr>
          <w:rFonts w:asciiTheme="minorHAnsi" w:hAnsiTheme="minorHAnsi" w:cstheme="minorHAnsi"/>
          <w:sz w:val="24"/>
          <w:szCs w:val="24"/>
        </w:rPr>
        <w:t>icio, Mora, Ana L, Kapetanaki, Maria, Weathington, Nathaniel, Gladwin, Mark, &amp; Eickelberg, Oliver. (2015). Aging and Lung Disease Clinical Impact and Cellular and Molecular Pathways. ANNALS OF THE AMERICAN THORACIC SOCIETY, 12(12), S222-S227.</w:t>
      </w:r>
    </w:p>
    <w:p w14:paraId="0000003C" w14:textId="20EEAA47" w:rsidR="003076BF" w:rsidRPr="00EC3FAE" w:rsidRDefault="009C6A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345C52" w:rsidRPr="00EC3FAE">
        <w:rPr>
          <w:rFonts w:asciiTheme="minorHAnsi" w:hAnsiTheme="minorHAnsi" w:cstheme="minorHAnsi"/>
          <w:sz w:val="24"/>
          <w:szCs w:val="24"/>
        </w:rPr>
        <w:t xml:space="preserve">Kim, In Hee, </w:t>
      </w:r>
      <w:r w:rsidR="00345C52" w:rsidRPr="00EC3FAE">
        <w:rPr>
          <w:rFonts w:asciiTheme="minorHAnsi" w:hAnsiTheme="minorHAnsi" w:cstheme="minorHAnsi"/>
          <w:sz w:val="24"/>
          <w:szCs w:val="24"/>
        </w:rPr>
        <w:t>Kisseleva, Tatiana, &amp; Brenner, David A. (2015). Aging and liver disease. Current Opinion in Gastroenterology, 31(3), 184-191.</w:t>
      </w:r>
    </w:p>
    <w:p w14:paraId="10E2FE40" w14:textId="34AB151D" w:rsidR="000A26D6" w:rsidRDefault="009C6A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0A26D6" w:rsidRPr="00EC3FAE">
        <w:rPr>
          <w:rFonts w:asciiTheme="minorHAnsi" w:hAnsiTheme="minorHAnsi" w:cstheme="minorHAnsi"/>
          <w:sz w:val="24"/>
          <w:szCs w:val="24"/>
        </w:rPr>
        <w:t>Snyder, J. M., Snider, T. A., Ciol, M. A., Wilkinson, J. E., Imai, D. M., Casey, K. M., ... &amp; Ladiges, W. (2019). Validation of a geropathology grading system for aging mouse studies. GeroScience, 41(4), 455-465</w:t>
      </w:r>
    </w:p>
    <w:p w14:paraId="0000003D" w14:textId="20486FF1" w:rsidR="003076BF" w:rsidRPr="00EC3FAE" w:rsidRDefault="00DC2C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45C52" w:rsidRPr="00EC3FAE">
        <w:rPr>
          <w:rFonts w:asciiTheme="minorHAnsi" w:hAnsiTheme="minorHAnsi" w:cstheme="minorHAnsi"/>
          <w:sz w:val="24"/>
          <w:szCs w:val="24"/>
        </w:rPr>
        <w:t>Selvarani, R.,  Mohammed, S., &amp; Richardson, A. (2020). Effect of rapamycin on aging and age-related diseases-past and future. Gero</w:t>
      </w:r>
      <w:r w:rsidR="00345C52" w:rsidRPr="00EC3FAE">
        <w:rPr>
          <w:rFonts w:asciiTheme="minorHAnsi" w:hAnsiTheme="minorHAnsi" w:cstheme="minorHAnsi"/>
          <w:sz w:val="24"/>
          <w:szCs w:val="24"/>
        </w:rPr>
        <w:t>Science, GeroScience, 2020-10-10.</w:t>
      </w:r>
    </w:p>
    <w:p w14:paraId="0000003E" w14:textId="1B8300E7" w:rsidR="003076BF" w:rsidRPr="00EC3FAE" w:rsidRDefault="00DC2C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345C52" w:rsidRPr="00EC3FAE">
        <w:rPr>
          <w:rFonts w:asciiTheme="minorHAnsi" w:hAnsiTheme="minorHAnsi" w:cstheme="minorHAnsi"/>
          <w:sz w:val="24"/>
          <w:szCs w:val="24"/>
        </w:rPr>
        <w:t>Karunadharma, Pabalu P, Basisty, Nathan, Dai, Dao‐Fu, Chiao, Ying A, Quarles, Ellen K, Hsieh, Edward J, . . . Rabinovitch, Peter S. (2015). Subacute calorie restriction and rapamycin discordantly alter mouse liver proteome</w:t>
      </w:r>
      <w:r w:rsidR="00345C52" w:rsidRPr="00EC3FAE">
        <w:rPr>
          <w:rFonts w:asciiTheme="minorHAnsi" w:hAnsiTheme="minorHAnsi" w:cstheme="minorHAnsi"/>
          <w:sz w:val="24"/>
          <w:szCs w:val="24"/>
        </w:rPr>
        <w:t xml:space="preserve"> homeostasis and reverse aging effects. Aging Cell, 14(4), 547-557.</w:t>
      </w:r>
    </w:p>
    <w:p w14:paraId="0000003F" w14:textId="52E2BA92" w:rsidR="003076BF" w:rsidRPr="00EC3FAE" w:rsidRDefault="00DC2C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11. </w:t>
      </w:r>
      <w:r w:rsidR="00345C52" w:rsidRPr="00EC3FAE">
        <w:rPr>
          <w:rFonts w:asciiTheme="minorHAnsi" w:hAnsiTheme="minorHAnsi" w:cstheme="minorHAnsi"/>
          <w:sz w:val="24"/>
          <w:szCs w:val="24"/>
        </w:rPr>
        <w:t>Koomen, Jeroen V, Stevens, Jasper, Bakris, George, Correa-Rotter, Ricardo, Hou, Fan Fan, Kitzman, Dalane W, . . . Heerspink, Hiddo J L. (2020). Individual Atrasentan Exposure is Associated</w:t>
      </w:r>
      <w:r w:rsidR="00345C52" w:rsidRPr="00EC3FAE">
        <w:rPr>
          <w:rFonts w:asciiTheme="minorHAnsi" w:hAnsiTheme="minorHAnsi" w:cstheme="minorHAnsi"/>
          <w:sz w:val="24"/>
          <w:szCs w:val="24"/>
        </w:rPr>
        <w:t xml:space="preserve"> With Long-term Kidney and Heart Failure Outcomes in Patients With Type 2 Diabetes and Chronic Kidney Disease. Clinical Pharmacology and Therapeutics, Clinical pharmacology and therapeutics, 2020-12-18.</w:t>
      </w:r>
    </w:p>
    <w:p w14:paraId="00000040" w14:textId="77777777" w:rsidR="003076BF" w:rsidRPr="00EC3FAE" w:rsidRDefault="003076BF">
      <w:pPr>
        <w:rPr>
          <w:rFonts w:asciiTheme="minorHAnsi" w:hAnsiTheme="minorHAnsi" w:cstheme="minorHAnsi"/>
          <w:sz w:val="24"/>
          <w:szCs w:val="24"/>
        </w:rPr>
      </w:pPr>
    </w:p>
    <w:p w14:paraId="00000041" w14:textId="77777777" w:rsidR="003076BF" w:rsidRDefault="003076BF"/>
    <w:p w14:paraId="00000042" w14:textId="77777777" w:rsidR="003076BF" w:rsidRDefault="003076BF"/>
    <w:p w14:paraId="00000043" w14:textId="77777777" w:rsidR="003076BF" w:rsidRDefault="003076BF"/>
    <w:p w14:paraId="00000044" w14:textId="77777777" w:rsidR="003076BF" w:rsidRDefault="003076BF"/>
    <w:p w14:paraId="00000045" w14:textId="77777777" w:rsidR="003076BF" w:rsidRDefault="003076BF"/>
    <w:p w14:paraId="00000046" w14:textId="77777777" w:rsidR="003076BF" w:rsidRDefault="003076BF"/>
    <w:p w14:paraId="00000047" w14:textId="77777777" w:rsidR="003076BF" w:rsidRDefault="003076BF"/>
    <w:p w14:paraId="00000048" w14:textId="77777777" w:rsidR="003076BF" w:rsidRDefault="003076BF"/>
    <w:p w14:paraId="00000049" w14:textId="77777777" w:rsidR="003076BF" w:rsidRDefault="003076BF"/>
    <w:p w14:paraId="0000004A" w14:textId="77777777" w:rsidR="003076BF" w:rsidRDefault="003076BF"/>
    <w:p w14:paraId="0000004B" w14:textId="77777777" w:rsidR="003076BF" w:rsidRDefault="003076BF"/>
    <w:p w14:paraId="0000004C" w14:textId="77777777" w:rsidR="003076BF" w:rsidRDefault="003076BF"/>
    <w:p w14:paraId="0000004D" w14:textId="77777777" w:rsidR="003076BF" w:rsidRDefault="003076BF"/>
    <w:p w14:paraId="0000004E" w14:textId="77777777" w:rsidR="003076BF" w:rsidRDefault="00345C52">
      <w:r>
        <w:t>Extra stuff: (Not part of Note)</w:t>
      </w:r>
    </w:p>
    <w:p w14:paraId="0000004F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Acarbos</w:t>
      </w:r>
      <w:r>
        <w:rPr>
          <w:sz w:val="24"/>
          <w:szCs w:val="24"/>
        </w:rPr>
        <w:t xml:space="preserve">e has an antihyperglycemic effect resulting from competitive, reversible inhibition of membrane-bound intestinal alpha-glucosidase and </w:t>
      </w:r>
      <w:hyperlink r:id="rId7">
        <w:r>
          <w:rPr>
            <w:sz w:val="24"/>
            <w:szCs w:val="24"/>
          </w:rPr>
          <w:t>pancreatic</w:t>
        </w:r>
      </w:hyperlink>
      <w:r>
        <w:rPr>
          <w:sz w:val="24"/>
          <w:szCs w:val="24"/>
        </w:rPr>
        <w:t xml:space="preserve"> alpha-amylase, two enzymes needed</w:t>
      </w:r>
      <w:r>
        <w:rPr>
          <w:sz w:val="24"/>
          <w:szCs w:val="24"/>
        </w:rPr>
        <w:t xml:space="preserve"> to digest complex carbohydrates [Balfour and Mctivish, 1993]. In diabetic patients, inhibiting these </w:t>
      </w:r>
      <w:hyperlink r:id="rId8">
        <w:r>
          <w:rPr>
            <w:sz w:val="24"/>
            <w:szCs w:val="24"/>
          </w:rPr>
          <w:t>enzyme</w:t>
        </w:r>
      </w:hyperlink>
      <w:r>
        <w:rPr>
          <w:sz w:val="24"/>
          <w:szCs w:val="24"/>
        </w:rPr>
        <w:t xml:space="preserve">s results in delayed glucose </w:t>
      </w:r>
      <w:hyperlink r:id="rId9">
        <w:r>
          <w:rPr>
            <w:sz w:val="24"/>
            <w:szCs w:val="24"/>
          </w:rPr>
          <w:t>absorption</w:t>
        </w:r>
      </w:hyperlink>
      <w:r>
        <w:rPr>
          <w:sz w:val="24"/>
          <w:szCs w:val="24"/>
        </w:rPr>
        <w:t xml:space="preserve"> and a lowering of postprandial hyperglycemia. In the NIA Intervention Testing Program, acarbose increased medium and maximal lifespan in four-way cross mice when treatment started at 4 months of age [Harrison e</w:t>
      </w:r>
      <w:r>
        <w:rPr>
          <w:sz w:val="24"/>
          <w:szCs w:val="24"/>
        </w:rPr>
        <w:t xml:space="preserve">t al., 2014]. When acarbose was started at 16 months of age, lifespan extension was achieved but was reduced [Strong et al., 2016]. </w:t>
      </w:r>
    </w:p>
    <w:p w14:paraId="00000050" w14:textId="77777777" w:rsidR="003076BF" w:rsidRDefault="00345C52">
      <w:pPr>
        <w:spacing w:after="0" w:line="240" w:lineRule="auto"/>
      </w:pPr>
      <w:r>
        <w:rPr>
          <w:sz w:val="24"/>
          <w:szCs w:val="24"/>
        </w:rPr>
        <w:t>The four way cross mice used in the above studies consisted of four inbred strains- C57BL/6, Balb/c, C3H and DBA 1. Short t</w:t>
      </w:r>
      <w:r>
        <w:rPr>
          <w:sz w:val="24"/>
          <w:szCs w:val="24"/>
        </w:rPr>
        <w:t xml:space="preserve">erm acarbose treatment in any of these individual strains at old age would be of interest to see if there was any anti-aging effects. Both genders of the C57BL/6 strain at 20 months of age were assessed for age-related lesion scores as readouts (Snyner et </w:t>
      </w:r>
      <w:r>
        <w:rPr>
          <w:sz w:val="24"/>
          <w:szCs w:val="24"/>
        </w:rPr>
        <w:t xml:space="preserve">al., 2020) for delay in aging after three months on a diet containing 1000 ppm acarbose.  </w:t>
      </w:r>
    </w:p>
    <w:p w14:paraId="00000051" w14:textId="77777777" w:rsidR="003076BF" w:rsidRDefault="003076BF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1619"/>
        <w:gridCol w:w="1615"/>
        <w:gridCol w:w="1615"/>
        <w:gridCol w:w="1607"/>
        <w:gridCol w:w="1616"/>
      </w:tblGrid>
      <w:tr w:rsidR="003076BF" w14:paraId="2A40AD8E" w14:textId="77777777">
        <w:tc>
          <w:tcPr>
            <w:tcW w:w="1664" w:type="dxa"/>
          </w:tcPr>
          <w:p w14:paraId="00000052" w14:textId="77777777" w:rsidR="003076BF" w:rsidRDefault="00345C52">
            <w:pPr>
              <w:rPr>
                <w:b/>
              </w:rPr>
            </w:pPr>
            <w:r>
              <w:rPr>
                <w:b/>
              </w:rPr>
              <w:t>Strain/Gender</w:t>
            </w:r>
          </w:p>
        </w:tc>
        <w:tc>
          <w:tcPr>
            <w:tcW w:w="1619" w:type="dxa"/>
          </w:tcPr>
          <w:p w14:paraId="00000053" w14:textId="77777777" w:rsidR="003076BF" w:rsidRDefault="00345C52">
            <w:pPr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1615" w:type="dxa"/>
          </w:tcPr>
          <w:p w14:paraId="00000054" w14:textId="77777777" w:rsidR="003076BF" w:rsidRDefault="00345C52">
            <w:pPr>
              <w:jc w:val="center"/>
              <w:rPr>
                <w:b/>
              </w:rPr>
            </w:pPr>
            <w:r>
              <w:rPr>
                <w:b/>
              </w:rPr>
              <w:t>Heart</w:t>
            </w:r>
          </w:p>
        </w:tc>
        <w:tc>
          <w:tcPr>
            <w:tcW w:w="1615" w:type="dxa"/>
          </w:tcPr>
          <w:p w14:paraId="00000055" w14:textId="77777777" w:rsidR="003076BF" w:rsidRDefault="00345C52">
            <w:pPr>
              <w:jc w:val="center"/>
              <w:rPr>
                <w:b/>
              </w:rPr>
            </w:pPr>
            <w:r>
              <w:rPr>
                <w:b/>
              </w:rPr>
              <w:t>Lungs</w:t>
            </w:r>
          </w:p>
        </w:tc>
        <w:tc>
          <w:tcPr>
            <w:tcW w:w="1607" w:type="dxa"/>
          </w:tcPr>
          <w:p w14:paraId="00000056" w14:textId="77777777" w:rsidR="003076BF" w:rsidRDefault="00345C52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1616" w:type="dxa"/>
          </w:tcPr>
          <w:p w14:paraId="00000057" w14:textId="77777777" w:rsidR="003076BF" w:rsidRDefault="00345C52">
            <w:pPr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</w:tc>
      </w:tr>
      <w:tr w:rsidR="003076BF" w14:paraId="0E4EFC9A" w14:textId="77777777">
        <w:tc>
          <w:tcPr>
            <w:tcW w:w="1664" w:type="dxa"/>
          </w:tcPr>
          <w:p w14:paraId="00000058" w14:textId="77777777" w:rsidR="003076BF" w:rsidRDefault="003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 Females</w:t>
            </w:r>
          </w:p>
        </w:tc>
        <w:tc>
          <w:tcPr>
            <w:tcW w:w="1619" w:type="dxa"/>
          </w:tcPr>
          <w:p w14:paraId="00000059" w14:textId="77777777" w:rsidR="003076BF" w:rsidRDefault="003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Acarbose</w:t>
            </w:r>
          </w:p>
        </w:tc>
        <w:tc>
          <w:tcPr>
            <w:tcW w:w="1615" w:type="dxa"/>
          </w:tcPr>
          <w:p w14:paraId="0000005A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2.7±0.1*</w:t>
            </w:r>
          </w:p>
        </w:tc>
        <w:tc>
          <w:tcPr>
            <w:tcW w:w="1615" w:type="dxa"/>
          </w:tcPr>
          <w:p w14:paraId="0000005B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3.9±0.2*</w:t>
            </w:r>
          </w:p>
        </w:tc>
        <w:tc>
          <w:tcPr>
            <w:tcW w:w="1607" w:type="dxa"/>
          </w:tcPr>
          <w:p w14:paraId="0000005C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5.8±0.4</w:t>
            </w:r>
          </w:p>
        </w:tc>
        <w:tc>
          <w:tcPr>
            <w:tcW w:w="1616" w:type="dxa"/>
          </w:tcPr>
          <w:p w14:paraId="0000005D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4.5±0.3*</w:t>
            </w:r>
          </w:p>
        </w:tc>
      </w:tr>
      <w:tr w:rsidR="003076BF" w14:paraId="073D5586" w14:textId="77777777">
        <w:tc>
          <w:tcPr>
            <w:tcW w:w="1664" w:type="dxa"/>
          </w:tcPr>
          <w:p w14:paraId="0000005E" w14:textId="77777777" w:rsidR="003076BF" w:rsidRDefault="003076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0000005F" w14:textId="77777777" w:rsidR="003076BF" w:rsidRDefault="003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615" w:type="dxa"/>
          </w:tcPr>
          <w:p w14:paraId="00000060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3.2±0.2</w:t>
            </w:r>
          </w:p>
        </w:tc>
        <w:tc>
          <w:tcPr>
            <w:tcW w:w="1615" w:type="dxa"/>
          </w:tcPr>
          <w:p w14:paraId="00000061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3.8±0.3</w:t>
            </w:r>
          </w:p>
        </w:tc>
        <w:tc>
          <w:tcPr>
            <w:tcW w:w="1607" w:type="dxa"/>
          </w:tcPr>
          <w:p w14:paraId="00000062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5.9±0.6</w:t>
            </w:r>
          </w:p>
        </w:tc>
        <w:tc>
          <w:tcPr>
            <w:tcW w:w="1616" w:type="dxa"/>
          </w:tcPr>
          <w:p w14:paraId="00000063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5.6±0.1</w:t>
            </w:r>
          </w:p>
        </w:tc>
      </w:tr>
      <w:tr w:rsidR="003076BF" w14:paraId="5706A449" w14:textId="77777777">
        <w:tc>
          <w:tcPr>
            <w:tcW w:w="1664" w:type="dxa"/>
          </w:tcPr>
          <w:p w14:paraId="00000064" w14:textId="77777777" w:rsidR="003076BF" w:rsidRDefault="003076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00000065" w14:textId="77777777" w:rsidR="003076BF" w:rsidRDefault="003076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0000066" w14:textId="77777777" w:rsidR="003076BF" w:rsidRDefault="0030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0000067" w14:textId="77777777" w:rsidR="003076BF" w:rsidRDefault="0030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00000068" w14:textId="77777777" w:rsidR="003076BF" w:rsidRDefault="0030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00000069" w14:textId="77777777" w:rsidR="003076BF" w:rsidRDefault="003076BF">
            <w:pPr>
              <w:jc w:val="center"/>
              <w:rPr>
                <w:sz w:val="20"/>
                <w:szCs w:val="20"/>
              </w:rPr>
            </w:pPr>
          </w:p>
        </w:tc>
      </w:tr>
      <w:tr w:rsidR="003076BF" w14:paraId="34D95D9C" w14:textId="77777777">
        <w:tc>
          <w:tcPr>
            <w:tcW w:w="1664" w:type="dxa"/>
          </w:tcPr>
          <w:p w14:paraId="0000006A" w14:textId="77777777" w:rsidR="003076BF" w:rsidRDefault="003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 Males</w:t>
            </w:r>
          </w:p>
        </w:tc>
        <w:tc>
          <w:tcPr>
            <w:tcW w:w="1619" w:type="dxa"/>
          </w:tcPr>
          <w:p w14:paraId="0000006B" w14:textId="77777777" w:rsidR="003076BF" w:rsidRDefault="003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Acarbose</w:t>
            </w:r>
          </w:p>
        </w:tc>
        <w:tc>
          <w:tcPr>
            <w:tcW w:w="1615" w:type="dxa"/>
          </w:tcPr>
          <w:p w14:paraId="0000006C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4.1±0.2</w:t>
            </w:r>
          </w:p>
        </w:tc>
        <w:tc>
          <w:tcPr>
            <w:tcW w:w="1615" w:type="dxa"/>
          </w:tcPr>
          <w:p w14:paraId="0000006D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3.6±0.4</w:t>
            </w:r>
          </w:p>
        </w:tc>
        <w:tc>
          <w:tcPr>
            <w:tcW w:w="1607" w:type="dxa"/>
          </w:tcPr>
          <w:p w14:paraId="0000006E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5.5±0.3</w:t>
            </w:r>
          </w:p>
        </w:tc>
        <w:tc>
          <w:tcPr>
            <w:tcW w:w="1616" w:type="dxa"/>
          </w:tcPr>
          <w:p w14:paraId="0000006F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3.8±0.2*</w:t>
            </w:r>
          </w:p>
        </w:tc>
      </w:tr>
      <w:tr w:rsidR="003076BF" w14:paraId="11E90264" w14:textId="77777777">
        <w:tc>
          <w:tcPr>
            <w:tcW w:w="1664" w:type="dxa"/>
          </w:tcPr>
          <w:p w14:paraId="00000070" w14:textId="77777777" w:rsidR="003076BF" w:rsidRDefault="003076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00000071" w14:textId="77777777" w:rsidR="003076BF" w:rsidRDefault="003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615" w:type="dxa"/>
          </w:tcPr>
          <w:p w14:paraId="00000072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4.4±0.3</w:t>
            </w:r>
          </w:p>
        </w:tc>
        <w:tc>
          <w:tcPr>
            <w:tcW w:w="1615" w:type="dxa"/>
          </w:tcPr>
          <w:p w14:paraId="00000073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3.8±0.3</w:t>
            </w:r>
          </w:p>
        </w:tc>
        <w:tc>
          <w:tcPr>
            <w:tcW w:w="1607" w:type="dxa"/>
          </w:tcPr>
          <w:p w14:paraId="00000074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5.6±0.2</w:t>
            </w:r>
          </w:p>
        </w:tc>
        <w:tc>
          <w:tcPr>
            <w:tcW w:w="1616" w:type="dxa"/>
          </w:tcPr>
          <w:p w14:paraId="00000075" w14:textId="77777777" w:rsidR="003076BF" w:rsidRDefault="003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4.2±0.3</w:t>
            </w:r>
          </w:p>
        </w:tc>
      </w:tr>
    </w:tbl>
    <w:p w14:paraId="00000076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77" w14:textId="77777777" w:rsidR="003076BF" w:rsidRDefault="003076BF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160"/>
        <w:gridCol w:w="1400"/>
        <w:gridCol w:w="1400"/>
        <w:gridCol w:w="1400"/>
        <w:gridCol w:w="1400"/>
      </w:tblGrid>
      <w:tr w:rsidR="003076BF" w14:paraId="330D6C34" w14:textId="77777777">
        <w:trPr>
          <w:trHeight w:val="785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Strain/Gender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Drug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3076BF" w:rsidRDefault="00345C52">
            <w:pPr>
              <w:rPr>
                <w:b/>
              </w:rPr>
            </w:pPr>
            <w:r>
              <w:rPr>
                <w:b/>
              </w:rPr>
              <w:t>Heart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3076BF" w:rsidRDefault="00345C52">
            <w:pPr>
              <w:rPr>
                <w:sz w:val="24"/>
                <w:szCs w:val="24"/>
              </w:rPr>
            </w:pPr>
            <w:r>
              <w:rPr>
                <w:b/>
              </w:rPr>
              <w:t>Lungs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Liver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Kidney</w:t>
            </w:r>
          </w:p>
        </w:tc>
      </w:tr>
      <w:tr w:rsidR="003076BF" w14:paraId="24FCD15F" w14:textId="77777777">
        <w:trPr>
          <w:trHeight w:val="725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B6 Females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Acarbose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2.7±0.1*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3.9±0.2*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5.8±0.4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4.5±0.3*</w:t>
            </w:r>
          </w:p>
        </w:tc>
      </w:tr>
      <w:tr w:rsidR="003076BF" w14:paraId="11F8F21F" w14:textId="77777777">
        <w:trPr>
          <w:trHeight w:val="500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3.2±0.2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3.8±0.3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5.9±0.6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5.6±0.1</w:t>
            </w:r>
          </w:p>
        </w:tc>
      </w:tr>
      <w:tr w:rsidR="003076BF" w14:paraId="166D431D" w14:textId="77777777">
        <w:trPr>
          <w:trHeight w:val="500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t-value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3076BF" w:rsidRDefault="00345C52">
            <w:pPr>
              <w:widowControl w:val="0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-7.746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0.961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-0.480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-12.050</w:t>
            </w:r>
          </w:p>
        </w:tc>
      </w:tr>
      <w:tr w:rsidR="003076BF" w14:paraId="78B47DAF" w14:textId="77777777">
        <w:trPr>
          <w:trHeight w:val="500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76BF" w14:paraId="3F468DB9" w14:textId="77777777">
        <w:trPr>
          <w:trHeight w:val="500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B6 Males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Acarbose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4.1±0.2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3.6±0.4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5.5±0.3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3.8±0.2*</w:t>
            </w:r>
          </w:p>
        </w:tc>
      </w:tr>
      <w:tr w:rsidR="003076BF" w14:paraId="10B7C275" w14:textId="77777777">
        <w:trPr>
          <w:trHeight w:val="695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3076BF" w:rsidRDefault="00345C52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4.4±0.3</w:t>
            </w:r>
          </w:p>
          <w:p w14:paraId="0000009F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3.8±0.3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5.6±0.2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4.8±0.3</w:t>
            </w:r>
          </w:p>
        </w:tc>
      </w:tr>
      <w:tr w:rsidR="003076BF" w14:paraId="74ABCA95" w14:textId="77777777">
        <w:trPr>
          <w:trHeight w:val="500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t-value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-2.882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>-1.386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t>-0.961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3076BF" w:rsidRDefault="00345C52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-9.608</w:t>
            </w:r>
          </w:p>
        </w:tc>
      </w:tr>
    </w:tbl>
    <w:p w14:paraId="000000A9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AA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Critical value = 2.201 for alpha = 0.05</w:t>
      </w:r>
    </w:p>
    <w:p w14:paraId="000000AB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cohort size = 12</w:t>
      </w:r>
    </w:p>
    <w:p w14:paraId="000000AC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AD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- significant decrease in males and females acarbose</w:t>
      </w:r>
    </w:p>
    <w:p w14:paraId="000000AE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A639D10" wp14:editId="5A8D7322">
            <wp:extent cx="3614738" cy="2196163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219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AF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7F86D729" wp14:editId="72F92ABD">
            <wp:extent cx="3781425" cy="22860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B0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Lungs - no significant change</w:t>
      </w:r>
    </w:p>
    <w:p w14:paraId="000000B1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B2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BE995C3" wp14:editId="2B23327B">
            <wp:extent cx="3648075" cy="244792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B3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Liver - no significant change in treatment group</w:t>
      </w:r>
    </w:p>
    <w:p w14:paraId="000000B4" w14:textId="77777777" w:rsidR="003076BF" w:rsidRDefault="003076BF">
      <w:pPr>
        <w:spacing w:after="0" w:line="240" w:lineRule="auto"/>
        <w:rPr>
          <w:sz w:val="24"/>
          <w:szCs w:val="24"/>
        </w:rPr>
      </w:pPr>
    </w:p>
    <w:p w14:paraId="000000B5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0546DF5" wp14:editId="420AF83E">
            <wp:extent cx="3667125" cy="23812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B6" w14:textId="77777777" w:rsidR="003076BF" w:rsidRDefault="00345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kidney - significant decrease in kidney lesions in male and female acarbose treated mice</w:t>
      </w:r>
    </w:p>
    <w:p w14:paraId="000000B7" w14:textId="77777777" w:rsidR="003076BF" w:rsidRDefault="003076BF">
      <w:pPr>
        <w:spacing w:after="0" w:line="240" w:lineRule="auto"/>
        <w:rPr>
          <w:sz w:val="24"/>
          <w:szCs w:val="24"/>
        </w:rPr>
      </w:pPr>
    </w:p>
    <w:sectPr w:rsidR="003076B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BF"/>
    <w:rsid w:val="000A26D6"/>
    <w:rsid w:val="000C6F9B"/>
    <w:rsid w:val="003076BF"/>
    <w:rsid w:val="00345C52"/>
    <w:rsid w:val="005F64AB"/>
    <w:rsid w:val="009148AB"/>
    <w:rsid w:val="009C6A52"/>
    <w:rsid w:val="00CB63D2"/>
    <w:rsid w:val="00DC2C3D"/>
    <w:rsid w:val="00E41E65"/>
    <w:rsid w:val="00E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C666"/>
  <w15:docId w15:val="{7BDCE766-E729-4D8A-A72F-E15191F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11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45"/>
    <w:rPr>
      <w:b/>
      <w:bCs/>
      <w:sz w:val="20"/>
      <w:szCs w:val="20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xlist.com/script/main/art.asp?articlekey=326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rxlist.com/script/main/art.asp?articlekey=474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rxlist.com/script/main/art.asp?articlekey=474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xlist.com/script/main/art.asp?articlekey=2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GNk4TWhIFDMySdFsZijuwryxw==">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Gupta</dc:creator>
  <cp:lastModifiedBy>Warren Ladiges</cp:lastModifiedBy>
  <cp:revision>2</cp:revision>
  <dcterms:created xsi:type="dcterms:W3CDTF">2021-05-28T21:05:00Z</dcterms:created>
  <dcterms:modified xsi:type="dcterms:W3CDTF">2021-05-28T21:05:00Z</dcterms:modified>
</cp:coreProperties>
</file>