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126F" w14:textId="727806CA" w:rsidR="009A0297" w:rsidRDefault="00C97771" w:rsidP="00C97771">
      <w:pPr>
        <w:spacing w:after="0" w:line="240" w:lineRule="auto"/>
        <w:rPr>
          <w:sz w:val="24"/>
          <w:szCs w:val="24"/>
        </w:rPr>
      </w:pPr>
      <w:r>
        <w:rPr>
          <w:sz w:val="24"/>
          <w:szCs w:val="24"/>
        </w:rPr>
        <w:t>Commentary</w:t>
      </w:r>
    </w:p>
    <w:p w14:paraId="01A95F22" w14:textId="59B3569E" w:rsidR="00C97771" w:rsidRDefault="00C97771" w:rsidP="00C97771">
      <w:pPr>
        <w:spacing w:after="0" w:line="240" w:lineRule="auto"/>
        <w:rPr>
          <w:sz w:val="24"/>
          <w:szCs w:val="24"/>
        </w:rPr>
      </w:pPr>
    </w:p>
    <w:p w14:paraId="500EDF3D" w14:textId="054A2BC8" w:rsidR="00C97771" w:rsidRPr="004A583A" w:rsidRDefault="008522B8" w:rsidP="00C97771">
      <w:pPr>
        <w:spacing w:after="0" w:line="240" w:lineRule="auto"/>
        <w:rPr>
          <w:b/>
          <w:bCs/>
          <w:sz w:val="24"/>
          <w:szCs w:val="24"/>
        </w:rPr>
      </w:pPr>
      <w:r>
        <w:rPr>
          <w:b/>
          <w:bCs/>
          <w:sz w:val="24"/>
          <w:szCs w:val="24"/>
        </w:rPr>
        <w:t xml:space="preserve">Precision aging. </w:t>
      </w:r>
      <w:r w:rsidR="00C97771" w:rsidRPr="004A583A">
        <w:rPr>
          <w:b/>
          <w:bCs/>
          <w:sz w:val="24"/>
          <w:szCs w:val="24"/>
        </w:rPr>
        <w:t>Human lifespan has intrinsic</w:t>
      </w:r>
      <w:r>
        <w:rPr>
          <w:b/>
          <w:bCs/>
          <w:sz w:val="24"/>
          <w:szCs w:val="24"/>
        </w:rPr>
        <w:t xml:space="preserve"> limits </w:t>
      </w:r>
      <w:r w:rsidR="00C97771" w:rsidRPr="004A583A">
        <w:rPr>
          <w:b/>
          <w:bCs/>
          <w:sz w:val="24"/>
          <w:szCs w:val="24"/>
        </w:rPr>
        <w:t xml:space="preserve">but measurable </w:t>
      </w:r>
      <w:r>
        <w:rPr>
          <w:b/>
          <w:bCs/>
          <w:sz w:val="24"/>
          <w:szCs w:val="24"/>
        </w:rPr>
        <w:t>outcomes</w:t>
      </w:r>
    </w:p>
    <w:p w14:paraId="091D62CB" w14:textId="4763AF55" w:rsidR="00C97771" w:rsidRDefault="00C97771" w:rsidP="00C97771">
      <w:pPr>
        <w:spacing w:after="0" w:line="240" w:lineRule="auto"/>
        <w:rPr>
          <w:sz w:val="24"/>
          <w:szCs w:val="24"/>
        </w:rPr>
      </w:pPr>
    </w:p>
    <w:p w14:paraId="564A2273" w14:textId="3908C7A0" w:rsidR="00C97771" w:rsidRDefault="00C97771" w:rsidP="00C97771">
      <w:pPr>
        <w:spacing w:after="0" w:line="240" w:lineRule="auto"/>
        <w:rPr>
          <w:sz w:val="24"/>
          <w:szCs w:val="24"/>
        </w:rPr>
      </w:pPr>
      <w:r>
        <w:rPr>
          <w:sz w:val="24"/>
          <w:szCs w:val="24"/>
        </w:rPr>
        <w:t>Warren Ladiges</w:t>
      </w:r>
    </w:p>
    <w:p w14:paraId="0E232344" w14:textId="77777777" w:rsidR="004A583A" w:rsidRDefault="004A583A" w:rsidP="00C97771">
      <w:pPr>
        <w:spacing w:after="0" w:line="240" w:lineRule="auto"/>
        <w:rPr>
          <w:sz w:val="24"/>
          <w:szCs w:val="24"/>
        </w:rPr>
      </w:pPr>
    </w:p>
    <w:p w14:paraId="20DF1201" w14:textId="535562C0" w:rsidR="00C97771" w:rsidRDefault="00C97771" w:rsidP="00C97771">
      <w:pPr>
        <w:spacing w:after="0" w:line="240" w:lineRule="auto"/>
        <w:rPr>
          <w:sz w:val="24"/>
          <w:szCs w:val="24"/>
        </w:rPr>
      </w:pPr>
      <w:r>
        <w:rPr>
          <w:sz w:val="24"/>
          <w:szCs w:val="24"/>
        </w:rPr>
        <w:t>Department of Comparative Medic</w:t>
      </w:r>
      <w:r w:rsidR="004A583A">
        <w:rPr>
          <w:sz w:val="24"/>
          <w:szCs w:val="24"/>
        </w:rPr>
        <w:t>ine</w:t>
      </w:r>
      <w:r>
        <w:rPr>
          <w:sz w:val="24"/>
          <w:szCs w:val="24"/>
        </w:rPr>
        <w:t>, School of Medicine, Univeristy of Washing</w:t>
      </w:r>
      <w:r w:rsidR="004A583A">
        <w:rPr>
          <w:sz w:val="24"/>
          <w:szCs w:val="24"/>
        </w:rPr>
        <w:t>ton,</w:t>
      </w:r>
      <w:r>
        <w:rPr>
          <w:sz w:val="24"/>
          <w:szCs w:val="24"/>
        </w:rPr>
        <w:t xml:space="preserve"> Seattle, WA</w:t>
      </w:r>
    </w:p>
    <w:p w14:paraId="0DBA4D4C" w14:textId="3F342584" w:rsidR="00F9490A" w:rsidRDefault="00F9490A" w:rsidP="00C97771">
      <w:pPr>
        <w:spacing w:after="0" w:line="240" w:lineRule="auto"/>
        <w:rPr>
          <w:sz w:val="24"/>
          <w:szCs w:val="24"/>
        </w:rPr>
      </w:pPr>
    </w:p>
    <w:p w14:paraId="4E9008AD" w14:textId="42F14D93" w:rsidR="00F9490A" w:rsidRDefault="00F9490A" w:rsidP="00C97771">
      <w:pPr>
        <w:spacing w:after="0" w:line="240" w:lineRule="auto"/>
        <w:rPr>
          <w:sz w:val="24"/>
          <w:szCs w:val="24"/>
        </w:rPr>
      </w:pPr>
      <w:r>
        <w:rPr>
          <w:sz w:val="24"/>
          <w:szCs w:val="24"/>
        </w:rPr>
        <w:t>Correspondence. Warren Ladiges, wladiges@uw.edu.</w:t>
      </w:r>
    </w:p>
    <w:p w14:paraId="023C47C5" w14:textId="5D9A1307" w:rsidR="004A583A" w:rsidRDefault="004A583A" w:rsidP="00C97771">
      <w:pPr>
        <w:spacing w:after="0" w:line="240" w:lineRule="auto"/>
        <w:rPr>
          <w:sz w:val="24"/>
          <w:szCs w:val="24"/>
        </w:rPr>
      </w:pPr>
    </w:p>
    <w:p w14:paraId="7AD8D1CD" w14:textId="6AF5A9A5" w:rsidR="004A583A" w:rsidRDefault="004A583A" w:rsidP="00C97771">
      <w:pPr>
        <w:spacing w:after="0" w:line="240" w:lineRule="auto"/>
        <w:rPr>
          <w:sz w:val="24"/>
          <w:szCs w:val="24"/>
        </w:rPr>
      </w:pPr>
    </w:p>
    <w:p w14:paraId="48F17FD9" w14:textId="74A910F3" w:rsidR="00252753" w:rsidRDefault="004A583A" w:rsidP="00C97771">
      <w:pPr>
        <w:spacing w:after="0" w:line="240" w:lineRule="auto"/>
        <w:rPr>
          <w:sz w:val="24"/>
          <w:szCs w:val="24"/>
        </w:rPr>
      </w:pPr>
      <w:r>
        <w:rPr>
          <w:sz w:val="24"/>
          <w:szCs w:val="24"/>
        </w:rPr>
        <w:t>A recent article by P</w:t>
      </w:r>
      <w:r w:rsidR="00357440">
        <w:rPr>
          <w:sz w:val="24"/>
          <w:szCs w:val="24"/>
        </w:rPr>
        <w:t>yr</w:t>
      </w:r>
      <w:r>
        <w:rPr>
          <w:sz w:val="24"/>
          <w:szCs w:val="24"/>
        </w:rPr>
        <w:t xml:space="preserve">kov et al </w:t>
      </w:r>
      <w:r w:rsidR="00020307">
        <w:rPr>
          <w:sz w:val="24"/>
          <w:szCs w:val="24"/>
        </w:rPr>
        <w:t>[1]</w:t>
      </w:r>
      <w:r>
        <w:rPr>
          <w:sz w:val="24"/>
          <w:szCs w:val="24"/>
        </w:rPr>
        <w:t xml:space="preserve"> suggests that progressive loss of physical resilience to aging coincides with an absolute limit of human lifespan in the range of 120 to 150 years. Furthermore, the authors conclude that end of life is an intrinsic biological property independent of internal or external stress factors. Their analy</w:t>
      </w:r>
      <w:r w:rsidR="008522B8">
        <w:rPr>
          <w:sz w:val="24"/>
          <w:szCs w:val="24"/>
        </w:rPr>
        <w:t>s</w:t>
      </w:r>
      <w:r>
        <w:rPr>
          <w:sz w:val="24"/>
          <w:szCs w:val="24"/>
        </w:rPr>
        <w:t>is is based on a log-linear mortality estimate of complete blood count variables, such as neutrophil lymphocyte ratio, as  single quantitive measures of the aging process correlated with physical activity data from individual tracking devices. These statistical projections</w:t>
      </w:r>
      <w:r w:rsidR="006D6AA4">
        <w:rPr>
          <w:sz w:val="24"/>
          <w:szCs w:val="24"/>
        </w:rPr>
        <w:t xml:space="preserve"> are intriguing and potentially impactful but need to be validated in such a way as to provide practical appoaches to defining physical resilience. Once this is established, more accurate predictions can be made for </w:t>
      </w:r>
      <w:r w:rsidR="00252753">
        <w:rPr>
          <w:sz w:val="24"/>
          <w:szCs w:val="24"/>
        </w:rPr>
        <w:t xml:space="preserve">the degree of </w:t>
      </w:r>
      <w:r w:rsidR="006D6AA4">
        <w:rPr>
          <w:sz w:val="24"/>
          <w:szCs w:val="24"/>
        </w:rPr>
        <w:t>individual</w:t>
      </w:r>
      <w:r w:rsidR="00252753">
        <w:rPr>
          <w:sz w:val="24"/>
          <w:szCs w:val="24"/>
        </w:rPr>
        <w:t xml:space="preserve"> resilience with increasing age, and the power to align with appropriate aging intervention strategies.</w:t>
      </w:r>
    </w:p>
    <w:p w14:paraId="05A82FAC" w14:textId="77777777" w:rsidR="00252753" w:rsidRDefault="00252753" w:rsidP="00C97771">
      <w:pPr>
        <w:spacing w:after="0" w:line="240" w:lineRule="auto"/>
        <w:rPr>
          <w:sz w:val="24"/>
          <w:szCs w:val="24"/>
        </w:rPr>
      </w:pPr>
    </w:p>
    <w:p w14:paraId="631B1322" w14:textId="7B63D8A2" w:rsidR="000C2F4F" w:rsidRDefault="001C746B" w:rsidP="00C97771">
      <w:pPr>
        <w:spacing w:after="0" w:line="240" w:lineRule="auto"/>
        <w:rPr>
          <w:sz w:val="24"/>
          <w:szCs w:val="24"/>
        </w:rPr>
      </w:pPr>
      <w:r>
        <w:rPr>
          <w:sz w:val="24"/>
          <w:szCs w:val="24"/>
        </w:rPr>
        <w:t>One</w:t>
      </w:r>
      <w:r w:rsidR="00252753">
        <w:rPr>
          <w:sz w:val="24"/>
          <w:szCs w:val="24"/>
        </w:rPr>
        <w:t xml:space="preserve"> area of current </w:t>
      </w:r>
      <w:r>
        <w:rPr>
          <w:sz w:val="24"/>
          <w:szCs w:val="24"/>
        </w:rPr>
        <w:t>biolo</w:t>
      </w:r>
      <w:r w:rsidR="008522B8">
        <w:rPr>
          <w:sz w:val="24"/>
          <w:szCs w:val="24"/>
        </w:rPr>
        <w:t>gi</w:t>
      </w:r>
      <w:r>
        <w:rPr>
          <w:sz w:val="24"/>
          <w:szCs w:val="24"/>
        </w:rPr>
        <w:t xml:space="preserve">cal </w:t>
      </w:r>
      <w:r w:rsidR="00252753">
        <w:rPr>
          <w:sz w:val="24"/>
          <w:szCs w:val="24"/>
        </w:rPr>
        <w:t>research on resilience and aging is focused on developing physic</w:t>
      </w:r>
      <w:r>
        <w:rPr>
          <w:sz w:val="24"/>
          <w:szCs w:val="24"/>
        </w:rPr>
        <w:t>a</w:t>
      </w:r>
      <w:r w:rsidR="00252753">
        <w:rPr>
          <w:sz w:val="24"/>
          <w:szCs w:val="24"/>
        </w:rPr>
        <w:t>l stress tests that actually pred</w:t>
      </w:r>
      <w:r>
        <w:rPr>
          <w:sz w:val="24"/>
          <w:szCs w:val="24"/>
        </w:rPr>
        <w:t>ict</w:t>
      </w:r>
      <w:r w:rsidR="00252753">
        <w:rPr>
          <w:sz w:val="24"/>
          <w:szCs w:val="24"/>
        </w:rPr>
        <w:t xml:space="preserve"> resilience to aging in </w:t>
      </w:r>
      <w:r w:rsidR="00357440">
        <w:rPr>
          <w:sz w:val="24"/>
          <w:szCs w:val="24"/>
        </w:rPr>
        <w:t>animal models</w:t>
      </w:r>
      <w:r w:rsidR="00252753">
        <w:rPr>
          <w:sz w:val="24"/>
          <w:szCs w:val="24"/>
        </w:rPr>
        <w:t xml:space="preserve">. For example, </w:t>
      </w:r>
      <w:r w:rsidR="00357440">
        <w:rPr>
          <w:sz w:val="24"/>
          <w:szCs w:val="24"/>
        </w:rPr>
        <w:t xml:space="preserve">in older naïve mice, </w:t>
      </w:r>
      <w:r w:rsidR="00252753">
        <w:rPr>
          <w:sz w:val="24"/>
          <w:szCs w:val="24"/>
        </w:rPr>
        <w:t>a non-lethal dose of the drug cyclophosphamide triggers a response in the white blood cell population such that the neutrophil lymphocyte ratio</w:t>
      </w:r>
      <w:r>
        <w:rPr>
          <w:sz w:val="24"/>
          <w:szCs w:val="24"/>
        </w:rPr>
        <w:t xml:space="preserve"> predicts more youthful cognition and physical activity in a subset of mice with increasing age </w:t>
      </w:r>
      <w:r w:rsidR="00020307">
        <w:rPr>
          <w:sz w:val="24"/>
          <w:szCs w:val="24"/>
        </w:rPr>
        <w:t>[2]</w:t>
      </w:r>
      <w:r>
        <w:rPr>
          <w:sz w:val="24"/>
          <w:szCs w:val="24"/>
        </w:rPr>
        <w:t>. Another example is immune response to a vaccine. Adult mice vaccinated with the clinically</w:t>
      </w:r>
      <w:r w:rsidR="008522B8">
        <w:rPr>
          <w:sz w:val="24"/>
          <w:szCs w:val="24"/>
        </w:rPr>
        <w:t>-</w:t>
      </w:r>
      <w:r>
        <w:rPr>
          <w:sz w:val="24"/>
          <w:szCs w:val="24"/>
        </w:rPr>
        <w:t>used vaccine Prev</w:t>
      </w:r>
      <w:r w:rsidR="00CB1C51">
        <w:rPr>
          <w:sz w:val="24"/>
          <w:szCs w:val="24"/>
        </w:rPr>
        <w:t>e</w:t>
      </w:r>
      <w:r>
        <w:rPr>
          <w:sz w:val="24"/>
          <w:szCs w:val="24"/>
        </w:rPr>
        <w:t>nar13 could be stratified into high antibody responders and low antibody responders and when followed to older ages, showed high performance and low performance, respectively, in cogn</w:t>
      </w:r>
      <w:r w:rsidR="008522B8">
        <w:rPr>
          <w:sz w:val="24"/>
          <w:szCs w:val="24"/>
        </w:rPr>
        <w:t>i</w:t>
      </w:r>
      <w:r>
        <w:rPr>
          <w:sz w:val="24"/>
          <w:szCs w:val="24"/>
        </w:rPr>
        <w:t>tion and phys</w:t>
      </w:r>
      <w:r w:rsidR="008522B8">
        <w:rPr>
          <w:sz w:val="24"/>
          <w:szCs w:val="24"/>
        </w:rPr>
        <w:t>i</w:t>
      </w:r>
      <w:r>
        <w:rPr>
          <w:sz w:val="24"/>
          <w:szCs w:val="24"/>
        </w:rPr>
        <w:t xml:space="preserve">cal assessment activities </w:t>
      </w:r>
      <w:r w:rsidR="00020307">
        <w:rPr>
          <w:sz w:val="24"/>
          <w:szCs w:val="24"/>
        </w:rPr>
        <w:t>[3]</w:t>
      </w:r>
      <w:r>
        <w:rPr>
          <w:sz w:val="24"/>
          <w:szCs w:val="24"/>
        </w:rPr>
        <w:t xml:space="preserve">. Similar observations were made in a wound healing model where </w:t>
      </w:r>
      <w:r w:rsidR="000C2F4F">
        <w:rPr>
          <w:sz w:val="24"/>
          <w:szCs w:val="24"/>
        </w:rPr>
        <w:t>adult mice were administered a small skin punch biopsy and measured for h</w:t>
      </w:r>
      <w:r w:rsidR="008522B8">
        <w:rPr>
          <w:sz w:val="24"/>
          <w:szCs w:val="24"/>
        </w:rPr>
        <w:t>ow</w:t>
      </w:r>
      <w:r w:rsidR="000C2F4F">
        <w:rPr>
          <w:sz w:val="24"/>
          <w:szCs w:val="24"/>
        </w:rPr>
        <w:t xml:space="preserve"> fast the biopsy closed over several weeks. With increasing age, the rate of closure correlated with physical performance </w:t>
      </w:r>
      <w:r w:rsidR="00020307">
        <w:rPr>
          <w:sz w:val="24"/>
          <w:szCs w:val="24"/>
        </w:rPr>
        <w:t>[4]</w:t>
      </w:r>
      <w:r w:rsidR="000C2F4F">
        <w:rPr>
          <w:sz w:val="24"/>
          <w:szCs w:val="24"/>
        </w:rPr>
        <w:t xml:space="preserve">. </w:t>
      </w:r>
    </w:p>
    <w:p w14:paraId="19546A5B" w14:textId="77777777" w:rsidR="000C2F4F" w:rsidRDefault="000C2F4F" w:rsidP="00C97771">
      <w:pPr>
        <w:spacing w:after="0" w:line="240" w:lineRule="auto"/>
        <w:rPr>
          <w:sz w:val="24"/>
          <w:szCs w:val="24"/>
        </w:rPr>
      </w:pPr>
    </w:p>
    <w:p w14:paraId="0E7C5A7D" w14:textId="3B93B58E" w:rsidR="008522B8" w:rsidRDefault="000C2F4F" w:rsidP="00C97771">
      <w:pPr>
        <w:spacing w:after="0" w:line="240" w:lineRule="auto"/>
        <w:rPr>
          <w:sz w:val="24"/>
          <w:szCs w:val="24"/>
        </w:rPr>
      </w:pPr>
      <w:r>
        <w:rPr>
          <w:sz w:val="24"/>
          <w:szCs w:val="24"/>
        </w:rPr>
        <w:t>These preclinical observations speak for the inclusion of physical stress test variables into the organismal projections described by P</w:t>
      </w:r>
      <w:r w:rsidR="00357440">
        <w:rPr>
          <w:sz w:val="24"/>
          <w:szCs w:val="24"/>
        </w:rPr>
        <w:t>yr</w:t>
      </w:r>
      <w:r>
        <w:rPr>
          <w:sz w:val="24"/>
          <w:szCs w:val="24"/>
        </w:rPr>
        <w:t xml:space="preserve">kov et al </w:t>
      </w:r>
      <w:r w:rsidR="00020307">
        <w:rPr>
          <w:sz w:val="24"/>
          <w:szCs w:val="24"/>
        </w:rPr>
        <w:t>[1]</w:t>
      </w:r>
      <w:r>
        <w:rPr>
          <w:sz w:val="24"/>
          <w:szCs w:val="24"/>
        </w:rPr>
        <w:t>. This would allow for the development of in vitro assessments that would align with phys</w:t>
      </w:r>
      <w:r w:rsidR="008522B8">
        <w:rPr>
          <w:sz w:val="24"/>
          <w:szCs w:val="24"/>
        </w:rPr>
        <w:t>ical</w:t>
      </w:r>
      <w:r>
        <w:rPr>
          <w:sz w:val="24"/>
          <w:szCs w:val="24"/>
        </w:rPr>
        <w:t xml:space="preserve"> resilience and the response patterns associated </w:t>
      </w:r>
      <w:r w:rsidR="0055345D">
        <w:rPr>
          <w:sz w:val="24"/>
          <w:szCs w:val="24"/>
        </w:rPr>
        <w:t xml:space="preserve">with </w:t>
      </w:r>
      <w:r w:rsidR="00AB30E4">
        <w:rPr>
          <w:sz w:val="24"/>
          <w:szCs w:val="24"/>
        </w:rPr>
        <w:t xml:space="preserve">the administration of </w:t>
      </w:r>
      <w:r>
        <w:rPr>
          <w:sz w:val="24"/>
          <w:szCs w:val="24"/>
        </w:rPr>
        <w:t xml:space="preserve">a specific physical stress. This approach does not contradict the premise of stress as a </w:t>
      </w:r>
      <w:r w:rsidR="001C3D7E">
        <w:rPr>
          <w:sz w:val="24"/>
          <w:szCs w:val="24"/>
        </w:rPr>
        <w:t>non-</w:t>
      </w:r>
      <w:r>
        <w:rPr>
          <w:sz w:val="24"/>
          <w:szCs w:val="24"/>
        </w:rPr>
        <w:t xml:space="preserve">causal element in aging, but merely provides a means of </w:t>
      </w:r>
      <w:r w:rsidR="008522B8">
        <w:rPr>
          <w:sz w:val="24"/>
          <w:szCs w:val="24"/>
        </w:rPr>
        <w:t xml:space="preserve">better </w:t>
      </w:r>
      <w:r>
        <w:rPr>
          <w:sz w:val="24"/>
          <w:szCs w:val="24"/>
        </w:rPr>
        <w:t xml:space="preserve">defining </w:t>
      </w:r>
      <w:r w:rsidR="008522B8">
        <w:rPr>
          <w:sz w:val="24"/>
          <w:szCs w:val="24"/>
        </w:rPr>
        <w:t xml:space="preserve">trajectories of physical resilience with lifespan. By definition, it also implies </w:t>
      </w:r>
      <w:r w:rsidR="008522B8">
        <w:rPr>
          <w:sz w:val="24"/>
          <w:szCs w:val="24"/>
        </w:rPr>
        <w:lastRenderedPageBreak/>
        <w:t xml:space="preserve">that individuals with continued robust resilience with increasing age would be in relative good health and maintain functional independence. </w:t>
      </w:r>
    </w:p>
    <w:p w14:paraId="77720E8F" w14:textId="77777777" w:rsidR="008522B8" w:rsidRDefault="008522B8" w:rsidP="00C97771">
      <w:pPr>
        <w:spacing w:after="0" w:line="240" w:lineRule="auto"/>
        <w:rPr>
          <w:sz w:val="24"/>
          <w:szCs w:val="24"/>
        </w:rPr>
      </w:pPr>
    </w:p>
    <w:p w14:paraId="465F1FCA" w14:textId="4FB828A5" w:rsidR="008939B2" w:rsidRDefault="0055345D" w:rsidP="00C97771">
      <w:pPr>
        <w:spacing w:after="0" w:line="240" w:lineRule="auto"/>
        <w:rPr>
          <w:sz w:val="24"/>
          <w:szCs w:val="24"/>
        </w:rPr>
      </w:pPr>
      <w:r>
        <w:rPr>
          <w:sz w:val="24"/>
          <w:szCs w:val="24"/>
        </w:rPr>
        <w:t>On the other hand, the ability to predict a lack of robustness of physical resilience to aging provides a platform for the possibility of extending health</w:t>
      </w:r>
      <w:r w:rsidR="001C3D7E">
        <w:rPr>
          <w:sz w:val="24"/>
          <w:szCs w:val="24"/>
        </w:rPr>
        <w:t>y</w:t>
      </w:r>
      <w:r>
        <w:rPr>
          <w:sz w:val="24"/>
          <w:szCs w:val="24"/>
        </w:rPr>
        <w:t xml:space="preserve"> aging and lifespan up to the lifespan limits defined by P</w:t>
      </w:r>
      <w:r w:rsidR="00406A11">
        <w:rPr>
          <w:sz w:val="24"/>
          <w:szCs w:val="24"/>
        </w:rPr>
        <w:t>yr</w:t>
      </w:r>
      <w:r>
        <w:rPr>
          <w:sz w:val="24"/>
          <w:szCs w:val="24"/>
        </w:rPr>
        <w:t xml:space="preserve">kov et al </w:t>
      </w:r>
      <w:r w:rsidR="00020307">
        <w:rPr>
          <w:sz w:val="24"/>
          <w:szCs w:val="24"/>
        </w:rPr>
        <w:t>[1]</w:t>
      </w:r>
      <w:r>
        <w:rPr>
          <w:sz w:val="24"/>
          <w:szCs w:val="24"/>
        </w:rPr>
        <w:t>. Aging intervention strategies are being developed th</w:t>
      </w:r>
      <w:r w:rsidR="008939B2">
        <w:rPr>
          <w:sz w:val="24"/>
          <w:szCs w:val="24"/>
        </w:rPr>
        <w:t>a</w:t>
      </w:r>
      <w:r>
        <w:rPr>
          <w:sz w:val="24"/>
          <w:szCs w:val="24"/>
        </w:rPr>
        <w:t>t target multiple aging pathways</w:t>
      </w:r>
      <w:r w:rsidR="00AB30E4">
        <w:rPr>
          <w:sz w:val="24"/>
          <w:szCs w:val="24"/>
        </w:rPr>
        <w:t xml:space="preserve"> and enhance resilience </w:t>
      </w:r>
      <w:r w:rsidR="00020307">
        <w:rPr>
          <w:sz w:val="24"/>
          <w:szCs w:val="24"/>
        </w:rPr>
        <w:t>[5]</w:t>
      </w:r>
      <w:r>
        <w:rPr>
          <w:sz w:val="24"/>
          <w:szCs w:val="24"/>
        </w:rPr>
        <w:t xml:space="preserve">, and could be designed on an inividual basis depending on the predictive power </w:t>
      </w:r>
      <w:r w:rsidR="008939B2">
        <w:rPr>
          <w:sz w:val="24"/>
          <w:szCs w:val="24"/>
        </w:rPr>
        <w:t xml:space="preserve">of one or several in vitro stress test response patterns. This concept then allows precision medicine to enter into the biology of aging </w:t>
      </w:r>
      <w:r w:rsidR="009F3E5C">
        <w:rPr>
          <w:sz w:val="24"/>
          <w:szCs w:val="24"/>
        </w:rPr>
        <w:t xml:space="preserve">arena </w:t>
      </w:r>
      <w:r w:rsidR="008939B2">
        <w:rPr>
          <w:sz w:val="24"/>
          <w:szCs w:val="24"/>
        </w:rPr>
        <w:t>as precision aging</w:t>
      </w:r>
      <w:r w:rsidR="001C3B51">
        <w:rPr>
          <w:sz w:val="24"/>
          <w:szCs w:val="24"/>
        </w:rPr>
        <w:t xml:space="preserve"> (Figure 1)</w:t>
      </w:r>
      <w:r w:rsidR="008939B2">
        <w:rPr>
          <w:sz w:val="24"/>
          <w:szCs w:val="24"/>
        </w:rPr>
        <w:t xml:space="preserve">, where the objective is not to search for immortality but for ways each individual can maintain a </w:t>
      </w:r>
      <w:r w:rsidR="00020307">
        <w:rPr>
          <w:sz w:val="24"/>
          <w:szCs w:val="24"/>
        </w:rPr>
        <w:t xml:space="preserve">more youthful </w:t>
      </w:r>
      <w:r w:rsidR="008939B2">
        <w:rPr>
          <w:sz w:val="24"/>
          <w:szCs w:val="24"/>
        </w:rPr>
        <w:t>level of resilience for a healthy and functional life</w:t>
      </w:r>
      <w:r w:rsidR="00020307">
        <w:rPr>
          <w:sz w:val="24"/>
          <w:szCs w:val="24"/>
        </w:rPr>
        <w:t xml:space="preserve"> with increasing age but still</w:t>
      </w:r>
      <w:r w:rsidR="008939B2">
        <w:rPr>
          <w:sz w:val="24"/>
          <w:szCs w:val="24"/>
        </w:rPr>
        <w:t xml:space="preserve"> </w:t>
      </w:r>
      <w:r w:rsidR="00AB30E4">
        <w:rPr>
          <w:sz w:val="24"/>
          <w:szCs w:val="24"/>
        </w:rPr>
        <w:t xml:space="preserve">within </w:t>
      </w:r>
      <w:r w:rsidR="00020307">
        <w:rPr>
          <w:sz w:val="24"/>
          <w:szCs w:val="24"/>
        </w:rPr>
        <w:t>an</w:t>
      </w:r>
      <w:r w:rsidR="008939B2">
        <w:rPr>
          <w:sz w:val="24"/>
          <w:szCs w:val="24"/>
        </w:rPr>
        <w:t xml:space="preserve"> intrinsic lifespan</w:t>
      </w:r>
      <w:r w:rsidR="00AB30E4">
        <w:rPr>
          <w:sz w:val="24"/>
          <w:szCs w:val="24"/>
        </w:rPr>
        <w:t xml:space="preserve"> domain</w:t>
      </w:r>
      <w:r w:rsidR="008939B2">
        <w:rPr>
          <w:sz w:val="24"/>
          <w:szCs w:val="24"/>
        </w:rPr>
        <w:t>.</w:t>
      </w:r>
    </w:p>
    <w:p w14:paraId="7E1C889F" w14:textId="49628644" w:rsidR="008939B2" w:rsidRDefault="006D07A6" w:rsidP="00C97771">
      <w:pPr>
        <w:spacing w:after="0" w:line="240" w:lineRule="auto"/>
        <w:rPr>
          <w:sz w:val="24"/>
          <w:szCs w:val="24"/>
        </w:rPr>
      </w:pPr>
      <w:r>
        <w:rPr>
          <w:noProof/>
        </w:rPr>
        <mc:AlternateContent>
          <mc:Choice Requires="wps">
            <w:drawing>
              <wp:anchor distT="0" distB="0" distL="114300" distR="114300" simplePos="0" relativeHeight="251659264" behindDoc="0" locked="0" layoutInCell="1" allowOverlap="1" wp14:anchorId="3C17A516" wp14:editId="333E4A8E">
                <wp:simplePos x="0" y="0"/>
                <wp:positionH relativeFrom="column">
                  <wp:posOffset>1021080</wp:posOffset>
                </wp:positionH>
                <wp:positionV relativeFrom="paragraph">
                  <wp:posOffset>139700</wp:posOffset>
                </wp:positionV>
                <wp:extent cx="3322320" cy="3086100"/>
                <wp:effectExtent l="0" t="0" r="11430" b="19050"/>
                <wp:wrapSquare wrapText="bothSides"/>
                <wp:docPr id="1" name="Text Box 1"/>
                <wp:cNvGraphicFramePr/>
                <a:graphic xmlns:a="http://schemas.openxmlformats.org/drawingml/2006/main">
                  <a:graphicData uri="http://schemas.microsoft.com/office/word/2010/wordprocessingShape">
                    <wps:wsp>
                      <wps:cNvSpPr txBox="1"/>
                      <wps:spPr>
                        <a:xfrm>
                          <a:off x="0" y="0"/>
                          <a:ext cx="3322320" cy="3086100"/>
                        </a:xfrm>
                        <a:prstGeom prst="rect">
                          <a:avLst/>
                        </a:prstGeom>
                        <a:solidFill>
                          <a:sysClr val="window" lastClr="FFFFFF"/>
                        </a:solidFill>
                        <a:ln w="6350">
                          <a:solidFill>
                            <a:prstClr val="black"/>
                          </a:solidFill>
                        </a:ln>
                      </wps:spPr>
                      <wps:txbx>
                        <w:txbxContent>
                          <w:p w14:paraId="7AE14691" w14:textId="77777777" w:rsidR="006D07A6" w:rsidRDefault="006D07A6" w:rsidP="006D07A6">
                            <w:r>
                              <w:rPr>
                                <w:noProof/>
                              </w:rPr>
                              <w:drawing>
                                <wp:inline distT="0" distB="0" distL="0" distR="0" wp14:anchorId="20D6F571" wp14:editId="7192A4CC">
                                  <wp:extent cx="3136265" cy="2988310"/>
                                  <wp:effectExtent l="0" t="0" r="6985" b="2540"/>
                                  <wp:docPr id="3" name="Picture 2">
                                    <a:extLst xmlns:a="http://schemas.openxmlformats.org/drawingml/2006/main">
                                      <a:ext uri="{FF2B5EF4-FFF2-40B4-BE49-F238E27FC236}">
                                        <a16:creationId xmlns:a16="http://schemas.microsoft.com/office/drawing/2014/main" id="{F21D17F0-F68E-4703-A0DB-25628D922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21D17F0-F68E-4703-A0DB-25628D922DD8}"/>
                                              </a:ext>
                                            </a:extLst>
                                          </pic:cNvPr>
                                          <pic:cNvPicPr>
                                            <a:picLocks noChangeAspect="1"/>
                                          </pic:cNvPicPr>
                                        </pic:nvPicPr>
                                        <pic:blipFill>
                                          <a:blip r:embed="rId6">
                                            <a:lum bright="-20000" contrast="40000"/>
                                          </a:blip>
                                          <a:stretch>
                                            <a:fillRect/>
                                          </a:stretch>
                                        </pic:blipFill>
                                        <pic:spPr>
                                          <a:xfrm>
                                            <a:off x="0" y="0"/>
                                            <a:ext cx="3136265" cy="2988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17A516" id="_x0000_t202" coordsize="21600,21600" o:spt="202" path="m,l,21600r21600,l21600,xe">
                <v:stroke joinstyle="miter"/>
                <v:path gradientshapeok="t" o:connecttype="rect"/>
              </v:shapetype>
              <v:shape id="Text Box 1" o:spid="_x0000_s1026" type="#_x0000_t202" style="position:absolute;margin-left:80.4pt;margin-top:11pt;width:261.6pt;height:2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" fillcolor="window" strokeweight=".5pt">
                <v:textbox>
                  <w:txbxContent>
                    <w:p w14:paraId="7AE14691" w14:textId="77777777" w:rsidR="006D07A6" w:rsidRDefault="006D07A6" w:rsidP="006D07A6">
                      <w:r>
                        <w:rPr>
                          <w:noProof/>
                        </w:rPr>
                        <w:drawing>
                          <wp:inline distT="0" distB="0" distL="0" distR="0" wp14:anchorId="20D6F571" wp14:editId="7192A4CC">
                            <wp:extent cx="3136265" cy="2988310"/>
                            <wp:effectExtent l="0" t="0" r="6985" b="2540"/>
                            <wp:docPr id="3" name="Picture 2">
                              <a:extLst xmlns:a="http://schemas.openxmlformats.org/drawingml/2006/main">
                                <a:ext uri="{FF2B5EF4-FFF2-40B4-BE49-F238E27FC236}">
                                  <a16:creationId xmlns:a16="http://schemas.microsoft.com/office/drawing/2014/main" id="{F21D17F0-F68E-4703-A0DB-25628D922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21D17F0-F68E-4703-A0DB-25628D922DD8}"/>
                                        </a:ext>
                                      </a:extLst>
                                    </pic:cNvPr>
                                    <pic:cNvPicPr>
                                      <a:picLocks noChangeAspect="1"/>
                                    </pic:cNvPicPr>
                                  </pic:nvPicPr>
                                  <pic:blipFill>
                                    <a:blip r:embed="rId6">
                                      <a:lum bright="-20000" contrast="40000"/>
                                    </a:blip>
                                    <a:stretch>
                                      <a:fillRect/>
                                    </a:stretch>
                                  </pic:blipFill>
                                  <pic:spPr>
                                    <a:xfrm>
                                      <a:off x="0" y="0"/>
                                      <a:ext cx="3136265" cy="2988310"/>
                                    </a:xfrm>
                                    <a:prstGeom prst="rect">
                                      <a:avLst/>
                                    </a:prstGeom>
                                  </pic:spPr>
                                </pic:pic>
                              </a:graphicData>
                            </a:graphic>
                          </wp:inline>
                        </w:drawing>
                      </w:r>
                    </w:p>
                  </w:txbxContent>
                </v:textbox>
                <w10:wrap type="square"/>
              </v:shape>
            </w:pict>
          </mc:Fallback>
        </mc:AlternateContent>
      </w:r>
    </w:p>
    <w:p w14:paraId="4934C424" w14:textId="42E79596" w:rsidR="001C3B51" w:rsidRDefault="001C3B51" w:rsidP="00C97771">
      <w:pPr>
        <w:spacing w:after="0" w:line="240" w:lineRule="auto"/>
        <w:rPr>
          <w:b/>
          <w:bCs/>
          <w:sz w:val="24"/>
          <w:szCs w:val="24"/>
        </w:rPr>
      </w:pPr>
    </w:p>
    <w:p w14:paraId="4FC20314" w14:textId="20803727" w:rsidR="001C3B51" w:rsidRDefault="001C3B51" w:rsidP="00C97771">
      <w:pPr>
        <w:spacing w:after="0" w:line="240" w:lineRule="auto"/>
        <w:rPr>
          <w:b/>
          <w:bCs/>
          <w:sz w:val="24"/>
          <w:szCs w:val="24"/>
        </w:rPr>
      </w:pPr>
    </w:p>
    <w:p w14:paraId="645A390C" w14:textId="7F23EB76" w:rsidR="001C3B51" w:rsidRDefault="001C3B51" w:rsidP="00C97771">
      <w:pPr>
        <w:spacing w:after="0" w:line="240" w:lineRule="auto"/>
        <w:rPr>
          <w:b/>
          <w:bCs/>
          <w:sz w:val="24"/>
          <w:szCs w:val="24"/>
        </w:rPr>
      </w:pPr>
    </w:p>
    <w:p w14:paraId="0A0D842B" w14:textId="77777777" w:rsidR="001C3B51" w:rsidRDefault="001C3B51" w:rsidP="00C97771">
      <w:pPr>
        <w:spacing w:after="0" w:line="240" w:lineRule="auto"/>
        <w:rPr>
          <w:b/>
          <w:bCs/>
          <w:sz w:val="24"/>
          <w:szCs w:val="24"/>
        </w:rPr>
      </w:pPr>
    </w:p>
    <w:p w14:paraId="24571CF6" w14:textId="77777777" w:rsidR="001C3B51" w:rsidRDefault="001C3B51" w:rsidP="00C97771">
      <w:pPr>
        <w:spacing w:after="0" w:line="240" w:lineRule="auto"/>
        <w:rPr>
          <w:b/>
          <w:bCs/>
          <w:sz w:val="24"/>
          <w:szCs w:val="24"/>
        </w:rPr>
      </w:pPr>
    </w:p>
    <w:p w14:paraId="178D8EE1" w14:textId="77777777" w:rsidR="001C3B51" w:rsidRDefault="001C3B51" w:rsidP="00C97771">
      <w:pPr>
        <w:spacing w:after="0" w:line="240" w:lineRule="auto"/>
        <w:rPr>
          <w:b/>
          <w:bCs/>
          <w:sz w:val="24"/>
          <w:szCs w:val="24"/>
        </w:rPr>
      </w:pPr>
    </w:p>
    <w:p w14:paraId="530D52C9" w14:textId="77777777" w:rsidR="001C3B51" w:rsidRDefault="001C3B51" w:rsidP="00C97771">
      <w:pPr>
        <w:spacing w:after="0" w:line="240" w:lineRule="auto"/>
        <w:rPr>
          <w:b/>
          <w:bCs/>
          <w:sz w:val="24"/>
          <w:szCs w:val="24"/>
        </w:rPr>
      </w:pPr>
    </w:p>
    <w:p w14:paraId="167EE23B" w14:textId="77777777" w:rsidR="001C3B51" w:rsidRDefault="001C3B51" w:rsidP="00C97771">
      <w:pPr>
        <w:spacing w:after="0" w:line="240" w:lineRule="auto"/>
        <w:rPr>
          <w:b/>
          <w:bCs/>
          <w:sz w:val="24"/>
          <w:szCs w:val="24"/>
        </w:rPr>
      </w:pPr>
    </w:p>
    <w:p w14:paraId="1A8ABE37" w14:textId="77777777" w:rsidR="001C3B51" w:rsidRDefault="001C3B51" w:rsidP="00C97771">
      <w:pPr>
        <w:spacing w:after="0" w:line="240" w:lineRule="auto"/>
        <w:rPr>
          <w:b/>
          <w:bCs/>
          <w:sz w:val="24"/>
          <w:szCs w:val="24"/>
        </w:rPr>
      </w:pPr>
    </w:p>
    <w:p w14:paraId="146A588B" w14:textId="348CD7C0" w:rsidR="001C3B51" w:rsidRDefault="001C3B51" w:rsidP="00C97771">
      <w:pPr>
        <w:spacing w:after="0" w:line="240" w:lineRule="auto"/>
        <w:rPr>
          <w:b/>
          <w:bCs/>
          <w:sz w:val="24"/>
          <w:szCs w:val="24"/>
        </w:rPr>
      </w:pPr>
    </w:p>
    <w:p w14:paraId="219F539E" w14:textId="3BC1EF9E" w:rsidR="001C3B51" w:rsidRDefault="001C3B51" w:rsidP="00C97771">
      <w:pPr>
        <w:spacing w:after="0" w:line="240" w:lineRule="auto"/>
        <w:rPr>
          <w:b/>
          <w:bCs/>
          <w:sz w:val="24"/>
          <w:szCs w:val="24"/>
        </w:rPr>
      </w:pPr>
    </w:p>
    <w:p w14:paraId="51212CC1" w14:textId="2FA8D4A5" w:rsidR="001C3B51" w:rsidRDefault="001C3B51" w:rsidP="00C97771">
      <w:pPr>
        <w:spacing w:after="0" w:line="240" w:lineRule="auto"/>
        <w:rPr>
          <w:b/>
          <w:bCs/>
          <w:sz w:val="24"/>
          <w:szCs w:val="24"/>
        </w:rPr>
      </w:pPr>
    </w:p>
    <w:p w14:paraId="30A50501" w14:textId="31FFAF58" w:rsidR="001C3B51" w:rsidRDefault="001C3B51" w:rsidP="00C97771">
      <w:pPr>
        <w:spacing w:after="0" w:line="240" w:lineRule="auto"/>
        <w:rPr>
          <w:b/>
          <w:bCs/>
          <w:sz w:val="24"/>
          <w:szCs w:val="24"/>
        </w:rPr>
      </w:pPr>
    </w:p>
    <w:p w14:paraId="38F6941E" w14:textId="434005E4" w:rsidR="00B3195F" w:rsidRDefault="00B3195F" w:rsidP="00C97771">
      <w:pPr>
        <w:spacing w:after="0" w:line="240" w:lineRule="auto"/>
        <w:rPr>
          <w:b/>
          <w:bCs/>
          <w:sz w:val="24"/>
          <w:szCs w:val="24"/>
        </w:rPr>
      </w:pPr>
    </w:p>
    <w:p w14:paraId="0A2ED37F" w14:textId="4174768B" w:rsidR="00B3195F" w:rsidRPr="007646F1" w:rsidRDefault="00B3195F" w:rsidP="00C97771">
      <w:pPr>
        <w:spacing w:after="0" w:line="240" w:lineRule="auto"/>
        <w:rPr>
          <w:sz w:val="24"/>
          <w:szCs w:val="24"/>
        </w:rPr>
      </w:pPr>
    </w:p>
    <w:p w14:paraId="2BF4904F" w14:textId="6050EA0F" w:rsidR="00B3195F" w:rsidRPr="007646F1" w:rsidRDefault="00B3195F" w:rsidP="00C97771">
      <w:pPr>
        <w:spacing w:after="0" w:line="240" w:lineRule="auto"/>
        <w:rPr>
          <w:sz w:val="24"/>
          <w:szCs w:val="24"/>
        </w:rPr>
      </w:pPr>
    </w:p>
    <w:p w14:paraId="3256E8E7" w14:textId="77777777" w:rsidR="006D07A6" w:rsidRDefault="006D07A6" w:rsidP="00C97771">
      <w:pPr>
        <w:spacing w:after="0" w:line="240" w:lineRule="auto"/>
        <w:rPr>
          <w:b/>
          <w:bCs/>
        </w:rPr>
      </w:pPr>
    </w:p>
    <w:p w14:paraId="1B30269B" w14:textId="63C5B252" w:rsidR="00B3195F" w:rsidRPr="007646F1" w:rsidRDefault="007646F1" w:rsidP="00C97771">
      <w:pPr>
        <w:spacing w:after="0" w:line="240" w:lineRule="auto"/>
      </w:pPr>
      <w:r w:rsidRPr="007646F1">
        <w:rPr>
          <w:b/>
          <w:bCs/>
        </w:rPr>
        <w:t>Figure 1. Precision aging and resilience.</w:t>
      </w:r>
      <w:r w:rsidRPr="007646F1">
        <w:t xml:space="preserve"> </w:t>
      </w:r>
      <w:r w:rsidR="002F7A8F">
        <w:t>P</w:t>
      </w:r>
      <w:r w:rsidRPr="007646F1">
        <w:t>re</w:t>
      </w:r>
      <w:r>
        <w:t>ci</w:t>
      </w:r>
      <w:r w:rsidRPr="007646F1">
        <w:t xml:space="preserve">sion aging </w:t>
      </w:r>
      <w:r w:rsidR="002F7A8F">
        <w:t>can be used</w:t>
      </w:r>
      <w:r w:rsidRPr="007646F1">
        <w:t xml:space="preserve"> to </w:t>
      </w:r>
      <w:r>
        <w:t>interrogate resilience trajectories for in vitro stress response pat</w:t>
      </w:r>
      <w:r w:rsidR="002F7A8F">
        <w:t>t</w:t>
      </w:r>
      <w:r>
        <w:t>erns</w:t>
      </w:r>
      <w:r w:rsidRPr="007646F1">
        <w:t xml:space="preserve"> </w:t>
      </w:r>
      <w:r>
        <w:t xml:space="preserve">on an individual basis. These patterns can then </w:t>
      </w:r>
      <w:r w:rsidR="002F7A8F">
        <w:t>serve as a basis</w:t>
      </w:r>
      <w:r>
        <w:t xml:space="preserve"> to dev</w:t>
      </w:r>
      <w:r w:rsidR="002F7A8F">
        <w:t>e</w:t>
      </w:r>
      <w:r>
        <w:t xml:space="preserve">lop intervention strategies </w:t>
      </w:r>
      <w:r w:rsidR="002F7A8F">
        <w:t>to move</w:t>
      </w:r>
      <w:r>
        <w:t xml:space="preserve"> resilience in individuals with low resilience</w:t>
      </w:r>
      <w:r w:rsidR="002F7A8F">
        <w:t xml:space="preserve"> trajectories towards a more optimal and projected organismal lifespan endpoint. </w:t>
      </w:r>
      <w:r>
        <w:t xml:space="preserve"> </w:t>
      </w:r>
    </w:p>
    <w:p w14:paraId="5127C780" w14:textId="77777777" w:rsidR="001C3B51" w:rsidRDefault="001C3B51" w:rsidP="00C97771">
      <w:pPr>
        <w:spacing w:after="0" w:line="240" w:lineRule="auto"/>
        <w:rPr>
          <w:b/>
          <w:bCs/>
          <w:sz w:val="24"/>
          <w:szCs w:val="24"/>
        </w:rPr>
      </w:pPr>
    </w:p>
    <w:p w14:paraId="7CFA660B" w14:textId="0345E378" w:rsidR="00AB30E4" w:rsidRDefault="00AB30E4" w:rsidP="00C97771">
      <w:pPr>
        <w:spacing w:after="0" w:line="240" w:lineRule="auto"/>
        <w:rPr>
          <w:b/>
          <w:bCs/>
          <w:sz w:val="24"/>
          <w:szCs w:val="24"/>
        </w:rPr>
      </w:pPr>
      <w:r w:rsidRPr="00AB30E4">
        <w:rPr>
          <w:b/>
          <w:bCs/>
          <w:sz w:val="24"/>
          <w:szCs w:val="24"/>
        </w:rPr>
        <w:t>Acknowldegements</w:t>
      </w:r>
    </w:p>
    <w:p w14:paraId="38980529" w14:textId="77777777" w:rsidR="00406A11" w:rsidRDefault="00406A11" w:rsidP="00406A11">
      <w:pPr>
        <w:spacing w:after="0" w:line="240" w:lineRule="auto"/>
        <w:rPr>
          <w:sz w:val="24"/>
          <w:szCs w:val="24"/>
        </w:rPr>
      </w:pPr>
      <w:r>
        <w:rPr>
          <w:sz w:val="24"/>
          <w:szCs w:val="24"/>
        </w:rPr>
        <w:t>There are no conflicts of interest</w:t>
      </w:r>
    </w:p>
    <w:p w14:paraId="6DC873C5" w14:textId="77777777" w:rsidR="00406A11" w:rsidRPr="00AB30E4" w:rsidRDefault="00406A11" w:rsidP="00C97771">
      <w:pPr>
        <w:spacing w:after="0" w:line="240" w:lineRule="auto"/>
        <w:rPr>
          <w:b/>
          <w:bCs/>
          <w:sz w:val="24"/>
          <w:szCs w:val="24"/>
        </w:rPr>
      </w:pPr>
    </w:p>
    <w:p w14:paraId="0D4B7317" w14:textId="1635A772" w:rsidR="00AB30E4" w:rsidRDefault="00AB30E4" w:rsidP="00C97771">
      <w:pPr>
        <w:spacing w:after="0" w:line="240" w:lineRule="auto"/>
        <w:rPr>
          <w:sz w:val="24"/>
          <w:szCs w:val="24"/>
        </w:rPr>
      </w:pPr>
      <w:r>
        <w:rPr>
          <w:sz w:val="24"/>
          <w:szCs w:val="24"/>
        </w:rPr>
        <w:t>NIH grant</w:t>
      </w:r>
      <w:r w:rsidR="00406A11" w:rsidRPr="00406A11">
        <w:rPr>
          <w:rFonts w:cstheme="minorHAnsi"/>
          <w:sz w:val="24"/>
          <w:szCs w:val="24"/>
        </w:rPr>
        <w:t xml:space="preserve"> </w:t>
      </w:r>
      <w:r w:rsidR="00406A11" w:rsidRPr="00E625D3">
        <w:rPr>
          <w:rFonts w:cstheme="minorHAnsi"/>
          <w:sz w:val="24"/>
          <w:szCs w:val="24"/>
        </w:rPr>
        <w:t>R01 AG057381</w:t>
      </w:r>
      <w:r w:rsidR="00406A11">
        <w:rPr>
          <w:rFonts w:cstheme="minorHAnsi"/>
          <w:sz w:val="24"/>
          <w:szCs w:val="24"/>
        </w:rPr>
        <w:t xml:space="preserve"> (Ladiges PI)</w:t>
      </w:r>
    </w:p>
    <w:p w14:paraId="09BF199A" w14:textId="77777777" w:rsidR="00406A11" w:rsidRDefault="00406A11" w:rsidP="00C97771">
      <w:pPr>
        <w:spacing w:after="0" w:line="240" w:lineRule="auto"/>
        <w:rPr>
          <w:b/>
          <w:bCs/>
          <w:sz w:val="24"/>
          <w:szCs w:val="24"/>
        </w:rPr>
      </w:pPr>
    </w:p>
    <w:p w14:paraId="5DB96161" w14:textId="23658C2B" w:rsidR="00AB30E4" w:rsidRPr="00AB30E4" w:rsidRDefault="00AB30E4" w:rsidP="00C97771">
      <w:pPr>
        <w:spacing w:after="0" w:line="240" w:lineRule="auto"/>
        <w:rPr>
          <w:b/>
          <w:bCs/>
          <w:sz w:val="24"/>
          <w:szCs w:val="24"/>
        </w:rPr>
      </w:pPr>
      <w:r w:rsidRPr="00AB30E4">
        <w:rPr>
          <w:b/>
          <w:bCs/>
          <w:sz w:val="24"/>
          <w:szCs w:val="24"/>
        </w:rPr>
        <w:t>References</w:t>
      </w:r>
    </w:p>
    <w:p w14:paraId="7BDA2876" w14:textId="77777777" w:rsidR="00357440" w:rsidRPr="00357440" w:rsidRDefault="00020307" w:rsidP="00357440">
      <w:pPr>
        <w:shd w:val="clear" w:color="auto" w:fill="FFFFFF"/>
        <w:spacing w:after="0" w:line="240" w:lineRule="auto"/>
        <w:rPr>
          <w:rFonts w:eastAsia="Times New Roman" w:cstheme="minorHAnsi"/>
          <w:sz w:val="24"/>
          <w:szCs w:val="24"/>
        </w:rPr>
      </w:pPr>
      <w:r>
        <w:rPr>
          <w:sz w:val="24"/>
          <w:szCs w:val="24"/>
        </w:rPr>
        <w:t xml:space="preserve">1. </w:t>
      </w:r>
      <w:hyperlink r:id="rId7" w:history="1">
        <w:r w:rsidR="00357440" w:rsidRPr="00357440">
          <w:rPr>
            <w:rFonts w:eastAsia="Times New Roman" w:cstheme="minorHAnsi"/>
            <w:sz w:val="24"/>
            <w:szCs w:val="24"/>
          </w:rPr>
          <w:t>Timothy V Pyrkov</w:t>
        </w:r>
      </w:hyperlink>
      <w:r w:rsidR="00357440" w:rsidRPr="00357440">
        <w:rPr>
          <w:rFonts w:eastAsia="Times New Roman" w:cstheme="minorHAnsi"/>
          <w:sz w:val="24"/>
          <w:szCs w:val="24"/>
          <w:vertAlign w:val="superscript"/>
        </w:rPr>
        <w:t> </w:t>
      </w:r>
      <w:r w:rsidR="00357440" w:rsidRPr="00357440">
        <w:rPr>
          <w:rFonts w:eastAsia="Times New Roman" w:cstheme="minorHAnsi"/>
          <w:sz w:val="24"/>
          <w:szCs w:val="24"/>
        </w:rPr>
        <w:t>, </w:t>
      </w:r>
      <w:hyperlink r:id="rId8" w:history="1">
        <w:r w:rsidR="00357440" w:rsidRPr="00357440">
          <w:rPr>
            <w:rFonts w:eastAsia="Times New Roman" w:cstheme="minorHAnsi"/>
            <w:sz w:val="24"/>
            <w:szCs w:val="24"/>
          </w:rPr>
          <w:t>Konstantin Avchaciov</w:t>
        </w:r>
      </w:hyperlink>
      <w:r w:rsidR="00357440" w:rsidRPr="00357440">
        <w:rPr>
          <w:rFonts w:eastAsia="Times New Roman" w:cstheme="minorHAnsi"/>
          <w:sz w:val="24"/>
          <w:szCs w:val="24"/>
          <w:vertAlign w:val="superscript"/>
        </w:rPr>
        <w:t> </w:t>
      </w:r>
      <w:r w:rsidR="00357440" w:rsidRPr="00357440">
        <w:rPr>
          <w:rFonts w:eastAsia="Times New Roman" w:cstheme="minorHAnsi"/>
          <w:sz w:val="24"/>
          <w:szCs w:val="24"/>
        </w:rPr>
        <w:t>, </w:t>
      </w:r>
      <w:hyperlink r:id="rId9" w:history="1">
        <w:r w:rsidR="00357440" w:rsidRPr="00357440">
          <w:rPr>
            <w:rFonts w:eastAsia="Times New Roman" w:cstheme="minorHAnsi"/>
            <w:sz w:val="24"/>
            <w:szCs w:val="24"/>
          </w:rPr>
          <w:t>Andrei E Tarkhov</w:t>
        </w:r>
      </w:hyperlink>
      <w:r w:rsidR="00357440" w:rsidRPr="00357440">
        <w:rPr>
          <w:rFonts w:eastAsia="Times New Roman" w:cstheme="minorHAnsi"/>
          <w:sz w:val="24"/>
          <w:szCs w:val="24"/>
          <w:vertAlign w:val="superscript"/>
        </w:rPr>
        <w:t> </w:t>
      </w:r>
      <w:r w:rsidR="00357440" w:rsidRPr="00357440">
        <w:rPr>
          <w:rFonts w:eastAsia="Times New Roman" w:cstheme="minorHAnsi"/>
          <w:sz w:val="24"/>
          <w:szCs w:val="24"/>
        </w:rPr>
        <w:t>, </w:t>
      </w:r>
      <w:hyperlink r:id="rId10" w:history="1">
        <w:r w:rsidR="00357440" w:rsidRPr="00357440">
          <w:rPr>
            <w:rFonts w:eastAsia="Times New Roman" w:cstheme="minorHAnsi"/>
            <w:sz w:val="24"/>
            <w:szCs w:val="24"/>
          </w:rPr>
          <w:t>Leonid I Menshikov</w:t>
        </w:r>
      </w:hyperlink>
      <w:r w:rsidR="00357440" w:rsidRPr="00357440">
        <w:rPr>
          <w:rFonts w:eastAsia="Times New Roman" w:cstheme="minorHAnsi"/>
          <w:sz w:val="24"/>
          <w:szCs w:val="24"/>
          <w:vertAlign w:val="superscript"/>
        </w:rPr>
        <w:t> </w:t>
      </w:r>
      <w:r w:rsidR="00357440" w:rsidRPr="00357440">
        <w:rPr>
          <w:rFonts w:eastAsia="Times New Roman" w:cstheme="minorHAnsi"/>
          <w:sz w:val="24"/>
          <w:szCs w:val="24"/>
        </w:rPr>
        <w:t>, </w:t>
      </w:r>
      <w:hyperlink r:id="rId11" w:history="1">
        <w:r w:rsidR="00357440" w:rsidRPr="00357440">
          <w:rPr>
            <w:rFonts w:eastAsia="Times New Roman" w:cstheme="minorHAnsi"/>
            <w:sz w:val="24"/>
            <w:szCs w:val="24"/>
          </w:rPr>
          <w:t>Andrei V Gudkov</w:t>
        </w:r>
      </w:hyperlink>
      <w:r w:rsidR="00357440" w:rsidRPr="00357440">
        <w:rPr>
          <w:rFonts w:eastAsia="Times New Roman" w:cstheme="minorHAnsi"/>
          <w:sz w:val="24"/>
          <w:szCs w:val="24"/>
          <w:vertAlign w:val="superscript"/>
        </w:rPr>
        <w:t> </w:t>
      </w:r>
      <w:r w:rsidR="00357440" w:rsidRPr="00357440">
        <w:rPr>
          <w:rFonts w:eastAsia="Times New Roman" w:cstheme="minorHAnsi"/>
          <w:sz w:val="24"/>
          <w:szCs w:val="24"/>
        </w:rPr>
        <w:t>, </w:t>
      </w:r>
      <w:hyperlink r:id="rId12" w:history="1">
        <w:r w:rsidR="00357440" w:rsidRPr="00357440">
          <w:rPr>
            <w:rFonts w:eastAsia="Times New Roman" w:cstheme="minorHAnsi"/>
            <w:sz w:val="24"/>
            <w:szCs w:val="24"/>
          </w:rPr>
          <w:t>Peter O Fedichev</w:t>
        </w:r>
      </w:hyperlink>
      <w:r w:rsidR="00357440">
        <w:rPr>
          <w:rFonts w:eastAsia="Times New Roman" w:cstheme="minorHAnsi"/>
          <w:sz w:val="24"/>
          <w:szCs w:val="24"/>
        </w:rPr>
        <w:t xml:space="preserve">. </w:t>
      </w:r>
      <w:r w:rsidR="00357440" w:rsidRPr="00357440">
        <w:rPr>
          <w:rFonts w:eastAsia="Times New Roman" w:cstheme="minorHAnsi"/>
          <w:kern w:val="36"/>
          <w:sz w:val="24"/>
          <w:szCs w:val="24"/>
        </w:rPr>
        <w:t xml:space="preserve">Longitudinal analysis of blood markers reveals progressive loss of </w:t>
      </w:r>
      <w:r w:rsidR="00357440" w:rsidRPr="00357440">
        <w:rPr>
          <w:rFonts w:eastAsia="Times New Roman" w:cstheme="minorHAnsi"/>
          <w:kern w:val="36"/>
          <w:sz w:val="24"/>
          <w:szCs w:val="24"/>
        </w:rPr>
        <w:lastRenderedPageBreak/>
        <w:t>resilience and predicts human lifespan limit</w:t>
      </w:r>
      <w:r w:rsidR="00357440">
        <w:rPr>
          <w:rFonts w:eastAsia="Times New Roman" w:cstheme="minorHAnsi"/>
          <w:kern w:val="36"/>
          <w:sz w:val="24"/>
          <w:szCs w:val="24"/>
        </w:rPr>
        <w:t>.</w:t>
      </w:r>
      <w:r w:rsidR="00357440" w:rsidRPr="00357440">
        <w:rPr>
          <w:rFonts w:eastAsia="Times New Roman" w:cstheme="minorHAnsi"/>
          <w:sz w:val="24"/>
          <w:szCs w:val="24"/>
        </w:rPr>
        <w:t xml:space="preserve"> Nat Commun. 2021 May 25;12(1):2765. doi: 10.1038/s41467-021-23014-1.</w:t>
      </w:r>
    </w:p>
    <w:p w14:paraId="1DB0D15A" w14:textId="7B4F3079" w:rsidR="00020307" w:rsidRDefault="00020307" w:rsidP="00C97771">
      <w:pPr>
        <w:spacing w:after="0" w:line="240" w:lineRule="auto"/>
        <w:rPr>
          <w:sz w:val="24"/>
          <w:szCs w:val="24"/>
        </w:rPr>
      </w:pPr>
    </w:p>
    <w:p w14:paraId="3554421D" w14:textId="4FF4B7FD" w:rsidR="002F7A8F" w:rsidRPr="002F7A8F" w:rsidRDefault="00F11BE7" w:rsidP="00F11BE7">
      <w:pPr>
        <w:shd w:val="clear" w:color="auto" w:fill="FCFCFC"/>
        <w:spacing w:after="0" w:line="240" w:lineRule="auto"/>
        <w:rPr>
          <w:rFonts w:eastAsia="Times New Roman" w:cstheme="minorHAnsi"/>
          <w:sz w:val="24"/>
          <w:szCs w:val="24"/>
        </w:rPr>
      </w:pPr>
      <w:r>
        <w:rPr>
          <w:rFonts w:eastAsia="Times New Roman" w:cstheme="minorHAnsi"/>
          <w:sz w:val="24"/>
          <w:szCs w:val="24"/>
        </w:rPr>
        <w:t xml:space="preserve">2. </w:t>
      </w:r>
      <w:hyperlink r:id="rId13" w:anchor="auth-Lida-Zhu" w:history="1">
        <w:r w:rsidR="002F7A8F" w:rsidRPr="002F7A8F">
          <w:rPr>
            <w:rFonts w:eastAsia="Times New Roman" w:cstheme="minorHAnsi"/>
            <w:sz w:val="24"/>
            <w:szCs w:val="24"/>
          </w:rPr>
          <w:t>Lida Zhu</w:t>
        </w:r>
      </w:hyperlink>
      <w:r w:rsidR="002F7A8F" w:rsidRPr="002F7A8F">
        <w:rPr>
          <w:rFonts w:eastAsia="Times New Roman" w:cstheme="minorHAnsi"/>
          <w:sz w:val="24"/>
          <w:szCs w:val="24"/>
        </w:rPr>
        <w:t>, </w:t>
      </w:r>
      <w:hyperlink r:id="rId14" w:anchor="auth-Yan-Dou" w:history="1">
        <w:r w:rsidR="002F7A8F" w:rsidRPr="002F7A8F">
          <w:rPr>
            <w:rFonts w:eastAsia="Times New Roman" w:cstheme="minorHAnsi"/>
            <w:sz w:val="24"/>
            <w:szCs w:val="24"/>
          </w:rPr>
          <w:t>Yan Dou</w:t>
        </w:r>
      </w:hyperlink>
      <w:r w:rsidR="002F7A8F" w:rsidRPr="002F7A8F">
        <w:rPr>
          <w:rFonts w:eastAsia="Times New Roman" w:cstheme="minorHAnsi"/>
          <w:sz w:val="24"/>
          <w:szCs w:val="24"/>
        </w:rPr>
        <w:t>, </w:t>
      </w:r>
      <w:hyperlink r:id="rId15" w:anchor="auth-Marianne-Bjorner" w:history="1">
        <w:r w:rsidR="002F7A8F" w:rsidRPr="002F7A8F">
          <w:rPr>
            <w:rFonts w:eastAsia="Times New Roman" w:cstheme="minorHAnsi"/>
            <w:sz w:val="24"/>
            <w:szCs w:val="24"/>
          </w:rPr>
          <w:t>Marianne Bjorner</w:t>
        </w:r>
      </w:hyperlink>
      <w:r>
        <w:rPr>
          <w:rFonts w:eastAsia="Times New Roman" w:cstheme="minorHAnsi"/>
          <w:sz w:val="24"/>
          <w:szCs w:val="24"/>
        </w:rPr>
        <w:t xml:space="preserve">, </w:t>
      </w:r>
      <w:hyperlink r:id="rId16" w:anchor="auth-Warren-Ladiges" w:history="1">
        <w:r w:rsidR="002F7A8F" w:rsidRPr="002F7A8F">
          <w:rPr>
            <w:rFonts w:eastAsia="Times New Roman" w:cstheme="minorHAnsi"/>
            <w:sz w:val="24"/>
            <w:szCs w:val="24"/>
          </w:rPr>
          <w:t>Warren Ladiges</w:t>
        </w:r>
      </w:hyperlink>
      <w:r>
        <w:rPr>
          <w:rFonts w:eastAsia="Times New Roman" w:cstheme="minorHAnsi"/>
          <w:sz w:val="24"/>
          <w:szCs w:val="24"/>
        </w:rPr>
        <w:t xml:space="preserve">. </w:t>
      </w:r>
      <w:r w:rsidRPr="00F11BE7">
        <w:rPr>
          <w:rFonts w:eastAsia="Times New Roman" w:cstheme="minorHAnsi"/>
          <w:kern w:val="36"/>
          <w:sz w:val="24"/>
          <w:szCs w:val="24"/>
        </w:rPr>
        <w:t>Development of a cyclophosphamide stress test to predict resilience to aging in mice</w:t>
      </w:r>
      <w:r>
        <w:rPr>
          <w:rFonts w:eastAsia="Times New Roman" w:cstheme="minorHAnsi"/>
          <w:sz w:val="24"/>
          <w:szCs w:val="24"/>
        </w:rPr>
        <w:t xml:space="preserve">. </w:t>
      </w:r>
      <w:hyperlink r:id="rId17" w:history="1">
        <w:r w:rsidR="002F7A8F" w:rsidRPr="002F7A8F">
          <w:rPr>
            <w:rFonts w:eastAsia="Times New Roman" w:cstheme="minorHAnsi"/>
            <w:sz w:val="24"/>
            <w:szCs w:val="24"/>
          </w:rPr>
          <w:t>GeroScience</w:t>
        </w:r>
      </w:hyperlink>
      <w:r>
        <w:rPr>
          <w:rFonts w:eastAsia="Times New Roman" w:cstheme="minorHAnsi"/>
          <w:sz w:val="24"/>
          <w:szCs w:val="24"/>
        </w:rPr>
        <w:t xml:space="preserve">, </w:t>
      </w:r>
      <w:r w:rsidR="002F7A8F" w:rsidRPr="002F7A8F">
        <w:rPr>
          <w:rFonts w:eastAsia="Times New Roman" w:cstheme="minorHAnsi"/>
          <w:sz w:val="24"/>
          <w:szCs w:val="24"/>
        </w:rPr>
        <w:t>42, 1675–1683 (2020)</w:t>
      </w:r>
      <w:r>
        <w:rPr>
          <w:rFonts w:eastAsia="Times New Roman" w:cstheme="minorHAnsi"/>
          <w:sz w:val="24"/>
          <w:szCs w:val="24"/>
        </w:rPr>
        <w:t>.</w:t>
      </w:r>
    </w:p>
    <w:p w14:paraId="73E7C43B" w14:textId="1A08974B" w:rsidR="00F11BE7" w:rsidRDefault="00F11BE7" w:rsidP="00F11BE7">
      <w:pPr>
        <w:shd w:val="clear" w:color="auto" w:fill="FFFFFF"/>
        <w:spacing w:after="0" w:line="240" w:lineRule="auto"/>
        <w:rPr>
          <w:rFonts w:eastAsia="Times New Roman" w:cstheme="minorHAnsi"/>
          <w:kern w:val="36"/>
          <w:sz w:val="24"/>
          <w:szCs w:val="24"/>
        </w:rPr>
      </w:pPr>
      <w:r>
        <w:rPr>
          <w:rFonts w:cstheme="minorHAnsi"/>
          <w:sz w:val="24"/>
          <w:szCs w:val="24"/>
        </w:rPr>
        <w:t xml:space="preserve">3. </w:t>
      </w:r>
      <w:r w:rsidRPr="002F7A8F">
        <w:rPr>
          <w:rFonts w:eastAsia="Times New Roman" w:cstheme="minorHAnsi"/>
          <w:sz w:val="24"/>
          <w:szCs w:val="24"/>
        </w:rPr>
        <w:t>Ryan Oveson, Zhou Jiang, Michali Izhak, Kavita Sharma, Warren Ladiges</w:t>
      </w:r>
      <w:r>
        <w:rPr>
          <w:rFonts w:eastAsia="Times New Roman" w:cstheme="minorHAnsi"/>
          <w:sz w:val="24"/>
          <w:szCs w:val="24"/>
        </w:rPr>
        <w:t xml:space="preserve">. </w:t>
      </w:r>
      <w:r w:rsidR="002F7A8F" w:rsidRPr="002F7A8F">
        <w:rPr>
          <w:rFonts w:eastAsia="Times New Roman" w:cstheme="minorHAnsi"/>
          <w:sz w:val="24"/>
          <w:szCs w:val="24"/>
        </w:rPr>
        <w:t>An immune stress test for resilience to aging: Pneumococcal vaccine response</w:t>
      </w:r>
      <w:r>
        <w:rPr>
          <w:rFonts w:eastAsia="Times New Roman" w:cstheme="minorHAnsi"/>
          <w:sz w:val="24"/>
          <w:szCs w:val="24"/>
        </w:rPr>
        <w:t>.</w:t>
      </w:r>
      <w:r w:rsidRPr="00F11BE7">
        <w:rPr>
          <w:rFonts w:eastAsia="Times New Roman" w:cstheme="minorHAnsi"/>
          <w:kern w:val="36"/>
          <w:sz w:val="24"/>
          <w:szCs w:val="24"/>
        </w:rPr>
        <w:t xml:space="preserve"> </w:t>
      </w:r>
      <w:r w:rsidRPr="002F7A8F">
        <w:rPr>
          <w:rFonts w:eastAsia="Times New Roman" w:cstheme="minorHAnsi"/>
          <w:kern w:val="36"/>
          <w:sz w:val="24"/>
          <w:szCs w:val="24"/>
        </w:rPr>
        <w:t>Aging Pathobiology and Therapeutics</w:t>
      </w:r>
      <w:r>
        <w:rPr>
          <w:rFonts w:eastAsia="Times New Roman" w:cstheme="minorHAnsi"/>
          <w:kern w:val="36"/>
          <w:sz w:val="24"/>
          <w:szCs w:val="24"/>
        </w:rPr>
        <w:t>, 3 (2021).</w:t>
      </w:r>
    </w:p>
    <w:p w14:paraId="2AEB8D93" w14:textId="77777777" w:rsidR="00357440" w:rsidRDefault="00357440" w:rsidP="00F11BE7">
      <w:pPr>
        <w:shd w:val="clear" w:color="auto" w:fill="FFFFFF"/>
        <w:spacing w:after="0" w:line="240" w:lineRule="auto"/>
        <w:rPr>
          <w:rFonts w:eastAsia="Times New Roman" w:cstheme="minorHAnsi"/>
          <w:kern w:val="36"/>
          <w:sz w:val="24"/>
          <w:szCs w:val="24"/>
        </w:rPr>
      </w:pPr>
    </w:p>
    <w:p w14:paraId="3BA30E55" w14:textId="28038AAB" w:rsidR="00F11BE7" w:rsidRPr="002F7A8F" w:rsidRDefault="00F11BE7" w:rsidP="00F11BE7">
      <w:pPr>
        <w:shd w:val="clear" w:color="auto" w:fill="FFFFFF"/>
        <w:spacing w:after="0" w:line="240" w:lineRule="auto"/>
        <w:rPr>
          <w:rFonts w:eastAsia="Times New Roman" w:cstheme="minorHAnsi"/>
          <w:sz w:val="24"/>
          <w:szCs w:val="24"/>
        </w:rPr>
      </w:pPr>
      <w:r>
        <w:rPr>
          <w:rFonts w:eastAsia="Times New Roman" w:cstheme="minorHAnsi"/>
          <w:kern w:val="36"/>
          <w:sz w:val="24"/>
          <w:szCs w:val="24"/>
        </w:rPr>
        <w:t xml:space="preserve">4. </w:t>
      </w:r>
      <w:r w:rsidRPr="002F7A8F">
        <w:rPr>
          <w:rFonts w:eastAsia="Times New Roman" w:cstheme="minorHAnsi"/>
          <w:sz w:val="24"/>
          <w:szCs w:val="24"/>
        </w:rPr>
        <w:t>Zhou Jiang, Jessie Chen, Juan Wang, Ruby Mangalindan, Lida Zhu, Warren Ladige</w:t>
      </w:r>
      <w:r>
        <w:rPr>
          <w:rFonts w:eastAsia="Times New Roman" w:cstheme="minorHAnsi"/>
          <w:sz w:val="24"/>
          <w:szCs w:val="24"/>
        </w:rPr>
        <w:t xml:space="preserve">s. </w:t>
      </w:r>
      <w:r w:rsidR="002F7A8F" w:rsidRPr="002F7A8F">
        <w:rPr>
          <w:rFonts w:eastAsia="Times New Roman" w:cstheme="minorHAnsi"/>
          <w:sz w:val="24"/>
          <w:szCs w:val="24"/>
        </w:rPr>
        <w:t>A model for studying cutaneous wound healing and resilience to aging: Ear punch biopsy in old mice</w:t>
      </w:r>
      <w:r>
        <w:rPr>
          <w:rFonts w:eastAsia="Times New Roman" w:cstheme="minorHAnsi"/>
          <w:sz w:val="24"/>
          <w:szCs w:val="24"/>
        </w:rPr>
        <w:t xml:space="preserve">. </w:t>
      </w:r>
      <w:r w:rsidRPr="002F7A8F">
        <w:rPr>
          <w:rFonts w:eastAsia="Times New Roman" w:cstheme="minorHAnsi"/>
          <w:kern w:val="36"/>
          <w:sz w:val="24"/>
          <w:szCs w:val="24"/>
        </w:rPr>
        <w:t>Aging Pathobiology and Therapeutics</w:t>
      </w:r>
      <w:r>
        <w:rPr>
          <w:rFonts w:eastAsia="Times New Roman" w:cstheme="minorHAnsi"/>
          <w:kern w:val="36"/>
          <w:sz w:val="24"/>
          <w:szCs w:val="24"/>
        </w:rPr>
        <w:t>, 3 (2021).</w:t>
      </w:r>
    </w:p>
    <w:p w14:paraId="290C2519" w14:textId="79699C88" w:rsidR="002F7A8F" w:rsidRPr="002F7A8F" w:rsidRDefault="002F7A8F" w:rsidP="00F11BE7">
      <w:pPr>
        <w:shd w:val="clear" w:color="auto" w:fill="FFFFFF"/>
        <w:spacing w:after="0" w:line="240" w:lineRule="auto"/>
        <w:ind w:right="240"/>
        <w:outlineLvl w:val="1"/>
        <w:rPr>
          <w:rFonts w:eastAsia="Times New Roman" w:cstheme="minorHAnsi"/>
          <w:sz w:val="24"/>
          <w:szCs w:val="24"/>
        </w:rPr>
      </w:pPr>
    </w:p>
    <w:p w14:paraId="76B45F81" w14:textId="07B27746" w:rsidR="00F11BE7" w:rsidRPr="00F11BE7" w:rsidRDefault="00F11BE7" w:rsidP="00F11BE7">
      <w:pPr>
        <w:shd w:val="clear" w:color="auto" w:fill="FFFFFF"/>
        <w:spacing w:after="0" w:line="240" w:lineRule="auto"/>
        <w:rPr>
          <w:rFonts w:eastAsia="Times New Roman" w:cstheme="minorHAnsi"/>
          <w:sz w:val="24"/>
          <w:szCs w:val="24"/>
        </w:rPr>
      </w:pPr>
      <w:r>
        <w:rPr>
          <w:rFonts w:cstheme="minorHAnsi"/>
          <w:sz w:val="24"/>
          <w:szCs w:val="24"/>
        </w:rPr>
        <w:t xml:space="preserve">5. </w:t>
      </w:r>
      <w:r w:rsidRPr="00F11BE7">
        <w:rPr>
          <w:rFonts w:eastAsia="Times New Roman" w:cstheme="minorHAnsi"/>
          <w:sz w:val="24"/>
          <w:szCs w:val="24"/>
        </w:rPr>
        <w:t>Megan Ellis, Warren Ladiges, Zhou Jiang</w:t>
      </w:r>
      <w:r>
        <w:rPr>
          <w:rFonts w:eastAsia="Times New Roman" w:cstheme="minorHAnsi"/>
          <w:sz w:val="24"/>
          <w:szCs w:val="24"/>
        </w:rPr>
        <w:t xml:space="preserve">. </w:t>
      </w:r>
      <w:r w:rsidRPr="00F11BE7">
        <w:rPr>
          <w:rFonts w:eastAsia="Times New Roman" w:cstheme="minorHAnsi"/>
          <w:sz w:val="24"/>
          <w:szCs w:val="24"/>
        </w:rPr>
        <w:t>Physical performance is enhanced in old mice fed a short term diet medicated with rapamycin, acarbose, and phenylbutyrate</w:t>
      </w:r>
      <w:r>
        <w:rPr>
          <w:rFonts w:eastAsia="Times New Roman" w:cstheme="minorHAnsi"/>
          <w:sz w:val="24"/>
          <w:szCs w:val="24"/>
        </w:rPr>
        <w:t xml:space="preserve">. </w:t>
      </w:r>
      <w:r w:rsidRPr="00F11BE7">
        <w:rPr>
          <w:rFonts w:eastAsia="Times New Roman" w:cstheme="minorHAnsi"/>
          <w:kern w:val="36"/>
          <w:sz w:val="24"/>
          <w:szCs w:val="24"/>
        </w:rPr>
        <w:t>Aging Pathobiology and Therapeutics</w:t>
      </w:r>
      <w:r>
        <w:rPr>
          <w:rFonts w:eastAsia="Times New Roman" w:cstheme="minorHAnsi"/>
          <w:kern w:val="36"/>
          <w:sz w:val="24"/>
          <w:szCs w:val="24"/>
        </w:rPr>
        <w:t>, 3 (2021).</w:t>
      </w:r>
    </w:p>
    <w:p w14:paraId="60F4B5AA" w14:textId="00C0DDB0" w:rsidR="00F11BE7" w:rsidRPr="00F11BE7" w:rsidRDefault="00F11BE7" w:rsidP="00F11BE7">
      <w:pPr>
        <w:shd w:val="clear" w:color="auto" w:fill="FFFFFF"/>
        <w:spacing w:after="0" w:line="240" w:lineRule="auto"/>
        <w:ind w:right="240"/>
        <w:outlineLvl w:val="1"/>
        <w:rPr>
          <w:rFonts w:eastAsia="Times New Roman" w:cstheme="minorHAnsi"/>
          <w:sz w:val="24"/>
          <w:szCs w:val="24"/>
        </w:rPr>
      </w:pPr>
    </w:p>
    <w:p w14:paraId="26BD8C8F" w14:textId="4CD434C3" w:rsidR="00357440" w:rsidRPr="00357440" w:rsidRDefault="00357440" w:rsidP="00357440">
      <w:pPr>
        <w:shd w:val="clear" w:color="auto" w:fill="FFFFFF"/>
        <w:spacing w:after="0" w:line="240" w:lineRule="auto"/>
        <w:outlineLvl w:val="0"/>
        <w:rPr>
          <w:rFonts w:eastAsia="Times New Roman" w:cstheme="minorHAnsi"/>
          <w:kern w:val="36"/>
          <w:sz w:val="24"/>
          <w:szCs w:val="24"/>
        </w:rPr>
      </w:pPr>
    </w:p>
    <w:p w14:paraId="4ECCAEE5" w14:textId="77777777" w:rsidR="00F11BE7" w:rsidRPr="00357440" w:rsidRDefault="00F11BE7" w:rsidP="00357440">
      <w:pPr>
        <w:spacing w:after="0" w:line="240" w:lineRule="auto"/>
        <w:rPr>
          <w:rFonts w:cstheme="minorHAnsi"/>
          <w:sz w:val="24"/>
          <w:szCs w:val="24"/>
        </w:rPr>
      </w:pPr>
    </w:p>
    <w:sectPr w:rsidR="00F11BE7" w:rsidRPr="00357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9FC"/>
    <w:multiLevelType w:val="multilevel"/>
    <w:tmpl w:val="FF32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B75D4"/>
    <w:multiLevelType w:val="multilevel"/>
    <w:tmpl w:val="364A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86E73"/>
    <w:multiLevelType w:val="multilevel"/>
    <w:tmpl w:val="FD0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B2287"/>
    <w:multiLevelType w:val="multilevel"/>
    <w:tmpl w:val="8E6E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A5FDE"/>
    <w:multiLevelType w:val="multilevel"/>
    <w:tmpl w:val="0ECA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71"/>
    <w:rsid w:val="00020307"/>
    <w:rsid w:val="00063064"/>
    <w:rsid w:val="000C2F4F"/>
    <w:rsid w:val="001C3B51"/>
    <w:rsid w:val="001C3D7E"/>
    <w:rsid w:val="001C746B"/>
    <w:rsid w:val="00252753"/>
    <w:rsid w:val="002F7A8F"/>
    <w:rsid w:val="00357440"/>
    <w:rsid w:val="003C315D"/>
    <w:rsid w:val="00406A11"/>
    <w:rsid w:val="004A583A"/>
    <w:rsid w:val="00512623"/>
    <w:rsid w:val="0055345D"/>
    <w:rsid w:val="006D07A6"/>
    <w:rsid w:val="006D6AA4"/>
    <w:rsid w:val="007646F1"/>
    <w:rsid w:val="008522B8"/>
    <w:rsid w:val="008840C6"/>
    <w:rsid w:val="008939B2"/>
    <w:rsid w:val="009A0297"/>
    <w:rsid w:val="009F3E5C"/>
    <w:rsid w:val="00A11A40"/>
    <w:rsid w:val="00AB30E4"/>
    <w:rsid w:val="00AE2DD1"/>
    <w:rsid w:val="00B3195F"/>
    <w:rsid w:val="00C97771"/>
    <w:rsid w:val="00CB1C51"/>
    <w:rsid w:val="00E73E39"/>
    <w:rsid w:val="00E903C3"/>
    <w:rsid w:val="00F11BE7"/>
    <w:rsid w:val="00F9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28AC"/>
  <w15:chartTrackingRefBased/>
  <w15:docId w15:val="{EDDE1C16-3353-4A65-B538-38C1611A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A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7A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A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F7A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71291">
      <w:bodyDiv w:val="1"/>
      <w:marLeft w:val="0"/>
      <w:marRight w:val="0"/>
      <w:marTop w:val="0"/>
      <w:marBottom w:val="0"/>
      <w:divBdr>
        <w:top w:val="none" w:sz="0" w:space="0" w:color="auto"/>
        <w:left w:val="none" w:sz="0" w:space="0" w:color="auto"/>
        <w:bottom w:val="none" w:sz="0" w:space="0" w:color="auto"/>
        <w:right w:val="none" w:sz="0" w:space="0" w:color="auto"/>
      </w:divBdr>
      <w:divsChild>
        <w:div w:id="40249111">
          <w:marLeft w:val="0"/>
          <w:marRight w:val="0"/>
          <w:marTop w:val="0"/>
          <w:marBottom w:val="0"/>
          <w:divBdr>
            <w:top w:val="none" w:sz="0" w:space="0" w:color="auto"/>
            <w:left w:val="none" w:sz="0" w:space="0" w:color="auto"/>
            <w:bottom w:val="none" w:sz="0" w:space="0" w:color="auto"/>
            <w:right w:val="none" w:sz="0" w:space="0" w:color="auto"/>
          </w:divBdr>
          <w:divsChild>
            <w:div w:id="646740353">
              <w:marLeft w:val="0"/>
              <w:marRight w:val="0"/>
              <w:marTop w:val="0"/>
              <w:marBottom w:val="0"/>
              <w:divBdr>
                <w:top w:val="none" w:sz="0" w:space="0" w:color="auto"/>
                <w:left w:val="none" w:sz="0" w:space="0" w:color="auto"/>
                <w:bottom w:val="none" w:sz="0" w:space="0" w:color="auto"/>
                <w:right w:val="none" w:sz="0" w:space="0" w:color="auto"/>
              </w:divBdr>
              <w:divsChild>
                <w:div w:id="905532189">
                  <w:marLeft w:val="0"/>
                  <w:marRight w:val="0"/>
                  <w:marTop w:val="0"/>
                  <w:marBottom w:val="0"/>
                  <w:divBdr>
                    <w:top w:val="none" w:sz="0" w:space="0" w:color="auto"/>
                    <w:left w:val="none" w:sz="0" w:space="0" w:color="auto"/>
                    <w:bottom w:val="none" w:sz="0" w:space="0" w:color="auto"/>
                    <w:right w:val="none" w:sz="0" w:space="0" w:color="auto"/>
                  </w:divBdr>
                  <w:divsChild>
                    <w:div w:id="4248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5268">
          <w:marLeft w:val="0"/>
          <w:marRight w:val="0"/>
          <w:marTop w:val="0"/>
          <w:marBottom w:val="0"/>
          <w:divBdr>
            <w:top w:val="none" w:sz="0" w:space="0" w:color="auto"/>
            <w:left w:val="none" w:sz="0" w:space="0" w:color="auto"/>
            <w:bottom w:val="none" w:sz="0" w:space="0" w:color="auto"/>
            <w:right w:val="none" w:sz="0" w:space="0" w:color="auto"/>
          </w:divBdr>
          <w:divsChild>
            <w:div w:id="144586633">
              <w:marLeft w:val="0"/>
              <w:marRight w:val="0"/>
              <w:marTop w:val="0"/>
              <w:marBottom w:val="0"/>
              <w:divBdr>
                <w:top w:val="none" w:sz="0" w:space="0" w:color="auto"/>
                <w:left w:val="none" w:sz="0" w:space="0" w:color="auto"/>
                <w:bottom w:val="none" w:sz="0" w:space="0" w:color="auto"/>
                <w:right w:val="none" w:sz="0" w:space="0" w:color="auto"/>
              </w:divBdr>
              <w:divsChild>
                <w:div w:id="11206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0845">
      <w:bodyDiv w:val="1"/>
      <w:marLeft w:val="0"/>
      <w:marRight w:val="0"/>
      <w:marTop w:val="0"/>
      <w:marBottom w:val="0"/>
      <w:divBdr>
        <w:top w:val="none" w:sz="0" w:space="0" w:color="auto"/>
        <w:left w:val="none" w:sz="0" w:space="0" w:color="auto"/>
        <w:bottom w:val="none" w:sz="0" w:space="0" w:color="auto"/>
        <w:right w:val="none" w:sz="0" w:space="0" w:color="auto"/>
      </w:divBdr>
      <w:divsChild>
        <w:div w:id="2146192761">
          <w:marLeft w:val="0"/>
          <w:marRight w:val="0"/>
          <w:marTop w:val="150"/>
          <w:marBottom w:val="150"/>
          <w:divBdr>
            <w:top w:val="none" w:sz="0" w:space="0" w:color="auto"/>
            <w:left w:val="none" w:sz="0" w:space="0" w:color="auto"/>
            <w:bottom w:val="none" w:sz="0" w:space="0" w:color="auto"/>
            <w:right w:val="none" w:sz="0" w:space="0" w:color="auto"/>
          </w:divBdr>
        </w:div>
        <w:div w:id="1158694807">
          <w:marLeft w:val="0"/>
          <w:marRight w:val="0"/>
          <w:marTop w:val="150"/>
          <w:marBottom w:val="150"/>
          <w:divBdr>
            <w:top w:val="none" w:sz="0" w:space="0" w:color="auto"/>
            <w:left w:val="none" w:sz="0" w:space="0" w:color="auto"/>
            <w:bottom w:val="none" w:sz="0" w:space="0" w:color="auto"/>
            <w:right w:val="none" w:sz="0" w:space="0" w:color="auto"/>
          </w:divBdr>
        </w:div>
        <w:div w:id="250818536">
          <w:marLeft w:val="0"/>
          <w:marRight w:val="0"/>
          <w:marTop w:val="150"/>
          <w:marBottom w:val="150"/>
          <w:divBdr>
            <w:top w:val="none" w:sz="0" w:space="0" w:color="auto"/>
            <w:left w:val="none" w:sz="0" w:space="0" w:color="auto"/>
            <w:bottom w:val="none" w:sz="0" w:space="0" w:color="auto"/>
            <w:right w:val="none" w:sz="0" w:space="0" w:color="auto"/>
          </w:divBdr>
        </w:div>
      </w:divsChild>
    </w:div>
    <w:div w:id="953562252">
      <w:bodyDiv w:val="1"/>
      <w:marLeft w:val="0"/>
      <w:marRight w:val="0"/>
      <w:marTop w:val="0"/>
      <w:marBottom w:val="0"/>
      <w:divBdr>
        <w:top w:val="none" w:sz="0" w:space="0" w:color="auto"/>
        <w:left w:val="none" w:sz="0" w:space="0" w:color="auto"/>
        <w:bottom w:val="none" w:sz="0" w:space="0" w:color="auto"/>
        <w:right w:val="none" w:sz="0" w:space="0" w:color="auto"/>
      </w:divBdr>
    </w:div>
    <w:div w:id="1438868224">
      <w:bodyDiv w:val="1"/>
      <w:marLeft w:val="0"/>
      <w:marRight w:val="0"/>
      <w:marTop w:val="0"/>
      <w:marBottom w:val="0"/>
      <w:divBdr>
        <w:top w:val="none" w:sz="0" w:space="0" w:color="auto"/>
        <w:left w:val="none" w:sz="0" w:space="0" w:color="auto"/>
        <w:bottom w:val="none" w:sz="0" w:space="0" w:color="auto"/>
        <w:right w:val="none" w:sz="0" w:space="0" w:color="auto"/>
      </w:divBdr>
      <w:divsChild>
        <w:div w:id="1099834453">
          <w:marLeft w:val="0"/>
          <w:marRight w:val="0"/>
          <w:marTop w:val="150"/>
          <w:marBottom w:val="150"/>
          <w:divBdr>
            <w:top w:val="none" w:sz="0" w:space="0" w:color="auto"/>
            <w:left w:val="none" w:sz="0" w:space="0" w:color="auto"/>
            <w:bottom w:val="none" w:sz="0" w:space="0" w:color="auto"/>
            <w:right w:val="none" w:sz="0" w:space="0" w:color="auto"/>
          </w:divBdr>
        </w:div>
        <w:div w:id="1687898294">
          <w:marLeft w:val="0"/>
          <w:marRight w:val="0"/>
          <w:marTop w:val="150"/>
          <w:marBottom w:val="150"/>
          <w:divBdr>
            <w:top w:val="none" w:sz="0" w:space="0" w:color="auto"/>
            <w:left w:val="none" w:sz="0" w:space="0" w:color="auto"/>
            <w:bottom w:val="none" w:sz="0" w:space="0" w:color="auto"/>
            <w:right w:val="none" w:sz="0" w:space="0" w:color="auto"/>
          </w:divBdr>
        </w:div>
        <w:div w:id="439224854">
          <w:marLeft w:val="0"/>
          <w:marRight w:val="0"/>
          <w:marTop w:val="150"/>
          <w:marBottom w:val="150"/>
          <w:divBdr>
            <w:top w:val="none" w:sz="0" w:space="0" w:color="auto"/>
            <w:left w:val="none" w:sz="0" w:space="0" w:color="auto"/>
            <w:bottom w:val="none" w:sz="0" w:space="0" w:color="auto"/>
            <w:right w:val="none" w:sz="0" w:space="0" w:color="auto"/>
          </w:divBdr>
        </w:div>
      </w:divsChild>
    </w:div>
    <w:div w:id="2053308783">
      <w:bodyDiv w:val="1"/>
      <w:marLeft w:val="0"/>
      <w:marRight w:val="0"/>
      <w:marTop w:val="0"/>
      <w:marBottom w:val="0"/>
      <w:divBdr>
        <w:top w:val="none" w:sz="0" w:space="0" w:color="auto"/>
        <w:left w:val="none" w:sz="0" w:space="0" w:color="auto"/>
        <w:bottom w:val="none" w:sz="0" w:space="0" w:color="auto"/>
        <w:right w:val="none" w:sz="0" w:space="0" w:color="auto"/>
      </w:divBdr>
      <w:divsChild>
        <w:div w:id="1772503114">
          <w:marLeft w:val="0"/>
          <w:marRight w:val="0"/>
          <w:marTop w:val="150"/>
          <w:marBottom w:val="150"/>
          <w:divBdr>
            <w:top w:val="none" w:sz="0" w:space="0" w:color="auto"/>
            <w:left w:val="none" w:sz="0" w:space="0" w:color="auto"/>
            <w:bottom w:val="none" w:sz="0" w:space="0" w:color="auto"/>
            <w:right w:val="none" w:sz="0" w:space="0" w:color="auto"/>
          </w:divBdr>
        </w:div>
        <w:div w:id="1877306623">
          <w:marLeft w:val="0"/>
          <w:marRight w:val="0"/>
          <w:marTop w:val="150"/>
          <w:marBottom w:val="150"/>
          <w:divBdr>
            <w:top w:val="none" w:sz="0" w:space="0" w:color="auto"/>
            <w:left w:val="none" w:sz="0" w:space="0" w:color="auto"/>
            <w:bottom w:val="none" w:sz="0" w:space="0" w:color="auto"/>
            <w:right w:val="none" w:sz="0" w:space="0" w:color="auto"/>
          </w:divBdr>
        </w:div>
        <w:div w:id="64717541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Avchaciov+K&amp;cauthor_id=34035236" TargetMode="External"/><Relationship Id="rId13" Type="http://schemas.openxmlformats.org/officeDocument/2006/relationships/hyperlink" Target="https://link.springer.com/article/10.1007/s11357-020-00222-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ubmed.ncbi.nlm.nih.gov/?term=Pyrkov+TV&amp;cauthor_id=34035236" TargetMode="External"/><Relationship Id="rId12" Type="http://schemas.openxmlformats.org/officeDocument/2006/relationships/hyperlink" Target="https://pubmed.ncbi.nlm.nih.gov/?term=Fedichev+PO&amp;cauthor_id=34035236" TargetMode="External"/><Relationship Id="rId17" Type="http://schemas.openxmlformats.org/officeDocument/2006/relationships/hyperlink" Target="https://link.springer.com/journal/11357" TargetMode="External"/><Relationship Id="rId2" Type="http://schemas.openxmlformats.org/officeDocument/2006/relationships/numbering" Target="numbering.xml"/><Relationship Id="rId16" Type="http://schemas.openxmlformats.org/officeDocument/2006/relationships/hyperlink" Target="https://link.springer.com/article/10.1007/s11357-020-00222-z"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pubmed.ncbi.nlm.nih.gov/?term=Gudkov+AV&amp;cauthor_id=34035236" TargetMode="External"/><Relationship Id="rId5" Type="http://schemas.openxmlformats.org/officeDocument/2006/relationships/webSettings" Target="webSettings.xml"/><Relationship Id="rId15" Type="http://schemas.openxmlformats.org/officeDocument/2006/relationships/hyperlink" Target="https://link.springer.com/article/10.1007/s11357-020-00222-z" TargetMode="External"/><Relationship Id="rId10" Type="http://schemas.openxmlformats.org/officeDocument/2006/relationships/hyperlink" Target="https://pubmed.ncbi.nlm.nih.gov/?term=Menshikov+LI&amp;cauthor_id=340352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med.ncbi.nlm.nih.gov/?term=Tarkhov+AE&amp;cauthor_id=34035236" TargetMode="External"/><Relationship Id="rId14" Type="http://schemas.openxmlformats.org/officeDocument/2006/relationships/hyperlink" Target="https://link.springer.com/article/10.1007/s11357-020-00222-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1CF2-9A97-42A9-95DA-D183734B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Warren Ladiges</cp:lastModifiedBy>
  <cp:revision>3</cp:revision>
  <dcterms:created xsi:type="dcterms:W3CDTF">2021-06-03T05:09:00Z</dcterms:created>
  <dcterms:modified xsi:type="dcterms:W3CDTF">2021-06-03T05:17:00Z</dcterms:modified>
</cp:coreProperties>
</file>