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bookmarkStart w:id="0" w:name="OLE_LINK1"/>
      <w:r>
        <w:rPr>
          <w:rFonts w:ascii="Times New Roman" w:hAnsi="Times New Roman" w:cs="Times New Roman"/>
          <w:sz w:val="24"/>
          <w:szCs w:val="24"/>
        </w:rPr>
        <w:t>Chimeric Antigen Receptor T cell Therapy in Cancer: Advances and Challenges</w:t>
      </w:r>
    </w:p>
    <w:p>
      <w:pPr>
        <w:jc w:val="center"/>
        <w:rPr>
          <w:rFonts w:ascii="Times New Roman" w:hAnsi="Times New Roman" w:cs="Times New Roman"/>
          <w:sz w:val="24"/>
          <w:szCs w:val="24"/>
        </w:rPr>
      </w:pPr>
      <w:r>
        <w:rPr>
          <w:rFonts w:ascii="Times New Roman" w:hAnsi="Times New Roman" w:cs="Times New Roman"/>
          <w:sz w:val="24"/>
          <w:szCs w:val="24"/>
        </w:rPr>
        <w:t>Yuanzheng Liang, Liang Wang*</w:t>
      </w:r>
    </w:p>
    <w:p>
      <w:pPr>
        <w:ind w:firstLine="480" w:firstLineChars="200"/>
        <w:rPr>
          <w:rFonts w:ascii="Times New Roman" w:hAnsi="Times New Roman" w:cs="Times New Roman"/>
          <w:sz w:val="24"/>
          <w:szCs w:val="24"/>
        </w:rPr>
      </w:pPr>
      <w:r>
        <w:rPr>
          <w:rFonts w:ascii="Times New Roman" w:hAnsi="Times New Roman" w:cs="Times New Roman"/>
          <w:sz w:val="24"/>
          <w:szCs w:val="24"/>
        </w:rPr>
        <w:t xml:space="preserve">Chimeric antigen receptor (CAR) T-cell therapy is novel tumor immunotherapy and its advent is a huge breakthrough in adoptive cell therapy. CAR T-cells are genetically developed based on primary T-cell engineering and the use of artificial synthetic receptors which enable T cells with high affinity for tumor antigens to recognize specific antigens on tumor cells independent of major histocompatibility complex (MHC), rousing the silencing T cells to exert </w:t>
      </w:r>
      <w:r>
        <w:rPr>
          <w:rFonts w:hint="eastAsia" w:ascii="Times New Roman" w:hAnsi="Times New Roman" w:cs="Times New Roman"/>
          <w:sz w:val="24"/>
          <w:szCs w:val="24"/>
          <w:lang w:val="en-US" w:eastAsia="zh-CN"/>
        </w:rPr>
        <w:t xml:space="preserve">a </w:t>
      </w:r>
      <w:r>
        <w:rPr>
          <w:rFonts w:ascii="Times New Roman" w:hAnsi="Times New Roman" w:cs="Times New Roman"/>
          <w:sz w:val="24"/>
          <w:szCs w:val="24"/>
        </w:rPr>
        <w:t>persistent anti-tumor effect. This feature could effectively prevent tumor cells from down-regulating the expression of MHC leading to</w:t>
      </w:r>
      <w:r>
        <w:rPr>
          <w:sz w:val="24"/>
          <w:szCs w:val="24"/>
        </w:rPr>
        <w:t xml:space="preserve"> </w:t>
      </w:r>
      <w:r>
        <w:rPr>
          <w:rFonts w:ascii="Times New Roman" w:hAnsi="Times New Roman" w:cs="Times New Roman"/>
          <w:sz w:val="24"/>
          <w:szCs w:val="24"/>
        </w:rPr>
        <w:t xml:space="preserve">immune evasion. At present, CAR T-cell has developed to the fourth generation, and different generations of CARs differ in the aspects of T-cell activating domains, the co-stimulatory signal domain（CD28 or 4-1BB）and the additional different cytokine transgene. </w:t>
      </w:r>
      <w:r>
        <w:rPr>
          <w:rFonts w:hint="eastAsia" w:ascii="Times New Roman" w:hAnsi="Times New Roman" w:cs="Times New Roman"/>
          <w:sz w:val="24"/>
          <w:szCs w:val="24"/>
        </w:rPr>
        <w:t xml:space="preserve">CAR T-cell therapies </w:t>
      </w:r>
      <w:r>
        <w:rPr>
          <w:rFonts w:ascii="Times New Roman" w:hAnsi="Times New Roman" w:cs="Times New Roman"/>
          <w:sz w:val="24"/>
          <w:szCs w:val="24"/>
        </w:rPr>
        <w:t xml:space="preserve">have </w:t>
      </w:r>
      <w:r>
        <w:rPr>
          <w:rFonts w:hint="eastAsia" w:ascii="Times New Roman" w:hAnsi="Times New Roman" w:cs="Times New Roman"/>
          <w:sz w:val="24"/>
          <w:szCs w:val="24"/>
        </w:rPr>
        <w:t xml:space="preserve">widely </w:t>
      </w:r>
      <w:r>
        <w:rPr>
          <w:rFonts w:ascii="Times New Roman" w:hAnsi="Times New Roman" w:cs="Times New Roman"/>
          <w:sz w:val="24"/>
          <w:szCs w:val="24"/>
        </w:rPr>
        <w:t>shifted the worrisome situation of relapsed/refractory (R/R) hematological malignancies.</w:t>
      </w:r>
      <w:r>
        <w:rPr>
          <w:sz w:val="24"/>
          <w:szCs w:val="24"/>
        </w:rPr>
        <w:t xml:space="preserve"> </w:t>
      </w:r>
      <w:r>
        <w:rPr>
          <w:rFonts w:ascii="Times New Roman" w:hAnsi="Times New Roman" w:cs="Times New Roman"/>
          <w:sz w:val="24"/>
          <w:szCs w:val="24"/>
        </w:rPr>
        <w:t>However, the response observed in solid tumors tend</w:t>
      </w:r>
      <w:r>
        <w:rPr>
          <w:rFonts w:hint="eastAsia" w:ascii="Times New Roman" w:hAnsi="Times New Roman" w:cs="Times New Roman"/>
          <w:sz w:val="24"/>
          <w:szCs w:val="24"/>
          <w:lang w:val="en-US" w:eastAsia="zh-CN"/>
        </w:rPr>
        <w:t>s</w:t>
      </w:r>
      <w:r>
        <w:rPr>
          <w:rFonts w:ascii="Times New Roman" w:hAnsi="Times New Roman" w:cs="Times New Roman"/>
          <w:sz w:val="24"/>
          <w:szCs w:val="24"/>
        </w:rPr>
        <w:t xml:space="preserve"> to be less robust and effective. Therefore, multitudinous clinical trials of the safety and efficacy of CAR T-cell therapy directed at various types of cancers are in process.</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CAR</w:t>
      </w:r>
      <w:r>
        <w:rPr>
          <w:rFonts w:ascii="Times New Roman" w:hAnsi="Times New Roman" w:cs="Times New Roman"/>
          <w:sz w:val="24"/>
          <w:szCs w:val="24"/>
        </w:rPr>
        <w:t xml:space="preserve"> </w:t>
      </w:r>
      <w:r>
        <w:rPr>
          <w:rFonts w:hint="eastAsia" w:ascii="Times New Roman" w:hAnsi="Times New Roman" w:cs="Times New Roman"/>
          <w:sz w:val="24"/>
          <w:szCs w:val="24"/>
        </w:rPr>
        <w:t>T-cell therapies have</w:t>
      </w:r>
      <w:r>
        <w:t xml:space="preserve"> </w:t>
      </w:r>
      <w:r>
        <w:rPr>
          <w:rFonts w:ascii="Times New Roman" w:hAnsi="Times New Roman" w:cs="Times New Roman"/>
          <w:sz w:val="24"/>
          <w:szCs w:val="24"/>
        </w:rPr>
        <w:t>achieved</w:t>
      </w:r>
      <w:r>
        <w:rPr>
          <w:rFonts w:hint="eastAsia" w:ascii="Times New Roman" w:hAnsi="Times New Roman" w:cs="Times New Roman"/>
          <w:sz w:val="24"/>
          <w:szCs w:val="24"/>
        </w:rPr>
        <w:t xml:space="preserve"> </w:t>
      </w:r>
      <w:r>
        <w:rPr>
          <w:rFonts w:ascii="Times New Roman" w:hAnsi="Times New Roman" w:cs="Times New Roman"/>
          <w:sz w:val="24"/>
          <w:szCs w:val="24"/>
        </w:rPr>
        <w:t>unprecedented success in hematologic cancers, including diffuse large B-cell lymphoma (DLBCL), primary mediastinal B-cell lymphoma (PMBCL), high</w:t>
      </w:r>
      <w:r>
        <w:rPr>
          <w:rFonts w:hint="eastAsia" w:ascii="Times New Roman" w:hAnsi="Times New Roman" w:cs="Times New Roman"/>
          <w:sz w:val="24"/>
          <w:szCs w:val="24"/>
          <w:lang w:val="en-US" w:eastAsia="zh-CN"/>
        </w:rPr>
        <w:t>-</w:t>
      </w:r>
      <w:r>
        <w:rPr>
          <w:rFonts w:ascii="Times New Roman" w:hAnsi="Times New Roman" w:cs="Times New Roman"/>
          <w:sz w:val="24"/>
          <w:szCs w:val="24"/>
        </w:rPr>
        <w:t>grade B-cell lymphoma</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HGBL</w:t>
      </w:r>
      <w:r>
        <w:rPr>
          <w:rFonts w:ascii="Times New Roman" w:hAnsi="Times New Roman" w:cs="Times New Roman"/>
          <w:sz w:val="24"/>
          <w:szCs w:val="24"/>
        </w:rPr>
        <w:t>), acute lymphoblastic leukemia (ALL), chronic lymphocytic leukemia(CLL), and multiple myeloma(MM)</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etc. In phase 2 global study for patients with R/R B-cell ALL, the efficacy of Tisagenlecleucel (Kymriah) therapy was satisfactory where the overall response rate (ORR) within 3 months was as high as 81%. The rates of event</w:t>
      </w:r>
      <w:r>
        <w:rPr>
          <w:rFonts w:hint="eastAsia" w:ascii="Times New Roman" w:hAnsi="Times New Roman" w:cs="Times New Roman"/>
          <w:sz w:val="24"/>
          <w:szCs w:val="24"/>
          <w:lang w:val="en-US" w:eastAsia="zh-CN"/>
        </w:rPr>
        <w:t>-</w:t>
      </w:r>
      <w:r>
        <w:rPr>
          <w:rFonts w:ascii="Times New Roman" w:hAnsi="Times New Roman" w:cs="Times New Roman"/>
          <w:sz w:val="24"/>
          <w:szCs w:val="24"/>
        </w:rPr>
        <w:t>free survival (EFS) and overall survival (OS) at 12 months w</w:t>
      </w:r>
      <w:r>
        <w:rPr>
          <w:rFonts w:hint="eastAsia" w:ascii="Times New Roman" w:hAnsi="Times New Roman" w:cs="Times New Roman"/>
          <w:sz w:val="24"/>
          <w:szCs w:val="24"/>
          <w:lang w:val="en-US" w:eastAsia="zh-CN"/>
        </w:rPr>
        <w:t>ere</w:t>
      </w:r>
      <w:r>
        <w:rPr>
          <w:rFonts w:ascii="Times New Roman" w:hAnsi="Times New Roman" w:cs="Times New Roman"/>
          <w:sz w:val="24"/>
          <w:szCs w:val="24"/>
        </w:rPr>
        <w:t xml:space="preserve"> 50% and 76% respectively. In </w:t>
      </w:r>
      <w:r>
        <w:rPr>
          <w:rFonts w:ascii="Times New Roman" w:hAnsi="Times New Roman" w:cs="Times New Roman"/>
          <w:color w:val="212121"/>
          <w:sz w:val="24"/>
          <w:szCs w:val="24"/>
          <w:shd w:val="clear" w:color="auto" w:fill="FFFFFF"/>
        </w:rPr>
        <w:t>refractory large B-cell lymphoma (LBCL), patients with Axicabtagene Ciloleucel (</w:t>
      </w:r>
      <w:r>
        <w:rPr>
          <w:rFonts w:ascii="Times New Roman" w:hAnsi="Times New Roman" w:cs="Times New Roman"/>
          <w:sz w:val="24"/>
          <w:szCs w:val="24"/>
        </w:rPr>
        <w:t xml:space="preserve">Yescarta) treatment, which </w:t>
      </w:r>
      <w:r>
        <w:rPr>
          <w:rFonts w:ascii="Times New Roman" w:hAnsi="Times New Roman" w:cs="Times New Roman"/>
          <w:color w:val="212121"/>
          <w:sz w:val="24"/>
          <w:szCs w:val="24"/>
          <w:shd w:val="clear" w:color="auto" w:fill="FFFFFF"/>
        </w:rPr>
        <w:t>the objective response could attain 83%</w:t>
      </w:r>
      <w:r>
        <w:rPr>
          <w:rFonts w:hint="eastAsia"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while the complete response rate (CRR) up to 58%. In addition, the median OS was not reached during a 2-year follow-up. These exciting clinical results prompted the FDA to accelerate the approval of Yescarta and Kymriah as indications for CD19+ R/R ALL/ LBCL in 2017. A new study about the first-line application of</w:t>
      </w:r>
      <w:r>
        <w:rPr>
          <w:rFonts w:ascii="Times New Roman" w:hAnsi="Times New Roman" w:cs="Times New Roman"/>
          <w:sz w:val="24"/>
          <w:szCs w:val="24"/>
        </w:rPr>
        <w:t xml:space="preserve"> CAR-T cell therapy (Yescarta)</w:t>
      </w:r>
      <w:r>
        <w:rPr>
          <w:rFonts w:ascii="Times New Roman" w:hAnsi="Times New Roman" w:cs="Times New Roman"/>
          <w:color w:val="212121"/>
          <w:sz w:val="24"/>
          <w:szCs w:val="24"/>
          <w:shd w:val="clear" w:color="auto" w:fill="FFFFFF"/>
        </w:rPr>
        <w:t xml:space="preserve"> in LBCL has suggested significant efficacy and controlled security, with 92% ORR and 75% CRR. </w:t>
      </w:r>
      <w:r>
        <w:rPr>
          <w:rFonts w:ascii="Times New Roman" w:hAnsi="Times New Roman" w:cs="Times New Roman"/>
          <w:sz w:val="24"/>
          <w:szCs w:val="24"/>
        </w:rPr>
        <w:t>In addition to CARs targeting CD19, the ongoing clinical trials include CD20 targeting, CD22 targeting, CD19/CD20 dual specific targeting as well as CD19/CD22 for B cell hematological malignancies. Moreover, there are also several targets such as CD30, CD5, CD7 focused on the aggressive T-cell malignancies.</w:t>
      </w:r>
      <w:r>
        <w:rPr>
          <w:rFonts w:hint="eastAsia" w:ascii="Times New Roman" w:hAnsi="Times New Roman" w:cs="Times New Roman"/>
          <w:sz w:val="24"/>
          <w:szCs w:val="24"/>
        </w:rPr>
        <w:t xml:space="preserve"> </w:t>
      </w:r>
      <w:r>
        <w:rPr>
          <w:rFonts w:ascii="Times New Roman" w:hAnsi="Times New Roman" w:cs="Times New Roman"/>
          <w:sz w:val="24"/>
          <w:szCs w:val="24"/>
        </w:rPr>
        <w:t>The CD30+ CAR T-cells used in R/R HL patients have achieved gratifying results, with an ORR of 72%</w:t>
      </w:r>
      <w:r>
        <w:rPr>
          <w:rFonts w:hint="eastAsia" w:ascii="Times New Roman" w:hAnsi="Times New Roman" w:cs="Times New Roman"/>
          <w:sz w:val="24"/>
          <w:szCs w:val="24"/>
        </w:rPr>
        <w:t>.</w:t>
      </w:r>
      <w:r>
        <w:rPr>
          <w:rFonts w:ascii="Times New Roman" w:hAnsi="Times New Roman" w:cs="Times New Roman"/>
          <w:sz w:val="24"/>
          <w:szCs w:val="24"/>
        </w:rPr>
        <w:t xml:space="preserve"> The results of the series of studies indicate that CAR T-cell therapy will occupy an important position in the field of hematological tumors in the future.</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CAR T-cell therapies have also been remarkably expanded in clinical trials of solid tumors, such as brain tumor, liver cancer, pancreatic cancer, breast cancer, ovarian tumor, and colorectal cancer, etc. Nevertheless, relevant data reflecting clinical efficacy are unfavorable. A meta-analysis of 262 patients showed that the overall pooled response rate of CAR T-cell therapies in solid tumors was 9%. In neuroblastoma, 3 of 18 patients had a CR with GD2-CAR T-cells infusion and the CAR-cells persisted for 6 weeks. In a phase I study of glioblastoma, 18 patients with R/R were treated with anti-EGFRvIII CAR T-cells, but </w:t>
      </w:r>
      <w:r>
        <w:rPr>
          <w:rFonts w:hint="eastAsia" w:ascii="Times New Roman" w:hAnsi="Times New Roman" w:cs="Times New Roman"/>
          <w:sz w:val="24"/>
          <w:szCs w:val="24"/>
          <w:lang w:val="en-US" w:eastAsia="zh-CN"/>
        </w:rPr>
        <w:t xml:space="preserve">the </w:t>
      </w:r>
      <w:r>
        <w:rPr>
          <w:rFonts w:ascii="Times New Roman" w:hAnsi="Times New Roman" w:cs="Times New Roman"/>
          <w:sz w:val="24"/>
          <w:szCs w:val="24"/>
        </w:rPr>
        <w:t>objective response was not seen and the CAR cell</w:t>
      </w:r>
      <w:r>
        <w:rPr>
          <w:rFonts w:hint="default" w:ascii="Times New Roman" w:hAnsi="Times New Roman" w:cs="Times New Roman"/>
          <w:sz w:val="24"/>
          <w:szCs w:val="24"/>
          <w:lang w:val="en-US" w:eastAsia="zh-CN"/>
        </w:rPr>
        <w:t>’</w:t>
      </w:r>
      <w:r>
        <w:rPr>
          <w:rFonts w:ascii="Times New Roman" w:hAnsi="Times New Roman" w:cs="Times New Roman"/>
          <w:sz w:val="24"/>
          <w:szCs w:val="24"/>
        </w:rPr>
        <w:t xml:space="preserve">s persistence time </w:t>
      </w:r>
      <w:r>
        <w:rPr>
          <w:rFonts w:hint="eastAsia" w:ascii="Times New Roman" w:hAnsi="Times New Roman" w:cs="Times New Roman"/>
          <w:sz w:val="24"/>
          <w:szCs w:val="24"/>
          <w:lang w:val="en-US" w:eastAsia="zh-CN"/>
        </w:rPr>
        <w:t xml:space="preserve">was </w:t>
      </w:r>
      <w:r>
        <w:rPr>
          <w:rFonts w:ascii="Times New Roman" w:hAnsi="Times New Roman" w:cs="Times New Roman"/>
          <w:sz w:val="24"/>
          <w:szCs w:val="24"/>
        </w:rPr>
        <w:t xml:space="preserve">related </w:t>
      </w:r>
      <w:r>
        <w:rPr>
          <w:rFonts w:hint="eastAsia" w:ascii="Times New Roman" w:hAnsi="Times New Roman" w:cs="Times New Roman"/>
          <w:sz w:val="24"/>
          <w:szCs w:val="24"/>
          <w:lang w:val="en-US" w:eastAsia="zh-CN"/>
        </w:rPr>
        <w:t>to</w:t>
      </w:r>
      <w:r>
        <w:rPr>
          <w:rFonts w:ascii="Times New Roman" w:hAnsi="Times New Roman" w:cs="Times New Roman"/>
          <w:sz w:val="24"/>
          <w:szCs w:val="24"/>
        </w:rPr>
        <w:t xml:space="preserve"> the dose of infusion cells.</w:t>
      </w:r>
      <w:r>
        <w:rPr>
          <w:rFonts w:ascii="Times New Roman" w:hAnsi="Times New Roman" w:cs="Times New Roman"/>
          <w:color w:val="212121"/>
          <w:sz w:val="24"/>
          <w:szCs w:val="24"/>
          <w:shd w:val="clear" w:color="auto" w:fill="FFFFFF"/>
        </w:rPr>
        <w:t xml:space="preserve"> Feng et al. studied the efficacy and safety of CAR T-cells targeting HER2 in 18 patients </w:t>
      </w:r>
      <w:r>
        <w:rPr>
          <w:rFonts w:hint="eastAsia" w:ascii="Times New Roman" w:hAnsi="Times New Roman" w:cs="Times New Roman"/>
          <w:color w:val="212121"/>
          <w:sz w:val="24"/>
          <w:szCs w:val="24"/>
          <w:shd w:val="clear" w:color="auto" w:fill="FFFFFF"/>
        </w:rPr>
        <w:t xml:space="preserve">with </w:t>
      </w:r>
      <w:r>
        <w:rPr>
          <w:rFonts w:ascii="Times New Roman" w:hAnsi="Times New Roman" w:cs="Times New Roman"/>
          <w:color w:val="212121"/>
          <w:sz w:val="24"/>
          <w:szCs w:val="24"/>
          <w:shd w:val="clear" w:color="auto" w:fill="FFFFFF"/>
        </w:rPr>
        <w:t>advanced biliary tract cancers and pancreatic cancers, 1 obtained partial response (PR) and 5 achieved stable disease (SD). Furthermore, the median progression</w:t>
      </w:r>
      <w:r>
        <w:rPr>
          <w:rFonts w:hint="eastAsia" w:ascii="Times New Roman" w:hAnsi="Times New Roman" w:cs="Times New Roman"/>
          <w:color w:val="212121"/>
          <w:sz w:val="24"/>
          <w:szCs w:val="24"/>
          <w:shd w:val="clear" w:color="auto" w:fill="FFFFFF"/>
          <w:lang w:val="en-US" w:eastAsia="zh-CN"/>
        </w:rPr>
        <w:t>-</w:t>
      </w:r>
      <w:r>
        <w:rPr>
          <w:rFonts w:ascii="Times New Roman" w:hAnsi="Times New Roman" w:cs="Times New Roman"/>
          <w:color w:val="212121"/>
          <w:sz w:val="24"/>
          <w:szCs w:val="24"/>
          <w:shd w:val="clear" w:color="auto" w:fill="FFFFFF"/>
        </w:rPr>
        <w:t>free survival (PFS) was 4.8 months.</w:t>
      </w:r>
      <w:r>
        <w:rPr>
          <w:rFonts w:ascii="Times New Roman" w:hAnsi="Times New Roman" w:cs="Times New Roman"/>
          <w:sz w:val="24"/>
          <w:szCs w:val="24"/>
        </w:rPr>
        <w:t xml:space="preserve"> We could observe that the response of CAR T-cell therapy in solid tumors appears to be far less effective than that of hematological tumors. This </w:t>
      </w:r>
      <w:r>
        <w:rPr>
          <w:rFonts w:ascii="Times New Roman" w:hAnsi="Times New Roman"/>
          <w:sz w:val="24"/>
          <w:szCs w:val="24"/>
        </w:rPr>
        <w:t>problematic</w:t>
      </w:r>
      <w:r>
        <w:rPr>
          <w:rFonts w:ascii="Times New Roman" w:hAnsi="Times New Roman" w:cs="Times New Roman"/>
          <w:sz w:val="24"/>
          <w:szCs w:val="24"/>
        </w:rPr>
        <w:t xml:space="preserve"> status quo is bound by several factors, including the scarcity of ideal tumor</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specific antigens (TSA), high tumor heterogeneity, and a hostile tumor microenvironment (TME). Many strategies and approaches have been tried to overcome these existing challenges. For example, CAR T-cells could recognize antigens expressed in non-malignant tissues causing fatal consequences, so the multi-target CAR T cells were designed to ensure the specificity of target antigens and reduce CAR T-cells binding to normal tissues. There are many barrier tissues around the tumor and </w:t>
      </w:r>
      <w:r>
        <w:rPr>
          <w:rFonts w:hint="eastAsia" w:ascii="Times New Roman" w:hAnsi="Times New Roman" w:cs="Times New Roman"/>
          <w:sz w:val="24"/>
          <w:szCs w:val="24"/>
          <w:lang w:val="en-US" w:eastAsia="zh-CN"/>
        </w:rPr>
        <w:t xml:space="preserve">a </w:t>
      </w:r>
      <w:r>
        <w:rPr>
          <w:rFonts w:ascii="Times New Roman" w:hAnsi="Times New Roman" w:cs="Times New Roman"/>
          <w:sz w:val="24"/>
          <w:szCs w:val="24"/>
        </w:rPr>
        <w:t xml:space="preserve">lack of chemokine, which makes it difficult for CAR-T cells to infiltrate into the tumor. Studies have shown that local or intratumoral injection of CAR T-cells could exert </w:t>
      </w:r>
      <w:r>
        <w:rPr>
          <w:rFonts w:hint="eastAsia" w:ascii="Times New Roman" w:hAnsi="Times New Roman" w:cs="Times New Roman"/>
          <w:sz w:val="24"/>
          <w:szCs w:val="24"/>
          <w:lang w:val="en-US" w:eastAsia="zh-CN"/>
        </w:rPr>
        <w:t xml:space="preserve">a </w:t>
      </w:r>
      <w:r>
        <w:rPr>
          <w:rFonts w:ascii="Times New Roman" w:hAnsi="Times New Roman" w:cs="Times New Roman"/>
          <w:sz w:val="24"/>
          <w:szCs w:val="24"/>
        </w:rPr>
        <w:t>strong and continuous anti-tumor effect at tumor sites, and also reduce the risk of systemic toxicities caused by off-target.</w:t>
      </w:r>
      <w:r>
        <w:rPr>
          <w:sz w:val="24"/>
          <w:szCs w:val="24"/>
        </w:rPr>
        <w:t xml:space="preserve"> </w:t>
      </w:r>
      <w:r>
        <w:rPr>
          <w:rFonts w:ascii="Times New Roman" w:hAnsi="Times New Roman" w:cs="Times New Roman"/>
          <w:sz w:val="24"/>
          <w:szCs w:val="24"/>
        </w:rPr>
        <w:t>Immune checkpoints are highly upregulated in the microenvironment of solid tumors and seriously affect the proliferation and function of T cells. As a result, agents enable to enhance T cell function, such as immune checkpoint inhibitors, IL-2</w:t>
      </w:r>
      <w:r>
        <w:rPr>
          <w:rFonts w:hint="eastAsia" w:ascii="Times New Roman" w:hAnsi="Times New Roman" w:cs="Times New Roman"/>
          <w:sz w:val="24"/>
          <w:szCs w:val="24"/>
          <w:lang w:val="en-US" w:eastAsia="zh-CN"/>
        </w:rPr>
        <w:t>,</w:t>
      </w:r>
      <w:bookmarkStart w:id="1" w:name="_GoBack"/>
      <w:bookmarkEnd w:id="1"/>
      <w:r>
        <w:rPr>
          <w:rFonts w:ascii="Times New Roman" w:hAnsi="Times New Roman" w:cs="Times New Roman"/>
          <w:sz w:val="24"/>
          <w:szCs w:val="24"/>
        </w:rPr>
        <w:t xml:space="preserve"> or IL-12, may be combined with CAR-T cell therapy, to improve the undesirable efficacy.</w:t>
      </w:r>
    </w:p>
    <w:p>
      <w:pPr>
        <w:ind w:firstLine="360" w:firstLineChars="150"/>
        <w:rPr>
          <w:rFonts w:ascii="Times New Roman" w:hAnsi="Times New Roman" w:cs="Times New Roman"/>
          <w:sz w:val="24"/>
          <w:szCs w:val="24"/>
        </w:rPr>
      </w:pPr>
      <w:r>
        <w:rPr>
          <w:rFonts w:ascii="Times New Roman" w:hAnsi="Times New Roman" w:cs="Times New Roman"/>
          <w:sz w:val="24"/>
          <w:szCs w:val="24"/>
        </w:rPr>
        <w:t xml:space="preserve">As </w:t>
      </w:r>
      <w:r>
        <w:rPr>
          <w:rFonts w:ascii="Times New Roman" w:hAnsi="Times New Roman"/>
          <w:sz w:val="24"/>
          <w:szCs w:val="24"/>
        </w:rPr>
        <w:t>a broad array of</w:t>
      </w:r>
      <w:r>
        <w:rPr>
          <w:rFonts w:ascii="Times New Roman" w:hAnsi="Times New Roman" w:cs="Times New Roman"/>
          <w:sz w:val="24"/>
          <w:szCs w:val="24"/>
        </w:rPr>
        <w:t xml:space="preserve"> CAR T-cell therapies </w:t>
      </w:r>
      <w:r>
        <w:rPr>
          <w:rFonts w:ascii="Times New Roman" w:hAnsi="Times New Roman"/>
          <w:sz w:val="24"/>
          <w:szCs w:val="24"/>
        </w:rPr>
        <w:t>become increasingly</w:t>
      </w:r>
      <w:r>
        <w:rPr>
          <w:rFonts w:ascii="Times New Roman" w:hAnsi="Times New Roman" w:cs="Times New Roman"/>
          <w:sz w:val="24"/>
          <w:szCs w:val="24"/>
        </w:rPr>
        <w:t xml:space="preserve"> used, recognition and understanding of their unique toxicities </w:t>
      </w:r>
      <w:r>
        <w:rPr>
          <w:rFonts w:hint="eastAsia" w:ascii="Times New Roman" w:hAnsi="Times New Roman" w:cs="Times New Roman"/>
          <w:sz w:val="24"/>
          <w:szCs w:val="24"/>
          <w:lang w:val="en-US" w:eastAsia="zh-CN"/>
        </w:rPr>
        <w:t>are</w:t>
      </w:r>
      <w:r>
        <w:rPr>
          <w:rFonts w:ascii="Times New Roman" w:hAnsi="Times New Roman" w:cs="Times New Roman"/>
          <w:sz w:val="24"/>
          <w:szCs w:val="24"/>
        </w:rPr>
        <w:t xml:space="preserve"> of the utmost importance. Cytokine release syndrome (CRS) and neurotoxicity are the most major and severe clinical toxicities after CAR T-cells infusion, which are induced by T-cell engagement and activation.</w:t>
      </w:r>
      <w:r>
        <w:rPr>
          <w:sz w:val="24"/>
          <w:szCs w:val="24"/>
        </w:rPr>
        <w:t xml:space="preserve"> </w:t>
      </w:r>
      <w:r>
        <w:rPr>
          <w:rFonts w:ascii="Times New Roman" w:hAnsi="Times New Roman" w:cs="Times New Roman"/>
          <w:sz w:val="24"/>
          <w:szCs w:val="24"/>
        </w:rPr>
        <w:t>There are still many unknowns about the mechanism leading to these adverse events. A recent study found that targeting cytokines, such as granulocyte–macrophage colony-stimulating factor, are believed to be effective for neurotoxicity and CRS without compromising efficacy.</w:t>
      </w:r>
      <w:r>
        <w:rPr>
          <w:rFonts w:ascii="Times New Roman" w:hAnsi="Times New Roman"/>
          <w:sz w:val="24"/>
          <w:szCs w:val="24"/>
        </w:rPr>
        <w:t xml:space="preserve"> </w:t>
      </w:r>
      <w:r>
        <w:rPr>
          <w:rFonts w:ascii="Times New Roman" w:hAnsi="Times New Roman" w:cs="Times New Roman"/>
          <w:sz w:val="24"/>
          <w:szCs w:val="24"/>
        </w:rPr>
        <w:t>The current pressing issue is to formulate a consensus guideline of the management of these immune-related toxicities for clinical physicians. Looking forward to the future, great efforts are still needed in the innovative design of CARs, the identification of new tumor targets, the rational combination with other therapies, and new methods to improve the efficacy and safety of CAR T-</w:t>
      </w:r>
      <w:r>
        <w:rPr>
          <w:rFonts w:hint="eastAsia" w:ascii="Times New Roman" w:hAnsi="Times New Roman" w:cs="Times New Roman"/>
          <w:sz w:val="24"/>
          <w:szCs w:val="24"/>
          <w:lang w:val="en-US" w:eastAsia="zh-CN"/>
        </w:rPr>
        <w:t>c</w:t>
      </w:r>
      <w:r>
        <w:rPr>
          <w:rFonts w:ascii="Times New Roman" w:hAnsi="Times New Roman" w:cs="Times New Roman"/>
          <w:sz w:val="24"/>
          <w:szCs w:val="24"/>
        </w:rPr>
        <w:t>ell therapy. Only when we better understand the pros and cons of this revolutionary treatment can we better apply it to the clinic and benefit patients.</w:t>
      </w:r>
    </w:p>
    <w:p>
      <w:pPr>
        <w:ind w:firstLine="360" w:firstLineChars="15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Corresponding author: Liang Wang</w:t>
      </w:r>
    </w:p>
    <w:p>
      <w:pPr>
        <w:rPr>
          <w:rFonts w:ascii="Times New Roman" w:hAnsi="Times New Roman"/>
          <w:sz w:val="24"/>
          <w:szCs w:val="24"/>
        </w:rPr>
      </w:pPr>
      <w:r>
        <w:rPr>
          <w:rFonts w:hint="eastAsia" w:ascii="Times New Roman" w:hAnsi="Times New Roman"/>
          <w:sz w:val="24"/>
          <w:szCs w:val="24"/>
        </w:rPr>
        <w:t>Mailing ad</w:t>
      </w:r>
      <w:r>
        <w:rPr>
          <w:rFonts w:ascii="Times New Roman" w:hAnsi="Times New Roman"/>
          <w:sz w:val="24"/>
          <w:szCs w:val="24"/>
        </w:rPr>
        <w:t>d</w:t>
      </w:r>
      <w:r>
        <w:rPr>
          <w:rFonts w:hint="eastAsia" w:ascii="Times New Roman" w:hAnsi="Times New Roman"/>
          <w:sz w:val="24"/>
          <w:szCs w:val="24"/>
        </w:rPr>
        <w:t>ress</w:t>
      </w:r>
      <w:r>
        <w:rPr>
          <w:rFonts w:ascii="Times New Roman" w:hAnsi="Times New Roman"/>
          <w:sz w:val="24"/>
          <w:szCs w:val="24"/>
        </w:rPr>
        <w:t xml:space="preserve">: Department of Hematology, Beijing Tongren Hospital, Capital Medical University, Beijing, 100730, China. </w:t>
      </w:r>
    </w:p>
    <w:p>
      <w:pPr>
        <w:rPr>
          <w:rFonts w:ascii="Times New Roman" w:hAnsi="Times New Roman"/>
          <w:sz w:val="24"/>
          <w:szCs w:val="24"/>
        </w:rPr>
      </w:pPr>
      <w:r>
        <w:rPr>
          <w:rFonts w:ascii="Times New Roman" w:hAnsi="Times New Roman"/>
          <w:sz w:val="24"/>
          <w:szCs w:val="24"/>
        </w:rPr>
        <w:t>Email:wangliangtrhos@126.com</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C2"/>
    <w:rsid w:val="00031105"/>
    <w:rsid w:val="00033714"/>
    <w:rsid w:val="00067775"/>
    <w:rsid w:val="00075BDD"/>
    <w:rsid w:val="000B300B"/>
    <w:rsid w:val="000D2395"/>
    <w:rsid w:val="000E6F6E"/>
    <w:rsid w:val="00100D9D"/>
    <w:rsid w:val="001160C2"/>
    <w:rsid w:val="0012258D"/>
    <w:rsid w:val="0013364A"/>
    <w:rsid w:val="00160244"/>
    <w:rsid w:val="00172352"/>
    <w:rsid w:val="0019090F"/>
    <w:rsid w:val="00210E37"/>
    <w:rsid w:val="00257FCE"/>
    <w:rsid w:val="002607B2"/>
    <w:rsid w:val="00274A78"/>
    <w:rsid w:val="002B33E7"/>
    <w:rsid w:val="002C15AA"/>
    <w:rsid w:val="002C4CEC"/>
    <w:rsid w:val="002C772B"/>
    <w:rsid w:val="002D00A4"/>
    <w:rsid w:val="002F2243"/>
    <w:rsid w:val="002F5DAA"/>
    <w:rsid w:val="003A4174"/>
    <w:rsid w:val="003B6D2E"/>
    <w:rsid w:val="003C18A4"/>
    <w:rsid w:val="003F6E02"/>
    <w:rsid w:val="00415794"/>
    <w:rsid w:val="00417DCF"/>
    <w:rsid w:val="00466902"/>
    <w:rsid w:val="00483B51"/>
    <w:rsid w:val="00490951"/>
    <w:rsid w:val="00491A18"/>
    <w:rsid w:val="00497454"/>
    <w:rsid w:val="004A4981"/>
    <w:rsid w:val="004E4D8A"/>
    <w:rsid w:val="00513F25"/>
    <w:rsid w:val="00534C68"/>
    <w:rsid w:val="00574D13"/>
    <w:rsid w:val="005D03E6"/>
    <w:rsid w:val="005D2B8D"/>
    <w:rsid w:val="005E1D48"/>
    <w:rsid w:val="005F574B"/>
    <w:rsid w:val="0060069D"/>
    <w:rsid w:val="00616FBB"/>
    <w:rsid w:val="006433E1"/>
    <w:rsid w:val="00654B12"/>
    <w:rsid w:val="00671C43"/>
    <w:rsid w:val="006803D2"/>
    <w:rsid w:val="006876D2"/>
    <w:rsid w:val="006D6395"/>
    <w:rsid w:val="006F011E"/>
    <w:rsid w:val="006F349A"/>
    <w:rsid w:val="006F59D2"/>
    <w:rsid w:val="006F6508"/>
    <w:rsid w:val="00703320"/>
    <w:rsid w:val="00724F1D"/>
    <w:rsid w:val="007412F3"/>
    <w:rsid w:val="00747A4B"/>
    <w:rsid w:val="0075715A"/>
    <w:rsid w:val="00766F7A"/>
    <w:rsid w:val="007700C9"/>
    <w:rsid w:val="007716C5"/>
    <w:rsid w:val="007833BB"/>
    <w:rsid w:val="00783C7B"/>
    <w:rsid w:val="007E36EB"/>
    <w:rsid w:val="00802F5A"/>
    <w:rsid w:val="008414AF"/>
    <w:rsid w:val="0087660F"/>
    <w:rsid w:val="00897795"/>
    <w:rsid w:val="008C79D6"/>
    <w:rsid w:val="00900155"/>
    <w:rsid w:val="00916BAE"/>
    <w:rsid w:val="009256CE"/>
    <w:rsid w:val="00925BE6"/>
    <w:rsid w:val="00934A6F"/>
    <w:rsid w:val="009457C2"/>
    <w:rsid w:val="009635F5"/>
    <w:rsid w:val="00965FAE"/>
    <w:rsid w:val="00993BCB"/>
    <w:rsid w:val="009A0817"/>
    <w:rsid w:val="009A6295"/>
    <w:rsid w:val="009C6DDE"/>
    <w:rsid w:val="009D4F76"/>
    <w:rsid w:val="00A26709"/>
    <w:rsid w:val="00A57894"/>
    <w:rsid w:val="00A62DBD"/>
    <w:rsid w:val="00A65A4A"/>
    <w:rsid w:val="00A732C2"/>
    <w:rsid w:val="00AA193B"/>
    <w:rsid w:val="00AD465E"/>
    <w:rsid w:val="00AE28B4"/>
    <w:rsid w:val="00B04006"/>
    <w:rsid w:val="00B0438D"/>
    <w:rsid w:val="00B760F3"/>
    <w:rsid w:val="00B842BA"/>
    <w:rsid w:val="00BB40A3"/>
    <w:rsid w:val="00BD6D60"/>
    <w:rsid w:val="00C0419E"/>
    <w:rsid w:val="00C22D93"/>
    <w:rsid w:val="00C46699"/>
    <w:rsid w:val="00C643D3"/>
    <w:rsid w:val="00C70E58"/>
    <w:rsid w:val="00C82D1D"/>
    <w:rsid w:val="00CA6DDB"/>
    <w:rsid w:val="00CD5717"/>
    <w:rsid w:val="00CE50A2"/>
    <w:rsid w:val="00CE7ED4"/>
    <w:rsid w:val="00CF6FFE"/>
    <w:rsid w:val="00D367B0"/>
    <w:rsid w:val="00D70995"/>
    <w:rsid w:val="00D820E4"/>
    <w:rsid w:val="00D9453D"/>
    <w:rsid w:val="00D96770"/>
    <w:rsid w:val="00DA129B"/>
    <w:rsid w:val="00DD18F4"/>
    <w:rsid w:val="00DE06B1"/>
    <w:rsid w:val="00DE19DA"/>
    <w:rsid w:val="00E27177"/>
    <w:rsid w:val="00E3108C"/>
    <w:rsid w:val="00E3116A"/>
    <w:rsid w:val="00E4387D"/>
    <w:rsid w:val="00E7295B"/>
    <w:rsid w:val="00E72D24"/>
    <w:rsid w:val="00EC3B88"/>
    <w:rsid w:val="00F16B72"/>
    <w:rsid w:val="00F16F06"/>
    <w:rsid w:val="00F21D88"/>
    <w:rsid w:val="00F30914"/>
    <w:rsid w:val="00F442C9"/>
    <w:rsid w:val="00F44ABE"/>
    <w:rsid w:val="00F46BB5"/>
    <w:rsid w:val="00F84265"/>
    <w:rsid w:val="00F85238"/>
    <w:rsid w:val="00F95AD9"/>
    <w:rsid w:val="00FB1D19"/>
    <w:rsid w:val="00FC03C5"/>
    <w:rsid w:val="1D9B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8F638-BD6E-41E7-ABC0-5C9A810731DE}">
  <ds:schemaRefs/>
</ds:datastoreItem>
</file>

<file path=docProps/app.xml><?xml version="1.0" encoding="utf-8"?>
<Properties xmlns="http://schemas.openxmlformats.org/officeDocument/2006/extended-properties" xmlns:vt="http://schemas.openxmlformats.org/officeDocument/2006/docPropsVTypes">
  <Template>Normal</Template>
  <Pages>2</Pages>
  <Words>1015</Words>
  <Characters>5791</Characters>
  <Lines>48</Lines>
  <Paragraphs>13</Paragraphs>
  <TotalTime>1377</TotalTime>
  <ScaleCrop>false</ScaleCrop>
  <LinksUpToDate>false</LinksUpToDate>
  <CharactersWithSpaces>6793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2021-08-08T08:23:00Z</dcterms:created>
  <dc:creator>Administrator</dc:creator>
  <cp:lastModifiedBy>lala</cp:lastModifiedBy>
  <dcterms:modified xsi:type="dcterms:W3CDTF">2021-08-12T03:59:02Z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