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EE4E2"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Title Page:</w:t>
      </w:r>
    </w:p>
    <w:p w14:paraId="7EAF941B"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p>
    <w:p w14:paraId="30D1C021"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Safety and efficacy of the Novavax vaccine – Narrative review</w:t>
      </w:r>
    </w:p>
    <w:p w14:paraId="79C47040" w14:textId="77777777" w:rsidR="0063127E" w:rsidRPr="001B751D" w:rsidRDefault="0063127E" w:rsidP="0063127E">
      <w:p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Novavax safety and efficacy</w:t>
      </w:r>
    </w:p>
    <w:p w14:paraId="00134549"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p>
    <w:p w14:paraId="7E55A2B6"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rPr>
        <w:t>Authors:</w:t>
      </w:r>
    </w:p>
    <w:p w14:paraId="36500BDE"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vertAlign w:val="superscript"/>
        </w:rPr>
      </w:pPr>
      <w:r w:rsidRPr="00C30C34">
        <w:rPr>
          <w:rFonts w:ascii="Times New Roman" w:eastAsia="Times New Roman" w:hAnsi="Times New Roman" w:cs="Times New Roman"/>
          <w:color w:val="000000" w:themeColor="text1"/>
          <w:sz w:val="24"/>
          <w:szCs w:val="24"/>
        </w:rPr>
        <w:t>Sanny Zi Lung, CHOO</w:t>
      </w:r>
      <w:r w:rsidRPr="00C30C34">
        <w:rPr>
          <w:rFonts w:ascii="Times New Roman" w:eastAsia="Times New Roman" w:hAnsi="Times New Roman" w:cs="Times New Roman"/>
          <w:color w:val="000000" w:themeColor="text1"/>
          <w:sz w:val="24"/>
          <w:szCs w:val="24"/>
          <w:vertAlign w:val="superscript"/>
        </w:rPr>
        <w:t>a</w:t>
      </w:r>
    </w:p>
    <w:p w14:paraId="37E40C8E"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vertAlign w:val="superscript"/>
        </w:rPr>
      </w:pPr>
      <w:r w:rsidRPr="00C30C34">
        <w:rPr>
          <w:rFonts w:ascii="Times New Roman" w:eastAsia="Times New Roman" w:hAnsi="Times New Roman" w:cs="Times New Roman"/>
          <w:color w:val="000000" w:themeColor="text1"/>
          <w:sz w:val="24"/>
          <w:szCs w:val="24"/>
        </w:rPr>
        <w:t>Shyh Poh, TEO</w:t>
      </w:r>
      <w:r w:rsidRPr="00C30C34">
        <w:rPr>
          <w:rFonts w:ascii="Times New Roman" w:eastAsia="Times New Roman" w:hAnsi="Times New Roman" w:cs="Times New Roman"/>
          <w:color w:val="000000" w:themeColor="text1"/>
          <w:sz w:val="24"/>
          <w:szCs w:val="24"/>
          <w:vertAlign w:val="superscript"/>
        </w:rPr>
        <w:t>a</w:t>
      </w:r>
    </w:p>
    <w:p w14:paraId="42C2734F"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
    <w:p w14:paraId="38CE81BB"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rPr>
        <w:t>Affiliations:</w:t>
      </w:r>
    </w:p>
    <w:p w14:paraId="6553A937"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vertAlign w:val="superscript"/>
        </w:rPr>
        <w:t xml:space="preserve">a </w:t>
      </w:r>
      <w:r w:rsidRPr="00C30C34">
        <w:rPr>
          <w:rFonts w:ascii="Times New Roman" w:eastAsia="Times New Roman" w:hAnsi="Times New Roman" w:cs="Times New Roman"/>
          <w:color w:val="000000" w:themeColor="text1"/>
          <w:sz w:val="24"/>
          <w:szCs w:val="24"/>
        </w:rPr>
        <w:t>Department of Internal Medicine, Raja Isteri Pengiran Anak Saleha (RIPAS) Hospital, Brunei Darussalam</w:t>
      </w:r>
    </w:p>
    <w:p w14:paraId="558F8B5B"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
    <w:p w14:paraId="7EE1FCDE"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rPr>
        <w:t>Corresponding Author:</w:t>
      </w:r>
    </w:p>
    <w:p w14:paraId="3EAED68C"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Shyh Poh, TEO</w:t>
      </w:r>
    </w:p>
    <w:p w14:paraId="5469831D"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rPr>
        <w:t xml:space="preserve">Department of Internal Medicine, Raja Isteri Pengiran Anak Saleha (RIPAS) Hospital, </w:t>
      </w:r>
      <w:r>
        <w:rPr>
          <w:rFonts w:ascii="Times New Roman" w:eastAsia="Times New Roman" w:hAnsi="Times New Roman" w:cs="Times New Roman"/>
          <w:color w:val="000000" w:themeColor="text1"/>
          <w:sz w:val="24"/>
          <w:szCs w:val="24"/>
        </w:rPr>
        <w:t xml:space="preserve">Jalan Putera Al-Muhtadee Billah, Bandar Seri Begawan, </w:t>
      </w:r>
      <w:r w:rsidRPr="00C30C34">
        <w:rPr>
          <w:rFonts w:ascii="Times New Roman" w:eastAsia="Times New Roman" w:hAnsi="Times New Roman" w:cs="Times New Roman"/>
          <w:color w:val="000000" w:themeColor="text1"/>
          <w:sz w:val="24"/>
          <w:szCs w:val="24"/>
        </w:rPr>
        <w:t>Brunei Darussalam</w:t>
      </w:r>
      <w:r>
        <w:rPr>
          <w:rFonts w:ascii="Times New Roman" w:eastAsia="Times New Roman" w:hAnsi="Times New Roman" w:cs="Times New Roman"/>
          <w:color w:val="000000" w:themeColor="text1"/>
          <w:sz w:val="24"/>
          <w:szCs w:val="24"/>
        </w:rPr>
        <w:t>. BA1710</w:t>
      </w:r>
    </w:p>
    <w:p w14:paraId="6ED7C999"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Email: </w:t>
      </w:r>
      <w:hyperlink r:id="rId7" w:history="1">
        <w:r w:rsidRPr="00B102B3">
          <w:rPr>
            <w:rStyle w:val="Hyperlink"/>
            <w:rFonts w:ascii="Times New Roman" w:eastAsia="Times New Roman" w:hAnsi="Times New Roman" w:cs="Times New Roman"/>
            <w:sz w:val="24"/>
            <w:szCs w:val="24"/>
          </w:rPr>
          <w:t>shyhpoh.teo@moh.gov.bn</w:t>
        </w:r>
      </w:hyperlink>
    </w:p>
    <w:p w14:paraId="675DD928"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Phone: +6732242424</w:t>
      </w:r>
    </w:p>
    <w:p w14:paraId="459409AD"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F731B9F"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9DC2C7F"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C9806AF"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2A86A363"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CFEB1C7"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DFD814D"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9E32E08"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370AAE5"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7F631AB"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35FFDA8" w14:textId="52DCB41A" w:rsidR="008B42D0" w:rsidRPr="00D3492D" w:rsidRDefault="008B42D0"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lastRenderedPageBreak/>
        <w:t>Safety and efficacy of the Novavax vaccine – Narrative review</w:t>
      </w:r>
    </w:p>
    <w:p w14:paraId="34D25219" w14:textId="5516B031" w:rsidR="008B42D0" w:rsidRDefault="008B42D0"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627222B0" w14:textId="77777777" w:rsidR="008C50F7" w:rsidRPr="00D3492D"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3FE101D" w14:textId="71EFEACA" w:rsidR="00A22AC5" w:rsidRPr="00D3492D" w:rsidRDefault="00A22AC5"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Abstract</w:t>
      </w:r>
    </w:p>
    <w:p w14:paraId="198FBEAD" w14:textId="77777777" w:rsidR="008B42D0" w:rsidRPr="00D3492D" w:rsidRDefault="008B42D0"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15BFC435" w14:textId="2BAFFD28" w:rsidR="00A22AC5" w:rsidRPr="00D3492D" w:rsidRDefault="00A22AC5"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Mass vaccination programmes are a public health priority to manage the global COVID-19 pandemic. NVX-CoV2373 is a SARS-CoV-2 spike glycoprotein subunit vaccine, which was shown to have structural stability with pH and temperature perturbations. The Novavax vaccine is a combination of NVX-CoV2373 and the saponin-based Matrix M adjuvant, added to enhance B and T-cell immune stimulation. Animal studies in mice, olive baboons and cynomolgus macaques demonstrated the </w:t>
      </w:r>
      <w:r w:rsidR="008B42D0" w:rsidRPr="00D3492D">
        <w:rPr>
          <w:rFonts w:ascii="Times New Roman" w:eastAsia="Times New Roman" w:hAnsi="Times New Roman" w:cs="Times New Roman"/>
          <w:color w:val="000000" w:themeColor="text1"/>
          <w:sz w:val="24"/>
          <w:szCs w:val="24"/>
        </w:rPr>
        <w:t>potential of this vaccine in protecting the respiratory tract against COVID-19 infection. The Phase 1 and 2 trials confirmed the safety of the Novavax vaccine and the dose-sparing potential of Matrix M. This confirmed the use of the lower dose (5</w:t>
      </w:r>
      <w:r w:rsidR="008B42D0" w:rsidRPr="00D3492D">
        <w:rPr>
          <w:rFonts w:ascii="Times New Roman" w:eastAsia="Times New Roman" w:hAnsi="Times New Roman" w:cs="Times New Roman"/>
          <w:color w:val="000000" w:themeColor="text1"/>
          <w:sz w:val="24"/>
          <w:szCs w:val="24"/>
          <w:shd w:val="clear" w:color="auto" w:fill="FFFFFF"/>
        </w:rPr>
        <w:t xml:space="preserve">μg) of NVX-CoV2373 for Phase 3 trials. The Phase 3 trial of 14039 participants identified a vaccine efficacy rate of 89.7% in preventing symptomatic infections. Local and systemic adverse events were mild and self-limiting, with commonly reported symptoms as injection-site pain and tenderness, headache, myalgia and fatigue. A subgroup study confirms the safety and efficacy of co-administration of the Novavax vaccine with seasonal influenza immunization. Overall, the Novavax vaccine shows great potential in contributing to the immunization approaches to managing the pandemic.    </w:t>
      </w:r>
      <w:r w:rsidRPr="00D3492D">
        <w:rPr>
          <w:rFonts w:ascii="Times New Roman" w:eastAsia="Times New Roman" w:hAnsi="Times New Roman" w:cs="Times New Roman"/>
          <w:color w:val="000000" w:themeColor="text1"/>
          <w:sz w:val="24"/>
          <w:szCs w:val="24"/>
        </w:rPr>
        <w:t xml:space="preserve"> </w:t>
      </w:r>
    </w:p>
    <w:p w14:paraId="111C5932" w14:textId="373B7411" w:rsidR="00A22AC5" w:rsidRDefault="00A22AC5"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EE07AA7" w14:textId="77777777" w:rsidR="008C50F7" w:rsidRPr="00D3492D"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63941EC" w14:textId="55D509D5" w:rsidR="00A22AC5" w:rsidRPr="00D3492D" w:rsidRDefault="00A22AC5"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Keywords</w:t>
      </w:r>
    </w:p>
    <w:p w14:paraId="68E705B8" w14:textId="01D35FC7" w:rsidR="00A22AC5" w:rsidRPr="00D3492D" w:rsidRDefault="00A22AC5"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250E1968" w14:textId="3AA07196" w:rsidR="00A22AC5" w:rsidRPr="00D3492D" w:rsidRDefault="00A22AC5"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Clinical trials, COVID-19, COVID-19 vaccine, immunology </w:t>
      </w:r>
    </w:p>
    <w:p w14:paraId="30F66888"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130377B"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2C61C8A5"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5CE7012"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5EB29BA"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2B258DC"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408D9E51"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3A0573F"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0CA8CDEE"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E9E952F"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5FAA6E1"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2416B3DB"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08BC195F"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E045833"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462FD5F6"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8BFA6D4"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080C5CEB"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3D1E544"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A2BCFFF"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BE7E25C"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0C0F2C4"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E56BF1B" w14:textId="4ECEDB54" w:rsidR="00D3492D" w:rsidRPr="00D3492D" w:rsidRDefault="00D3492D"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lastRenderedPageBreak/>
        <w:t>Safety and efficacy of the Novavax vaccine – Narrative review</w:t>
      </w:r>
    </w:p>
    <w:p w14:paraId="42D245FD" w14:textId="22D2190B" w:rsidR="007619BE" w:rsidRDefault="007619B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1177FA1" w14:textId="77777777" w:rsidR="00D3492D" w:rsidRPr="00D3492D" w:rsidRDefault="00D3492D"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43FA809D" w14:textId="6307F1C0" w:rsidR="00576ABB" w:rsidRPr="00D3492D" w:rsidRDefault="00576ABB"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Introduction</w:t>
      </w:r>
    </w:p>
    <w:p w14:paraId="2D132BB7" w14:textId="7B3CBB57"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w:t>
      </w:r>
    </w:p>
    <w:p w14:paraId="14791433" w14:textId="23266354" w:rsidR="00560E9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The global pandemic caused by the severe acute respiratory syndrome coronavirus 2 (SARS-CoV-2) has affected many lives due to the complications caused by COVID-19 disease</w:t>
      </w:r>
      <w:r w:rsidR="00C5647B" w:rsidRPr="00D3492D">
        <w:rPr>
          <w:rFonts w:ascii="Times New Roman" w:eastAsia="Times New Roman" w:hAnsi="Times New Roman" w:cs="Times New Roman"/>
          <w:color w:val="000000" w:themeColor="text1"/>
          <w:sz w:val="24"/>
          <w:szCs w:val="24"/>
        </w:rPr>
        <w:t>. As of 13</w:t>
      </w:r>
      <w:r w:rsidR="00C5647B" w:rsidRPr="00D3492D">
        <w:rPr>
          <w:rFonts w:ascii="Times New Roman" w:eastAsia="Times New Roman" w:hAnsi="Times New Roman" w:cs="Times New Roman"/>
          <w:color w:val="000000" w:themeColor="text1"/>
          <w:sz w:val="24"/>
          <w:szCs w:val="24"/>
          <w:vertAlign w:val="superscript"/>
        </w:rPr>
        <w:t>th</w:t>
      </w:r>
      <w:r w:rsidR="00C5647B" w:rsidRPr="00D3492D">
        <w:rPr>
          <w:rFonts w:ascii="Times New Roman" w:eastAsia="Times New Roman" w:hAnsi="Times New Roman" w:cs="Times New Roman"/>
          <w:color w:val="000000" w:themeColor="text1"/>
          <w:sz w:val="24"/>
          <w:szCs w:val="24"/>
        </w:rPr>
        <w:t xml:space="preserve"> October 2021, there were 238,521,855 confirmed cases of COVID-19, with 4,863,818 deaths worldwide. Vaccines offer hope to contain this infectious disease, with 6,364,021,792 vaccin</w:t>
      </w:r>
      <w:r w:rsidR="00560E9B" w:rsidRPr="00D3492D">
        <w:rPr>
          <w:rFonts w:ascii="Times New Roman" w:eastAsia="Times New Roman" w:hAnsi="Times New Roman" w:cs="Times New Roman"/>
          <w:color w:val="000000" w:themeColor="text1"/>
          <w:sz w:val="24"/>
          <w:szCs w:val="24"/>
        </w:rPr>
        <w:t>e</w:t>
      </w:r>
      <w:r w:rsidR="00C5647B" w:rsidRPr="00D3492D">
        <w:rPr>
          <w:rFonts w:ascii="Times New Roman" w:eastAsia="Times New Roman" w:hAnsi="Times New Roman" w:cs="Times New Roman"/>
          <w:color w:val="000000" w:themeColor="text1"/>
          <w:sz w:val="24"/>
          <w:szCs w:val="24"/>
        </w:rPr>
        <w:t xml:space="preserve"> doses administered as of 9</w:t>
      </w:r>
      <w:r w:rsidR="00C5647B" w:rsidRPr="00D3492D">
        <w:rPr>
          <w:rFonts w:ascii="Times New Roman" w:eastAsia="Times New Roman" w:hAnsi="Times New Roman" w:cs="Times New Roman"/>
          <w:color w:val="000000" w:themeColor="text1"/>
          <w:sz w:val="24"/>
          <w:szCs w:val="24"/>
          <w:vertAlign w:val="superscript"/>
        </w:rPr>
        <w:t>th</w:t>
      </w:r>
      <w:r w:rsidR="00C5647B" w:rsidRPr="00D3492D">
        <w:rPr>
          <w:rFonts w:ascii="Times New Roman" w:eastAsia="Times New Roman" w:hAnsi="Times New Roman" w:cs="Times New Roman"/>
          <w:color w:val="000000" w:themeColor="text1"/>
          <w:sz w:val="24"/>
          <w:szCs w:val="24"/>
        </w:rPr>
        <w:t xml:space="preserve"> October 2021</w:t>
      </w:r>
      <w:r w:rsidR="00D3492D">
        <w:rPr>
          <w:rFonts w:ascii="Times New Roman" w:eastAsia="Times New Roman" w:hAnsi="Times New Roman" w:cs="Times New Roman"/>
          <w:color w:val="000000" w:themeColor="text1"/>
          <w:sz w:val="24"/>
          <w:szCs w:val="24"/>
        </w:rPr>
        <w:t xml:space="preserve"> [1]</w:t>
      </w:r>
      <w:r w:rsidR="00C5647B" w:rsidRPr="00D3492D">
        <w:rPr>
          <w:rFonts w:ascii="Times New Roman" w:eastAsia="Times New Roman" w:hAnsi="Times New Roman" w:cs="Times New Roman"/>
          <w:color w:val="000000" w:themeColor="text1"/>
          <w:sz w:val="24"/>
          <w:szCs w:val="24"/>
        </w:rPr>
        <w:t>.</w:t>
      </w:r>
      <w:r w:rsidR="00560E9B" w:rsidRPr="00D3492D">
        <w:rPr>
          <w:rFonts w:ascii="Times New Roman" w:eastAsia="Times New Roman" w:hAnsi="Times New Roman" w:cs="Times New Roman"/>
          <w:color w:val="000000" w:themeColor="text1"/>
          <w:sz w:val="24"/>
          <w:szCs w:val="24"/>
          <w:vertAlign w:val="superscript"/>
        </w:rPr>
        <w:t xml:space="preserve"> </w:t>
      </w:r>
      <w:r w:rsidR="00C5647B" w:rsidRPr="00D3492D">
        <w:rPr>
          <w:rFonts w:ascii="Times New Roman" w:eastAsia="Times New Roman" w:hAnsi="Times New Roman" w:cs="Times New Roman"/>
          <w:color w:val="000000" w:themeColor="text1"/>
          <w:sz w:val="24"/>
          <w:szCs w:val="24"/>
        </w:rPr>
        <w:t>Currently, COVID-19 vaccines that have received World Health Organisation Emergency Use Listing (EUL) are the Pfizer-BioNTech, Moderna, AstraZeneca, Sinopharm, Sinovac and Janssen vaccines, which are from the mRNA, adenoviral vector</w:t>
      </w:r>
      <w:r w:rsidR="00560E9B" w:rsidRPr="00D3492D">
        <w:rPr>
          <w:rFonts w:ascii="Times New Roman" w:eastAsia="Times New Roman" w:hAnsi="Times New Roman" w:cs="Times New Roman"/>
          <w:color w:val="000000" w:themeColor="text1"/>
          <w:sz w:val="24"/>
          <w:szCs w:val="24"/>
        </w:rPr>
        <w:t xml:space="preserve"> and inactivated virus vaccine platforms</w:t>
      </w:r>
      <w:r w:rsidR="00D3492D">
        <w:rPr>
          <w:rFonts w:ascii="Times New Roman" w:eastAsia="Times New Roman" w:hAnsi="Times New Roman" w:cs="Times New Roman"/>
          <w:color w:val="000000" w:themeColor="text1"/>
          <w:sz w:val="24"/>
          <w:szCs w:val="24"/>
        </w:rPr>
        <w:t xml:space="preserve"> [2]</w:t>
      </w:r>
      <w:r w:rsidR="00560E9B" w:rsidRPr="00D3492D">
        <w:rPr>
          <w:rFonts w:ascii="Times New Roman" w:eastAsia="Times New Roman" w:hAnsi="Times New Roman" w:cs="Times New Roman"/>
          <w:color w:val="000000" w:themeColor="text1"/>
          <w:sz w:val="24"/>
          <w:szCs w:val="24"/>
        </w:rPr>
        <w:t>. The Novavax vaccine, NVX-CoV2373, is a protein-based vaccine that has completed phase 3 trials. This narrative review summarises the trial findings of the Novavax vaccine, wh</w:t>
      </w:r>
      <w:r w:rsidR="003A0C59" w:rsidRPr="00D3492D">
        <w:rPr>
          <w:rFonts w:ascii="Times New Roman" w:eastAsia="Times New Roman" w:hAnsi="Times New Roman" w:cs="Times New Roman"/>
          <w:color w:val="000000" w:themeColor="text1"/>
          <w:sz w:val="24"/>
          <w:szCs w:val="24"/>
        </w:rPr>
        <w:t>ich</w:t>
      </w:r>
      <w:r w:rsidR="00560E9B" w:rsidRPr="00D3492D">
        <w:rPr>
          <w:rFonts w:ascii="Times New Roman" w:eastAsia="Times New Roman" w:hAnsi="Times New Roman" w:cs="Times New Roman"/>
          <w:color w:val="000000" w:themeColor="text1"/>
          <w:sz w:val="24"/>
          <w:szCs w:val="24"/>
        </w:rPr>
        <w:t xml:space="preserve"> is hoped to be rolled out in the near future.</w:t>
      </w:r>
    </w:p>
    <w:p w14:paraId="558191BA" w14:textId="08797070" w:rsidR="00C5647B" w:rsidRPr="00D3492D" w:rsidRDefault="00C5647B"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5DB3588"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6DA0FB5C" w14:textId="53A6C2D2" w:rsidR="00560E9B" w:rsidRPr="00D3492D" w:rsidRDefault="00560E9B"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Methods</w:t>
      </w:r>
    </w:p>
    <w:p w14:paraId="3F8CD2CC" w14:textId="77777777" w:rsidR="00AF58AE" w:rsidRPr="00D3492D" w:rsidRDefault="00AF58A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03A9A79" w14:textId="2397DF51" w:rsidR="00560E9B" w:rsidRPr="00D3492D" w:rsidRDefault="00560E9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The PubMed, MEDLINE and Google Scholar databases were searched using the search terms</w:t>
      </w:r>
      <w:r w:rsidR="00AF58AE" w:rsidRPr="00D3492D">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COVID-19 vaccine</w:t>
      </w:r>
      <w:r w:rsidR="00AF58AE" w:rsidRPr="00D3492D">
        <w:rPr>
          <w:rFonts w:ascii="Times New Roman" w:eastAsia="Times New Roman" w:hAnsi="Times New Roman" w:cs="Times New Roman"/>
          <w:color w:val="000000" w:themeColor="text1"/>
          <w:sz w:val="24"/>
          <w:szCs w:val="24"/>
        </w:rPr>
        <w:t>’, ‘protein subunit vaccine’, ‘immunisation’, ‘novavax’ and ‘NVX-CoV2373’ on 1</w:t>
      </w:r>
      <w:r w:rsidR="00AF58AE" w:rsidRPr="00D3492D">
        <w:rPr>
          <w:rFonts w:ascii="Times New Roman" w:eastAsia="Times New Roman" w:hAnsi="Times New Roman" w:cs="Times New Roman"/>
          <w:color w:val="000000" w:themeColor="text1"/>
          <w:sz w:val="24"/>
          <w:szCs w:val="24"/>
          <w:vertAlign w:val="superscript"/>
        </w:rPr>
        <w:t>st</w:t>
      </w:r>
      <w:r w:rsidR="00AF58AE" w:rsidRPr="00D3492D">
        <w:rPr>
          <w:rFonts w:ascii="Times New Roman" w:eastAsia="Times New Roman" w:hAnsi="Times New Roman" w:cs="Times New Roman"/>
          <w:color w:val="000000" w:themeColor="text1"/>
          <w:sz w:val="24"/>
          <w:szCs w:val="24"/>
        </w:rPr>
        <w:t xml:space="preserve"> October 2021. All relevant studies were included in the review.  </w:t>
      </w:r>
    </w:p>
    <w:p w14:paraId="762F000D" w14:textId="35A168C4" w:rsidR="00AF58AE" w:rsidRPr="00D3492D" w:rsidRDefault="00AF58AE"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C3CF030"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FA10ABE" w14:textId="7D3DB2BE" w:rsidR="00C5647B" w:rsidRPr="00D3492D" w:rsidRDefault="00AF58AE"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Development of NVX-CoV2373</w:t>
      </w:r>
    </w:p>
    <w:p w14:paraId="42FF2A1F" w14:textId="77777777" w:rsidR="00AF58AE" w:rsidRPr="00D3492D" w:rsidRDefault="00AF58A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DA7C0D6" w14:textId="4C288820"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vertAlign w:val="superscript"/>
        </w:rPr>
      </w:pPr>
      <w:r w:rsidRPr="00D3492D">
        <w:rPr>
          <w:rFonts w:ascii="Times New Roman" w:eastAsia="Times New Roman" w:hAnsi="Times New Roman" w:cs="Times New Roman"/>
          <w:color w:val="000000" w:themeColor="text1"/>
          <w:sz w:val="24"/>
          <w:szCs w:val="24"/>
        </w:rPr>
        <w:t>NVX-CoV2373 is a SARS-CoV2 spike glycoprotein subunit vaccine developed from the full-length spike (S) protein. The SARS-CoV-2 S gene encoding the 1273 amino acid spike protein was mutated at the native furin cleavage site (RRAR to QQAQ)</w:t>
      </w:r>
      <w:r w:rsidR="003A0C59" w:rsidRPr="00D3492D">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to develop the full-length BV2365 variant, which is protease resistant. Two proline (2P) substitutions at positions K986P and V987P were additionally introduced to provide further stability in the double mutant NVX-CoV2373. These genes were then codon optimized for expression in Sf9 (Spodoptera frugiperda) cells.</w:t>
      </w:r>
      <w:r w:rsidR="00AF58AE" w:rsidRPr="00D3492D">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When purified SARS-COV-2 (wild-type), BV2365 and NVX-CoV2373 proteins were compared in 48-hour tests involving incubation at pH extremes (pH 4 and pH9), prolonged agitation, freeze/thaw cycles or elevated temperatures (25 and 37</w:t>
      </w:r>
      <w:r w:rsidRPr="00D3492D">
        <w:rPr>
          <w:rFonts w:ascii="Times New Roman" w:eastAsia="Times New Roman" w:hAnsi="Times New Roman" w:cs="Times New Roman"/>
          <w:color w:val="000000" w:themeColor="text1"/>
          <w:sz w:val="24"/>
          <w:szCs w:val="24"/>
          <w:shd w:val="clear" w:color="auto" w:fill="FFFFFF"/>
        </w:rPr>
        <w:t>°C), the NVX-CoV2373 proteins had significantly greater structural stability with minimal effect on hACE2 receptor binding after these stressors</w:t>
      </w:r>
      <w:r w:rsidR="00D3492D">
        <w:rPr>
          <w:rFonts w:ascii="Times New Roman" w:eastAsia="Times New Roman" w:hAnsi="Times New Roman" w:cs="Times New Roman"/>
          <w:color w:val="000000" w:themeColor="text1"/>
          <w:sz w:val="24"/>
          <w:szCs w:val="24"/>
          <w:shd w:val="clear" w:color="auto" w:fill="FFFFFF"/>
        </w:rPr>
        <w:t xml:space="preserve"> [3]</w:t>
      </w:r>
      <w:r w:rsidRPr="00D3492D">
        <w:rPr>
          <w:rFonts w:ascii="Times New Roman" w:eastAsia="Times New Roman" w:hAnsi="Times New Roman" w:cs="Times New Roman"/>
          <w:color w:val="000000" w:themeColor="text1"/>
          <w:sz w:val="24"/>
          <w:szCs w:val="24"/>
          <w:shd w:val="clear" w:color="auto" w:fill="FFFFFF"/>
        </w:rPr>
        <w:t>.</w:t>
      </w:r>
    </w:p>
    <w:p w14:paraId="0DD16C1D"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96D8CEB" w14:textId="217E202E"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The Novavax vaccine is a combination of NVX-CoV2373 as well as the saponin-based Matrix M adjuvant. Subcutaneous administration of Matrix-M in the absence of an antigen </w:t>
      </w:r>
      <w:r w:rsidR="005603E3">
        <w:rPr>
          <w:rFonts w:ascii="Times New Roman" w:eastAsia="Times New Roman" w:hAnsi="Times New Roman" w:cs="Times New Roman"/>
          <w:color w:val="000000" w:themeColor="text1"/>
          <w:sz w:val="24"/>
          <w:szCs w:val="24"/>
        </w:rPr>
        <w:t>was</w:t>
      </w:r>
      <w:r w:rsidRPr="00D3492D">
        <w:rPr>
          <w:rFonts w:ascii="Times New Roman" w:eastAsia="Times New Roman" w:hAnsi="Times New Roman" w:cs="Times New Roman"/>
          <w:color w:val="000000" w:themeColor="text1"/>
          <w:sz w:val="24"/>
          <w:szCs w:val="24"/>
        </w:rPr>
        <w:t xml:space="preserve"> shown to promote leucocy</w:t>
      </w:r>
      <w:r w:rsidR="005603E3">
        <w:rPr>
          <w:rFonts w:ascii="Times New Roman" w:eastAsia="Times New Roman" w:hAnsi="Times New Roman" w:cs="Times New Roman"/>
          <w:color w:val="000000" w:themeColor="text1"/>
          <w:sz w:val="24"/>
          <w:szCs w:val="24"/>
        </w:rPr>
        <w:t>te recruitment to the nearby lymph nodes and</w:t>
      </w:r>
      <w:r w:rsidRPr="00D3492D">
        <w:rPr>
          <w:rFonts w:ascii="Times New Roman" w:eastAsia="Times New Roman" w:hAnsi="Times New Roman" w:cs="Times New Roman"/>
          <w:color w:val="000000" w:themeColor="text1"/>
          <w:sz w:val="24"/>
          <w:szCs w:val="24"/>
        </w:rPr>
        <w:t xml:space="preserve"> spleen in mice, with improved activation and maturation of immune cells, especially dendritic cells to enhance uptake, processing and presentation of antigens</w:t>
      </w:r>
      <w:r w:rsidR="002759DD">
        <w:rPr>
          <w:rFonts w:ascii="Times New Roman" w:eastAsia="Times New Roman" w:hAnsi="Times New Roman" w:cs="Times New Roman"/>
          <w:color w:val="000000" w:themeColor="text1"/>
          <w:sz w:val="24"/>
          <w:szCs w:val="24"/>
        </w:rPr>
        <w:t xml:space="preserve"> [4]</w:t>
      </w:r>
      <w:r w:rsidRPr="00D3492D">
        <w:rPr>
          <w:rFonts w:ascii="Times New Roman" w:eastAsia="Times New Roman" w:hAnsi="Times New Roman" w:cs="Times New Roman"/>
          <w:color w:val="000000" w:themeColor="text1"/>
          <w:sz w:val="24"/>
          <w:szCs w:val="24"/>
        </w:rPr>
        <w:t xml:space="preserve">. The </w:t>
      </w:r>
      <w:r w:rsidR="005603E3">
        <w:rPr>
          <w:rFonts w:ascii="Times New Roman" w:eastAsia="Times New Roman" w:hAnsi="Times New Roman" w:cs="Times New Roman"/>
          <w:color w:val="000000" w:themeColor="text1"/>
          <w:sz w:val="24"/>
          <w:szCs w:val="24"/>
        </w:rPr>
        <w:t>supplementation</w:t>
      </w:r>
      <w:r w:rsidRPr="00D3492D">
        <w:rPr>
          <w:rFonts w:ascii="Times New Roman" w:eastAsia="Times New Roman" w:hAnsi="Times New Roman" w:cs="Times New Roman"/>
          <w:color w:val="000000" w:themeColor="text1"/>
          <w:sz w:val="24"/>
          <w:szCs w:val="24"/>
        </w:rPr>
        <w:t xml:space="preserve"> of Matrix M adjuvant to subunit vaccines</w:t>
      </w:r>
      <w:r w:rsidR="005603E3">
        <w:rPr>
          <w:rFonts w:ascii="Times New Roman" w:eastAsia="Times New Roman" w:hAnsi="Times New Roman" w:cs="Times New Roman"/>
          <w:color w:val="000000" w:themeColor="text1"/>
          <w:sz w:val="24"/>
          <w:szCs w:val="24"/>
        </w:rPr>
        <w:t xml:space="preserve"> has been shown to enhance </w:t>
      </w:r>
      <w:r w:rsidRPr="00D3492D">
        <w:rPr>
          <w:rFonts w:ascii="Times New Roman" w:eastAsia="Times New Roman" w:hAnsi="Times New Roman" w:cs="Times New Roman"/>
          <w:color w:val="000000" w:themeColor="text1"/>
          <w:sz w:val="24"/>
          <w:szCs w:val="24"/>
        </w:rPr>
        <w:t>B and T-cell immune stimulation in response to the vaccine, with the advantage of dose-sparing potential</w:t>
      </w:r>
      <w:r w:rsidR="002759DD">
        <w:rPr>
          <w:rFonts w:ascii="Times New Roman" w:eastAsia="Times New Roman" w:hAnsi="Times New Roman" w:cs="Times New Roman"/>
          <w:color w:val="000000" w:themeColor="text1"/>
          <w:sz w:val="24"/>
          <w:szCs w:val="24"/>
        </w:rPr>
        <w:t xml:space="preserve"> [5]</w:t>
      </w:r>
      <w:r w:rsidRPr="00D3492D">
        <w:rPr>
          <w:rFonts w:ascii="Times New Roman" w:eastAsia="Times New Roman" w:hAnsi="Times New Roman" w:cs="Times New Roman"/>
          <w:color w:val="000000" w:themeColor="text1"/>
          <w:sz w:val="24"/>
          <w:szCs w:val="24"/>
        </w:rPr>
        <w:t>.</w:t>
      </w:r>
    </w:p>
    <w:p w14:paraId="4AC3CA38" w14:textId="362D5B32"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lastRenderedPageBreak/>
        <w:t> </w:t>
      </w:r>
    </w:p>
    <w:p w14:paraId="05104BA8"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95555B3" w14:textId="2FE1A029" w:rsidR="003A0C59" w:rsidRPr="00D3492D" w:rsidRDefault="003A0C59"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Animal Studies</w:t>
      </w:r>
    </w:p>
    <w:p w14:paraId="0EA17F56" w14:textId="77777777"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w:t>
      </w:r>
    </w:p>
    <w:p w14:paraId="649EBEF6" w14:textId="4F71712D"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The immunogenicity of NVX-CoV2373 (0.01</w:t>
      </w:r>
      <w:r w:rsidRPr="00D3492D">
        <w:rPr>
          <w:rFonts w:ascii="Times New Roman" w:eastAsia="Times New Roman" w:hAnsi="Times New Roman" w:cs="Times New Roman"/>
          <w:color w:val="000000" w:themeColor="text1"/>
          <w:sz w:val="24"/>
          <w:szCs w:val="24"/>
          <w:shd w:val="clear" w:color="auto" w:fill="FFFFFF"/>
        </w:rPr>
        <w:t>μg, 0.1μg, 1μg and 10μg doses)</w:t>
      </w:r>
      <w:r w:rsidRPr="00D3492D">
        <w:rPr>
          <w:rFonts w:ascii="Times New Roman" w:eastAsia="Times New Roman" w:hAnsi="Times New Roman" w:cs="Times New Roman"/>
          <w:color w:val="000000" w:themeColor="text1"/>
          <w:sz w:val="24"/>
          <w:szCs w:val="24"/>
        </w:rPr>
        <w:t xml:space="preserve"> with 5 </w:t>
      </w:r>
      <w:r w:rsidRPr="00D3492D">
        <w:rPr>
          <w:rFonts w:ascii="Times New Roman" w:eastAsia="Times New Roman" w:hAnsi="Times New Roman" w:cs="Times New Roman"/>
          <w:color w:val="000000" w:themeColor="text1"/>
          <w:sz w:val="24"/>
          <w:szCs w:val="24"/>
          <w:shd w:val="clear" w:color="auto" w:fill="FFFFFF"/>
        </w:rPr>
        <w:t xml:space="preserve">μg </w:t>
      </w:r>
      <w:r w:rsidR="005603E3">
        <w:rPr>
          <w:rFonts w:ascii="Times New Roman" w:eastAsia="Times New Roman" w:hAnsi="Times New Roman" w:cs="Times New Roman"/>
          <w:color w:val="000000" w:themeColor="text1"/>
          <w:sz w:val="24"/>
          <w:szCs w:val="24"/>
        </w:rPr>
        <w:t xml:space="preserve">Matrix M adjuvant as a single dose or a prime and </w:t>
      </w:r>
      <w:r w:rsidRPr="00D3492D">
        <w:rPr>
          <w:rFonts w:ascii="Times New Roman" w:eastAsia="Times New Roman" w:hAnsi="Times New Roman" w:cs="Times New Roman"/>
          <w:color w:val="000000" w:themeColor="text1"/>
          <w:sz w:val="24"/>
          <w:szCs w:val="24"/>
        </w:rPr>
        <w:t xml:space="preserve">boost regimen </w:t>
      </w:r>
      <w:r w:rsidR="005603E3">
        <w:rPr>
          <w:rFonts w:ascii="Times New Roman" w:eastAsia="Times New Roman" w:hAnsi="Times New Roman" w:cs="Times New Roman"/>
          <w:color w:val="000000" w:themeColor="text1"/>
          <w:sz w:val="24"/>
          <w:szCs w:val="24"/>
        </w:rPr>
        <w:t>at 14 day intervals were</w:t>
      </w:r>
      <w:r w:rsidRPr="00D3492D">
        <w:rPr>
          <w:rFonts w:ascii="Times New Roman" w:eastAsia="Times New Roman" w:hAnsi="Times New Roman" w:cs="Times New Roman"/>
          <w:color w:val="000000" w:themeColor="text1"/>
          <w:sz w:val="24"/>
          <w:szCs w:val="24"/>
        </w:rPr>
        <w:t xml:space="preserve"> evaluated in mice. This study showed that in mice, at least 0.1</w:t>
      </w:r>
      <w:r w:rsidRPr="00D3492D">
        <w:rPr>
          <w:rFonts w:ascii="Times New Roman" w:eastAsia="Times New Roman" w:hAnsi="Times New Roman" w:cs="Times New Roman"/>
          <w:color w:val="000000" w:themeColor="text1"/>
          <w:sz w:val="24"/>
          <w:szCs w:val="24"/>
          <w:shd w:val="clear" w:color="auto" w:fill="FFFFFF"/>
        </w:rPr>
        <w:t>μg doses were required to induce anti-S IgG titres by 21 days</w:t>
      </w:r>
      <w:r w:rsidR="005603E3">
        <w:rPr>
          <w:rFonts w:ascii="Times New Roman" w:eastAsia="Times New Roman" w:hAnsi="Times New Roman" w:cs="Times New Roman"/>
          <w:color w:val="000000" w:themeColor="text1"/>
          <w:sz w:val="24"/>
          <w:szCs w:val="24"/>
          <w:shd w:val="clear" w:color="auto" w:fill="FFFFFF"/>
        </w:rPr>
        <w:t xml:space="preserve">. For all doses tested, a prime and </w:t>
      </w:r>
      <w:r w:rsidRPr="00D3492D">
        <w:rPr>
          <w:rFonts w:ascii="Times New Roman" w:eastAsia="Times New Roman" w:hAnsi="Times New Roman" w:cs="Times New Roman"/>
          <w:color w:val="000000" w:themeColor="text1"/>
          <w:sz w:val="24"/>
          <w:szCs w:val="24"/>
          <w:shd w:val="clear" w:color="auto" w:fill="FFFFFF"/>
        </w:rPr>
        <w:t>boost regime</w:t>
      </w:r>
      <w:r w:rsidR="005603E3">
        <w:rPr>
          <w:rFonts w:ascii="Times New Roman" w:eastAsia="Times New Roman" w:hAnsi="Times New Roman" w:cs="Times New Roman"/>
          <w:color w:val="000000" w:themeColor="text1"/>
          <w:sz w:val="24"/>
          <w:szCs w:val="24"/>
          <w:shd w:val="clear" w:color="auto" w:fill="FFFFFF"/>
        </w:rPr>
        <w:t>n induced significantly increased</w:t>
      </w:r>
      <w:r w:rsidRPr="00D3492D">
        <w:rPr>
          <w:rFonts w:ascii="Times New Roman" w:eastAsia="Times New Roman" w:hAnsi="Times New Roman" w:cs="Times New Roman"/>
          <w:color w:val="000000" w:themeColor="text1"/>
          <w:sz w:val="24"/>
          <w:szCs w:val="24"/>
          <w:shd w:val="clear" w:color="auto" w:fill="FFFFFF"/>
        </w:rPr>
        <w:t xml:space="preserve"> anti-S IgG titres at least 7 days after the booster dose. This was enhanced further with the addition of Matrix-M adjuvant (</w:t>
      </w:r>
      <w:r w:rsidR="005603E3">
        <w:rPr>
          <w:rFonts w:ascii="Times New Roman" w:eastAsia="Times New Roman" w:hAnsi="Times New Roman" w:cs="Times New Roman"/>
          <w:color w:val="000000" w:themeColor="text1"/>
          <w:sz w:val="24"/>
          <w:szCs w:val="24"/>
          <w:shd w:val="clear" w:color="auto" w:fill="FFFFFF"/>
        </w:rPr>
        <w:t>versus 10μg NVX-CoV2373), achieving a ten times or higher</w:t>
      </w:r>
      <w:r w:rsidRPr="00D3492D">
        <w:rPr>
          <w:rFonts w:ascii="Times New Roman" w:eastAsia="Times New Roman" w:hAnsi="Times New Roman" w:cs="Times New Roman"/>
          <w:color w:val="000000" w:themeColor="text1"/>
          <w:sz w:val="24"/>
          <w:szCs w:val="24"/>
          <w:shd w:val="clear" w:color="auto" w:fill="FFFFFF"/>
        </w:rPr>
        <w:t xml:space="preserve"> dose sparing effect. Across all dose levels, a prime boost approach of NVX-CoV2373/Matrix-M induced hig</w:t>
      </w:r>
      <w:r w:rsidR="005603E3">
        <w:rPr>
          <w:rFonts w:ascii="Times New Roman" w:eastAsia="Times New Roman" w:hAnsi="Times New Roman" w:cs="Times New Roman"/>
          <w:color w:val="000000" w:themeColor="text1"/>
          <w:sz w:val="24"/>
          <w:szCs w:val="24"/>
          <w:shd w:val="clear" w:color="auto" w:fill="FFFFFF"/>
        </w:rPr>
        <w:t>h titre antibodies which impaired the binding of hACE2 receptors</w:t>
      </w:r>
      <w:r w:rsidRPr="00D3492D">
        <w:rPr>
          <w:rFonts w:ascii="Times New Roman" w:eastAsia="Times New Roman" w:hAnsi="Times New Roman" w:cs="Times New Roman"/>
          <w:color w:val="000000" w:themeColor="text1"/>
          <w:sz w:val="24"/>
          <w:szCs w:val="24"/>
          <w:shd w:val="clear" w:color="auto" w:fill="FFFFFF"/>
        </w:rPr>
        <w:t xml:space="preserve"> to S-protein</w:t>
      </w:r>
      <w:r w:rsidR="005603E3">
        <w:rPr>
          <w:rFonts w:ascii="Times New Roman" w:eastAsia="Times New Roman" w:hAnsi="Times New Roman" w:cs="Times New Roman"/>
          <w:color w:val="000000" w:themeColor="text1"/>
          <w:sz w:val="24"/>
          <w:szCs w:val="24"/>
          <w:shd w:val="clear" w:color="auto" w:fill="FFFFFF"/>
        </w:rPr>
        <w:t>, with subsequent</w:t>
      </w:r>
      <w:r w:rsidRPr="00D3492D">
        <w:rPr>
          <w:rFonts w:ascii="Times New Roman" w:eastAsia="Times New Roman" w:hAnsi="Times New Roman" w:cs="Times New Roman"/>
          <w:color w:val="000000" w:themeColor="text1"/>
          <w:sz w:val="24"/>
          <w:szCs w:val="24"/>
          <w:shd w:val="clear" w:color="auto" w:fill="FFFFFF"/>
        </w:rPr>
        <w:t xml:space="preserve"> </w:t>
      </w:r>
      <w:r w:rsidR="005603E3">
        <w:rPr>
          <w:rFonts w:ascii="Times New Roman" w:eastAsia="Times New Roman" w:hAnsi="Times New Roman" w:cs="Times New Roman"/>
          <w:color w:val="000000" w:themeColor="text1"/>
          <w:sz w:val="24"/>
          <w:szCs w:val="24"/>
          <w:shd w:val="clear" w:color="auto" w:fill="FFFFFF"/>
        </w:rPr>
        <w:t xml:space="preserve">neutralization of </w:t>
      </w:r>
      <w:r w:rsidRPr="00D3492D">
        <w:rPr>
          <w:rFonts w:ascii="Times New Roman" w:eastAsia="Times New Roman" w:hAnsi="Times New Roman" w:cs="Times New Roman"/>
          <w:color w:val="000000" w:themeColor="text1"/>
          <w:sz w:val="24"/>
          <w:szCs w:val="24"/>
          <w:shd w:val="clear" w:color="auto" w:fill="FFFFFF"/>
        </w:rPr>
        <w:t>SARS-CoV-2</w:t>
      </w:r>
      <w:r w:rsidR="005603E3">
        <w:rPr>
          <w:rFonts w:ascii="Times New Roman" w:eastAsia="Times New Roman" w:hAnsi="Times New Roman" w:cs="Times New Roman"/>
          <w:color w:val="000000" w:themeColor="text1"/>
          <w:sz w:val="24"/>
          <w:szCs w:val="24"/>
          <w:shd w:val="clear" w:color="auto" w:fill="FFFFFF"/>
        </w:rPr>
        <w:t xml:space="preserve"> cytopathy</w:t>
      </w:r>
      <w:r w:rsidRPr="00D3492D">
        <w:rPr>
          <w:rFonts w:ascii="Times New Roman" w:eastAsia="Times New Roman" w:hAnsi="Times New Roman" w:cs="Times New Roman"/>
          <w:color w:val="000000" w:themeColor="text1"/>
          <w:sz w:val="24"/>
          <w:szCs w:val="24"/>
          <w:shd w:val="clear" w:color="auto" w:fill="FFFFFF"/>
        </w:rPr>
        <w:t xml:space="preserve"> on Vero E6 cells.</w:t>
      </w:r>
    </w:p>
    <w:p w14:paraId="54C53656"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p>
    <w:p w14:paraId="7DFCAC9B" w14:textId="051736C3" w:rsidR="00C30C34"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shd w:val="clear" w:color="auto" w:fill="FFFFFF"/>
        </w:rPr>
        <w:t xml:space="preserve">The immunized mice were then </w:t>
      </w:r>
      <w:r w:rsidR="005603E3">
        <w:rPr>
          <w:rFonts w:ascii="Times New Roman" w:eastAsia="Times New Roman" w:hAnsi="Times New Roman" w:cs="Times New Roman"/>
          <w:color w:val="000000" w:themeColor="text1"/>
          <w:sz w:val="24"/>
          <w:szCs w:val="24"/>
          <w:shd w:val="clear" w:color="auto" w:fill="FFFFFF"/>
        </w:rPr>
        <w:t>administered</w:t>
      </w:r>
      <w:r w:rsidRPr="00D3492D">
        <w:rPr>
          <w:rFonts w:ascii="Times New Roman" w:eastAsia="Times New Roman" w:hAnsi="Times New Roman" w:cs="Times New Roman"/>
          <w:color w:val="000000" w:themeColor="text1"/>
          <w:sz w:val="24"/>
          <w:szCs w:val="24"/>
          <w:shd w:val="clear" w:color="auto" w:fill="FFFFFF"/>
        </w:rPr>
        <w:t xml:space="preserve"> 10</w:t>
      </w:r>
      <w:r w:rsidRPr="00D3492D">
        <w:rPr>
          <w:rFonts w:ascii="Times New Roman" w:eastAsia="Times New Roman" w:hAnsi="Times New Roman" w:cs="Times New Roman"/>
          <w:color w:val="000000" w:themeColor="text1"/>
          <w:sz w:val="24"/>
          <w:szCs w:val="24"/>
          <w:shd w:val="clear" w:color="auto" w:fill="FFFFFF"/>
          <w:vertAlign w:val="superscript"/>
        </w:rPr>
        <w:t xml:space="preserve">5 </w:t>
      </w:r>
      <w:r w:rsidRPr="00D3492D">
        <w:rPr>
          <w:rFonts w:ascii="Times New Roman" w:eastAsia="Times New Roman" w:hAnsi="Times New Roman" w:cs="Times New Roman"/>
          <w:color w:val="000000" w:themeColor="text1"/>
          <w:sz w:val="24"/>
          <w:szCs w:val="24"/>
          <w:shd w:val="clear" w:color="auto" w:fill="FFFFFF"/>
        </w:rPr>
        <w:t xml:space="preserve">plaque forming units(pfu)/mouse of SARS-CoV-2 (WA1 strain). While the prime-only </w:t>
      </w:r>
      <w:r w:rsidR="005603E3">
        <w:rPr>
          <w:rFonts w:ascii="Times New Roman" w:eastAsia="Times New Roman" w:hAnsi="Times New Roman" w:cs="Times New Roman"/>
          <w:color w:val="000000" w:themeColor="text1"/>
          <w:sz w:val="24"/>
          <w:szCs w:val="24"/>
          <w:shd w:val="clear" w:color="auto" w:fill="FFFFFF"/>
        </w:rPr>
        <w:t xml:space="preserve">mice immunized with NVX-CoV2373 with </w:t>
      </w:r>
      <w:r w:rsidRPr="00D3492D">
        <w:rPr>
          <w:rFonts w:ascii="Times New Roman" w:eastAsia="Times New Roman" w:hAnsi="Times New Roman" w:cs="Times New Roman"/>
          <w:color w:val="000000" w:themeColor="text1"/>
          <w:sz w:val="24"/>
          <w:szCs w:val="24"/>
          <w:shd w:val="clear" w:color="auto" w:fill="FFFFFF"/>
        </w:rPr>
        <w:t>Matrix-M had a dose-dependent re</w:t>
      </w:r>
      <w:r w:rsidR="005603E3">
        <w:rPr>
          <w:rFonts w:ascii="Times New Roman" w:eastAsia="Times New Roman" w:hAnsi="Times New Roman" w:cs="Times New Roman"/>
          <w:color w:val="000000" w:themeColor="text1"/>
          <w:sz w:val="24"/>
          <w:szCs w:val="24"/>
          <w:shd w:val="clear" w:color="auto" w:fill="FFFFFF"/>
        </w:rPr>
        <w:t xml:space="preserve">sponse to </w:t>
      </w:r>
      <w:r w:rsidRPr="00D3492D">
        <w:rPr>
          <w:rFonts w:ascii="Times New Roman" w:eastAsia="Times New Roman" w:hAnsi="Times New Roman" w:cs="Times New Roman"/>
          <w:color w:val="000000" w:themeColor="text1"/>
          <w:sz w:val="24"/>
          <w:szCs w:val="24"/>
          <w:shd w:val="clear" w:color="auto" w:fill="FFFFFF"/>
        </w:rPr>
        <w:t>virus titre, with no detectable virus in the 10μg dose, the prime/boost immunization resulted in undetectable lung virus loads at NVX-COV2373 doses of at least 0.1μg. The viral load suppression correlated with protection from weight loss after infection and inflammation in lung histopathology. Cell mediated immune responses were also elicited with a higher proportion of multi</w:t>
      </w:r>
      <w:r w:rsidR="005603E3">
        <w:rPr>
          <w:rFonts w:ascii="Times New Roman" w:eastAsia="Times New Roman" w:hAnsi="Times New Roman" w:cs="Times New Roman"/>
          <w:color w:val="000000" w:themeColor="text1"/>
          <w:sz w:val="24"/>
          <w:szCs w:val="24"/>
          <w:shd w:val="clear" w:color="auto" w:fill="FFFFFF"/>
        </w:rPr>
        <w:t>-functioning</w:t>
      </w:r>
      <w:r w:rsidRPr="00D3492D">
        <w:rPr>
          <w:rFonts w:ascii="Times New Roman" w:eastAsia="Times New Roman" w:hAnsi="Times New Roman" w:cs="Times New Roman"/>
          <w:color w:val="000000" w:themeColor="text1"/>
          <w:sz w:val="24"/>
          <w:szCs w:val="24"/>
          <w:shd w:val="clear" w:color="auto" w:fill="FFFFFF"/>
        </w:rPr>
        <w:t xml:space="preserve"> phenotypes within both CD4+ and CD8+ T-cells, with corresponding increased production of</w:t>
      </w:r>
      <w:r w:rsidR="005603E3">
        <w:rPr>
          <w:rFonts w:ascii="Times New Roman" w:eastAsia="Times New Roman" w:hAnsi="Times New Roman" w:cs="Times New Roman"/>
          <w:color w:val="000000" w:themeColor="text1"/>
          <w:sz w:val="24"/>
          <w:szCs w:val="24"/>
          <w:shd w:val="clear" w:color="auto" w:fill="FFFFFF"/>
        </w:rPr>
        <w:t xml:space="preserve"> </w:t>
      </w:r>
      <w:r w:rsidR="005603E3" w:rsidRPr="00D3492D">
        <w:rPr>
          <w:rFonts w:ascii="Times New Roman" w:eastAsia="Times New Roman" w:hAnsi="Times New Roman" w:cs="Times New Roman"/>
          <w:color w:val="000000" w:themeColor="text1"/>
          <w:sz w:val="24"/>
          <w:szCs w:val="24"/>
          <w:shd w:val="clear" w:color="auto" w:fill="FFFFFF"/>
        </w:rPr>
        <w:t xml:space="preserve">TNF-α, </w:t>
      </w:r>
      <w:r w:rsidRPr="00D3492D">
        <w:rPr>
          <w:rFonts w:ascii="Times New Roman" w:eastAsia="Times New Roman" w:hAnsi="Times New Roman" w:cs="Times New Roman"/>
          <w:color w:val="000000" w:themeColor="text1"/>
          <w:sz w:val="24"/>
          <w:szCs w:val="24"/>
          <w:shd w:val="clear" w:color="auto" w:fill="FFFFFF"/>
        </w:rPr>
        <w:t xml:space="preserve">IFN-γ, and IL-2 cytokines. These findings in mice were replicated in olive baboons, immunized with </w:t>
      </w:r>
      <w:r w:rsidR="005603E3">
        <w:rPr>
          <w:rFonts w:ascii="Times New Roman" w:eastAsia="Times New Roman" w:hAnsi="Times New Roman" w:cs="Times New Roman"/>
          <w:color w:val="000000" w:themeColor="text1"/>
          <w:sz w:val="24"/>
          <w:szCs w:val="24"/>
          <w:shd w:val="clear" w:color="auto" w:fill="FFFFFF"/>
        </w:rPr>
        <w:t>two doses of</w:t>
      </w:r>
      <w:r w:rsidRPr="00D3492D">
        <w:rPr>
          <w:rFonts w:ascii="Times New Roman" w:eastAsia="Times New Roman" w:hAnsi="Times New Roman" w:cs="Times New Roman"/>
          <w:color w:val="000000" w:themeColor="text1"/>
          <w:sz w:val="24"/>
          <w:szCs w:val="24"/>
          <w:shd w:val="clear" w:color="auto" w:fill="FFFFFF"/>
        </w:rPr>
        <w:t xml:space="preserve"> 1μg, 5μg and</w:t>
      </w:r>
      <w:r w:rsidR="005603E3">
        <w:rPr>
          <w:rFonts w:ascii="Times New Roman" w:eastAsia="Times New Roman" w:hAnsi="Times New Roman" w:cs="Times New Roman"/>
          <w:color w:val="000000" w:themeColor="text1"/>
          <w:sz w:val="24"/>
          <w:szCs w:val="24"/>
          <w:shd w:val="clear" w:color="auto" w:fill="FFFFFF"/>
        </w:rPr>
        <w:t xml:space="preserve"> 25μg of NVX-COV2373</w:t>
      </w:r>
      <w:r w:rsidRPr="00D3492D">
        <w:rPr>
          <w:rFonts w:ascii="Times New Roman" w:eastAsia="Times New Roman" w:hAnsi="Times New Roman" w:cs="Times New Roman"/>
          <w:color w:val="000000" w:themeColor="text1"/>
          <w:sz w:val="24"/>
          <w:szCs w:val="24"/>
          <w:shd w:val="clear" w:color="auto" w:fill="FFFFFF"/>
        </w:rPr>
        <w:t xml:space="preserve"> </w:t>
      </w:r>
      <w:r w:rsidR="005603E3">
        <w:rPr>
          <w:rFonts w:ascii="Times New Roman" w:eastAsia="Times New Roman" w:hAnsi="Times New Roman" w:cs="Times New Roman"/>
          <w:color w:val="000000" w:themeColor="text1"/>
          <w:sz w:val="24"/>
          <w:szCs w:val="24"/>
          <w:shd w:val="clear" w:color="auto" w:fill="FFFFFF"/>
        </w:rPr>
        <w:t xml:space="preserve">(plus </w:t>
      </w:r>
      <w:r w:rsidRPr="00D3492D">
        <w:rPr>
          <w:rFonts w:ascii="Times New Roman" w:eastAsia="Times New Roman" w:hAnsi="Times New Roman" w:cs="Times New Roman"/>
          <w:color w:val="000000" w:themeColor="text1"/>
          <w:sz w:val="24"/>
          <w:szCs w:val="24"/>
          <w:shd w:val="clear" w:color="auto" w:fill="FFFFFF"/>
        </w:rPr>
        <w:t>50μg Matrix-M adjuvant</w:t>
      </w:r>
      <w:r w:rsidR="005603E3">
        <w:rPr>
          <w:rFonts w:ascii="Times New Roman" w:eastAsia="Times New Roman" w:hAnsi="Times New Roman" w:cs="Times New Roman"/>
          <w:color w:val="000000" w:themeColor="text1"/>
          <w:sz w:val="24"/>
          <w:szCs w:val="24"/>
          <w:shd w:val="clear" w:color="auto" w:fill="FFFFFF"/>
        </w:rPr>
        <w:t>)</w:t>
      </w:r>
      <w:r w:rsidRPr="00D3492D">
        <w:rPr>
          <w:rFonts w:ascii="Times New Roman" w:eastAsia="Times New Roman" w:hAnsi="Times New Roman" w:cs="Times New Roman"/>
          <w:color w:val="000000" w:themeColor="text1"/>
          <w:sz w:val="24"/>
          <w:szCs w:val="24"/>
          <w:shd w:val="clear" w:color="auto" w:fill="FFFFFF"/>
        </w:rPr>
        <w:t xml:space="preserve"> 21-days apart</w:t>
      </w:r>
      <w:r w:rsidR="002759DD">
        <w:rPr>
          <w:rFonts w:ascii="Times New Roman" w:eastAsia="Times New Roman" w:hAnsi="Times New Roman" w:cs="Times New Roman"/>
          <w:color w:val="000000" w:themeColor="text1"/>
          <w:sz w:val="24"/>
          <w:szCs w:val="24"/>
          <w:shd w:val="clear" w:color="auto" w:fill="FFFFFF"/>
        </w:rPr>
        <w:t xml:space="preserve"> [3]</w:t>
      </w:r>
      <w:r w:rsidRPr="00D3492D">
        <w:rPr>
          <w:rFonts w:ascii="Times New Roman" w:eastAsia="Times New Roman" w:hAnsi="Times New Roman" w:cs="Times New Roman"/>
          <w:color w:val="000000" w:themeColor="text1"/>
          <w:sz w:val="24"/>
          <w:szCs w:val="24"/>
          <w:shd w:val="clear" w:color="auto" w:fill="FFFFFF"/>
        </w:rPr>
        <w:t>.</w:t>
      </w:r>
    </w:p>
    <w:p w14:paraId="2310A83B"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p>
    <w:p w14:paraId="53B74FCC" w14:textId="5CC7F51D"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rPr>
        <w:t>Using a non-human primate model, cynomolgus macaques at least 3 years old which received 2.5</w:t>
      </w:r>
      <w:r w:rsidRPr="00D3492D">
        <w:rPr>
          <w:rFonts w:ascii="Times New Roman" w:eastAsia="Times New Roman" w:hAnsi="Times New Roman" w:cs="Times New Roman"/>
          <w:color w:val="000000" w:themeColor="text1"/>
          <w:sz w:val="24"/>
          <w:szCs w:val="24"/>
          <w:shd w:val="clear" w:color="auto" w:fill="FFFFFF"/>
        </w:rPr>
        <w:t xml:space="preserve"> μg,</w:t>
      </w:r>
      <w:r w:rsidRPr="00D3492D">
        <w:rPr>
          <w:rFonts w:ascii="Times New Roman" w:eastAsia="Times New Roman" w:hAnsi="Times New Roman" w:cs="Times New Roman"/>
          <w:color w:val="000000" w:themeColor="text1"/>
          <w:sz w:val="24"/>
          <w:szCs w:val="24"/>
        </w:rPr>
        <w:t xml:space="preserve"> 5</w:t>
      </w:r>
      <w:r w:rsidRPr="00D3492D">
        <w:rPr>
          <w:rFonts w:ascii="Times New Roman" w:eastAsia="Times New Roman" w:hAnsi="Times New Roman" w:cs="Times New Roman"/>
          <w:color w:val="000000" w:themeColor="text1"/>
          <w:sz w:val="24"/>
          <w:szCs w:val="24"/>
          <w:shd w:val="clear" w:color="auto" w:fill="FFFFFF"/>
        </w:rPr>
        <w:t xml:space="preserve"> μg</w:t>
      </w:r>
      <w:r w:rsidRPr="00D3492D">
        <w:rPr>
          <w:rFonts w:ascii="Times New Roman" w:eastAsia="Times New Roman" w:hAnsi="Times New Roman" w:cs="Times New Roman"/>
          <w:color w:val="000000" w:themeColor="text1"/>
          <w:sz w:val="24"/>
          <w:szCs w:val="24"/>
        </w:rPr>
        <w:t xml:space="preserve"> or 25</w:t>
      </w:r>
      <w:r w:rsidRPr="00D3492D">
        <w:rPr>
          <w:rFonts w:ascii="Times New Roman" w:eastAsia="Times New Roman" w:hAnsi="Times New Roman" w:cs="Times New Roman"/>
          <w:color w:val="000000" w:themeColor="text1"/>
          <w:sz w:val="24"/>
          <w:szCs w:val="24"/>
          <w:shd w:val="clear" w:color="auto" w:fill="FFFFFF"/>
        </w:rPr>
        <w:t xml:space="preserve">μg NVX-COV2373 with 25μg or 50μg Matrix-M adjuvants induced anti-S IgG antibodies at day 21 after </w:t>
      </w:r>
      <w:r w:rsidR="005603E3">
        <w:rPr>
          <w:rFonts w:ascii="Times New Roman" w:eastAsia="Times New Roman" w:hAnsi="Times New Roman" w:cs="Times New Roman"/>
          <w:color w:val="000000" w:themeColor="text1"/>
          <w:sz w:val="24"/>
          <w:szCs w:val="24"/>
          <w:shd w:val="clear" w:color="auto" w:fill="FFFFFF"/>
        </w:rPr>
        <w:t>just one</w:t>
      </w:r>
      <w:r w:rsidRPr="00D3492D">
        <w:rPr>
          <w:rFonts w:ascii="Times New Roman" w:eastAsia="Times New Roman" w:hAnsi="Times New Roman" w:cs="Times New Roman"/>
          <w:color w:val="000000" w:themeColor="text1"/>
          <w:sz w:val="24"/>
          <w:szCs w:val="24"/>
          <w:shd w:val="clear" w:color="auto" w:fill="FFFFFF"/>
        </w:rPr>
        <w:t xml:space="preserve"> dose. This increased significantly </w:t>
      </w:r>
      <w:r w:rsidR="005603E3">
        <w:rPr>
          <w:rFonts w:ascii="Times New Roman" w:eastAsia="Times New Roman" w:hAnsi="Times New Roman" w:cs="Times New Roman"/>
          <w:color w:val="000000" w:themeColor="text1"/>
          <w:sz w:val="24"/>
          <w:szCs w:val="24"/>
          <w:shd w:val="clear" w:color="auto" w:fill="FFFFFF"/>
        </w:rPr>
        <w:t>a fortnight after</w:t>
      </w:r>
      <w:r w:rsidRPr="00D3492D">
        <w:rPr>
          <w:rFonts w:ascii="Times New Roman" w:eastAsia="Times New Roman" w:hAnsi="Times New Roman" w:cs="Times New Roman"/>
          <w:color w:val="000000" w:themeColor="text1"/>
          <w:sz w:val="24"/>
          <w:szCs w:val="24"/>
          <w:shd w:val="clear" w:color="auto" w:fill="FFFFFF"/>
        </w:rPr>
        <w:t xml:space="preserve"> the booster dose with anti-S IgG titres surpassing convalescent human serum by 6.9 to 14.2 times. There was a correspondingly similar increase for the hACE2 receptor inhibition titres and SARS-CoV-2 GMT neutralization antibody titres. When the macaques were </w:t>
      </w:r>
      <w:r w:rsidR="005603E3">
        <w:rPr>
          <w:rFonts w:ascii="Times New Roman" w:eastAsia="Times New Roman" w:hAnsi="Times New Roman" w:cs="Times New Roman"/>
          <w:color w:val="000000" w:themeColor="text1"/>
          <w:sz w:val="24"/>
          <w:szCs w:val="24"/>
          <w:shd w:val="clear" w:color="auto" w:fill="FFFFFF"/>
        </w:rPr>
        <w:t>exposed to</w:t>
      </w:r>
      <w:r w:rsidRPr="00D3492D">
        <w:rPr>
          <w:rFonts w:ascii="Times New Roman" w:eastAsia="Times New Roman" w:hAnsi="Times New Roman" w:cs="Times New Roman"/>
          <w:color w:val="000000" w:themeColor="text1"/>
          <w:sz w:val="24"/>
          <w:szCs w:val="24"/>
          <w:shd w:val="clear" w:color="auto" w:fill="FFFFFF"/>
        </w:rPr>
        <w:t xml:space="preserve"> SARS-CoV-2 virus in the </w:t>
      </w:r>
      <w:r w:rsidR="005603E3">
        <w:rPr>
          <w:rFonts w:ascii="Times New Roman" w:eastAsia="Times New Roman" w:hAnsi="Times New Roman" w:cs="Times New Roman"/>
          <w:color w:val="000000" w:themeColor="text1"/>
          <w:sz w:val="24"/>
          <w:szCs w:val="24"/>
          <w:shd w:val="clear" w:color="auto" w:fill="FFFFFF"/>
        </w:rPr>
        <w:t>lower and upper</w:t>
      </w:r>
      <w:r w:rsidRPr="00D3492D">
        <w:rPr>
          <w:rFonts w:ascii="Times New Roman" w:eastAsia="Times New Roman" w:hAnsi="Times New Roman" w:cs="Times New Roman"/>
          <w:color w:val="000000" w:themeColor="text1"/>
          <w:sz w:val="24"/>
          <w:szCs w:val="24"/>
          <w:shd w:val="clear" w:color="auto" w:fill="FFFFFF"/>
        </w:rPr>
        <w:t xml:space="preserve"> airways, the placebo recipients had an average of 9131 sgRNA copies/mL in bronchioalveolar lavage two days post-challenge; as opposed to no detectable sgRNA in the immunized group. The control </w:t>
      </w:r>
      <w:r w:rsidR="005603E3">
        <w:rPr>
          <w:rFonts w:ascii="Times New Roman" w:eastAsia="Times New Roman" w:hAnsi="Times New Roman" w:cs="Times New Roman"/>
          <w:color w:val="000000" w:themeColor="text1"/>
          <w:sz w:val="24"/>
          <w:szCs w:val="24"/>
          <w:shd w:val="clear" w:color="auto" w:fill="FFFFFF"/>
        </w:rPr>
        <w:t>group</w:t>
      </w:r>
      <w:r w:rsidRPr="00D3492D">
        <w:rPr>
          <w:rFonts w:ascii="Times New Roman" w:eastAsia="Times New Roman" w:hAnsi="Times New Roman" w:cs="Times New Roman"/>
          <w:color w:val="000000" w:themeColor="text1"/>
          <w:sz w:val="24"/>
          <w:szCs w:val="24"/>
          <w:shd w:val="clear" w:color="auto" w:fill="FFFFFF"/>
        </w:rPr>
        <w:t xml:space="preserve"> </w:t>
      </w:r>
      <w:r w:rsidR="005603E3">
        <w:rPr>
          <w:rFonts w:ascii="Times New Roman" w:eastAsia="Times New Roman" w:hAnsi="Times New Roman" w:cs="Times New Roman"/>
          <w:color w:val="000000" w:themeColor="text1"/>
          <w:sz w:val="24"/>
          <w:szCs w:val="24"/>
          <w:shd w:val="clear" w:color="auto" w:fill="FFFFFF"/>
        </w:rPr>
        <w:t>were found to have</w:t>
      </w:r>
      <w:r w:rsidRPr="00D3492D">
        <w:rPr>
          <w:rFonts w:ascii="Times New Roman" w:eastAsia="Times New Roman" w:hAnsi="Times New Roman" w:cs="Times New Roman"/>
          <w:color w:val="000000" w:themeColor="text1"/>
          <w:sz w:val="24"/>
          <w:szCs w:val="24"/>
          <w:shd w:val="clear" w:color="auto" w:fill="FFFFFF"/>
        </w:rPr>
        <w:t xml:space="preserve"> moderate to severe</w:t>
      </w:r>
      <w:r w:rsidR="005603E3">
        <w:rPr>
          <w:rFonts w:ascii="Times New Roman" w:eastAsia="Times New Roman" w:hAnsi="Times New Roman" w:cs="Times New Roman"/>
          <w:color w:val="000000" w:themeColor="text1"/>
          <w:sz w:val="24"/>
          <w:szCs w:val="24"/>
          <w:shd w:val="clear" w:color="auto" w:fill="FFFFFF"/>
        </w:rPr>
        <w:t>ly inflammed</w:t>
      </w:r>
      <w:r w:rsidRPr="00D3492D">
        <w:rPr>
          <w:rFonts w:ascii="Times New Roman" w:eastAsia="Times New Roman" w:hAnsi="Times New Roman" w:cs="Times New Roman"/>
          <w:color w:val="000000" w:themeColor="text1"/>
          <w:sz w:val="24"/>
          <w:szCs w:val="24"/>
          <w:shd w:val="clear" w:color="auto" w:fill="FFFFFF"/>
        </w:rPr>
        <w:t xml:space="preserve"> bronchi and alveoli, with </w:t>
      </w:r>
      <w:r w:rsidR="00FE2CD9">
        <w:rPr>
          <w:rFonts w:ascii="Times New Roman" w:eastAsia="Times New Roman" w:hAnsi="Times New Roman" w:cs="Times New Roman"/>
          <w:color w:val="000000" w:themeColor="text1"/>
          <w:sz w:val="24"/>
          <w:szCs w:val="24"/>
          <w:shd w:val="clear" w:color="auto" w:fill="FFFFFF"/>
        </w:rPr>
        <w:t>minimal</w:t>
      </w:r>
      <w:r w:rsidRPr="00D3492D">
        <w:rPr>
          <w:rFonts w:ascii="Times New Roman" w:eastAsia="Times New Roman" w:hAnsi="Times New Roman" w:cs="Times New Roman"/>
          <w:color w:val="000000" w:themeColor="text1"/>
          <w:sz w:val="24"/>
          <w:szCs w:val="24"/>
          <w:shd w:val="clear" w:color="auto" w:fill="FFFFFF"/>
        </w:rPr>
        <w:t xml:space="preserve"> inflammation in immunized macaques 7 days post-challenge. This demonstrates the </w:t>
      </w:r>
      <w:r w:rsidR="00FE2CD9">
        <w:rPr>
          <w:rFonts w:ascii="Times New Roman" w:eastAsia="Times New Roman" w:hAnsi="Times New Roman" w:cs="Times New Roman"/>
          <w:color w:val="000000" w:themeColor="text1"/>
          <w:sz w:val="24"/>
          <w:szCs w:val="24"/>
          <w:shd w:val="clear" w:color="auto" w:fill="FFFFFF"/>
        </w:rPr>
        <w:t>ability</w:t>
      </w:r>
      <w:r w:rsidRPr="00D3492D">
        <w:rPr>
          <w:rFonts w:ascii="Times New Roman" w:eastAsia="Times New Roman" w:hAnsi="Times New Roman" w:cs="Times New Roman"/>
          <w:color w:val="000000" w:themeColor="text1"/>
          <w:sz w:val="24"/>
          <w:szCs w:val="24"/>
          <w:shd w:val="clear" w:color="auto" w:fill="FFFFFF"/>
        </w:rPr>
        <w:t xml:space="preserve"> of NVX-CoV2373 to </w:t>
      </w:r>
      <w:r w:rsidR="00FE2CD9">
        <w:rPr>
          <w:rFonts w:ascii="Times New Roman" w:eastAsia="Times New Roman" w:hAnsi="Times New Roman" w:cs="Times New Roman"/>
          <w:color w:val="000000" w:themeColor="text1"/>
          <w:sz w:val="24"/>
          <w:szCs w:val="24"/>
          <w:shd w:val="clear" w:color="auto" w:fill="FFFFFF"/>
        </w:rPr>
        <w:t>prevent viral replication in the</w:t>
      </w:r>
      <w:r w:rsidRPr="00D3492D">
        <w:rPr>
          <w:rFonts w:ascii="Times New Roman" w:eastAsia="Times New Roman" w:hAnsi="Times New Roman" w:cs="Times New Roman"/>
          <w:color w:val="000000" w:themeColor="text1"/>
          <w:sz w:val="24"/>
          <w:szCs w:val="24"/>
          <w:shd w:val="clear" w:color="auto" w:fill="FFFFFF"/>
        </w:rPr>
        <w:t xml:space="preserve"> upper respiratory tract</w:t>
      </w:r>
      <w:r w:rsidR="00FE2CD9">
        <w:rPr>
          <w:rFonts w:ascii="Times New Roman" w:eastAsia="Times New Roman" w:hAnsi="Times New Roman" w:cs="Times New Roman"/>
          <w:color w:val="000000" w:themeColor="text1"/>
          <w:sz w:val="24"/>
          <w:szCs w:val="24"/>
          <w:shd w:val="clear" w:color="auto" w:fill="FFFFFF"/>
        </w:rPr>
        <w:t xml:space="preserve">, and pulmonary disease in the </w:t>
      </w:r>
      <w:r w:rsidRPr="00D3492D">
        <w:rPr>
          <w:rFonts w:ascii="Times New Roman" w:eastAsia="Times New Roman" w:hAnsi="Times New Roman" w:cs="Times New Roman"/>
          <w:color w:val="000000" w:themeColor="text1"/>
          <w:sz w:val="24"/>
          <w:szCs w:val="24"/>
          <w:shd w:val="clear" w:color="auto" w:fill="FFFFFF"/>
        </w:rPr>
        <w:t>lower respiratory tract</w:t>
      </w:r>
      <w:r w:rsidR="00FE2CD9">
        <w:rPr>
          <w:rFonts w:ascii="Times New Roman" w:eastAsia="Times New Roman" w:hAnsi="Times New Roman" w:cs="Times New Roman"/>
          <w:color w:val="000000" w:themeColor="text1"/>
          <w:sz w:val="24"/>
          <w:szCs w:val="24"/>
          <w:shd w:val="clear" w:color="auto" w:fill="FFFFFF"/>
        </w:rPr>
        <w:t>, which</w:t>
      </w:r>
      <w:r w:rsidRPr="00D3492D">
        <w:rPr>
          <w:rFonts w:ascii="Times New Roman" w:eastAsia="Times New Roman" w:hAnsi="Times New Roman" w:cs="Times New Roman"/>
          <w:color w:val="000000" w:themeColor="text1"/>
          <w:sz w:val="24"/>
          <w:szCs w:val="24"/>
          <w:shd w:val="clear" w:color="auto" w:fill="FFFFFF"/>
        </w:rPr>
        <w:t xml:space="preserve"> could be tested in human trials</w:t>
      </w:r>
      <w:r w:rsidR="002759DD">
        <w:rPr>
          <w:rFonts w:ascii="Times New Roman" w:eastAsia="Times New Roman" w:hAnsi="Times New Roman" w:cs="Times New Roman"/>
          <w:color w:val="000000" w:themeColor="text1"/>
          <w:sz w:val="24"/>
          <w:szCs w:val="24"/>
          <w:shd w:val="clear" w:color="auto" w:fill="FFFFFF"/>
        </w:rPr>
        <w:t xml:space="preserve"> [6]</w:t>
      </w:r>
      <w:r w:rsidRPr="00D3492D">
        <w:rPr>
          <w:rFonts w:ascii="Times New Roman" w:eastAsia="Times New Roman" w:hAnsi="Times New Roman" w:cs="Times New Roman"/>
          <w:color w:val="000000" w:themeColor="text1"/>
          <w:sz w:val="24"/>
          <w:szCs w:val="24"/>
          <w:shd w:val="clear" w:color="auto" w:fill="FFFFFF"/>
        </w:rPr>
        <w:t>.</w:t>
      </w:r>
    </w:p>
    <w:p w14:paraId="37F35D61"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F0208FF"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A7D3607" w14:textId="0E521BD2" w:rsidR="00576ABB" w:rsidRPr="00D3492D" w:rsidRDefault="00576ABB"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 </w:t>
      </w:r>
      <w:r w:rsidR="003A0C59" w:rsidRPr="00D3492D">
        <w:rPr>
          <w:rFonts w:ascii="Times New Roman" w:eastAsia="Times New Roman" w:hAnsi="Times New Roman" w:cs="Times New Roman"/>
          <w:b/>
          <w:bCs/>
          <w:color w:val="000000" w:themeColor="text1"/>
          <w:sz w:val="24"/>
          <w:szCs w:val="24"/>
        </w:rPr>
        <w:t>Phase 1-2 Trial</w:t>
      </w:r>
    </w:p>
    <w:p w14:paraId="24EFA6FE" w14:textId="77777777"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shd w:val="clear" w:color="auto" w:fill="FFFFFF"/>
        </w:rPr>
        <w:t> </w:t>
      </w:r>
    </w:p>
    <w:p w14:paraId="18E62CE0" w14:textId="0B965642"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shd w:val="clear" w:color="auto" w:fill="FFFFFF"/>
        </w:rPr>
        <w:t>The phase 1-2 trial recruited 131 healthy adults aged 18 to 59 years old</w:t>
      </w:r>
      <w:r w:rsidR="00FE2CD9">
        <w:rPr>
          <w:rFonts w:ascii="Times New Roman" w:eastAsia="Times New Roman" w:hAnsi="Times New Roman" w:cs="Times New Roman"/>
          <w:color w:val="000000" w:themeColor="text1"/>
          <w:sz w:val="24"/>
          <w:szCs w:val="24"/>
          <w:shd w:val="clear" w:color="auto" w:fill="FFFFFF"/>
        </w:rPr>
        <w:t>, who were administered</w:t>
      </w:r>
      <w:r w:rsidRPr="00D3492D">
        <w:rPr>
          <w:rFonts w:ascii="Times New Roman" w:eastAsia="Times New Roman" w:hAnsi="Times New Roman" w:cs="Times New Roman"/>
          <w:color w:val="000000" w:themeColor="text1"/>
          <w:sz w:val="24"/>
          <w:szCs w:val="24"/>
          <w:shd w:val="clear" w:color="auto" w:fill="FFFFFF"/>
        </w:rPr>
        <w:t xml:space="preserve"> two intramuscular injections </w:t>
      </w:r>
      <w:r w:rsidR="00FE2CD9">
        <w:rPr>
          <w:rFonts w:ascii="Times New Roman" w:eastAsia="Times New Roman" w:hAnsi="Times New Roman" w:cs="Times New Roman"/>
          <w:color w:val="000000" w:themeColor="text1"/>
          <w:sz w:val="24"/>
          <w:szCs w:val="24"/>
          <w:shd w:val="clear" w:color="auto" w:fill="FFFFFF"/>
        </w:rPr>
        <w:t xml:space="preserve">at </w:t>
      </w:r>
      <w:r w:rsidRPr="00D3492D">
        <w:rPr>
          <w:rFonts w:ascii="Times New Roman" w:eastAsia="Times New Roman" w:hAnsi="Times New Roman" w:cs="Times New Roman"/>
          <w:color w:val="000000" w:themeColor="text1"/>
          <w:sz w:val="24"/>
          <w:szCs w:val="24"/>
          <w:shd w:val="clear" w:color="auto" w:fill="FFFFFF"/>
        </w:rPr>
        <w:t>21 day</w:t>
      </w:r>
      <w:r w:rsidR="00FE2CD9">
        <w:rPr>
          <w:rFonts w:ascii="Times New Roman" w:eastAsia="Times New Roman" w:hAnsi="Times New Roman" w:cs="Times New Roman"/>
          <w:color w:val="000000" w:themeColor="text1"/>
          <w:sz w:val="24"/>
          <w:szCs w:val="24"/>
          <w:shd w:val="clear" w:color="auto" w:fill="FFFFFF"/>
        </w:rPr>
        <w:t xml:space="preserve"> intervals</w:t>
      </w:r>
      <w:r w:rsidRPr="00D3492D">
        <w:rPr>
          <w:rFonts w:ascii="Times New Roman" w:eastAsia="Times New Roman" w:hAnsi="Times New Roman" w:cs="Times New Roman"/>
          <w:color w:val="000000" w:themeColor="text1"/>
          <w:sz w:val="24"/>
          <w:szCs w:val="24"/>
          <w:shd w:val="clear" w:color="auto" w:fill="FFFFFF"/>
        </w:rPr>
        <w:t xml:space="preserve">. The participants were randomly assigned into five groups; placebo doses, 5μg NVX-CoV2373 doses with Matrix-M1, 25μg doses NVX-CoV2373 doses with Matrix-M1, 25μg doses NVX-CoV2373 doses without Matrix-M1, and </w:t>
      </w:r>
      <w:r w:rsidR="00FE2CD9">
        <w:rPr>
          <w:rFonts w:ascii="Times New Roman" w:eastAsia="Times New Roman" w:hAnsi="Times New Roman" w:cs="Times New Roman"/>
          <w:color w:val="000000" w:themeColor="text1"/>
          <w:sz w:val="24"/>
          <w:szCs w:val="24"/>
          <w:shd w:val="clear" w:color="auto" w:fill="FFFFFF"/>
        </w:rPr>
        <w:t>one</w:t>
      </w:r>
      <w:r w:rsidRPr="00D3492D">
        <w:rPr>
          <w:rFonts w:ascii="Times New Roman" w:eastAsia="Times New Roman" w:hAnsi="Times New Roman" w:cs="Times New Roman"/>
          <w:color w:val="000000" w:themeColor="text1"/>
          <w:sz w:val="24"/>
          <w:szCs w:val="24"/>
          <w:shd w:val="clear" w:color="auto" w:fill="FFFFFF"/>
        </w:rPr>
        <w:t xml:space="preserve"> </w:t>
      </w:r>
      <w:r w:rsidRPr="00D3492D">
        <w:rPr>
          <w:rFonts w:ascii="Times New Roman" w:eastAsia="Times New Roman" w:hAnsi="Times New Roman" w:cs="Times New Roman"/>
          <w:color w:val="000000" w:themeColor="text1"/>
          <w:sz w:val="24"/>
          <w:szCs w:val="24"/>
          <w:shd w:val="clear" w:color="auto" w:fill="FFFFFF"/>
        </w:rPr>
        <w:lastRenderedPageBreak/>
        <w:t>dose of 25μg NVX-CoV2373 doses with Matrix-M1</w:t>
      </w:r>
      <w:r w:rsidR="00FE2CD9">
        <w:rPr>
          <w:rFonts w:ascii="Times New Roman" w:eastAsia="Times New Roman" w:hAnsi="Times New Roman" w:cs="Times New Roman"/>
          <w:color w:val="000000" w:themeColor="text1"/>
          <w:sz w:val="24"/>
          <w:szCs w:val="24"/>
          <w:shd w:val="clear" w:color="auto" w:fill="FFFFFF"/>
        </w:rPr>
        <w:t>,</w:t>
      </w:r>
      <w:r w:rsidRPr="00D3492D">
        <w:rPr>
          <w:rFonts w:ascii="Times New Roman" w:eastAsia="Times New Roman" w:hAnsi="Times New Roman" w:cs="Times New Roman"/>
          <w:color w:val="000000" w:themeColor="text1"/>
          <w:sz w:val="24"/>
          <w:szCs w:val="24"/>
          <w:shd w:val="clear" w:color="auto" w:fill="FFFFFF"/>
        </w:rPr>
        <w:t xml:space="preserve"> followed by a placebo</w:t>
      </w:r>
      <w:r w:rsidR="00FE2CD9">
        <w:rPr>
          <w:rFonts w:ascii="Times New Roman" w:eastAsia="Times New Roman" w:hAnsi="Times New Roman" w:cs="Times New Roman"/>
          <w:color w:val="000000" w:themeColor="text1"/>
          <w:sz w:val="24"/>
          <w:szCs w:val="24"/>
          <w:shd w:val="clear" w:color="auto" w:fill="FFFFFF"/>
        </w:rPr>
        <w:t xml:space="preserve"> dose</w:t>
      </w:r>
      <w:r w:rsidRPr="00D3492D">
        <w:rPr>
          <w:rFonts w:ascii="Times New Roman" w:eastAsia="Times New Roman" w:hAnsi="Times New Roman" w:cs="Times New Roman"/>
          <w:color w:val="000000" w:themeColor="text1"/>
          <w:sz w:val="24"/>
          <w:szCs w:val="24"/>
          <w:shd w:val="clear" w:color="auto" w:fill="FFFFFF"/>
        </w:rPr>
        <w:t>. This study was performed at two Australian study sites (Nucleus Network, Herston, Queensland, and Melbourne, Victoria). In terms of reactogenicity, the majority of participants had absent or mild local and systemic side effects after the first and second dose in all five groups. There were eight participants (</w:t>
      </w:r>
      <w:r w:rsidR="00FE2CD9">
        <w:rPr>
          <w:rFonts w:ascii="Times New Roman" w:eastAsia="Times New Roman" w:hAnsi="Times New Roman" w:cs="Times New Roman"/>
          <w:color w:val="000000" w:themeColor="text1"/>
          <w:sz w:val="24"/>
          <w:szCs w:val="24"/>
          <w:shd w:val="clear" w:color="auto" w:fill="FFFFFF"/>
        </w:rPr>
        <w:t>at most two in each sub-</w:t>
      </w:r>
      <w:r w:rsidRPr="00D3492D">
        <w:rPr>
          <w:rFonts w:ascii="Times New Roman" w:eastAsia="Times New Roman" w:hAnsi="Times New Roman" w:cs="Times New Roman"/>
          <w:color w:val="000000" w:themeColor="text1"/>
          <w:sz w:val="24"/>
          <w:szCs w:val="24"/>
          <w:shd w:val="clear" w:color="auto" w:fill="FFFFFF"/>
        </w:rPr>
        <w:t xml:space="preserve">group) who </w:t>
      </w:r>
      <w:r w:rsidR="00FE2CD9">
        <w:rPr>
          <w:rFonts w:ascii="Times New Roman" w:eastAsia="Times New Roman" w:hAnsi="Times New Roman" w:cs="Times New Roman"/>
          <w:color w:val="000000" w:themeColor="text1"/>
          <w:sz w:val="24"/>
          <w:szCs w:val="24"/>
          <w:shd w:val="clear" w:color="auto" w:fill="FFFFFF"/>
        </w:rPr>
        <w:t>experienced</w:t>
      </w:r>
      <w:r w:rsidRPr="00D3492D">
        <w:rPr>
          <w:rFonts w:ascii="Times New Roman" w:eastAsia="Times New Roman" w:hAnsi="Times New Roman" w:cs="Times New Roman"/>
          <w:color w:val="000000" w:themeColor="text1"/>
          <w:sz w:val="24"/>
          <w:szCs w:val="24"/>
          <w:shd w:val="clear" w:color="auto" w:fill="FFFFFF"/>
        </w:rPr>
        <w:t xml:space="preserve"> severe systemic events after</w:t>
      </w:r>
      <w:r w:rsidR="00FE2CD9">
        <w:rPr>
          <w:rFonts w:ascii="Times New Roman" w:eastAsia="Times New Roman" w:hAnsi="Times New Roman" w:cs="Times New Roman"/>
          <w:color w:val="000000" w:themeColor="text1"/>
          <w:sz w:val="24"/>
          <w:szCs w:val="24"/>
          <w:shd w:val="clear" w:color="auto" w:fill="FFFFFF"/>
        </w:rPr>
        <w:t xml:space="preserve"> dose two;</w:t>
      </w:r>
      <w:r w:rsidRPr="00D3492D">
        <w:rPr>
          <w:rFonts w:ascii="Times New Roman" w:eastAsia="Times New Roman" w:hAnsi="Times New Roman" w:cs="Times New Roman"/>
          <w:color w:val="000000" w:themeColor="text1"/>
          <w:sz w:val="24"/>
          <w:szCs w:val="24"/>
          <w:shd w:val="clear" w:color="auto" w:fill="FFFFFF"/>
        </w:rPr>
        <w:t xml:space="preserve"> </w:t>
      </w:r>
      <w:r w:rsidR="00FE2CD9">
        <w:rPr>
          <w:rFonts w:ascii="Times New Roman" w:eastAsia="Times New Roman" w:hAnsi="Times New Roman" w:cs="Times New Roman"/>
          <w:color w:val="000000" w:themeColor="text1"/>
          <w:sz w:val="24"/>
          <w:szCs w:val="24"/>
          <w:shd w:val="clear" w:color="auto" w:fill="FFFFFF"/>
        </w:rPr>
        <w:t>the most common being</w:t>
      </w:r>
      <w:r w:rsidRPr="00D3492D">
        <w:rPr>
          <w:rFonts w:ascii="Times New Roman" w:eastAsia="Times New Roman" w:hAnsi="Times New Roman" w:cs="Times New Roman"/>
          <w:color w:val="000000" w:themeColor="text1"/>
          <w:sz w:val="24"/>
          <w:szCs w:val="24"/>
          <w:shd w:val="clear" w:color="auto" w:fill="FFFFFF"/>
        </w:rPr>
        <w:t xml:space="preserve"> joint pain and fatigue, which was self-limiting. In terms of immunogenicity, the ELISA anti-spike IgG geometric mean fold rises (GMFRs) in all adjuvanted regimens exceeded those without adjuvant by 10 times. This further increased by a factor of 8 a week after the second dose, doubling again by 14 days and exceeding</w:t>
      </w:r>
      <w:r w:rsidR="00FE2CD9">
        <w:rPr>
          <w:rFonts w:ascii="Times New Roman" w:eastAsia="Times New Roman" w:hAnsi="Times New Roman" w:cs="Times New Roman"/>
          <w:color w:val="000000" w:themeColor="text1"/>
          <w:sz w:val="24"/>
          <w:szCs w:val="24"/>
          <w:shd w:val="clear" w:color="auto" w:fill="FFFFFF"/>
        </w:rPr>
        <w:t xml:space="preserve"> levels from convalescent serum of hospitalized COVID-19 patients.</w:t>
      </w:r>
      <w:r w:rsidRPr="00D3492D">
        <w:rPr>
          <w:rFonts w:ascii="Times New Roman" w:eastAsia="Times New Roman" w:hAnsi="Times New Roman" w:cs="Times New Roman"/>
          <w:color w:val="000000" w:themeColor="text1"/>
          <w:sz w:val="24"/>
          <w:szCs w:val="24"/>
          <w:shd w:val="clear" w:color="auto" w:fill="FFFFFF"/>
        </w:rPr>
        <w:t xml:space="preserve"> The </w:t>
      </w:r>
      <w:r w:rsidR="00FE2CD9">
        <w:rPr>
          <w:rFonts w:ascii="Times New Roman" w:eastAsia="Times New Roman" w:hAnsi="Times New Roman" w:cs="Times New Roman"/>
          <w:color w:val="000000" w:themeColor="text1"/>
          <w:sz w:val="24"/>
          <w:szCs w:val="24"/>
          <w:shd w:val="clear" w:color="auto" w:fill="FFFFFF"/>
        </w:rPr>
        <w:t xml:space="preserve">immunogenicity from two doses of </w:t>
      </w:r>
      <w:r w:rsidRPr="00D3492D">
        <w:rPr>
          <w:rFonts w:ascii="Times New Roman" w:eastAsia="Times New Roman" w:hAnsi="Times New Roman" w:cs="Times New Roman"/>
          <w:color w:val="000000" w:themeColor="text1"/>
          <w:sz w:val="24"/>
          <w:szCs w:val="24"/>
          <w:shd w:val="clear" w:color="auto" w:fill="FFFFFF"/>
        </w:rPr>
        <w:t>5μg and 25μg vaccines</w:t>
      </w:r>
      <w:r w:rsidR="00FE2CD9">
        <w:rPr>
          <w:rFonts w:ascii="Times New Roman" w:eastAsia="Times New Roman" w:hAnsi="Times New Roman" w:cs="Times New Roman"/>
          <w:color w:val="000000" w:themeColor="text1"/>
          <w:sz w:val="24"/>
          <w:szCs w:val="24"/>
          <w:shd w:val="clear" w:color="auto" w:fill="FFFFFF"/>
        </w:rPr>
        <w:t xml:space="preserve"> with adjuvant was similar, confirming</w:t>
      </w:r>
      <w:r w:rsidRPr="00D3492D">
        <w:rPr>
          <w:rFonts w:ascii="Times New Roman" w:eastAsia="Times New Roman" w:hAnsi="Times New Roman" w:cs="Times New Roman"/>
          <w:color w:val="000000" w:themeColor="text1"/>
          <w:sz w:val="24"/>
          <w:szCs w:val="24"/>
          <w:shd w:val="clear" w:color="auto" w:fill="FFFFFF"/>
        </w:rPr>
        <w:t xml:space="preserve"> dose sparing with Matrix-M1. There were also effective polyfunctional CD4+ T-cell responses with adjuvanted regimens with associated </w:t>
      </w:r>
      <w:r w:rsidR="00FE2CD9" w:rsidRPr="00D3492D">
        <w:rPr>
          <w:rFonts w:ascii="Times New Roman" w:eastAsia="Times New Roman" w:hAnsi="Times New Roman" w:cs="Times New Roman"/>
          <w:color w:val="000000" w:themeColor="text1"/>
          <w:sz w:val="24"/>
          <w:szCs w:val="24"/>
          <w:shd w:val="clear" w:color="auto" w:fill="FFFFFF"/>
        </w:rPr>
        <w:t>TNF-α</w:t>
      </w:r>
      <w:r w:rsidR="00FE2CD9">
        <w:rPr>
          <w:rFonts w:ascii="Times New Roman" w:eastAsia="Times New Roman" w:hAnsi="Times New Roman" w:cs="Times New Roman"/>
          <w:color w:val="000000" w:themeColor="text1"/>
          <w:sz w:val="24"/>
          <w:szCs w:val="24"/>
          <w:shd w:val="clear" w:color="auto" w:fill="FFFFFF"/>
        </w:rPr>
        <w:t>,</w:t>
      </w:r>
      <w:r w:rsidR="00FE2CD9" w:rsidRPr="00D3492D">
        <w:rPr>
          <w:rFonts w:ascii="Times New Roman" w:eastAsia="Times New Roman" w:hAnsi="Times New Roman" w:cs="Times New Roman"/>
          <w:color w:val="000000" w:themeColor="text1"/>
          <w:sz w:val="24"/>
          <w:szCs w:val="24"/>
          <w:shd w:val="clear" w:color="auto" w:fill="FFFFFF"/>
        </w:rPr>
        <w:t xml:space="preserve"> </w:t>
      </w:r>
      <w:r w:rsidR="00FE2CD9">
        <w:rPr>
          <w:rFonts w:ascii="Times New Roman" w:eastAsia="Times New Roman" w:hAnsi="Times New Roman" w:cs="Times New Roman"/>
          <w:color w:val="000000" w:themeColor="text1"/>
          <w:sz w:val="24"/>
          <w:szCs w:val="24"/>
          <w:shd w:val="clear" w:color="auto" w:fill="FFFFFF"/>
        </w:rPr>
        <w:t>IFN-γ and</w:t>
      </w:r>
      <w:r w:rsidRPr="00D3492D">
        <w:rPr>
          <w:rFonts w:ascii="Times New Roman" w:eastAsia="Times New Roman" w:hAnsi="Times New Roman" w:cs="Times New Roman"/>
          <w:color w:val="000000" w:themeColor="text1"/>
          <w:sz w:val="24"/>
          <w:szCs w:val="24"/>
          <w:shd w:val="clear" w:color="auto" w:fill="FFFFFF"/>
        </w:rPr>
        <w:t xml:space="preserve"> IL-2 </w:t>
      </w:r>
      <w:r w:rsidR="00FE2CD9">
        <w:rPr>
          <w:rFonts w:ascii="Times New Roman" w:eastAsia="Times New Roman" w:hAnsi="Times New Roman" w:cs="Times New Roman"/>
          <w:color w:val="000000" w:themeColor="text1"/>
          <w:sz w:val="24"/>
          <w:szCs w:val="24"/>
          <w:shd w:val="clear" w:color="auto" w:fill="FFFFFF"/>
        </w:rPr>
        <w:t xml:space="preserve">production when stimulated by </w:t>
      </w:r>
      <w:r w:rsidRPr="00D3492D">
        <w:rPr>
          <w:rFonts w:ascii="Times New Roman" w:eastAsia="Times New Roman" w:hAnsi="Times New Roman" w:cs="Times New Roman"/>
          <w:color w:val="000000" w:themeColor="text1"/>
          <w:sz w:val="24"/>
          <w:szCs w:val="24"/>
          <w:shd w:val="clear" w:color="auto" w:fill="FFFFFF"/>
        </w:rPr>
        <w:t>spike protein</w:t>
      </w:r>
      <w:r w:rsidR="00FE2CD9">
        <w:rPr>
          <w:rFonts w:ascii="Times New Roman" w:eastAsia="Times New Roman" w:hAnsi="Times New Roman" w:cs="Times New Roman"/>
          <w:color w:val="000000" w:themeColor="text1"/>
          <w:sz w:val="24"/>
          <w:szCs w:val="24"/>
          <w:shd w:val="clear" w:color="auto" w:fill="FFFFFF"/>
        </w:rPr>
        <w:t>s</w:t>
      </w:r>
      <w:r w:rsidRPr="00D3492D">
        <w:rPr>
          <w:rFonts w:ascii="Times New Roman" w:eastAsia="Times New Roman" w:hAnsi="Times New Roman" w:cs="Times New Roman"/>
          <w:color w:val="000000" w:themeColor="text1"/>
          <w:sz w:val="24"/>
          <w:szCs w:val="24"/>
          <w:shd w:val="clear" w:color="auto" w:fill="FFFFFF"/>
        </w:rPr>
        <w:t>; with a</w:t>
      </w:r>
      <w:r w:rsidR="00FE2CD9">
        <w:rPr>
          <w:rFonts w:ascii="Times New Roman" w:eastAsia="Times New Roman" w:hAnsi="Times New Roman" w:cs="Times New Roman"/>
          <w:color w:val="000000" w:themeColor="text1"/>
          <w:sz w:val="24"/>
          <w:szCs w:val="24"/>
          <w:shd w:val="clear" w:color="auto" w:fill="FFFFFF"/>
        </w:rPr>
        <w:t xml:space="preserve"> high</w:t>
      </w:r>
      <w:r w:rsidRPr="00D3492D">
        <w:rPr>
          <w:rFonts w:ascii="Times New Roman" w:eastAsia="Times New Roman" w:hAnsi="Times New Roman" w:cs="Times New Roman"/>
          <w:color w:val="000000" w:themeColor="text1"/>
          <w:sz w:val="24"/>
          <w:szCs w:val="24"/>
          <w:shd w:val="clear" w:color="auto" w:fill="FFFFFF"/>
        </w:rPr>
        <w:t xml:space="preserve"> </w:t>
      </w:r>
      <w:r w:rsidR="00FE2CD9">
        <w:rPr>
          <w:rFonts w:ascii="Times New Roman" w:eastAsia="Times New Roman" w:hAnsi="Times New Roman" w:cs="Times New Roman"/>
          <w:color w:val="000000" w:themeColor="text1"/>
          <w:sz w:val="24"/>
          <w:szCs w:val="24"/>
          <w:shd w:val="clear" w:color="auto" w:fill="FFFFFF"/>
        </w:rPr>
        <w:t xml:space="preserve">preference </w:t>
      </w:r>
      <w:r w:rsidRPr="00D3492D">
        <w:rPr>
          <w:rFonts w:ascii="Times New Roman" w:eastAsia="Times New Roman" w:hAnsi="Times New Roman" w:cs="Times New Roman"/>
          <w:color w:val="000000" w:themeColor="text1"/>
          <w:sz w:val="24"/>
          <w:szCs w:val="24"/>
          <w:shd w:val="clear" w:color="auto" w:fill="FFFFFF"/>
        </w:rPr>
        <w:t xml:space="preserve">towards Th1 </w:t>
      </w:r>
      <w:r w:rsidR="00FE2CD9">
        <w:rPr>
          <w:rFonts w:ascii="Times New Roman" w:eastAsia="Times New Roman" w:hAnsi="Times New Roman" w:cs="Times New Roman"/>
          <w:color w:val="000000" w:themeColor="text1"/>
          <w:sz w:val="24"/>
          <w:szCs w:val="24"/>
          <w:shd w:val="clear" w:color="auto" w:fill="FFFFFF"/>
        </w:rPr>
        <w:t xml:space="preserve">responses and minimal </w:t>
      </w:r>
      <w:r w:rsidRPr="00D3492D">
        <w:rPr>
          <w:rFonts w:ascii="Times New Roman" w:eastAsia="Times New Roman" w:hAnsi="Times New Roman" w:cs="Times New Roman"/>
          <w:color w:val="000000" w:themeColor="text1"/>
          <w:sz w:val="24"/>
          <w:szCs w:val="24"/>
          <w:shd w:val="clear" w:color="auto" w:fill="FFFFFF"/>
        </w:rPr>
        <w:t>IL-5 and IL-13 cytokines</w:t>
      </w:r>
      <w:r w:rsidR="00FE2CD9">
        <w:rPr>
          <w:rFonts w:ascii="Times New Roman" w:eastAsia="Times New Roman" w:hAnsi="Times New Roman" w:cs="Times New Roman"/>
          <w:color w:val="000000" w:themeColor="text1"/>
          <w:sz w:val="24"/>
          <w:szCs w:val="24"/>
          <w:shd w:val="clear" w:color="auto" w:fill="FFFFFF"/>
        </w:rPr>
        <w:t xml:space="preserve"> production, or Th2 responses</w:t>
      </w:r>
      <w:r w:rsidR="002759DD">
        <w:rPr>
          <w:rFonts w:ascii="Times New Roman" w:eastAsia="Times New Roman" w:hAnsi="Times New Roman" w:cs="Times New Roman"/>
          <w:color w:val="000000" w:themeColor="text1"/>
          <w:sz w:val="24"/>
          <w:szCs w:val="24"/>
          <w:shd w:val="clear" w:color="auto" w:fill="FFFFFF"/>
        </w:rPr>
        <w:t xml:space="preserve"> [7]</w:t>
      </w:r>
      <w:r w:rsidRPr="00D3492D">
        <w:rPr>
          <w:rFonts w:ascii="Times New Roman" w:eastAsia="Times New Roman" w:hAnsi="Times New Roman" w:cs="Times New Roman"/>
          <w:color w:val="000000" w:themeColor="text1"/>
          <w:sz w:val="24"/>
          <w:szCs w:val="24"/>
          <w:shd w:val="clear" w:color="auto" w:fill="FFFFFF"/>
        </w:rPr>
        <w:t>.</w:t>
      </w:r>
    </w:p>
    <w:p w14:paraId="5BB2FDC0" w14:textId="0C202A4E"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903BBFD"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C0E2254" w14:textId="2EFF7D4E" w:rsidR="003A0C59" w:rsidRPr="00D3492D" w:rsidRDefault="003A0C59"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Phase 2 Trials</w:t>
      </w:r>
    </w:p>
    <w:p w14:paraId="149B1637" w14:textId="77777777" w:rsidR="003A0C59" w:rsidRPr="00D3492D" w:rsidRDefault="003A0C5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90E2385" w14:textId="72C7717E"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rPr>
        <w:t>After confirming safety and immunogenicity data up to</w:t>
      </w:r>
      <w:r w:rsidR="00377CD8">
        <w:rPr>
          <w:rFonts w:ascii="Times New Roman" w:eastAsia="Times New Roman" w:hAnsi="Times New Roman" w:cs="Times New Roman"/>
          <w:color w:val="000000" w:themeColor="text1"/>
          <w:sz w:val="24"/>
          <w:szCs w:val="24"/>
        </w:rPr>
        <w:t xml:space="preserve"> a fortnight after the second dose</w:t>
      </w:r>
      <w:r w:rsidRPr="00D3492D">
        <w:rPr>
          <w:rFonts w:ascii="Times New Roman" w:eastAsia="Times New Roman" w:hAnsi="Times New Roman" w:cs="Times New Roman"/>
          <w:color w:val="000000" w:themeColor="text1"/>
          <w:sz w:val="24"/>
          <w:szCs w:val="24"/>
        </w:rPr>
        <w:t xml:space="preserve"> </w:t>
      </w:r>
      <w:r w:rsidR="00377CD8">
        <w:rPr>
          <w:rFonts w:ascii="Times New Roman" w:eastAsia="Times New Roman" w:hAnsi="Times New Roman" w:cs="Times New Roman"/>
          <w:color w:val="000000" w:themeColor="text1"/>
          <w:sz w:val="24"/>
          <w:szCs w:val="24"/>
        </w:rPr>
        <w:t>(</w:t>
      </w:r>
      <w:r w:rsidRPr="00D3492D">
        <w:rPr>
          <w:rFonts w:ascii="Times New Roman" w:eastAsia="Times New Roman" w:hAnsi="Times New Roman" w:cs="Times New Roman"/>
          <w:color w:val="000000" w:themeColor="text1"/>
          <w:sz w:val="24"/>
          <w:szCs w:val="24"/>
        </w:rPr>
        <w:t>day 35</w:t>
      </w:r>
      <w:r w:rsidR="00377CD8">
        <w:rPr>
          <w:rFonts w:ascii="Times New Roman" w:eastAsia="Times New Roman" w:hAnsi="Times New Roman" w:cs="Times New Roman"/>
          <w:color w:val="000000" w:themeColor="text1"/>
          <w:sz w:val="24"/>
          <w:szCs w:val="24"/>
        </w:rPr>
        <w:t>)</w:t>
      </w:r>
      <w:r w:rsidRPr="00D3492D">
        <w:rPr>
          <w:rFonts w:ascii="Times New Roman" w:eastAsia="Times New Roman" w:hAnsi="Times New Roman" w:cs="Times New Roman"/>
          <w:color w:val="000000" w:themeColor="text1"/>
          <w:sz w:val="24"/>
          <w:szCs w:val="24"/>
        </w:rPr>
        <w:t>, the phase 2 trial randomized 1288 participants between 24</w:t>
      </w:r>
      <w:r w:rsidRPr="00D3492D">
        <w:rPr>
          <w:rFonts w:ascii="Times New Roman" w:eastAsia="Times New Roman" w:hAnsi="Times New Roman" w:cs="Times New Roman"/>
          <w:color w:val="000000" w:themeColor="text1"/>
          <w:sz w:val="24"/>
          <w:szCs w:val="24"/>
          <w:vertAlign w:val="superscript"/>
        </w:rPr>
        <w:t>th</w:t>
      </w:r>
      <w:r w:rsidRPr="00D3492D">
        <w:rPr>
          <w:rFonts w:ascii="Times New Roman" w:eastAsia="Times New Roman" w:hAnsi="Times New Roman" w:cs="Times New Roman"/>
          <w:color w:val="000000" w:themeColor="text1"/>
          <w:sz w:val="24"/>
          <w:szCs w:val="24"/>
        </w:rPr>
        <w:t xml:space="preserve"> August 2020 and 25</w:t>
      </w:r>
      <w:r w:rsidRPr="00D3492D">
        <w:rPr>
          <w:rFonts w:ascii="Times New Roman" w:eastAsia="Times New Roman" w:hAnsi="Times New Roman" w:cs="Times New Roman"/>
          <w:color w:val="000000" w:themeColor="text1"/>
          <w:sz w:val="24"/>
          <w:szCs w:val="24"/>
          <w:vertAlign w:val="superscript"/>
        </w:rPr>
        <w:t>th</w:t>
      </w:r>
      <w:r w:rsidRPr="00D3492D">
        <w:rPr>
          <w:rFonts w:ascii="Times New Roman" w:eastAsia="Times New Roman" w:hAnsi="Times New Roman" w:cs="Times New Roman"/>
          <w:color w:val="000000" w:themeColor="text1"/>
          <w:sz w:val="24"/>
          <w:szCs w:val="24"/>
        </w:rPr>
        <w:t xml:space="preserve"> September 2020 at 17 sites in </w:t>
      </w:r>
      <w:r w:rsidR="00377CD8">
        <w:rPr>
          <w:rFonts w:ascii="Times New Roman" w:eastAsia="Times New Roman" w:hAnsi="Times New Roman" w:cs="Times New Roman"/>
          <w:color w:val="000000" w:themeColor="text1"/>
          <w:sz w:val="24"/>
          <w:szCs w:val="24"/>
        </w:rPr>
        <w:t xml:space="preserve">the United States and </w:t>
      </w:r>
      <w:r w:rsidRPr="00D3492D">
        <w:rPr>
          <w:rFonts w:ascii="Times New Roman" w:eastAsia="Times New Roman" w:hAnsi="Times New Roman" w:cs="Times New Roman"/>
          <w:color w:val="000000" w:themeColor="text1"/>
          <w:sz w:val="24"/>
          <w:szCs w:val="24"/>
        </w:rPr>
        <w:t>Australia. There were two groups</w:t>
      </w:r>
      <w:r w:rsidR="00377CD8">
        <w:rPr>
          <w:rFonts w:ascii="Times New Roman" w:eastAsia="Times New Roman" w:hAnsi="Times New Roman" w:cs="Times New Roman"/>
          <w:color w:val="000000" w:themeColor="text1"/>
          <w:sz w:val="24"/>
          <w:szCs w:val="24"/>
        </w:rPr>
        <w:t xml:space="preserve"> based on age</w:t>
      </w:r>
      <w:r w:rsidRPr="00D3492D">
        <w:rPr>
          <w:rFonts w:ascii="Times New Roman" w:eastAsia="Times New Roman" w:hAnsi="Times New Roman" w:cs="Times New Roman"/>
          <w:color w:val="000000" w:themeColor="text1"/>
          <w:sz w:val="24"/>
          <w:szCs w:val="24"/>
        </w:rPr>
        <w:t xml:space="preserve">, 18 to 59 years and 60 to 84 years. Subsequent NVX-CoV2373 doses were all adjuvanted with Matrix-M1. Participants received either one or two intramuscular doses of </w:t>
      </w:r>
      <w:r w:rsidRPr="00D3492D">
        <w:rPr>
          <w:rFonts w:ascii="Times New Roman" w:eastAsia="Times New Roman" w:hAnsi="Times New Roman" w:cs="Times New Roman"/>
          <w:color w:val="000000" w:themeColor="text1"/>
          <w:sz w:val="24"/>
          <w:szCs w:val="24"/>
          <w:shd w:val="clear" w:color="auto" w:fill="FFFFFF"/>
        </w:rPr>
        <w:t xml:space="preserve">5μg and 25μg NVX-CoV2373 or placebo </w:t>
      </w:r>
      <w:r w:rsidR="00377CD8">
        <w:rPr>
          <w:rFonts w:ascii="Times New Roman" w:eastAsia="Times New Roman" w:hAnsi="Times New Roman" w:cs="Times New Roman"/>
          <w:color w:val="000000" w:themeColor="text1"/>
          <w:sz w:val="24"/>
          <w:szCs w:val="24"/>
          <w:shd w:val="clear" w:color="auto" w:fill="FFFFFF"/>
        </w:rPr>
        <w:t>3 weeks</w:t>
      </w:r>
      <w:r w:rsidRPr="00D3492D">
        <w:rPr>
          <w:rFonts w:ascii="Times New Roman" w:eastAsia="Times New Roman" w:hAnsi="Times New Roman" w:cs="Times New Roman"/>
          <w:color w:val="000000" w:themeColor="text1"/>
          <w:sz w:val="24"/>
          <w:szCs w:val="24"/>
          <w:shd w:val="clear" w:color="auto" w:fill="FFFFFF"/>
        </w:rPr>
        <w:t xml:space="preserve"> </w:t>
      </w:r>
      <w:r w:rsidR="00377CD8">
        <w:rPr>
          <w:rFonts w:ascii="Times New Roman" w:eastAsia="Times New Roman" w:hAnsi="Times New Roman" w:cs="Times New Roman"/>
          <w:color w:val="000000" w:themeColor="text1"/>
          <w:sz w:val="24"/>
          <w:szCs w:val="24"/>
          <w:shd w:val="clear" w:color="auto" w:fill="FFFFFF"/>
        </w:rPr>
        <w:t>apart. Regardless of age, s</w:t>
      </w:r>
      <w:r w:rsidRPr="00D3492D">
        <w:rPr>
          <w:rFonts w:ascii="Times New Roman" w:eastAsia="Times New Roman" w:hAnsi="Times New Roman" w:cs="Times New Roman"/>
          <w:color w:val="000000" w:themeColor="text1"/>
          <w:sz w:val="24"/>
          <w:szCs w:val="24"/>
          <w:shd w:val="clear" w:color="auto" w:fill="FFFFFF"/>
        </w:rPr>
        <w:t xml:space="preserve">olicited local adverse events were more common in the NVX-CoV2373 </w:t>
      </w:r>
      <w:r w:rsidR="00377CD8">
        <w:rPr>
          <w:rFonts w:ascii="Times New Roman" w:eastAsia="Times New Roman" w:hAnsi="Times New Roman" w:cs="Times New Roman"/>
          <w:color w:val="000000" w:themeColor="text1"/>
          <w:sz w:val="24"/>
          <w:szCs w:val="24"/>
          <w:shd w:val="clear" w:color="auto" w:fill="FFFFFF"/>
        </w:rPr>
        <w:t>compared to</w:t>
      </w:r>
      <w:r w:rsidRPr="00D3492D">
        <w:rPr>
          <w:rFonts w:ascii="Times New Roman" w:eastAsia="Times New Roman" w:hAnsi="Times New Roman" w:cs="Times New Roman"/>
          <w:color w:val="000000" w:themeColor="text1"/>
          <w:sz w:val="24"/>
          <w:szCs w:val="24"/>
          <w:shd w:val="clear" w:color="auto" w:fill="FFFFFF"/>
        </w:rPr>
        <w:t xml:space="preserve"> placebo; mostly self-limiting tenderness (up to 59%) and pain (up to 38%). This was more likely in younger participants, with the higher dose, and after dose</w:t>
      </w:r>
      <w:r w:rsidR="00377CD8">
        <w:rPr>
          <w:rFonts w:ascii="Times New Roman" w:eastAsia="Times New Roman" w:hAnsi="Times New Roman" w:cs="Times New Roman"/>
          <w:color w:val="000000" w:themeColor="text1"/>
          <w:sz w:val="24"/>
          <w:szCs w:val="24"/>
          <w:shd w:val="clear" w:color="auto" w:fill="FFFFFF"/>
        </w:rPr>
        <w:t xml:space="preserve"> two</w:t>
      </w:r>
      <w:r w:rsidRPr="00D3492D">
        <w:rPr>
          <w:rFonts w:ascii="Times New Roman" w:eastAsia="Times New Roman" w:hAnsi="Times New Roman" w:cs="Times New Roman"/>
          <w:color w:val="000000" w:themeColor="text1"/>
          <w:sz w:val="24"/>
          <w:szCs w:val="24"/>
          <w:shd w:val="clear" w:color="auto" w:fill="FFFFFF"/>
        </w:rPr>
        <w:t xml:space="preserve">. For systemic symptoms, muscle pain </w:t>
      </w:r>
      <w:r w:rsidR="00377CD8">
        <w:rPr>
          <w:rFonts w:ascii="Times New Roman" w:eastAsia="Times New Roman" w:hAnsi="Times New Roman" w:cs="Times New Roman"/>
          <w:color w:val="000000" w:themeColor="text1"/>
          <w:sz w:val="24"/>
          <w:szCs w:val="24"/>
          <w:shd w:val="clear" w:color="auto" w:fill="FFFFFF"/>
        </w:rPr>
        <w:t xml:space="preserve">was the most frequent symptom </w:t>
      </w:r>
      <w:r w:rsidRPr="00D3492D">
        <w:rPr>
          <w:rFonts w:ascii="Times New Roman" w:eastAsia="Times New Roman" w:hAnsi="Times New Roman" w:cs="Times New Roman"/>
          <w:color w:val="000000" w:themeColor="text1"/>
          <w:sz w:val="24"/>
          <w:szCs w:val="24"/>
          <w:shd w:val="clear" w:color="auto" w:fill="FFFFFF"/>
        </w:rPr>
        <w:t>(20%). This was similar to t</w:t>
      </w:r>
      <w:r w:rsidR="00377CD8">
        <w:rPr>
          <w:rFonts w:ascii="Times New Roman" w:eastAsia="Times New Roman" w:hAnsi="Times New Roman" w:cs="Times New Roman"/>
          <w:color w:val="000000" w:themeColor="text1"/>
          <w:sz w:val="24"/>
          <w:szCs w:val="24"/>
          <w:shd w:val="clear" w:color="auto" w:fill="FFFFFF"/>
        </w:rPr>
        <w:t>he placebo group after one</w:t>
      </w:r>
      <w:r w:rsidRPr="00D3492D">
        <w:rPr>
          <w:rFonts w:ascii="Times New Roman" w:eastAsia="Times New Roman" w:hAnsi="Times New Roman" w:cs="Times New Roman"/>
          <w:color w:val="000000" w:themeColor="text1"/>
          <w:sz w:val="24"/>
          <w:szCs w:val="24"/>
          <w:shd w:val="clear" w:color="auto" w:fill="FFFFFF"/>
        </w:rPr>
        <w:t xml:space="preserve"> dose,</w:t>
      </w:r>
      <w:r w:rsidR="00377CD8">
        <w:rPr>
          <w:rFonts w:ascii="Times New Roman" w:eastAsia="Times New Roman" w:hAnsi="Times New Roman" w:cs="Times New Roman"/>
          <w:color w:val="000000" w:themeColor="text1"/>
          <w:sz w:val="24"/>
          <w:szCs w:val="24"/>
          <w:shd w:val="clear" w:color="auto" w:fill="FFFFFF"/>
        </w:rPr>
        <w:t xml:space="preserve"> which were mainly</w:t>
      </w:r>
      <w:r w:rsidRPr="00D3492D">
        <w:rPr>
          <w:rFonts w:ascii="Times New Roman" w:eastAsia="Times New Roman" w:hAnsi="Times New Roman" w:cs="Times New Roman"/>
          <w:color w:val="000000" w:themeColor="text1"/>
          <w:sz w:val="24"/>
          <w:szCs w:val="24"/>
          <w:shd w:val="clear" w:color="auto" w:fill="FFFFFF"/>
        </w:rPr>
        <w:t xml:space="preserve"> Grade 1 and short </w:t>
      </w:r>
      <w:r w:rsidR="00377CD8">
        <w:rPr>
          <w:rFonts w:ascii="Times New Roman" w:eastAsia="Times New Roman" w:hAnsi="Times New Roman" w:cs="Times New Roman"/>
          <w:color w:val="000000" w:themeColor="text1"/>
          <w:sz w:val="24"/>
          <w:szCs w:val="24"/>
          <w:shd w:val="clear" w:color="auto" w:fill="FFFFFF"/>
        </w:rPr>
        <w:t>lasting. Fever occured</w:t>
      </w:r>
      <w:r w:rsidRPr="00D3492D">
        <w:rPr>
          <w:rFonts w:ascii="Times New Roman" w:eastAsia="Times New Roman" w:hAnsi="Times New Roman" w:cs="Times New Roman"/>
          <w:color w:val="000000" w:themeColor="text1"/>
          <w:sz w:val="24"/>
          <w:szCs w:val="24"/>
          <w:shd w:val="clear" w:color="auto" w:fill="FFFFFF"/>
        </w:rPr>
        <w:t xml:space="preserve"> in less than 2% of vaccine recipients. </w:t>
      </w:r>
      <w:r w:rsidR="00377CD8">
        <w:rPr>
          <w:rFonts w:ascii="Times New Roman" w:eastAsia="Times New Roman" w:hAnsi="Times New Roman" w:cs="Times New Roman"/>
          <w:color w:val="000000" w:themeColor="text1"/>
          <w:sz w:val="24"/>
          <w:szCs w:val="24"/>
          <w:shd w:val="clear" w:color="auto" w:fill="FFFFFF"/>
        </w:rPr>
        <w:t>After dose two,</w:t>
      </w:r>
      <w:r w:rsidRPr="00D3492D">
        <w:rPr>
          <w:rFonts w:ascii="Times New Roman" w:eastAsia="Times New Roman" w:hAnsi="Times New Roman" w:cs="Times New Roman"/>
          <w:color w:val="000000" w:themeColor="text1"/>
          <w:sz w:val="24"/>
          <w:szCs w:val="24"/>
          <w:shd w:val="clear" w:color="auto" w:fill="FFFFFF"/>
        </w:rPr>
        <w:t xml:space="preserve"> the mos</w:t>
      </w:r>
      <w:r w:rsidR="00175A48">
        <w:rPr>
          <w:rFonts w:ascii="Times New Roman" w:eastAsia="Times New Roman" w:hAnsi="Times New Roman" w:cs="Times New Roman"/>
          <w:color w:val="000000" w:themeColor="text1"/>
          <w:sz w:val="24"/>
          <w:szCs w:val="24"/>
          <w:shd w:val="clear" w:color="auto" w:fill="FFFFFF"/>
        </w:rPr>
        <w:t>t common systemic symptoms</w:t>
      </w:r>
      <w:r w:rsidRPr="00D3492D">
        <w:rPr>
          <w:rFonts w:ascii="Times New Roman" w:eastAsia="Times New Roman" w:hAnsi="Times New Roman" w:cs="Times New Roman"/>
          <w:color w:val="000000" w:themeColor="text1"/>
          <w:sz w:val="24"/>
          <w:szCs w:val="24"/>
          <w:shd w:val="clear" w:color="auto" w:fill="FFFFFF"/>
        </w:rPr>
        <w:t xml:space="preserve"> were fatigue (43%), muscle pain (41%), headache (34%) and malaise (30%); again, these were low grade and self-limiting</w:t>
      </w:r>
      <w:r w:rsidR="00175A48">
        <w:rPr>
          <w:rFonts w:ascii="Times New Roman" w:eastAsia="Times New Roman" w:hAnsi="Times New Roman" w:cs="Times New Roman"/>
          <w:color w:val="000000" w:themeColor="text1"/>
          <w:sz w:val="24"/>
          <w:szCs w:val="24"/>
          <w:shd w:val="clear" w:color="auto" w:fill="FFFFFF"/>
        </w:rPr>
        <w:t xml:space="preserve"> regardless of age</w:t>
      </w:r>
      <w:r w:rsidRPr="00D3492D">
        <w:rPr>
          <w:rFonts w:ascii="Times New Roman" w:eastAsia="Times New Roman" w:hAnsi="Times New Roman" w:cs="Times New Roman"/>
          <w:color w:val="000000" w:themeColor="text1"/>
          <w:sz w:val="24"/>
          <w:szCs w:val="24"/>
          <w:shd w:val="clear" w:color="auto" w:fill="FFFFFF"/>
        </w:rPr>
        <w:t xml:space="preserve">. </w:t>
      </w:r>
      <w:r w:rsidR="00175A48">
        <w:rPr>
          <w:rFonts w:ascii="Times New Roman" w:eastAsia="Times New Roman" w:hAnsi="Times New Roman" w:cs="Times New Roman"/>
          <w:color w:val="000000" w:themeColor="text1"/>
          <w:sz w:val="24"/>
          <w:szCs w:val="24"/>
          <w:shd w:val="clear" w:color="auto" w:fill="FFFFFF"/>
        </w:rPr>
        <w:t>B</w:t>
      </w:r>
      <w:r w:rsidRPr="00D3492D">
        <w:rPr>
          <w:rFonts w:ascii="Times New Roman" w:eastAsia="Times New Roman" w:hAnsi="Times New Roman" w:cs="Times New Roman"/>
          <w:color w:val="000000" w:themeColor="text1"/>
          <w:sz w:val="24"/>
          <w:szCs w:val="24"/>
          <w:shd w:val="clear" w:color="auto" w:fill="FFFFFF"/>
        </w:rPr>
        <w:t xml:space="preserve">oth doses of NVX-COV2372 induced anti-spike protein binding IgG geometric mean titres (GMTs) and neutralizing antibody </w:t>
      </w:r>
      <w:r w:rsidR="00175A48">
        <w:rPr>
          <w:rFonts w:ascii="Times New Roman" w:eastAsia="Times New Roman" w:hAnsi="Times New Roman" w:cs="Times New Roman"/>
          <w:color w:val="000000" w:themeColor="text1"/>
          <w:sz w:val="24"/>
          <w:szCs w:val="24"/>
          <w:shd w:val="clear" w:color="auto" w:fill="FFFFFF"/>
        </w:rPr>
        <w:t>activity</w:t>
      </w:r>
      <w:r w:rsidRPr="00D3492D">
        <w:rPr>
          <w:rFonts w:ascii="Times New Roman" w:eastAsia="Times New Roman" w:hAnsi="Times New Roman" w:cs="Times New Roman"/>
          <w:color w:val="000000" w:themeColor="text1"/>
          <w:sz w:val="24"/>
          <w:szCs w:val="24"/>
          <w:shd w:val="clear" w:color="auto" w:fill="FFFFFF"/>
        </w:rPr>
        <w:t xml:space="preserve">, </w:t>
      </w:r>
      <w:r w:rsidR="00175A48">
        <w:rPr>
          <w:rFonts w:ascii="Times New Roman" w:eastAsia="Times New Roman" w:hAnsi="Times New Roman" w:cs="Times New Roman"/>
          <w:color w:val="000000" w:themeColor="text1"/>
          <w:sz w:val="24"/>
          <w:szCs w:val="24"/>
          <w:shd w:val="clear" w:color="auto" w:fill="FFFFFF"/>
        </w:rPr>
        <w:t xml:space="preserve">exceeding levels from </w:t>
      </w:r>
      <w:r w:rsidRPr="00D3492D">
        <w:rPr>
          <w:rFonts w:ascii="Times New Roman" w:eastAsia="Times New Roman" w:hAnsi="Times New Roman" w:cs="Times New Roman"/>
          <w:color w:val="000000" w:themeColor="text1"/>
          <w:sz w:val="24"/>
          <w:szCs w:val="24"/>
          <w:shd w:val="clear" w:color="auto" w:fill="FFFFFF"/>
        </w:rPr>
        <w:t xml:space="preserve">convalescent sera for outpatient and hospitalized COVID-19 patients. Overall, this </w:t>
      </w:r>
      <w:r w:rsidR="00175A48">
        <w:rPr>
          <w:rFonts w:ascii="Times New Roman" w:eastAsia="Times New Roman" w:hAnsi="Times New Roman" w:cs="Times New Roman"/>
          <w:color w:val="000000" w:themeColor="text1"/>
          <w:sz w:val="24"/>
          <w:szCs w:val="24"/>
          <w:shd w:val="clear" w:color="auto" w:fill="FFFFFF"/>
        </w:rPr>
        <w:t>demonstrated that NVX-CCoV2373 induced high</w:t>
      </w:r>
      <w:r w:rsidRPr="00D3492D">
        <w:rPr>
          <w:rFonts w:ascii="Times New Roman" w:eastAsia="Times New Roman" w:hAnsi="Times New Roman" w:cs="Times New Roman"/>
          <w:color w:val="000000" w:themeColor="text1"/>
          <w:sz w:val="24"/>
          <w:szCs w:val="24"/>
          <w:shd w:val="clear" w:color="auto" w:fill="FFFFFF"/>
        </w:rPr>
        <w:t xml:space="preserve"> immunogenic</w:t>
      </w:r>
      <w:r w:rsidR="00175A48">
        <w:rPr>
          <w:rFonts w:ascii="Times New Roman" w:eastAsia="Times New Roman" w:hAnsi="Times New Roman" w:cs="Times New Roman"/>
          <w:color w:val="000000" w:themeColor="text1"/>
          <w:sz w:val="24"/>
          <w:szCs w:val="24"/>
          <w:shd w:val="clear" w:color="auto" w:fill="FFFFFF"/>
        </w:rPr>
        <w:t>ity</w:t>
      </w:r>
      <w:r w:rsidRPr="00D3492D">
        <w:rPr>
          <w:rFonts w:ascii="Times New Roman" w:eastAsia="Times New Roman" w:hAnsi="Times New Roman" w:cs="Times New Roman"/>
          <w:color w:val="000000" w:themeColor="text1"/>
          <w:sz w:val="24"/>
          <w:szCs w:val="24"/>
          <w:shd w:val="clear" w:color="auto" w:fill="FFFFFF"/>
        </w:rPr>
        <w:t xml:space="preserve"> and</w:t>
      </w:r>
      <w:r w:rsidR="00175A48">
        <w:rPr>
          <w:rFonts w:ascii="Times New Roman" w:eastAsia="Times New Roman" w:hAnsi="Times New Roman" w:cs="Times New Roman"/>
          <w:color w:val="000000" w:themeColor="text1"/>
          <w:sz w:val="24"/>
          <w:szCs w:val="24"/>
          <w:shd w:val="clear" w:color="auto" w:fill="FFFFFF"/>
        </w:rPr>
        <w:t xml:space="preserve"> was </w:t>
      </w:r>
      <w:r w:rsidRPr="00D3492D">
        <w:rPr>
          <w:rFonts w:ascii="Times New Roman" w:eastAsia="Times New Roman" w:hAnsi="Times New Roman" w:cs="Times New Roman"/>
          <w:color w:val="000000" w:themeColor="text1"/>
          <w:sz w:val="24"/>
          <w:szCs w:val="24"/>
          <w:shd w:val="clear" w:color="auto" w:fill="FFFFFF"/>
        </w:rPr>
        <w:t>tolerated</w:t>
      </w:r>
      <w:r w:rsidR="00175A48">
        <w:rPr>
          <w:rFonts w:ascii="Times New Roman" w:eastAsia="Times New Roman" w:hAnsi="Times New Roman" w:cs="Times New Roman"/>
          <w:color w:val="000000" w:themeColor="text1"/>
          <w:sz w:val="24"/>
          <w:szCs w:val="24"/>
          <w:shd w:val="clear" w:color="auto" w:fill="FFFFFF"/>
        </w:rPr>
        <w:t xml:space="preserve"> well by</w:t>
      </w:r>
      <w:r w:rsidRPr="00D3492D">
        <w:rPr>
          <w:rFonts w:ascii="Times New Roman" w:eastAsia="Times New Roman" w:hAnsi="Times New Roman" w:cs="Times New Roman"/>
          <w:color w:val="000000" w:themeColor="text1"/>
          <w:sz w:val="24"/>
          <w:szCs w:val="24"/>
          <w:shd w:val="clear" w:color="auto" w:fill="FFFFFF"/>
        </w:rPr>
        <w:t xml:space="preserve"> younger and older </w:t>
      </w:r>
      <w:r w:rsidR="00175A48">
        <w:rPr>
          <w:rFonts w:ascii="Times New Roman" w:eastAsia="Times New Roman" w:hAnsi="Times New Roman" w:cs="Times New Roman"/>
          <w:color w:val="000000" w:themeColor="text1"/>
          <w:sz w:val="24"/>
          <w:szCs w:val="24"/>
          <w:shd w:val="clear" w:color="auto" w:fill="FFFFFF"/>
        </w:rPr>
        <w:t>people</w:t>
      </w:r>
      <w:r w:rsidRPr="00D3492D">
        <w:rPr>
          <w:rFonts w:ascii="Times New Roman" w:eastAsia="Times New Roman" w:hAnsi="Times New Roman" w:cs="Times New Roman"/>
          <w:color w:val="000000" w:themeColor="text1"/>
          <w:sz w:val="24"/>
          <w:szCs w:val="24"/>
          <w:shd w:val="clear" w:color="auto" w:fill="FFFFFF"/>
        </w:rPr>
        <w:t xml:space="preserve">, </w:t>
      </w:r>
      <w:r w:rsidR="00175A48">
        <w:rPr>
          <w:rFonts w:ascii="Times New Roman" w:eastAsia="Times New Roman" w:hAnsi="Times New Roman" w:cs="Times New Roman"/>
          <w:color w:val="000000" w:themeColor="text1"/>
          <w:sz w:val="24"/>
          <w:szCs w:val="24"/>
          <w:shd w:val="clear" w:color="auto" w:fill="FFFFFF"/>
        </w:rPr>
        <w:t xml:space="preserve">thus </w:t>
      </w:r>
      <w:r w:rsidR="00175A48" w:rsidRPr="00D3492D">
        <w:rPr>
          <w:rFonts w:ascii="Times New Roman" w:eastAsia="Times New Roman" w:hAnsi="Times New Roman" w:cs="Times New Roman"/>
          <w:color w:val="000000" w:themeColor="text1"/>
          <w:sz w:val="24"/>
          <w:szCs w:val="24"/>
          <w:shd w:val="clear" w:color="auto" w:fill="FFFFFF"/>
        </w:rPr>
        <w:t>5μg NVX-CoV2373 </w:t>
      </w:r>
      <w:r w:rsidR="00175A48">
        <w:rPr>
          <w:rFonts w:ascii="Times New Roman" w:eastAsia="Times New Roman" w:hAnsi="Times New Roman" w:cs="Times New Roman"/>
          <w:color w:val="000000" w:themeColor="text1"/>
          <w:sz w:val="24"/>
          <w:szCs w:val="24"/>
          <w:shd w:val="clear" w:color="auto" w:fill="FFFFFF"/>
        </w:rPr>
        <w:t>was p</w:t>
      </w:r>
      <w:r w:rsidRPr="00D3492D">
        <w:rPr>
          <w:rFonts w:ascii="Times New Roman" w:eastAsia="Times New Roman" w:hAnsi="Times New Roman" w:cs="Times New Roman"/>
          <w:color w:val="000000" w:themeColor="text1"/>
          <w:sz w:val="24"/>
          <w:szCs w:val="24"/>
          <w:shd w:val="clear" w:color="auto" w:fill="FFFFFF"/>
        </w:rPr>
        <w:t>rogress</w:t>
      </w:r>
      <w:r w:rsidR="00175A48">
        <w:rPr>
          <w:rFonts w:ascii="Times New Roman" w:eastAsia="Times New Roman" w:hAnsi="Times New Roman" w:cs="Times New Roman"/>
          <w:color w:val="000000" w:themeColor="text1"/>
          <w:sz w:val="24"/>
          <w:szCs w:val="24"/>
          <w:shd w:val="clear" w:color="auto" w:fill="FFFFFF"/>
        </w:rPr>
        <w:t>ed to</w:t>
      </w:r>
      <w:r w:rsidRPr="00D3492D">
        <w:rPr>
          <w:rFonts w:ascii="Times New Roman" w:eastAsia="Times New Roman" w:hAnsi="Times New Roman" w:cs="Times New Roman"/>
          <w:color w:val="000000" w:themeColor="text1"/>
          <w:sz w:val="24"/>
          <w:szCs w:val="24"/>
          <w:shd w:val="clear" w:color="auto" w:fill="FFFFFF"/>
        </w:rPr>
        <w:t xml:space="preserve"> phase 2a/b and phase 3 studies</w:t>
      </w:r>
      <w:r w:rsidR="002759DD">
        <w:rPr>
          <w:rFonts w:ascii="Times New Roman" w:eastAsia="Times New Roman" w:hAnsi="Times New Roman" w:cs="Times New Roman"/>
          <w:color w:val="000000" w:themeColor="text1"/>
          <w:sz w:val="24"/>
          <w:szCs w:val="24"/>
          <w:shd w:val="clear" w:color="auto" w:fill="FFFFFF"/>
        </w:rPr>
        <w:t xml:space="preserve"> [8]</w:t>
      </w:r>
      <w:r w:rsidRPr="00D3492D">
        <w:rPr>
          <w:rFonts w:ascii="Times New Roman" w:eastAsia="Times New Roman" w:hAnsi="Times New Roman" w:cs="Times New Roman"/>
          <w:color w:val="000000" w:themeColor="text1"/>
          <w:sz w:val="24"/>
          <w:szCs w:val="24"/>
          <w:shd w:val="clear" w:color="auto" w:fill="FFFFFF"/>
        </w:rPr>
        <w:t>.</w:t>
      </w:r>
    </w:p>
    <w:p w14:paraId="22B6BCD3"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E75AED0" w14:textId="06C44883"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A separate phase 2 trial in South Africa randomized 2864 seronegative participants between 17th August 2020 and 25th November 2020 at 16 sites. There were two groups, human immunodefici</w:t>
      </w:r>
      <w:r w:rsidR="00175A48">
        <w:rPr>
          <w:rFonts w:ascii="Times New Roman" w:eastAsia="Times New Roman" w:hAnsi="Times New Roman" w:cs="Times New Roman"/>
          <w:color w:val="000000" w:themeColor="text1"/>
          <w:sz w:val="24"/>
          <w:szCs w:val="24"/>
        </w:rPr>
        <w:t>ency virus (HIV)-negative participants</w:t>
      </w:r>
      <w:r w:rsidRPr="00D3492D">
        <w:rPr>
          <w:rFonts w:ascii="Times New Roman" w:eastAsia="Times New Roman" w:hAnsi="Times New Roman" w:cs="Times New Roman"/>
          <w:color w:val="000000" w:themeColor="text1"/>
          <w:sz w:val="24"/>
          <w:szCs w:val="24"/>
        </w:rPr>
        <w:t xml:space="preserve"> between ages 18 and 84 </w:t>
      </w:r>
      <w:r w:rsidR="00175A48">
        <w:rPr>
          <w:rFonts w:ascii="Times New Roman" w:eastAsia="Times New Roman" w:hAnsi="Times New Roman" w:cs="Times New Roman"/>
          <w:color w:val="000000" w:themeColor="text1"/>
          <w:sz w:val="24"/>
          <w:szCs w:val="24"/>
        </w:rPr>
        <w:t>and</w:t>
      </w:r>
      <w:r w:rsidRPr="00D3492D">
        <w:rPr>
          <w:rFonts w:ascii="Times New Roman" w:eastAsia="Times New Roman" w:hAnsi="Times New Roman" w:cs="Times New Roman"/>
          <w:color w:val="000000" w:themeColor="text1"/>
          <w:sz w:val="24"/>
          <w:szCs w:val="24"/>
        </w:rPr>
        <w:t xml:space="preserve"> H</w:t>
      </w:r>
      <w:r w:rsidR="00175A48">
        <w:rPr>
          <w:rFonts w:ascii="Times New Roman" w:eastAsia="Times New Roman" w:hAnsi="Times New Roman" w:cs="Times New Roman"/>
          <w:color w:val="000000" w:themeColor="text1"/>
          <w:sz w:val="24"/>
          <w:szCs w:val="24"/>
        </w:rPr>
        <w:t>IV-positive adults aged 18 to 64, who were medically well</w:t>
      </w:r>
      <w:r w:rsidRPr="00D3492D">
        <w:rPr>
          <w:rFonts w:ascii="Times New Roman" w:eastAsia="Times New Roman" w:hAnsi="Times New Roman" w:cs="Times New Roman"/>
          <w:color w:val="000000" w:themeColor="text1"/>
          <w:sz w:val="24"/>
          <w:szCs w:val="24"/>
        </w:rPr>
        <w:t xml:space="preserve">. Participants received either two doses of the </w:t>
      </w:r>
      <w:r w:rsidRPr="00D3492D">
        <w:rPr>
          <w:rFonts w:ascii="Times New Roman" w:eastAsia="Times New Roman" w:hAnsi="Times New Roman" w:cs="Times New Roman"/>
          <w:color w:val="000000" w:themeColor="text1"/>
          <w:sz w:val="24"/>
          <w:szCs w:val="24"/>
          <w:shd w:val="clear" w:color="auto" w:fill="FFFFFF"/>
        </w:rPr>
        <w:t xml:space="preserve">5μg  </w:t>
      </w:r>
      <w:r w:rsidRPr="00D3492D">
        <w:rPr>
          <w:rFonts w:ascii="Times New Roman" w:eastAsia="Times New Roman" w:hAnsi="Times New Roman" w:cs="Times New Roman"/>
          <w:color w:val="000000" w:themeColor="text1"/>
          <w:sz w:val="24"/>
          <w:szCs w:val="24"/>
        </w:rPr>
        <w:t xml:space="preserve">NVX-CoV2373 or placebo </w:t>
      </w:r>
      <w:r w:rsidR="00175A48">
        <w:rPr>
          <w:rFonts w:ascii="Times New Roman" w:eastAsia="Times New Roman" w:hAnsi="Times New Roman" w:cs="Times New Roman"/>
          <w:color w:val="000000" w:themeColor="text1"/>
          <w:sz w:val="24"/>
          <w:szCs w:val="24"/>
        </w:rPr>
        <w:t>3 weeks</w:t>
      </w:r>
      <w:r w:rsidRPr="00D3492D">
        <w:rPr>
          <w:rFonts w:ascii="Times New Roman" w:eastAsia="Times New Roman" w:hAnsi="Times New Roman" w:cs="Times New Roman"/>
          <w:color w:val="000000" w:themeColor="text1"/>
          <w:sz w:val="24"/>
          <w:szCs w:val="24"/>
        </w:rPr>
        <w:t xml:space="preserve"> apart. In both groups, solicited local adverse</w:t>
      </w:r>
      <w:r w:rsidR="00175A48">
        <w:rPr>
          <w:rFonts w:ascii="Times New Roman" w:eastAsia="Times New Roman" w:hAnsi="Times New Roman" w:cs="Times New Roman"/>
          <w:color w:val="000000" w:themeColor="text1"/>
          <w:sz w:val="24"/>
          <w:szCs w:val="24"/>
        </w:rPr>
        <w:t xml:space="preserve"> events were more common with</w:t>
      </w:r>
      <w:r w:rsidRPr="00D3492D">
        <w:rPr>
          <w:rFonts w:ascii="Times New Roman" w:eastAsia="Times New Roman" w:hAnsi="Times New Roman" w:cs="Times New Roman"/>
          <w:color w:val="000000" w:themeColor="text1"/>
          <w:sz w:val="24"/>
          <w:szCs w:val="24"/>
          <w:shd w:val="clear" w:color="auto" w:fill="FFFFFF"/>
        </w:rPr>
        <w:t> </w:t>
      </w:r>
      <w:r w:rsidRPr="00D3492D">
        <w:rPr>
          <w:rFonts w:ascii="Times New Roman" w:eastAsia="Times New Roman" w:hAnsi="Times New Roman" w:cs="Times New Roman"/>
          <w:color w:val="000000" w:themeColor="text1"/>
          <w:sz w:val="24"/>
          <w:szCs w:val="24"/>
        </w:rPr>
        <w:t xml:space="preserve">NVX-CoV2373 </w:t>
      </w:r>
      <w:r w:rsidR="00175A48">
        <w:rPr>
          <w:rFonts w:ascii="Times New Roman" w:eastAsia="Times New Roman" w:hAnsi="Times New Roman" w:cs="Times New Roman"/>
          <w:color w:val="000000" w:themeColor="text1"/>
          <w:sz w:val="24"/>
          <w:szCs w:val="24"/>
        </w:rPr>
        <w:t xml:space="preserve">compared to </w:t>
      </w:r>
      <w:r w:rsidRPr="00D3492D">
        <w:rPr>
          <w:rFonts w:ascii="Times New Roman" w:eastAsia="Times New Roman" w:hAnsi="Times New Roman" w:cs="Times New Roman"/>
          <w:color w:val="000000" w:themeColor="text1"/>
          <w:sz w:val="24"/>
          <w:szCs w:val="24"/>
        </w:rPr>
        <w:t>placebo, with</w:t>
      </w:r>
      <w:r w:rsidR="00175A48">
        <w:rPr>
          <w:rFonts w:ascii="Times New Roman" w:eastAsia="Times New Roman" w:hAnsi="Times New Roman" w:cs="Times New Roman"/>
          <w:color w:val="000000" w:themeColor="text1"/>
          <w:sz w:val="24"/>
          <w:szCs w:val="24"/>
        </w:rPr>
        <w:t>out any significant difference in incidence after the first or second dose</w:t>
      </w:r>
      <w:r w:rsidRPr="00D3492D">
        <w:rPr>
          <w:rFonts w:ascii="Times New Roman" w:eastAsia="Times New Roman" w:hAnsi="Times New Roman" w:cs="Times New Roman"/>
          <w:color w:val="000000" w:themeColor="text1"/>
          <w:sz w:val="24"/>
          <w:szCs w:val="24"/>
        </w:rPr>
        <w:t xml:space="preserve">. The duration of local adverse events was slightly longer </w:t>
      </w:r>
      <w:r w:rsidR="00175A48">
        <w:rPr>
          <w:rFonts w:ascii="Times New Roman" w:eastAsia="Times New Roman" w:hAnsi="Times New Roman" w:cs="Times New Roman"/>
          <w:color w:val="000000" w:themeColor="text1"/>
          <w:sz w:val="24"/>
          <w:szCs w:val="24"/>
        </w:rPr>
        <w:t>after dose two,</w:t>
      </w:r>
      <w:r w:rsidRPr="00D3492D">
        <w:rPr>
          <w:rFonts w:ascii="Times New Roman" w:eastAsia="Times New Roman" w:hAnsi="Times New Roman" w:cs="Times New Roman"/>
          <w:color w:val="000000" w:themeColor="text1"/>
          <w:sz w:val="24"/>
          <w:szCs w:val="24"/>
        </w:rPr>
        <w:t xml:space="preserve"> but </w:t>
      </w:r>
      <w:r w:rsidR="00175A48">
        <w:rPr>
          <w:rFonts w:ascii="Times New Roman" w:eastAsia="Times New Roman" w:hAnsi="Times New Roman" w:cs="Times New Roman"/>
          <w:color w:val="000000" w:themeColor="text1"/>
          <w:sz w:val="24"/>
          <w:szCs w:val="24"/>
        </w:rPr>
        <w:t>was</w:t>
      </w:r>
      <w:r w:rsidRPr="00D3492D">
        <w:rPr>
          <w:rFonts w:ascii="Times New Roman" w:eastAsia="Times New Roman" w:hAnsi="Times New Roman" w:cs="Times New Roman"/>
          <w:color w:val="000000" w:themeColor="text1"/>
          <w:sz w:val="24"/>
          <w:szCs w:val="24"/>
        </w:rPr>
        <w:t xml:space="preserve"> within 3 days. Severe local adverse events were </w:t>
      </w:r>
      <w:r w:rsidR="00400116">
        <w:rPr>
          <w:rFonts w:ascii="Times New Roman" w:eastAsia="Times New Roman" w:hAnsi="Times New Roman" w:cs="Times New Roman"/>
          <w:color w:val="000000" w:themeColor="text1"/>
          <w:sz w:val="24"/>
          <w:szCs w:val="24"/>
        </w:rPr>
        <w:lastRenderedPageBreak/>
        <w:t xml:space="preserve">uncommon </w:t>
      </w:r>
      <w:r w:rsidRPr="00D3492D">
        <w:rPr>
          <w:rFonts w:ascii="Times New Roman" w:eastAsia="Times New Roman" w:hAnsi="Times New Roman" w:cs="Times New Roman"/>
          <w:color w:val="000000" w:themeColor="text1"/>
          <w:sz w:val="24"/>
          <w:szCs w:val="24"/>
        </w:rPr>
        <w:t xml:space="preserve">but </w:t>
      </w:r>
      <w:r w:rsidR="00400116">
        <w:rPr>
          <w:rFonts w:ascii="Times New Roman" w:eastAsia="Times New Roman" w:hAnsi="Times New Roman" w:cs="Times New Roman"/>
          <w:color w:val="000000" w:themeColor="text1"/>
          <w:sz w:val="24"/>
          <w:szCs w:val="24"/>
        </w:rPr>
        <w:t>were reported</w:t>
      </w:r>
      <w:r w:rsidRPr="00D3492D">
        <w:rPr>
          <w:rFonts w:ascii="Times New Roman" w:eastAsia="Times New Roman" w:hAnsi="Times New Roman" w:cs="Times New Roman"/>
          <w:color w:val="000000" w:themeColor="text1"/>
          <w:sz w:val="24"/>
          <w:szCs w:val="24"/>
        </w:rPr>
        <w:t xml:space="preserve"> more </w:t>
      </w:r>
      <w:r w:rsidR="00400116">
        <w:rPr>
          <w:rFonts w:ascii="Times New Roman" w:eastAsia="Times New Roman" w:hAnsi="Times New Roman" w:cs="Times New Roman"/>
          <w:color w:val="000000" w:themeColor="text1"/>
          <w:sz w:val="24"/>
          <w:szCs w:val="24"/>
        </w:rPr>
        <w:t>after dose two</w:t>
      </w:r>
      <w:r w:rsidRPr="00D3492D">
        <w:rPr>
          <w:rFonts w:ascii="Times New Roman" w:eastAsia="Times New Roman" w:hAnsi="Times New Roman" w:cs="Times New Roman"/>
          <w:color w:val="000000" w:themeColor="text1"/>
          <w:sz w:val="24"/>
          <w:szCs w:val="24"/>
        </w:rPr>
        <w:t xml:space="preserve"> in vaccine </w:t>
      </w:r>
      <w:r w:rsidR="00400116">
        <w:rPr>
          <w:rFonts w:ascii="Times New Roman" w:eastAsia="Times New Roman" w:hAnsi="Times New Roman" w:cs="Times New Roman"/>
          <w:color w:val="000000" w:themeColor="text1"/>
          <w:sz w:val="24"/>
          <w:szCs w:val="24"/>
        </w:rPr>
        <w:t>recipients compared to</w:t>
      </w:r>
      <w:r w:rsidRPr="00D3492D">
        <w:rPr>
          <w:rFonts w:ascii="Times New Roman" w:eastAsia="Times New Roman" w:hAnsi="Times New Roman" w:cs="Times New Roman"/>
          <w:color w:val="000000" w:themeColor="text1"/>
          <w:sz w:val="24"/>
          <w:szCs w:val="24"/>
        </w:rPr>
        <w:t xml:space="preserve"> placebo (4% vs. 1%). Similarly, </w:t>
      </w:r>
      <w:r w:rsidR="00400116">
        <w:rPr>
          <w:rFonts w:ascii="Times New Roman" w:eastAsia="Times New Roman" w:hAnsi="Times New Roman" w:cs="Times New Roman"/>
          <w:color w:val="000000" w:themeColor="text1"/>
          <w:sz w:val="24"/>
          <w:szCs w:val="24"/>
        </w:rPr>
        <w:t>reported systemic symptoms were more common with</w:t>
      </w:r>
      <w:r w:rsidRPr="00D3492D">
        <w:rPr>
          <w:rFonts w:ascii="Times New Roman" w:eastAsia="Times New Roman" w:hAnsi="Times New Roman" w:cs="Times New Roman"/>
          <w:color w:val="000000" w:themeColor="text1"/>
          <w:sz w:val="24"/>
          <w:szCs w:val="24"/>
          <w:shd w:val="clear" w:color="auto" w:fill="FFFFFF"/>
        </w:rPr>
        <w:t> </w:t>
      </w:r>
      <w:r w:rsidRPr="00D3492D">
        <w:rPr>
          <w:rFonts w:ascii="Times New Roman" w:eastAsia="Times New Roman" w:hAnsi="Times New Roman" w:cs="Times New Roman"/>
          <w:color w:val="000000" w:themeColor="text1"/>
          <w:sz w:val="24"/>
          <w:szCs w:val="24"/>
        </w:rPr>
        <w:t xml:space="preserve">NVX-CoV2373 </w:t>
      </w:r>
      <w:r w:rsidR="00400116">
        <w:rPr>
          <w:rFonts w:ascii="Times New Roman" w:eastAsia="Times New Roman" w:hAnsi="Times New Roman" w:cs="Times New Roman"/>
          <w:color w:val="000000" w:themeColor="text1"/>
          <w:sz w:val="24"/>
          <w:szCs w:val="24"/>
        </w:rPr>
        <w:t>compared to</w:t>
      </w:r>
      <w:r w:rsidRPr="00D3492D">
        <w:rPr>
          <w:rFonts w:ascii="Times New Roman" w:eastAsia="Times New Roman" w:hAnsi="Times New Roman" w:cs="Times New Roman"/>
          <w:color w:val="000000" w:themeColor="text1"/>
          <w:sz w:val="24"/>
          <w:szCs w:val="24"/>
        </w:rPr>
        <w:t xml:space="preserve"> placebo</w:t>
      </w:r>
      <w:r w:rsidR="00400116">
        <w:rPr>
          <w:rFonts w:ascii="Times New Roman" w:eastAsia="Times New Roman" w:hAnsi="Times New Roman" w:cs="Times New Roman"/>
          <w:color w:val="000000" w:themeColor="text1"/>
          <w:sz w:val="24"/>
          <w:szCs w:val="24"/>
        </w:rPr>
        <w:t>. H</w:t>
      </w:r>
      <w:r w:rsidRPr="00D3492D">
        <w:rPr>
          <w:rFonts w:ascii="Times New Roman" w:eastAsia="Times New Roman" w:hAnsi="Times New Roman" w:cs="Times New Roman"/>
          <w:color w:val="000000" w:themeColor="text1"/>
          <w:sz w:val="24"/>
          <w:szCs w:val="24"/>
        </w:rPr>
        <w:t>eadache, muscle pain and fatigue</w:t>
      </w:r>
      <w:r w:rsidR="00400116">
        <w:rPr>
          <w:rFonts w:ascii="Times New Roman" w:eastAsia="Times New Roman" w:hAnsi="Times New Roman" w:cs="Times New Roman"/>
          <w:color w:val="000000" w:themeColor="text1"/>
          <w:sz w:val="24"/>
          <w:szCs w:val="24"/>
        </w:rPr>
        <w:t xml:space="preserve"> were the most frequent, </w:t>
      </w:r>
      <w:r w:rsidRPr="00D3492D">
        <w:rPr>
          <w:rFonts w:ascii="Times New Roman" w:eastAsia="Times New Roman" w:hAnsi="Times New Roman" w:cs="Times New Roman"/>
          <w:color w:val="000000" w:themeColor="text1"/>
          <w:sz w:val="24"/>
          <w:szCs w:val="24"/>
        </w:rPr>
        <w:t>lasting slightly longer after</w:t>
      </w:r>
      <w:r w:rsidR="00400116">
        <w:rPr>
          <w:rFonts w:ascii="Times New Roman" w:eastAsia="Times New Roman" w:hAnsi="Times New Roman" w:cs="Times New Roman"/>
          <w:color w:val="000000" w:themeColor="text1"/>
          <w:sz w:val="24"/>
          <w:szCs w:val="24"/>
        </w:rPr>
        <w:t xml:space="preserve"> dose two</w:t>
      </w:r>
      <w:r w:rsidRPr="00D3492D">
        <w:rPr>
          <w:rFonts w:ascii="Times New Roman" w:eastAsia="Times New Roman" w:hAnsi="Times New Roman" w:cs="Times New Roman"/>
          <w:color w:val="000000" w:themeColor="text1"/>
          <w:sz w:val="24"/>
          <w:szCs w:val="24"/>
        </w:rPr>
        <w:t xml:space="preserve">. There were no differences in reactogenicity found between the HIV-negative and HIV-positive group, although the latter sample size was small. Symptomatic Covid-19 </w:t>
      </w:r>
      <w:r w:rsidR="00400116">
        <w:rPr>
          <w:rFonts w:ascii="Times New Roman" w:eastAsia="Times New Roman" w:hAnsi="Times New Roman" w:cs="Times New Roman"/>
          <w:color w:val="000000" w:themeColor="text1"/>
          <w:sz w:val="24"/>
          <w:szCs w:val="24"/>
        </w:rPr>
        <w:t xml:space="preserve">infections occurred </w:t>
      </w:r>
      <w:r w:rsidRPr="00D3492D">
        <w:rPr>
          <w:rFonts w:ascii="Times New Roman" w:eastAsia="Times New Roman" w:hAnsi="Times New Roman" w:cs="Times New Roman"/>
          <w:color w:val="000000" w:themeColor="text1"/>
          <w:sz w:val="24"/>
          <w:szCs w:val="24"/>
        </w:rPr>
        <w:t xml:space="preserve">in 15 </w:t>
      </w:r>
      <w:r w:rsidR="00400116">
        <w:rPr>
          <w:rFonts w:ascii="Times New Roman" w:eastAsia="Times New Roman" w:hAnsi="Times New Roman" w:cs="Times New Roman"/>
          <w:color w:val="000000" w:themeColor="text1"/>
          <w:sz w:val="24"/>
          <w:szCs w:val="24"/>
        </w:rPr>
        <w:t>subjects who were vaccinated v</w:t>
      </w:r>
      <w:r w:rsidRPr="00D3492D">
        <w:rPr>
          <w:rFonts w:ascii="Times New Roman" w:eastAsia="Times New Roman" w:hAnsi="Times New Roman" w:cs="Times New Roman"/>
          <w:color w:val="000000" w:themeColor="text1"/>
          <w:sz w:val="24"/>
          <w:szCs w:val="24"/>
        </w:rPr>
        <w:t xml:space="preserve">ersus 29 participants </w:t>
      </w:r>
      <w:r w:rsidR="00400116">
        <w:rPr>
          <w:rFonts w:ascii="Times New Roman" w:eastAsia="Times New Roman" w:hAnsi="Times New Roman" w:cs="Times New Roman"/>
          <w:color w:val="000000" w:themeColor="text1"/>
          <w:sz w:val="24"/>
          <w:szCs w:val="24"/>
        </w:rPr>
        <w:t xml:space="preserve">given </w:t>
      </w:r>
      <w:r w:rsidRPr="00D3492D">
        <w:rPr>
          <w:rFonts w:ascii="Times New Roman" w:eastAsia="Times New Roman" w:hAnsi="Times New Roman" w:cs="Times New Roman"/>
          <w:color w:val="000000" w:themeColor="text1"/>
          <w:sz w:val="24"/>
          <w:szCs w:val="24"/>
        </w:rPr>
        <w:t>placebo</w:t>
      </w:r>
      <w:r w:rsidR="00400116">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corresponding to a vaccine efficacy of 49.4%</w:t>
      </w:r>
      <w:r w:rsidR="00400116">
        <w:rPr>
          <w:rFonts w:ascii="Times New Roman" w:eastAsia="Times New Roman" w:hAnsi="Times New Roman" w:cs="Times New Roman"/>
          <w:color w:val="000000" w:themeColor="text1"/>
          <w:sz w:val="24"/>
          <w:szCs w:val="24"/>
        </w:rPr>
        <w:t>. B.1.351 variant was confirmed</w:t>
      </w:r>
      <w:r w:rsidRPr="00D3492D">
        <w:rPr>
          <w:rFonts w:ascii="Times New Roman" w:eastAsia="Times New Roman" w:hAnsi="Times New Roman" w:cs="Times New Roman"/>
          <w:color w:val="000000" w:themeColor="text1"/>
          <w:sz w:val="24"/>
          <w:szCs w:val="24"/>
        </w:rPr>
        <w:t xml:space="preserve"> in 38 (93%) of the 41 samples sent for whole-genome sequencing. Post hoc analysis identified a vaccine efficacy of 43.0% against B.1.351 variant</w:t>
      </w:r>
      <w:r w:rsidR="002759DD">
        <w:rPr>
          <w:rFonts w:ascii="Times New Roman" w:eastAsia="Times New Roman" w:hAnsi="Times New Roman" w:cs="Times New Roman"/>
          <w:color w:val="000000" w:themeColor="text1"/>
          <w:sz w:val="24"/>
          <w:szCs w:val="24"/>
        </w:rPr>
        <w:t xml:space="preserve"> [9]</w:t>
      </w:r>
      <w:r w:rsidRPr="00D3492D">
        <w:rPr>
          <w:rFonts w:ascii="Times New Roman" w:eastAsia="Times New Roman" w:hAnsi="Times New Roman" w:cs="Times New Roman"/>
          <w:color w:val="000000" w:themeColor="text1"/>
          <w:sz w:val="24"/>
          <w:szCs w:val="24"/>
        </w:rPr>
        <w:t>. </w:t>
      </w:r>
    </w:p>
    <w:p w14:paraId="496D50B9" w14:textId="5776B4AE" w:rsidR="003A0C59"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w:t>
      </w:r>
    </w:p>
    <w:p w14:paraId="7FFE62BB"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5E58E19E" w14:textId="40541F98" w:rsidR="003A0C59" w:rsidRPr="00D3492D" w:rsidRDefault="003A0C59"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Phase 3 Trial</w:t>
      </w:r>
    </w:p>
    <w:p w14:paraId="396705BE" w14:textId="77777777" w:rsidR="003A0C59" w:rsidRPr="00D3492D" w:rsidRDefault="003A0C5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85354FC" w14:textId="7550FAC9" w:rsidR="00576ABB" w:rsidRPr="00D3492D" w:rsidRDefault="00400116" w:rsidP="008C50F7">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phase 3 trial was carried out in 33 locations</w:t>
      </w:r>
      <w:r w:rsidR="00576ABB" w:rsidRPr="00D3492D">
        <w:rPr>
          <w:rFonts w:ascii="Times New Roman" w:eastAsia="Times New Roman" w:hAnsi="Times New Roman" w:cs="Times New Roman"/>
          <w:color w:val="000000" w:themeColor="text1"/>
          <w:sz w:val="24"/>
          <w:szCs w:val="24"/>
        </w:rPr>
        <w:t xml:space="preserve"> in the United Kingdom with 14,039 participants aged between 18 and 84 years randomised between 28th September 2020 and 29th November 2020. There were 27.9% participants </w:t>
      </w:r>
      <w:r>
        <w:rPr>
          <w:rFonts w:ascii="Times New Roman" w:eastAsia="Times New Roman" w:hAnsi="Times New Roman" w:cs="Times New Roman"/>
          <w:color w:val="000000" w:themeColor="text1"/>
          <w:sz w:val="24"/>
          <w:szCs w:val="24"/>
        </w:rPr>
        <w:t>aged</w:t>
      </w:r>
      <w:r w:rsidR="00576ABB" w:rsidRPr="00D3492D">
        <w:rPr>
          <w:rFonts w:ascii="Times New Roman" w:eastAsia="Times New Roman" w:hAnsi="Times New Roman" w:cs="Times New Roman"/>
          <w:color w:val="000000" w:themeColor="text1"/>
          <w:sz w:val="24"/>
          <w:szCs w:val="24"/>
        </w:rPr>
        <w:t xml:space="preserve"> 65 years or o</w:t>
      </w:r>
      <w:r>
        <w:rPr>
          <w:rFonts w:ascii="Times New Roman" w:eastAsia="Times New Roman" w:hAnsi="Times New Roman" w:cs="Times New Roman"/>
          <w:color w:val="000000" w:themeColor="text1"/>
          <w:sz w:val="24"/>
          <w:szCs w:val="24"/>
        </w:rPr>
        <w:t>lder, while 44.6% had coexisting</w:t>
      </w:r>
      <w:r w:rsidR="00576ABB" w:rsidRPr="00D3492D">
        <w:rPr>
          <w:rFonts w:ascii="Times New Roman" w:eastAsia="Times New Roman" w:hAnsi="Times New Roman" w:cs="Times New Roman"/>
          <w:color w:val="000000" w:themeColor="text1"/>
          <w:sz w:val="24"/>
          <w:szCs w:val="24"/>
        </w:rPr>
        <w:t xml:space="preserve"> illnesses. Similar t</w:t>
      </w:r>
      <w:r>
        <w:rPr>
          <w:rFonts w:ascii="Times New Roman" w:eastAsia="Times New Roman" w:hAnsi="Times New Roman" w:cs="Times New Roman"/>
          <w:color w:val="000000" w:themeColor="text1"/>
          <w:sz w:val="24"/>
          <w:szCs w:val="24"/>
        </w:rPr>
        <w:t xml:space="preserve">o the phase 2 trials, </w:t>
      </w:r>
      <w:r w:rsidR="00576ABB" w:rsidRPr="00D3492D">
        <w:rPr>
          <w:rFonts w:ascii="Times New Roman" w:eastAsia="Times New Roman" w:hAnsi="Times New Roman" w:cs="Times New Roman"/>
          <w:color w:val="000000" w:themeColor="text1"/>
          <w:sz w:val="24"/>
          <w:szCs w:val="24"/>
        </w:rPr>
        <w:t>local adverse events</w:t>
      </w:r>
      <w:r>
        <w:rPr>
          <w:rFonts w:ascii="Times New Roman" w:eastAsia="Times New Roman" w:hAnsi="Times New Roman" w:cs="Times New Roman"/>
          <w:color w:val="000000" w:themeColor="text1"/>
          <w:sz w:val="24"/>
          <w:szCs w:val="24"/>
        </w:rPr>
        <w:t xml:space="preserve"> occurred more </w:t>
      </w:r>
      <w:r w:rsidR="00576ABB" w:rsidRPr="00D3492D">
        <w:rPr>
          <w:rFonts w:ascii="Times New Roman" w:eastAsia="Times New Roman" w:hAnsi="Times New Roman" w:cs="Times New Roman"/>
          <w:color w:val="000000" w:themeColor="text1"/>
          <w:sz w:val="24"/>
          <w:szCs w:val="24"/>
        </w:rPr>
        <w:t xml:space="preserve">in the vaccine group and were more commonly reported after the second dose compared to the first (79.6% vs. 57.6%). The most </w:t>
      </w:r>
      <w:r>
        <w:rPr>
          <w:rFonts w:ascii="Times New Roman" w:eastAsia="Times New Roman" w:hAnsi="Times New Roman" w:cs="Times New Roman"/>
          <w:color w:val="000000" w:themeColor="text1"/>
          <w:sz w:val="24"/>
          <w:szCs w:val="24"/>
        </w:rPr>
        <w:t>frequent</w:t>
      </w:r>
      <w:r w:rsidR="00576ABB" w:rsidRPr="00D3492D">
        <w:rPr>
          <w:rFonts w:ascii="Times New Roman" w:eastAsia="Times New Roman" w:hAnsi="Times New Roman" w:cs="Times New Roman"/>
          <w:color w:val="000000" w:themeColor="text1"/>
          <w:sz w:val="24"/>
          <w:szCs w:val="24"/>
        </w:rPr>
        <w:t xml:space="preserve"> local adverse events were injection-site pain and tenderness, which were mostly mild to moderate severity and short-lived</w:t>
      </w:r>
      <w:r>
        <w:rPr>
          <w:rFonts w:ascii="Times New Roman" w:eastAsia="Times New Roman" w:hAnsi="Times New Roman" w:cs="Times New Roman"/>
          <w:color w:val="000000" w:themeColor="text1"/>
          <w:sz w:val="24"/>
          <w:szCs w:val="24"/>
        </w:rPr>
        <w:t xml:space="preserve"> (&lt; 3 days). There were more reported l</w:t>
      </w:r>
      <w:r w:rsidR="00576ABB" w:rsidRPr="00D3492D">
        <w:rPr>
          <w:rFonts w:ascii="Times New Roman" w:eastAsia="Times New Roman" w:hAnsi="Times New Roman" w:cs="Times New Roman"/>
          <w:color w:val="000000" w:themeColor="text1"/>
          <w:sz w:val="24"/>
          <w:szCs w:val="24"/>
        </w:rPr>
        <w:t xml:space="preserve">ocal adverse events </w:t>
      </w:r>
      <w:r>
        <w:rPr>
          <w:rFonts w:ascii="Times New Roman" w:eastAsia="Times New Roman" w:hAnsi="Times New Roman" w:cs="Times New Roman"/>
          <w:color w:val="000000" w:themeColor="text1"/>
          <w:sz w:val="24"/>
          <w:szCs w:val="24"/>
        </w:rPr>
        <w:t xml:space="preserve">in the younger </w:t>
      </w:r>
      <w:r w:rsidR="00576ABB" w:rsidRPr="00D3492D">
        <w:rPr>
          <w:rFonts w:ascii="Times New Roman" w:eastAsia="Times New Roman" w:hAnsi="Times New Roman" w:cs="Times New Roman"/>
          <w:color w:val="000000" w:themeColor="text1"/>
          <w:sz w:val="24"/>
          <w:szCs w:val="24"/>
        </w:rPr>
        <w:t xml:space="preserve">compared to the older </w:t>
      </w:r>
      <w:r>
        <w:rPr>
          <w:rFonts w:ascii="Times New Roman" w:eastAsia="Times New Roman" w:hAnsi="Times New Roman" w:cs="Times New Roman"/>
          <w:color w:val="000000" w:themeColor="text1"/>
          <w:sz w:val="24"/>
          <w:szCs w:val="24"/>
        </w:rPr>
        <w:t>participants</w:t>
      </w:r>
      <w:r w:rsidR="00576ABB" w:rsidRPr="00D3492D">
        <w:rPr>
          <w:rFonts w:ascii="Times New Roman" w:eastAsia="Times New Roman" w:hAnsi="Times New Roman" w:cs="Times New Roman"/>
          <w:color w:val="000000" w:themeColor="text1"/>
          <w:sz w:val="24"/>
          <w:szCs w:val="24"/>
        </w:rPr>
        <w:t xml:space="preserve"> (65 years and above).</w:t>
      </w:r>
      <w:r>
        <w:rPr>
          <w:rFonts w:ascii="Times New Roman" w:eastAsia="Times New Roman" w:hAnsi="Times New Roman" w:cs="Times New Roman"/>
          <w:color w:val="000000" w:themeColor="text1"/>
          <w:sz w:val="24"/>
          <w:szCs w:val="24"/>
        </w:rPr>
        <w:t xml:space="preserve"> The reported sy</w:t>
      </w:r>
      <w:r w:rsidR="00576ABB" w:rsidRPr="00D3492D">
        <w:rPr>
          <w:rFonts w:ascii="Times New Roman" w:eastAsia="Times New Roman" w:hAnsi="Times New Roman" w:cs="Times New Roman"/>
          <w:color w:val="000000" w:themeColor="text1"/>
          <w:sz w:val="24"/>
          <w:szCs w:val="24"/>
        </w:rPr>
        <w:t xml:space="preserve">stemic adverse events were </w:t>
      </w:r>
      <w:r>
        <w:rPr>
          <w:rFonts w:ascii="Times New Roman" w:eastAsia="Times New Roman" w:hAnsi="Times New Roman" w:cs="Times New Roman"/>
          <w:color w:val="000000" w:themeColor="text1"/>
          <w:sz w:val="24"/>
          <w:szCs w:val="24"/>
        </w:rPr>
        <w:t>higher</w:t>
      </w:r>
      <w:r w:rsidR="00576ABB" w:rsidRPr="00D3492D">
        <w:rPr>
          <w:rFonts w:ascii="Times New Roman" w:eastAsia="Times New Roman" w:hAnsi="Times New Roman" w:cs="Times New Roman"/>
          <w:color w:val="000000" w:themeColor="text1"/>
          <w:sz w:val="24"/>
          <w:szCs w:val="24"/>
        </w:rPr>
        <w:t xml:space="preserve"> in vaccine</w:t>
      </w:r>
      <w:r>
        <w:rPr>
          <w:rFonts w:ascii="Times New Roman" w:eastAsia="Times New Roman" w:hAnsi="Times New Roman" w:cs="Times New Roman"/>
          <w:color w:val="000000" w:themeColor="text1"/>
          <w:sz w:val="24"/>
          <w:szCs w:val="24"/>
        </w:rPr>
        <w:t xml:space="preserve"> recipients compared to</w:t>
      </w:r>
      <w:r w:rsidR="00576ABB" w:rsidRPr="00D3492D">
        <w:rPr>
          <w:rFonts w:ascii="Times New Roman" w:eastAsia="Times New Roman" w:hAnsi="Times New Roman" w:cs="Times New Roman"/>
          <w:color w:val="000000" w:themeColor="text1"/>
          <w:sz w:val="24"/>
          <w:szCs w:val="24"/>
        </w:rPr>
        <w:t xml:space="preserve"> placebo group after </w:t>
      </w:r>
      <w:r>
        <w:rPr>
          <w:rFonts w:ascii="Times New Roman" w:eastAsia="Times New Roman" w:hAnsi="Times New Roman" w:cs="Times New Roman"/>
          <w:color w:val="000000" w:themeColor="text1"/>
          <w:sz w:val="24"/>
          <w:szCs w:val="24"/>
        </w:rPr>
        <w:t>dose one</w:t>
      </w:r>
      <w:r w:rsidR="00576ABB" w:rsidRPr="00D3492D">
        <w:rPr>
          <w:rFonts w:ascii="Times New Roman" w:eastAsia="Times New Roman" w:hAnsi="Times New Roman" w:cs="Times New Roman"/>
          <w:color w:val="000000" w:themeColor="text1"/>
          <w:sz w:val="24"/>
          <w:szCs w:val="24"/>
        </w:rPr>
        <w:t xml:space="preserve"> (45.7% vs. 36.3%) and </w:t>
      </w:r>
      <w:r>
        <w:rPr>
          <w:rFonts w:ascii="Times New Roman" w:eastAsia="Times New Roman" w:hAnsi="Times New Roman" w:cs="Times New Roman"/>
          <w:color w:val="000000" w:themeColor="text1"/>
          <w:sz w:val="24"/>
          <w:szCs w:val="24"/>
        </w:rPr>
        <w:t>dose two</w:t>
      </w:r>
      <w:r w:rsidR="00576ABB" w:rsidRPr="00D3492D">
        <w:rPr>
          <w:rFonts w:ascii="Times New Roman" w:eastAsia="Times New Roman" w:hAnsi="Times New Roman" w:cs="Times New Roman"/>
          <w:color w:val="000000" w:themeColor="text1"/>
          <w:sz w:val="24"/>
          <w:szCs w:val="24"/>
        </w:rPr>
        <w:t xml:space="preserve"> (64.0% vs 30.0%). The most </w:t>
      </w:r>
      <w:r>
        <w:rPr>
          <w:rFonts w:ascii="Times New Roman" w:eastAsia="Times New Roman" w:hAnsi="Times New Roman" w:cs="Times New Roman"/>
          <w:color w:val="000000" w:themeColor="text1"/>
          <w:sz w:val="24"/>
          <w:szCs w:val="24"/>
        </w:rPr>
        <w:t>frequent</w:t>
      </w:r>
      <w:r w:rsidR="00576ABB" w:rsidRPr="00D3492D">
        <w:rPr>
          <w:rFonts w:ascii="Times New Roman" w:eastAsia="Times New Roman" w:hAnsi="Times New Roman" w:cs="Times New Roman"/>
          <w:color w:val="000000" w:themeColor="text1"/>
          <w:sz w:val="24"/>
          <w:szCs w:val="24"/>
        </w:rPr>
        <w:t xml:space="preserve"> solicited systemic </w:t>
      </w:r>
      <w:r>
        <w:rPr>
          <w:rFonts w:ascii="Times New Roman" w:eastAsia="Times New Roman" w:hAnsi="Times New Roman" w:cs="Times New Roman"/>
          <w:color w:val="000000" w:themeColor="text1"/>
          <w:sz w:val="24"/>
          <w:szCs w:val="24"/>
        </w:rPr>
        <w:t>symptoms</w:t>
      </w:r>
      <w:r w:rsidR="00576ABB" w:rsidRPr="00D3492D">
        <w:rPr>
          <w:rFonts w:ascii="Times New Roman" w:eastAsia="Times New Roman" w:hAnsi="Times New Roman" w:cs="Times New Roman"/>
          <w:color w:val="000000" w:themeColor="text1"/>
          <w:sz w:val="24"/>
          <w:szCs w:val="24"/>
        </w:rPr>
        <w:t xml:space="preserve"> were headache, muscle pain and fatigue, </w:t>
      </w:r>
      <w:r>
        <w:rPr>
          <w:rFonts w:ascii="Times New Roman" w:eastAsia="Times New Roman" w:hAnsi="Times New Roman" w:cs="Times New Roman"/>
          <w:color w:val="000000" w:themeColor="text1"/>
          <w:sz w:val="24"/>
          <w:szCs w:val="24"/>
        </w:rPr>
        <w:t>which were mostly grade one or two, and lasted</w:t>
      </w:r>
      <w:r w:rsidR="00576ABB" w:rsidRPr="00D3492D">
        <w:rPr>
          <w:rFonts w:ascii="Times New Roman" w:eastAsia="Times New Roman" w:hAnsi="Times New Roman" w:cs="Times New Roman"/>
          <w:color w:val="000000" w:themeColor="text1"/>
          <w:sz w:val="24"/>
          <w:szCs w:val="24"/>
        </w:rPr>
        <w:t xml:space="preserve"> less than 2 days. Systemic adverse events are more commonly reported in younger vaccine recipients, with Grade </w:t>
      </w:r>
      <w:r>
        <w:rPr>
          <w:rFonts w:ascii="Times New Roman" w:eastAsia="Times New Roman" w:hAnsi="Times New Roman" w:cs="Times New Roman"/>
          <w:color w:val="000000" w:themeColor="text1"/>
          <w:sz w:val="24"/>
          <w:szCs w:val="24"/>
        </w:rPr>
        <w:t>4</w:t>
      </w:r>
      <w:r w:rsidR="00576ABB" w:rsidRPr="00D3492D">
        <w:rPr>
          <w:rFonts w:ascii="Times New Roman" w:eastAsia="Times New Roman" w:hAnsi="Times New Roman" w:cs="Times New Roman"/>
          <w:color w:val="000000" w:themeColor="text1"/>
          <w:sz w:val="24"/>
          <w:szCs w:val="24"/>
        </w:rPr>
        <w:t xml:space="preserve"> syste</w:t>
      </w:r>
      <w:r w:rsidR="00BA2AEC">
        <w:rPr>
          <w:rFonts w:ascii="Times New Roman" w:eastAsia="Times New Roman" w:hAnsi="Times New Roman" w:cs="Times New Roman"/>
          <w:color w:val="000000" w:themeColor="text1"/>
          <w:sz w:val="24"/>
          <w:szCs w:val="24"/>
        </w:rPr>
        <w:t>mic adverse events reported in three participants from the</w:t>
      </w:r>
      <w:r w:rsidR="00576ABB" w:rsidRPr="00D3492D">
        <w:rPr>
          <w:rFonts w:ascii="Times New Roman" w:eastAsia="Times New Roman" w:hAnsi="Times New Roman" w:cs="Times New Roman"/>
          <w:color w:val="000000" w:themeColor="text1"/>
          <w:sz w:val="24"/>
          <w:szCs w:val="24"/>
        </w:rPr>
        <w:t xml:space="preserve"> vaccine </w:t>
      </w:r>
      <w:r w:rsidR="00BA2AEC">
        <w:rPr>
          <w:rFonts w:ascii="Times New Roman" w:eastAsia="Times New Roman" w:hAnsi="Times New Roman" w:cs="Times New Roman"/>
          <w:color w:val="000000" w:themeColor="text1"/>
          <w:sz w:val="24"/>
          <w:szCs w:val="24"/>
        </w:rPr>
        <w:t>group</w:t>
      </w:r>
      <w:r w:rsidR="00576ABB" w:rsidRPr="00D3492D">
        <w:rPr>
          <w:rFonts w:ascii="Times New Roman" w:eastAsia="Times New Roman" w:hAnsi="Times New Roman" w:cs="Times New Roman"/>
          <w:color w:val="000000" w:themeColor="text1"/>
          <w:sz w:val="24"/>
          <w:szCs w:val="24"/>
        </w:rPr>
        <w:t>. Two participants reported grade 4 fever (</w:t>
      </w:r>
      <w:r w:rsidR="00BA2AEC">
        <w:rPr>
          <w:rFonts w:ascii="Times New Roman" w:eastAsia="Times New Roman" w:hAnsi="Times New Roman" w:cs="Times New Roman"/>
          <w:color w:val="000000" w:themeColor="text1"/>
          <w:sz w:val="24"/>
          <w:szCs w:val="24"/>
        </w:rPr>
        <w:t>above 40 degrees centigrade</w:t>
      </w:r>
      <w:r w:rsidR="00576ABB" w:rsidRPr="00D3492D">
        <w:rPr>
          <w:rFonts w:ascii="Times New Roman" w:eastAsia="Times New Roman" w:hAnsi="Times New Roman" w:cs="Times New Roman"/>
          <w:color w:val="000000" w:themeColor="text1"/>
          <w:sz w:val="24"/>
          <w:szCs w:val="24"/>
        </w:rPr>
        <w:t xml:space="preserve">); one after </w:t>
      </w:r>
      <w:r w:rsidR="00BA2AEC">
        <w:rPr>
          <w:rFonts w:ascii="Times New Roman" w:eastAsia="Times New Roman" w:hAnsi="Times New Roman" w:cs="Times New Roman"/>
          <w:color w:val="000000" w:themeColor="text1"/>
          <w:sz w:val="24"/>
          <w:szCs w:val="24"/>
        </w:rPr>
        <w:t>dose one, with another after dose two</w:t>
      </w:r>
      <w:r w:rsidR="00576ABB" w:rsidRPr="00D3492D">
        <w:rPr>
          <w:rFonts w:ascii="Times New Roman" w:eastAsia="Times New Roman" w:hAnsi="Times New Roman" w:cs="Times New Roman"/>
          <w:color w:val="000000" w:themeColor="text1"/>
          <w:sz w:val="24"/>
          <w:szCs w:val="24"/>
        </w:rPr>
        <w:t xml:space="preserve">. Myocarditis was </w:t>
      </w:r>
      <w:r w:rsidR="00BA2AEC">
        <w:rPr>
          <w:rFonts w:ascii="Times New Roman" w:eastAsia="Times New Roman" w:hAnsi="Times New Roman" w:cs="Times New Roman"/>
          <w:color w:val="000000" w:themeColor="text1"/>
          <w:sz w:val="24"/>
          <w:szCs w:val="24"/>
        </w:rPr>
        <w:t>diagnosed in a vaccinated participant</w:t>
      </w:r>
      <w:r w:rsidR="00576ABB" w:rsidRPr="00D3492D">
        <w:rPr>
          <w:rFonts w:ascii="Times New Roman" w:eastAsia="Times New Roman" w:hAnsi="Times New Roman" w:cs="Times New Roman"/>
          <w:color w:val="000000" w:themeColor="text1"/>
          <w:sz w:val="24"/>
          <w:szCs w:val="24"/>
        </w:rPr>
        <w:t xml:space="preserve"> three days after </w:t>
      </w:r>
      <w:r w:rsidR="00BA2AEC">
        <w:rPr>
          <w:rFonts w:ascii="Times New Roman" w:eastAsia="Times New Roman" w:hAnsi="Times New Roman" w:cs="Times New Roman"/>
          <w:color w:val="000000" w:themeColor="text1"/>
          <w:sz w:val="24"/>
          <w:szCs w:val="24"/>
        </w:rPr>
        <w:t>dose two</w:t>
      </w:r>
      <w:r w:rsidR="00576ABB" w:rsidRPr="00D3492D">
        <w:rPr>
          <w:rFonts w:ascii="Times New Roman" w:eastAsia="Times New Roman" w:hAnsi="Times New Roman" w:cs="Times New Roman"/>
          <w:color w:val="000000" w:themeColor="text1"/>
          <w:sz w:val="24"/>
          <w:szCs w:val="24"/>
        </w:rPr>
        <w:t xml:space="preserve"> and fully recovered after 2 days of hospitalisation</w:t>
      </w:r>
      <w:r w:rsidR="002759DD">
        <w:rPr>
          <w:rFonts w:ascii="Times New Roman" w:eastAsia="Times New Roman" w:hAnsi="Times New Roman" w:cs="Times New Roman"/>
          <w:color w:val="000000" w:themeColor="text1"/>
          <w:sz w:val="24"/>
          <w:szCs w:val="24"/>
        </w:rPr>
        <w:t xml:space="preserve"> [10]</w:t>
      </w:r>
      <w:r w:rsidR="00576ABB" w:rsidRPr="00D3492D">
        <w:rPr>
          <w:rFonts w:ascii="Times New Roman" w:eastAsia="Times New Roman" w:hAnsi="Times New Roman" w:cs="Times New Roman"/>
          <w:color w:val="000000" w:themeColor="text1"/>
          <w:sz w:val="24"/>
          <w:szCs w:val="24"/>
        </w:rPr>
        <w:t>. </w:t>
      </w:r>
    </w:p>
    <w:p w14:paraId="78F5676D"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32F138B3" w14:textId="297C2C1C"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rPr>
        <w:t xml:space="preserve">Of the 14,039 participants, 10 had symptomatic Covid-19 infections at least </w:t>
      </w:r>
      <w:r w:rsidR="00BA2AEC">
        <w:rPr>
          <w:rFonts w:ascii="Times New Roman" w:eastAsia="Times New Roman" w:hAnsi="Times New Roman" w:cs="Times New Roman"/>
          <w:color w:val="000000" w:themeColor="text1"/>
          <w:sz w:val="24"/>
          <w:szCs w:val="24"/>
        </w:rPr>
        <w:t>one week</w:t>
      </w:r>
      <w:r w:rsidRPr="00D3492D">
        <w:rPr>
          <w:rFonts w:ascii="Times New Roman" w:eastAsia="Times New Roman" w:hAnsi="Times New Roman" w:cs="Times New Roman"/>
          <w:color w:val="000000" w:themeColor="text1"/>
          <w:sz w:val="24"/>
          <w:szCs w:val="24"/>
        </w:rPr>
        <w:t xml:space="preserve"> after </w:t>
      </w:r>
      <w:r w:rsidR="00BA2AEC">
        <w:rPr>
          <w:rFonts w:ascii="Times New Roman" w:eastAsia="Times New Roman" w:hAnsi="Times New Roman" w:cs="Times New Roman"/>
          <w:color w:val="000000" w:themeColor="text1"/>
          <w:sz w:val="24"/>
          <w:szCs w:val="24"/>
        </w:rPr>
        <w:t>dose two of the vaccine versus</w:t>
      </w:r>
      <w:r w:rsidRPr="00D3492D">
        <w:rPr>
          <w:rFonts w:ascii="Times New Roman" w:eastAsia="Times New Roman" w:hAnsi="Times New Roman" w:cs="Times New Roman"/>
          <w:color w:val="000000" w:themeColor="text1"/>
          <w:sz w:val="24"/>
          <w:szCs w:val="24"/>
        </w:rPr>
        <w:t xml:space="preserve"> 96 </w:t>
      </w:r>
      <w:r w:rsidR="00BA2AEC">
        <w:rPr>
          <w:rFonts w:ascii="Times New Roman" w:eastAsia="Times New Roman" w:hAnsi="Times New Roman" w:cs="Times New Roman"/>
          <w:color w:val="000000" w:themeColor="text1"/>
          <w:sz w:val="24"/>
          <w:szCs w:val="24"/>
        </w:rPr>
        <w:t>who received</w:t>
      </w:r>
      <w:r w:rsidRPr="00D3492D">
        <w:rPr>
          <w:rFonts w:ascii="Times New Roman" w:eastAsia="Times New Roman" w:hAnsi="Times New Roman" w:cs="Times New Roman"/>
          <w:color w:val="000000" w:themeColor="text1"/>
          <w:sz w:val="24"/>
          <w:szCs w:val="24"/>
        </w:rPr>
        <w:t xml:space="preserve"> placebo, equating to an efficacy rate of 89.7%. The 10 participants from the vaccine group wer</w:t>
      </w:r>
      <w:r w:rsidR="00BA2AEC">
        <w:rPr>
          <w:rFonts w:ascii="Times New Roman" w:eastAsia="Times New Roman" w:hAnsi="Times New Roman" w:cs="Times New Roman"/>
          <w:color w:val="000000" w:themeColor="text1"/>
          <w:sz w:val="24"/>
          <w:szCs w:val="24"/>
        </w:rPr>
        <w:t>e all aged 65 years and older. Five participants had s</w:t>
      </w:r>
      <w:r w:rsidRPr="00D3492D">
        <w:rPr>
          <w:rFonts w:ascii="Times New Roman" w:eastAsia="Times New Roman" w:hAnsi="Times New Roman" w:cs="Times New Roman"/>
          <w:color w:val="000000" w:themeColor="text1"/>
          <w:sz w:val="24"/>
          <w:szCs w:val="24"/>
        </w:rPr>
        <w:t>evere Covid-19 disease</w:t>
      </w:r>
      <w:r w:rsidR="00BA2AEC">
        <w:rPr>
          <w:rFonts w:ascii="Times New Roman" w:eastAsia="Times New Roman" w:hAnsi="Times New Roman" w:cs="Times New Roman"/>
          <w:color w:val="000000" w:themeColor="text1"/>
          <w:sz w:val="24"/>
          <w:szCs w:val="24"/>
        </w:rPr>
        <w:t>, all of whom received</w:t>
      </w:r>
      <w:r w:rsidRPr="00D3492D">
        <w:rPr>
          <w:rFonts w:ascii="Times New Roman" w:eastAsia="Times New Roman" w:hAnsi="Times New Roman" w:cs="Times New Roman"/>
          <w:color w:val="000000" w:themeColor="text1"/>
          <w:sz w:val="24"/>
          <w:szCs w:val="24"/>
        </w:rPr>
        <w:t xml:space="preserve"> placebo. There were two Covid-19 deaths in this study, one from the vaccine group, and another from the placebo group. The </w:t>
      </w:r>
      <w:r w:rsidR="00BA2AEC">
        <w:rPr>
          <w:rFonts w:ascii="Times New Roman" w:eastAsia="Times New Roman" w:hAnsi="Times New Roman" w:cs="Times New Roman"/>
          <w:color w:val="000000" w:themeColor="text1"/>
          <w:sz w:val="24"/>
          <w:szCs w:val="24"/>
        </w:rPr>
        <w:t xml:space="preserve">participant who died in </w:t>
      </w:r>
      <w:r w:rsidRPr="00D3492D">
        <w:rPr>
          <w:rFonts w:ascii="Times New Roman" w:eastAsia="Times New Roman" w:hAnsi="Times New Roman" w:cs="Times New Roman"/>
          <w:color w:val="000000" w:themeColor="text1"/>
          <w:sz w:val="24"/>
          <w:szCs w:val="24"/>
        </w:rPr>
        <w:t xml:space="preserve">the vaccine group developed Covid-19 symptoms </w:t>
      </w:r>
      <w:r w:rsidR="00BA2AEC">
        <w:rPr>
          <w:rFonts w:ascii="Times New Roman" w:eastAsia="Times New Roman" w:hAnsi="Times New Roman" w:cs="Times New Roman"/>
          <w:color w:val="000000" w:themeColor="text1"/>
          <w:sz w:val="24"/>
          <w:szCs w:val="24"/>
        </w:rPr>
        <w:t>a week</w:t>
      </w:r>
      <w:r w:rsidRPr="00D3492D">
        <w:rPr>
          <w:rFonts w:ascii="Times New Roman" w:eastAsia="Times New Roman" w:hAnsi="Times New Roman" w:cs="Times New Roman"/>
          <w:color w:val="000000" w:themeColor="text1"/>
          <w:sz w:val="24"/>
          <w:szCs w:val="24"/>
        </w:rPr>
        <w:t xml:space="preserve"> after the first dose and passed away 8 days later</w:t>
      </w:r>
      <w:r w:rsidR="002759DD">
        <w:rPr>
          <w:rFonts w:ascii="Times New Roman" w:eastAsia="Times New Roman" w:hAnsi="Times New Roman" w:cs="Times New Roman"/>
          <w:color w:val="000000" w:themeColor="text1"/>
          <w:sz w:val="24"/>
          <w:szCs w:val="24"/>
        </w:rPr>
        <w:t xml:space="preserve"> [10]</w:t>
      </w:r>
      <w:r w:rsidRPr="00D3492D">
        <w:rPr>
          <w:rFonts w:ascii="Times New Roman" w:eastAsia="Times New Roman" w:hAnsi="Times New Roman" w:cs="Times New Roman"/>
          <w:color w:val="000000" w:themeColor="text1"/>
          <w:sz w:val="24"/>
          <w:szCs w:val="24"/>
        </w:rPr>
        <w:t>.</w:t>
      </w:r>
    </w:p>
    <w:p w14:paraId="4A841453"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24B8FD4" w14:textId="480C982E"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There were several limitations </w:t>
      </w:r>
      <w:r w:rsidR="003A0C59" w:rsidRPr="00D3492D">
        <w:rPr>
          <w:rFonts w:ascii="Times New Roman" w:eastAsia="Times New Roman" w:hAnsi="Times New Roman" w:cs="Times New Roman"/>
          <w:color w:val="000000" w:themeColor="text1"/>
          <w:sz w:val="24"/>
          <w:szCs w:val="24"/>
        </w:rPr>
        <w:t>to</w:t>
      </w:r>
      <w:r w:rsidRPr="00D3492D">
        <w:rPr>
          <w:rFonts w:ascii="Times New Roman" w:eastAsia="Times New Roman" w:hAnsi="Times New Roman" w:cs="Times New Roman"/>
          <w:color w:val="000000" w:themeColor="text1"/>
          <w:sz w:val="24"/>
          <w:szCs w:val="24"/>
        </w:rPr>
        <w:t xml:space="preserve"> this trial. The study was performed in the United Kingdom, with the majority (94.5%) of participants being white. It is unclear whether these efficacy findings could be extrapolated to other ethnic groups. The study also excluded pregnant ladies, those below age 18 years, people receiving immunosuppressants or those with immunodeficiency, thus further studies are required to assess the safety and efficacy of NVX-CoV2373 in these groups. The trial was also conducted when the B.1.351 (Alpha) variant was prevalent, while efficacy of this vaccine on the B.1.617.2  (Delta) variant, currently causing outbreaks in many parts of the world, would be more relevant.</w:t>
      </w:r>
    </w:p>
    <w:p w14:paraId="2637095C"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37ED410" w14:textId="06A86006" w:rsidR="006B0AF9"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rPr>
        <w:t>A subgroup study</w:t>
      </w:r>
      <w:r w:rsidR="00F52592" w:rsidRPr="00D3492D">
        <w:rPr>
          <w:rFonts w:ascii="Times New Roman" w:eastAsia="Times New Roman" w:hAnsi="Times New Roman" w:cs="Times New Roman"/>
          <w:color w:val="000000" w:themeColor="text1"/>
          <w:sz w:val="24"/>
          <w:szCs w:val="24"/>
        </w:rPr>
        <w:t xml:space="preserve"> of this phase 3 trial was performed for the first 400 participants meeting the inclusion criteria without contraindications to the influenza vaccine. After randomization to NVX-CoV2373 or placebo, the sub-study participants received an open-label influenza vaccine with their first dose. Compared to the main study, the subgroup participants were younger and had fewer comorbidities. </w:t>
      </w:r>
      <w:r w:rsidRPr="00D3492D">
        <w:rPr>
          <w:rFonts w:ascii="Times New Roman" w:eastAsia="Times New Roman" w:hAnsi="Times New Roman" w:cs="Times New Roman"/>
          <w:color w:val="000000" w:themeColor="text1"/>
          <w:sz w:val="24"/>
          <w:szCs w:val="24"/>
        </w:rPr>
        <w:t>Local reactions were more prevalent in the co-vaccinated group (70.1%</w:t>
      </w:r>
      <w:r w:rsidR="00F52592" w:rsidRPr="00D3492D">
        <w:rPr>
          <w:rFonts w:ascii="Times New Roman" w:eastAsia="Times New Roman" w:hAnsi="Times New Roman" w:cs="Times New Roman"/>
          <w:color w:val="000000" w:themeColor="text1"/>
          <w:sz w:val="24"/>
          <w:szCs w:val="24"/>
        </w:rPr>
        <w:t>), compared to</w:t>
      </w:r>
      <w:r w:rsidRPr="00D3492D">
        <w:rPr>
          <w:rFonts w:ascii="Times New Roman" w:eastAsia="Times New Roman" w:hAnsi="Times New Roman" w:cs="Times New Roman"/>
          <w:color w:val="000000" w:themeColor="text1"/>
          <w:sz w:val="24"/>
          <w:szCs w:val="24"/>
        </w:rPr>
        <w:t xml:space="preserve"> 57.6% in the NVX-CoV2373 alone group and 39.4% in the influenza vaccine </w:t>
      </w:r>
      <w:r w:rsidR="00F52592" w:rsidRPr="00D3492D">
        <w:rPr>
          <w:rFonts w:ascii="Times New Roman" w:eastAsia="Times New Roman" w:hAnsi="Times New Roman" w:cs="Times New Roman"/>
          <w:color w:val="000000" w:themeColor="text1"/>
          <w:sz w:val="24"/>
          <w:szCs w:val="24"/>
        </w:rPr>
        <w:t xml:space="preserve">(co-administered with placebo) </w:t>
      </w:r>
      <w:r w:rsidRPr="00D3492D">
        <w:rPr>
          <w:rFonts w:ascii="Times New Roman" w:eastAsia="Times New Roman" w:hAnsi="Times New Roman" w:cs="Times New Roman"/>
          <w:color w:val="000000" w:themeColor="text1"/>
          <w:sz w:val="24"/>
          <w:szCs w:val="24"/>
        </w:rPr>
        <w:t>group</w:t>
      </w:r>
      <w:r w:rsidR="00F52592" w:rsidRPr="00D3492D">
        <w:rPr>
          <w:rFonts w:ascii="Times New Roman" w:eastAsia="Times New Roman" w:hAnsi="Times New Roman" w:cs="Times New Roman"/>
          <w:color w:val="000000" w:themeColor="text1"/>
          <w:sz w:val="24"/>
          <w:szCs w:val="24"/>
        </w:rPr>
        <w:t>.</w:t>
      </w:r>
      <w:r w:rsidRPr="00D3492D">
        <w:rPr>
          <w:rFonts w:ascii="Times New Roman" w:eastAsia="Times New Roman" w:hAnsi="Times New Roman" w:cs="Times New Roman"/>
          <w:color w:val="000000" w:themeColor="text1"/>
          <w:sz w:val="24"/>
          <w:szCs w:val="24"/>
        </w:rPr>
        <w:t xml:space="preserve"> Systemic reactions were also more common in those co-vaccinated, 60.1% compared to 45.7% in the NVX-CoV2373 alone group. Commonly reported systemic reactions </w:t>
      </w:r>
      <w:r w:rsidR="00F52592" w:rsidRPr="00D3492D">
        <w:rPr>
          <w:rFonts w:ascii="Times New Roman" w:eastAsia="Times New Roman" w:hAnsi="Times New Roman" w:cs="Times New Roman"/>
          <w:color w:val="000000" w:themeColor="text1"/>
          <w:sz w:val="24"/>
          <w:szCs w:val="24"/>
        </w:rPr>
        <w:t>we</w:t>
      </w:r>
      <w:r w:rsidRPr="00D3492D">
        <w:rPr>
          <w:rFonts w:ascii="Times New Roman" w:eastAsia="Times New Roman" w:hAnsi="Times New Roman" w:cs="Times New Roman"/>
          <w:color w:val="000000" w:themeColor="text1"/>
          <w:sz w:val="24"/>
          <w:szCs w:val="24"/>
        </w:rPr>
        <w:t>re myalgia, fatigue and fever</w:t>
      </w:r>
      <w:r w:rsidR="00F52592" w:rsidRPr="00D3492D">
        <w:rPr>
          <w:rFonts w:ascii="Times New Roman" w:eastAsia="Times New Roman" w:hAnsi="Times New Roman" w:cs="Times New Roman"/>
          <w:color w:val="000000" w:themeColor="text1"/>
          <w:sz w:val="24"/>
          <w:szCs w:val="24"/>
        </w:rPr>
        <w:t>; which were</w:t>
      </w:r>
      <w:r w:rsidRPr="00D3492D">
        <w:rPr>
          <w:rFonts w:ascii="Times New Roman" w:eastAsia="Times New Roman" w:hAnsi="Times New Roman" w:cs="Times New Roman"/>
          <w:color w:val="000000" w:themeColor="text1"/>
          <w:sz w:val="24"/>
          <w:szCs w:val="24"/>
        </w:rPr>
        <w:t xml:space="preserve"> mostly mild and self-limiting. The likelihood of severe systemic reactions </w:t>
      </w:r>
      <w:r w:rsidR="00F52592" w:rsidRPr="00D3492D">
        <w:rPr>
          <w:rFonts w:ascii="Times New Roman" w:eastAsia="Times New Roman" w:hAnsi="Times New Roman" w:cs="Times New Roman"/>
          <w:color w:val="000000" w:themeColor="text1"/>
          <w:sz w:val="24"/>
          <w:szCs w:val="24"/>
        </w:rPr>
        <w:t>wa</w:t>
      </w:r>
      <w:r w:rsidRPr="00D3492D">
        <w:rPr>
          <w:rFonts w:ascii="Times New Roman" w:eastAsia="Times New Roman" w:hAnsi="Times New Roman" w:cs="Times New Roman"/>
          <w:color w:val="000000" w:themeColor="text1"/>
          <w:sz w:val="24"/>
          <w:szCs w:val="24"/>
        </w:rPr>
        <w:t>s</w:t>
      </w:r>
      <w:r w:rsidR="00F52592" w:rsidRPr="00D3492D">
        <w:rPr>
          <w:rFonts w:ascii="Times New Roman" w:eastAsia="Times New Roman" w:hAnsi="Times New Roman" w:cs="Times New Roman"/>
          <w:color w:val="000000" w:themeColor="text1"/>
          <w:sz w:val="24"/>
          <w:szCs w:val="24"/>
        </w:rPr>
        <w:t xml:space="preserve"> increased</w:t>
      </w:r>
      <w:r w:rsidRPr="00D3492D">
        <w:rPr>
          <w:rFonts w:ascii="Times New Roman" w:eastAsia="Times New Roman" w:hAnsi="Times New Roman" w:cs="Times New Roman"/>
          <w:color w:val="000000" w:themeColor="text1"/>
          <w:sz w:val="24"/>
          <w:szCs w:val="24"/>
        </w:rPr>
        <w:t xml:space="preserve"> more than two-fold in the co-vaccinated group compared to the NVX-CoV2373 alone group (2.9% vs. 1.3%).  </w:t>
      </w:r>
      <w:r w:rsidR="00F52592" w:rsidRPr="00D3492D">
        <w:rPr>
          <w:rFonts w:ascii="Times New Roman" w:eastAsia="Times New Roman" w:hAnsi="Times New Roman" w:cs="Times New Roman"/>
          <w:color w:val="000000" w:themeColor="text1"/>
          <w:sz w:val="24"/>
          <w:szCs w:val="24"/>
        </w:rPr>
        <w:t>However, t</w:t>
      </w:r>
      <w:r w:rsidRPr="00D3492D">
        <w:rPr>
          <w:rFonts w:ascii="Times New Roman" w:eastAsia="Times New Roman" w:hAnsi="Times New Roman" w:cs="Times New Roman"/>
          <w:color w:val="000000" w:themeColor="text1"/>
          <w:sz w:val="24"/>
          <w:szCs w:val="24"/>
        </w:rPr>
        <w:t>here w</w:t>
      </w:r>
      <w:r w:rsidR="00F52592" w:rsidRPr="00D3492D">
        <w:rPr>
          <w:rFonts w:ascii="Times New Roman" w:eastAsia="Times New Roman" w:hAnsi="Times New Roman" w:cs="Times New Roman"/>
          <w:color w:val="000000" w:themeColor="text1"/>
          <w:sz w:val="24"/>
          <w:szCs w:val="24"/>
        </w:rPr>
        <w:t xml:space="preserve">ere </w:t>
      </w:r>
      <w:r w:rsidRPr="00D3492D">
        <w:rPr>
          <w:rFonts w:ascii="Times New Roman" w:eastAsia="Times New Roman" w:hAnsi="Times New Roman" w:cs="Times New Roman"/>
          <w:color w:val="000000" w:themeColor="text1"/>
          <w:sz w:val="24"/>
          <w:szCs w:val="24"/>
        </w:rPr>
        <w:t>no difference</w:t>
      </w:r>
      <w:r w:rsidR="00F52592" w:rsidRPr="00D3492D">
        <w:rPr>
          <w:rFonts w:ascii="Times New Roman" w:eastAsia="Times New Roman" w:hAnsi="Times New Roman" w:cs="Times New Roman"/>
          <w:color w:val="000000" w:themeColor="text1"/>
          <w:sz w:val="24"/>
          <w:szCs w:val="24"/>
        </w:rPr>
        <w:t>s</w:t>
      </w:r>
      <w:r w:rsidRPr="00D3492D">
        <w:rPr>
          <w:rFonts w:ascii="Times New Roman" w:eastAsia="Times New Roman" w:hAnsi="Times New Roman" w:cs="Times New Roman"/>
          <w:color w:val="000000" w:themeColor="text1"/>
          <w:sz w:val="24"/>
          <w:szCs w:val="24"/>
        </w:rPr>
        <w:t xml:space="preserve"> in</w:t>
      </w:r>
      <w:r w:rsidR="00F52592" w:rsidRPr="00D3492D">
        <w:rPr>
          <w:rFonts w:ascii="Times New Roman" w:eastAsia="Times New Roman" w:hAnsi="Times New Roman" w:cs="Times New Roman"/>
          <w:color w:val="000000" w:themeColor="text1"/>
          <w:sz w:val="24"/>
          <w:szCs w:val="24"/>
        </w:rPr>
        <w:t xml:space="preserve"> the</w:t>
      </w:r>
      <w:r w:rsidRPr="00D3492D">
        <w:rPr>
          <w:rFonts w:ascii="Times New Roman" w:eastAsia="Times New Roman" w:hAnsi="Times New Roman" w:cs="Times New Roman"/>
          <w:color w:val="000000" w:themeColor="text1"/>
          <w:sz w:val="24"/>
          <w:szCs w:val="24"/>
        </w:rPr>
        <w:t xml:space="preserve"> frequency of all adverse events between the co-vaccinated group and the NVX-CoV2373 alone group (18.4% vs 17.6%). </w:t>
      </w:r>
      <w:r w:rsidR="006B0AF9" w:rsidRPr="00D3492D">
        <w:rPr>
          <w:rFonts w:ascii="Times New Roman" w:eastAsia="Times New Roman" w:hAnsi="Times New Roman" w:cs="Times New Roman"/>
          <w:color w:val="000000" w:themeColor="text1"/>
          <w:sz w:val="24"/>
          <w:szCs w:val="24"/>
        </w:rPr>
        <w:t>More importantly, t</w:t>
      </w:r>
      <w:r w:rsidRPr="00D3492D">
        <w:rPr>
          <w:rFonts w:ascii="Times New Roman" w:eastAsia="Times New Roman" w:hAnsi="Times New Roman" w:cs="Times New Roman"/>
          <w:color w:val="000000" w:themeColor="text1"/>
          <w:sz w:val="24"/>
          <w:szCs w:val="24"/>
        </w:rPr>
        <w:t>he efficacy of NVX-CoV2373 was not affected by the co-administration with seasonal influenza vaccine</w:t>
      </w:r>
      <w:r w:rsidR="006B0AF9" w:rsidRPr="00D3492D">
        <w:rPr>
          <w:rFonts w:ascii="Times New Roman" w:eastAsia="Times New Roman" w:hAnsi="Times New Roman" w:cs="Times New Roman"/>
          <w:color w:val="000000" w:themeColor="text1"/>
          <w:sz w:val="24"/>
          <w:szCs w:val="24"/>
        </w:rPr>
        <w:t xml:space="preserve"> (87.5% vs 89.7% in the main study)</w:t>
      </w:r>
      <w:r w:rsidRPr="00D3492D">
        <w:rPr>
          <w:rFonts w:ascii="Times New Roman" w:eastAsia="Times New Roman" w:hAnsi="Times New Roman" w:cs="Times New Roman"/>
          <w:color w:val="000000" w:themeColor="text1"/>
          <w:sz w:val="24"/>
          <w:szCs w:val="24"/>
        </w:rPr>
        <w:t xml:space="preserve">. </w:t>
      </w:r>
      <w:r w:rsidR="006B0AF9" w:rsidRPr="00D3492D">
        <w:rPr>
          <w:rFonts w:ascii="Times New Roman" w:eastAsia="Times New Roman" w:hAnsi="Times New Roman" w:cs="Times New Roman"/>
          <w:color w:val="000000" w:themeColor="text1"/>
          <w:sz w:val="24"/>
          <w:szCs w:val="24"/>
        </w:rPr>
        <w:t>This supports the potential co-administration of COVID-19 and the seasonal influenza vaccine, particularly for at-risk groups, such as older people, pregnancy and multiple comorbidities</w:t>
      </w:r>
      <w:r w:rsidR="002759DD">
        <w:rPr>
          <w:rFonts w:ascii="Times New Roman" w:eastAsia="Times New Roman" w:hAnsi="Times New Roman" w:cs="Times New Roman"/>
          <w:color w:val="000000" w:themeColor="text1"/>
          <w:sz w:val="24"/>
          <w:szCs w:val="24"/>
        </w:rPr>
        <w:t xml:space="preserve"> [11]</w:t>
      </w:r>
      <w:r w:rsidR="006B0AF9" w:rsidRPr="00D3492D">
        <w:rPr>
          <w:rFonts w:ascii="Times New Roman" w:eastAsia="Times New Roman" w:hAnsi="Times New Roman" w:cs="Times New Roman"/>
          <w:color w:val="000000" w:themeColor="text1"/>
          <w:sz w:val="24"/>
          <w:szCs w:val="24"/>
        </w:rPr>
        <w:t>.</w:t>
      </w:r>
    </w:p>
    <w:p w14:paraId="6A6759D5" w14:textId="13E7D740" w:rsidR="003B086A" w:rsidRPr="00D3492D" w:rsidRDefault="003B086A"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40397C6E"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6353C94" w14:textId="5361CFA2" w:rsidR="003B086A" w:rsidRPr="00D3492D" w:rsidRDefault="003B086A"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b/>
          <w:bCs/>
          <w:color w:val="000000" w:themeColor="text1"/>
          <w:sz w:val="24"/>
          <w:szCs w:val="24"/>
        </w:rPr>
        <w:t>Limitations</w:t>
      </w:r>
    </w:p>
    <w:p w14:paraId="4D7AFA22" w14:textId="1780D576"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3E3F0D23" w14:textId="3AAD6DB5" w:rsidR="00C30C34" w:rsidRPr="00D3492D" w:rsidRDefault="003B086A"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The trial evaluated vaccine </w:t>
      </w:r>
      <w:r w:rsidR="00BA2AEC">
        <w:rPr>
          <w:rFonts w:ascii="Times New Roman" w:eastAsia="Times New Roman" w:hAnsi="Times New Roman" w:cs="Times New Roman"/>
          <w:color w:val="000000" w:themeColor="text1"/>
          <w:sz w:val="24"/>
          <w:szCs w:val="24"/>
        </w:rPr>
        <w:t>effectiveness, mainly</w:t>
      </w:r>
      <w:r w:rsidRPr="00D3492D">
        <w:rPr>
          <w:rFonts w:ascii="Times New Roman" w:eastAsia="Times New Roman" w:hAnsi="Times New Roman" w:cs="Times New Roman"/>
          <w:color w:val="000000" w:themeColor="text1"/>
          <w:sz w:val="24"/>
          <w:szCs w:val="24"/>
        </w:rPr>
        <w:t xml:space="preserve"> with the B.1.351 (Alpha) variant</w:t>
      </w:r>
      <w:r w:rsidR="00BA2AEC">
        <w:rPr>
          <w:rFonts w:ascii="Times New Roman" w:eastAsia="Times New Roman" w:hAnsi="Times New Roman" w:cs="Times New Roman"/>
          <w:color w:val="000000" w:themeColor="text1"/>
          <w:sz w:val="24"/>
          <w:szCs w:val="24"/>
        </w:rPr>
        <w:t xml:space="preserve">. This efficacy </w:t>
      </w:r>
      <w:r w:rsidRPr="00D3492D">
        <w:rPr>
          <w:rFonts w:ascii="Times New Roman" w:eastAsia="Times New Roman" w:hAnsi="Times New Roman" w:cs="Times New Roman"/>
          <w:color w:val="000000" w:themeColor="text1"/>
          <w:sz w:val="24"/>
          <w:szCs w:val="24"/>
        </w:rPr>
        <w:t xml:space="preserve">is hoped to be similar against the B.1.617.2 (Delta) variant, the main variant of concern causing outbreaks in many parts of the world. Long-term adverse events from the vaccine may not have </w:t>
      </w:r>
    </w:p>
    <w:p w14:paraId="4489DA45" w14:textId="286ED06F" w:rsidR="003B086A" w:rsidRPr="00D3492D" w:rsidRDefault="003B086A"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been identified during the trial, which may only become obvious during post-marketing safety surveillance. </w:t>
      </w:r>
    </w:p>
    <w:p w14:paraId="3B269C42" w14:textId="78675B0E" w:rsidR="008B42D0" w:rsidRPr="00D3492D" w:rsidRDefault="008B42D0"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01D12C9"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01DABF66" w14:textId="6BC68D46" w:rsidR="00576ABB" w:rsidRPr="00D3492D" w:rsidRDefault="003B086A"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Conclusion</w:t>
      </w:r>
    </w:p>
    <w:p w14:paraId="2E3E8CF8" w14:textId="77777777" w:rsidR="006B0AF9" w:rsidRPr="00D3492D" w:rsidRDefault="006B0AF9"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ED580D7" w14:textId="44AA6ADC" w:rsidR="006B0AF9" w:rsidRPr="00D3492D" w:rsidRDefault="006B0AF9"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The</w:t>
      </w:r>
      <w:r w:rsidR="00576ABB" w:rsidRPr="00D3492D">
        <w:rPr>
          <w:rFonts w:ascii="Times New Roman" w:eastAsia="Times New Roman" w:hAnsi="Times New Roman" w:cs="Times New Roman"/>
          <w:color w:val="000000" w:themeColor="text1"/>
          <w:sz w:val="24"/>
          <w:szCs w:val="24"/>
        </w:rPr>
        <w:t xml:space="preserve"> Phase 3 trial</w:t>
      </w:r>
      <w:r w:rsidRPr="00D3492D">
        <w:rPr>
          <w:rFonts w:ascii="Times New Roman" w:eastAsia="Times New Roman" w:hAnsi="Times New Roman" w:cs="Times New Roman"/>
          <w:color w:val="000000" w:themeColor="text1"/>
          <w:sz w:val="24"/>
          <w:szCs w:val="24"/>
        </w:rPr>
        <w:t xml:space="preserve"> for</w:t>
      </w:r>
      <w:r w:rsidR="00576ABB" w:rsidRPr="00D3492D">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 xml:space="preserve">the </w:t>
      </w:r>
      <w:r w:rsidR="00576ABB" w:rsidRPr="00D3492D">
        <w:rPr>
          <w:rFonts w:ascii="Times New Roman" w:eastAsia="Times New Roman" w:hAnsi="Times New Roman" w:cs="Times New Roman"/>
          <w:color w:val="000000" w:themeColor="text1"/>
          <w:sz w:val="24"/>
          <w:szCs w:val="24"/>
        </w:rPr>
        <w:t>NVX-CoV2373 vaccine</w:t>
      </w:r>
      <w:r w:rsidRPr="00D3492D">
        <w:rPr>
          <w:rFonts w:ascii="Times New Roman" w:eastAsia="Times New Roman" w:hAnsi="Times New Roman" w:cs="Times New Roman"/>
          <w:color w:val="000000" w:themeColor="text1"/>
          <w:sz w:val="24"/>
          <w:szCs w:val="24"/>
        </w:rPr>
        <w:t xml:space="preserve"> demonstrated </w:t>
      </w:r>
      <w:r w:rsidR="00576ABB" w:rsidRPr="00D3492D">
        <w:rPr>
          <w:rFonts w:ascii="Times New Roman" w:eastAsia="Times New Roman" w:hAnsi="Times New Roman" w:cs="Times New Roman"/>
          <w:color w:val="000000" w:themeColor="text1"/>
          <w:sz w:val="24"/>
          <w:szCs w:val="24"/>
        </w:rPr>
        <w:t>its safety and efficacy</w:t>
      </w:r>
      <w:r w:rsidRPr="00D3492D">
        <w:rPr>
          <w:rFonts w:ascii="Times New Roman" w:eastAsia="Times New Roman" w:hAnsi="Times New Roman" w:cs="Times New Roman"/>
          <w:color w:val="000000" w:themeColor="text1"/>
          <w:sz w:val="24"/>
          <w:szCs w:val="24"/>
        </w:rPr>
        <w:t xml:space="preserve"> was comparable to the currently available </w:t>
      </w:r>
      <w:r w:rsidR="00576ABB" w:rsidRPr="00D3492D">
        <w:rPr>
          <w:rFonts w:ascii="Times New Roman" w:eastAsia="Times New Roman" w:hAnsi="Times New Roman" w:cs="Times New Roman"/>
          <w:color w:val="000000" w:themeColor="text1"/>
          <w:sz w:val="24"/>
          <w:szCs w:val="24"/>
        </w:rPr>
        <w:t>mRNA and viral vector vaccines</w:t>
      </w:r>
      <w:r w:rsidRPr="00D3492D">
        <w:rPr>
          <w:rFonts w:ascii="Times New Roman" w:eastAsia="Times New Roman" w:hAnsi="Times New Roman" w:cs="Times New Roman"/>
          <w:color w:val="000000" w:themeColor="text1"/>
          <w:sz w:val="24"/>
          <w:szCs w:val="24"/>
        </w:rPr>
        <w:t xml:space="preserve">. </w:t>
      </w:r>
      <w:r w:rsidR="003B086A" w:rsidRPr="00D3492D">
        <w:rPr>
          <w:rFonts w:ascii="Times New Roman" w:eastAsia="Times New Roman" w:hAnsi="Times New Roman" w:cs="Times New Roman"/>
          <w:color w:val="000000" w:themeColor="text1"/>
          <w:sz w:val="24"/>
          <w:szCs w:val="24"/>
        </w:rPr>
        <w:t xml:space="preserve">Adverse events were mild and self-limiting, occurring more with younger people and after the second dose. </w:t>
      </w:r>
      <w:r w:rsidRPr="00D3492D">
        <w:rPr>
          <w:rFonts w:ascii="Times New Roman" w:eastAsia="Times New Roman" w:hAnsi="Times New Roman" w:cs="Times New Roman"/>
          <w:color w:val="000000" w:themeColor="text1"/>
          <w:sz w:val="24"/>
          <w:szCs w:val="24"/>
        </w:rPr>
        <w:t>Co</w:t>
      </w:r>
      <w:r w:rsidR="00576ABB" w:rsidRPr="00D3492D">
        <w:rPr>
          <w:rFonts w:ascii="Times New Roman" w:eastAsia="Times New Roman" w:hAnsi="Times New Roman" w:cs="Times New Roman"/>
          <w:color w:val="000000" w:themeColor="text1"/>
          <w:sz w:val="24"/>
          <w:szCs w:val="24"/>
        </w:rPr>
        <w:t xml:space="preserve">-administration of </w:t>
      </w:r>
      <w:r w:rsidRPr="00D3492D">
        <w:rPr>
          <w:rFonts w:ascii="Times New Roman" w:eastAsia="Times New Roman" w:hAnsi="Times New Roman" w:cs="Times New Roman"/>
          <w:color w:val="000000" w:themeColor="text1"/>
          <w:sz w:val="24"/>
          <w:szCs w:val="24"/>
        </w:rPr>
        <w:t xml:space="preserve">this vaccine with </w:t>
      </w:r>
      <w:r w:rsidR="00576ABB" w:rsidRPr="00D3492D">
        <w:rPr>
          <w:rFonts w:ascii="Times New Roman" w:eastAsia="Times New Roman" w:hAnsi="Times New Roman" w:cs="Times New Roman"/>
          <w:color w:val="000000" w:themeColor="text1"/>
          <w:sz w:val="24"/>
          <w:szCs w:val="24"/>
        </w:rPr>
        <w:t>seasonal influenza</w:t>
      </w:r>
      <w:r w:rsidRPr="00D3492D">
        <w:rPr>
          <w:rFonts w:ascii="Times New Roman" w:eastAsia="Times New Roman" w:hAnsi="Times New Roman" w:cs="Times New Roman"/>
          <w:color w:val="000000" w:themeColor="text1"/>
          <w:sz w:val="24"/>
          <w:szCs w:val="24"/>
        </w:rPr>
        <w:t xml:space="preserve"> immunization is a practical approach to reach population groups at high risk of developing complications from viral respiratory infections. </w:t>
      </w:r>
      <w:r w:rsidR="00576ABB" w:rsidRPr="00D3492D">
        <w:rPr>
          <w:rFonts w:ascii="Times New Roman" w:eastAsia="Times New Roman" w:hAnsi="Times New Roman" w:cs="Times New Roman"/>
          <w:color w:val="000000" w:themeColor="text1"/>
          <w:sz w:val="24"/>
          <w:szCs w:val="24"/>
        </w:rPr>
        <w:t xml:space="preserve"> </w:t>
      </w:r>
    </w:p>
    <w:p w14:paraId="4E05C350" w14:textId="4E22A6B5" w:rsidR="006B0AF9" w:rsidRPr="00D3492D" w:rsidRDefault="006B0AF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2625502" w14:textId="5610321A" w:rsidR="006B0AF9" w:rsidRDefault="006B0AF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65EE9F5" w14:textId="1FA0E93F"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B20C670" w14:textId="2CD6E35F"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ADD7659" w14:textId="6F270771"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7556D5E" w14:textId="358FC52B"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678BC814" w14:textId="050EC824" w:rsidR="00BA2AEC" w:rsidRDefault="00BA2AEC"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320D071" w14:textId="77777777" w:rsidR="00BA2AEC" w:rsidRDefault="00BA2AEC"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11B7A583" w14:textId="77777777" w:rsidR="006866E4" w:rsidRPr="00D3492D"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1C9119EB" w14:textId="2CA78EF1" w:rsidR="006B0AF9" w:rsidRPr="00D3492D" w:rsidRDefault="006866E4"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Authors’ Contributions</w:t>
      </w:r>
    </w:p>
    <w:p w14:paraId="05159B70" w14:textId="77777777" w:rsidR="008C50F7" w:rsidRDefault="008C50F7"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41B59B7" w14:textId="7EF7D790" w:rsidR="006B0AF9" w:rsidRPr="00D3492D"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Choo SZL and Teo SP were involved in conception of the work, acquisition, analysis and interpretation of data, as well as drafting and finalizing the manuscript.  </w:t>
      </w:r>
    </w:p>
    <w:p w14:paraId="7C80733C" w14:textId="7D89B2C2"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69BAAB3" w14:textId="77777777" w:rsidR="008C50F7" w:rsidRPr="00D3492D" w:rsidRDefault="008C50F7"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1A89A36" w14:textId="17BDD603" w:rsidR="006866E4" w:rsidRDefault="006866E4"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Availability of Data and Materials</w:t>
      </w:r>
    </w:p>
    <w:p w14:paraId="012197E2" w14:textId="77777777" w:rsidR="008C50F7" w:rsidRDefault="008C50F7" w:rsidP="008C50F7">
      <w:pPr>
        <w:shd w:val="clear" w:color="auto" w:fill="FFFFFF"/>
        <w:spacing w:after="0" w:line="240" w:lineRule="auto"/>
        <w:rPr>
          <w:rFonts w:ascii="Times New Roman" w:eastAsia="Times New Roman" w:hAnsi="Times New Roman" w:cs="Times New Roman"/>
          <w:bCs/>
          <w:color w:val="000000" w:themeColor="text1"/>
          <w:sz w:val="24"/>
          <w:szCs w:val="24"/>
        </w:rPr>
      </w:pPr>
    </w:p>
    <w:p w14:paraId="561AB388" w14:textId="4DF9BF02" w:rsidR="006866E4" w:rsidRDefault="006866E4" w:rsidP="008C50F7">
      <w:pPr>
        <w:shd w:val="clear" w:color="auto" w:fill="FFFFFF"/>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Not applicable</w:t>
      </w:r>
    </w:p>
    <w:p w14:paraId="419A5CBA" w14:textId="20AABB7D" w:rsidR="006866E4" w:rsidRDefault="006866E4" w:rsidP="008C50F7">
      <w:pPr>
        <w:shd w:val="clear" w:color="auto" w:fill="FFFFFF"/>
        <w:spacing w:after="0" w:line="240" w:lineRule="auto"/>
        <w:rPr>
          <w:rFonts w:ascii="Times New Roman" w:eastAsia="Times New Roman" w:hAnsi="Times New Roman" w:cs="Times New Roman"/>
          <w:bCs/>
          <w:color w:val="000000" w:themeColor="text1"/>
          <w:sz w:val="24"/>
          <w:szCs w:val="24"/>
        </w:rPr>
      </w:pPr>
    </w:p>
    <w:p w14:paraId="50E75B7D" w14:textId="77777777" w:rsidR="008C50F7" w:rsidRDefault="008C50F7" w:rsidP="008C50F7">
      <w:pPr>
        <w:shd w:val="clear" w:color="auto" w:fill="FFFFFF"/>
        <w:spacing w:after="0" w:line="240" w:lineRule="auto"/>
        <w:rPr>
          <w:rFonts w:ascii="Times New Roman" w:eastAsia="Times New Roman" w:hAnsi="Times New Roman" w:cs="Times New Roman"/>
          <w:bCs/>
          <w:color w:val="000000" w:themeColor="text1"/>
          <w:sz w:val="24"/>
          <w:szCs w:val="24"/>
        </w:rPr>
      </w:pPr>
    </w:p>
    <w:p w14:paraId="4114D68C" w14:textId="6E8A05B8" w:rsidR="006866E4" w:rsidRDefault="006866E4"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6866E4">
        <w:rPr>
          <w:rFonts w:ascii="Times New Roman" w:eastAsia="Times New Roman" w:hAnsi="Times New Roman" w:cs="Times New Roman"/>
          <w:b/>
          <w:bCs/>
          <w:color w:val="000000" w:themeColor="text1"/>
          <w:sz w:val="24"/>
          <w:szCs w:val="24"/>
        </w:rPr>
        <w:t>F</w:t>
      </w:r>
      <w:r>
        <w:rPr>
          <w:rFonts w:ascii="Times New Roman" w:eastAsia="Times New Roman" w:hAnsi="Times New Roman" w:cs="Times New Roman"/>
          <w:b/>
          <w:bCs/>
          <w:color w:val="000000" w:themeColor="text1"/>
          <w:sz w:val="24"/>
          <w:szCs w:val="24"/>
        </w:rPr>
        <w:t>inancial Support and Sponsorship</w:t>
      </w:r>
    </w:p>
    <w:p w14:paraId="096B29B5" w14:textId="77777777" w:rsidR="008C50F7" w:rsidRDefault="008C50F7" w:rsidP="008C50F7">
      <w:pPr>
        <w:shd w:val="clear" w:color="auto" w:fill="FFFFFF"/>
        <w:spacing w:after="0" w:line="240" w:lineRule="auto"/>
        <w:rPr>
          <w:rFonts w:ascii="Times New Roman" w:eastAsia="Times New Roman" w:hAnsi="Times New Roman" w:cs="Times New Roman"/>
          <w:bCs/>
          <w:color w:val="000000" w:themeColor="text1"/>
          <w:sz w:val="24"/>
          <w:szCs w:val="24"/>
        </w:rPr>
      </w:pPr>
    </w:p>
    <w:p w14:paraId="15B27E72" w14:textId="1627A17E" w:rsidR="006866E4" w:rsidRPr="006866E4" w:rsidRDefault="006866E4" w:rsidP="008C50F7">
      <w:pPr>
        <w:shd w:val="clear" w:color="auto" w:fill="FFFFFF"/>
        <w:spacing w:after="0" w:line="240" w:lineRule="auto"/>
        <w:rPr>
          <w:rFonts w:ascii="Times New Roman" w:eastAsia="Times New Roman" w:hAnsi="Times New Roman" w:cs="Times New Roman"/>
          <w:bCs/>
          <w:color w:val="000000" w:themeColor="text1"/>
          <w:sz w:val="24"/>
          <w:szCs w:val="24"/>
        </w:rPr>
      </w:pPr>
      <w:r w:rsidRPr="006866E4">
        <w:rPr>
          <w:rFonts w:ascii="Times New Roman" w:eastAsia="Times New Roman" w:hAnsi="Times New Roman" w:cs="Times New Roman"/>
          <w:bCs/>
          <w:color w:val="000000" w:themeColor="text1"/>
          <w:sz w:val="24"/>
          <w:szCs w:val="24"/>
        </w:rPr>
        <w:t>Not applicable</w:t>
      </w:r>
    </w:p>
    <w:p w14:paraId="4DE96B89" w14:textId="1403EB94" w:rsidR="006B0AF9" w:rsidRDefault="006B0AF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5713E5D" w14:textId="77777777" w:rsidR="008C50F7" w:rsidRDefault="008C50F7"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9AFE8F1" w14:textId="683EB445" w:rsidR="00AF58AE" w:rsidRDefault="006866E4"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6866E4">
        <w:rPr>
          <w:rFonts w:ascii="Times New Roman" w:eastAsia="Times New Roman" w:hAnsi="Times New Roman" w:cs="Times New Roman"/>
          <w:b/>
          <w:color w:val="000000" w:themeColor="text1"/>
          <w:sz w:val="24"/>
          <w:szCs w:val="24"/>
        </w:rPr>
        <w:t>Conflicts of Interest</w:t>
      </w:r>
    </w:p>
    <w:p w14:paraId="011EA42F" w14:textId="77777777" w:rsidR="008C50F7" w:rsidRDefault="008C50F7" w:rsidP="008C50F7">
      <w:pPr>
        <w:spacing w:after="0" w:line="240" w:lineRule="auto"/>
        <w:rPr>
          <w:rFonts w:ascii="Times New Roman" w:eastAsia="Times New Roman" w:hAnsi="Times New Roman" w:cs="Times New Roman"/>
          <w:bCs/>
          <w:color w:val="000000" w:themeColor="text1"/>
          <w:sz w:val="24"/>
          <w:szCs w:val="24"/>
        </w:rPr>
      </w:pPr>
    </w:p>
    <w:p w14:paraId="1E613167" w14:textId="3EC0AFA2" w:rsidR="006866E4" w:rsidRPr="006866E4" w:rsidRDefault="006866E4" w:rsidP="008C50F7">
      <w:pPr>
        <w:spacing w:after="0" w:line="240" w:lineRule="auto"/>
        <w:rPr>
          <w:rFonts w:ascii="Times New Roman" w:eastAsia="Times New Roman" w:hAnsi="Times New Roman" w:cs="Times New Roman"/>
          <w:bCs/>
          <w:color w:val="000000" w:themeColor="text1"/>
          <w:sz w:val="24"/>
          <w:szCs w:val="24"/>
        </w:rPr>
      </w:pPr>
      <w:r w:rsidRPr="006866E4">
        <w:rPr>
          <w:rFonts w:ascii="Times New Roman" w:eastAsia="Times New Roman" w:hAnsi="Times New Roman" w:cs="Times New Roman"/>
          <w:bCs/>
          <w:color w:val="000000" w:themeColor="text1"/>
          <w:sz w:val="24"/>
          <w:szCs w:val="24"/>
        </w:rPr>
        <w:t>All authors declared that there are no conflicts of interest</w:t>
      </w:r>
    </w:p>
    <w:p w14:paraId="4987D60D" w14:textId="1AC9ED82"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4FA95A6F" w14:textId="77777777"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197DF2E9" w14:textId="32113A44" w:rsidR="006866E4" w:rsidRPr="006866E4" w:rsidRDefault="006866E4" w:rsidP="008C50F7">
      <w:pPr>
        <w:spacing w:after="0" w:line="240" w:lineRule="auto"/>
        <w:rPr>
          <w:rFonts w:ascii="Times New Roman" w:eastAsia="Times New Roman" w:hAnsi="Times New Roman" w:cs="Times New Roman"/>
          <w:b/>
          <w:bCs/>
          <w:color w:val="000000" w:themeColor="text1"/>
          <w:sz w:val="24"/>
          <w:szCs w:val="24"/>
        </w:rPr>
      </w:pPr>
      <w:r w:rsidRPr="006866E4">
        <w:rPr>
          <w:rFonts w:ascii="Times New Roman" w:eastAsia="Times New Roman" w:hAnsi="Times New Roman" w:cs="Times New Roman"/>
          <w:b/>
          <w:bCs/>
          <w:color w:val="000000" w:themeColor="text1"/>
          <w:sz w:val="24"/>
          <w:szCs w:val="24"/>
        </w:rPr>
        <w:t>Ethical Approval and Informed Consent</w:t>
      </w:r>
    </w:p>
    <w:p w14:paraId="39175097" w14:textId="77777777" w:rsidR="008C50F7" w:rsidRDefault="008C50F7" w:rsidP="008C50F7">
      <w:pPr>
        <w:spacing w:after="0" w:line="240" w:lineRule="auto"/>
        <w:rPr>
          <w:rFonts w:ascii="Times New Roman" w:eastAsia="Times New Roman" w:hAnsi="Times New Roman" w:cs="Times New Roman"/>
          <w:bCs/>
          <w:color w:val="000000" w:themeColor="text1"/>
          <w:sz w:val="24"/>
          <w:szCs w:val="24"/>
        </w:rPr>
      </w:pPr>
    </w:p>
    <w:p w14:paraId="77D9937B" w14:textId="147A7641" w:rsidR="006866E4" w:rsidRDefault="006866E4" w:rsidP="008C50F7">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Not applicable</w:t>
      </w:r>
    </w:p>
    <w:p w14:paraId="0AC31CEE" w14:textId="46940096" w:rsidR="006866E4" w:rsidRDefault="006866E4" w:rsidP="008C50F7">
      <w:pPr>
        <w:spacing w:after="0" w:line="240" w:lineRule="auto"/>
        <w:rPr>
          <w:rFonts w:ascii="Times New Roman" w:eastAsia="Times New Roman" w:hAnsi="Times New Roman" w:cs="Times New Roman"/>
          <w:bCs/>
          <w:color w:val="000000" w:themeColor="text1"/>
          <w:sz w:val="24"/>
          <w:szCs w:val="24"/>
        </w:rPr>
      </w:pPr>
    </w:p>
    <w:p w14:paraId="36E75EF9" w14:textId="77777777" w:rsidR="008C50F7" w:rsidRDefault="008C50F7" w:rsidP="008C50F7">
      <w:pPr>
        <w:spacing w:after="0" w:line="240" w:lineRule="auto"/>
        <w:rPr>
          <w:rFonts w:ascii="Times New Roman" w:eastAsia="Times New Roman" w:hAnsi="Times New Roman" w:cs="Times New Roman"/>
          <w:bCs/>
          <w:color w:val="000000" w:themeColor="text1"/>
          <w:sz w:val="24"/>
          <w:szCs w:val="24"/>
        </w:rPr>
      </w:pPr>
    </w:p>
    <w:p w14:paraId="789F95A1" w14:textId="073EABE2" w:rsidR="006866E4" w:rsidRPr="006866E4" w:rsidRDefault="006866E4" w:rsidP="008C50F7">
      <w:pPr>
        <w:spacing w:after="0" w:line="240" w:lineRule="auto"/>
        <w:rPr>
          <w:rFonts w:ascii="Times New Roman" w:eastAsia="Times New Roman" w:hAnsi="Times New Roman" w:cs="Times New Roman"/>
          <w:b/>
          <w:bCs/>
          <w:color w:val="000000" w:themeColor="text1"/>
          <w:sz w:val="24"/>
          <w:szCs w:val="24"/>
        </w:rPr>
      </w:pPr>
      <w:r w:rsidRPr="006866E4">
        <w:rPr>
          <w:rFonts w:ascii="Times New Roman" w:eastAsia="Times New Roman" w:hAnsi="Times New Roman" w:cs="Times New Roman"/>
          <w:b/>
          <w:bCs/>
          <w:color w:val="000000" w:themeColor="text1"/>
          <w:sz w:val="24"/>
          <w:szCs w:val="24"/>
        </w:rPr>
        <w:t>Consent for Publication</w:t>
      </w:r>
    </w:p>
    <w:p w14:paraId="08BA18EE" w14:textId="77777777" w:rsidR="008C50F7" w:rsidRDefault="008C50F7" w:rsidP="008C50F7">
      <w:pPr>
        <w:spacing w:after="0" w:line="240" w:lineRule="auto"/>
        <w:rPr>
          <w:rFonts w:ascii="Times New Roman" w:eastAsia="Times New Roman" w:hAnsi="Times New Roman" w:cs="Times New Roman"/>
          <w:bCs/>
          <w:color w:val="000000" w:themeColor="text1"/>
          <w:sz w:val="24"/>
          <w:szCs w:val="24"/>
        </w:rPr>
      </w:pPr>
    </w:p>
    <w:p w14:paraId="7F678C86" w14:textId="08282FB0" w:rsidR="006866E4" w:rsidRPr="006866E4" w:rsidRDefault="006866E4" w:rsidP="008C50F7">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Not Applicable</w:t>
      </w:r>
    </w:p>
    <w:p w14:paraId="4522D41D" w14:textId="3773CE2A"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70B8E42B" w14:textId="62891C86"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4118344B" w14:textId="68EFBAF4"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4FE3FFDA" w14:textId="5F185C27"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44942247" w14:textId="1124B132"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47AE884E" w14:textId="4B547407"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01F40BA9" w14:textId="2316FCCD"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43ED182B" w14:textId="0A08C0A2"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0CD2C199" w14:textId="6993A406"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600879B5" w14:textId="0418DF94"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4945DA6D" w14:textId="6673F4AB"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097E3677" w14:textId="1592E3FE"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3F414D8E" w14:textId="7EA7F245"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0C062BC5" w14:textId="2F39EEED"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5C8FC660" w14:textId="1E9DAF58"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225C9218" w14:textId="77777777"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49BA7F51" w14:textId="77777777" w:rsidR="006866E4" w:rsidRPr="00D3492D" w:rsidRDefault="006866E4" w:rsidP="008C50F7">
      <w:pPr>
        <w:spacing w:after="0" w:line="240" w:lineRule="auto"/>
        <w:rPr>
          <w:rFonts w:ascii="Times New Roman" w:eastAsia="Times New Roman" w:hAnsi="Times New Roman" w:cs="Times New Roman"/>
          <w:b/>
          <w:bCs/>
          <w:color w:val="000000" w:themeColor="text1"/>
          <w:sz w:val="24"/>
          <w:szCs w:val="24"/>
        </w:rPr>
      </w:pPr>
    </w:p>
    <w:p w14:paraId="29288950" w14:textId="77777777" w:rsidR="006B0AF9" w:rsidRPr="00D3492D" w:rsidRDefault="00AF58AE" w:rsidP="008C50F7">
      <w:pPr>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lastRenderedPageBreak/>
        <w:t>References</w:t>
      </w:r>
      <w:bookmarkStart w:id="0" w:name="_GoBack"/>
      <w:bookmarkEnd w:id="0"/>
    </w:p>
    <w:p w14:paraId="3C5DBD85" w14:textId="72B88F21" w:rsidR="00576ABB" w:rsidRPr="00D3492D" w:rsidRDefault="00576ABB" w:rsidP="008C50F7">
      <w:pPr>
        <w:spacing w:after="0" w:line="240" w:lineRule="auto"/>
        <w:rPr>
          <w:rFonts w:ascii="Times New Roman" w:eastAsia="Times New Roman" w:hAnsi="Times New Roman" w:cs="Times New Roman"/>
          <w:color w:val="000000" w:themeColor="text1"/>
          <w:sz w:val="24"/>
          <w:szCs w:val="24"/>
        </w:rPr>
      </w:pPr>
    </w:p>
    <w:p w14:paraId="2D57D6BB" w14:textId="77777777" w:rsidR="00C30C34" w:rsidRPr="00D3492D" w:rsidRDefault="00C30C34" w:rsidP="008C50F7">
      <w:pPr>
        <w:spacing w:after="0" w:line="240" w:lineRule="auto"/>
        <w:rPr>
          <w:rFonts w:ascii="Times New Roman" w:eastAsia="Times New Roman" w:hAnsi="Times New Roman" w:cs="Times New Roman"/>
          <w:color w:val="000000" w:themeColor="text1"/>
          <w:sz w:val="24"/>
          <w:szCs w:val="24"/>
        </w:rPr>
      </w:pPr>
    </w:p>
    <w:p w14:paraId="7DCA1AFC" w14:textId="58D25C60" w:rsidR="003A0C59"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hAnsi="Times New Roman" w:cs="Times New Roman"/>
          <w:color w:val="000000"/>
          <w:sz w:val="24"/>
          <w:szCs w:val="24"/>
        </w:rPr>
        <w:t>World Health Organisation. WHO Coronavirus (COVID-19) Dashboard. [Internet]. 2021 Sep [cited 2021 Oct 14]. Available from: covid19.who.int </w:t>
      </w:r>
    </w:p>
    <w:p w14:paraId="306E89FF" w14:textId="77777777" w:rsidR="003B086A" w:rsidRPr="00D3492D" w:rsidRDefault="003B086A" w:rsidP="008C50F7">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p>
    <w:p w14:paraId="2BBA9EA2"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World Health Organisation. Status of COVID-19 vaccines within WHO EUL/PQ evaluation process. [Internet]. 2021 [updated 2021 Sep 29; cited 2021 Oct 14]. Available from: </w:t>
      </w:r>
      <w:hyperlink r:id="rId8" w:history="1">
        <w:r w:rsidRPr="00D3492D">
          <w:rPr>
            <w:rStyle w:val="Hyperlink"/>
            <w:rFonts w:ascii="Times New Roman" w:eastAsia="Times New Roman" w:hAnsi="Times New Roman" w:cs="Times New Roman"/>
            <w:sz w:val="24"/>
            <w:szCs w:val="24"/>
          </w:rPr>
          <w:t>https://extranet.who.int/pqweb/key-resources/documents/status-covid-19-vaccines-within-who-eulpq-evaluation-process</w:t>
        </w:r>
      </w:hyperlink>
      <w:r w:rsidRPr="00D3492D">
        <w:rPr>
          <w:rFonts w:ascii="Times New Roman" w:eastAsia="Times New Roman" w:hAnsi="Times New Roman" w:cs="Times New Roman"/>
          <w:color w:val="000000" w:themeColor="text1"/>
          <w:sz w:val="24"/>
          <w:szCs w:val="24"/>
        </w:rPr>
        <w:t xml:space="preserve"> </w:t>
      </w:r>
    </w:p>
    <w:p w14:paraId="3164862B"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62BACBF3" w14:textId="4351947F" w:rsidR="003A0C59"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Tian JH, Patel N, Haupt R, Zhou H, Weston S, Hammond H, et al. SARS-CoV-2 spike glycoprotein vaccine candidate NVX-COV2373 immunogenicity in baboons and protection in mice. Nat Commun. 2021;12:372</w:t>
      </w:r>
    </w:p>
    <w:p w14:paraId="32009EEF" w14:textId="77777777" w:rsidR="003B086A" w:rsidRPr="00D3492D" w:rsidRDefault="003B086A" w:rsidP="008C50F7">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p>
    <w:p w14:paraId="332F0B23" w14:textId="32F39BAA" w:rsidR="003A0C59"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Reimer JM, Karlsson KH, Lovgren-Bengtsson K, Magnusson SE, Fuentes A, Stertman L. Matrix-M</w:t>
      </w:r>
      <w:r w:rsidRPr="00D3492D">
        <w:rPr>
          <w:rFonts w:ascii="Times New Roman" w:eastAsia="Times New Roman" w:hAnsi="Times New Roman" w:cs="Times New Roman"/>
          <w:color w:val="000000" w:themeColor="text1"/>
          <w:sz w:val="24"/>
          <w:szCs w:val="24"/>
          <w:vertAlign w:val="superscript"/>
        </w:rPr>
        <w:t>TM</w:t>
      </w:r>
      <w:r w:rsidRPr="00D3492D">
        <w:rPr>
          <w:rFonts w:ascii="Times New Roman" w:eastAsia="Times New Roman" w:hAnsi="Times New Roman" w:cs="Times New Roman"/>
          <w:color w:val="000000" w:themeColor="text1"/>
          <w:sz w:val="24"/>
          <w:szCs w:val="24"/>
        </w:rPr>
        <w:t xml:space="preserve"> adjuvant induces local recruitment, activation and maturation of central immune cells in absence of antigen. PLoS One 2012;7(7):e41451.  </w:t>
      </w:r>
    </w:p>
    <w:p w14:paraId="46A7A24C"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ECAF9BC" w14:textId="5B105EEE" w:rsidR="003A0C59"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Bengtsson KL, Song H, Stertman L, Liu Y, Flyer DC, Massare MJ, et al. Matrix-M adjuvant enhances antibody, cellular and protective immune responses of a Zaire Ebola/Makona virus glycoprotein (GP) nanoparticle vaccine in mice. Vaccine 2016;34(16):1927-35.</w:t>
      </w:r>
    </w:p>
    <w:p w14:paraId="1E16AD13" w14:textId="77777777" w:rsidR="003B086A" w:rsidRPr="00D3492D" w:rsidRDefault="003B086A" w:rsidP="008C50F7">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p>
    <w:p w14:paraId="20870974"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Guebre-Xabier M, Patel N, Tian JH, Zhou B, Maciejewski S, Lam K , et al. NVX-COV2373 vaccine protects cynomolgus macaque upper and lower airways against SARS-CoV-2 challenge. Vaccine. 2020;38(50):7892-7896.</w:t>
      </w:r>
    </w:p>
    <w:p w14:paraId="778272E4"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539D72DB"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Keech C, Albert G, Cho I, Robertson A, Reed P, Neal S, et al. Phase 1-2 trial of a SARS-CoV-2 recombinant spike protein nanoparticle vaccine. N Engl J Med 2020;383:2320-2332.</w:t>
      </w:r>
    </w:p>
    <w:p w14:paraId="5A4C2F9F"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1E2E82EB"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Formica N, Mallory R, Albert G, Robinson M, Plested JS, Cho I, et al. Evaluation of a SARS-CoV-2 vaccine NVX-CoV2373 in younger and older adults. medRxiv 2021.02.26.21252482. Doi: 10.1101/2021.02.26.2122482</w:t>
      </w:r>
    </w:p>
    <w:p w14:paraId="79613D45"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40085520"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Shinde V, Bhikha S, Hoosain Z, Archary M, Bhorat Q, Fairlie L, et al. Efficacy of NVX-CoV2373 Covid-19 vaccine against the B.1.351 variant. N Engl J Med. 2021;384:1899-1909.</w:t>
      </w:r>
    </w:p>
    <w:p w14:paraId="1AB688B7"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332ADCAF"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Heath PT, Galiza EP, Baxter DN, Boffito M, Browne D, Burns F, et al. Safety and efficacy of NVX-CoV2373 Covid-19 vaccine. N Engl J Med. 2021. Doi: 10.1056/NEJMoa2107659</w:t>
      </w:r>
    </w:p>
    <w:p w14:paraId="0E60E51E"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1436893A" w14:textId="64A97937" w:rsidR="00CC38D8"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Toback S, Galiza E, Cosgrove C, Galloway J, Goodman AL, Swift PA, et al. Safety, immunogenicity, and efficacy of a COVID-19 vaccine (NVX-CoV2373) co-administered </w:t>
      </w:r>
      <w:r w:rsidRPr="00D3492D">
        <w:rPr>
          <w:rFonts w:ascii="Times New Roman" w:eastAsia="Times New Roman" w:hAnsi="Times New Roman" w:cs="Times New Roman"/>
          <w:color w:val="000000" w:themeColor="text1"/>
          <w:sz w:val="24"/>
          <w:szCs w:val="24"/>
        </w:rPr>
        <w:lastRenderedPageBreak/>
        <w:t>with seasonal influenza virus. medRxiv. 2021.06.09.21258556. Doi: 10.1101/2021.06.09.21258556. </w:t>
      </w:r>
    </w:p>
    <w:sectPr w:rsidR="00CC38D8" w:rsidRPr="00D3492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5FC7" w14:textId="77777777" w:rsidR="0001122E" w:rsidRDefault="0001122E" w:rsidP="007619BE">
      <w:pPr>
        <w:spacing w:after="0" w:line="240" w:lineRule="auto"/>
      </w:pPr>
      <w:r>
        <w:separator/>
      </w:r>
    </w:p>
  </w:endnote>
  <w:endnote w:type="continuationSeparator" w:id="0">
    <w:p w14:paraId="708A8920" w14:textId="77777777" w:rsidR="0001122E" w:rsidRDefault="0001122E" w:rsidP="0076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519438"/>
      <w:docPartObj>
        <w:docPartGallery w:val="Page Numbers (Bottom of Page)"/>
        <w:docPartUnique/>
      </w:docPartObj>
    </w:sdtPr>
    <w:sdtEndPr>
      <w:rPr>
        <w:noProof/>
      </w:rPr>
    </w:sdtEndPr>
    <w:sdtContent>
      <w:p w14:paraId="28A1700C" w14:textId="6626945E" w:rsidR="007619BE" w:rsidRDefault="007619BE">
        <w:pPr>
          <w:pStyle w:val="Footer"/>
          <w:jc w:val="right"/>
        </w:pPr>
        <w:r>
          <w:fldChar w:fldCharType="begin"/>
        </w:r>
        <w:r>
          <w:instrText xml:space="preserve"> PAGE   \* MERGEFORMAT </w:instrText>
        </w:r>
        <w:r>
          <w:fldChar w:fldCharType="separate"/>
        </w:r>
        <w:r w:rsidR="00BA2AEC">
          <w:rPr>
            <w:noProof/>
          </w:rPr>
          <w:t>10</w:t>
        </w:r>
        <w:r>
          <w:rPr>
            <w:noProof/>
          </w:rPr>
          <w:fldChar w:fldCharType="end"/>
        </w:r>
      </w:p>
    </w:sdtContent>
  </w:sdt>
  <w:p w14:paraId="33D6C56E" w14:textId="77777777" w:rsidR="007619BE" w:rsidRDefault="007619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BCCBF" w14:textId="77777777" w:rsidR="0001122E" w:rsidRDefault="0001122E" w:rsidP="007619BE">
      <w:pPr>
        <w:spacing w:after="0" w:line="240" w:lineRule="auto"/>
      </w:pPr>
      <w:r>
        <w:separator/>
      </w:r>
    </w:p>
  </w:footnote>
  <w:footnote w:type="continuationSeparator" w:id="0">
    <w:p w14:paraId="345BF05C" w14:textId="77777777" w:rsidR="0001122E" w:rsidRDefault="0001122E" w:rsidP="00761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0A09"/>
    <w:multiLevelType w:val="hybridMultilevel"/>
    <w:tmpl w:val="6766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B"/>
    <w:rsid w:val="0001122E"/>
    <w:rsid w:val="00175A48"/>
    <w:rsid w:val="002759DD"/>
    <w:rsid w:val="002934DB"/>
    <w:rsid w:val="00377CD8"/>
    <w:rsid w:val="003A0C59"/>
    <w:rsid w:val="003B086A"/>
    <w:rsid w:val="003F77E7"/>
    <w:rsid w:val="00400116"/>
    <w:rsid w:val="004F6DCD"/>
    <w:rsid w:val="005603E3"/>
    <w:rsid w:val="00560E9B"/>
    <w:rsid w:val="00576ABB"/>
    <w:rsid w:val="0063127E"/>
    <w:rsid w:val="006866E4"/>
    <w:rsid w:val="006B0AF9"/>
    <w:rsid w:val="007619BE"/>
    <w:rsid w:val="008B42D0"/>
    <w:rsid w:val="008C50F7"/>
    <w:rsid w:val="00A22AC5"/>
    <w:rsid w:val="00AF0386"/>
    <w:rsid w:val="00AF58AE"/>
    <w:rsid w:val="00BA2AEC"/>
    <w:rsid w:val="00C30C34"/>
    <w:rsid w:val="00C5647B"/>
    <w:rsid w:val="00CC38D8"/>
    <w:rsid w:val="00D3492D"/>
    <w:rsid w:val="00F52592"/>
    <w:rsid w:val="00FE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EBA3"/>
  <w15:chartTrackingRefBased/>
  <w15:docId w15:val="{21AB1DEF-917C-4D9B-B036-5078C283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A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647B"/>
    <w:rPr>
      <w:color w:val="0563C1" w:themeColor="hyperlink"/>
      <w:u w:val="single"/>
    </w:rPr>
  </w:style>
  <w:style w:type="character" w:customStyle="1" w:styleId="UnresolvedMention">
    <w:name w:val="Unresolved Mention"/>
    <w:basedOn w:val="DefaultParagraphFont"/>
    <w:uiPriority w:val="99"/>
    <w:semiHidden/>
    <w:unhideWhenUsed/>
    <w:rsid w:val="00C5647B"/>
    <w:rPr>
      <w:color w:val="605E5C"/>
      <w:shd w:val="clear" w:color="auto" w:fill="E1DFDD"/>
    </w:rPr>
  </w:style>
  <w:style w:type="paragraph" w:styleId="ListParagraph">
    <w:name w:val="List Paragraph"/>
    <w:basedOn w:val="Normal"/>
    <w:uiPriority w:val="34"/>
    <w:qFormat/>
    <w:rsid w:val="003A0C59"/>
    <w:pPr>
      <w:ind w:left="720"/>
      <w:contextualSpacing/>
    </w:pPr>
  </w:style>
  <w:style w:type="paragraph" w:styleId="Header">
    <w:name w:val="header"/>
    <w:basedOn w:val="Normal"/>
    <w:link w:val="HeaderChar"/>
    <w:uiPriority w:val="99"/>
    <w:unhideWhenUsed/>
    <w:rsid w:val="0076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BE"/>
  </w:style>
  <w:style w:type="paragraph" w:styleId="Footer">
    <w:name w:val="footer"/>
    <w:basedOn w:val="Normal"/>
    <w:link w:val="FooterChar"/>
    <w:uiPriority w:val="99"/>
    <w:unhideWhenUsed/>
    <w:rsid w:val="0076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who.int/pqweb/key-resources/documents/status-covid-19-vaccines-within-who-eulpq-evaluation-process" TargetMode="External"/><Relationship Id="rId3" Type="http://schemas.openxmlformats.org/officeDocument/2006/relationships/settings" Target="settings.xml"/><Relationship Id="rId7" Type="http://schemas.openxmlformats.org/officeDocument/2006/relationships/hyperlink" Target="mailto:shyhpoh.teo@moh.gov.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ShyhPoh Teo</dc:creator>
  <cp:keywords/>
  <dc:description/>
  <cp:lastModifiedBy>Dr Shyh Poh Teo</cp:lastModifiedBy>
  <cp:revision>2</cp:revision>
  <dcterms:created xsi:type="dcterms:W3CDTF">2021-10-25T08:20:00Z</dcterms:created>
  <dcterms:modified xsi:type="dcterms:W3CDTF">2021-10-25T08:20:00Z</dcterms:modified>
</cp:coreProperties>
</file>