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b/>
          <w:bCs/>
          <w:sz w:val="22"/>
          <w:szCs w:val="22"/>
        </w:rPr>
      </w:pPr>
      <w:bookmarkStart w:id="0" w:name="OLE_LINK16"/>
      <w:bookmarkStart w:id="1" w:name="OLE_LINK74"/>
      <w:r>
        <w:rPr>
          <w:rFonts w:ascii="Times New Roman" w:hAnsi="Times New Roman" w:eastAsia="宋体"/>
          <w:b/>
          <w:bCs/>
          <w:sz w:val="22"/>
          <w:szCs w:val="22"/>
        </w:rPr>
        <w:t>Advances in targeting PD-1/PD-L1 therapy in hematological malignancies</w:t>
      </w:r>
    </w:p>
    <w:p>
      <w:pPr>
        <w:spacing w:line="360" w:lineRule="auto"/>
        <w:jc w:val="center"/>
        <w:rPr>
          <w:rFonts w:ascii="Times New Roman" w:hAnsi="Times New Roman" w:eastAsia="宋体"/>
          <w:b/>
          <w:bCs/>
          <w:sz w:val="22"/>
          <w:szCs w:val="22"/>
        </w:rPr>
      </w:pPr>
      <w:r>
        <w:rPr>
          <w:rFonts w:ascii="Times New Roman" w:hAnsi="Times New Roman" w:eastAsia="宋体"/>
          <w:b/>
          <w:bCs/>
          <w:sz w:val="22"/>
          <w:szCs w:val="22"/>
        </w:rPr>
        <w:t>Wanying Zhao</w:t>
      </w:r>
      <w:r>
        <w:rPr>
          <w:rFonts w:ascii="Times New Roman" w:hAnsi="Times New Roman" w:eastAsia="宋体"/>
          <w:b/>
          <w:bCs/>
          <w:sz w:val="22"/>
          <w:szCs w:val="22"/>
          <w:vertAlign w:val="superscript"/>
        </w:rPr>
        <w:t>1#</w:t>
      </w:r>
      <w:r>
        <w:rPr>
          <w:rFonts w:ascii="Times New Roman" w:hAnsi="Times New Roman" w:eastAsia="宋体"/>
          <w:b/>
          <w:bCs/>
          <w:sz w:val="22"/>
          <w:szCs w:val="22"/>
        </w:rPr>
        <w:t>, Yuanzheng Liang</w:t>
      </w:r>
      <w:r>
        <w:rPr>
          <w:rFonts w:ascii="Times New Roman" w:hAnsi="Times New Roman" w:eastAsia="宋体"/>
          <w:b/>
          <w:bCs/>
          <w:sz w:val="22"/>
          <w:szCs w:val="22"/>
          <w:vertAlign w:val="superscript"/>
        </w:rPr>
        <w:t>2#</w:t>
      </w:r>
      <w:r>
        <w:rPr>
          <w:rFonts w:ascii="Times New Roman" w:hAnsi="Times New Roman" w:eastAsia="宋体"/>
          <w:b/>
          <w:bCs/>
          <w:sz w:val="22"/>
          <w:szCs w:val="22"/>
        </w:rPr>
        <w:t>, Liang Wang</w:t>
      </w:r>
      <w:r>
        <w:rPr>
          <w:rFonts w:ascii="Times New Roman" w:hAnsi="Times New Roman" w:eastAsia="宋体"/>
          <w:b/>
          <w:bCs/>
          <w:sz w:val="22"/>
          <w:szCs w:val="22"/>
          <w:vertAlign w:val="superscript"/>
        </w:rPr>
        <w:t>2,3*</w:t>
      </w:r>
    </w:p>
    <w:bookmarkEnd w:id="0"/>
    <w:p>
      <w:pPr>
        <w:spacing w:line="360" w:lineRule="auto"/>
        <w:rPr>
          <w:rFonts w:ascii="Times New Roman" w:hAnsi="Times New Roman" w:eastAsiaTheme="majorEastAsia"/>
          <w:sz w:val="22"/>
          <w:szCs w:val="22"/>
        </w:rPr>
      </w:pPr>
      <w:bookmarkStart w:id="2" w:name="OLE_LINK6"/>
      <w:r>
        <w:rPr>
          <w:rFonts w:ascii="Times New Roman" w:hAnsi="Times New Roman" w:eastAsiaTheme="majorEastAsia"/>
          <w:sz w:val="22"/>
          <w:szCs w:val="22"/>
          <w:vertAlign w:val="superscript"/>
        </w:rPr>
        <w:t xml:space="preserve">1 </w:t>
      </w:r>
      <w:r>
        <w:rPr>
          <w:rFonts w:ascii="Times New Roman" w:hAnsi="Times New Roman" w:eastAsiaTheme="majorEastAsia"/>
          <w:sz w:val="22"/>
          <w:szCs w:val="22"/>
        </w:rPr>
        <w:t>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2</w:t>
      </w:r>
      <w:r>
        <w:rPr>
          <w:rFonts w:ascii="Times New Roman" w:hAnsi="Times New Roman" w:eastAsiaTheme="majorEastAsia"/>
          <w:sz w:val="22"/>
          <w:szCs w:val="22"/>
        </w:rPr>
        <w:t xml:space="preserve"> Department of Hematology, 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3 </w:t>
      </w:r>
      <w:r>
        <w:rPr>
          <w:rFonts w:ascii="Times New Roman" w:hAnsi="Times New Roman" w:eastAsiaTheme="majorEastAsia"/>
          <w:sz w:val="22"/>
          <w:szCs w:val="22"/>
        </w:rPr>
        <w:t>Beijing Advanced Innovation Center for Big Data-Based Precision Medicine, Beihang University &amp; Capital Medical University, Beijing Tongren Hospital,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 </w:t>
      </w:r>
      <w:r>
        <w:rPr>
          <w:rFonts w:ascii="Times New Roman" w:hAnsi="Times New Roman" w:eastAsiaTheme="majorEastAsia"/>
          <w:sz w:val="22"/>
          <w:szCs w:val="22"/>
        </w:rPr>
        <w:t>The first two authors contributed equally to this work.</w:t>
      </w:r>
    </w:p>
    <w:p>
      <w:pPr>
        <w:spacing w:line="360" w:lineRule="auto"/>
        <w:rPr>
          <w:rFonts w:ascii="Times New Roman" w:hAnsi="Times New Roman" w:eastAsiaTheme="majorEastAsia"/>
          <w:color w:val="0563C1" w:themeColor="hyperlink"/>
          <w:sz w:val="22"/>
          <w:szCs w:val="22"/>
          <w:u w:val="single"/>
          <w14:textFill>
            <w14:solidFill>
              <w14:schemeClr w14:val="hlink"/>
            </w14:solidFill>
          </w14:textFill>
        </w:rPr>
      </w:pPr>
      <w:r>
        <w:rPr>
          <w:rFonts w:ascii="Times New Roman" w:hAnsi="Times New Roman" w:eastAsiaTheme="majorEastAsia"/>
          <w:sz w:val="22"/>
          <w:szCs w:val="22"/>
          <w:vertAlign w:val="superscript"/>
        </w:rPr>
        <w:t>*</w:t>
      </w:r>
      <w:r>
        <w:rPr>
          <w:rFonts w:ascii="Times New Roman" w:hAnsi="Times New Roman" w:eastAsiaTheme="majorEastAsia"/>
          <w:sz w:val="22"/>
          <w:szCs w:val="22"/>
        </w:rPr>
        <w:t xml:space="preserve">Correspondence to: Liang Wang, MD, Department of Hematology, Beijing Tongren Hospital, Capital Medical University, Beijing 100730, China; Beijing Advanced Innovation Center for Big Data-Based Precision Medicine, Beihang University &amp; Capital Medical University, Beijing Tongren Hospital，Beijing 100730, China. Office Phone: +861058268442; Email: </w:t>
      </w:r>
      <w:r>
        <w:fldChar w:fldCharType="begin"/>
      </w:r>
      <w:r>
        <w:instrText xml:space="preserve"> HYPERLINK "mailto:wangliangtrhos@126.com" </w:instrText>
      </w:r>
      <w:r>
        <w:fldChar w:fldCharType="separate"/>
      </w:r>
      <w:r>
        <w:rPr>
          <w:rStyle w:val="13"/>
          <w:rFonts w:ascii="Times New Roman" w:hAnsi="Times New Roman" w:eastAsiaTheme="majorEastAsia"/>
          <w:sz w:val="22"/>
          <w:szCs w:val="22"/>
        </w:rPr>
        <w:t>wangliangtrhos@126.com</w:t>
      </w:r>
      <w:r>
        <w:rPr>
          <w:rStyle w:val="13"/>
          <w:rFonts w:ascii="Times New Roman" w:hAnsi="Times New Roman" w:eastAsiaTheme="majorEastAsia"/>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sz w:val="22"/>
          <w:szCs w:val="22"/>
        </w:rPr>
      </w:pPr>
      <w:r>
        <w:rPr>
          <w:rFonts w:ascii="Times New Roman" w:hAnsi="Times New Roman"/>
          <w:b/>
          <w:bCs/>
          <w:sz w:val="22"/>
          <w:szCs w:val="22"/>
        </w:rPr>
        <w:t xml:space="preserve">Abstract </w:t>
      </w:r>
      <w:r>
        <w:rPr>
          <w:rFonts w:ascii="Times New Roman" w:hAnsi="Times New Roman"/>
          <w:sz w:val="22"/>
          <w:szCs w:val="22"/>
        </w:rPr>
        <w:t>PD-1 (Programmed cell death-1) and PD-L1 (Programmed cell death-ligand 1) are important immune checkpoints, and their interactions can mediate immune suppression in the tumor microenvironment. Targeting PD-1 and PD-L1 are immune point inhibitors, which bind to PD-1 and PD-L1 respectively to block the signal pathway between the two and increase the immune response. They are widely used in tumor treatment and have good efficacy in malignant melanoma, renal cell carcinoma, non-small cell lung cancer, etc. In addition, for hematological malignancies, studies targeting PD-1 and PD-L1 have also achieved gratifying results. This article briefly reviews the mechanism of action, clinical application of targeting PD-1 and PD-L1, and their applications in hematological malignancies.</w:t>
      </w:r>
    </w:p>
    <w:p>
      <w:pPr>
        <w:spacing w:line="360" w:lineRule="auto"/>
        <w:rPr>
          <w:rFonts w:ascii="Times New Roman" w:hAnsi="Times New Roman"/>
          <w:sz w:val="22"/>
          <w:szCs w:val="22"/>
        </w:rPr>
      </w:pPr>
      <w:r>
        <w:rPr>
          <w:rFonts w:ascii="Times New Roman" w:hAnsi="Times New Roman"/>
          <w:b/>
          <w:bCs/>
          <w:sz w:val="22"/>
          <w:szCs w:val="22"/>
        </w:rPr>
        <w:t>Keywords</w:t>
      </w:r>
      <w:r>
        <w:rPr>
          <w:rFonts w:ascii="Times New Roman" w:hAnsi="Times New Roman"/>
          <w:sz w:val="22"/>
          <w:szCs w:val="22"/>
        </w:rPr>
        <w:t xml:space="preserve"> PD-1, PD-L1, Mechanism of action, Hematological malignanc</w:t>
      </w:r>
      <w:r>
        <w:rPr>
          <w:rFonts w:ascii="Times New Roman" w:hAnsi="Times New Roman"/>
          <w:sz w:val="22"/>
          <w:szCs w:val="22"/>
        </w:rPr>
        <w:br w:type="page"/>
      </w:r>
    </w:p>
    <w:p>
      <w:pPr>
        <w:adjustRightInd w:val="0"/>
        <w:snapToGrid w:val="0"/>
        <w:spacing w:before="312" w:beforeLines="100" w:line="260" w:lineRule="atLeast"/>
        <w:rPr>
          <w:rFonts w:ascii="Times New Roman" w:hAnsi="Times New Roman" w:eastAsia="宋体"/>
          <w:sz w:val="22"/>
          <w:szCs w:val="22"/>
        </w:rPr>
      </w:pPr>
      <w:bookmarkStart w:id="3" w:name="OLE_LINK90"/>
      <w:r>
        <w:rPr>
          <w:rFonts w:ascii="Times New Roman" w:hAnsi="Times New Roman" w:eastAsia="Times New Roman" w:cs="Times New Roman"/>
          <w:b/>
          <w:bCs/>
          <w:iCs/>
          <w:color w:val="190F13"/>
          <w:sz w:val="24"/>
          <w:highlight w:val="none"/>
        </w:rPr>
        <w:t>INTRODUCTION</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recent</w:t>
      </w:r>
      <w:bookmarkStart w:id="4" w:name="OLE_LINK89"/>
      <w:r>
        <w:rPr>
          <w:rFonts w:ascii="Times New Roman" w:hAnsi="Times New Roman" w:eastAsia="宋体"/>
          <w:sz w:val="22"/>
          <w:szCs w:val="22"/>
        </w:rPr>
        <w:t xml:space="preserve"> years, tumor immunotherapy has gradually become a hot spot in the field of tumor treatment, and it has shown good prospects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&lt;EndNote&gt;&lt;Cite&gt;&lt;Author&gt;Couzin-Frankel&lt;/Author&gt;&lt;Year&gt;2013&lt;/Year&gt;&lt;RecNum&gt;7&lt;/RecNum&gt;&lt;DisplayText&gt;&lt;style face="superscript"&gt;[1]&lt;/style&gt;&lt;/DisplayText&gt;&lt;record&gt;&lt;rec-number&gt;7&lt;/rec-number&gt;&lt;foreign-keys&gt;&lt;key app="EN" db-id="wtw2d92v2spsvber2d5x2p26d0vxavdxzsxf"&gt;7&lt;/key&gt;&lt;/foreign-keys&gt;&lt;ref-type name="Journal Article"&gt;17&lt;/ref-type&gt;&lt;contributors&gt;&lt;authors&gt;&lt;author&gt;Jennifer Couzin-Frankel&lt;/author&gt;&lt;/authors&gt;&lt;/contributors&gt;&lt;titles&gt;&lt;title&gt;Breakthrough of the year 2013. Cancer immunotherapy&lt;/title&gt;&lt;secondary-title&gt;Science&lt;/secondary-title&gt;&lt;/titles&gt;&lt;periodical&gt;&lt;full-title&gt;Science&lt;/full-title&gt;&lt;/periodical&gt;&lt;pages&gt;1432-3&lt;/pages&gt;&lt;volume&gt;342&lt;/volume&gt;&lt;number&gt;6165&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 \o "Couzin-Frankel, 2013 #7" </w:instrText>
      </w:r>
      <w:r>
        <w:fldChar w:fldCharType="separate"/>
      </w:r>
      <w:r>
        <w:rPr>
          <w:rFonts w:hint="eastAsia" w:ascii="Times New Roman" w:hAnsi="Times New Roman" w:eastAsia="宋体"/>
          <w:sz w:val="22"/>
          <w:szCs w:val="22"/>
          <w:vertAlign w:val="superscript"/>
        </w:rPr>
        <w:t>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also one of the most promising research directions in the tumor treatment. PD-1 (</w:t>
      </w:r>
      <w:bookmarkStart w:id="5" w:name="OLE_LINK4"/>
      <w:r>
        <w:rPr>
          <w:rFonts w:ascii="Times New Roman" w:hAnsi="Times New Roman" w:eastAsia="宋体"/>
          <w:sz w:val="22"/>
          <w:szCs w:val="22"/>
        </w:rPr>
        <w:t>also known as</w:t>
      </w:r>
      <w:bookmarkEnd w:id="5"/>
      <w:r>
        <w:rPr>
          <w:rFonts w:ascii="Times New Roman" w:hAnsi="Times New Roman" w:eastAsia="宋体"/>
          <w:sz w:val="22"/>
          <w:szCs w:val="22"/>
        </w:rPr>
        <w:t xml:space="preserve"> CD279</w:t>
      </w:r>
      <w:bookmarkStart w:id="6" w:name="OLE_LINK3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End w:id="6"/>
      <w:r>
        <w:rPr>
          <w:rFonts w:ascii="Times New Roman" w:hAnsi="Times New Roman" w:eastAsia="宋体"/>
          <w:sz w:val="22"/>
          <w:szCs w:val="22"/>
        </w:rPr>
        <w:t>), is one of the members of the B7 receptor fam</w:t>
      </w:r>
      <w:bookmarkEnd w:id="4"/>
      <w:r>
        <w:rPr>
          <w:rFonts w:ascii="Times New Roman" w:hAnsi="Times New Roman" w:eastAsia="宋体"/>
          <w:sz w:val="22"/>
          <w:szCs w:val="22"/>
        </w:rPr>
        <w:t>ily. Its ligands are programmed cell death-ligand 1 (PD-L1, also known as CD274) and programmed cell death-ligand 2 (PD-L2, also known as CD273), which are expressed by multiple types of cell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&lt;EndNote&gt;&lt;Cite&gt;&lt;Author&gt;Bachy&lt;/Author&gt;&lt;Year&gt;2014&lt;/Year&gt;&lt;RecNum&gt;9&lt;/RecNum&gt;&lt;DisplayText&gt;&lt;style face="superscript"&gt;[3]&lt;/style&gt;&lt;/DisplayText&gt;&lt;record&gt;&lt;rec-number&gt;9&lt;/rec-number&gt;&lt;foreign-keys&gt;&lt;key app="EN" db-id="wtw2d92v2spsvber2d5x2p26d0vxavdxzsxf"&gt;9&lt;/key&gt;&lt;/foreign-keys&gt;&lt;ref-type name="Journal Article"&gt;17&lt;/ref-type&gt;&lt;contributors&gt;&lt;authors&gt;&lt;author&gt;Emmanuel Bachy&lt;/author&gt;&lt;author&gt;Bertrand Coiffier&lt;/author&gt;&lt;/authors&gt;&lt;/contributors&gt;&lt;titles&gt;&lt;title&gt;Anti-PD1 antibody: a new approach to treatment of lymphomas&lt;/title&gt;&lt;secondary-title&gt;Lancet Oncology&lt;/secondary-title&gt;&lt;/titles&gt;&lt;periodical&gt;&lt;full-title&gt;Lancet Oncology&lt;/full-title&gt;&lt;/periodical&gt;&lt;pages&gt;7-8&lt;/pages&gt;&lt;volume&gt;15&lt;/volume&gt;&lt;number&gt;1&lt;/number&gt;&lt;dates&gt;&lt;year&gt;2014&lt;/year&gt;&lt;/dates&gt;&lt;urls&gt;&lt;/urls&gt;&lt;/record&gt;&lt;/Cite&gt;&lt;/EndNote&gt;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 \o "Bachy, 2014 #9" </w:instrText>
      </w:r>
      <w:r>
        <w:fldChar w:fldCharType="separate"/>
      </w:r>
      <w:r>
        <w:rPr>
          <w:rFonts w:hint="eastAsia" w:ascii="Times New Roman" w:hAnsi="Times New Roman" w:eastAsia="宋体"/>
          <w:sz w:val="22"/>
          <w:szCs w:val="22"/>
          <w:vertAlign w:val="superscript"/>
        </w:rPr>
        <w:t>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them,</w:t>
      </w:r>
      <w:bookmarkStart w:id="7" w:name="OLE_LINK3"/>
      <w:r>
        <w:rPr>
          <w:rFonts w:ascii="Times New Roman" w:hAnsi="Times New Roman" w:eastAsia="宋体"/>
          <w:sz w:val="22"/>
          <w:szCs w:val="22"/>
        </w:rPr>
        <w:t xml:space="preserve"> PD-1 and PD-L1</w:t>
      </w:r>
      <w:bookmarkEnd w:id="7"/>
      <w:r>
        <w:rPr>
          <w:rFonts w:ascii="Times New Roman" w:hAnsi="Times New Roman" w:eastAsia="宋体"/>
          <w:sz w:val="22"/>
          <w:szCs w:val="22"/>
        </w:rPr>
        <w:t xml:space="preserve"> are the most common immune checkpoints, which mainly inhibit stimulation, negatively regulate the function of T cells, and weaken the immune response to tumors. Therefore, targeting </w:t>
      </w:r>
      <w:bookmarkStart w:id="8" w:name="OLE_LINK87"/>
      <w:r>
        <w:rPr>
          <w:rFonts w:ascii="Times New Roman" w:hAnsi="Times New Roman" w:eastAsia="宋体"/>
          <w:sz w:val="22"/>
          <w:szCs w:val="22"/>
        </w:rPr>
        <w:t>PD-1</w:t>
      </w:r>
      <w:bookmarkEnd w:id="8"/>
      <w:r>
        <w:rPr>
          <w:rFonts w:ascii="Times New Roman" w:hAnsi="Times New Roman" w:eastAsia="宋体"/>
          <w:sz w:val="22"/>
          <w:szCs w:val="22"/>
        </w:rPr>
        <w:t xml:space="preserve"> and</w:t>
      </w:r>
      <w:bookmarkStart w:id="9" w:name="OLE_LINK86"/>
      <w:r>
        <w:rPr>
          <w:rFonts w:ascii="Times New Roman" w:hAnsi="Times New Roman" w:eastAsia="宋体"/>
          <w:sz w:val="22"/>
          <w:szCs w:val="22"/>
        </w:rPr>
        <w:t xml:space="preserve"> PD-L1</w:t>
      </w:r>
      <w:bookmarkEnd w:id="9"/>
      <w:r>
        <w:rPr>
          <w:rFonts w:ascii="Times New Roman" w:hAnsi="Times New Roman" w:eastAsia="宋体"/>
          <w:sz w:val="22"/>
          <w:szCs w:val="22"/>
        </w:rPr>
        <w:t xml:space="preserve"> can block the combination of PD-1 and PD-L1 to restore the anti-tumor effect of the immune system.</w:t>
      </w:r>
      <w:bookmarkStart w:id="10" w:name="OLE_LINK10"/>
      <w:r>
        <w:rPr>
          <w:rFonts w:ascii="Times New Roman" w:hAnsi="Times New Roman" w:eastAsia="宋体"/>
          <w:sz w:val="22"/>
          <w:szCs w:val="22"/>
        </w:rPr>
        <w:t xml:space="preserve"> This </w:t>
      </w:r>
      <w:bookmarkEnd w:id="10"/>
      <w:r>
        <w:rPr>
          <w:rFonts w:ascii="Times New Roman" w:hAnsi="Times New Roman" w:eastAsia="宋体"/>
          <w:sz w:val="22"/>
          <w:szCs w:val="22"/>
        </w:rPr>
        <w:t>article briefly reviews its mechanism of action and its application in hematological malignancies.</w:t>
      </w:r>
    </w:p>
    <w:bookmarkEnd w:id="3"/>
    <w:p>
      <w:pPr>
        <w:spacing w:line="360" w:lineRule="auto"/>
        <w:rPr>
          <w:rFonts w:ascii="Times New Roman" w:hAnsi="Times New Roman" w:eastAsia="黑体"/>
          <w:b/>
          <w:sz w:val="22"/>
          <w:szCs w:val="22"/>
        </w:rPr>
      </w:pPr>
      <w:r>
        <w:rPr>
          <w:rFonts w:ascii="Times New Roman" w:hAnsi="Times New Roman" w:eastAsia="黑体"/>
          <w:b/>
          <w:sz w:val="22"/>
          <w:szCs w:val="22"/>
        </w:rPr>
        <w:t>1 The mechanism and overview of PD-1/PD-L1</w:t>
      </w:r>
    </w:p>
    <w:p>
      <w:pPr>
        <w:spacing w:line="360" w:lineRule="auto"/>
        <w:rPr>
          <w:rFonts w:ascii="Times New Roman" w:hAnsi="Times New Roman" w:eastAsia="黑体"/>
          <w:sz w:val="22"/>
          <w:szCs w:val="22"/>
        </w:rPr>
      </w:pPr>
      <w:r>
        <w:rPr>
          <w:rFonts w:ascii="Times New Roman" w:hAnsi="Times New Roman" w:eastAsia="黑体"/>
          <w:b/>
          <w:sz w:val="22"/>
          <w:szCs w:val="22"/>
        </w:rPr>
        <w:t>1.1 Structural features</w:t>
      </w:r>
    </w:p>
    <w:p>
      <w:pPr>
        <w:spacing w:line="360" w:lineRule="auto"/>
        <w:ind w:firstLine="440" w:firstLineChars="200"/>
        <w:rPr>
          <w:rFonts w:ascii="Times New Roman" w:hAnsi="Times New Roman" w:eastAsia="宋体"/>
          <w:sz w:val="22"/>
          <w:szCs w:val="22"/>
        </w:rPr>
      </w:pPr>
      <w:bookmarkStart w:id="11" w:name="OLE_LINK91"/>
      <w:r>
        <w:rPr>
          <w:rFonts w:ascii="Times New Roman" w:hAnsi="Times New Roman" w:eastAsia="宋体"/>
          <w:sz w:val="22"/>
          <w:szCs w:val="22"/>
        </w:rPr>
        <w:t>PD-1 is a transmembrane protein with 288 amino acids, which belongs to the immunoglobulin superfamily, and is seen in lymphocytes, NK cells, monocytes, and dendritic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&lt;EndNote&gt;&lt;Cite&gt;&lt;Author&gt;Freeman&lt;/Author&gt;&lt;Year&gt;2008&lt;/Year&gt;&lt;RecNum&gt;10&lt;/RecNum&gt;&lt;DisplayText&gt;&lt;style face="superscript"&gt;[4]&lt;/style&gt;&lt;/DisplayText&gt;&lt;record&gt;&lt;rec-number&gt;10&lt;/rec-number&gt;&lt;foreign-keys&gt;&lt;key app="EN" db-id="wtw2d92v2spsvber2d5x2p26d0vxavdxzsxf"&gt;10&lt;/key&gt;&lt;/foreign-keys&gt;&lt;ref-type name="Journal Article"&gt;17&lt;/ref-type&gt;&lt;contributors&gt;&lt;authors&gt;&lt;author&gt;Mary E Keir&lt;/author&gt;&lt;author&gt;Manish J Butte&lt;/author&gt;&lt;author&gt;Gordon J Freeman&lt;/author&gt;&lt;author&gt;Arlene H Sharpe&lt;/author&gt;&lt;/authors&gt;&lt;/contributors&gt;&lt;titles&gt;&lt;title&gt;PD-1 and its ligands in tolerance and immunity&lt;/title&gt;&lt;secondary-title&gt;Annual Review of Immunology&lt;/secondary-title&gt;&lt;/titles&gt;&lt;periodical&gt;&lt;full-title&gt;Annual Review of Immunology&lt;/full-title&gt;&lt;/periodical&gt;&lt;pages&gt;677-704&lt;/pages&gt;&lt;volume&gt;26&lt;/volume&gt;&lt;number&gt;1&lt;/number&gt;&lt;dates&gt;&lt;year&gt;2008&lt;/year&gt;&lt;/dates&gt;&lt;urls&gt;&lt;/urls&gt;&lt;/record&gt;&lt;/Cite&gt;&lt;/EndNote&gt;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 \o "Keir, 2008 #10" </w:instrText>
      </w:r>
      <w:r>
        <w:fldChar w:fldCharType="separate"/>
      </w:r>
      <w:r>
        <w:rPr>
          <w:rFonts w:hint="eastAsia" w:ascii="Times New Roman" w:hAnsi="Times New Roman" w:eastAsia="宋体"/>
          <w:sz w:val="22"/>
          <w:szCs w:val="22"/>
          <w:vertAlign w:val="superscript"/>
        </w:rPr>
        <w:t>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PD-1 contains a single immunoglobulin V-like domain, a transmembrane domain, and an intracellular domain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&lt;EndNote&gt;&lt;Cite&gt;&lt;Author&gt;Zhang&lt;/Author&gt;&lt;Year&gt;2004&lt;/Year&gt;&lt;RecNum&gt;11&lt;/RecNum&gt;&lt;DisplayText&gt;&lt;style face="superscript"&gt;[5]&lt;/style&gt;&lt;/DisplayText&gt;&lt;record&gt;&lt;rec-number&gt;11&lt;/rec-number&gt;&lt;foreign-keys&gt;&lt;key app="EN" db-id="wtw2d92v2spsvber2d5x2p26d0vxavdxzsxf"&gt;11&lt;/key&gt;&lt;/foreign-keys&gt;&lt;ref-type name="Journal Article"&gt;17&lt;/ref-type&gt;&lt;contributors&gt;&lt;authors&gt;&lt;author&gt;Xuewu Zhang&lt;/author&gt;&lt;author&gt;Jean-Claude D Schwartz&lt;/author&gt;&lt;author&gt;Xiaoling Guo&lt;/author&gt;&lt;author&gt;Sumeena Bhatia&lt;/author&gt;&lt;/authors&gt;&lt;/contributors&gt;&lt;titles&gt;&lt;title&gt;Structural and Functional Analysis of the Costimulatory Receptor Programmed Death-1&lt;/title&gt;&lt;secondary-title&gt;Immunity&lt;/secondary-title&gt;&lt;/titles&gt;&lt;periodical&gt;&lt;full-title&gt;Immunity&lt;/full-title&gt;&lt;/periodical&gt;&lt;pages&gt;337-347&lt;/pages&gt;&lt;volume&gt;20&lt;/volume&gt;&lt;number&gt;3&lt;/number&gt;&lt;dates&gt;&lt;year&gt;2004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 \o "Zhang, 2004 #11" </w:instrText>
      </w:r>
      <w:r>
        <w:fldChar w:fldCharType="separate"/>
      </w:r>
      <w:r>
        <w:rPr>
          <w:rFonts w:hint="eastAsia" w:ascii="Times New Roman" w:hAnsi="Times New Roman" w:eastAsia="宋体"/>
          <w:sz w:val="22"/>
          <w:szCs w:val="22"/>
          <w:vertAlign w:val="superscript"/>
        </w:rPr>
        <w:t>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intracellular domain has an</w:t>
      </w:r>
      <w:bookmarkStart w:id="12" w:name="OLE_LINK12"/>
      <w:r>
        <w:rPr>
          <w:rFonts w:ascii="Times New Roman" w:hAnsi="Times New Roman" w:eastAsia="宋体"/>
          <w:sz w:val="22"/>
          <w:szCs w:val="22"/>
        </w:rPr>
        <w:t xml:space="preserve"> ITIM </w:t>
      </w:r>
      <w:bookmarkEnd w:id="12"/>
      <w:r>
        <w:rPr>
          <w:rFonts w:ascii="Times New Roman" w:hAnsi="Times New Roman" w:eastAsia="宋体"/>
          <w:sz w:val="22"/>
          <w:szCs w:val="22"/>
        </w:rPr>
        <w:t>(immunoreceptor tyrosine-based inhibitory motif)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&lt;EndNote&gt;&lt;Cite&gt;&lt;Author&gt;Ishida&lt;/Author&gt;&lt;Year&gt;1992&lt;/Year&gt;&lt;RecNum&gt;12&lt;/RecNum&gt;&lt;DisplayText&gt;&lt;style face="superscript"&gt;[6]&lt;/style&gt;&lt;/DisplayText&gt;&lt;record&gt;&lt;rec-number&gt;12&lt;/rec-number&gt;&lt;foreign-keys&gt;&lt;key app="EN" db-id="wtw2d92v2spsvber2d5x2p26d0vxavdxzsxf"&gt;12&lt;/key&gt;&lt;/foreign-keys&gt;&lt;ref-type name="Journal Article"&gt;17&lt;/ref-type&gt;&lt;contributors&gt;&lt;authors&gt;&lt;author&gt;Ishida, Y.&lt;/author&gt;&lt;author&gt;Agata, Y.&lt;/author&gt;&lt;author&gt;Shibahara, K.&lt;/author&gt;&lt;author&gt;Honjo, T.&lt;/author&gt;&lt;/authors&gt;&lt;/contributors&gt;&lt;titles&gt;&lt;title&gt;Induced expression of PD-1, a novel member of the immunoglobulin gene superfamily, upon programmed cell death&lt;/title&gt;&lt;secondary-title&gt;The EMBO Journal&lt;/secondary-title&gt;&lt;/titles&gt;&lt;periodical&gt;&lt;full-title&gt;The EMBO Journal&lt;/full-title&gt;&lt;/periodical&gt;&lt;pages&gt;3887-3895&lt;/pages&gt;&lt;volume&gt;11&lt;/volume&gt;&lt;number&gt;11&lt;/number&gt;&lt;dates&gt;&lt;year&gt;1992&lt;/year&gt;&lt;/dates&gt;&lt;urls&gt;&lt;/urls&gt;&lt;/record&gt;&lt;/Cite&gt;&lt;/EndNote&gt;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 \o "Ishida, 1992 #12" </w:instrText>
      </w:r>
      <w:r>
        <w:fldChar w:fldCharType="separate"/>
      </w:r>
      <w:r>
        <w:rPr>
          <w:rFonts w:hint="eastAsia" w:ascii="Times New Roman" w:hAnsi="Times New Roman" w:eastAsia="宋体"/>
          <w:sz w:val="22"/>
          <w:szCs w:val="22"/>
          <w:vertAlign w:val="superscript"/>
        </w:rPr>
        <w:t>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an ITSM (immunoreceptor tyrosine-based switch motif). After PD-1 binds to PD-L1, ITIM and ITSM of PD-1 are phosphorylated by the Src-family tyrosine kinases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&lt;EndNote&gt;&lt;Cite&gt;&lt;Author&gt;Guntermann&lt;/Author&gt;&lt;Year&gt;2002&lt;/Year&gt;&lt;RecNum&gt;116&lt;/RecNum&gt;&lt;DisplayText&gt;&lt;style face="superscript"&gt;[7]&lt;/style&gt;&lt;/DisplayText&gt;&lt;record&gt;&lt;rec-number&gt;116&lt;/rec-number&gt;&lt;foreign-keys&gt;&lt;key app="EN" db-id="wtw2d92v2spsvber2d5x2p26d0vxavdxzsxf"&gt;116&lt;/key&gt;&lt;/foreign-keys&gt;&lt;ref-type name="Journal Article"&gt;17&lt;/ref-type&gt;&lt;contributors&gt;&lt;authors&gt;&lt;author&gt;Christine Guntermann&lt;/author&gt;&lt;author&gt;Denis R Alexander&lt;/author&gt;&lt;/authors&gt;&lt;/contributors&gt;&lt;titles&gt;&lt;title&gt;CTLA-4 Suppresses Proximal TCR Signaling in Resting Human CD4+ T Cells by Inhibiting ZAP-70 Tyr319 Phosphorylation: A Potential Role for Tyrosine Phosphatases&lt;/title&gt;&lt;secondary-title&gt;Journal of Immunology&lt;/secondary-title&gt;&lt;/titles&gt;&lt;periodical&gt;&lt;full-title&gt;Journal of Immunology&lt;/full-title&gt;&lt;/periodical&gt;&lt;pages&gt;4420-9&lt;/pages&gt;&lt;volume&gt;168&lt;/volume&gt;&lt;number&gt;9&lt;/number&gt;&lt;dates&gt;&lt;year&gt;2002&lt;/year&gt;&lt;/dates&gt;&lt;urls&gt;&lt;/urls&gt;&lt;/record&gt;&lt;/Cite&gt;&lt;/EndNote&gt;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 \o "Guntermann, 2002 #116" </w:instrText>
      </w:r>
      <w:r>
        <w:fldChar w:fldCharType="separate"/>
      </w:r>
      <w:r>
        <w:rPr>
          <w:rFonts w:hint="eastAsia" w:ascii="Times New Roman" w:hAnsi="Times New Roman" w:eastAsia="宋体"/>
          <w:sz w:val="22"/>
          <w:szCs w:val="22"/>
          <w:vertAlign w:val="superscript"/>
        </w:rPr>
        <w:t>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thereby inhibiting T cell activity and proliferation, so PD-1 has dual roles in immunological tolerance: induction and maintenance of peripheral tolerance</w:t>
      </w:r>
      <w:bookmarkStart w:id="13" w:name="OLE_LINK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13"/>
      <w:r>
        <w:rPr>
          <w:rFonts w:ascii="Times New Roman" w:hAnsi="Times New Roman" w:eastAsia="宋体"/>
          <w:sz w:val="22"/>
          <w:szCs w:val="22"/>
        </w:rPr>
        <w:t xml:space="preserve"> PD-1 also can bind to B7-H1 and Fc fusion protein to inhibit the production of IL-12 in LPS-stimulated RAW264.7 cells, by inhibiting the Janus N-terminal Kinase (JNK) signaling pathway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&lt;EndNote&gt;&lt;Cite&gt;&lt;Author&gt;Cho&lt;/Author&gt;&lt;Year&gt;2009&lt;/Year&gt;&lt;RecNum&gt;126&lt;/RecNum&gt;&lt;DisplayText&gt;&lt;style face="superscript"&gt;[9]&lt;/style&gt;&lt;/DisplayText&gt;&lt;record&gt;&lt;rec-number&gt;126&lt;/rec-number&gt;&lt;foreign-keys&gt;&lt;key app="EN" db-id="wtw2d92v2spsvber2d5x2p26d0vxavdxzsxf"&gt;126&lt;/key&gt;&lt;/foreign-keys&gt;&lt;ref-type name="Journal Article"&gt;17&lt;/ref-type&gt;&lt;contributors&gt;&lt;authors&gt;&lt;author&gt;Hae-Yun Cho&lt;/author&gt;&lt;author&gt;Eun-Kyoung Choi&lt;/author&gt;&lt;author&gt;Soo-Woon Lee&lt;/author&gt;&lt;author&gt;AAAA&lt;/author&gt;&lt;/authors&gt;&lt;/contributors&gt;&lt;titles&gt;&lt;title&gt;Programmed death-1 receptor negatively regulates LPS-mediated IL-12 production and differentiation of murine macrophage RAW264.7 cells&lt;/title&gt;&lt;secondary-title&gt;Immunology Letters&lt;/secondary-title&gt;&lt;/titles&gt;&lt;periodical&gt;&lt;full-title&gt;Immunology Letters&lt;/full-title&gt;&lt;/periodical&gt;&lt;pages&gt;39-47&lt;/pages&gt;&lt;volume&gt;127&lt;/volume&gt;&lt;number&gt;1&lt;/number&gt;&lt;dates&gt;&lt;year&gt;2009&lt;/year&gt;&lt;/dates&gt;&lt;urls&gt;&lt;/urls&gt;&lt;/record&gt;&lt;/Cite&gt;&lt;/EndNote&gt;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"_ENREF_9" \o "Cho, 2009 #126" </w:instrText>
      </w:r>
      <w:r>
        <w:fldChar w:fldCharType="separate"/>
      </w:r>
      <w:r>
        <w:rPr>
          <w:rFonts w:hint="eastAsia" w:ascii="Times New Roman" w:hAnsi="Times New Roman" w:eastAsia="宋体"/>
          <w:sz w:val="22"/>
          <w:szCs w:val="22"/>
          <w:vertAlign w:val="superscript"/>
        </w:rPr>
        <w:t>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14" w:name="OLE_LINK81"/>
      <w:r>
        <w:rPr>
          <w:rFonts w:ascii="Times New Roman" w:hAnsi="Times New Roman" w:eastAsia="宋体"/>
          <w:sz w:val="22"/>
          <w:szCs w:val="22"/>
        </w:rPr>
        <w:t>PD-Ls</w:t>
      </w:r>
      <w:bookmarkStart w:id="15" w:name="OLE_LINK7"/>
      <w:r>
        <w:rPr>
          <w:rFonts w:ascii="Times New Roman" w:hAnsi="Times New Roman" w:eastAsia="宋体"/>
          <w:sz w:val="22"/>
          <w:szCs w:val="22"/>
        </w:rPr>
        <w:t xml:space="preserve"> contains </w:t>
      </w:r>
      <w:bookmarkStart w:id="16" w:name="OLE_LINK1"/>
      <w:r>
        <w:rPr>
          <w:rFonts w:ascii="Times New Roman" w:hAnsi="Times New Roman" w:eastAsia="宋体"/>
          <w:sz w:val="22"/>
          <w:szCs w:val="22"/>
        </w:rPr>
        <w:t>PD-L1</w:t>
      </w:r>
      <w:bookmarkEnd w:id="15"/>
      <w:bookmarkEnd w:id="16"/>
      <w:r>
        <w:rPr>
          <w:rFonts w:ascii="Times New Roman" w:hAnsi="Times New Roman" w:eastAsia="宋体"/>
          <w:sz w:val="22"/>
          <w:szCs w:val="22"/>
        </w:rPr>
        <w:t xml:space="preserve"> and </w:t>
      </w:r>
      <w:bookmarkStart w:id="17" w:name="OLE_LINK82"/>
      <w:r>
        <w:rPr>
          <w:rFonts w:ascii="Times New Roman" w:hAnsi="Times New Roman" w:eastAsia="宋体"/>
          <w:sz w:val="22"/>
          <w:szCs w:val="22"/>
        </w:rPr>
        <w:t>PD-L2</w:t>
      </w:r>
      <w:bookmarkEnd w:id="14"/>
      <w:bookmarkEnd w:id="17"/>
      <w:r>
        <w:rPr>
          <w:rFonts w:ascii="Times New Roman" w:hAnsi="Times New Roman" w:eastAsia="宋体"/>
          <w:sz w:val="22"/>
          <w:szCs w:val="22"/>
        </w:rPr>
        <w:t xml:space="preserve">. While PD-L1 is constitutively </w:t>
      </w:r>
      <w:bookmarkStart w:id="18" w:name="OLE_LINK84"/>
      <w:r>
        <w:rPr>
          <w:rFonts w:ascii="Times New Roman" w:hAnsi="Times New Roman" w:eastAsia="宋体"/>
          <w:sz w:val="22"/>
          <w:szCs w:val="22"/>
        </w:rPr>
        <w:t>expressed</w:t>
      </w:r>
      <w:bookmarkEnd w:id="18"/>
      <w:r>
        <w:rPr>
          <w:rFonts w:ascii="Times New Roman" w:hAnsi="Times New Roman" w:eastAsia="宋体"/>
          <w:sz w:val="22"/>
          <w:szCs w:val="22"/>
        </w:rPr>
        <w:t xml:space="preserve"> and upregulated in T cells, B cells, macrophages, dendritic cells, endothelial cells, epithelial cells, and muscle cells, PD-L2 is only expressed on the surface of dendritic cells, macrophages, and bone marrow-derived mast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&lt;EndNote&gt;&lt;Cite&gt;&lt;Author&gt;Sharpe&lt;/Author&gt;&lt;Year&gt;2007&lt;/Year&gt;&lt;RecNum&gt;93&lt;/RecNum&gt;&lt;DisplayText&gt;&lt;style face="superscript"&gt;[10]&lt;/style&gt;&lt;/DisplayText&gt;&lt;record&gt;&lt;rec-number&gt;93&lt;/rec-number&gt;&lt;foreign-keys&gt;&lt;key app="EN" db-id="wtw2d92v2spsvber2d5x2p26d0vxavdxzsxf"&gt;93&lt;/key&gt;&lt;/foreign-keys&gt;&lt;ref-type name="Journal Article"&gt;17&lt;/ref-type&gt;&lt;contributors&gt;&lt;authors&gt;&lt;author&gt;Sharpe, Arlene H&lt;/author&gt;&lt;author&gt;Wherry, E John&lt;/author&gt;&lt;author&gt;Ahmed, Rafi&lt;/author&gt;&lt;author&gt;Freeman, Gordon J&lt;/author&gt;&lt;/authors&gt;&lt;/contributors&gt;&lt;titles&gt;&lt;title&gt;The function of programmed cell death 1 and its ligands in regulating autoimmunity and infection&lt;/title&gt;&lt;secondary-title&gt;Nature Immunology&lt;/secondary-title&gt;&lt;/titles&gt;&lt;periodical&gt;&lt;full-title&gt;Nature Immunology&lt;/full-title&gt;&lt;/periodical&gt;&lt;pages&gt;239-245&lt;/pages&gt;&lt;volume&gt;8&lt;/volume&gt;&lt;number&gt;3&lt;/number&gt;&lt;dates&gt;&lt;year&gt;2007&lt;/year&gt;&lt;/dates&gt;&lt;urls&gt;&lt;/urls&gt;&lt;/record&gt;&lt;/Cite&gt;&lt;/EndNote&gt;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"_ENREF_10" \o "Sharpe, 2007 #93" </w:instrText>
      </w:r>
      <w:r>
        <w:fldChar w:fldCharType="separate"/>
      </w:r>
      <w:r>
        <w:rPr>
          <w:rFonts w:hint="eastAsia" w:ascii="Times New Roman" w:hAnsi="Times New Roman" w:eastAsia="宋体"/>
          <w:sz w:val="22"/>
          <w:szCs w:val="22"/>
          <w:vertAlign w:val="superscript"/>
        </w:rPr>
        <w:t>10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As for structure, they have similar exon organization of the 5′untranslated region, a signal sequence, IgV-like, IgC-like, and transmembrane domains, cytoplasmic exon 1 and 2 with the 3′untranslated region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&lt;EndNote&gt;&lt;Cite&gt;&lt;Author&gt;Latchman&lt;/Author&gt;&lt;Year&gt;2001&lt;/Year&gt;&lt;RecNum&gt;15&lt;/RecNum&gt;&lt;DisplayText&gt;&lt;style face="superscript"&gt;[11]&lt;/style&gt;&lt;/DisplayText&gt;&lt;record&gt;&lt;rec-number&gt;15&lt;/rec-number&gt;&lt;foreign-keys&gt;&lt;key app="EN" db-id="wtw2d92v2spsvber2d5x2p26d0vxavdxzsxf"&gt;15&lt;/key&gt;&lt;/foreign-keys&gt;&lt;ref-type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19" w:name="OLE_LINK83"/>
      <w:r>
        <w:rPr>
          <w:rFonts w:ascii="Times New Roman" w:hAnsi="Times New Roman" w:eastAsia="宋体"/>
          <w:sz w:val="22"/>
          <w:szCs w:val="22"/>
        </w:rPr>
        <w:t xml:space="preserve">. </w:t>
      </w:r>
      <w:bookmarkEnd w:id="19"/>
      <w:r>
        <w:rPr>
          <w:rFonts w:ascii="Times New Roman" w:hAnsi="Times New Roman" w:eastAsia="宋体"/>
          <w:sz w:val="22"/>
          <w:szCs w:val="22"/>
        </w:rPr>
        <w:t>PD-L1 has many functions, when it binds to PD-1, it can inhibit T cell proliferation and cytokine production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&lt;EndNote&gt;&lt;Cite&gt;&lt;Author&gt;Latchman&lt;/Author&gt;&lt;Year&gt;2001&lt;/Year&gt;&lt;RecNum&gt;118&lt;/RecNum&gt;&lt;DisplayText&gt;&lt;style face="superscript"&gt;[11]&lt;/style&gt;&lt;/DisplayText&gt;&lt;record&gt;&lt;rec-number&gt;118&lt;/rec-number&gt;&lt;foreign-keys&gt;&lt;key app="EN" db-id="wtw2d92v2spsvber2d5x2p26d0vxavdxzsxf"&gt;118&lt;/key&gt;&lt;/foreign-keys&gt;&lt;ref-type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PD-L1 can also interact with B7-1, regarding the mechanism of action there are many theories, with some studies suggesting that the cis-PD-L1/B7-1 on APCs disrupts the trans-binding of PD-1/PD-L1. Through this mechanism, APCs expressing substantial amounts of B7-1 mediate diminished T cell inhibition via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&lt;EndNote&gt;&lt;Cite&gt;&lt;Author&gt;Sugiura&lt;/Author&gt;&lt;Year&gt;2019&lt;/Year&gt;&lt;RecNum&gt;120&lt;/RecNum&gt;&lt;DisplayText&gt;&lt;style face="superscript"&gt;[12]&lt;/style&gt;&lt;/DisplayText&gt;&lt;record&gt;&lt;rec-number&gt;120&lt;/rec-number&gt;&lt;foreign-keys&gt;&lt;key app="EN" db-id="wtw2d92v2spsvber2d5x2p26d0vxavdxzsxf"&gt;120&lt;/key&gt;&lt;/foreign-keys&gt;&lt;ref-type name="Journal Article"&gt;17&lt;/ref-type&gt;&lt;contributors&gt;&lt;authors&gt;&lt;author&gt;Sugiura, D&lt;/author&gt;&lt;author&gt;Maruhashi, T&lt;/author&gt;&lt;author&gt;Il-Mi Okazaki&lt;/author&gt;&lt;author&gt;K  Shimizu&lt;/author&gt;&lt;author&gt;Okazaki, T&lt;/author&gt;&lt;/authors&gt;&lt;/contributors&gt;&lt;titles&gt;&lt;title&gt;Restriction of PD-1 function by cis -PD-L1/CD80 interactions is required for optimal T cell responses&lt;/title&gt;&lt;secondary-title&gt;Science&lt;/secondary-title&gt;&lt;/titles&gt;&lt;periodical&gt;&lt;full-title&gt;Science&lt;/full-title&gt;&lt;/periodical&gt;&lt;pages&gt;558-566&lt;/pages&gt;&lt;volume&gt;364&lt;/volume&gt;&lt;number&gt;6440&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"_ENREF_12" \o "Sugiura, 2019 #120" </w:instrText>
      </w:r>
      <w:r>
        <w:fldChar w:fldCharType="separate"/>
      </w:r>
      <w:r>
        <w:rPr>
          <w:rFonts w:hint="eastAsia" w:ascii="Times New Roman" w:hAnsi="Times New Roman" w:eastAsia="宋体"/>
          <w:sz w:val="22"/>
          <w:szCs w:val="22"/>
          <w:vertAlign w:val="superscript"/>
        </w:rPr>
        <w:t>12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provides a relevant basis for the combination therapy of B7-1 and PD-L1. The role of the combination of PD-L2 and PD-1 in regulating the differentiation and function of T cells remains to be determined, because it has been reported that it has both coinhibitory and costimulatory functions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0" w:name="_ENREF_81"/>
      <w:bookmarkEnd w:id="20"/>
      <w:r>
        <w:rPr>
          <w:rFonts w:ascii="Times New Roman" w:hAnsi="Times New Roman" w:eastAsia="宋体"/>
          <w:sz w:val="22"/>
          <w:szCs w:val="22"/>
        </w:rPr>
        <w:t>, therefore the design of drugs is mainly focused on PD-1 and PD-L1 targets. PD-L2 can also interact with rejection guiding molecule b (RGMb) to regulate respiratory tolerance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1" w:name="_ENREF_82"/>
      <w:bookmarkEnd w:id="21"/>
      <w:r>
        <w:rPr>
          <w:rFonts w:ascii="Times New Roman" w:hAnsi="Times New Roman" w:eastAsia="宋体"/>
          <w:sz w:val="22"/>
          <w:szCs w:val="22"/>
        </w:rPr>
        <w:t>.</w:t>
      </w:r>
    </w:p>
    <w:bookmarkEnd w:id="11"/>
    <w:p>
      <w:pPr>
        <w:spacing w:line="360" w:lineRule="auto"/>
        <w:rPr>
          <w:rFonts w:ascii="Times New Roman" w:hAnsi="Times New Roman" w:eastAsia="黑体"/>
          <w:b/>
          <w:sz w:val="22"/>
          <w:szCs w:val="22"/>
        </w:rPr>
      </w:pPr>
      <w:r>
        <w:rPr>
          <w:rFonts w:ascii="Times New Roman" w:hAnsi="Times New Roman" w:eastAsia="黑体"/>
          <w:b/>
          <w:sz w:val="22"/>
          <w:szCs w:val="22"/>
        </w:rPr>
        <w:t>1.2 Mechanism</w:t>
      </w:r>
    </w:p>
    <w:p>
      <w:pPr>
        <w:spacing w:line="360" w:lineRule="auto"/>
        <w:ind w:firstLine="440" w:firstLineChars="200"/>
        <w:rPr>
          <w:rFonts w:ascii="Times New Roman" w:hAnsi="Times New Roman" w:eastAsia="宋体"/>
          <w:sz w:val="22"/>
          <w:szCs w:val="22"/>
        </w:rPr>
      </w:pPr>
      <w:bookmarkStart w:id="22" w:name="OLE_LINK92"/>
      <w:r>
        <w:rPr>
          <w:rFonts w:ascii="Times New Roman" w:hAnsi="Times New Roman" w:eastAsia="宋体"/>
          <w:sz w:val="22"/>
          <w:szCs w:val="22"/>
        </w:rPr>
        <w:t>PD-1 can bind to PD-Ls, when binding to a PD-1 ligand on antigen-presenting cells can shut down self-reactive T cells and induce peripheral tolerance, while binding to a PD-1 ligand on parenchymal cells can maintain tolerance and prevent tissue destruction by inhibit effector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22"/>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PD-1 pathway has various mechanisms of action. After the two are combined, the ITIM and ITSM of PD-1 are phosphorylated by Src-family tyrosine kinases and SHPs are further recruited to the phosphorylated tyrosine residue. SHPs can dephosphorylate downstream signaling pathways, thereby blocking cell cycle progression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&lt;EndNote&gt;&lt;Cite&gt;&lt;Author&gt;Saunders&lt;/Author&gt;&lt;Year&gt;2010&lt;/Year&gt;&lt;RecNum&gt;122&lt;/RecNum&gt;&lt;DisplayText&gt;&lt;style face="superscript"&gt;[14]&lt;/style&gt;&lt;/DisplayText&gt;&lt;record&gt;&lt;rec-number&gt;122&lt;/rec-number&gt;&lt;foreign-keys&gt;&lt;key app="EN" db-id="wtw2d92v2spsvber2d5x2p26d0vxavdxzsxf"&gt;122&lt;/key&gt;&lt;/foreign-keys&gt;&lt;ref-type name="Journal Article"&gt;17&lt;/ref-type&gt;&lt;contributors&gt;&lt;authors&gt;&lt;author&gt;Paul A Saunders&lt;/author&gt;&lt;author&gt;Vana R Hendrycks&lt;/author&gt;&lt;author&gt;William A Lidinsky&lt;/author&gt;&lt;author&gt;Melody L Woods&lt;/author&gt;&lt;/authors&gt;&lt;/contributors&gt;&lt;titles&gt;&lt;title&gt;PD-L2:PD-1 involvement in T cell proliferation, cytokine production, and integrin-mediated adhesion&lt;/title&gt;&lt;secondary-title&gt;European Journal of Immunology&lt;/secondary-title&gt;&lt;/titles&gt;&lt;periodical&gt;&lt;full-title&gt;European Journal of Immunology&lt;/full-title&gt;&lt;/periodical&gt;&lt;pages&gt;3561-3569&lt;/pages&gt;&lt;volume&gt;35&lt;/volume&gt;&lt;number&gt;12&lt;/number&gt;&lt;dates&gt;&lt;year&gt;2010&lt;/year&gt;&lt;/dates&gt;&lt;urls&gt;&lt;/urls&gt;&lt;/record&gt;&lt;/Cite&gt;&lt;/EndNote&gt;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"_ENREF_14" \o "Saunders, 2010 #122" </w:instrText>
      </w:r>
      <w:r>
        <w:fldChar w:fldCharType="separate"/>
      </w:r>
      <w:r>
        <w:rPr>
          <w:rFonts w:hint="eastAsia" w:ascii="Times New Roman" w:hAnsi="Times New Roman" w:eastAsia="宋体"/>
          <w:sz w:val="22"/>
          <w:szCs w:val="22"/>
          <w:vertAlign w:val="superscript"/>
        </w:rPr>
        <w:t>14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SHPs can also inactivate zeta-chain-associated protein kinase 70 (ZAP70) and protein kinase C-θ (PKC-θ)</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Francisco and his colleagues demonstrated that PD-L1 can induce and maintain Tregs and enhance immune suppression at the organismal leve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&lt;EndNote&gt;&lt;Cite&gt;&lt;Author&gt;Francisco&lt;/Author&gt;&lt;Year&gt;2009&lt;/Year&gt;&lt;RecNum&gt;155&lt;/RecNum&gt;&lt;DisplayText&gt;&lt;style face="superscript"&gt;[15]&lt;/style&gt;&lt;/DisplayText&gt;&lt;record&gt;&lt;rec-number&gt;155&lt;/rec-number&gt;&lt;foreign-keys&gt;&lt;key app="EN" db-id="wtw2d92v2spsvber2d5x2p26d0vxavdxzsxf"&gt;155&lt;/key&gt;&lt;/foreign-keys&gt;&lt;ref-type name="Journal Article"&gt;17&lt;/ref-type&gt;&lt;contributors&gt;&lt;authors&gt;&lt;author&gt;Francisco, Loise M&lt;/author&gt;&lt;author&gt;Salinas, Victor H&lt;/author&gt;&lt;author&gt;Brown, Keturah E&lt;/author&gt;&lt;author&gt;Vanguri, Vijay K&lt;/author&gt;&lt;author&gt;Freeman, Gordon J&lt;/author&gt;&lt;author&gt;Kuchroo, Vijay K&lt;/author&gt;&lt;author&gt;Sharpe, Arlene H&lt;/author&gt;&lt;/authors&gt;&lt;/contributors&gt;&lt;titles&gt;&lt;title&gt;PD-L1 regulates the development, maintenance, and function of induced regulatory T cells&lt;/title&gt;&lt;secondary-title&gt;Journal of Experimental Medicine&lt;/secondary-title&gt;&lt;/titles&gt;&lt;periodical&gt;&lt;full-title&gt;Journal of Experimental Medicine&lt;/full-title&gt;&lt;/periodical&gt;&lt;pages&gt;3015-3029&lt;/pages&gt;&lt;volume&gt;206&lt;/volume&gt;&lt;number&gt;13&lt;/number&gt;&lt;dates&gt;&lt;year&gt;2009&lt;/year&gt;&lt;/dates&gt;&lt;isbn&gt;0022-1007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"_ENREF_15" \o "Francisco, 2009 #155" </w:instrText>
      </w:r>
      <w:r>
        <w:fldChar w:fldCharType="separate"/>
      </w:r>
      <w:r>
        <w:rPr>
          <w:rFonts w:hint="eastAsia" w:ascii="Times New Roman" w:hAnsi="Times New Roman" w:eastAsia="宋体"/>
          <w:sz w:val="22"/>
          <w:szCs w:val="22"/>
          <w:vertAlign w:val="superscript"/>
        </w:rPr>
        <w:t>15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r>
        <w:rPr>
          <w:rFonts w:ascii="Times New Roman" w:hAnsi="Times New Roman" w:eastAsia="黑体"/>
          <w:b/>
          <w:sz w:val="22"/>
          <w:szCs w:val="22"/>
        </w:rPr>
        <w:t>1.3 Clinical application</w:t>
      </w:r>
    </w:p>
    <w:p>
      <w:pPr>
        <w:spacing w:line="360" w:lineRule="auto"/>
        <w:ind w:firstLine="440" w:firstLineChars="200"/>
        <w:rPr>
          <w:rFonts w:ascii="Times New Roman" w:hAnsi="Times New Roman" w:eastAsia="宋体"/>
          <w:sz w:val="22"/>
          <w:szCs w:val="22"/>
        </w:rPr>
      </w:pPr>
      <w:bookmarkStart w:id="23" w:name="OLE_LINK29"/>
      <w:r>
        <w:rPr>
          <w:rFonts w:ascii="Times New Roman" w:hAnsi="Times New Roman" w:eastAsia="宋体"/>
          <w:sz w:val="22"/>
          <w:szCs w:val="22"/>
        </w:rPr>
        <w:t>Immune point inhibitors have become a key method of cancer treatment, especially targeting PD-1/PD-L1. In recent decades, more and more related drugs have been used to treat malignant tumors.</w:t>
      </w:r>
    </w:p>
    <w:p>
      <w:pPr>
        <w:spacing w:line="360" w:lineRule="auto"/>
        <w:ind w:firstLine="440" w:firstLineChars="200"/>
        <w:rPr>
          <w:rFonts w:ascii="Times New Roman" w:hAnsi="Times New Roman" w:eastAsia="宋体"/>
          <w:sz w:val="22"/>
          <w:szCs w:val="22"/>
        </w:rPr>
      </w:pPr>
      <w:bookmarkStart w:id="24" w:name="OLE_LINK30"/>
      <w:bookmarkStart w:id="25" w:name="OLE_LINK85"/>
      <w:bookmarkStart w:id="26" w:name="OLE_LINK39"/>
      <w:r>
        <w:rPr>
          <w:rFonts w:ascii="Times New Roman" w:hAnsi="Times New Roman" w:eastAsia="宋体"/>
          <w:sz w:val="22"/>
          <w:szCs w:val="22"/>
        </w:rPr>
        <w:t>As for</w:t>
      </w:r>
      <w:bookmarkEnd w:id="24"/>
      <w:r>
        <w:rPr>
          <w:rFonts w:ascii="Times New Roman" w:hAnsi="Times New Roman" w:eastAsia="宋体"/>
          <w:sz w:val="22"/>
          <w:szCs w:val="22"/>
        </w:rPr>
        <w:t xml:space="preserve"> PD-1 inhibitors, Pembrolizumab</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first approved by the FDA in September 2014 for the treatment of melanoma, NSCLC, etc.</w:t>
      </w:r>
      <w:bookmarkEnd w:id="25"/>
      <w:r>
        <w:rPr>
          <w:rFonts w:ascii="Times New Roman" w:hAnsi="Times New Roman" w:eastAsia="宋体"/>
          <w:sz w:val="22"/>
          <w:szCs w:val="22"/>
        </w:rPr>
        <w:t xml:space="preserve"> 3 months later, Nivolumab was approved for marketing</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can be used to treat melanoma that does not respond to other drugs. In the same year, MPDL3280A was given a breakthrough therapy for metastatic bladder cancer, and was given a breakthrough therapy for NSCLC in February of the following year. In China, Opdivo</w:t>
      </w:r>
      <w:bookmarkStart w:id="27" w:name="_ENREF_80"/>
      <w:bookmarkEnd w:id="27"/>
      <w:r>
        <w:rPr>
          <w:rFonts w:ascii="Times New Roman" w:hAnsi="Times New Roman" w:eastAsia="宋体"/>
          <w:sz w:val="22"/>
          <w:szCs w:val="22"/>
        </w:rPr>
        <w:t xml:space="preserve"> (Nivolumab) was first approved for marketing in June 2018, and Keytruda (Pembrolizumab) was approved for marketing in July. After that, several drugs were launched.</w:t>
      </w:r>
      <w:bookmarkEnd w:id="26"/>
    </w:p>
    <w:bookmarkEnd w:id="23"/>
    <w:p>
      <w:pPr>
        <w:spacing w:line="360" w:lineRule="auto"/>
        <w:ind w:firstLine="440" w:firstLineChars="200"/>
        <w:rPr>
          <w:rFonts w:ascii="Times New Roman" w:hAnsi="Times New Roman" w:eastAsia="宋体"/>
          <w:sz w:val="22"/>
          <w:szCs w:val="22"/>
        </w:rPr>
      </w:pPr>
      <w:bookmarkStart w:id="28" w:name="OLE_LINK28"/>
      <w:r>
        <w:rPr>
          <w:rFonts w:ascii="Times New Roman" w:hAnsi="Times New Roman" w:eastAsia="宋体"/>
          <w:sz w:val="22"/>
          <w:szCs w:val="22"/>
        </w:rPr>
        <w:t>As for PD-L1 inhibitors, Atezolizumab was first approved by the FDA for the treatment of bladder cancer, followed by Durvalumab, Avelumab, etc. At present, two PD-L1 inhibitors have been approved for marketing in China. They are Imfinzi (Durvalumab), which was approved in December 2019, and Bavencio (Atezolizumab), which was approved in February 2020.</w:t>
      </w:r>
      <w:bookmarkEnd w:id="28"/>
    </w:p>
    <w:p>
      <w:pPr>
        <w:spacing w:line="360" w:lineRule="auto"/>
        <w:ind w:firstLine="440" w:firstLineChars="200"/>
        <w:rPr>
          <w:rFonts w:ascii="Times New Roman" w:hAnsi="Times New Roman" w:eastAsia="宋体"/>
          <w:sz w:val="22"/>
          <w:szCs w:val="22"/>
        </w:rPr>
      </w:pPr>
      <w:bookmarkStart w:id="29" w:name="OLE_LINK31"/>
      <w:r>
        <w:rPr>
          <w:rFonts w:ascii="Times New Roman" w:hAnsi="Times New Roman" w:eastAsia="宋体"/>
          <w:sz w:val="22"/>
          <w:szCs w:val="22"/>
        </w:rPr>
        <w:t>However, with the progress of drug research, drug resistance has gradually become an urgent problem to be solved. Research shows, the tumor-immune cycle is divided into the following seven steps: the release of cancer antigens, cancer antigen presentation, priming and activation, trafficking of T cells to tumors, infiltration of T cells into tumors, recognition of cancer cells by T cells, and killing of cancer cells. Given that PD-1/PD-L1 blockade is primarily involved in step 7, any abnormalities in the previous steps may lead to drug resistance</w:t>
      </w:r>
      <w:bookmarkStart w:id="30" w:name="_ENREF_79"/>
      <w:bookmarkEnd w:id="30"/>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such as: lack of tumor antigen expression, dysbiosis of the normal gut microbiome, migration disorders of T cells, etc. Therefore, combination drugs can use the PD-1/PD-L1 pathway as the cornerstone of the combined checkpoint blockade program, to antagonize additional inhibitory signals, thereby improve immunity efficacy of checkpoint blockade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&lt;EndNote&gt;&lt;Cite&gt;&lt;Author&gt;Minn&lt;/Author&gt;&lt;Year&gt;2016&lt;/Year&gt;&lt;RecNum&gt;23&lt;/RecNum&gt;&lt;DisplayText&gt;&lt;style face="superscript"&gt;[18]&lt;/style&gt;&lt;/DisplayText&gt;&lt;record&gt;&lt;rec-number&gt;23&lt;/rec-number&gt;&lt;foreign-keys&gt;&lt;key app="EN" db-id="wtw2d92v2spsvber2d5x2p26d0vxavdxzsxf"&gt;23&lt;/key&gt;&lt;/foreign-keys&gt;&lt;ref-type name="Journal Article"&gt;17&lt;/ref-type&gt;&lt;contributors&gt;&lt;authors&gt;&lt;author&gt;Andy J Minn&lt;/author&gt;&lt;author&gt;E John Wherry&lt;/author&gt;&lt;/authors&gt;&lt;/contributors&gt;&lt;titles&gt;&lt;title&gt;Combination Cancer Therapies with Immune Checkpoint Blockade: Convergence on Interferon Signaling&lt;/title&gt;&lt;secondary-title&gt;Cell&lt;/secondary-title&gt;&lt;/titles&gt;&lt;periodical&gt;&lt;full-title&gt;Cell&lt;/full-title&gt;&lt;/periodical&gt;&lt;pages&gt;272-275&lt;/pages&gt;&lt;volume&gt;165&lt;/volume&gt;&lt;number&gt;2&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"_ENREF_18" \o "Minn, 2016 #23" </w:instrText>
      </w:r>
      <w:r>
        <w:fldChar w:fldCharType="separate"/>
      </w:r>
      <w:r>
        <w:rPr>
          <w:rFonts w:hint="eastAsia" w:ascii="Times New Roman" w:hAnsi="Times New Roman" w:eastAsia="宋体"/>
          <w:sz w:val="22"/>
          <w:szCs w:val="22"/>
          <w:vertAlign w:val="superscript"/>
        </w:rPr>
        <w:t>18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29"/>
      <w:r>
        <w:rPr>
          <w:rFonts w:ascii="Times New Roman" w:hAnsi="Times New Roman" w:eastAsia="宋体"/>
          <w:sz w:val="22"/>
          <w:szCs w:val="22"/>
        </w:rPr>
        <w:t xml:space="preserve"> At present, the most commonly used combination drugs are as follows: radiotherapy can cause the release of tumor antigens and increase the immunogenicity of tumors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&lt;EndNote&gt;&lt;Cite&gt;&lt;Author&gt;Twyman-Saint Victor&lt;/Author&gt;&lt;Year&gt;2015&lt;/Year&gt;&lt;RecNum&gt;133&lt;/RecNum&gt;&lt;DisplayText&gt;&lt;style face="superscript"&gt;[19]&lt;/style&gt;&lt;/DisplayText&gt;&lt;record&gt;&lt;rec-number&gt;133&lt;/rec-number&gt;&lt;foreign-keys&gt;&lt;key app="EN" db-id="wtw2d92v2spsvber2d5x2p26d0vxavdxzsxf"&gt;133&lt;/key&gt;&lt;/foreign-keys&gt;&lt;ref-type name="Journal Article"&gt;17&lt;/ref-type&gt;&lt;contributors&gt;&lt;authors&gt;&lt;author&gt;Twyman-Saint Victor, Christina&lt;/author&gt;&lt;author&gt;Rech, Andrew J&lt;/author&gt;&lt;author&gt;Maity, Amit&lt;/author&gt;&lt;author&gt;Rengan, Ramesh&lt;/author&gt;&lt;author&gt;Pauken, Kristen E&lt;/author&gt;&lt;author&gt;Stelekati, Erietta&lt;/author&gt;&lt;author&gt;Benci, Joseph L&lt;/author&gt;&lt;author&gt;Xu, Bihui&lt;/author&gt;&lt;author&gt;Dada, Hannah&lt;/author&gt;&lt;author&gt;Odorizzi, Pamela M&lt;/author&gt;&lt;/authors&gt;&lt;/contributors&gt;&lt;titles&gt;&lt;title&gt;Radiation and dual checkpoint blockade activate non-redundant immune mechanisms in cancer&lt;/title&gt;&lt;secondary-title&gt;Nature&lt;/secondary-title&gt;&lt;/titles&gt;&lt;periodical&gt;&lt;full-title&gt;Nature&lt;/full-title&gt;&lt;/periodical&gt;&lt;pages&gt;373-377&lt;/pages&gt;&lt;volume&gt;520&lt;/volume&gt;&lt;number&gt;7547&lt;/number&gt;&lt;dates&gt;&lt;year&gt;2015&lt;/year&gt;&lt;/dates&gt;&lt;isbn&gt;1476-4687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"_ENREF_19" \o "Twyman-Saint Victor, 2015 #133" </w:instrText>
      </w:r>
      <w:r>
        <w:fldChar w:fldCharType="separate"/>
      </w:r>
      <w:r>
        <w:rPr>
          <w:rFonts w:hint="eastAsia" w:ascii="Times New Roman" w:hAnsi="Times New Roman" w:eastAsia="宋体"/>
          <w:sz w:val="22"/>
          <w:szCs w:val="22"/>
          <w:vertAlign w:val="superscript"/>
        </w:rPr>
        <w:t>19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Vaccines, CD40 agonists and TLR agonists can promote DC cross-presentation to enhance T cells Anti-tumor response. CTLA-4 blockers, CD137 agonists and inflammatory cytokines such as IL-2 can enhance the initiation and activation of T cells. Block inhibitory immune checkpoint molecules such as TIM-3 and Lag-3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etc. The above methods can reduce the drug resistance of targeting PD-1/PD-L1 and enhance the therapeutic effect.</w:t>
      </w:r>
    </w:p>
    <w:p>
      <w:pPr>
        <w:spacing w:line="360" w:lineRule="auto"/>
        <w:rPr>
          <w:rFonts w:ascii="Times New Roman" w:hAnsi="Times New Roman" w:eastAsia="黑体"/>
          <w:b/>
          <w:sz w:val="22"/>
          <w:szCs w:val="22"/>
        </w:rPr>
      </w:pPr>
      <w:r>
        <w:rPr>
          <w:rFonts w:ascii="Times New Roman" w:hAnsi="Times New Roman" w:eastAsia="黑体"/>
          <w:b/>
          <w:sz w:val="22"/>
          <w:szCs w:val="22"/>
        </w:rPr>
        <w:t>2 Application of targeting PD-1/PD-L1 in hematological malignancies</w:t>
      </w:r>
    </w:p>
    <w:p>
      <w:pPr>
        <w:spacing w:line="360" w:lineRule="auto"/>
        <w:ind w:firstLine="440" w:firstLineChars="200"/>
        <w:rPr>
          <w:rFonts w:ascii="Times New Roman" w:hAnsi="Times New Roman" w:eastAsia="宋体"/>
          <w:sz w:val="22"/>
          <w:szCs w:val="22"/>
        </w:rPr>
      </w:pPr>
      <w:bookmarkStart w:id="31" w:name="OLE_LINK34"/>
      <w:r>
        <w:rPr>
          <w:rFonts w:ascii="Times New Roman" w:hAnsi="Times New Roman" w:eastAsia="宋体"/>
          <w:sz w:val="22"/>
          <w:szCs w:val="22"/>
        </w:rPr>
        <w:t>With the progress of drug research, targeting PD-1/PD-L1 has gradually been used in hematological malignancies. Drugs, such as Nivolumab, Pembrolizumab, have conducted relevant clinical trials, and some drugs have been approved for use in the clinical treatment of certain hematological malignancies. According to research, as for hematological malignancies, targeting PD-1/PD-L1 is the most effective for lymphoma, leukemia second, and multiple myeloma is worse. This article will explain its effects in order.</w:t>
      </w:r>
    </w:p>
    <w:bookmarkEnd w:id="31"/>
    <w:p>
      <w:pPr>
        <w:spacing w:line="360" w:lineRule="auto"/>
        <w:rPr>
          <w:rFonts w:ascii="Times New Roman" w:hAnsi="Times New Roman" w:eastAsia="黑体"/>
          <w:b/>
          <w:sz w:val="22"/>
          <w:szCs w:val="22"/>
        </w:rPr>
      </w:pPr>
      <w:r>
        <w:rPr>
          <w:rFonts w:ascii="Times New Roman" w:hAnsi="Times New Roman" w:eastAsia="黑体"/>
          <w:b/>
          <w:sz w:val="22"/>
          <w:szCs w:val="22"/>
        </w:rPr>
        <w:t>2.1 Lymphoma</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 Hodgkin lymphoma </w:t>
      </w:r>
      <w:bookmarkStart w:id="32" w:name="OLE_LINK8"/>
      <w:r>
        <w:rPr>
          <w:rFonts w:ascii="Times New Roman" w:hAnsi="Times New Roman" w:eastAsia="黑体"/>
          <w:b/>
          <w:sz w:val="22"/>
          <w:szCs w:val="22"/>
        </w:rPr>
        <w:t>(HL</w:t>
      </w:r>
      <w:bookmarkEnd w:id="32"/>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most Hodgkin lymphoma, cytogenetic studies have shown that the copy number of the gene locus of PD-L1 and PD-L2 is amplified, leading to the up-regulation of the surface expression of PD-L1 and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&lt;EndNote&gt;&lt;Cite&gt;&lt;Author&gt;Longley&lt;/Author&gt;&lt;Year&gt;2019&lt;/Year&gt;&lt;RecNum&gt;44&lt;/RecNum&gt;&lt;DisplayText&gt;&lt;style face="superscript"&gt;[20]&lt;/style&gt;&lt;/DisplayText&gt;&lt;record&gt;&lt;rec-number&gt;44&lt;/rec-number&gt;&lt;foreign-keys&gt;&lt;key app="EN" db-id="wtw2d92v2spsvber2d5x2p26d0vxavdxzsxf"&gt;44&lt;/key&gt;&lt;/foreign-keys&gt;&lt;ref-type name="Journal Article"&gt;17&lt;/ref-type&gt;&lt;contributors&gt;&lt;authors&gt;&lt;author&gt;Jemma Longley&lt;/author&gt;&lt;author&gt;Peter W M Johnson&lt;/author&gt;&lt;/authors&gt;&lt;/contributors&gt;&lt;titles&gt;&lt;title&gt;Options for first line therapy of Hodgkin lymphoma&lt;/title&gt;&lt;secondary-title&gt;Hematological Oncology&lt;/secondary-title&gt;&lt;/titles&gt;&lt;periodical&gt;&lt;full-title&gt;Hematological Oncology&lt;/full-title&gt;&lt;/periodical&gt;&lt;pages&gt;82-86&lt;/pages&gt;&lt;volume&gt;37 Suppl 1&lt;/volume&gt;&lt;number&gt;Suppl Suppl 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"_ENREF_20" \o "Longley, 2019 #44" </w:instrText>
      </w:r>
      <w:r>
        <w:fldChar w:fldCharType="separate"/>
      </w:r>
      <w:r>
        <w:rPr>
          <w:rFonts w:hint="eastAsia" w:ascii="Times New Roman" w:hAnsi="Times New Roman" w:eastAsia="宋体"/>
          <w:sz w:val="22"/>
          <w:szCs w:val="22"/>
          <w:vertAlign w:val="superscript"/>
        </w:rPr>
        <w:t>20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targeting PD-1/PD-L1 has a better therapeutic effect on it.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2.1.1.1 </w:t>
      </w:r>
      <w:bookmarkStart w:id="33" w:name="OLE_LINK88"/>
      <w:r>
        <w:rPr>
          <w:rFonts w:ascii="Times New Roman" w:hAnsi="Times New Roman" w:eastAsia="黑体"/>
          <w:b/>
          <w:sz w:val="22"/>
          <w:szCs w:val="22"/>
        </w:rPr>
        <w:t>Relapsed/refractory HL</w:t>
      </w:r>
      <w:bookmarkEnd w:id="33"/>
      <w:r>
        <w:rPr>
          <w:rFonts w:ascii="Times New Roman" w:hAnsi="Times New Roman" w:eastAsia="黑体"/>
          <w:b/>
          <w:sz w:val="22"/>
          <w:szCs w:val="22"/>
        </w:rPr>
        <w:t xml:space="preserve"> </w:t>
      </w:r>
      <w:bookmarkStart w:id="34" w:name="OLE_LINK17"/>
      <w:bookmarkStart w:id="35" w:name="OLE_LINK37"/>
      <w:r>
        <w:rPr>
          <w:rFonts w:ascii="Times New Roman" w:hAnsi="Times New Roman" w:eastAsia="黑体"/>
          <w:b/>
          <w:sz w:val="22"/>
          <w:szCs w:val="22"/>
        </w:rPr>
        <w:t>(rel/ref</w:t>
      </w:r>
      <w:bookmarkEnd w:id="34"/>
      <w:r>
        <w:rPr>
          <w:rFonts w:ascii="Times New Roman" w:hAnsi="Times New Roman" w:eastAsia="黑体"/>
          <w:b/>
          <w:sz w:val="22"/>
          <w:szCs w:val="22"/>
        </w:rPr>
        <w:t xml:space="preserve"> HL</w:t>
      </w:r>
      <w:bookmarkEnd w:id="35"/>
      <w:r>
        <w:rPr>
          <w:rFonts w:ascii="Times New Roman" w:hAnsi="Times New Roman" w:eastAsia="黑体"/>
          <w:b/>
          <w:sz w:val="22"/>
          <w:szCs w:val="22"/>
        </w:rPr>
        <w:t>)</w:t>
      </w:r>
    </w:p>
    <w:p>
      <w:pPr>
        <w:spacing w:line="360" w:lineRule="auto"/>
        <w:ind w:firstLine="440" w:firstLineChars="200"/>
        <w:jc w:val="both"/>
        <w:rPr>
          <w:rFonts w:ascii="Times New Roman" w:hAnsi="Times New Roman" w:eastAsia="宋体"/>
          <w:sz w:val="22"/>
          <w:szCs w:val="22"/>
        </w:rPr>
      </w:pPr>
      <w:r>
        <w:rPr>
          <w:rFonts w:ascii="Times New Roman" w:hAnsi="Times New Roman" w:eastAsia="宋体"/>
          <w:sz w:val="22"/>
          <w:szCs w:val="22"/>
        </w:rPr>
        <w:t>Currently, Nivolumab and Pembrolizumab are approved by FDA for the treatment of advanced r/r HL. And the study found that 70% of r/r HL patients responded to PD-1 inhibitors, and 20% had a complete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&lt;EndNote&gt;&lt;Cite&gt;&lt;Author&gt;Meti&lt;/Author&gt;&lt;Year&gt;2018&lt;/Year&gt;&lt;RecNum&gt;64&lt;/RecNum&gt;&lt;DisplayText&gt;&lt;style face="superscript"&gt;[21]&lt;/style&gt;&lt;/DisplayText&gt;&lt;record&gt;&lt;rec-number&gt;64&lt;/rec-number&gt;&lt;foreign-keys&gt;&lt;key app="EN" db-id="wtw2d92v2spsvber2d5x2p26d0vxavdxzsxf"&gt;64&lt;/key&gt;&lt;/foreign-keys&gt;&lt;ref-type name="Journal Article"&gt;17&lt;/ref-type&gt;&lt;contributors&gt;&lt;authors&gt;&lt;author&gt;Nicholas Meti&lt;/author&gt;&lt;author&gt;Khashayar Esfahani&lt;/author&gt;&lt;author&gt;Nathalie A Johnson&lt;/author&gt;&lt;/authors&gt;&lt;/contributors&gt;&lt;titles&gt;&lt;title&gt;The Role of Immune Checkpoint Inhibitors in Classical Hodgkin Lymphoma&lt;/title&gt;&lt;secondary-title&gt;Cancers (Basel)&lt;/secondary-title&gt;&lt;/titles&gt;&lt;periodical&gt;&lt;full-title&gt;Cancers (Basel)&lt;/full-title&gt;&lt;/periodical&gt;&lt;pages&gt;204&lt;/pages&gt;&lt;volume&gt;10&lt;/volume&gt;&lt;number&gt;6&lt;/number&gt;&lt;dates&gt;&lt;year&gt;2018&lt;/year&gt;&lt;/dates&gt;&lt;urls&gt;&lt;/urls&gt;&lt;electronic-resource-num&gt;10.3390/cancers10060204&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"_ENREF_21" \o "Meti, 2018 #64" </w:instrText>
      </w:r>
      <w:r>
        <w:fldChar w:fldCharType="separate"/>
      </w:r>
      <w:r>
        <w:rPr>
          <w:rFonts w:hint="eastAsia" w:ascii="Times New Roman" w:hAnsi="Times New Roman" w:eastAsia="宋体"/>
          <w:sz w:val="22"/>
          <w:szCs w:val="22"/>
          <w:vertAlign w:val="superscript"/>
        </w:rPr>
        <w:t>21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Nivolumab, a retrospective study included 53 r/r HL patients from 9 US centers. The overall effective rate of the discoverer was 68%, the 12-month progression-free survival rate was 75%, the overall survival rate was 89%, the complete remission rate was 45%, and the partial remission rate was 23%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&lt;EndNote&gt;&lt;Cite&gt;&lt;Author&gt;Bair&lt;/Author&gt;&lt;Year&gt;2019&lt;/Year&gt;&lt;RecNum&gt;134&lt;/RecNum&gt;&lt;DisplayText&gt;&lt;style face="superscript"&gt;[22]&lt;/style&gt;&lt;/DisplayText&gt;&lt;record&gt;&lt;rec-number&gt;134&lt;/rec-number&gt;&lt;foreign-keys&gt;&lt;key app="EN" db-id="wtw2d92v2spsvber2d5x2p26d0vxavdxzsxf"&gt;134&lt;/key&gt;&lt;/foreign-keys&gt;&lt;ref-type name="Journal Article"&gt;17&lt;/ref-type&gt;&lt;contributors&gt;&lt;authors&gt;&lt;author&gt;Bair, Steven M&lt;/author&gt;&lt;author&gt;Strelec, Lauren E&lt;/author&gt;&lt;author&gt;Feldman, Tatyana A&lt;/author&gt;&lt;author&gt;Ahmed, Gulrayz&lt;/author&gt;&lt;author&gt;Armand, Philippe&lt;/author&gt;&lt;author&gt;Shah, Nirav N&lt;/author&gt;&lt;author&gt;Singavi, Arun N&lt;/author&gt;&lt;author&gt;Reddy, Nishitha&lt;/author&gt;&lt;author&gt;Khan, Nadia&lt;/author&gt;&lt;author&gt;Andreadis, Charalambos&lt;/author&gt;&lt;/authors&gt;&lt;/contributors&gt;&lt;titles&gt;&lt;title&gt;Outcomes and Toxicities of Programmed Death‐1 (PD‐1) Inhibitors in Hodgkin Lymphoma Patients in the United States: A Real‐World, Multicenter Retrospective Analysis&lt;/title&gt;&lt;secondary-title&gt;The oncologist&lt;/secondary-title&gt;&lt;/titles&gt;&lt;periodical&gt;&lt;full-title&gt;The Oncologist&lt;/full-title&gt;&lt;/periodical&gt;&lt;pages&gt;&lt;style face="normal" font="default" size="100%"&gt;955&lt;/style&gt;&lt;style face="normal" font="default" charset="134" size="100%"&gt;-962&lt;/style&gt;&lt;/pages&gt;&lt;volume&gt;24&lt;/volume&gt;&lt;number&gt;7&lt;/number&gt;&lt;dates&gt;&lt;year&gt;2019&lt;/year&gt;&lt;/dates&gt;&lt;urls&gt;&lt;/urls&gt;&lt;/record&gt;&lt;/Cite&gt;&lt;/EndNote&gt;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"_ENREF_22" \o "Bair, 2019 #134" </w:instrText>
      </w:r>
      <w:r>
        <w:fldChar w:fldCharType="separate"/>
      </w:r>
      <w:r>
        <w:rPr>
          <w:rFonts w:hint="eastAsia" w:ascii="Times New Roman" w:hAnsi="Times New Roman" w:eastAsia="宋体"/>
          <w:sz w:val="22"/>
          <w:szCs w:val="22"/>
          <w:vertAlign w:val="superscript"/>
        </w:rPr>
        <w:t>22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has a good effect on the treatment of HL. Regarding its combination therapy, a trial published on EHA (Abstract: PF431) studied the use of Nivolumab and Brentuximab Vedotin to treat 10 patients who failed the monotherapy of Nivolumab. The median follow-up time was 10.8 (7.4-13) months, the objective response rate of treated patients was 70%, the complete response rate was 30%, and 9 patients (90%) had treatment-related adverse events (AE), of which nausea and peripheral neuropathy were the most common. It shows that the therapeutic effect of Nivolumab + BV is similar to monotherapy, and it is expected to be an effective rescue plan for r/r HL patients who have failed monotherapy with Nivolumab. In addition, a recent study found that, for 59 patients with r/r HL who were treated with Nivolumab and Brentuximab Vedotin after autologous hematopoietic cell transplantation, the 18-month progression-free survival rate and overall survival rate were 95% and 98%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&lt;EndNote&gt;&lt;Cite&gt;&lt;Author&gt;Herrera&lt;/Author&gt;&lt;Year&gt;2020&lt;/Year&gt;&lt;RecNum&gt;95&lt;/RecNum&gt;&lt;DisplayText&gt;&lt;style face="superscript"&gt;[23]&lt;/style&gt;&lt;/DisplayText&gt;&lt;record&gt;&lt;rec-number&gt;95&lt;/rec-number&gt;&lt;foreign-keys&gt;&lt;key app="EN" db-id="wtw2d92v2spsvber2d5x2p26d0vxavdxzsxf"&gt;95&lt;/key&gt;&lt;/foreign-keys&gt;&lt;ref-type name="Journal Article"&gt;17&lt;/ref-type&gt;&lt;contributors&gt;&lt;authors&gt;&lt;author&gt;Alex F.Herrera MD&lt;/author&gt;&lt;author&gt;Lu Chen PhD&lt;/author&gt;&lt;author&gt;Yago Nieto MD&lt;/author&gt;&lt;author&gt;LeonaHolmberg&lt;/author&gt;&lt;/authors&gt;&lt;/contributors&gt;&lt;titles&gt;&lt;title&gt;Consolidation with Nivolumab and Brentuximab Vedotin after Autologous Hematopoietic Cell Transplantation in Patients with High-Risk Hodgkin Lymphoma&lt;/title&gt;&lt;secondary-title&gt;Blood&lt;/secondary-title&gt;&lt;/titles&gt;&lt;periodical&gt;&lt;full-title&gt;Blood&lt;/full-title&gt;&lt;/periodical&gt;&lt;pages&gt;19-20&lt;/pages&gt;&lt;volume&gt;136&lt;/volume&gt;&lt;number&gt;Supplement 1&lt;/number&gt;&lt;dates&gt;&lt;year&gt;2020&lt;/year&gt;&lt;/dates&gt;&lt;urls&gt;&lt;/urls&gt;&lt;/record&gt;&lt;/Cite&gt;&lt;/EndNote&gt;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"_ENREF_23" \o "MD, 2020 #95" </w:instrText>
      </w:r>
      <w:r>
        <w:fldChar w:fldCharType="separate"/>
      </w:r>
      <w:r>
        <w:rPr>
          <w:rFonts w:hint="eastAsia" w:ascii="Times New Roman" w:hAnsi="Times New Roman" w:eastAsia="宋体"/>
          <w:sz w:val="22"/>
          <w:szCs w:val="22"/>
          <w:vertAlign w:val="superscript"/>
        </w:rPr>
        <w:t>23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is also expected to be used for the consolidation of autologous hematopoietic cell transplantation.</w:t>
      </w:r>
      <w:bookmarkStart w:id="36" w:name="OLE_LINK42"/>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Pembrolizumab also works well. A multi-cohort phase II study found that Pembrolizumab has clinical activity in patients with r/r HL, with an objective response rate of 65-72% and a complete response rate of 22%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&lt;EndNote&gt;&lt;Cite&gt;&lt;Author&gt;Chen&lt;/Author&gt;&lt;Year&gt;2016&lt;/Year&gt;&lt;RecNum&gt;164&lt;/RecNum&gt;&lt;DisplayText&gt;&lt;style face="superscript"&gt;[24]&lt;/style&gt;&lt;/DisplayText&gt;&lt;record&gt;&lt;rec-number&gt;164&lt;/rec-number&gt;&lt;foreign-keys&gt;&lt;key app="EN" db-id="wtw2d92v2spsvber2d5x2p26d0vxavdxzsxf"&gt;164&lt;/key&gt;&lt;/foreign-keys&gt;&lt;ref-type name="Journal Article"&gt;17&lt;/ref-type&gt;&lt;contributors&gt;&lt;authors&gt;&lt;author&gt;Robert W. Chen&lt;/author&gt;&lt;author&gt;Pier Luigi Zinzani&lt;/author&gt;&lt;author&gt;Michelle A. Fanale&lt;/author&gt;&lt;author&gt;Philippe Armand&lt;/author&gt;&lt;author&gt;Nathalie Johnson&lt;/author&gt;&lt;author&gt;Vincent Ribrag&lt;/author&gt;&lt;author&gt;John A. Radford&lt;/author&gt;&lt;author&gt;Akihiro Tomita&lt;/author&gt;&lt;author&gt;Margaret Ann Shipp&lt;/author&gt;&lt;author&gt;Yang Wang&lt;/author&gt;&lt;author&gt;Alejandro Daniel Ricart&lt;/author&gt;&lt;author&gt;Arun Balakumaran&lt;/author&gt;&lt;author&gt;Craig H. Moskowitz&lt;/author&gt;&lt;/authors&gt;&lt;/contributors&gt;&lt;titles&gt;&lt;title&gt;Pembrolizumab for relapsed/refractory classical Hodgkin lymphoma (R/R cHL): phase 2 KEYNOTE-087 study&lt;/title&gt;&lt;secondary-title&gt;Journal of Clinical Oncology&lt;/secondary-title&gt;&lt;/titles&gt;&lt;periodical&gt;&lt;full-title&gt;Journal of Clinical Oncology&lt;/full-title&gt;&lt;/periodical&gt;&lt;pages&gt;7555&lt;/pages&gt;&lt;volume&gt;34&lt;/volume&gt;&lt;number&gt;15_suppl&lt;/number&gt;&lt;dates&gt;&lt;year&gt;2016&lt;/year&gt;&lt;/dates&gt;&lt;urls&gt;&lt;related-urls&gt;&lt;url&gt;https://ascopubs.org/doi/abs/10.1200/JCO.2016.34.15_suppl.7555&lt;/url&gt;&lt;/related-urls&gt;&lt;/urls&gt;&lt;electronic-resource-num&gt;10.1200/JCO.2016.34.15_suppl.7555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"_ENREF_24" \o "Chen, 2016 #164" </w:instrText>
      </w:r>
      <w:r>
        <w:fldChar w:fldCharType="separate"/>
      </w:r>
      <w:r>
        <w:rPr>
          <w:rFonts w:hint="eastAsia" w:ascii="Times New Roman" w:hAnsi="Times New Roman" w:eastAsia="宋体"/>
          <w:sz w:val="22"/>
          <w:szCs w:val="22"/>
          <w:vertAlign w:val="superscript"/>
        </w:rPr>
        <w:t>24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 clinical study found that, after given Pembrolizumab to 31 patients who failed treatment with an anti-CD30 monoclonal antibody, 90% of the patients had tumor shrinkage, with a total effective rate of 65%</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&lt;EndNote&gt;&lt;Cite&gt;&lt;Author&gt;Armand&lt;/Author&gt;&lt;Year&gt;2016&lt;/Year&gt;&lt;RecNum&gt;165&lt;/RecNum&gt;&lt;DisplayText&gt;&lt;style face="superscript"&gt;[25]&lt;/style&gt;&lt;/DisplayText&gt;&lt;record&gt;&lt;rec-number&gt;165&lt;/rec-number&gt;&lt;foreign-keys&gt;&lt;key app="EN" db-id="wtw2d92v2spsvber2d5x2p26d0vxavdxzsxf"&gt;165&lt;/key&gt;&lt;/foreign-keys&gt;&lt;ref-type name="Journal Article"&gt;17&lt;/ref-type&gt;&lt;contributors&gt;&lt;authors&gt;&lt;author&gt;Armand, Philippe&lt;/author&gt;&lt;author&gt;Shipp, Margaret A&lt;/author&gt;&lt;author&gt;Ribrag, Vincent&lt;/author&gt;&lt;author&gt;Michot, Jean-Marie&lt;/author&gt;&lt;author&gt;Zinzani, Pier Luigi&lt;/author&gt;&lt;author&gt;Kuruvilla, John&lt;/author&gt;&lt;author&gt;Snyder, Ellen S&lt;/author&gt;&lt;author&gt;Ricart, Alejandro D&lt;/author&gt;&lt;author&gt;Balakumaran, Arun&lt;/author&gt;&lt;author&gt;Rose, Shelonitda&lt;/author&gt;&lt;/authors&gt;&lt;/contributors&gt;&lt;titles&gt;&lt;title&gt;Programmed death-1 blockade with pembrolizumab in patients with classical Hodgkin lymphoma after brentuximab vedotin failure&lt;/title&gt;&lt;secondary-title&gt;Journal of Clinical Oncology&lt;/secondary-title&gt;&lt;/titles&gt;&lt;periodical&gt;&lt;full-title&gt;Journal of Clinical Oncology&lt;/full-title&gt;&lt;/periodical&gt;&lt;pages&gt;3733&lt;/pages&gt;&lt;volume&gt;34&lt;/volume&gt;&lt;number&gt;31&lt;/number&gt;&lt;dates&gt;&lt;year&gt;2016&lt;/year&gt;&lt;/dates&gt;&lt;urls&gt;&lt;/urls&gt;&lt;/record&gt;&lt;/Cite&gt;&lt;/EndNote&gt;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"_ENREF_25" \o "Armand, 2016 #165" </w:instrText>
      </w:r>
      <w:r>
        <w:fldChar w:fldCharType="separate"/>
      </w:r>
      <w:r>
        <w:rPr>
          <w:rFonts w:hint="eastAsia" w:ascii="Times New Roman" w:hAnsi="Times New Roman" w:eastAsia="宋体"/>
          <w:sz w:val="22"/>
          <w:szCs w:val="22"/>
          <w:vertAlign w:val="superscript"/>
        </w:rPr>
        <w:t>25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showing a satisfactory result. Pembrolizumab can also be combined with other drugs. A phase II study found that, 32 of 34 patients (94%) achieved complete remission after using Pembrolizumab-GVD as a second-line treatment for r/r HL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&lt;EndNote&gt;&lt;Cite&gt;&lt;RecNum&gt;49&lt;/RecNum&gt;&lt;DisplayText&gt;&lt;style face="superscript"&gt;[26]&lt;/style&gt;&lt;/DisplayText&gt;&lt;record&gt;&lt;rec-number&gt;49&lt;/rec-number&gt;&lt;foreign-keys&gt;&lt;key app="EN" db-id="wtw2d92v2spsvber2d5x2p26d0vxavdxzsxf"&gt;49&lt;/key&gt;&lt;/foreign-keys&gt;&lt;ref-type name="Journal Article"&gt;17&lt;/ref-type&gt;&lt;contributors&gt;&lt;authors&gt;&lt;author&gt;Alison J. Moskowitz&lt;/author&gt;&lt;author&gt;Gunjan Shah&lt;/author&gt;&lt;author&gt;Heiko Schöder&lt;/author&gt;&lt;author&gt;AAAA&lt;/author&gt;&lt;/authors&gt;&lt;/contributors&gt;&lt;titles&gt;&lt;title&gt;Phase II Study of Pembrolizumab Plus GVD As Second-Line Therapy for Relapsed or Refractory Classical Hodgkin Lymphoma&lt;/title&gt;&lt;secondary-title&gt;Blood 2020&lt;/secondary-title&gt;&lt;/titles&gt;&lt;periodical&gt;&lt;full-title&gt;Blood 2020&lt;/full-title&gt;&lt;/periodical&gt;&lt;pages&gt;&lt;style face="normal" font="default" size="100%"&gt;17&lt;/style&gt;&lt;style face="normal" font="default" charset="134" size="100%"&gt;–18&lt;/style&gt;&lt;/pages&gt;&lt;volume&gt;136&lt;/volume&gt;&lt;number&gt;Supplement 1&lt;/number&gt;&lt;dates&gt;&lt;/dates&gt;&lt;urls&gt;&lt;/urls&gt;&lt;/record&gt;&lt;/Cite&gt;&lt;/EndNote&gt;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"_ENREF_26" \o "Moskowitz,  #49" </w:instrText>
      </w:r>
      <w:r>
        <w:fldChar w:fldCharType="separate"/>
      </w:r>
      <w:r>
        <w:rPr>
          <w:rFonts w:hint="eastAsia" w:ascii="Times New Roman" w:hAnsi="Times New Roman" w:eastAsia="宋体"/>
          <w:sz w:val="22"/>
          <w:szCs w:val="22"/>
          <w:vertAlign w:val="superscript"/>
        </w:rPr>
        <w:t>26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shows that the treatment is better than the stand-alone treatment, and it is an efficient and well-tolerated program.</w:t>
      </w:r>
      <w:bookmarkEnd w:id="36"/>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many drugs that are effective in the treatment of r/r HL. A study used Sintilimab to treat 96 patients with r/r cHL, and found that as of September 30, 2019, 57.3% of patients completed the treatment. After two years of treatment, the two-year overall survival rate was 96.3%. The long-term follow-up results showed that, in addition to the high response rate, Sintilimab also showed long-lasting efficacy and good long-term safety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&lt;EndNote&gt;&lt;Cite&gt;&lt;Author&gt;Su&lt;/Author&gt;&lt;Year&gt;2020&lt;/Year&gt;&lt;RecNum&gt;158&lt;/RecNum&gt;&lt;DisplayText&gt;&lt;style face="superscript"&gt;[27]&lt;/style&gt;&lt;/DisplayText&gt;&lt;record&gt;&lt;rec-number&gt;158&lt;/rec-number&gt;&lt;foreign-keys&gt;&lt;key app="EN" db-id="wtw2d92v2spsvber2d5x2p26d0vxavdxzsxf"&gt;158&lt;/key&gt;&lt;/foreign-keys&gt;&lt;ref-type name="Journal Article"&gt;17&lt;/ref-type&gt;&lt;contributors&gt;&lt;authors&gt;&lt;author&gt;Su, Hang&lt;/author&gt;&lt;author&gt;Song, Yongping&lt;/author&gt;&lt;author&gt;Jiang, Wenqi&lt;/author&gt;&lt;author&gt;Sun, Xiuhua&lt;/author&gt;&lt;author&gt;Qian, Wenbin&lt;/author&gt;&lt;author&gt;Zhang, Wei&lt;/author&gt;&lt;author&gt;Gao, Yuhuan&lt;/author&gt;&lt;author&gt;Jin, Zhengming&lt;/author&gt;&lt;author&gt;Zhou, Jianfeng&lt;/author&gt;&lt;author&gt;Jin, Chuan&lt;/author&gt;&lt;/authors&gt;&lt;/contributors&gt;&lt;titles&gt;&lt;title&gt;Sintilimab for relapsed/refractory classical Hodgkin’s lymphoma: Long-term follow-up on the multicenter, single-arm phase II ORIENT-1 study&lt;/title&gt;&lt;secondary-title&gt;American Society of Clinical Oncology&lt;/secondary-title&gt;&lt;/titles&gt;&lt;periodical&gt;&lt;full-title&gt;American Society of Clinical Oncology&lt;/full-title&gt;&lt;/periodical&gt;&lt;pages&gt;8034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"_ENREF_27" \o "Su, 2020 #158" </w:instrText>
      </w:r>
      <w:r>
        <w:fldChar w:fldCharType="separate"/>
      </w:r>
      <w:r>
        <w:rPr>
          <w:rFonts w:hint="eastAsia" w:ascii="Times New Roman" w:hAnsi="Times New Roman" w:eastAsia="宋体"/>
          <w:sz w:val="22"/>
          <w:szCs w:val="22"/>
          <w:vertAlign w:val="superscript"/>
        </w:rPr>
        <w:t>27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study used Camrelizumab combined with Decitabine to treat 51 patients with r/r cHL who had failed to anti-PD-1 therapy. It was found that the median progression-free survival of the combination therapy was significantly longer than that of the previous anti-PD-1 monotherapy. And in patients who achieved complete remission at 24 months, 78% of patients have observed a durable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&lt;EndNote&gt;&lt;Cite&gt;&lt;Author&gt;Wang&lt;/Author&gt;&lt;Year&gt;2021&lt;/Year&gt;&lt;RecNum&gt;106&lt;/RecNum&gt;&lt;DisplayText&gt;&lt;style face="superscript"&gt;[28]&lt;/style&gt;&lt;/DisplayText&gt;&lt;record&gt;&lt;rec-number&gt;106&lt;/rec-number&gt;&lt;foreign-keys&gt;&lt;key app="EN" db-id="wtw2d92v2spsvber2d5x2p26d0vxavdxzsxf"&gt;106&lt;/key&gt;&lt;/foreign-keys&gt;&lt;ref-type name="Journal Article"&gt;17&lt;/ref-type&gt;&lt;contributors&gt;&lt;authors&gt;&lt;author&gt;Chunmeng Wang&lt;/author&gt;&lt;author&gt;Yang Liu&lt;/author&gt;&lt;author&gt;Liang Dong&lt;/author&gt;&lt;author&gt;Xiang Li&lt;/author&gt;&lt;/authors&gt;&lt;/contributors&gt;&lt;titles&gt;&lt;title&gt;Efficacy of Decitabine plus Anti-PD-1 Camrelizumab in Patients with Hodgkin Lymphoma Who Progressed or Relapsed after PD-1 Blockade Monotherapy&lt;/title&gt;&lt;secondary-title&gt;Clinical Cancer Research&lt;/secondary-title&gt;&lt;/titles&gt;&lt;periodical&gt;&lt;full-title&gt;Clinical Cancer Research&lt;/full-title&gt;&lt;/periodical&gt;&lt;pages&gt;&lt;style face="normal" font="default" size="100%"&gt;2782&lt;/style&gt;&lt;style face="normal" font="default" charset="134" size="100%"&gt;-2791&lt;/style&gt;&lt;/pages&gt;&lt;volume&gt;27&lt;/volume&gt;&lt;number&gt;10&lt;/number&gt;&lt;dates&gt;&lt;year&gt;2021&lt;/year&gt;&lt;/dates&gt;&lt;urls&gt;&lt;/urls&gt;&lt;/record&gt;&lt;/Cite&gt;&lt;/EndNote&gt;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"_ENREF_28" \o "Wang, 2021 #106" </w:instrText>
      </w:r>
      <w:r>
        <w:fldChar w:fldCharType="separate"/>
      </w:r>
      <w:r>
        <w:rPr>
          <w:rFonts w:hint="eastAsia" w:ascii="Times New Roman" w:hAnsi="Times New Roman" w:eastAsia="宋体"/>
          <w:sz w:val="22"/>
          <w:szCs w:val="22"/>
          <w:vertAlign w:val="superscript"/>
        </w:rPr>
        <w:t>28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in patients with r/r cHL, the use of Camrelizumab and Decitabine in the third line or above has tolerable and significant anti-tumor activity.</w:t>
      </w:r>
      <w:r>
        <w:rPr>
          <w:rFonts w:ascii="Times New Roman" w:hAnsi="Times New Roman" w:eastAsia="宋体"/>
          <w:sz w:val="22"/>
          <w:szCs w:val="22"/>
        </w:rPr>
        <w:tab/>
      </w:r>
    </w:p>
    <w:p>
      <w:pPr>
        <w:spacing w:line="360" w:lineRule="auto"/>
        <w:rPr>
          <w:rFonts w:ascii="Times New Roman" w:hAnsi="Times New Roman" w:eastAsia="黑体"/>
          <w:b/>
          <w:sz w:val="22"/>
          <w:szCs w:val="22"/>
        </w:rPr>
      </w:pPr>
      <w:r>
        <w:rPr>
          <w:rFonts w:ascii="Times New Roman" w:hAnsi="Times New Roman" w:eastAsia="黑体"/>
          <w:b/>
          <w:sz w:val="22"/>
          <w:szCs w:val="22"/>
        </w:rPr>
        <w:t>2.1.1.2 Untreated HL</w:t>
      </w:r>
    </w:p>
    <w:p>
      <w:pPr>
        <w:spacing w:line="360" w:lineRule="auto"/>
        <w:ind w:firstLine="440" w:firstLineChars="200"/>
        <w:rPr>
          <w:rFonts w:ascii="Times New Roman" w:hAnsi="Times New Roman" w:eastAsia="宋体"/>
          <w:sz w:val="22"/>
          <w:szCs w:val="22"/>
        </w:rPr>
      </w:pPr>
      <w:bookmarkStart w:id="37" w:name="OLE_LINK13"/>
      <w:r>
        <w:rPr>
          <w:rFonts w:ascii="Times New Roman" w:hAnsi="Times New Roman" w:eastAsia="宋体"/>
          <w:sz w:val="22"/>
          <w:szCs w:val="22"/>
        </w:rPr>
        <w:t>With the widespread application of targeting PD-1/PD-L1 in r/r HL, more and more clinical trials are investigating its therapeutic effect in newly-treated HL. In a recent phase II study, it was found that Nivolumab and Brentuximab Vedotin combination therapy in patients older than 60 years old, among the evaluable patients, the best objective response rate was 95%, proving that BV-nivo is effective in untreated elderly HL with comorbidities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&lt;EndNote&gt;&lt;Cite&gt;&lt;Author&gt;Cheson&lt;/Author&gt;&lt;Year&gt;2020&lt;/Year&gt;&lt;RecNum&gt;159&lt;/RecNum&gt;&lt;DisplayText&gt;&lt;style face="superscript"&gt;[29]&lt;/style&gt;&lt;/DisplayText&gt;&lt;record&gt;&lt;rec-number&gt;159&lt;/rec-number&gt;&lt;foreign-keys&gt;&lt;key app="EN" db-id="wtw2d92v2spsvber2d5x2p26d0vxavdxzsxf"&gt;159&lt;/key&gt;&lt;/foreign-keys&gt;&lt;ref-type name="Journal Article"&gt;17&lt;/ref-type&gt;&lt;contributors&gt;&lt;authors&gt;&lt;author&gt;Cheson, Bruce D&lt;/author&gt;&lt;author&gt;Bartlett, Nancy L&lt;/author&gt;&lt;author&gt;LaPlant, Betsy&lt;/author&gt;&lt;author&gt;Lee, Hun Ju&lt;/author&gt;&lt;author&gt;Advani, Ranjana H&lt;/author&gt;&lt;author&gt;Christian, Beth&lt;/author&gt;&lt;author&gt;Magid Diefenbach, Catherine S&lt;/author&gt;&lt;author&gt;Feldman, Tatyana&lt;/author&gt;&lt;author&gt;Ansell, Stephen M&lt;/author&gt;&lt;/authors&gt;&lt;/contributors&gt;&lt;titles&gt;&lt;title&gt;Phase II, multicenter trial of nivolumab (Nivo) and brentuximab vedotin (BV) in patients (Pts) with untreated Hodgkin lymphoma (HL) over the age of 60 years or unable to receive standard ABVD chemotherapy: Results of a study of Academic and Community Cancer Research United (ACCRU) RU051505I&lt;/title&gt;&lt;secondary-title&gt;Journal of Clinical Oncology &lt;/secondary-title&gt;&lt;/titles&gt;&lt;periodical&gt;&lt;full-title&gt;Journal of Clinical Oncology&lt;/full-title&gt;&lt;/periodical&gt;&lt;pages&gt;8014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"_ENREF_29" \o "Cheson, 2020 #159" </w:instrText>
      </w:r>
      <w:r>
        <w:fldChar w:fldCharType="separate"/>
      </w:r>
      <w:r>
        <w:rPr>
          <w:rFonts w:hint="eastAsia" w:ascii="Times New Roman" w:hAnsi="Times New Roman" w:eastAsia="宋体"/>
          <w:sz w:val="22"/>
          <w:szCs w:val="22"/>
          <w:vertAlign w:val="superscript"/>
        </w:rPr>
        <w:t>29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r>
        <w:rPr>
          <w:rFonts w:hint="eastAsia" w:ascii="Times New Roman" w:hAnsi="Times New Roman" w:eastAsia="宋体"/>
          <w:sz w:val="22"/>
          <w:szCs w:val="22"/>
        </w:rPr>
        <w:t xml:space="preserve"> </w:t>
      </w:r>
      <w:r>
        <w:rPr>
          <w:rFonts w:ascii="Times New Roman" w:hAnsi="Times New Roman" w:eastAsia="宋体"/>
          <w:sz w:val="22"/>
          <w:szCs w:val="22"/>
        </w:rPr>
        <w:t xml:space="preserve">There are also numerous clinical studies on targeting PD-1/PD-L1 for the treatment of HL. </w:t>
      </w:r>
    </w:p>
    <w:p>
      <w:pPr>
        <w:spacing w:line="360" w:lineRule="auto"/>
        <w:rPr>
          <w:rFonts w:ascii="Times New Roman" w:hAnsi="Times New Roman" w:eastAsia="宋体"/>
          <w:sz w:val="22"/>
          <w:szCs w:val="22"/>
        </w:rPr>
      </w:pPr>
      <w:r>
        <w:rPr>
          <w:rFonts w:ascii="Times New Roman" w:hAnsi="Times New Roman" w:eastAsia="宋体"/>
          <w:b/>
          <w:sz w:val="22"/>
          <w:szCs w:val="22"/>
        </w:rPr>
        <w:t>Table 1</w:t>
      </w:r>
      <w:r>
        <w:rPr>
          <w:rFonts w:ascii="Times New Roman" w:hAnsi="Times New Roman" w:eastAsia="宋体"/>
          <w:sz w:val="22"/>
          <w:szCs w:val="22"/>
        </w:rPr>
        <w:t xml:space="preserve"> lists most of the ongoing studies.</w:t>
      </w:r>
    </w:p>
    <w:tbl>
      <w:tblPr>
        <w:tblStyle w:val="8"/>
        <w:tblW w:w="4679" w:type="pct"/>
        <w:jc w:val="center"/>
        <w:tblLayout w:type="fixed"/>
        <w:tblCellMar>
          <w:top w:w="0" w:type="dxa"/>
          <w:left w:w="108" w:type="dxa"/>
          <w:bottom w:w="0" w:type="dxa"/>
          <w:right w:w="108" w:type="dxa"/>
        </w:tblCellMar>
      </w:tblPr>
      <w:tblGrid>
        <w:gridCol w:w="571"/>
        <w:gridCol w:w="1218"/>
        <w:gridCol w:w="1358"/>
        <w:gridCol w:w="1024"/>
        <w:gridCol w:w="2429"/>
        <w:gridCol w:w="1156"/>
        <w:gridCol w:w="935"/>
      </w:tblGrid>
      <w:tr>
        <w:tblPrEx>
          <w:tblCellMar>
            <w:top w:w="0" w:type="dxa"/>
            <w:left w:w="108" w:type="dxa"/>
            <w:bottom w:w="0" w:type="dxa"/>
            <w:right w:w="108" w:type="dxa"/>
          </w:tblCellMar>
        </w:tblPrEx>
        <w:trPr>
          <w:cantSplit/>
          <w:trHeight w:val="606" w:hRule="atLeast"/>
          <w:jc w:val="center"/>
        </w:trPr>
        <w:tc>
          <w:tcPr>
            <w:tcW w:w="3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0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9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66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5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cantSplit/>
          <w:trHeight w:val="312" w:hRule="atLeast"/>
          <w:jc w:val="center"/>
        </w:trPr>
        <w:tc>
          <w:tcPr>
            <w:tcW w:w="3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0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NCT03337919</w:t>
            </w:r>
          </w:p>
        </w:tc>
        <w:tc>
          <w:tcPr>
            <w:tcW w:w="589"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UK</w:t>
            </w:r>
          </w:p>
        </w:tc>
        <w:tc>
          <w:tcPr>
            <w:tcW w:w="5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HL at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elapse/</w:t>
            </w:r>
            <w:r>
              <w:rPr>
                <w:rFonts w:hint="default" w:ascii="Times New Roman" w:hAnsi="Times New Roman" w:eastAsia="宋体" w:cs="Times New Roman"/>
                <w:color w:val="000000"/>
                <w:sz w:val="18"/>
                <w:szCs w:val="18"/>
                <w:lang w:val="en-US" w:eastAsia="zh-CN"/>
              </w:rPr>
              <w:t>p</w:t>
            </w:r>
            <w:r>
              <w:rPr>
                <w:rFonts w:hint="default" w:ascii="Times New Roman" w:hAnsi="Times New Roman" w:eastAsia="宋体" w:cs="Times New Roman"/>
                <w:color w:val="000000"/>
                <w:sz w:val="18"/>
                <w:szCs w:val="18"/>
              </w:rPr>
              <w:t xml:space="preserve">rogression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isk</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NCT03436862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5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NCT04091490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NCT03681561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Ruxolitinib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NCT04981899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Ifosfamide, Carboplatin, Etoposide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NCT03480334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plus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NCT02927769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NCT01896999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Low-dose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NCT03033914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Doxorubicin, Bleomycin, Vinblastine,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NCT04938232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NCT04866654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Italy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NCT03016871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Carboplatin, Etoposide,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NCT04134325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NCT03233347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r/r cHL, </w:t>
            </w:r>
            <w:r>
              <w:rPr>
                <w:rFonts w:hint="default" w:ascii="Times New Roman" w:hAnsi="Times New Roman" w:eastAsia="宋体" w:cs="Times New Roman"/>
                <w:color w:val="000000"/>
                <w:sz w:val="18"/>
                <w:szCs w:val="18"/>
                <w:lang w:val="en-US" w:eastAsia="zh-CN" w:bidi="ar"/>
              </w:rPr>
              <w:t>a</w:t>
            </w:r>
            <w:r>
              <w:rPr>
                <w:rFonts w:hint="default" w:ascii="Times New Roman" w:hAnsi="Times New Roman" w:eastAsia="宋体" w:cs="Times New Roman"/>
                <w:color w:val="000000"/>
                <w:sz w:val="18"/>
                <w:szCs w:val="18"/>
                <w:lang w:bidi="ar"/>
              </w:rPr>
              <w:t>nal cancer, AIDS infection,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NCT02408861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NCT03712202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Bleomycin,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New diagnosis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NCT03907488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Doxorubicin Hydrochloride, Filgrastim, Pegfilgrastim, Radiation Therapy,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NCT03200977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NCT03646123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Doxorubicin, Vinblastine, Dacarbazine, G-CSF</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Lenalidomide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TAA-T cells</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HL,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lung cancer,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NCT03161613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Mexico</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NCT01703949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NHL, MM</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NCT01592370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 Lirilumab, Daratumumab, Pomalidomide, Dexamethasone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709"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 xml:space="preserve">cHL, </w:t>
            </w:r>
            <w:r>
              <w:rPr>
                <w:rFonts w:hint="default" w:ascii="Times New Roman" w:hAnsi="Times New Roman" w:eastAsia="宋体" w:cs="Times New Roman"/>
                <w:color w:val="000000"/>
                <w:sz w:val="18"/>
                <w:szCs w:val="18"/>
                <w:lang w:val="en-US" w:eastAsia="zh-CN" w:bidi="ar"/>
              </w:rPr>
              <w:t>E</w:t>
            </w:r>
            <w:r>
              <w:rPr>
                <w:rFonts w:hint="default" w:ascii="Times New Roman" w:hAnsi="Times New Roman" w:eastAsia="宋体" w:cs="Times New Roman"/>
                <w:color w:val="000000"/>
                <w:sz w:val="18"/>
                <w:szCs w:val="18"/>
                <w:lang w:bidi="ar"/>
              </w:rPr>
              <w:t xml:space="preserve">wing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arcoma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PEComa,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NCT03190174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Nab-Rapamycin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36"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NCT02572167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NCT02940301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NIVAHL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NCT03004833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Adriamycin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NCT03580408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Belgium France</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NCT02181738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NCT03057795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NCT03739619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 xml:space="preserve"> Gemcitabine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Untreated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NCT02758717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rhabdomyosarcoma,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NCT02304458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NCT05039073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NCT04561206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NCT04838652</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plus Chemotherapy (ICE or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NCT04510636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 Hydrochloride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NCT04788043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Magrolimab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NCT03179917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Involved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 xml:space="preserve">ite </w:t>
            </w:r>
            <w:r>
              <w:rPr>
                <w:rFonts w:hint="default" w:ascii="Times New Roman" w:hAnsi="Times New Roman" w:eastAsia="宋体" w:cs="Times New Roman"/>
                <w:color w:val="000000"/>
                <w:sz w:val="18"/>
                <w:szCs w:val="18"/>
                <w:lang w:val="en-US" w:eastAsia="zh-CN" w:bidi="ar"/>
              </w:rPr>
              <w:t>r</w:t>
            </w:r>
            <w:r>
              <w:rPr>
                <w:rFonts w:hint="default" w:ascii="Times New Roman" w:hAnsi="Times New Roman" w:eastAsia="宋体" w:cs="Times New Roman"/>
                <w:color w:val="000000"/>
                <w:sz w:val="18"/>
                <w:szCs w:val="18"/>
                <w:lang w:bidi="ar"/>
              </w:rPr>
              <w:t xml:space="preserve">adiation </w:t>
            </w:r>
            <w:r>
              <w:rPr>
                <w:rFonts w:hint="default" w:ascii="Times New Roman" w:hAnsi="Times New Roman" w:eastAsia="宋体" w:cs="Times New Roman"/>
                <w:color w:val="000000"/>
                <w:sz w:val="18"/>
                <w:szCs w:val="18"/>
                <w:lang w:val="en-US" w:eastAsia="zh-CN" w:bidi="ar"/>
              </w:rPr>
              <w:t>t</w:t>
            </w:r>
            <w:r>
              <w:rPr>
                <w:rFonts w:hint="default" w:ascii="Times New Roman" w:hAnsi="Times New Roman" w:eastAsia="宋体" w:cs="Times New Roman"/>
                <w:color w:val="000000"/>
                <w:sz w:val="18"/>
                <w:szCs w:val="18"/>
                <w:lang w:bidi="ar"/>
              </w:rPr>
              <w: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NCT03776864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Umbralisib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NCT03331731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 New Zealand</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NCT03618550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Vinorelbine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Liposomal </w:t>
            </w:r>
            <w:r>
              <w:rPr>
                <w:rFonts w:hint="default" w:ascii="Times New Roman" w:hAnsi="Times New Roman" w:eastAsia="宋体" w:cs="Times New Roman"/>
                <w:color w:val="000000"/>
                <w:sz w:val="18"/>
                <w:szCs w:val="18"/>
                <w:lang w:val="en-US" w:eastAsia="zh-CN" w:bidi="ar"/>
              </w:rPr>
              <w:t>D</w:t>
            </w:r>
            <w:r>
              <w:rPr>
                <w:rFonts w:hint="default" w:ascii="Times New Roman" w:hAnsi="Times New Roman" w:eastAsia="宋体" w:cs="Times New Roman"/>
                <w:color w:val="000000"/>
                <w:sz w:val="18"/>
                <w:szCs w:val="18"/>
                <w:lang w:bidi="ar"/>
              </w:rPr>
              <w:t>oxorubicin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NCT03407144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default" w:ascii="Times New Roman" w:hAnsi="Times New Roman" w:eastAsia="宋体" w:cs="Times New Roman"/>
                <w:color w:val="000000"/>
                <w:sz w:val="18"/>
                <w:szCs w:val="18"/>
                <w:lang w:val="en-US" w:eastAsia="zh-CN" w:bidi="ar"/>
              </w:rPr>
              <w:t>P</w:t>
            </w:r>
            <w:r>
              <w:rPr>
                <w:rFonts w:hint="default" w:ascii="Times New Roman" w:hAnsi="Times New Roman" w:eastAsia="宋体" w:cs="Times New Roman"/>
                <w:color w:val="000000"/>
                <w:sz w:val="18"/>
                <w:szCs w:val="18"/>
                <w:lang w:bidi="ar"/>
              </w:rPr>
              <w:t>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Radiotherapy (RT)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9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NCT05008224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default"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Procarbazine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NCT03331341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0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NCT04875195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alignant melanoma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NSCLC,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NCT03236935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L-NMMA</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NCT03598608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Favezelimab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cHL,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NCT02595866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18"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NCT02332668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38" w:name="OLE_LINK9"/>
            <w:r>
              <w:rPr>
                <w:rFonts w:hint="default" w:ascii="Times New Roman" w:hAnsi="Times New Roman" w:eastAsia="宋体" w:cs="Times New Roman"/>
                <w:color w:val="000000"/>
                <w:sz w:val="18"/>
                <w:szCs w:val="18"/>
              </w:rPr>
              <w:t>Recruiting</w:t>
            </w:r>
            <w:bookmarkEnd w:id="38"/>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93"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NCT03432741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Belinostat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Carfilzomib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Daratumumab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Romidepsin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Saline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Trastuzumab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CLL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SLL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MCL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NCT02684292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NCT02453594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NCT03226249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NCT03077828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Carboplatin，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NCT04044222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Carboplatin, Etoposide, Ifosfamide, Placebo</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65</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NCT04510610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66</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NCT04067037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Epirubicin, Vincristine, Dacarbazine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67</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NCT04239170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Camrelizumab(SHR-1210)</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68</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69</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NCT04342936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Investigator's choice of Chemotherapy</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70</w:t>
            </w:r>
          </w:p>
        </w:tc>
        <w:tc>
          <w:tcPr>
            <w:tcW w:w="700"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NCT04514081</w:t>
            </w:r>
          </w:p>
        </w:tc>
        <w:tc>
          <w:tcPr>
            <w:tcW w:w="589"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bookmarkEnd w:id="37"/>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 </w:t>
      </w:r>
      <w:bookmarkStart w:id="39" w:name="OLE_LINK33"/>
      <w:r>
        <w:rPr>
          <w:rFonts w:ascii="Times New Roman" w:hAnsi="Times New Roman" w:eastAsia="黑体"/>
          <w:b/>
          <w:sz w:val="22"/>
          <w:szCs w:val="22"/>
        </w:rPr>
        <w:t>Non-Hodgkin's lymphoma</w:t>
      </w:r>
      <w:bookmarkEnd w:id="39"/>
      <w:r>
        <w:rPr>
          <w:rFonts w:ascii="Times New Roman" w:hAnsi="Times New Roman" w:eastAsia="黑体"/>
          <w:b/>
          <w:sz w:val="22"/>
          <w:szCs w:val="22"/>
        </w:rPr>
        <w:t xml:space="preserve"> </w:t>
      </w:r>
      <w:bookmarkStart w:id="40" w:name="OLE_LINK21"/>
      <w:r>
        <w:rPr>
          <w:rFonts w:ascii="Times New Roman" w:hAnsi="Times New Roman" w:eastAsia="黑体"/>
          <w:b/>
          <w:sz w:val="22"/>
          <w:szCs w:val="22"/>
        </w:rPr>
        <w:t>(NHL</w:t>
      </w:r>
      <w:bookmarkEnd w:id="40"/>
      <w:r>
        <w:rPr>
          <w:rFonts w:ascii="Times New Roman" w:hAnsi="Times New Roman" w:eastAsia="黑体"/>
          <w:b/>
          <w:sz w:val="22"/>
          <w:szCs w:val="22"/>
        </w:rPr>
        <w:t>)</w:t>
      </w:r>
    </w:p>
    <w:p>
      <w:pPr>
        <w:spacing w:line="360" w:lineRule="auto"/>
        <w:ind w:firstLine="440" w:firstLineChars="200"/>
        <w:rPr>
          <w:rFonts w:ascii="Times New Roman" w:hAnsi="Times New Roman" w:eastAsia="黑体"/>
          <w:sz w:val="22"/>
          <w:szCs w:val="22"/>
        </w:rPr>
      </w:pPr>
      <w:r>
        <w:rPr>
          <w:rFonts w:ascii="Times New Roman" w:hAnsi="Times New Roman" w:eastAsia="宋体"/>
          <w:sz w:val="22"/>
          <w:szCs w:val="22"/>
        </w:rPr>
        <w:t>NHL is divided into B-cell lymphoma, T-cell lymphoma and NK/T-cell lymphoma. B-cell lymphoma includes diffuse large B-cell lymphoma (DLBCL), follicular lymphoma (FL), and mantle cell lymphoma (MCL), etc. This article will elaborate on them in turn.</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2.1.2.1 </w:t>
      </w:r>
      <w:bookmarkStart w:id="41" w:name="OLE_LINK46"/>
      <w:bookmarkStart w:id="42" w:name="OLE_LINK23"/>
      <w:r>
        <w:rPr>
          <w:rFonts w:ascii="Times New Roman" w:hAnsi="Times New Roman" w:eastAsia="黑体"/>
          <w:b/>
          <w:sz w:val="22"/>
          <w:szCs w:val="22"/>
        </w:rPr>
        <w:t>Diffuse large B</w:t>
      </w:r>
      <w:r>
        <w:rPr>
          <w:rFonts w:ascii="Times New Roman" w:hAnsi="Times New Roman" w:eastAsia="宋体"/>
          <w:b/>
          <w:sz w:val="22"/>
          <w:szCs w:val="22"/>
        </w:rPr>
        <w:t>-</w:t>
      </w:r>
      <w:r>
        <w:rPr>
          <w:rFonts w:ascii="Times New Roman" w:hAnsi="Times New Roman" w:eastAsia="黑体"/>
          <w:b/>
          <w:sz w:val="22"/>
          <w:szCs w:val="22"/>
        </w:rPr>
        <w:t>cell lymphoma</w:t>
      </w:r>
      <w:bookmarkEnd w:id="41"/>
      <w:bookmarkStart w:id="43" w:name="OLE_LINK15"/>
      <w:r>
        <w:rPr>
          <w:rFonts w:ascii="Times New Roman" w:hAnsi="Times New Roman" w:eastAsia="黑体"/>
          <w:b/>
          <w:sz w:val="22"/>
          <w:szCs w:val="22"/>
        </w:rPr>
        <w:t xml:space="preserve"> (DLBCL</w:t>
      </w:r>
      <w:bookmarkEnd w:id="42"/>
      <w:bookmarkEnd w:id="43"/>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DLBCL, PD-L1 can be expressed by B cells in DLBCL tumors, and non-malignant cells (such as macrophages) from its immune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According to reports, nearly 20% of DLBCL NOS have genetic abnormalities and chromosomal changes, leading to PD-L1 overexpression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&lt;EndNote&gt;&lt;Cite&gt;&lt;Author&gt;Georgiou&lt;/Author&gt;&lt;Year&gt;2016&lt;/Year&gt;&lt;RecNum&gt;51&lt;/RecNum&gt;&lt;DisplayText&gt;&lt;style face="superscript"&gt;[31]&lt;/style&gt;&lt;/DisplayText&gt;&lt;record&gt;&lt;rec-number&gt;51&lt;/rec-number&gt;&lt;foreign-keys&gt;&lt;key app="EN" db-id="wtw2d92v2spsvber2d5x2p26d0vxavdxzsxf"&gt;51&lt;/key&gt;&lt;/foreign-keys&gt;&lt;ref-type name="Journal Article"&gt;17&lt;/ref-type&gt;&lt;contributors&gt;&lt;authors&gt;&lt;author&gt;Konstantinos Georgiou&lt;/author&gt;&lt;author&gt;Longyun Chen&lt;/author&gt;&lt;author&gt;Mattias Berglund&lt;/author&gt;&lt;author&gt;Weicheng Ren&lt;/author&gt;&lt;/authors&gt;&lt;/contributors&gt;&lt;titles&gt;&lt;title&gt;Genetic basis of PD-L1 overexpression in diffuse large B-cell lymphomas&lt;/title&gt;&lt;secondary-title&gt;Blood&lt;/secondary-title&gt;&lt;/titles&gt;&lt;periodical&gt;&lt;full-title&gt;Blood&lt;/full-title&gt;&lt;/periodical&gt;&lt;pages&gt;3026-3034&lt;/pages&gt;&lt;volume&gt;127&lt;/volume&gt;&lt;number&gt;24&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"_ENREF_31" \o "Georgiou, 2016 #51" </w:instrText>
      </w:r>
      <w:r>
        <w:fldChar w:fldCharType="separate"/>
      </w:r>
      <w:r>
        <w:rPr>
          <w:rFonts w:hint="eastAsia" w:ascii="Times New Roman" w:hAnsi="Times New Roman" w:eastAsia="宋体"/>
          <w:sz w:val="22"/>
          <w:szCs w:val="22"/>
          <w:vertAlign w:val="superscript"/>
        </w:rPr>
        <w:t>31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which, the structural abnormality of 9p24.1 chromosome is significantly related to the expression of PD-L1 in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&lt;EndNote&gt;&lt;Cite&gt;&lt;Author&gt;Kiyasu&lt;/Author&gt;&lt;Year&gt;2015&lt;/Year&gt;&lt;RecNum&gt;137&lt;/RecNum&gt;&lt;DisplayText&gt;&lt;style face="superscript"&gt;[32]&lt;/style&gt;&lt;/DisplayText&gt;&lt;record&gt;&lt;rec-number&gt;137&lt;/rec-number&gt;&lt;foreign-keys&gt;&lt;key app="EN" db-id="wtw2d92v2spsvber2d5x2p26d0vxavdxzsxf"&gt;137&lt;/key&gt;&lt;/foreign-keys&gt;&lt;ref-type name="Journal Article"&gt;17&lt;/ref-type&gt;&lt;contributors&gt;&lt;authors&gt;&lt;author&gt;Kiyasu, Junichi&lt;/author&gt;&lt;author&gt;Miyoshi, Hiroaki&lt;/author&gt;&lt;author&gt;Hirata, Akie&lt;/author&gt;&lt;author&gt;Arakawa, Fumiko&lt;/author&gt;&lt;author&gt;Ichikawa, Ayako&lt;/author&gt;&lt;author&gt;Niino, Daisuke&lt;/author&gt;&lt;author&gt;Sugita, Yasuo&lt;/author&gt;&lt;author&gt;Yufu, Yuji&lt;/author&gt;&lt;author&gt;Choi, Ilseung&lt;/author&gt;&lt;author&gt;Abe, Yasunobu&lt;/author&gt;&lt;/authors&gt;&lt;/contributors&gt;&lt;titles&gt;&lt;title&gt;Expression of programmed cell death ligand 1 is associated with poor overall survival in patients with diffuse large B-cell lymphoma&lt;/title&gt;&lt;secondary-title&gt;Blood, The Journal of the American Society of Hematology&lt;/secondary-title&gt;&lt;/titles&gt;&lt;periodical&gt;&lt;full-title&gt;Blood, The Journal of the American Society of Hematology&lt;/full-title&gt;&lt;/periodical&gt;&lt;pages&gt;2193-2201&lt;/pages&gt;&lt;volume&gt;126&lt;/volume&gt;&lt;number&gt;19&lt;/number&gt;&lt;dates&gt;&lt;year&gt;2015&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"_ENREF_32" \o "Kiyasu, 2015 #137" </w:instrText>
      </w:r>
      <w:r>
        <w:fldChar w:fldCharType="separate"/>
      </w:r>
      <w:r>
        <w:rPr>
          <w:rFonts w:hint="eastAsia" w:ascii="Times New Roman" w:hAnsi="Times New Roman" w:eastAsia="宋体"/>
          <w:sz w:val="22"/>
          <w:szCs w:val="22"/>
          <w:vertAlign w:val="superscript"/>
        </w:rPr>
        <w:t>32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the treatment of DLBCL, preliminary trials have shown that PD-1 inhibitors have limited effects on DLBCL. Nivolumab can be used alone, a phase I study found that the use of Nivolumab alone to treat 81 patients with lymphoma and myeloma (11 cases of DLBCL) has an effective rate of 36%</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&lt;EndNote&gt;&lt;Cite&gt;&lt;Author&gt;Lesokhin&lt;/Author&gt;&lt;Year&gt;2016&lt;/Year&gt;&lt;RecNum&gt;96&lt;/RecNum&gt;&lt;DisplayText&gt;&lt;style face="superscript"&gt;[33]&lt;/style&gt;&lt;/DisplayText&gt;&lt;record&gt;&lt;rec-number&gt;96&lt;/rec-number&gt;&lt;foreign-keys&gt;&lt;key app="EN" db-id="wtw2d92v2spsvber2d5x2p26d0vxavdxzsxf"&gt;96&lt;/key&gt;&lt;/foreign-keys&gt;&lt;ref-type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Nivolumab can also be used in combination therapy. The combined use of Nivolumab and Ipilimumab to treat 65 cases of hematological malignancies (10 cases of DLBCL), found that only 3 cases responded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&lt;EndNote&gt;&lt;Cite&gt;&lt;Author&gt;Ansell&lt;/Author&gt;&lt;Year&gt;2016&lt;/Year&gt;&lt;RecNum&gt;156&lt;/RecNum&gt;&lt;DisplayText&gt;&lt;style face="superscript"&gt;[34]&lt;/style&gt;&lt;/DisplayText&gt;&lt;record&gt;&lt;rec-number&gt;156&lt;/rec-number&gt;&lt;foreign-keys&gt;&lt;key app="EN" db-id="wtw2d92v2spsvber2d5x2p26d0vxavdxzsxf"&gt;156&lt;/key&gt;&lt;/foreign-keys&gt;&lt;ref-type name="Journal Article"&gt;17&lt;/ref-type&gt;&lt;contributors&gt;&lt;authors&gt;&lt;author&gt;Ansell, Stephen&lt;/author&gt;&lt;author&gt;Gutierrez, Martin E&lt;/author&gt;&lt;author&gt;Shipp, Margaret A&lt;/author&gt;&lt;author&gt;Gladstone, Douglas&lt;/author&gt;&lt;author&gt;Moskowitz, Alison&lt;/author&gt;&lt;author&gt;Borello, Ivan&lt;/author&gt;&lt;author&gt;Popa-Mckiver, Mihaela&lt;/author&gt;&lt;author&gt;Farsaci, Benedetto&lt;/author&gt;&lt;author&gt;Zhu, Lili&lt;/author&gt;&lt;author&gt;Lesokhin, Alexander M&lt;/author&gt;&lt;/authors&gt;&lt;/contributors&gt;&lt;titles&gt;&lt;title&gt;A phase 1 study of nivolumab in combination with ipilimumab for relapsed or refractory hematologic malignancies (CheckMate 039)&lt;/title&gt;&lt;secondary-title&gt;Blood&lt;/secondary-title&gt;&lt;/titles&gt;&lt;periodical&gt;&lt;full-title&gt;Blood&lt;/full-title&gt;&lt;/periodical&gt;&lt;pages&gt;183&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"_ENREF_34" \o "Ansell, 2016 #156" </w:instrText>
      </w:r>
      <w:r>
        <w:fldChar w:fldCharType="separate"/>
      </w:r>
      <w:r>
        <w:rPr>
          <w:rFonts w:hint="eastAsia" w:ascii="Times New Roman" w:hAnsi="Times New Roman" w:eastAsia="宋体"/>
          <w:sz w:val="22"/>
          <w:szCs w:val="22"/>
          <w:vertAlign w:val="superscript"/>
        </w:rPr>
        <w:t>34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effect was not good. Recently, a study (NCT03305445) of 6 DLBCL patients treated with Nivolumab and Ipilimumab after conventional treatment and before immunotransplantation, found that 3 (50%) of the patients had benefited from immunotrans</w:t>
      </w:r>
      <w:bookmarkStart w:id="44" w:name="_ENREF_83"/>
      <w:bookmarkEnd w:id="44"/>
      <w:r>
        <w:rPr>
          <w:rFonts w:ascii="Times New Roman" w:hAnsi="Times New Roman" w:eastAsia="宋体"/>
          <w:sz w:val="22"/>
          <w:szCs w:val="22"/>
        </w:rPr>
        <w:t>plantation and were well tolerated, the effect of this method is acceptable. Regarding the treatment of Pembrolizumab, a trial evaluated Pembrolizumab combined with R-CHOP in the treatment of 30 untreated DLBCL patients, found comparable toxicity to standard R-CHOP, but there were 2 cases of grade 3 immune-related adverse events. The overall response rate and complete response rate were 90% and 77%, and the 2-year progression-free survival rate was 83%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&lt;EndNote&gt;&lt;Cite&gt;&lt;Author&gt;Smith&lt;/Author&gt;&lt;Year&gt;2020&lt;/Year&gt;&lt;RecNum&gt;138&lt;/RecNum&gt;&lt;DisplayText&gt;&lt;style face="superscript"&gt;[35]&lt;/style&gt;&lt;/DisplayText&gt;&lt;record&gt;&lt;rec-number&gt;138&lt;/rec-number&gt;&lt;foreign-keys&gt;&lt;key app="EN" db-id="wtw2d92v2spsvber2d5x2p26d0vxavdxzsxf"&gt;138&lt;/key&gt;&lt;/foreign-keys&gt;&lt;ref-type name="Journal Article"&gt;17&lt;/ref-type&gt;&lt;contributors&gt;&lt;authors&gt;&lt;author&gt;Smith, Stephen D&lt;/author&gt;&lt;author&gt;Till, Brian G&lt;/author&gt;&lt;author&gt;Shadman, Mazyar S&lt;/author&gt;&lt;author&gt;Lynch, Ryan C&lt;/author&gt;&lt;author&gt;Cowan, Andrew J&lt;/author&gt;&lt;author&gt;Wu, Qian V&lt;/author&gt;&lt;author&gt;Voutsinas, Jenna&lt;/author&gt;&lt;author&gt;Rasmussen, Heather A&lt;/author&gt;&lt;author&gt;Blue, Katherine&lt;/author&gt;&lt;author&gt;Ujjani, Chaitra S&lt;/author&gt;&lt;/authors&gt;&lt;/contributors&gt;&lt;titles&gt;&lt;title&gt;Pembrolizumab with R‐CHOP in previously untreated diffuse large B‐cell lymphoma: potential for biomarker driven therapy&lt;/title&gt;&lt;secondary-title&gt;British journal of haematology&lt;/secondary-title&gt;&lt;/titles&gt;&lt;periodical&gt;&lt;full-title&gt;British Journal of Haematology&lt;/full-title&gt;&lt;/periodical&gt;&lt;pages&gt;1119-1126&lt;/pages&gt;&lt;volume&gt;189&lt;/volume&gt;&lt;number&gt;6&lt;/number&gt;&lt;dates&gt;&lt;year&gt;2020&lt;/year&gt;&lt;/dates&gt;&lt;isbn&gt;0007-1048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"_ENREF_35" \o "Smith, 2020 #138" </w:instrText>
      </w:r>
      <w:r>
        <w:fldChar w:fldCharType="separate"/>
      </w:r>
      <w:r>
        <w:rPr>
          <w:rFonts w:hint="eastAsia" w:ascii="Times New Roman" w:hAnsi="Times New Roman" w:eastAsia="宋体"/>
          <w:sz w:val="22"/>
          <w:szCs w:val="22"/>
          <w:vertAlign w:val="superscript"/>
        </w:rPr>
        <w:t>35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was better than using it alone. Several later studies were conducted to explore the effect of Pembrolizumab combined with other drug treatments.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also many drugs that have been studied for the treatment of DLBCL. A study of Zanubrutinib in combination with Tislelizumab in 69 patients with B-cell malignancies (including 27 with DLBCL), found an objective remission rate of 37% in DLBCL patients, with 4 (14.8%) in complete remission and 6 (22.2%) in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&lt;EndNote&gt;&lt;Cite&gt;&lt;Author&gt;Constantine S. Tam&lt;/Author&gt;&lt;Year&gt;2019&lt;/Year&gt;&lt;RecNum&gt;113&lt;/RecNum&gt;&lt;DisplayText&gt;&lt;style face="superscript"&gt;[36]&lt;/style&gt;&lt;/DisplayText&gt;&lt;record&gt;&lt;rec-number&gt;113&lt;/rec-number&gt;&lt;foreign-keys&gt;&lt;key app="EN" db-id="wtw2d92v2spsvber2d5x2p26d0vxavdxzsxf"&gt;113&lt;/key&gt;&lt;/foreign-keys&gt;&lt;ref-type name="Journal Article"&gt;17&lt;/ref-type&gt;&lt;contributors&gt;&lt;authors&gt;&lt;author&gt;Constantine S. Tam&lt;/author&gt;&lt;author&gt;Gavin Cull&lt;/author&gt;&lt;author&gt;Stephen Opat&lt;/author&gt;&lt;author&gt;AAAA&lt;/author&gt;&lt;/authors&gt;&lt;/contributors&gt;&lt;titles&gt;&lt;title&gt;An Update on Safety and Preliminary Efficacy of Highly Specific Bruton Tyrosine Kinase (BTK) Inhibitor Zanubrutinib in Combination with PD-1 Inhibitor Tislelizumab in Patients with Previously Treated B-Cell Lymphoid Malignancies&lt;/title&gt;&lt;secondary-title&gt;Blood&lt;/secondary-title&gt;&lt;/titles&gt;&lt;periodical&gt;&lt;full-title&gt;Blood&lt;/full-title&gt;&lt;/periodical&gt;&lt;pages&gt;1594&lt;/pages&gt;&lt;volume&gt;134 &lt;/volume&gt;&lt;number&gt;Supplement_1&lt;/number&gt;&lt;dates&gt;&lt;year&gt;2019&lt;/year&gt;&lt;/dates&gt;&lt;urls&gt;&lt;/urls&gt;&lt;electronic-resource-num&gt;https://doi.org/10.1182/blood-2019-125485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"_ENREF_36" \o "Tam, 2019 #113" </w:instrText>
      </w:r>
      <w:r>
        <w:fldChar w:fldCharType="separate"/>
      </w:r>
      <w:r>
        <w:rPr>
          <w:rFonts w:hint="eastAsia" w:ascii="Times New Roman" w:hAnsi="Times New Roman" w:eastAsia="宋体"/>
          <w:sz w:val="22"/>
          <w:szCs w:val="22"/>
          <w:vertAlign w:val="superscript"/>
        </w:rPr>
        <w:t>36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in germinal center B-cell-like (GCB) DLBCL and non-germinal center B-cell-like (NGCB) DLBCL, the objective remission rates were 33.3% and 40%, which did not show a good therapeutic effect. A trial study of Atezolizumab combined with R-CHOP (R-CHOP-atezo) in the treatment of 42 patients with untreated DLBCL, found that 31 (77.5%) achieved complete remission and 4 (10%) achieved partial remission through IRC</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&lt;EndNote&gt;&lt;Cite&gt;&lt;Author&gt;Anas Younes&lt;/Author&gt;&lt;Year&gt;2019&lt;/Year&gt;&lt;RecNum&gt;115&lt;/RecNum&gt;&lt;DisplayText&gt;&lt;style face="superscript"&gt;[37]&lt;/style&gt;&lt;/DisplayText&gt;&lt;record&gt;&lt;rec-number&gt;115&lt;/rec-number&gt;&lt;foreign-keys&gt;&lt;key app="EN" db-id="wtw2d92v2spsvber2d5x2p26d0vxavdxzsxf"&gt;115&lt;/key&gt;&lt;/foreign-keys&gt;&lt;ref-type name="Journal Article"&gt;17&lt;/ref-type&gt;&lt;contributors&gt;&lt;authors&gt;&lt;author&gt;Anas Younes&lt;/author&gt;&lt;author&gt;John M Burke&lt;/author&gt;&lt;author&gt;Bruce D. Cheson&lt;/author&gt;&lt;author&gt;A, Liu&lt;/author&gt;&lt;/authors&gt;&lt;/contributors&gt;&lt;titles&gt;&lt;title&gt;Sharman; Safety and Efficacy of Atezolizumab in Combination with Rituximab Plus CHOP in Previously Untreated Patients with Diffuse Large B-Cell Lymphoma (DLBCL): Updated Analysis of a Phase I/II Study&lt;/title&gt;&lt;secondary-title&gt;Blood&lt;/secondary-title&gt;&lt;/titles&gt;&lt;periodical&gt;&lt;full-title&gt;Blood&lt;/full-title&gt;&lt;/periodical&gt;&lt;pages&gt;2874&lt;/pages&gt;&lt;volume&gt;134&lt;/volume&gt;&lt;number&gt;Supplement_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"_ENREF_37" \o "Younes, 2019 #115" </w:instrText>
      </w:r>
      <w:r>
        <w:fldChar w:fldCharType="separate"/>
      </w:r>
      <w:r>
        <w:rPr>
          <w:rFonts w:hint="eastAsia" w:ascii="Times New Roman" w:hAnsi="Times New Roman" w:eastAsia="宋体"/>
          <w:sz w:val="22"/>
          <w:szCs w:val="22"/>
          <w:vertAlign w:val="superscript"/>
        </w:rPr>
        <w:t>37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has a promising effect.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In DLBCL, targeting PD-1/PD-L1 has better curative effect on some special types. In primary central nervous system lymphoma (PCNSL), due to the change of chromosome 9p24.1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&lt;EndNote&gt;&lt;Cite&gt;&lt;Author&gt;Chapuy&lt;/Author&gt;&lt;Year&gt;2016&lt;/Year&gt;&lt;RecNum&gt;139&lt;/RecNum&gt;&lt;DisplayText&gt;&lt;style face="superscript"&gt;[38]&lt;/style&gt;&lt;/DisplayText&gt;&lt;record&gt;&lt;rec-number&gt;139&lt;/rec-number&gt;&lt;foreign-keys&gt;&lt;key app="EN" db-id="wtw2d92v2spsvber2d5x2p26d0vxavdxzsxf"&gt;139&lt;/key&gt;&lt;/foreign-keys&gt;&lt;ref-type name="Journal Article"&gt;17&lt;/ref-type&gt;&lt;contributors&gt;&lt;authors&gt;&lt;author&gt;Bjoern Chapuy&lt;/author&gt;&lt;author&gt;Margaretha G M Roemer&lt;/author&gt;&lt;author&gt;Chip Stewart&lt;/author&gt;&lt;author&gt;Yuxiang Tan &lt;/author&gt;&lt;/authors&gt;&lt;/contributors&gt;&lt;titles&gt;&lt;title&gt;Targetable genetic features of primary testicular and primary central nervous system lymphomas&lt;/title&gt;&lt;secondary-title&gt;Blood, The Journal of the American Society of Hematology&lt;/secondary-title&gt;&lt;/titles&gt;&lt;periodical&gt;&lt;full-title&gt;Blood, The Journal of the American Society of Hematology&lt;/full-title&gt;&lt;/periodical&gt;&lt;pages&gt;869-881&lt;/pages&gt;&lt;volume&gt;127&lt;/volume&gt;&lt;number&gt;7&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"_ENREF_38" \o "Chapuy, 2016 #139" </w:instrText>
      </w:r>
      <w:r>
        <w:fldChar w:fldCharType="separate"/>
      </w:r>
      <w:r>
        <w:rPr>
          <w:rFonts w:hint="eastAsia" w:ascii="Times New Roman" w:hAnsi="Times New Roman" w:eastAsia="宋体"/>
          <w:sz w:val="22"/>
          <w:szCs w:val="22"/>
          <w:vertAlign w:val="superscript"/>
        </w:rPr>
        <w:t>38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increased expression of PD-L1, so targeted therapy drugs have a better effect. A clinical trial using Nivolumab to treat 4 patients with r/r PCNSL and 1 patient with relapsed primary testicular lymphoma (PTL), found that all 5 patients had objective responses, including 4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&lt;EndNote&gt;&lt;Cite&gt;&lt;Author&gt;Reddy&lt;/Author&gt;&lt;Year&gt;2017&lt;/Year&gt;&lt;RecNum&gt;73&lt;/RecNum&gt;&lt;DisplayText&gt;&lt;style face="superscript"&gt;[39]&lt;/style&gt;&lt;/DisplayText&gt;&lt;record&gt;&lt;rec-number&gt;73&lt;/rec-number&gt;&lt;foreign-keys&gt;&lt;key app="EN" db-id="wtw2d92v2spsvber2d5x2p26d0vxavdxzsxf"&gt;73&lt;/key&gt;&lt;/foreign-keys&gt;&lt;ref-type name="Journal Article"&gt;17&lt;/ref-type&gt;&lt;contributors&gt;&lt;authors&gt;&lt;author&gt;N M Reddy&lt;/author&gt;&lt;author&gt;C Thieblemont&lt;/author&gt;&lt;/authors&gt;&lt;/contributors&gt;&lt;titles&gt;&lt;title&gt;Thieblemont C Maintenance therapy following induction chemoimmunotherapy in patients with diffuse large B-cell lymphoma: current perspective&lt;/title&gt;&lt;secondary-title&gt;Ann Oncol&lt;/secondary-title&gt;&lt;/titles&gt;&lt;periodical&gt;&lt;full-title&gt;Ann Oncol&lt;/full-title&gt;&lt;/periodical&gt;&lt;pages&gt;&lt;style face="normal" font="default" size="100%"&gt;2680&lt;/style&gt;&lt;style face="normal" font="default" charset="134" size="100%"&gt;–2690&lt;/style&gt;&lt;/pages&gt;&lt;volume&gt;28&lt;/volume&gt;&lt;number&gt;11&lt;/number&gt;&lt;dates&gt;&lt;year&gt;2017&lt;/year&gt;&lt;/dates&gt;&lt;urls&gt;&lt;/urls&gt;&lt;/record&gt;&lt;/Cite&gt;&lt;/EndNote&gt;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"_ENREF_39" \o "Reddy, 2017 #73" </w:instrText>
      </w:r>
      <w:r>
        <w:fldChar w:fldCharType="separate"/>
      </w:r>
      <w:r>
        <w:rPr>
          <w:rFonts w:hint="eastAsia" w:ascii="Times New Roman" w:hAnsi="Times New Roman" w:eastAsia="宋体"/>
          <w:sz w:val="22"/>
          <w:szCs w:val="22"/>
          <w:vertAlign w:val="superscript"/>
        </w:rPr>
        <w:t>39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treatment has high efficiency, long-lasting curative effect, and can improve central symptoms at the same time. However, a phase II trial by studying Nivolumab for r/r PCNSL or r/r PTL, found that the objective response rate assessed by BICR was 6.4%, and the progression-free survival period was 1.41 months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&lt;EndNote&gt;&lt;Cite&gt;&lt;Author&gt;Nayak&lt;/Author&gt;&lt;Year&gt;2017&lt;/Year&gt;&lt;RecNum&gt;140&lt;/RecNum&gt;&lt;DisplayText&gt;&lt;style face="superscript"&gt;[40]&lt;/style&gt;&lt;/DisplayText&gt;&lt;record&gt;&lt;rec-number&gt;140&lt;/rec-number&gt;&lt;foreign-keys&gt;&lt;key app="EN" db-id="wtw2d92v2spsvber2d5x2p26d0vxavdxzsxf"&gt;140&lt;/key&gt;&lt;/foreign-keys&gt;&lt;ref-type name="Journal Article"&gt;17&lt;/ref-type&gt;&lt;contributors&gt;&lt;authors&gt;&lt;author&gt;Nayak, L&lt;/author&gt;&lt;author&gt;Iwamoto, FM&lt;/author&gt;&lt;author&gt;Ferreri, AJ&lt;/author&gt;&lt;author&gt;Santoro, A&lt;/author&gt;&lt;author&gt;Singer, S&lt;/author&gt;&lt;author&gt;Batlevi, C&lt;/author&gt;&lt;author&gt;Batchelor, T&lt;/author&gt;&lt;author&gt;Rubenstein, J&lt;/author&gt;&lt;author&gt;Johnston, P&lt;/author&gt;&lt;author&gt;Ramchandren, R&lt;/author&gt;&lt;/authors&gt;&lt;/contributors&gt;&lt;titles&gt;&lt;title&gt;CHECKMATE 647: A PHASE 2, OPEN‐LABEL STUDY OF NIVOLUMAB IN RELAPSED/REFRACTORY PRIMARY CENTRAL NERVOUS SYSTEM LYMPHOMA OR RELAPSED/REFRACTORY PRIMARY TESTICULAR LYMPHOMA&lt;/title&gt;&lt;secondary-title&gt;Hematological Oncology&lt;/secondary-title&gt;&lt;/titles&gt;&lt;periodical&gt;&lt;full-title&gt;Hematological Oncology&lt;/full-title&gt;&lt;/periodical&gt;&lt;pages&gt;420-421&lt;/pages&gt;&lt;volume&gt;35&lt;/volume&gt;&lt;number&gt;S2&lt;/number&gt;&lt;dates&gt;&lt;year&gt;2017&lt;/year&gt;&lt;/dates&gt;&lt;isbn&gt;0278-0232&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"_ENREF_40" \o "Nayak, 2017 #140" </w:instrText>
      </w:r>
      <w:r>
        <w:fldChar w:fldCharType="separate"/>
      </w:r>
      <w:r>
        <w:rPr>
          <w:rFonts w:hint="eastAsia" w:ascii="Times New Roman" w:hAnsi="Times New Roman" w:eastAsia="宋体"/>
          <w:sz w:val="22"/>
          <w:szCs w:val="22"/>
          <w:vertAlign w:val="superscript"/>
        </w:rPr>
        <w:t>40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the efficacy of targeting PD1/PD-L1 in PCNSL needs to be confirmed by more prospective clinical studies. Regarding combination therapy, a phase II clinical trial of Nivolumab and Ibrutinib for r/r PCNSL is recruiting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&lt;EndNote&gt;&lt;Cite&gt;&lt;Author&gt;Westin&lt;/Author&gt;&lt;Year&gt;2019&lt;/Year&gt;&lt;RecNum&gt;141&lt;/RecNum&gt;&lt;DisplayText&gt;&lt;style face="superscript"&gt;[41]&lt;/style&gt;&lt;/DisplayText&gt;&lt;record&gt;&lt;rec-number&gt;141&lt;/rec-number&gt;&lt;foreign-keys&gt;&lt;key app="EN" db-id="wtw2d92v2spsvber2d5x2p26d0vxavdxzsxf"&gt;141&lt;/key&gt;&lt;/foreign-keys&gt;&lt;ref-type name="Journal Article"&gt;17&lt;/ref-type&gt;&lt;contributors&gt;&lt;authors&gt;&lt;author&gt;Westin, Jason R&lt;/author&gt;&lt;author&gt;Fowler, Nathan H&lt;/author&gt;&lt;author&gt;Nastoupil, Loretta J&lt;/author&gt;&lt;author&gt;Neelapu, Sattva S&lt;/author&gt;&lt;author&gt;Lee, Hun Ju&lt;/author&gt;&lt;author&gt;Hagemeister, Fredrick B&lt;/author&gt;&lt;author&gt;Rodriguez, Maria Alma&lt;/author&gt;&lt;author&gt;Steiner, Raphael E&lt;/author&gt;&lt;author&gt;Ahmed, Sairah&lt;/author&gt;&lt;author&gt;Parmar, Simrit&lt;/author&gt;&lt;/authors&gt;&lt;/contributors&gt;&lt;titles&gt;&lt;title&gt;A Phase II Trial of Nivolumab and Ibrutinib for Patients with Relapsed or Refractory Central Nervous System Lymphoma&lt;/title&gt;&lt;secondary-title&gt;Blood&lt;/secondary-title&gt;&lt;/titles&gt;&lt;periodical&gt;&lt;full-title&gt;Blood&lt;/full-title&gt;&lt;/periodical&gt;&lt;pages&gt;4086&lt;/pages&gt;&lt;volume&gt;134&lt;/volume&gt;&lt;number&gt;Supplement_1&lt;/number&gt;&lt;dates&gt;&lt;year&gt;2019&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"_ENREF_41" \o "Westin, 2019 #141" </w:instrText>
      </w:r>
      <w:r>
        <w:fldChar w:fldCharType="separate"/>
      </w:r>
      <w:r>
        <w:rPr>
          <w:rFonts w:hint="eastAsia" w:ascii="Times New Roman" w:hAnsi="Times New Roman" w:eastAsia="宋体"/>
          <w:sz w:val="22"/>
          <w:szCs w:val="22"/>
          <w:vertAlign w:val="superscript"/>
        </w:rPr>
        <w:t>41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Primary mediastinal large B cell lymphoma (PMBCL) is similar to PCNSL, both because of the chromosome changes lead to the overexpression of PD-L1, the application of targeted drugs has a better effect. According to reports, the objective response rate of the first batch of 19 patients in the PMBCL cohort was 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&lt;EndNote&gt;&lt;Cite&gt;&lt;Author&gt;Chang&lt;/Author&gt;&lt;Year&gt;2018&lt;/Year&gt;&lt;RecNum&gt;66&lt;/RecNum&gt;&lt;DisplayText&gt;&lt;style face="superscript"&gt;[42]&lt;/style&gt;&lt;/DisplayText&gt;&lt;record&gt;&lt;rec-number&gt;66&lt;/rec-number&gt;&lt;foreign-keys&gt;&lt;key app="EN" db-id="wtw2d92v2spsvber2d5x2p26d0vxavdxzsxf"&gt;66&lt;/key&gt;&lt;/foreign-keys&gt;&lt;ref-type name="Journal Article"&gt;17&lt;/ref-type&gt;&lt;contributors&gt;&lt;authors&gt;&lt;author&gt;Andres Chang&lt;/author&gt;&lt;author&gt;Danielle Schlafer&lt;/author&gt;&lt;author&gt;Christopher R Flowers&lt;/author&gt;&lt;author&gt;Pamela B Allen &lt;/author&gt;&lt;/authors&gt;&lt;/contributors&gt;&lt;titles&gt;&lt;title&gt;Investigational PD-1 inhibitors in HL and NHL and biomarkers for predictors of response and outcome&lt;/title&gt;&lt;secondary-title&gt;Expert Opin Investig Drugs&lt;/secondary-title&gt;&lt;/titles&gt;&lt;periodical&gt;&lt;full-title&gt;Expert Opin Investig Drugs&lt;/full-title&gt;&lt;/periodical&gt;&lt;pages&gt;&lt;style face="normal" font="default" size="100%"&gt;55&lt;/style&gt;&lt;style face="normal" font="default" charset="134" size="100%"&gt;-70&lt;/style&gt;&lt;/pages&gt;&lt;volume&gt;27&lt;/volume&gt;&lt;number&gt;1&lt;/number&gt;&lt;dates&gt;&lt;year&gt;2018&lt;/year&gt;&lt;/dates&gt;&lt;urls&gt;&lt;/urls&gt;&lt;electronic-resource-num&gt;10.1080/13543784.2018.1416091&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"_ENREF_42" \o "Chang, 2018 #66" </w:instrText>
      </w:r>
      <w:r>
        <w:fldChar w:fldCharType="separate"/>
      </w:r>
      <w:r>
        <w:rPr>
          <w:rFonts w:hint="eastAsia" w:ascii="Times New Roman" w:hAnsi="Times New Roman" w:eastAsia="宋体"/>
          <w:sz w:val="22"/>
          <w:szCs w:val="22"/>
          <w:vertAlign w:val="superscript"/>
        </w:rPr>
        <w:t>42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NCCN guidelines recommend Pembrolizumab for r/r PMBL. A phase II trial using Pembrolizumab to treat 53 r/r PMBL patients, found that the objective response rate was 45%, and the complete response rate was 21%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&lt;EndNote&gt;&lt;Cite&gt;&lt;Author&gt;Armand&lt;/Author&gt;&lt;Year&gt;2019&lt;/Year&gt;&lt;RecNum&gt;74&lt;/RecNum&gt;&lt;DisplayText&gt;&lt;style face="superscript"&gt;[43]&lt;/style&gt;&lt;/DisplayText&gt;&lt;record&gt;&lt;rec-number&gt;74&lt;/rec-number&gt;&lt;foreign-keys&gt;&lt;key app="EN" db-id="wtw2d92v2spsvber2d5x2p26d0vxavdxzsxf"&gt;74&lt;/key&gt;&lt;/foreign-keys&gt;&lt;ref-type name="Journal Article"&gt;17&lt;/ref-type&gt;&lt;contributors&gt;&lt;authors&gt;&lt;author&gt;Philippe Armand&lt;/author&gt;&lt;author&gt;Scott Rodig&lt;/author&gt;&lt;author&gt;Vladimir Melnichenko&lt;/author&gt;&lt;author&gt;Catherine Thieblemont&lt;/author&gt;&lt;/authors&gt;&lt;/contributors&gt;&lt;titles&gt;&lt;title&gt;Pembrolizumab in relapsed or refractory primary mediastinal large B-cell lymphoma&lt;/title&gt;&lt;secondary-title&gt;J Clin Oncol&lt;/secondary-title&gt;&lt;/titles&gt;&lt;periodical&gt;&lt;full-title&gt;J Clin Oncol&lt;/full-title&gt;&lt;/periodical&gt;&lt;pages&gt;&lt;style face="normal" font="default" size="100%"&gt;3291&lt;/style&gt;&lt;style face="normal" font="default" charset="134" size="100%"&gt;–9&lt;/style&gt;&lt;/pages&gt;&lt;volume&gt;37&lt;/volume&gt;&lt;number&gt;34&lt;/number&gt;&lt;dates&gt;&lt;year&gt;2019&lt;/year&gt;&lt;/dates&gt;&lt;urls&gt;&lt;/urls&gt;&lt;electronic-resource-num&gt;&lt;style face="normal" font="default" charset="134" size="100%"&gt;10.1200/JCO.19.01389.&lt;/style&gt;&lt;/electronic-resource-num&gt;&lt;/record&gt;&lt;/Cite&gt;&lt;/EndNote&gt;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"_ENREF_43" \o "Armand, 2019 #74" </w:instrText>
      </w:r>
      <w:r>
        <w:fldChar w:fldCharType="separate"/>
      </w:r>
      <w:r>
        <w:rPr>
          <w:rFonts w:hint="eastAsia" w:ascii="Times New Roman" w:hAnsi="Times New Roman" w:eastAsia="宋体"/>
          <w:sz w:val="22"/>
          <w:szCs w:val="22"/>
          <w:vertAlign w:val="superscript"/>
        </w:rPr>
        <w:t>43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showing an effective outcome. And a clinical trial using Nivolumab combined with BV to treat 30 r/r PMBL patients, found that at a median follow-up of 11.1 months, the objective response rate was 73%, the complete response rate for each investigator was 37%, and the remission rate is 70%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&lt;EndNote&gt;&lt;Cite&gt;&lt;Author&gt;Zinzani&lt;/Author&gt;&lt;Year&gt;2019&lt;/Year&gt;&lt;RecNum&gt;110&lt;/RecNum&gt;&lt;DisplayText&gt;&lt;style face="superscript"&gt;[44]&lt;/style&gt;&lt;/DisplayText&gt;&lt;record&gt;&lt;rec-number&gt;110&lt;/rec-number&gt;&lt;foreign-keys&gt;&lt;key app="EN" db-id="wtw2d92v2spsvber2d5x2p26d0vxavdxzsxf"&gt;110&lt;/key&gt;&lt;/foreign-keys&gt;&lt;ref-type name="Journal Article"&gt;17&lt;/ref-type&gt;&lt;contributors&gt;&lt;authors&gt;&lt;author&gt;Pier Luigi Zinzani&lt;/author&gt;&lt;author&gt;Armando Santoro&lt;/author&gt;&lt;author&gt;Giuseppe Gritti&lt;/author&gt;&lt;author&gt;Pauline Brice&lt;/author&gt;&lt;/authors&gt;&lt;/contributors&gt;&lt;titles&gt;&lt;title&gt;Nivolumab Combined With Brentuximab Vedotin for Relapsed/Refractory Primary Mediastinal Large B-Cell Lymphoma: Efficacy and Safety From the Phase II CheckMate 436 Study&lt;/title&gt;&lt;secondary-title&gt;Journal of Clinical Oncology&lt;/secondary-title&gt;&lt;/titles&gt;&lt;periodical&gt;&lt;full-title&gt;Journal of Clinical Oncology&lt;/full-title&gt;&lt;/periodical&gt;&lt;pages&gt;3081-3089&lt;/pages&gt;&lt;volume&gt;37&lt;/volume&gt;&lt;number&gt;33&lt;/number&gt;&lt;dates&gt;&lt;year&gt;2019&lt;/year&gt;&lt;/dates&gt;&lt;urls&gt;&lt;/urls&gt;&lt;/record&gt;&lt;/Cite&gt;&lt;/EndNote&gt;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"_ENREF_44" \o "Zinzani, 2019 #110" </w:instrText>
      </w:r>
      <w:r>
        <w:fldChar w:fldCharType="separate"/>
      </w:r>
      <w:r>
        <w:rPr>
          <w:rFonts w:hint="eastAsia" w:ascii="Times New Roman" w:hAnsi="Times New Roman" w:eastAsia="宋体"/>
          <w:sz w:val="22"/>
          <w:szCs w:val="22"/>
          <w:vertAlign w:val="superscript"/>
        </w:rPr>
        <w:t>44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better than treatment alone.</w:t>
      </w:r>
    </w:p>
    <w:p>
      <w:pPr>
        <w:spacing w:line="360" w:lineRule="auto"/>
        <w:ind w:firstLine="440" w:firstLineChars="200"/>
        <w:rPr>
          <w:rFonts w:hint="eastAsia" w:ascii="Times New Roman" w:hAnsi="Times New Roman" w:eastAsia="宋体"/>
          <w:b/>
          <w:sz w:val="22"/>
          <w:szCs w:val="22"/>
        </w:rPr>
      </w:pPr>
      <w:r>
        <w:rPr>
          <w:rFonts w:ascii="Times New Roman" w:hAnsi="Times New Roman" w:eastAsia="宋体"/>
          <w:sz w:val="22"/>
          <w:szCs w:val="22"/>
        </w:rPr>
        <w:t>The overexpression of PD-L1 in EBV-associated lymphoma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&lt;EndNote&gt;&lt;Cite&gt;&lt;Author&gt;Lin&lt;/Author&gt;&lt;Year&gt;2020&lt;/Year&gt;&lt;RecNum&gt;75&lt;/RecNum&gt;&lt;DisplayText&gt;&lt;style face="superscript"&gt;[45]&lt;/style&gt;&lt;/DisplayText&gt;&lt;record&gt;&lt;rec-number&gt;75&lt;/rec-number&gt;&lt;foreign-keys&gt;&lt;key app="EN" db-id="wtw2d92v2spsvber2d5x2p26d0vxavdxzsxf"&gt;75&lt;/key&gt;&lt;/foreign-keys&gt;&lt;ref-type name="Journal Article"&gt;17&lt;/ref-type&gt;&lt;contributors&gt;&lt;authors&gt;&lt;author&gt;Ningjing Lin&lt;/author&gt;&lt;author&gt;Yuqin Song&lt;/author&gt;&lt;author&gt;Jun Zhu&lt;/author&gt;&lt;/authors&gt;&lt;/contributors&gt;&lt;titles&gt;&lt;title&gt;Immune checkpoint inhibitors in malignant lymphoma: Advances and perspectives&lt;/title&gt;&lt;secondary-title&gt;Chin J Cancer Res&lt;/secondary-title&gt;&lt;/titles&gt;&lt;periodical&gt;&lt;full-title&gt;Chin J Cancer Res&lt;/full-title&gt;&lt;/periodical&gt;&lt;pages&gt;303-318&lt;/pages&gt;&lt;volume&gt;32&lt;/volume&gt;&lt;number&gt;3&lt;/number&gt;&lt;dates&gt;&lt;year&gt;2020&lt;/year&gt;&lt;/dates&gt;&lt;urls&gt;&lt;/urls&gt;&lt;electronic-resource-num&gt;10.21147/j.issn.1000-9604.2020.03.03&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"_ENREF_45" \o "Lin, 2020 #75" </w:instrText>
      </w:r>
      <w:r>
        <w:fldChar w:fldCharType="separate"/>
      </w:r>
      <w:r>
        <w:rPr>
          <w:rFonts w:hint="eastAsia" w:ascii="Times New Roman" w:hAnsi="Times New Roman" w:eastAsia="宋体"/>
          <w:sz w:val="22"/>
          <w:szCs w:val="22"/>
          <w:vertAlign w:val="superscript"/>
        </w:rPr>
        <w:t>45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is thought to be mediated by the latent membrane protein 1 (LMP1) encoded by EBV</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&lt;EndNote&gt;&lt;Cite&gt;&lt;Author&gt;Garon&lt;/Author&gt;&lt;Year&gt;2015&lt;/Year&gt;&lt;RecNum&gt;77&lt;/RecNum&gt;&lt;DisplayText&gt;&lt;style face="superscript"&gt;[46]&lt;/style&gt;&lt;/DisplayText&gt;&lt;record&gt;&lt;rec-number&gt;77&lt;/rec-number&gt;&lt;foreign-keys&gt;&lt;key app="EN" db-id="wtw2d92v2spsvber2d5x2p26d0vxavdxzsxf"&gt;77&lt;/key&gt;&lt;/foreign-keys&gt;&lt;ref-type name="Journal Article"&gt;17&lt;/ref-type&gt;&lt;contributors&gt;&lt;authors&gt;&lt;author&gt;Edward B Garon&lt;/author&gt;&lt;author&gt;Naiyer A Rizvi&lt;/author&gt;&lt;author&gt;Rina Hui&lt;/author&gt;&lt;author&gt;Natasha Leighl&lt;/author&gt;&lt;/authors&gt;&lt;/contributors&gt;&lt;titles&gt;&lt;title&gt;Pembrolizumab for the treatment of non-small-cell lung cancer&lt;/title&gt;&lt;secondary-title&gt;N Engl J Med&lt;/secondary-title&gt;&lt;/titles&gt;&lt;periodical&gt;&lt;full-title&gt;N Engl J Med&lt;/full-title&gt;&lt;/periodical&gt;&lt;pages&gt;2018-28&lt;/pages&gt;&lt;volume&gt;372&lt;/volume&gt;&lt;number&gt;21&lt;/number&gt;&lt;dates&gt;&lt;year&gt;2015&lt;/year&gt;&lt;/dates&gt;&lt;urls&gt;&lt;/urls&gt;&lt;/record&gt;&lt;/Cite&gt;&lt;/EndNote&gt;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"_ENREF_46" \o "Garon, 2015 #77" </w:instrText>
      </w:r>
      <w:r>
        <w:fldChar w:fldCharType="separate"/>
      </w:r>
      <w:r>
        <w:rPr>
          <w:rFonts w:hint="eastAsia" w:ascii="Times New Roman" w:hAnsi="Times New Roman" w:eastAsia="宋体"/>
          <w:sz w:val="22"/>
          <w:szCs w:val="22"/>
          <w:vertAlign w:val="superscript"/>
        </w:rPr>
        <w:t>46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makes it sensitive to PD-1 blockade. An experiment studied the effect of PD-1 blockade on the anti-tumor immunity of lymphoma cells, and found that PD-1 blockade exerted a highly effective role in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&lt;EndNote&gt;&lt;Cite&gt;&lt;Author&gt;Quan&lt;/Author&gt;&lt;Year&gt;2015&lt;/Year&gt;&lt;RecNum&gt;142&lt;/RecNum&gt;&lt;DisplayText&gt;&lt;style face="superscript"&gt;[47]&lt;/style&gt;&lt;/DisplayText&gt;&lt;record&gt;&lt;rec-number&gt;142&lt;/rec-number&gt;&lt;foreign-keys&gt;&lt;key app="EN" db-id="wtw2d92v2spsvber2d5x2p26d0vxavdxzsxf"&gt;142&lt;/key&gt;&lt;/foreign-keys&gt;&lt;ref-type name="Journal Article"&gt;17&lt;/ref-type&gt;&lt;contributors&gt;&lt;authors&gt;&lt;author&gt;Quan, Lina&lt;/author&gt;&lt;author&gt;Chen, Xue&lt;/author&gt;&lt;author&gt;Liu, Aichun&lt;/author&gt;&lt;author&gt;Zhang, Yan&lt;/author&gt;&lt;author&gt;Guo, Xiuchen&lt;/author&gt;&lt;author&gt;Yan, Shujie&lt;/author&gt;&lt;author&gt;Liu, Yue&lt;/author&gt;&lt;/authors&gt;&lt;/contributors&gt;&lt;titles&gt;&lt;title&gt;PD-1 blockade can restore functions of T-cells in Epstein-Barr virus-positive diffuse large B-cell lymphoma in vitro&lt;/title&gt;&lt;secondary-title&gt;PloS one&lt;/secondary-title&gt;&lt;/titles&gt;&lt;periodical&gt;&lt;full-title&gt;PLoS One&lt;/full-title&gt;&lt;/periodical&gt;&lt;pages&gt;e0136476&lt;/pages&gt;&lt;volume&gt;10&lt;/volume&gt;&lt;number&gt;9&lt;/number&gt;&lt;dates&gt;&lt;year&gt;2015&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"_ENREF_47" \o "Quan, 2015 #142" </w:instrText>
      </w:r>
      <w:r>
        <w:fldChar w:fldCharType="separate"/>
      </w:r>
      <w:r>
        <w:rPr>
          <w:rFonts w:hint="eastAsia" w:ascii="Times New Roman" w:hAnsi="Times New Roman" w:eastAsia="宋体"/>
          <w:sz w:val="22"/>
          <w:szCs w:val="22"/>
          <w:vertAlign w:val="superscript"/>
        </w:rPr>
        <w:t>47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stronger than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 indicating that targeting PD-1/PD-L1 will have a better effect on it. With regard to its clinical trials, we look forward to carrying out more clinical trials to verify the efficacy of the drug in the future.</w:t>
      </w:r>
      <w:r>
        <w:rPr>
          <w:rFonts w:hint="eastAsia" w:ascii="Times New Roman" w:hAnsi="Times New Roman" w:eastAsia="宋体"/>
          <w:b/>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2</w:t>
      </w:r>
      <w:r>
        <w:rPr>
          <w:rFonts w:ascii="Times New Roman" w:hAnsi="Times New Roman" w:eastAsia="宋体"/>
          <w:sz w:val="22"/>
          <w:szCs w:val="22"/>
        </w:rPr>
        <w:t xml:space="preserve"> lists the clinical trials currently underway.</w:t>
      </w:r>
    </w:p>
    <w:tbl>
      <w:tblPr>
        <w:tblStyle w:val="8"/>
        <w:tblW w:w="5250" w:type="pct"/>
        <w:jc w:val="center"/>
        <w:tblLayout w:type="fixed"/>
        <w:tblCellMar>
          <w:top w:w="0" w:type="dxa"/>
          <w:left w:w="108" w:type="dxa"/>
          <w:bottom w:w="0" w:type="dxa"/>
          <w:right w:w="108" w:type="dxa"/>
        </w:tblCellMar>
      </w:tblPr>
      <w:tblGrid>
        <w:gridCol w:w="660"/>
        <w:gridCol w:w="2363"/>
        <w:gridCol w:w="1306"/>
        <w:gridCol w:w="1096"/>
        <w:gridCol w:w="2636"/>
        <w:gridCol w:w="1134"/>
        <w:gridCol w:w="556"/>
      </w:tblGrid>
      <w:tr>
        <w:tblPrEx>
          <w:tblCellMar>
            <w:top w:w="0" w:type="dxa"/>
            <w:left w:w="108" w:type="dxa"/>
            <w:bottom w:w="0" w:type="dxa"/>
            <w:right w:w="108" w:type="dxa"/>
          </w:tblCellMar>
        </w:tblPrEx>
        <w:trPr>
          <w:trHeight w:val="426" w:hRule="atLeast"/>
          <w:jc w:val="center"/>
        </w:trPr>
        <w:tc>
          <w:tcPr>
            <w:tcW w:w="33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12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6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 Title</w:t>
            </w:r>
          </w:p>
        </w:tc>
        <w:tc>
          <w:tcPr>
            <w:tcW w:w="56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5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8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jc w:val="center"/>
        </w:trPr>
        <w:tc>
          <w:tcPr>
            <w:tcW w:w="33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12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NCT03305445</w:t>
            </w:r>
          </w:p>
        </w:tc>
        <w:tc>
          <w:tcPr>
            <w:tcW w:w="56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5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TAA-T cells</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CNS </w:t>
            </w:r>
            <w:r>
              <w:rPr>
                <w:rFonts w:hint="default" w:ascii="Times New Roman" w:hAnsi="Times New Roman" w:eastAsia="宋体" w:cs="Times New Roman"/>
                <w:color w:val="000000"/>
                <w:sz w:val="18"/>
                <w:szCs w:val="18"/>
                <w:lang w:val="en-US" w:eastAsia="zh-CN" w:bidi="ar"/>
              </w:rPr>
              <w:t>l</w:t>
            </w:r>
            <w:r>
              <w:rPr>
                <w:rFonts w:hint="default" w:ascii="Times New Roman" w:hAnsi="Times New Roman" w:eastAsia="宋体" w:cs="Times New Roman"/>
                <w:color w:val="000000"/>
                <w:sz w:val="18"/>
                <w:szCs w:val="18"/>
                <w:lang w:bidi="ar"/>
              </w:rPr>
              <w:t>ymphoma</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NCT04609046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Methotrexate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NCT03704714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Quality-of-Life Assessment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NCT03038672</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Varlilumab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RS</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Hematological malignancies(including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transforms or transforms indolent non-Hodgkin's lymphoma (including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NCT03884998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NCT04920617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CPA</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NCT03990961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NCT03340766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Blinatumomab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NCT03309878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Mogamulizumab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GZL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NCT03255018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NCT03349450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NCT04845139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NCT04401774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NCT03770416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NCT04022980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NCT04421560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NCT02857426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NCT02779101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NCT04745949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NCT04759586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 Phosphate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Pegfilgrastim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Radiation Therapy</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 and Hyaluronidase Human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NHL（including 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NCT03749018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NCT04875195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 Italy, etc</w:t>
            </w:r>
            <w:r>
              <w:rPr>
                <w:rFonts w:hint="default" w:ascii="Times New Roman" w:hAnsi="Times New Roman" w:eastAsia="宋体" w:cs="Times New Roman"/>
                <w:color w:val="000000"/>
                <w:sz w:val="18"/>
                <w:szCs w:val="18"/>
                <w:lang w:val="en-US" w:eastAsia="zh-CN" w:bidi="ar"/>
              </w:rPr>
              <w:t>.</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NCT04961515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Sintilimab, Orelabrutinib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EBC</w:t>
            </w:r>
            <w:r>
              <w:rPr>
                <w:rFonts w:hint="default" w:ascii="Times New Roman" w:hAnsi="Times New Roman" w:eastAsia="宋体" w:cs="Times New Roman"/>
                <w:color w:val="000000"/>
                <w:sz w:val="18"/>
                <w:szCs w:val="18"/>
                <w:vertAlign w:val="superscript"/>
                <w:lang w:bidi="ar"/>
              </w:rPr>
              <w:t xml:space="preserve">+ </w:t>
            </w: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NCT04705129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CLL, NSCLC, etc</w:t>
            </w:r>
            <w:r>
              <w:rPr>
                <w:rFonts w:hint="default" w:ascii="Times New Roman" w:hAnsi="Times New Roman" w:eastAsia="宋体" w:cs="Times New Roman"/>
                <w:color w:val="000000"/>
                <w:sz w:val="18"/>
                <w:szCs w:val="18"/>
                <w:lang w:val="en-US" w:eastAsia="zh-CN" w:bidi="ar"/>
              </w:rPr>
              <w:t>.</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NCT04282018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 BGB-10188,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Australia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NCT04799314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NCT04789434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NCT04899427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 xml:space="preserve">Tislelizumab </w:t>
            </w:r>
            <w:r>
              <w:rPr>
                <w:rFonts w:hint="default" w:ascii="Times New Roman" w:hAnsi="Times New Roman" w:eastAsia="宋体" w:cs="Times New Roman"/>
                <w:color w:val="000000"/>
                <w:sz w:val="18"/>
                <w:szCs w:val="18"/>
                <w:lang w:val="en-US" w:eastAsia="zh-CN" w:bidi="ar"/>
              </w:rPr>
              <w:t>O</w:t>
            </w:r>
            <w:r>
              <w:rPr>
                <w:rFonts w:hint="default" w:ascii="Times New Roman" w:hAnsi="Times New Roman" w:eastAsia="宋体" w:cs="Times New Roman"/>
                <w:color w:val="000000"/>
                <w:sz w:val="18"/>
                <w:szCs w:val="18"/>
                <w:lang w:bidi="ar"/>
              </w:rPr>
              <w:t>relabrutinib, Sintilimab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NCT02926833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KTE-C19, Cyclophosphamide, Fludarabine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NCT03422523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Rituximab, Gemcitabine, Oxaliplatin</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UK</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87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NCT03321643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Gemcitabine, Oxaliplatin,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867" w:hRule="atLeast"/>
          <w:jc w:val="center"/>
        </w:trPr>
        <w:tc>
          <w:tcPr>
            <w:tcW w:w="33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40</w:t>
            </w:r>
          </w:p>
        </w:tc>
        <w:tc>
          <w:tcPr>
            <w:tcW w:w="12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NHL</w:t>
            </w:r>
          </w:p>
        </w:tc>
        <w:tc>
          <w:tcPr>
            <w:tcW w:w="66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NCT03463057</w:t>
            </w:r>
          </w:p>
        </w:tc>
        <w:tc>
          <w:tcPr>
            <w:tcW w:w="56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w:t>
            </w:r>
          </w:p>
        </w:tc>
        <w:tc>
          <w:tcPr>
            <w:tcW w:w="58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Belgium, Netherlands</w:t>
            </w:r>
          </w:p>
        </w:tc>
        <w:tc>
          <w:tcPr>
            <w:tcW w:w="28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2.1.2.2 </w:t>
      </w:r>
      <w:bookmarkStart w:id="45" w:name="OLE_LINK24"/>
      <w:r>
        <w:rPr>
          <w:rFonts w:ascii="Times New Roman" w:hAnsi="Times New Roman" w:eastAsia="黑体"/>
          <w:b/>
          <w:sz w:val="22"/>
          <w:szCs w:val="22"/>
        </w:rPr>
        <w:t>Follicular lymphoma (FL)</w:t>
      </w:r>
    </w:p>
    <w:bookmarkEnd w:id="45"/>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Unlike DLBCL, most FL tumor cells do not express PD-L1 or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but PD-1 expressing cells are abundant in ME of FL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Cells expressing PD-1 include not only cells derived from TILs, but also follicular helper T cells (TFH) from lymphoma follicles or residual germinal centers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&lt;EndNote&gt;&lt;Cite&gt;&lt;Author&gt;Wahlin&lt;/Author&gt;&lt;Year&gt;2010&lt;/Year&gt;&lt;RecNum&gt;54&lt;/RecNum&gt;&lt;DisplayText&gt;&lt;style face="superscript"&gt;[48]&lt;/style&gt;&lt;/DisplayText&gt;&lt;record&gt;&lt;rec-number&gt;54&lt;/rec-number&gt;&lt;foreign-keys&gt;&lt;key app="EN" db-id="wtw2d92v2spsvber2d5x2p26d0vxavdxzsxf"&gt;54&lt;/key&gt;&lt;/foreign-keys&gt;&lt;ref-type name="Journal Article"&gt;17&lt;/ref-type&gt;&lt;contributors&gt;&lt;authors&gt;&lt;author&gt;Björn Engelbrekt Wahlin&lt;/author&gt;&lt;author&gt;Mohit Aggarwal&lt;/author&gt;&lt;author&gt;Santiago Montes-Moreno&lt;/author&gt;&lt;author&gt;Luis Francisco Gonzalez&lt;/author&gt;&lt;/authors&gt;&lt;/contributors&gt;&lt;titles&gt;&lt;title&gt;A unifying microenvironment model in follicular lymphoma: outcome is predicted by programmed death-1--positive, regulatory, cytotoxic, and helper T cells and macrophages&lt;/title&gt;&lt;secondary-title&gt;Clinical Cancer Research&lt;/secondary-title&gt;&lt;/titles&gt;&lt;periodical&gt;&lt;full-title&gt;Clinical Cancer Research&lt;/full-title&gt;&lt;/periodical&gt;&lt;pages&gt;&lt;style face="normal" font="default" size="100%"&gt;637&lt;/style&gt;&lt;style face="normal" font="default" charset="134" size="100%"&gt;-650&lt;/style&gt;&lt;/pages&gt;&lt;volume&gt;16&lt;/volume&gt;&lt;number&gt;2&lt;/number&gt;&lt;dates&gt;&lt;year&gt;2010&lt;/year&gt;&lt;/dates&gt;&lt;urls&gt;&lt;/urls&gt;&lt;/record&gt;&lt;/Cite&gt;&lt;/EndNote&gt;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"_ENREF_48" \o "Wahlin, 2010 #54" </w:instrText>
      </w:r>
      <w:r>
        <w:fldChar w:fldCharType="separate"/>
      </w:r>
      <w:r>
        <w:rPr>
          <w:rFonts w:hint="eastAsia" w:ascii="Times New Roman" w:hAnsi="Times New Roman" w:eastAsia="宋体"/>
          <w:sz w:val="22"/>
          <w:szCs w:val="22"/>
          <w:vertAlign w:val="superscript"/>
        </w:rPr>
        <w:t>48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PD-1</w:t>
      </w:r>
      <w:r>
        <w:rPr>
          <w:rFonts w:ascii="Times New Roman" w:hAnsi="Times New Roman" w:eastAsia="宋体"/>
          <w:sz w:val="22"/>
          <w:szCs w:val="22"/>
          <w:vertAlign w:val="superscript"/>
        </w:rPr>
        <w:t>+</w:t>
      </w:r>
      <w:r>
        <w:rPr>
          <w:rFonts w:ascii="Times New Roman" w:hAnsi="Times New Roman" w:eastAsia="宋体"/>
          <w:sz w:val="22"/>
          <w:szCs w:val="22"/>
        </w:rPr>
        <w:t xml:space="preserve"> TILs in FL and DLBCL are positively correlated with prognosis, and the presence of PD-1</w:t>
      </w:r>
      <w:bookmarkStart w:id="46" w:name="OLE_LINK44"/>
      <w:r>
        <w:rPr>
          <w:rFonts w:ascii="Times New Roman" w:hAnsi="Times New Roman" w:eastAsia="宋体"/>
          <w:sz w:val="22"/>
          <w:szCs w:val="22"/>
          <w:vertAlign w:val="superscript"/>
        </w:rPr>
        <w:t>+</w:t>
      </w:r>
      <w:bookmarkEnd w:id="46"/>
      <w:r>
        <w:rPr>
          <w:rFonts w:ascii="Times New Roman" w:hAnsi="Times New Roman" w:eastAsia="宋体"/>
          <w:sz w:val="22"/>
          <w:szCs w:val="22"/>
        </w:rPr>
        <w:t xml:space="preserve"> TILs in lymphoid tumors may indicate the source of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&lt;EndNote&gt;&lt;Cite&gt;&lt;Author&gt;Kieser&lt;/Author&gt;&lt;Year&gt;1997&lt;/Year&gt;&lt;RecNum&gt;143&lt;/RecNum&gt;&lt;DisplayText&gt;&lt;style face="superscript"&gt;[49]&lt;/style&gt;&lt;/DisplayText&gt;&lt;record&gt;&lt;rec-number&gt;143&lt;/rec-number&gt;&lt;foreign-keys&gt;&lt;key app="EN" db-id="wtw2d92v2spsvber2d5x2p26d0vxavdxzsxf"&gt;143&lt;/key&gt;&lt;/foreign-keys&gt;&lt;ref-type name="Journal Article"&gt;17&lt;/ref-type&gt;&lt;contributors&gt;&lt;authors&gt;&lt;author&gt;Kieser, Arnd&lt;/author&gt;&lt;author&gt;Kilger, Ellen&lt;/author&gt;&lt;author&gt;Gires, Olivier&lt;/author&gt;&lt;author&gt;Ueffing, Marius&lt;/author&gt;&lt;author&gt;Kolch, Walter&lt;/author&gt;&lt;author&gt;Hammerschmidt, Wolfgang&lt;/author&gt;&lt;/authors&gt;&lt;/contributors&gt;&lt;titles&gt;&lt;title&gt;Epstein–Barr virus latent membrane protein‐1 triggers AP‐1 activity via the c‐Jun N‐terminal kinase cascade&lt;/title&gt;&lt;secondary-title&gt;The EMBO journal&lt;/secondary-title&gt;&lt;/titles&gt;&lt;periodical&gt;&lt;full-title&gt;The EMBO Journal&lt;/full-title&gt;&lt;/periodical&gt;&lt;pages&gt;6478-6485&lt;/pages&gt;&lt;volume&gt;16&lt;/volume&gt;&lt;number&gt;21&lt;/number&gt;&lt;dates&gt;&lt;year&gt;1997&lt;/year&gt;&lt;/dates&gt;&lt;isbn&gt;1460-2075&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"_ENREF_49" \o "Kieser, 1997 #143" </w:instrText>
      </w:r>
      <w:r>
        <w:fldChar w:fldCharType="separate"/>
      </w:r>
      <w:r>
        <w:rPr>
          <w:rFonts w:hint="eastAsia" w:ascii="Times New Roman" w:hAnsi="Times New Roman" w:eastAsia="宋体"/>
          <w:sz w:val="22"/>
          <w:szCs w:val="22"/>
          <w:vertAlign w:val="superscript"/>
        </w:rPr>
        <w:t>49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the treatment of FL, a phase I study of Nivolumab in the treatment of r/r hematological malignancies (including 10 with recurrent FL), the result showed that the objective remission rate was 40%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a phase II clinical trial found that the use of Nivolumab as the first-line treatment for 39 patients with FL for immune initiation, followed by treatment with Nivolumab and Rituximab, the median follow-up time was 17.5 months, the overall response rate was 92%, the remission rate was 54%, and the median remission time was 5 months. Among the 25 evaluable patients, the 12-month progression-free survival rate and overall survival rate were 72% and 96%</w:t>
      </w:r>
      <w:bookmarkStart w:id="47" w:name="_ENREF_77"/>
      <w:bookmarkEnd w:id="47"/>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&lt;EndNote&gt;&lt;Cite&gt;&lt;Author&gt;Alrawashdh&lt;/Author&gt;&lt;Year&gt;2021&lt;/Year&gt;&lt;RecNum&gt;161&lt;/RecNum&gt;&lt;DisplayText&gt;&lt;style face="superscript"&gt;[50]&lt;/style&gt;&lt;/DisplayText&gt;&lt;record&gt;&lt;rec-number&gt;161&lt;/rec-number&gt;&lt;foreign-keys&gt;&lt;key app="EN" db-id="wtw2d92v2spsvber2d5x2p26d0vxavdxzsxf"&gt;161&lt;/key&gt;&lt;/foreign-keys&gt;&lt;ref-type name="Journal Article"&gt;17&lt;/ref-type&gt;&lt;contributors&gt;&lt;authors&gt;&lt;author&gt;Alrawashdh, Neda&lt;/author&gt;&lt;author&gt;McBride, Ali&lt;/author&gt;&lt;author&gt;Persky, Daniel O&lt;/author&gt;&lt;author&gt;Sweasy, Joann&lt;/author&gt;&lt;author&gt;Erstad, Brian&lt;/author&gt;&lt;author&gt;Abraham, Ivo&lt;/author&gt;&lt;/authors&gt;&lt;/contributors&gt;&lt;titles&gt;&lt;title&gt;Survival trends in chronic lymphocytic leukemia in the era of oral targeted therapies in the United States: SEER database analyses (1985 to 2017)&lt;/title&gt;&lt;/titles&gt;&lt;pages&gt;7524&lt;/pages&gt;&lt;volume&gt;39&lt;/volume&gt;&lt;number&gt;15_suppl&lt;/number&gt;&lt;dates&gt;&lt;year&gt;2021&lt;/year&gt;&lt;/dates&gt;&lt;publisher&gt;Wolters Kluwer Health&lt;/publisher&gt;&lt;isbn&gt;0732-183X&lt;/isbn&gt;&lt;urls&gt;&lt;/urls&gt;&lt;/record&gt;&lt;/Cite&gt;&lt;/EndNote&gt;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"_ENREF_50" \o "Alrawashdh, 2021 #161" </w:instrText>
      </w:r>
      <w:r>
        <w:fldChar w:fldCharType="separate"/>
      </w:r>
      <w:r>
        <w:rPr>
          <w:rFonts w:hint="eastAsia" w:ascii="Times New Roman" w:hAnsi="Times New Roman" w:eastAsia="宋体"/>
          <w:sz w:val="22"/>
          <w:szCs w:val="22"/>
          <w:vertAlign w:val="superscript"/>
        </w:rPr>
        <w:t>50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effect of this program is better than that of Nivolumab alone. A phase II clinical trial found that Pidilizumab combined with Rituximab in the treatment of 30 patients with relapsed FL has a total effective rate of 66%, of which 52% can achieve complete remission and 14% can achieve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&lt;EndNote&gt;&lt;Cite&gt;&lt;Author&gt;Westin&lt;/Author&gt;&lt;Year&gt;2014&lt;/Year&gt;&lt;RecNum&gt;101&lt;/RecNum&gt;&lt;DisplayText&gt;&lt;style face="superscript"&gt;[51]&lt;/style&gt;&lt;/DisplayText&gt;&lt;record&gt;&lt;rec-number&gt;101&lt;/rec-number&gt;&lt;foreign-keys&gt;&lt;key app="EN" db-id="wtw2d92v2spsvber2d5x2p26d0vxavdxzsxf"&gt;101&lt;/key&gt;&lt;/foreign-keys&gt;&lt;ref-type name="Journal Article"&gt;17&lt;/ref-type&gt;&lt;contributors&gt;&lt;authors&gt;&lt;author&gt;Jason R Westin&lt;/author&gt;&lt;author&gt;Fuliang Chu&lt;/author&gt;&lt;author&gt;Min Zhang&lt;/author&gt;&lt;author&gt;Luis E Fayad&lt;/author&gt;&lt;/authors&gt;&lt;/contributors&gt;&lt;titles&gt;&lt;title&gt;Safety and activity of PD1 blockade by pidilizumab in combination with rituximab in patients with relapsed follicular lymphoma: a single group, open-label, phase 2 trial&lt;/title&gt;&lt;secondary-title&gt;Lancet Oncology&lt;/secondary-title&gt;&lt;/titles&gt;&lt;periodical&gt;&lt;full-title&gt;Lancet Oncology&lt;/full-title&gt;&lt;/periodical&gt;&lt;pages&gt;69-77&lt;/pages&gt;&lt;volume&gt;15&lt;/volume&gt;&lt;number&gt;1&lt;/number&gt;&lt;dates&gt;&lt;year&gt;2014&lt;/year&gt;&lt;/dates&gt;&lt;urls&gt;&lt;/urls&gt;&lt;/record&gt;&lt;/Cite&gt;&lt;/EndNote&gt;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"_ENREF_51" \o "Westin, 2014 #101" </w:instrText>
      </w:r>
      <w:r>
        <w:fldChar w:fldCharType="separate"/>
      </w:r>
      <w:r>
        <w:rPr>
          <w:rFonts w:hint="eastAsia" w:ascii="Times New Roman" w:hAnsi="Times New Roman" w:eastAsia="宋体"/>
          <w:sz w:val="22"/>
          <w:szCs w:val="22"/>
          <w:vertAlign w:val="superscript"/>
        </w:rPr>
        <w:t>51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the overall effect is good. </w:t>
      </w:r>
      <w:bookmarkStart w:id="48" w:name="OLE_LINK19"/>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3 </w:t>
      </w:r>
      <w:r>
        <w:rPr>
          <w:rFonts w:ascii="Times New Roman" w:hAnsi="Times New Roman" w:eastAsia="宋体"/>
          <w:sz w:val="22"/>
          <w:szCs w:val="22"/>
        </w:rPr>
        <w:t>lists the clinical trials currently underway</w:t>
      </w:r>
      <w:bookmarkEnd w:id="48"/>
      <w:r>
        <w:rPr>
          <w:rFonts w:ascii="Times New Roman" w:hAnsi="Times New Roman" w:eastAsia="宋体"/>
          <w:sz w:val="22"/>
          <w:szCs w:val="22"/>
        </w:rPr>
        <w:t>.</w:t>
      </w:r>
    </w:p>
    <w:tbl>
      <w:tblPr>
        <w:tblStyle w:val="8"/>
        <w:tblW w:w="5086" w:type="pct"/>
        <w:tblInd w:w="0" w:type="dxa"/>
        <w:tblLayout w:type="fixed"/>
        <w:tblCellMar>
          <w:top w:w="0" w:type="dxa"/>
          <w:left w:w="108" w:type="dxa"/>
          <w:bottom w:w="0" w:type="dxa"/>
          <w:right w:w="108" w:type="dxa"/>
        </w:tblCellMar>
      </w:tblPr>
      <w:tblGrid>
        <w:gridCol w:w="588"/>
        <w:gridCol w:w="1754"/>
        <w:gridCol w:w="1380"/>
        <w:gridCol w:w="1080"/>
        <w:gridCol w:w="3012"/>
        <w:gridCol w:w="936"/>
        <w:gridCol w:w="697"/>
      </w:tblGrid>
      <w:tr>
        <w:tblPrEx>
          <w:tblCellMar>
            <w:top w:w="0" w:type="dxa"/>
            <w:left w:w="108" w:type="dxa"/>
            <w:bottom w:w="0" w:type="dxa"/>
            <w:right w:w="108" w:type="dxa"/>
          </w:tblCellMar>
        </w:tblPrEx>
        <w:trPr>
          <w:cantSplit/>
          <w:trHeight w:val="68" w:hRule="atLeast"/>
        </w:trPr>
        <w:tc>
          <w:tcPr>
            <w:tcW w:w="3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49" w:name="OLE_LINK18" w:colFirst="0" w:colLast="6"/>
            <w:r>
              <w:rPr>
                <w:rFonts w:hint="default" w:ascii="Times New Roman" w:hAnsi="Times New Roman" w:eastAsia="宋体" w:cs="Times New Roman"/>
                <w:color w:val="000000"/>
                <w:sz w:val="18"/>
                <w:szCs w:val="18"/>
              </w:rPr>
              <w:t>IDX</w:t>
            </w:r>
          </w:p>
        </w:tc>
        <w:tc>
          <w:tcPr>
            <w:tcW w:w="9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7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9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6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49"/>
      <w:tr>
        <w:tblPrEx>
          <w:tblCellMar>
            <w:top w:w="0" w:type="dxa"/>
            <w:left w:w="108" w:type="dxa"/>
            <w:bottom w:w="0" w:type="dxa"/>
            <w:right w:w="108" w:type="dxa"/>
          </w:tblCellMar>
        </w:tblPrEx>
        <w:trPr>
          <w:cantSplit/>
          <w:trHeight w:val="248" w:hRule="atLeast"/>
        </w:trPr>
        <w:tc>
          <w:tcPr>
            <w:tcW w:w="3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9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NCT03245021</w:t>
            </w:r>
          </w:p>
        </w:tc>
        <w:tc>
          <w:tcPr>
            <w:tcW w:w="57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w:t>
            </w:r>
          </w:p>
        </w:tc>
        <w:tc>
          <w:tcPr>
            <w:tcW w:w="36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41"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NCT03121677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Personalized tumor vaccine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Poly ICLC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018"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syndrome or transforming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50" w:name="OLE_LINK38" w:colFirst="1" w:colLast="1"/>
            <w:r>
              <w:rPr>
                <w:rFonts w:hint="default" w:ascii="Times New Roman" w:hAnsi="Times New Roman" w:eastAsia="宋体" w:cs="Times New Roman"/>
                <w:color w:val="000000"/>
                <w:sz w:val="18"/>
                <w:szCs w:val="18"/>
                <w:lang w:bidi="ar"/>
              </w:rPr>
              <w:t>4</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Blood system diseases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HL, NHL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bookmarkEnd w:id="50"/>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NCT02038946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NCT03361852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Neo Vax</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bookmarkStart w:id="51" w:name="OLE_LINK40"/>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ndolent B-cell NHL</w:t>
            </w:r>
            <w:bookmarkEnd w:id="51"/>
            <w:r>
              <w:rPr>
                <w:rFonts w:hint="default" w:ascii="Times New Roman" w:hAnsi="Times New Roman" w:eastAsia="宋体" w:cs="Times New Roman"/>
                <w:color w:val="000000"/>
                <w:sz w:val="18"/>
                <w:szCs w:val="18"/>
                <w:lang w:bidi="ar"/>
              </w:rPr>
              <w:t>, MZL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NCT03498612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r>
              <w:rPr>
                <w:rFonts w:hint="default" w:ascii="Times New Roman" w:hAnsi="Times New Roman" w:eastAsia="宋体" w:cs="Times New Roman"/>
                <w:color w:val="000000"/>
                <w:sz w:val="18"/>
                <w:szCs w:val="18"/>
              </w:rPr>
              <w:t>(including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NCT02332980</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Idelalisib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92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MCL, etc</w:t>
            </w:r>
            <w:r>
              <w:rPr>
                <w:rFonts w:hint="default" w:ascii="Times New Roman" w:hAnsi="Times New Roman" w:eastAsia="宋体" w:cs="Times New Roman"/>
                <w:color w:val="000000"/>
                <w:sz w:val="18"/>
                <w:szCs w:val="18"/>
                <w:lang w:val="en-US" w:eastAsia="zh-CN" w:bidi="ar"/>
              </w:rPr>
              <w:t>.</w:t>
            </w:r>
          </w:p>
        </w:tc>
        <w:tc>
          <w:tcPr>
            <w:tcW w:w="73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7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49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2.1.2.3 </w:t>
      </w:r>
      <w:bookmarkStart w:id="52" w:name="OLE_LINK64"/>
      <w:bookmarkStart w:id="53" w:name="OLE_LINK25"/>
      <w:r>
        <w:rPr>
          <w:rFonts w:ascii="Times New Roman" w:hAnsi="Times New Roman" w:eastAsia="黑体"/>
          <w:b/>
          <w:sz w:val="22"/>
          <w:szCs w:val="22"/>
        </w:rPr>
        <w:t>Mantle cell lymphoma</w:t>
      </w:r>
      <w:bookmarkEnd w:id="52"/>
      <w:r>
        <w:rPr>
          <w:rFonts w:ascii="Times New Roman" w:hAnsi="Times New Roman" w:eastAsia="黑体"/>
          <w:b/>
          <w:sz w:val="22"/>
          <w:szCs w:val="22"/>
        </w:rPr>
        <w:t xml:space="preserve"> </w:t>
      </w:r>
      <w:bookmarkStart w:id="54" w:name="OLE_LINK63"/>
      <w:r>
        <w:rPr>
          <w:rFonts w:ascii="Times New Roman" w:hAnsi="Times New Roman" w:eastAsia="黑体"/>
          <w:b/>
          <w:sz w:val="22"/>
          <w:szCs w:val="22"/>
        </w:rPr>
        <w:t>(MCL</w:t>
      </w:r>
      <w:bookmarkEnd w:id="53"/>
      <w:bookmarkEnd w:id="54"/>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According to experiments, the PD-L1 and PD-L2 on the surface of B and T cells in mantle cell lymphoma patients are weaker than those of healthy individuals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&lt;EndNote&gt;&lt;Cite&gt;&lt;Author&gt;Karolova&lt;/Author&gt;&lt;Year&gt;2020&lt;/Year&gt;&lt;RecNum&gt;78&lt;/RecNum&gt;&lt;DisplayText&gt;&lt;style face="superscript"&gt;[52]&lt;/style&gt;&lt;/DisplayText&gt;&lt;record&gt;&lt;rec-number&gt;78&lt;/rec-number&gt;&lt;foreign-keys&gt;&lt;key app="EN" db-id="wtw2d92v2spsvber2d5x2p26d0vxavdxzsxf"&gt;78&lt;/key&gt;&lt;/foreign-keys&gt;&lt;ref-type name="Journal Article"&gt;17&lt;/ref-type&gt;&lt;contributors&gt;&lt;authors&gt;&lt;author&gt;Karolova, J.&lt;/author&gt;&lt;author&gt;Radek, M.&lt;/author&gt;&lt;author&gt;Helman, K.&lt;/author&gt;&lt;author&gt;Spacek, M.&lt;/author&gt;&lt;author&gt;Klener, P.&lt;/author&gt;&lt;/authors&gt;&lt;/contributors&gt;&lt;titles&gt;&lt;title&gt;PD-1, PD-L1 and PD-L2 Expression in Mantle Cell Lymphoma and Healthy Population&lt;/title&gt;&lt;secondary-title&gt;Folia Biologica&lt;/secondary-title&gt;&lt;/titles&gt;&lt;periodical&gt;&lt;full-title&gt;Folia Biologica&lt;/full-title&gt;&lt;/periodical&gt;&lt;pages&gt;117-122&lt;/pages&gt;&lt;volume&gt;66&lt;/volume&gt;&lt;number&gt;4&lt;/number&gt;&lt;dates&gt;&lt;year&gt;2020&lt;/year&gt;&lt;/dates&gt;&lt;urls&gt;&lt;/urls&gt;&lt;/record&gt;&lt;/Cite&gt;&lt;/EndNote&gt;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"_ENREF_52" \o "Karolova, 2020 #78" </w:instrText>
      </w:r>
      <w:r>
        <w:fldChar w:fldCharType="separate"/>
      </w:r>
      <w:r>
        <w:rPr>
          <w:rFonts w:hint="eastAsia" w:ascii="Times New Roman" w:hAnsi="Times New Roman" w:eastAsia="宋体"/>
          <w:sz w:val="22"/>
          <w:szCs w:val="22"/>
          <w:vertAlign w:val="superscript"/>
        </w:rPr>
        <w:t>52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according to the results, it is shown that targeting PD-1/PD-L1 is not effective in the treatment of MCL, and it is not used as its related drug target.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2.1.2.4 </w:t>
      </w:r>
      <w:bookmarkStart w:id="55" w:name="OLE_LINK73"/>
      <w:r>
        <w:rPr>
          <w:rFonts w:ascii="Times New Roman" w:hAnsi="Times New Roman" w:eastAsia="黑体"/>
          <w:b/>
          <w:sz w:val="22"/>
          <w:szCs w:val="22"/>
        </w:rPr>
        <w:t>T cell lymphoma</w:t>
      </w:r>
      <w:bookmarkEnd w:id="55"/>
      <w:r>
        <w:rPr>
          <w:rFonts w:ascii="Times New Roman" w:hAnsi="Times New Roman" w:eastAsia="黑体"/>
          <w:b/>
          <w:sz w:val="22"/>
          <w:szCs w:val="22"/>
        </w:rPr>
        <w:t xml:space="preserve">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Studies have shown that TCL overexpresses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&lt;EndNote&gt;&lt;Cite&gt;&lt;Author&gt;Vranic&lt;/Author&gt;&lt;Year&gt;2016&lt;/Year&gt;&lt;RecNum&gt;144&lt;/RecNum&gt;&lt;DisplayText&gt;&lt;style face="superscript"&gt;[53]&lt;/style&gt;&lt;/DisplayText&gt;&lt;record&gt;&lt;rec-number&gt;144&lt;/rec-number&gt;&lt;foreign-keys&gt;&lt;key app="EN" db-id="wtw2d92v2spsvber2d5x2p26d0vxavdxzsxf"&gt;144&lt;/key&gt;&lt;/foreign-keys&gt;&lt;ref-type name="Journal Article"&gt;17&lt;/ref-type&gt;&lt;contributors&gt;&lt;authors&gt;&lt;author&gt;Vranic, Semir&lt;/author&gt;&lt;author&gt;Ghosh, Nilanjan&lt;/author&gt;&lt;author&gt;Kimbrough, Jeffery&lt;/author&gt;&lt;author&gt;Bilalovic, Nurija&lt;/author&gt;&lt;author&gt;Bender, Ryan&lt;/author&gt;&lt;author&gt;Arguello, David&lt;/author&gt;&lt;author&gt;Veloso, Yvonne&lt;/author&gt;&lt;author&gt;Dizdarevic, Aida&lt;/author&gt;&lt;author&gt;Gatalica, Zoran&lt;/author&gt;&lt;/authors&gt;&lt;/contributors&gt;&lt;titles&gt;&lt;title&gt;PD-L1 status in refractory lymphomas&lt;/title&gt;&lt;secondary-title&gt;PloS one&lt;/secondary-title&gt;&lt;/titles&gt;&lt;periodical&gt;&lt;full-title&gt;PLoS One&lt;/full-title&gt;&lt;/periodical&gt;&lt;pages&gt;e0166266&lt;/pages&gt;&lt;volume&gt;11&lt;/volume&gt;&lt;number&gt;11&lt;/number&gt;&lt;dates&gt;&lt;year&gt;2016&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"_ENREF_53" \o "Vranic, 2016 #144" </w:instrText>
      </w:r>
      <w:r>
        <w:fldChar w:fldCharType="separate"/>
      </w:r>
      <w:r>
        <w:rPr>
          <w:rFonts w:hint="eastAsia" w:ascii="Times New Roman" w:hAnsi="Times New Roman" w:eastAsia="宋体"/>
          <w:sz w:val="22"/>
          <w:szCs w:val="22"/>
          <w:vertAlign w:val="superscript"/>
        </w:rPr>
        <w:t>53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its expression level is related to the severity of the disease, so targeting PD-1/PD-L1 has a certain therapeutic effect on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Targeting PD-1/PD-L1 is mostly used for r/r PTCL (peripheral T cell lymphoma). A phase I clinical study used Nivolumab to treat 23 patients with r/r TCL (5 of which were PTCL), found that the partial response rate of PTCL patients was 40%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(NCT03075553) used Nivolumab to treat 12 patients with r/r PTCL, and found that the response rate of participants who achieved complete or partial remission was 33.3%, proving that Nivolumab is effective in its treatment. Regarding Pembrolizumab, Pembrolizumab combined with Romidepsin has been approved by the FDA for the treatment of r/r PTCL. And has been applied to treat r/r PTCL in a phase I/II clinical study (NCT03278782), a total of 15 patients can be evaluated, with an objective response rate was 44% and the complete remission rate was 20%.</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untreated T cell lymphoma, previous study found that the expression of PD-1 in peripheral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was significantly increased. And after treatment, the PD-1 decline was similar to that of healthy people, so targeting PD-1/PD-L1 also has a good effect on it. There are not many clinical trials on the treatment of untreated T cell lymphoma, and it is expected that targeting PD-1/PD-L1 will have more applications in the future.</w:t>
      </w:r>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4</w:t>
      </w:r>
      <w:r>
        <w:rPr>
          <w:rFonts w:ascii="Times New Roman" w:hAnsi="Times New Roman" w:eastAsia="宋体"/>
          <w:sz w:val="22"/>
          <w:szCs w:val="22"/>
        </w:rPr>
        <w:t xml:space="preserve"> lists the clinical trials currently underway.</w:t>
      </w:r>
    </w:p>
    <w:tbl>
      <w:tblPr>
        <w:tblStyle w:val="8"/>
        <w:tblW w:w="4996" w:type="pct"/>
        <w:tblInd w:w="0" w:type="dxa"/>
        <w:tblLayout w:type="fixed"/>
        <w:tblCellMar>
          <w:top w:w="0" w:type="dxa"/>
          <w:left w:w="108" w:type="dxa"/>
          <w:bottom w:w="0" w:type="dxa"/>
          <w:right w:w="108" w:type="dxa"/>
        </w:tblCellMar>
      </w:tblPr>
      <w:tblGrid>
        <w:gridCol w:w="588"/>
        <w:gridCol w:w="1340"/>
        <w:gridCol w:w="1369"/>
        <w:gridCol w:w="1131"/>
        <w:gridCol w:w="3887"/>
        <w:gridCol w:w="487"/>
        <w:gridCol w:w="478"/>
      </w:tblGrid>
      <w:tr>
        <w:tblPrEx>
          <w:tblCellMar>
            <w:top w:w="0" w:type="dxa"/>
            <w:left w:w="108" w:type="dxa"/>
            <w:bottom w:w="0" w:type="dxa"/>
            <w:right w:w="108" w:type="dxa"/>
          </w:tblCellMar>
        </w:tblPrEx>
        <w:trPr>
          <w:trHeight w:val="520" w:hRule="atLeast"/>
        </w:trPr>
        <w:tc>
          <w:tcPr>
            <w:tcW w:w="31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2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60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20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262"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5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trPr>
        <w:tc>
          <w:tcPr>
            <w:tcW w:w="31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2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NCT03586999</w:t>
            </w:r>
          </w:p>
        </w:tc>
        <w:tc>
          <w:tcPr>
            <w:tcW w:w="60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EPOCH</w:t>
            </w:r>
          </w:p>
        </w:tc>
        <w:tc>
          <w:tcPr>
            <w:tcW w:w="262"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NCT03927105</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Cabiralizumab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DLBLC,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NCT03385226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426"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eastAsia"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NHL</w:t>
            </w:r>
            <w:bookmarkStart w:id="56" w:name="OLE_LINK27"/>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IncludingTCL</w:t>
            </w:r>
            <w:bookmarkEnd w:id="56"/>
            <w:r>
              <w:rPr>
                <w:rFonts w:hint="eastAsia" w:ascii="Times New Roman" w:hAnsi="Times New Roman" w:eastAsia="宋体" w:cs="Times New Roman"/>
                <w:color w:val="000000"/>
                <w:sz w:val="18"/>
                <w:szCs w:val="18"/>
                <w:lang w:val="en-US" w:eastAsia="zh-CN" w:bidi="ar"/>
              </w:rPr>
              <w:t>)</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NCT03210662</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NCT04118868</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administered using the Sofusa® DoseConnect™</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NCT03240211</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 Decitabine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2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NCT04795869</w:t>
            </w:r>
          </w:p>
        </w:tc>
        <w:tc>
          <w:tcPr>
            <w:tcW w:w="60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Brentuximab Vedotin</w:t>
            </w:r>
          </w:p>
        </w:tc>
        <w:tc>
          <w:tcPr>
            <w:tcW w:w="262"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2.1.2.5 </w:t>
      </w:r>
      <w:bookmarkStart w:id="57" w:name="OLE_LINK50"/>
      <w:r>
        <w:rPr>
          <w:rFonts w:ascii="Times New Roman" w:hAnsi="Times New Roman" w:eastAsia="黑体"/>
          <w:b/>
          <w:sz w:val="22"/>
          <w:szCs w:val="22"/>
        </w:rPr>
        <w:t>NK/T cell lymphoma (NKTCL)</w:t>
      </w:r>
    </w:p>
    <w:bookmarkEnd w:id="57"/>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levels of PD-L1 and PD-L2 mRNA in extranodal NK/T cell lymphoma (ENKTCL) were significantly up-regulated, and studies have found that PD-L1 protein is expressed in tumor cells of ENKL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&lt;EndNote&gt;&lt;Cite&gt;&lt;Author&gt;Han&lt;/Author&gt;&lt;Year&gt;2014&lt;/Year&gt;&lt;RecNum&gt;81&lt;/RecNum&gt;&lt;DisplayText&gt;&lt;style face="superscript"&gt;[54]&lt;/style&gt;&lt;/DisplayText&gt;&lt;record&gt;&lt;rec-number&gt;81&lt;/rec-number&gt;&lt;foreign-keys&gt;&lt;key app="EN" db-id="wtw2d92v2spsvber2d5x2p26d0vxavdxzsxf"&gt;81&lt;/key&gt;&lt;/foreign-keys&gt;&lt;ref-type name="Journal Article"&gt;17&lt;/ref-type&gt;&lt;contributors&gt;&lt;authors&gt;&lt;author&gt;Lijuan Han&lt;/author&gt;&lt;author&gt;Feifei Liu&lt;/author&gt;&lt;author&gt;Ruping Li&lt;/author&gt;&lt;author&gt;Zhaoming Li&lt;/author&gt;&lt;/authors&gt;&lt;/contributors&gt;&lt;titles&gt;&lt;title&gt;Role of programmed death ligands in effective T-cell interactions in extranodal natural killer/T-cell lymphoma&lt;/title&gt;&lt;secondary-title&gt;Oncology letters&lt;/secondary-title&gt;&lt;/titles&gt;&lt;periodical&gt;&lt;full-title&gt;Oncology letters&lt;/full-title&gt;&lt;/periodical&gt;&lt;pages&gt;1461-1469&lt;/pages&gt;&lt;volume&gt;8&lt;/volume&gt;&lt;number&gt;4&lt;/number&gt;&lt;dates&gt;&lt;year&gt;2014&lt;/year&gt;&lt;/dates&gt;&lt;urls&gt;&lt;/urls&gt;&lt;/record&gt;&lt;/Cite&gt;&lt;/EndNote&gt;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"_ENREF_54" \o "Han, 2014 #81" </w:instrText>
      </w:r>
      <w:r>
        <w:fldChar w:fldCharType="separate"/>
      </w:r>
      <w:r>
        <w:rPr>
          <w:rFonts w:hint="eastAsia" w:ascii="Times New Roman" w:hAnsi="Times New Roman" w:eastAsia="宋体"/>
          <w:sz w:val="22"/>
          <w:szCs w:val="22"/>
          <w:vertAlign w:val="superscript"/>
        </w:rPr>
        <w:t>54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What's more, the level of sPD-L1 after treatment is a useful biomarker for monitoring patients with minimal residual disease (MRD)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&lt;EndNote&gt;&lt;Cite&gt;&lt;Author&gt;Wang&lt;/Author&gt;&lt;Year&gt;2016&lt;/Year&gt;&lt;RecNum&gt;82&lt;/RecNum&gt;&lt;DisplayText&gt;&lt;style face="superscript"&gt;[55]&lt;/style&gt;&lt;/DisplayText&gt;&lt;record&gt;&lt;rec-number&gt;82&lt;/rec-number&gt;&lt;foreign-keys&gt;&lt;key app="EN" db-id="wtw2d92v2spsvber2d5x2p26d0vxavdxzsxf"&gt;82&lt;/key&gt;&lt;/foreign-keys&gt;&lt;ref-type name="Journal Article"&gt;17&lt;/ref-type&gt;&lt;contributors&gt;&lt;authors&gt;&lt;author&gt;Hua Wang&lt;/author&gt;&lt;author&gt;Liang Wang&lt;/author&gt;&lt;author&gt;Wen-Jian Liu&lt;/author&gt;&lt;/authors&gt;&lt;/contributors&gt;&lt;titles&gt;&lt;title&gt;High post-treatment serum levels of soluble programmed cell death ligand 1 predict early relapse and poor prognosis in extranodal NK/T cell lymphoma patients&lt;/title&gt;&lt;secondary-title&gt;Oncotarget&lt;/secondary-title&gt;&lt;/titles&gt;&lt;periodical&gt;&lt;full-title&gt;Oncotarget&lt;/full-title&gt;&lt;/periodical&gt;&lt;pages&gt;33035-33045&lt;/pages&gt;&lt;volume&gt;7&lt;/volume&gt;&lt;number&gt;22&lt;/number&gt;&lt;dates&gt;&lt;year&gt;2016&lt;/year&gt;&lt;/dates&gt;&lt;urls&gt;&lt;/urls&gt;&lt;electronic-resource-num&gt;10.18632/oncotarget.8847&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"_ENREF_55" \o "Wang, 2016 #82" </w:instrText>
      </w:r>
      <w:r>
        <w:fldChar w:fldCharType="separate"/>
      </w:r>
      <w:r>
        <w:rPr>
          <w:rFonts w:hint="eastAsia" w:ascii="Times New Roman" w:hAnsi="Times New Roman" w:eastAsia="宋体"/>
          <w:sz w:val="22"/>
          <w:szCs w:val="22"/>
          <w:vertAlign w:val="superscript"/>
        </w:rPr>
        <w:t>55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Targeting PD-1/PD-L1 to treat r/r ENKTCL has a good effect. Nivolumab has been proven to be effective against ENKTCL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&lt;EndNote&gt;&lt;Cite&gt;&lt;Author&gt;Chan&lt;/Author&gt;&lt;Year&gt;2018&lt;/Year&gt;&lt;RecNum&gt;145&lt;/RecNum&gt;&lt;DisplayText&gt;&lt;style face="superscript"&gt;[56]&lt;/style&gt;&lt;/DisplayText&gt;&lt;record&gt;&lt;rec-number&gt;145&lt;/rec-number&gt;&lt;foreign-keys&gt;&lt;key app="EN" db-id="wtw2d92v2spsvber2d5x2p26d0vxavdxzsxf"&gt;145&lt;/key&gt;&lt;/foreign-keys&gt;&lt;ref-type name="Journal Article"&gt;17&lt;/ref-type&gt;&lt;contributors&gt;&lt;authors&gt;&lt;author&gt;Thomas S Y Chan&lt;/author&gt;&lt;author&gt;Jamilla Li&lt;/author&gt;&lt;author&gt;Florence Loong&lt;/author&gt;&lt;author&gt;Pek-Lan Khong &lt;/author&gt;&lt;/authors&gt;&lt;/contributors&gt;&lt;titles&gt;&lt;title&gt;PD1 blockade with low-dose nivolumab in NK/T cell lymphoma failing L-asparaginase: efficacy and safety&lt;/title&gt;&lt;secondary-title&gt;Annals of hematology&lt;/secondary-title&gt;&lt;/titles&gt;&lt;periodical&gt;&lt;full-title&gt;Annals of Hematology&lt;/full-title&gt;&lt;/periodical&gt;&lt;pages&gt;193-196&lt;/pages&gt;&lt;volume&gt;97&lt;/volume&gt;&lt;number&gt;1&lt;/number&gt;&lt;dates&gt;&lt;year&gt;2018&lt;/year&gt;&lt;/dates&gt;&lt;isbn&gt;1432-0584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"_ENREF_56" \o "Chan, 2018 #145" </w:instrText>
      </w:r>
      <w:r>
        <w:fldChar w:fldCharType="separate"/>
      </w:r>
      <w:r>
        <w:rPr>
          <w:rFonts w:hint="eastAsia" w:ascii="Times New Roman" w:hAnsi="Times New Roman" w:eastAsia="宋体"/>
          <w:sz w:val="22"/>
          <w:szCs w:val="22"/>
          <w:vertAlign w:val="superscript"/>
        </w:rPr>
        <w:t>56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studied Nivolumab in the treatment of 3 cases of r/r ENKTCL, and found 2 complete responses and 1 partial response. Targeting PD-1 has also been proven to be very effective for r/r ENKTCL that has failed treatment with L-asparaginase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&lt;EndNote&gt;&lt;Cite&gt;&lt;Author&gt;Kwong&lt;/Author&gt;&lt;Year&gt;2017&lt;/Year&gt;&lt;RecNum&gt;86&lt;/RecNum&gt;&lt;DisplayText&gt;&lt;style face="superscript"&gt;[57]&lt;/style&gt;&lt;/DisplayText&gt;&lt;record&gt;&lt;rec-number&gt;86&lt;/rec-number&gt;&lt;foreign-keys&gt;&lt;key app="EN" db-id="wtw2d92v2spsvber2d5x2p26d0vxavdxzsxf"&gt;86&lt;/key&gt;&lt;/foreign-keys&gt;&lt;ref-type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retrospective case found in the treatment of 7 patients with r/r NK/T cell lymphoma, after 7 treatment cycles, the objective response rate was 100%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&lt;EndNote&gt;&lt;Cite&gt;&lt;Author&gt;Kwong&lt;/Author&gt;&lt;Year&gt;2017&lt;/Year&gt;&lt;RecNum&gt;103&lt;/RecNum&gt;&lt;DisplayText&gt;&lt;style face="superscript"&gt;[57]&lt;/style&gt;&lt;/DisplayText&gt;&lt;record&gt;&lt;rec-number&gt;103&lt;/rec-number&gt;&lt;foreign-keys&gt;&lt;key app="EN" db-id="wtw2d92v2spsvber2d5x2p26d0vxavdxzsxf"&gt;103&lt;/key&gt;&lt;/foreign-keys&gt;&lt;ref-type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above drugs, there are other drugs that also have undergone clinical trials, but the therapeutic effects are not as good as Nivolumab and Pembrolizumab. A phase II trial used Avelumab to treat 21 patients with r/r ENKTCL, and the complete remission rate was 24%, the overall response rate was 38%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&lt;EndNote&gt;&lt;Cite&gt;&lt;Author&gt;Kim&lt;/Author&gt;&lt;Year&gt;2020&lt;/Year&gt;&lt;RecNum&gt;146&lt;/RecNum&gt;&lt;DisplayText&gt;&lt;style face="superscript"&gt;[58]&lt;/style&gt;&lt;/DisplayText&gt;&lt;record&gt;&lt;rec-number&gt;146&lt;/rec-number&gt;&lt;foreign-keys&gt;&lt;key app="EN" db-id="wtw2d92v2spsvber2d5x2p26d0vxavdxzsxf"&gt;146&lt;/key&gt;&lt;/foreign-keys&gt;&lt;ref-type name="Journal Article"&gt;17&lt;/ref-type&gt;&lt;contributors&gt;&lt;authors&gt;&lt;author&gt;Kim, Seok Jin&lt;/author&gt;&lt;author&gt;Lim, Jing Quan&lt;/author&gt;&lt;author&gt;Laurensia, Yurike&lt;/author&gt;&lt;author&gt;Cho, Junhun&lt;/author&gt;&lt;author&gt;Yoon, Sang Eun&lt;/author&gt;&lt;author&gt;Lee, Ji Young&lt;/author&gt;&lt;author&gt;Ryu, Kyung Ju&lt;/author&gt;&lt;author&gt;Ko, Young Hyeh&lt;/author&gt;&lt;author&gt;Koh, Youngil&lt;/author&gt;&lt;author&gt;Cho, Duck&lt;/author&gt;&lt;/authors&gt;&lt;/contributors&gt;&lt;titles&gt;&lt;title&gt;Avelumab for the treatment of relapsed or refractory extranodal NK/T-cell lymphoma: an open-label phase 2 study&lt;/title&gt;&lt;secondary-title&gt;Blood&lt;/secondary-title&gt;&lt;/titles&gt;&lt;periodical&gt;&lt;full-title&gt;Blood&lt;/full-title&gt;&lt;/periodical&gt;&lt;pages&gt;2754-2763&lt;/pages&gt;&lt;volume&gt;136&lt;/volume&gt;&lt;number&gt;24&lt;/number&gt;&lt;dates&gt;&lt;year&gt;2020&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"_ENREF_58" \o "Kim, 2020 #146" </w:instrText>
      </w:r>
      <w:r>
        <w:fldChar w:fldCharType="separate"/>
      </w:r>
      <w:r>
        <w:rPr>
          <w:rFonts w:hint="eastAsia" w:ascii="Times New Roman" w:hAnsi="Times New Roman" w:eastAsia="宋体"/>
          <w:sz w:val="22"/>
          <w:szCs w:val="22"/>
          <w:vertAlign w:val="superscript"/>
        </w:rPr>
        <w:t>58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is also a clinical trial (NCT03228836) by studying IBI308 to treat 28 r/r ENKTCL and found that the progression-free survival period is 30 months.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terms of combination therapy, a study found that the use of targeting PD-1 and P-GEMOX (Pegaspargase, Gemcitabine, Oxaliplatin) in the treatment of 9 patients with advanced ENKTCL, 8 patients showed significant remission, including 7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&lt;EndNote&gt;&lt;Cite&gt;&lt;Author&gt;Cai&lt;/Author&gt;&lt;Year&gt;2021&lt;/Year&gt;&lt;RecNum&gt;108&lt;/RecNum&gt;&lt;DisplayText&gt;&lt;style face="superscript"&gt;[59]&lt;/style&gt;&lt;/DisplayText&gt;&lt;record&gt;&lt;rec-number&gt;108&lt;/rec-number&gt;&lt;foreign-keys&gt;&lt;key app="EN" db-id="wtw2d92v2spsvber2d5x2p26d0vxavdxzsxf"&gt;108&lt;/key&gt;&lt;/foreign-keys&gt;&lt;ref-type name="Journal Article"&gt;17&lt;/ref-type&gt;&lt;contributors&gt;&lt;authors&gt;&lt;author&gt;Jun Cai&lt;/author&gt;&lt;author&gt;Panpan Liu&lt;/author&gt;&lt;author&gt;Huiqiang Huang&lt;/author&gt;&lt;author&gt;Yajun Li &lt;/author&gt;&lt;/authors&gt;&lt;/contributors&gt;&lt;titles&gt;&lt;title&gt;Combination of anti-PD-1 antibody with P-GEMOX as apotentially effective immunochemotherapy for advancednatural killer/T cell lymphoma&lt;/title&gt;&lt;secondary-title&gt;Signal Transduction and Targeted Therapy&lt;/secondary-title&gt;&lt;/titles&gt;&lt;periodical&gt;&lt;full-title&gt;Signal Transduction and Targeted Therapy&lt;/full-title&gt;&lt;/periodical&gt;&lt;pages&gt;289&lt;/pages&gt;&lt;volume&gt;5&lt;/volume&gt;&lt;number&gt;1&lt;/number&gt;&lt;dates&gt;&lt;year&gt;2021&lt;/year&gt;&lt;/dates&gt;&lt;urls&gt;&lt;/urls&gt;&lt;/record&gt;&lt;/Cite&gt;&lt;/EndNote&gt;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"_ENREF_59" \o "Cai, 2021 #108" </w:instrText>
      </w:r>
      <w:r>
        <w:fldChar w:fldCharType="separate"/>
      </w:r>
      <w:r>
        <w:rPr>
          <w:rFonts w:hint="eastAsia" w:ascii="Times New Roman" w:hAnsi="Times New Roman" w:eastAsia="宋体"/>
          <w:sz w:val="22"/>
          <w:szCs w:val="22"/>
          <w:vertAlign w:val="superscript"/>
        </w:rPr>
        <w:t>59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trial by studying Sintilimab combined with Chidamide in the treatment of 41 r/r ENKTCL, found that the objective response rate was 58.3%, the complete response rate was 44.4%, and the partial response rate was 13.9%</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&lt;EndNote&gt;&lt;Cite&gt;&lt;Author&gt;Yan Gao&lt;/Author&gt;&lt;Year&gt;2020&lt;/Year&gt;&lt;RecNum&gt;109&lt;/RecNum&gt;&lt;DisplayText&gt;&lt;style face="superscript"&gt;[60]&lt;/style&gt;&lt;/DisplayText&gt;&lt;record&gt;&lt;rec-number&gt;109&lt;/rec-number&gt;&lt;foreign-keys&gt;&lt;key app="EN" db-id="wtw2d92v2spsvber2d5x2p26d0vxavdxzsxf"&gt;109&lt;/key&gt;&lt;/foreign-keys&gt;&lt;ref-type name="Journal Article"&gt;17&lt;/ref-type&gt;&lt;contributors&gt;&lt;authors&gt;&lt;author&gt;Yan Gao&lt;/author&gt;&lt;author&gt;Huiqiang Huang&lt;/author&gt;&lt;author&gt;Xiaoxiao Wang&lt;/author&gt;&lt;author&gt;AAAA&lt;/author&gt;&lt;/authors&gt;&lt;/contributors&gt;&lt;titles&gt;&lt;title&gt;Anti-PD-1 Antibody (Sintilimab) Plus Histone Deacetylase Inhibitor (Chidamide) for the Treatment of Refractory or Relapsed Extranodal Natural Killer/T Cell Lymphoma, Nasal Type (r/r-ENKTL): Preliminary Results from a Prospective, Multicenter, Single-Arm, Phase Ib/II Trial (SCENT)&lt;/title&gt;&lt;secondary-title&gt;Blood&lt;/secondary-title&gt;&lt;/titles&gt;&lt;periodical&gt;&lt;full-title&gt;Blood&lt;/full-title&gt;&lt;/periodical&gt;&lt;pages&gt;&lt;style face="normal" font="default" size="100%"&gt;39&lt;/style&gt;&lt;style face="normal" font="default" charset="134" size="100%"&gt;–40&lt;/style&gt;&lt;/pages&gt;&lt;volume&gt;136&lt;/volume&gt;&lt;number&gt;Supplement 1&lt;/number&gt;&lt;dates&gt;&lt;year&gt;2020&lt;/year&gt;&lt;/dates&gt;&lt;urls&gt;&lt;/urls&gt;&lt;electronic-resource-num&gt;&lt;style face="normal" font="default" charset="134" size="100%"&gt;https://doi.org/10.1182/blood-2020-134665&lt;/style&gt;&lt;/electronic-resource-num&gt;&lt;/record&gt;&lt;/Cite&gt;&lt;/EndNote&gt;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"_ENREF_60" \o "Gao, 2020 #109" </w:instrText>
      </w:r>
      <w:r>
        <w:fldChar w:fldCharType="separate"/>
      </w:r>
      <w:r>
        <w:rPr>
          <w:rFonts w:hint="eastAsia" w:ascii="Times New Roman" w:hAnsi="Times New Roman" w:eastAsia="宋体"/>
          <w:sz w:val="22"/>
          <w:szCs w:val="22"/>
          <w:vertAlign w:val="superscript"/>
        </w:rPr>
        <w:t>60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that it also has a beneficial effect in combination therapy.</w:t>
      </w:r>
      <w:r>
        <w:rPr>
          <w:rFonts w:hint="eastAsia" w:ascii="Times New Roman" w:hAnsi="Times New Roman" w:eastAsia="宋体"/>
          <w:sz w:val="22"/>
          <w:szCs w:val="22"/>
        </w:rPr>
        <w:t xml:space="preserve"> </w:t>
      </w:r>
      <w:r>
        <w:rPr>
          <w:rFonts w:ascii="Times New Roman" w:hAnsi="Times New Roman" w:eastAsia="宋体"/>
          <w:b/>
          <w:sz w:val="22"/>
          <w:szCs w:val="22"/>
        </w:rPr>
        <w:t xml:space="preserve">Table 5 </w:t>
      </w:r>
      <w:r>
        <w:rPr>
          <w:rFonts w:ascii="Times New Roman" w:hAnsi="Times New Roman" w:eastAsia="宋体"/>
          <w:sz w:val="22"/>
          <w:szCs w:val="22"/>
        </w:rPr>
        <w:t>lists the currently ongoing clinical trials.</w:t>
      </w:r>
    </w:p>
    <w:tbl>
      <w:tblPr>
        <w:tblStyle w:val="8"/>
        <w:tblW w:w="510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
        <w:gridCol w:w="1006"/>
        <w:gridCol w:w="1306"/>
        <w:gridCol w:w="1500"/>
        <w:gridCol w:w="2686"/>
        <w:gridCol w:w="1735"/>
        <w:gridCol w:w="6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3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5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9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41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9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4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3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530"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NCT03728972</w:t>
            </w:r>
          </w:p>
        </w:tc>
        <w:tc>
          <w:tcPr>
            <w:tcW w:w="791"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40" w:type="pct"/>
            <w:tcBorders>
              <w:top w:val="single" w:color="auto" w:sz="4" w:space="0"/>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NCT03107962</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NCT03021057</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 (Hong Kong)</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NCT03598998</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NCT04417166</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Field Radiation Therapy</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NCT04231370</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Lenalidomide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NCT04279379</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Decitabine</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NCT04127227</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Pegaspargase, Gemcitabine, oxaliplatin</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53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NCT03936452</w:t>
            </w:r>
          </w:p>
        </w:tc>
        <w:tc>
          <w:tcPr>
            <w:tcW w:w="791"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w:t>
            </w:r>
          </w:p>
        </w:tc>
        <w:tc>
          <w:tcPr>
            <w:tcW w:w="9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2.2 Leukemia</w:t>
      </w:r>
    </w:p>
    <w:p>
      <w:pPr>
        <w:spacing w:line="360" w:lineRule="auto"/>
        <w:rPr>
          <w:rFonts w:ascii="Times New Roman" w:hAnsi="Times New Roman" w:eastAsia="黑体"/>
          <w:b/>
          <w:sz w:val="22"/>
          <w:szCs w:val="22"/>
        </w:rPr>
      </w:pPr>
      <w:r>
        <w:rPr>
          <w:rFonts w:ascii="Times New Roman" w:hAnsi="Times New Roman" w:eastAsia="黑体"/>
          <w:b/>
          <w:sz w:val="22"/>
          <w:szCs w:val="22"/>
        </w:rPr>
        <w:t>2.2.1 Acute myeloid leukemia (AML)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Most AML can achieve complete remission after conventional chemotherapy, and allogeneic hematopoietic stem cell transplantation is the only way to treat AML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&lt;EndNote&gt;&lt;Cite&gt;&lt;Author&gt;Wang&lt;/Author&gt;&lt;Year&gt;2020&lt;/Year&gt;&lt;RecNum&gt;24&lt;/RecNum&gt;&lt;DisplayText&gt;&lt;style face="superscript"&gt;[61]&lt;/style&gt;&lt;/DisplayText&gt;&lt;record&gt;&lt;rec-number&gt;24&lt;/rec-number&gt;&lt;foreign-keys&gt;&lt;key app="EN" db-id="wtw2d92v2spsvber2d5x2p26d0vxavdxzsxf"&gt;24&lt;/key&gt;&lt;/foreign-keys&gt;&lt;ref-type name="Journal Article"&gt;17&lt;/ref-type&gt;&lt;contributors&gt;&lt;authors&gt;&lt;author&gt;Wang, Ji Shi&lt;/author&gt;&lt;/authors&gt;&lt;/contributors&gt;&lt;titles&gt;&lt;title&gt;Progress and Trend of CAR-T and PD-1 Blockade in the Treatment of Acute Myeloid Leukemia--Review&lt;/title&gt;&lt;secondary-title&gt;Zhongguo shi yan xue ye xue za zhi&lt;/secondary-title&gt;&lt;/titles&gt;&lt;periodical&gt;&lt;full-title&gt;Zhongguo shi yan xue ye xue za zhi&lt;/full-title&gt;&lt;/periodical&gt;&lt;pages&gt;1069-1074&lt;/pages&gt;&lt;volume&gt;28&lt;/volume&gt;&lt;number&gt;3&lt;/number&gt;&lt;dates&gt;&lt;year&gt;2020&lt;/year&gt;&lt;/dates&gt;&lt;urls&gt;&lt;/urls&gt;&lt;/record&gt;&lt;/Cite&gt;&lt;/EndNote&gt;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"_ENREF_61" \o "Wang, 2020 #24" </w:instrText>
      </w:r>
      <w:r>
        <w:fldChar w:fldCharType="separate"/>
      </w:r>
      <w:r>
        <w:rPr>
          <w:rFonts w:hint="eastAsia" w:ascii="Times New Roman" w:hAnsi="Times New Roman" w:eastAsia="宋体"/>
          <w:sz w:val="22"/>
          <w:szCs w:val="22"/>
          <w:vertAlign w:val="superscript"/>
        </w:rPr>
        <w:t>61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recent years, the development of targeting PD-1/PD-L1 has also made significant achievements in the treatment of AML.</w:t>
      </w:r>
    </w:p>
    <w:p>
      <w:pPr>
        <w:spacing w:line="360" w:lineRule="auto"/>
        <w:ind w:firstLine="440" w:firstLineChars="200"/>
        <w:rPr>
          <w:rFonts w:ascii="Times New Roman" w:hAnsi="Times New Roman" w:eastAsia="宋体"/>
          <w:sz w:val="22"/>
          <w:szCs w:val="22"/>
        </w:rPr>
      </w:pPr>
      <w:bookmarkStart w:id="58" w:name="OLE_LINK43"/>
      <w:r>
        <w:rPr>
          <w:rFonts w:ascii="Times New Roman" w:hAnsi="Times New Roman" w:eastAsia="宋体"/>
          <w:sz w:val="22"/>
          <w:szCs w:val="22"/>
        </w:rPr>
        <w:t>Studies have shown that the PD-1 pathway is abnormally expressed in AML. Mouse leukemia cell C1498 expresses PD-L1 low when cultured in vitro, but expresses PD-L1 elevated when cultured in vivo, suggesting the expression of PD-L1 in leukemia cells benefit from the tumor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&lt;EndNote&gt;&lt;Cite&gt;&lt;Author&gt;Zhang&lt;/Author&gt;&lt;Year&gt;2009&lt;/Year&gt;&lt;RecNum&gt;25&lt;/RecNum&gt;&lt;DisplayText&gt;&lt;style face="superscript"&gt;[62]&lt;/style&gt;&lt;/DisplayText&gt;&lt;record&gt;&lt;rec-number&gt;25&lt;/rec-number&gt;&lt;foreign-keys&gt;&lt;key app="EN" db-id="wtw2d92v2spsvber2d5x2p26d0vxavdxzsxf"&gt;25&lt;/key&gt;&lt;/foreign-keys&gt;&lt;ref-type name="Journal Article"&gt;17&lt;/ref-type&gt;&lt;contributors&gt;&lt;authors&gt;&lt;author&gt;Long Zhang&lt;/author&gt;&lt;author&gt;Thomas F. Gajewski&lt;/author&gt;&lt;author&gt;Justin Kline&lt;/author&gt;&lt;/authors&gt;&lt;/contributors&gt;&lt;titles&gt;&lt;title&gt;PD-1/PD-L1 interactions inhibit antitumor immune responses in a murine acute myeloid leukemia model&lt;/title&gt;&lt;secondary-title&gt;Blood&lt;/secondary-title&gt;&lt;/titles&gt;&lt;periodical&gt;&lt;full-title&gt;Blood&lt;/full-title&gt;&lt;/periodical&gt;&lt;pages&gt;1545-1552&lt;/pages&gt;&lt;volume&gt;114&lt;/volume&gt;&lt;number&gt;8&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"_ENREF_62" \o "Zhang, 2009 #25" </w:instrText>
      </w:r>
      <w:r>
        <w:fldChar w:fldCharType="separate"/>
      </w:r>
      <w:r>
        <w:rPr>
          <w:rFonts w:hint="eastAsia" w:ascii="Times New Roman" w:hAnsi="Times New Roman" w:eastAsia="宋体"/>
          <w:sz w:val="22"/>
          <w:szCs w:val="22"/>
          <w:vertAlign w:val="superscript"/>
        </w:rPr>
        <w:t>62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Clinical data also supports the dysregulation of the PD-1 pathway in AML. Compared with healthy people, the expression of PD-1 on T cells in AML patients is significantly higher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&lt;EndNote&gt;&lt;Cite&gt;&lt;Author&gt;Daver&lt;/Author&gt;&lt;Year&gt;2016&lt;/Year&gt;&lt;RecNum&gt;157&lt;/RecNum&gt;&lt;DisplayText&gt;&lt;style face="superscript"&gt;[63]&lt;/style&gt;&lt;/DisplayText&gt;&lt;record&gt;&lt;rec-number&gt;157&lt;/rec-number&gt;&lt;foreign-keys&gt;&lt;key app="EN" db-id="wtw2d92v2spsvber2d5x2p26d0vxavdxzsxf"&gt;157&lt;/key&gt;&lt;/foreign-keys&gt;&lt;ref-type name="Journal Article"&gt;17&lt;/ref-type&gt;&lt;contributors&gt;&lt;authors&gt;&lt;author&gt;Naval Daver MD&lt;/author&gt;&lt;author&gt;Sreyashi Basu PhD&lt;/author&gt;&lt;author&gt;Guillermo Garcia-Manero MD&lt;/author&gt;&lt;author&gt;Jorge E.CortesMD&lt;/author&gt;&lt;/authors&gt;&lt;/contributors&gt;&lt;titles&gt;&lt;title&gt;Defining the immune checkpoint landscape in patients (pts) with acute myeloid leukemia (AML)&lt;/title&gt;&lt;secondary-title&gt;Blood&lt;/secondary-title&gt;&lt;/titles&gt;&lt;periodical&gt;&lt;full-title&gt;Blood&lt;/full-title&gt;&lt;/periodical&gt;&lt;pages&gt;2900&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"_ENREF_63" \o "MD, 2016 #157" </w:instrText>
      </w:r>
      <w:r>
        <w:fldChar w:fldCharType="separate"/>
      </w:r>
      <w:r>
        <w:rPr>
          <w:rFonts w:hint="eastAsia" w:ascii="Times New Roman" w:hAnsi="Times New Roman" w:eastAsia="宋体"/>
          <w:sz w:val="22"/>
          <w:szCs w:val="22"/>
          <w:vertAlign w:val="superscript"/>
        </w:rPr>
        <w:t>63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PD-1 pathway, CTLA-4 and TIM-3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are also involved in the pathogenesis of AML.</w:t>
      </w:r>
      <w:bookmarkEnd w:id="58"/>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the treatment of AML, targeting PD-1/PD-L1 is undergoing clinical trials, and its individual treatments and combination treatments have had positive results. A clinical trial found that the use of Nivolumab alone for maintenance treatment of 14 AML patients (not eligible for transplantation), the 6-month and 12-month CRd rates were 79% and 71%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&lt;EndNote&gt;&lt;Cite&gt;&lt;Author&gt;Kadia&lt;/Author&gt;&lt;Year&gt;2018&lt;/Year&gt;&lt;RecNum&gt;147&lt;/RecNum&gt;&lt;DisplayText&gt;&lt;style face="superscript"&gt;[64]&lt;/style&gt;&lt;/DisplayText&gt;&lt;record&gt;&lt;rec-number&gt;147&lt;/rec-number&gt;&lt;foreign-keys&gt;&lt;key app="EN" db-id="wtw2d92v2spsvber2d5x2p26d0vxavdxzsxf"&gt;147&lt;/key&gt;&lt;/foreign-keys&gt;&lt;ref-type name="Journal Article"&gt;17&lt;/ref-type&gt;&lt;contributors&gt;&lt;authors&gt;&lt;author&gt;Kadia, Tapan M&lt;/author&gt;&lt;author&gt;Cortes, Jorge E&lt;/author&gt;&lt;author&gt;Ghorab, Ahmad&lt;/author&gt;&lt;author&gt;Ravandi, Farhad&lt;/author&gt;&lt;author&gt;Jabbour, Elias&lt;/author&gt;&lt;author&gt;Daver, Naval Guastad&lt;/author&gt;&lt;author&gt;Alvarado, Yesid&lt;/author&gt;&lt;author&gt;Ohanian, Maro&lt;/author&gt;&lt;author&gt;Konopleva, Marina&lt;/author&gt;&lt;author&gt;Kantarjian, Hagop M&lt;/author&gt;&lt;/authors&gt;&lt;/contributors&gt;&lt;titles&gt;&lt;title&gt;Nivolumab (Nivo) maintenance (maint) in high-risk (HR) acute myeloid leukemia (AML) patients&lt;/title&gt;&lt;secondary-title&gt;Journal of Clinical Oncology&lt;/secondary-title&gt;&lt;/titles&gt;&lt;periodical&gt;&lt;full-title&gt;Journal of Clinical Oncology&lt;/full-title&gt;&lt;/periodical&gt;&lt;pages&gt;7014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"_ENREF_64" \o "Kadia, 2018 #147" </w:instrText>
      </w:r>
      <w:r>
        <w:fldChar w:fldCharType="separate"/>
      </w:r>
      <w:r>
        <w:rPr>
          <w:rFonts w:hint="eastAsia" w:ascii="Times New Roman" w:hAnsi="Times New Roman" w:eastAsia="宋体"/>
          <w:sz w:val="22"/>
          <w:szCs w:val="22"/>
          <w:vertAlign w:val="superscript"/>
        </w:rPr>
        <w:t>64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clinical study found that the objective remission rate of Nivolumab combined with Azacytidine in the treatment of r/r AML was 33%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&lt;EndNote&gt;&lt;Cite&gt;&lt;Author&gt;Daver&lt;/Author&gt;&lt;Year&gt;2019&lt;/Year&gt;&lt;RecNum&gt;148&lt;/RecNum&gt;&lt;DisplayText&gt;&lt;style face="superscript"&gt;[65]&lt;/style&gt;&lt;/DisplayText&gt;&lt;record&gt;&lt;rec-number&gt;148&lt;/rec-number&gt;&lt;foreign-keys&gt;&lt;key app="EN" db-id="wtw2d92v2spsvber2d5x2p26d0vxavdxzsxf"&gt;148&lt;/key&gt;&lt;/foreign-keys&gt;&lt;ref-type name="Journal Article"&gt;17&lt;/ref-type&gt;&lt;contributors&gt;&lt;authors&gt;&lt;author&gt;Daver, Naval&lt;/author&gt;&lt;author&gt;Garcia-Manero, Guillermo&lt;/author&gt;&lt;author&gt;Basu, Sreyashi&lt;/author&gt;&lt;author&gt;Boddu, Prajwal C&lt;/author&gt;&lt;author&gt;Alfayez, Mansour&lt;/author&gt;&lt;author&gt;Cortes, Jorge E&lt;/author&gt;&lt;author&gt;Konopleva, Marina&lt;/author&gt;&lt;author&gt;Ravandi-Kashani, Farhad&lt;/author&gt;&lt;author&gt;Jabbour, Elias&lt;/author&gt;&lt;author&gt;Kadia, Tapan&lt;/author&gt;&lt;/authors&gt;&lt;/contributors&gt;&lt;titles&gt;&lt;title&gt;Efficacy, safety, and biomarkers of response to azacitidine and nivolumab in relapsed/refractory acute myeloid leukemia: a nonrandomized, open-label, phase II study&lt;/title&gt;&lt;secondary-title&gt;Cancer discovery&lt;/secondary-title&gt;&lt;/titles&gt;&lt;periodical&gt;&lt;full-title&gt;Cancer Discovery&lt;/full-title&gt;&lt;/periodical&gt;&lt;pages&gt;370-383&lt;/pages&gt;&lt;volume&gt;9&lt;/volume&gt;&lt;number&gt;3&lt;/number&gt;&lt;dates&gt;&lt;year&gt;2019&lt;/year&gt;&lt;/dates&gt;&lt;isbn&gt;2159-8274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"_ENREF_65" \o "Daver, 2019 #148" </w:instrText>
      </w:r>
      <w:r>
        <w:fldChar w:fldCharType="separate"/>
      </w:r>
      <w:r>
        <w:rPr>
          <w:rFonts w:hint="eastAsia" w:ascii="Times New Roman" w:hAnsi="Times New Roman" w:eastAsia="宋体"/>
          <w:sz w:val="22"/>
          <w:szCs w:val="22"/>
          <w:vertAlign w:val="superscript"/>
        </w:rPr>
        <w:t>65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(NCT02464657) studied Idarubicin, Cytarabine combined with Nivolumab in the treatment of MDS and AML, found that the relapse free survival was 18.54 (8.20-23.22) months, and the overall survival was 18.54 (10.81-28.81) months.</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Pembrolizumab, a clinical trial (NCT02708641) used Pembrolizumab to treat 12 AML patients with a relapse time of 12.14 months. A clinical trial (NCT02996474) regarding the treatment of 10 patients with r/r AML with Pembrolizumab combined with Decitabine, found that the feasibility of this program was 10 people (100%), indicating that the combined drug effect was better.</w:t>
      </w:r>
      <w:bookmarkStart w:id="59" w:name="OLE_LINK32"/>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6 </w:t>
      </w:r>
      <w:r>
        <w:rPr>
          <w:rFonts w:ascii="Times New Roman" w:hAnsi="Times New Roman" w:eastAsia="宋体"/>
          <w:sz w:val="22"/>
          <w:szCs w:val="22"/>
        </w:rPr>
        <w:t>lists the currently ongoing clinical trials.</w:t>
      </w:r>
      <w:bookmarkEnd w:id="59"/>
      <w:r>
        <w:rPr>
          <w:rFonts w:ascii="Times New Roman" w:hAnsi="Times New Roman" w:eastAsia="宋体"/>
          <w:sz w:val="22"/>
          <w:szCs w:val="22"/>
        </w:rPr>
        <w:t xml:space="preserve"> </w:t>
      </w:r>
    </w:p>
    <w:tbl>
      <w:tblPr>
        <w:tblStyle w:val="8"/>
        <w:tblW w:w="5077" w:type="pct"/>
        <w:tblInd w:w="0" w:type="dxa"/>
        <w:tblLayout w:type="fixed"/>
        <w:tblCellMar>
          <w:top w:w="0" w:type="dxa"/>
          <w:left w:w="108" w:type="dxa"/>
          <w:bottom w:w="0" w:type="dxa"/>
          <w:right w:w="108" w:type="dxa"/>
        </w:tblCellMar>
      </w:tblPr>
      <w:tblGrid>
        <w:gridCol w:w="764"/>
        <w:gridCol w:w="1171"/>
        <w:gridCol w:w="1486"/>
        <w:gridCol w:w="1423"/>
        <w:gridCol w:w="2927"/>
        <w:gridCol w:w="917"/>
        <w:gridCol w:w="742"/>
      </w:tblGrid>
      <w:tr>
        <w:tblPrEx>
          <w:tblCellMar>
            <w:top w:w="0" w:type="dxa"/>
            <w:left w:w="108" w:type="dxa"/>
            <w:bottom w:w="0" w:type="dxa"/>
            <w:right w:w="108" w:type="dxa"/>
          </w:tblCellMar>
        </w:tblPrEx>
        <w:trPr>
          <w:cantSplit/>
          <w:trHeight w:val="686" w:hRule="atLeast"/>
        </w:trPr>
        <w:tc>
          <w:tcPr>
            <w:tcW w:w="40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0" w:name="OLE_LINK48" w:colFirst="0" w:colLast="6"/>
            <w:r>
              <w:rPr>
                <w:rFonts w:hint="default" w:ascii="Times New Roman" w:hAnsi="Times New Roman" w:eastAsia="宋体" w:cs="Times New Roman"/>
                <w:color w:val="000000"/>
                <w:sz w:val="18"/>
                <w:szCs w:val="18"/>
              </w:rPr>
              <w:t>IDX</w:t>
            </w:r>
          </w:p>
        </w:tc>
        <w:tc>
          <w:tcPr>
            <w:tcW w:w="62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5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8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93"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60"/>
      <w:tr>
        <w:tblPrEx>
          <w:tblCellMar>
            <w:top w:w="0" w:type="dxa"/>
            <w:left w:w="108" w:type="dxa"/>
            <w:bottom w:w="0" w:type="dxa"/>
            <w:right w:w="108" w:type="dxa"/>
          </w:tblCellMar>
        </w:tblPrEx>
        <w:trPr>
          <w:cantSplit/>
          <w:trHeight w:val="312" w:hRule="atLeast"/>
        </w:trPr>
        <w:tc>
          <w:tcPr>
            <w:tcW w:w="40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1" w:name="OLE_LINK58" w:colFirst="3" w:colLast="3"/>
            <w:r>
              <w:rPr>
                <w:rFonts w:hint="default" w:ascii="Times New Roman" w:hAnsi="Times New Roman" w:eastAsia="宋体" w:cs="Times New Roman"/>
                <w:color w:val="000000"/>
                <w:sz w:val="18"/>
                <w:szCs w:val="18"/>
                <w:lang w:bidi="ar"/>
              </w:rPr>
              <w:t>1</w:t>
            </w:r>
          </w:p>
        </w:tc>
        <w:tc>
          <w:tcPr>
            <w:tcW w:w="62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NCT02275533</w:t>
            </w:r>
          </w:p>
        </w:tc>
        <w:tc>
          <w:tcPr>
            <w:tcW w:w="75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2" w:name="OLE_LINK20"/>
            <w:r>
              <w:rPr>
                <w:rFonts w:hint="default" w:ascii="Times New Roman" w:hAnsi="Times New Roman" w:eastAsia="宋体" w:cs="Times New Roman"/>
                <w:color w:val="000000"/>
                <w:sz w:val="18"/>
                <w:szCs w:val="18"/>
              </w:rPr>
              <w:t>Active, not recruiting</w:t>
            </w:r>
            <w:bookmarkEnd w:id="62"/>
          </w:p>
        </w:tc>
        <w:tc>
          <w:tcPr>
            <w:tcW w:w="15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8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bookmarkEnd w:id="61"/>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NCT02846376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NCT02712905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INCB059872, ATRA,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NCT03600155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3" w:name="OLE_LINK62"/>
            <w:r>
              <w:rPr>
                <w:rFonts w:hint="default" w:ascii="Times New Roman" w:hAnsi="Times New Roman" w:eastAsia="宋体" w:cs="Times New Roman"/>
                <w:color w:val="000000"/>
                <w:sz w:val="18"/>
                <w:szCs w:val="18"/>
              </w:rPr>
              <w:t>Recruiting</w:t>
            </w:r>
            <w:bookmarkEnd w:id="63"/>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NCT04913922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Azacitidine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njection, Relatlimab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NCT02397720</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Azacitidine,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NCT03825367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5-azacytidine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NCT02845297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Azacitadine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NCT02771197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Fludarabine, Melphalan</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ALL,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NCT03286114</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NCT04284787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 Venetoclax</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NCT03969446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Decitabine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NCT04214249</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Cytarabine, Daunorubicin Hydrochloride, Idarubicin Hydrochloride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NCT03769532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62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 cHL, NHL</w:t>
            </w:r>
          </w:p>
        </w:tc>
        <w:tc>
          <w:tcPr>
            <w:tcW w:w="78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75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2.2.2 </w:t>
      </w:r>
      <w:bookmarkStart w:id="64" w:name="OLE_LINK45"/>
      <w:r>
        <w:rPr>
          <w:rFonts w:ascii="Times New Roman" w:hAnsi="Times New Roman" w:eastAsia="黑体"/>
          <w:b/>
          <w:sz w:val="22"/>
          <w:szCs w:val="22"/>
        </w:rPr>
        <w:t>Acute lymphocytic leukemia</w:t>
      </w:r>
      <w:bookmarkEnd w:id="64"/>
      <w:r>
        <w:rPr>
          <w:rFonts w:ascii="Times New Roman" w:hAnsi="Times New Roman" w:eastAsia="黑体"/>
          <w:b/>
          <w:sz w:val="22"/>
          <w:szCs w:val="22"/>
        </w:rPr>
        <w:t xml:space="preserve"> (ALL)</w:t>
      </w:r>
    </w:p>
    <w:p>
      <w:pPr>
        <w:spacing w:line="360" w:lineRule="auto"/>
        <w:ind w:firstLine="440" w:firstLineChars="200"/>
        <w:rPr>
          <w:rFonts w:ascii="Times New Roman" w:hAnsi="Times New Roman" w:eastAsia="宋体"/>
          <w:sz w:val="22"/>
          <w:szCs w:val="22"/>
        </w:rPr>
      </w:pPr>
      <w:bookmarkStart w:id="65" w:name="OLE_LINK59"/>
      <w:r>
        <w:rPr>
          <w:rFonts w:ascii="Times New Roman" w:hAnsi="Times New Roman" w:eastAsia="宋体"/>
          <w:sz w:val="22"/>
          <w:szCs w:val="22"/>
        </w:rPr>
        <w:t>Little knows about the role of targeting PD-1/PD-L1 in ALL, and there are few relevant clinical trials. There is currently a trial (NCT02879695) about Nivolumab and Blinatumomab or Nivolumab and Ipilimumab in the treatment of B-cell acute lymphoblastic leukemia patients is currently recruiting, a trial (NCT04546399) on Nivolumab combined with Blinatumomab for the treatment of relapsed B-cell acute lymphoblastic leukemia is under recruitment. And a phase I trial (NCT02819804) for the treatment of Nivolumab combined with Dasatinib in the treatment of ALL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&lt;EndNote&gt;&lt;Cite&gt;&lt;Author&gt;Man&lt;/Author&gt;&lt;Year&gt;2017&lt;/Year&gt;&lt;RecNum&gt;90&lt;/RecNum&gt;&lt;DisplayText&gt;&lt;style face="superscript"&gt;[66]&lt;/style&gt;&lt;/DisplayText&gt;&lt;record&gt;&lt;rec-number&gt;90&lt;/rec-number&gt;&lt;foreign-keys&gt;&lt;key app="EN" db-id="wtw2d92v2spsvber2d5x2p26d0vxavdxzsxf"&gt;90&lt;/key&gt;&lt;/foreign-keys&gt;&lt;ref-type name="Journal Article"&gt;17&lt;/ref-type&gt;&lt;contributors&gt;&lt;authors&gt;&lt;author&gt;Louise M Man&lt;/author&gt;&lt;author&gt;Amy L Morris&lt;/author&gt;&lt;author&gt;Michael Keng&lt;/author&gt;&lt;/authors&gt;&lt;/contributors&gt;&lt;titles&gt;&lt;title&gt;New Therapeutic Strategies in Acute Lymphocytic Leukemia&lt;/title&gt;&lt;secondary-title&gt;Current Hematologic Malignancy Reports&lt;/secondary-title&gt;&lt;/titles&gt;&lt;periodical&gt;&lt;full-title&gt;Current Hematologic Malignancy Reports&lt;/full-title&gt;&lt;/periodical&gt;&lt;pages&gt;&lt;style face="normal" font="default" size="100%"&gt;197&lt;/style&gt;&lt;style face="normal" font="default" charset="134" size="100%"&gt;-206&lt;/style&gt;&lt;/pages&gt;&lt;volume&gt;12&lt;/volume&gt;&lt;number&gt;3&lt;/number&gt;&lt;dates&gt;&lt;year&gt;2017&lt;/year&gt;&lt;/dates&gt;&lt;urls&gt;&lt;/urls&gt;&lt;/record&gt;&lt;/Cite&gt;&lt;/EndNote&gt;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"_ENREF_66" \o "Man, 2017 #90" </w:instrText>
      </w:r>
      <w:r>
        <w:fldChar w:fldCharType="separate"/>
      </w:r>
      <w:r>
        <w:rPr>
          <w:rFonts w:hint="eastAsia" w:ascii="Times New Roman" w:hAnsi="Times New Roman" w:eastAsia="宋体"/>
          <w:sz w:val="22"/>
          <w:szCs w:val="22"/>
          <w:vertAlign w:val="superscript"/>
        </w:rPr>
        <w:t>66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terminated because it could not be evaluated and analyzed.</w:t>
      </w:r>
      <w:bookmarkEnd w:id="65"/>
      <w:r>
        <w:rPr>
          <w:rFonts w:ascii="Times New Roman" w:hAnsi="Times New Roman" w:eastAsia="宋体"/>
          <w:sz w:val="22"/>
          <w:szCs w:val="22"/>
        </w:rPr>
        <w:t xml:space="preserve"> Regarding Pembrolizumab, there is a trial (NCT03160079) about Pembrolizumab combined with Blinatumomab in the treatment of adult r/r B-cell acute lymphoblastic leukemia is currently recruiting, looking forward to carrying out more related trials in the future.</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2.2.3 </w:t>
      </w:r>
      <w:bookmarkStart w:id="66" w:name="OLE_LINK96"/>
      <w:r>
        <w:rPr>
          <w:rFonts w:ascii="Times New Roman" w:hAnsi="Times New Roman" w:eastAsia="黑体"/>
          <w:b/>
          <w:sz w:val="22"/>
          <w:szCs w:val="22"/>
        </w:rPr>
        <w:t>Chronic myeloid leukemia</w:t>
      </w:r>
      <w:bookmarkEnd w:id="66"/>
      <w:r>
        <w:rPr>
          <w:rFonts w:ascii="Times New Roman" w:hAnsi="Times New Roman" w:eastAsia="黑体"/>
          <w:b/>
          <w:sz w:val="22"/>
          <w:szCs w:val="22"/>
        </w:rPr>
        <w:t xml:space="preserve"> (CML)</w:t>
      </w:r>
    </w:p>
    <w:p>
      <w:pPr>
        <w:spacing w:line="360" w:lineRule="auto"/>
        <w:ind w:firstLine="440" w:firstLineChars="200"/>
        <w:rPr>
          <w:rFonts w:ascii="Times New Roman" w:hAnsi="Times New Roman" w:eastAsia="宋体"/>
          <w:sz w:val="22"/>
          <w:szCs w:val="22"/>
        </w:rPr>
      </w:pPr>
      <w:bookmarkStart w:id="67" w:name="OLE_LINK98"/>
      <w:r>
        <w:rPr>
          <w:rFonts w:ascii="Times New Roman" w:hAnsi="Times New Roman" w:eastAsia="宋体"/>
          <w:sz w:val="22"/>
          <w:szCs w:val="22"/>
        </w:rPr>
        <w:t>Studies have shown that, in CML, PD-L1 is upregulated in bone marrow cells and PD-1 is present on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&lt;EndNote&gt;&lt;Cite&gt;&lt;Author&gt;Christiansson&lt;/Author&gt;&lt;Year&gt;2013&lt;/Year&gt;&lt;RecNum&gt;149&lt;/RecNum&gt;&lt;DisplayText&gt;&lt;style face="superscript"&gt;[67]&lt;/style&gt;&lt;/DisplayText&gt;&lt;record&gt;&lt;rec-number&gt;149&lt;/rec-number&gt;&lt;foreign-keys&gt;&lt;key app="EN" db-id="wtw2d92v2spsvber2d5x2p26d0vxavdxzsxf"&gt;149&lt;/key&gt;&lt;/foreign-keys&gt;&lt;ref-type name="Journal Article"&gt;17&lt;/ref-type&gt;&lt;contributors&gt;&lt;authors&gt;&lt;author&gt;Lisa Christiansson&lt;/author&gt;&lt;author&gt;Stina Söderlund&lt;/author&gt;&lt;author&gt;Emma Svensson&lt;/author&gt;&lt;author&gt;Satu Mustjoki&lt;/author&gt;&lt;/authors&gt;&lt;/contributors&gt;&lt;titles&gt;&lt;title&gt;Loskog ASI Increased Level of Myeloid-Derived Suppressor Cells, Programmed Death Receptor Ligand 1/Programmed Death Receptor 1, and Soluble CD25 in Sokal High Risk Chronic Myeloid Leukemia&lt;/title&gt;&lt;secondary-title&gt;PLoS One&lt;/secondary-title&gt;&lt;/titles&gt;&lt;periodical&gt;&lt;full-title&gt;PLoS One&lt;/full-title&gt;&lt;/periodical&gt;&lt;pages&gt;e55818&lt;/pages&gt;&lt;volume&gt;8&lt;/volume&gt;&lt;number&gt;1&lt;/number&gt;&lt;dates&gt;&lt;year&gt;2013&lt;/year&gt;&lt;/dates&gt;&lt;urls&gt;&lt;/urls&gt;&lt;/record&gt;&lt;/Cite&gt;&lt;/EndNote&gt;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"_ENREF_67" \o "Christiansson, 2013 #149" </w:instrText>
      </w:r>
      <w:r>
        <w:fldChar w:fldCharType="separate"/>
      </w:r>
      <w:r>
        <w:rPr>
          <w:rFonts w:hint="eastAsia" w:ascii="Times New Roman" w:hAnsi="Times New Roman" w:eastAsia="宋体"/>
          <w:sz w:val="22"/>
          <w:szCs w:val="22"/>
          <w:vertAlign w:val="superscript"/>
        </w:rPr>
        <w:t>67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but little is known about the appliance of targeting PD-1/PD-L1 in CML. Some scholars have shown that the use of antigen pulses </w:t>
      </w:r>
      <w:r>
        <w:rPr>
          <w:rFonts w:hint="eastAsia" w:ascii="Times New Roman" w:hAnsi="Times New Roman" w:eastAsia="宋体"/>
          <w:sz w:val="22"/>
          <w:szCs w:val="22"/>
        </w:rPr>
        <w:t>a</w:t>
      </w:r>
      <w:r>
        <w:rPr>
          <w:rFonts w:ascii="Times New Roman" w:hAnsi="Times New Roman" w:eastAsia="宋体"/>
          <w:sz w:val="22"/>
          <w:szCs w:val="22"/>
        </w:rPr>
        <w:t>utologous dendritic cells or direct application of in vitro transcribed RNA encoding leukemia-related antigens, combined with targeting PD-1 may help to obtain a stronger immune response and better clinical results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&lt;EndNote&gt;&lt;Cite&gt;&lt;Author&gt;Held&lt;/Author&gt;&lt;Year&gt;2013&lt;/Year&gt;&lt;RecNum&gt;91&lt;/RecNum&gt;&lt;DisplayText&gt;&lt;style face="superscript"&gt;[68]&lt;/style&gt;&lt;/DisplayText&gt;&lt;record&gt;&lt;rec-number&gt;91&lt;/rec-number&gt;&lt;foreign-keys&gt;&lt;key app="EN" db-id="wtw2d92v2spsvber2d5x2p26d0vxavdxzsxf"&gt;91&lt;/key&gt;&lt;/foreign-keys&gt;&lt;ref-type name="Journal Article"&gt;17&lt;/ref-type&gt;&lt;contributors&gt;&lt;authors&gt;&lt;author&gt;Stefanie Andrea Erika Held&lt;/author&gt;&lt;author&gt;Annkristin Heine&lt;/author&gt;&lt;author&gt;Karin Tina Mayer&lt;/author&gt;&lt;author&gt;Mario Kapelle&lt;/author&gt;&lt;/authors&gt;&lt;/contributors&gt;&lt;titles&gt;&lt;title&gt;Advances in Immunotherapy of Chronic Myeloid Leukemia CML&lt;/title&gt;&lt;secondary-title&gt;Curr Cancer Drug Targets&lt;/secondary-title&gt;&lt;/titles&gt;&lt;periodical&gt;&lt;full-title&gt;Curr Cancer Drug Targets&lt;/full-title&gt;&lt;/periodical&gt;&lt;pages&gt;&lt;style face="normal" font="default" size="100%"&gt;768&lt;/style&gt;&lt;style face="normal" font="default" charset="134" size="100%"&gt;-774&lt;/style&gt;&lt;/pages&gt;&lt;volume&gt;13&lt;/volume&gt;&lt;number&gt;7&lt;/number&gt;&lt;dates&gt;&lt;year&gt;2013&lt;/year&gt;&lt;/dates&gt;&lt;urls&gt;&lt;/urls&gt;&lt;/record&gt;&lt;/Cite&gt;&lt;/EndNote&gt;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"_ENREF_68" \o "Held, 2013 #91" </w:instrText>
      </w:r>
      <w:r>
        <w:fldChar w:fldCharType="separate"/>
      </w:r>
      <w:r>
        <w:rPr>
          <w:rFonts w:hint="eastAsia" w:ascii="Times New Roman" w:hAnsi="Times New Roman" w:eastAsia="宋体"/>
          <w:sz w:val="22"/>
          <w:szCs w:val="22"/>
          <w:vertAlign w:val="superscript"/>
        </w:rPr>
        <w:t>68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67"/>
    <w:p>
      <w:pPr>
        <w:spacing w:line="360" w:lineRule="auto"/>
        <w:ind w:firstLine="440" w:firstLineChars="200"/>
        <w:rPr>
          <w:rFonts w:ascii="Times New Roman" w:hAnsi="Times New Roman" w:eastAsia="宋体"/>
          <w:sz w:val="22"/>
          <w:szCs w:val="22"/>
        </w:rPr>
      </w:pPr>
      <w:bookmarkStart w:id="68" w:name="OLE_LINK97"/>
      <w:r>
        <w:rPr>
          <w:rFonts w:ascii="Times New Roman" w:hAnsi="Times New Roman" w:eastAsia="宋体"/>
          <w:sz w:val="22"/>
          <w:szCs w:val="22"/>
        </w:rPr>
        <w:t>A trial (NCT02011945) studied the treatment of 16 CML patients with Nivolumab combined with Dasatinib, found that the incidence of dose-limiting toxicity was 0%. A trial (NCT03516279) studying Pembrolizumab, Dasatinib, and Imatinib Mesylate or Nilotinib for the treatment of CML is under recruitment, looking forward to carrying out more related trials in the future.</w:t>
      </w:r>
    </w:p>
    <w:bookmarkEnd w:id="68"/>
    <w:p>
      <w:pPr>
        <w:spacing w:line="360" w:lineRule="auto"/>
        <w:rPr>
          <w:rFonts w:ascii="Times New Roman" w:hAnsi="Times New Roman" w:eastAsia="黑体"/>
          <w:b/>
          <w:sz w:val="22"/>
          <w:szCs w:val="22"/>
        </w:rPr>
      </w:pPr>
      <w:r>
        <w:rPr>
          <w:rFonts w:ascii="Times New Roman" w:hAnsi="Times New Roman" w:eastAsia="黑体"/>
          <w:b/>
          <w:sz w:val="22"/>
          <w:szCs w:val="22"/>
        </w:rPr>
        <w:t>2.2.4 Chronic lymphocytic leukemia (CLL)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Ramsay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&lt;EndNote&gt;&lt;Cite&gt;&lt;Author&gt;Ramsay&lt;/Author&gt;&lt;Year&gt;2012&lt;/Year&gt;&lt;RecNum&gt;33&lt;/RecNum&gt;&lt;DisplayText&gt;&lt;style face="superscript"&gt;[69]&lt;/style&gt;&lt;/DisplayText&gt;&lt;record&gt;&lt;rec-number&gt;33&lt;/rec-number&gt;&lt;foreign-keys&gt;&lt;key app="EN" db-id="wtw2d92v2spsvber2d5x2p26d0vxavdxzsxf"&gt;33&lt;/key&gt;&lt;/foreign-keys&gt;&lt;ref-type name="Journal Article"&gt;17&lt;/ref-type&gt;&lt;contributors&gt;&lt;authors&gt;&lt;author&gt;Alan G. Ramsay&lt;/author&gt;&lt;author&gt;Andrew J. Clear&lt;/author&gt;&lt;author&gt;Rewas Fatah&lt;/author&gt;&lt;author&gt;John G. Gribben&lt;/author&gt;&lt;/authors&gt;&lt;/contributors&gt;&lt;titles&gt;&lt;title&gt;Multiple inhibitory ligands induce impaired T-cell immunologic synapse function in chronic lymphocytic leukemia that can be blocked with lenalidomide: establishing a reversible immune evasion mechanism in human cancer&lt;/title&gt;&lt;secondary-title&gt;Blood&lt;/secondary-title&gt;&lt;/titles&gt;&lt;periodical&gt;&lt;full-title&gt;Blood&lt;/full-title&gt;&lt;/periodical&gt;&lt;pages&gt;1412-1421&lt;/pages&gt;&lt;volume&gt;120&lt;/volume&gt;&lt;number&gt;7&lt;/number&gt;&lt;dates&gt;&lt;year&gt;2012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"_ENREF_69" \o "Ramsay, 2012 #33" </w:instrText>
      </w:r>
      <w:r>
        <w:fldChar w:fldCharType="separate"/>
      </w:r>
      <w:r>
        <w:rPr>
          <w:rFonts w:hint="eastAsia" w:ascii="Times New Roman" w:hAnsi="Times New Roman" w:eastAsia="宋体"/>
          <w:sz w:val="22"/>
          <w:szCs w:val="22"/>
          <w:vertAlign w:val="superscript"/>
        </w:rPr>
        <w:t>69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confirmed that the expression of PD-1 on CD3</w:t>
      </w:r>
      <w:r>
        <w:rPr>
          <w:rFonts w:ascii="Times New Roman" w:hAnsi="Times New Roman" w:eastAsia="宋体"/>
          <w:sz w:val="22"/>
          <w:szCs w:val="22"/>
          <w:vertAlign w:val="superscript"/>
        </w:rPr>
        <w:t>+</w:t>
      </w:r>
      <w:r>
        <w:rPr>
          <w:rFonts w:ascii="Times New Roman" w:hAnsi="Times New Roman" w:eastAsia="宋体"/>
          <w:sz w:val="22"/>
          <w:szCs w:val="22"/>
        </w:rPr>
        <w:t xml:space="preserve"> cells in CLL patients was significantly higher than that in healthy individuals, and PD-1 was found to be a feature of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exhaustion in CLL, which can make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unable to produce certain cytokines (interferon γ [IFN γ], tumor necrosis factor [TNF])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&lt;EndNote&gt;&lt;Cite&gt;&lt;Author&gt;Riches&lt;/Author&gt;&lt;Year&gt;2013&lt;/Year&gt;&lt;RecNum&gt;34&lt;/RecNum&gt;&lt;DisplayText&gt;&lt;style face="superscript"&gt;[70]&lt;/style&gt;&lt;/DisplayText&gt;&lt;record&gt;&lt;rec-number&gt;34&lt;/rec-number&gt;&lt;foreign-keys&gt;&lt;key app="EN" db-id="wtw2d92v2spsvber2d5x2p26d0vxavdxzsxf"&gt;34&lt;/key&gt;&lt;/foreign-keys&gt;&lt;ref-type name="Journal Article"&gt;17&lt;/ref-type&gt;&lt;contributors&gt;&lt;authors&gt;&lt;author&gt;John C Riches&lt;/author&gt;&lt;author&gt;Jeffrey K Davies&lt;/author&gt;&lt;author&gt;Fabienne McClanahan&lt;/author&gt;&lt;author&gt;Rewas Fatah&lt;/author&gt;&lt;/authors&gt;&lt;/contributors&gt;&lt;titles&gt;&lt;title&gt;T cells from CLL patients exhibit features of T-cell exhaustion but retain capacity for cytokine production&lt;/title&gt;&lt;secondary-title&gt;Blood&lt;/secondary-title&gt;&lt;/titles&gt;&lt;periodical&gt;&lt;full-title&gt;Blood&lt;/full-title&gt;&lt;/periodical&gt;&lt;pages&gt;1612-1621&lt;/pages&gt;&lt;volume&gt;121&lt;/volume&gt;&lt;number&gt;9&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"_ENREF_70" \o "Riches, 2013 #34" </w:instrText>
      </w:r>
      <w:r>
        <w:fldChar w:fldCharType="separate"/>
      </w:r>
      <w:r>
        <w:rPr>
          <w:rFonts w:hint="eastAsia" w:ascii="Times New Roman" w:hAnsi="Times New Roman" w:eastAsia="宋体"/>
          <w:sz w:val="22"/>
          <w:szCs w:val="22"/>
          <w:vertAlign w:val="superscript"/>
        </w:rPr>
        <w:t>70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However, the effectiveness of targeting PD-1/PD-L1 for CLL is low, a phase II study (NCT02332980) found that Pembrolizumab is not effective against CLL, but effective against RS, because patients with RS have higher PD-L1 expression and low TCR clonality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&lt;EndNote&gt;&lt;Cite&gt;&lt;Author&gt;Wang&lt;/Author&gt;&lt;Year&gt;2018&lt;/Year&gt;&lt;RecNum&gt;160&lt;/RecNum&gt;&lt;DisplayText&gt;&lt;style face="superscript"&gt;[71]&lt;/style&gt;&lt;/DisplayText&gt;&lt;record&gt;&lt;rec-number&gt;160&lt;/rec-number&gt;&lt;foreign-keys&gt;&lt;key app="EN" db-id="wtw2d92v2spsvber2d5x2p26d0vxavdxzsxf"&gt;160&lt;/key&gt;&lt;/foreign-keys&gt;&lt;ref-type name="Journal Article"&gt;17&lt;/ref-type&gt;&lt;contributors&gt;&lt;authors&gt;&lt;author&gt;Wang, Yucai&lt;/author&gt;&lt;author&gt;Sinha, Sutapa&lt;/author&gt;&lt;author&gt;Dong, Haidong&lt;/author&gt;&lt;author&gt;Secreto, Charla&lt;/author&gt;&lt;author&gt;Call, Timothy&lt;/author&gt;&lt;author&gt;Parikh, Sameer Ashok&lt;/author&gt;&lt;author&gt;Leis, Jose Francisco&lt;/author&gt;&lt;author&gt;Rech, Karen&lt;/author&gt;&lt;author&gt;Feldman, Andew L&lt;/author&gt;&lt;author&gt;Kenderian, Saad&lt;/author&gt;&lt;/authors&gt;&lt;/contributors&gt;&lt;titles&gt;&lt;title&gt;Distinct immune signatures in chronic lymphocytic leukemia (CLL) and Richter’s syndrome (RS)&lt;/title&gt;&lt;secondary-title&gt;Journal of Clinical Oncology&lt;/secondary-title&gt;&lt;/titles&gt;&lt;periodical&gt;&lt;full-title&gt;Journal of Clinical Oncology&lt;/full-title&gt;&lt;/periodical&gt;&lt;pages&gt;7524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"_ENREF_71" \o "Wang, 2018 #160" </w:instrText>
      </w:r>
      <w:r>
        <w:fldChar w:fldCharType="separate"/>
      </w:r>
      <w:r>
        <w:rPr>
          <w:rFonts w:hint="eastAsia" w:ascii="Times New Roman" w:hAnsi="Times New Roman" w:eastAsia="宋体"/>
          <w:sz w:val="22"/>
          <w:szCs w:val="22"/>
          <w:vertAlign w:val="superscript"/>
        </w:rPr>
        <w:t>71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are currently two trials (NCT03153202, NCT03514017) for Pembrolizumab combined with Ibrutinib in the treatment of CLL patients are being recruited. Regarding Nivolumab, there is a trial (NCT04781855) on the combination of Ipilimumab, Ibrutinib, and Nivolumab in the treatment of CLL that has not yet been recruited. A trial (NCT03884998) on Copanlisib combined with Nivolumab in the treatment of patients with NHL involves CLL is currently recruiting. Research on immunotherapy for CLL patients is still ongoing, and more data to guide treatment needs to be confirmed in the research</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&lt;EndNote&gt;&lt;Cite&gt;&lt;Author&gt;Yinjuan&lt;/Author&gt;&lt;RecNum&gt;150&lt;/RecNum&gt;&lt;DisplayText&gt;&lt;style face="superscript"&gt;[72]&lt;/style&gt;&lt;/DisplayText&gt;&lt;record&gt;&lt;rec-number&gt;150&lt;/rec-number&gt;&lt;foreign-keys&gt;&lt;key app="EN" db-id="wtw2d92v2spsvber2d5x2p26d0vxavdxzsxf"&gt;150&lt;/key&gt;&lt;/foreign-keys&gt;&lt;ref-type name="Journal Article"&gt;17&lt;/ref-type&gt;&lt;contributors&gt;&lt;authors&gt;&lt;author&gt;Yinjuan, Ma&lt;/author&gt;&lt;author&gt;Yaozhu, Pan&lt;/author&gt;&lt;/authors&gt;&lt;/contributors&gt;&lt;titles&gt;&lt;title&gt;Research update on PD-1/PD-L1 pathway in hematological diseases&lt;/title&gt;&lt;secondary-title&gt;Journal of Modern Oncology&lt;/secondary-title&gt;&lt;/titles&gt;&lt;periodical&gt;&lt;full-title&gt;Journal of Modern Oncology&lt;/full-title&gt;&lt;/periodical&gt;&lt;pages&gt;&lt;style face="normal" font="default" size="100%"&gt;2905&lt;/style&gt;&lt;style face="normal" font="default" charset="134" size="100%"&gt;-2909&lt;/style&gt;&lt;/pages&gt;&lt;volume&gt;28&lt;/volume&gt;&lt;number&gt;16&lt;/number&gt;&lt;dates&gt;&lt;year&gt;2020&lt;/year&gt;&lt;/dates&gt;&lt;urls&gt;&lt;/urls&gt;&lt;/record&gt;&lt;/Cite&gt;&lt;/EndNote&gt;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"_ENREF_72" \o "Yinjuan, 2020 #150" </w:instrText>
      </w:r>
      <w:r>
        <w:fldChar w:fldCharType="separate"/>
      </w:r>
      <w:r>
        <w:rPr>
          <w:rFonts w:hint="eastAsia" w:ascii="Times New Roman" w:hAnsi="Times New Roman" w:eastAsia="宋体"/>
          <w:sz w:val="22"/>
          <w:szCs w:val="22"/>
          <w:vertAlign w:val="superscript"/>
        </w:rPr>
        <w:t>72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bookmarkStart w:id="69" w:name="OLE_LINK49"/>
      <w:r>
        <w:rPr>
          <w:rFonts w:ascii="Times New Roman" w:hAnsi="Times New Roman" w:eastAsia="黑体"/>
          <w:b/>
          <w:sz w:val="22"/>
          <w:szCs w:val="22"/>
        </w:rPr>
        <w:t xml:space="preserve">2.3 </w:t>
      </w:r>
      <w:bookmarkStart w:id="70" w:name="OLE_LINK94"/>
      <w:r>
        <w:rPr>
          <w:rFonts w:ascii="Times New Roman" w:hAnsi="Times New Roman" w:eastAsia="黑体"/>
          <w:b/>
          <w:sz w:val="22"/>
          <w:szCs w:val="22"/>
        </w:rPr>
        <w:t>Multiple myeloma</w:t>
      </w:r>
      <w:bookmarkEnd w:id="70"/>
      <w:r>
        <w:rPr>
          <w:rFonts w:ascii="Times New Roman" w:hAnsi="Times New Roman" w:eastAsia="黑体"/>
          <w:b/>
          <w:sz w:val="22"/>
          <w:szCs w:val="22"/>
        </w:rPr>
        <w:t xml:space="preserve"> (MM)</w:t>
      </w:r>
    </w:p>
    <w:bookmarkEnd w:id="69"/>
    <w:p>
      <w:pPr>
        <w:spacing w:line="360" w:lineRule="auto"/>
        <w:ind w:firstLine="440" w:firstLineChars="200"/>
        <w:rPr>
          <w:rFonts w:ascii="Times New Roman" w:hAnsi="Times New Roman" w:eastAsia="宋体"/>
          <w:sz w:val="22"/>
          <w:szCs w:val="22"/>
        </w:rPr>
      </w:pPr>
      <w:bookmarkStart w:id="71" w:name="OLE_LINK57"/>
      <w:r>
        <w:rPr>
          <w:rFonts w:ascii="Times New Roman" w:hAnsi="Times New Roman" w:eastAsia="宋体"/>
          <w:sz w:val="22"/>
          <w:szCs w:val="22"/>
        </w:rPr>
        <w:t>Studies have found that the expression level of PD-L1 in plasma cells is different, its expression in MM patients is higher than that in healthy volunteers and patients with unexplained monoclonal gamma disease (MGUS). And in r/r MM, the level is significantly increased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&lt;EndNote&gt;&lt;Cite&gt;&lt;Author&gt;Tamura&lt;/Author&gt;&lt;Year&gt;2020&lt;/Year&gt;&lt;RecNum&gt;151&lt;/RecNum&gt;&lt;DisplayText&gt;&lt;style face="superscript"&gt;[73]&lt;/style&gt;&lt;/DisplayText&gt;&lt;record&gt;&lt;rec-number&gt;151&lt;/rec-number&gt;&lt;foreign-keys&gt;&lt;key app="EN" db-id="wtw2d92v2spsvber2d5x2p26d0vxavdxzsxf"&gt;151&lt;/key&gt;&lt;/foreign-keys&gt;&lt;ref-type name="Journal Article"&gt;17&lt;/ref-type&gt;&lt;contributors&gt;&lt;authors&gt;&lt;author&gt;Tamura, Hideto&lt;/author&gt;&lt;author&gt;Ishibashi, Mariko&lt;/author&gt;&lt;author&gt;Sunakawa-Kii, Mika&lt;/author&gt;&lt;author&gt;Inokuchi, Koiti&lt;/author&gt;&lt;/authors&gt;&lt;/contributors&gt;&lt;titles&gt;&lt;title&gt;PD-L1–PD-1 pathway in the pathophysiology of multiple myeloma&lt;/title&gt;&lt;secondary-title&gt;Cancers&lt;/secondary-title&gt;&lt;/titles&gt;&lt;periodical&gt;&lt;full-title&gt;Cancers&lt;/full-title&gt;&lt;/periodical&gt;&lt;pages&gt;924&lt;/pages&gt;&lt;volume&gt;12&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"_ENREF_73" \o "Tamura, 2020 #151" </w:instrText>
      </w:r>
      <w:r>
        <w:fldChar w:fldCharType="separate"/>
      </w:r>
      <w:r>
        <w:rPr>
          <w:rFonts w:hint="eastAsia" w:ascii="Times New Roman" w:hAnsi="Times New Roman" w:eastAsia="宋体"/>
          <w:sz w:val="22"/>
          <w:szCs w:val="22"/>
          <w:vertAlign w:val="superscript"/>
        </w:rPr>
        <w:t>73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Similar to CHL, the expression of PD-L1 protein in myeloma cells is related to the increase of PD-L1 copy number. And studies have shown that targeting PD-1 can improve survival in mouse models of myeloma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&lt;EndNote&gt;&lt;Cite&gt;&lt;Author&gt;Hallett&lt;/Author&gt;&lt;Year&gt;2011&lt;/Year&gt;&lt;RecNum&gt;41&lt;/RecNum&gt;&lt;DisplayText&gt;&lt;style face="superscript"&gt;[74]&lt;/style&gt;&lt;/DisplayText&gt;&lt;record&gt;&lt;rec-number&gt;41&lt;/rec-number&gt;&lt;foreign-keys&gt;&lt;key app="EN" db-id="wtw2d92v2spsvber2d5x2p26d0vxavdxzsxf"&gt;41&lt;/key&gt;&lt;/foreign-keys&gt;&lt;ref-type name="Journal Article"&gt;17&lt;/ref-type&gt;&lt;contributors&gt;&lt;authors&gt;&lt;author&gt;William H D Hallett&lt;/author&gt;&lt;author&gt;Weiqing Jing&lt;/author&gt;&lt;author&gt;William R Drobyski&lt;/author&gt;&lt;author&gt;Bryon D Johnson&lt;/author&gt;&lt;/authors&gt;&lt;/contributors&gt;&lt;titles&gt;&lt;title&gt;Immunosuppressive Effects of Multiple Myeloma Are Overcome by PD-L1 Blockade - ScienceDirect&lt;/title&gt;&lt;secondary-title&gt;Biology of Blood and Marrow Transplantation&lt;/secondary-title&gt;&lt;/titles&gt;&lt;periodical&gt;&lt;full-title&gt;Biology of Blood and Marrow Transplantation&lt;/full-title&gt;&lt;/periodical&gt;&lt;pages&gt;1133-1145&lt;/pages&gt;&lt;volume&gt;17&lt;/volume&gt;&lt;number&gt;8&lt;/number&gt;&lt;dates&gt;&lt;year&gt;2011&lt;/year&gt;&lt;/dates&gt;&lt;urls&gt;&lt;/urls&gt;&lt;/record&gt;&lt;/Cite&gt;&lt;/EndNote&gt;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"_ENREF_74" \o "Hallett, 2011 #41" </w:instrText>
      </w:r>
      <w:r>
        <w:fldChar w:fldCharType="separate"/>
      </w:r>
      <w:r>
        <w:rPr>
          <w:rFonts w:hint="eastAsia" w:ascii="Times New Roman" w:hAnsi="Times New Roman" w:eastAsia="宋体"/>
          <w:sz w:val="22"/>
          <w:szCs w:val="22"/>
          <w:vertAlign w:val="superscript"/>
        </w:rPr>
        <w:t>74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Unlike PD-L1, PD-L2 is not expressed in myeloma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&lt;EndNote&gt;&lt;Cite&gt;&lt;Author&gt;Gorgun&lt;/Author&gt;&lt;Year&gt;2015&lt;/Year&gt;&lt;RecNum&gt;40&lt;/RecNum&gt;&lt;DisplayText&gt;&lt;style face="superscript"&gt;[75]&lt;/style&gt;&lt;/DisplayText&gt;&lt;record&gt;&lt;rec-number&gt;40&lt;/rec-number&gt;&lt;foreign-keys&gt;&lt;key app="EN" db-id="wtw2d92v2spsvber2d5x2p26d0vxavdxzsxf"&gt;40&lt;/key&gt;&lt;/foreign-keys&gt;&lt;ref-type name="Journal Article"&gt;17&lt;/ref-type&gt;&lt;contributors&gt;&lt;authors&gt;&lt;author&gt;Güllü Görgün&lt;/author&gt;&lt;author&gt;Mehmet K Samur&lt;/author&gt;&lt;author&gt;Kristen B Cowens&lt;/author&gt;&lt;author&gt;Steven Paula&lt;/author&gt;&lt;/authors&gt;&lt;/contributors&gt;&lt;titles&gt;&lt;title&gt;Lenalidomide Enhances Immune Checkpoint Blockade-Induced Immune Response in Multiple Myeloma&lt;/title&gt;&lt;secondary-title&gt;Clinical Cancer Research&lt;/secondary-title&gt;&lt;/titles&gt;&lt;periodical&gt;&lt;full-title&gt;Clinical Cancer Research&lt;/full-title&gt;&lt;/periodical&gt;&lt;pages&gt;4607-4618&lt;/pages&gt;&lt;volume&gt;21&lt;/volume&gt;&lt;number&gt;20&lt;/number&gt;&lt;dates&gt;&lt;year&gt;2015&lt;/year&gt;&lt;/dates&gt;&lt;urls&gt;&lt;/urls&gt;&lt;/record&gt;&lt;/Cite&gt;&lt;/EndNote&gt;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"_ENREF_75" \o "Görgün, 2015 #40" </w:instrText>
      </w:r>
      <w:r>
        <w:fldChar w:fldCharType="separate"/>
      </w:r>
      <w:r>
        <w:rPr>
          <w:rFonts w:hint="eastAsia" w:ascii="Times New Roman" w:hAnsi="Times New Roman" w:eastAsia="宋体"/>
          <w:sz w:val="22"/>
          <w:szCs w:val="22"/>
          <w:vertAlign w:val="superscript"/>
        </w:rPr>
        <w:t>75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72" w:name="OLE_LINK95"/>
      <w:r>
        <w:rPr>
          <w:rFonts w:ascii="Times New Roman" w:hAnsi="Times New Roman" w:eastAsia="宋体"/>
          <w:sz w:val="22"/>
          <w:szCs w:val="22"/>
        </w:rPr>
        <w:t>A phase I study found that 27 patients with r/r MM were treated with Nivolumab, with a median follow-up time of 65.6 weeks, and 17 patients (63%) had the best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&lt;EndNote&gt;&lt;Cite&gt;&lt;Author&gt;Lesokhin&lt;/Author&gt;&lt;Year&gt;2016&lt;/Year&gt;&lt;RecNum&gt;42&lt;/RecNum&gt;&lt;DisplayText&gt;&lt;style face="superscript"&gt;[33]&lt;/style&gt;&lt;/DisplayText&gt;&lt;record&gt;&lt;rec-number&gt;42&lt;/rec-number&gt;&lt;foreign-keys&gt;&lt;key app="EN" db-id="wtw2d92v2spsvber2d5x2p26d0vxavdxzsxf"&gt;42&lt;/key&gt;&lt;/foreign-keys&gt;&lt;ref-type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study (NCT02612779) used Nivolumab combined with Elotuzumab to treat 6 MM patients, found that the progression-free survival period was 16.7 months, and the objective remission rate was 51.5%, which did not show better results than Monotherapy. There are also some clinical trials underway, such as Nivolumab combined with Melphalan for the treatment of MM (NCT03292263). Nivolumab, Carfilzomib, Dexamethasone, Pelareorep combined for r/r MM (NCT03605719), etc.</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Pembrolizumab, a phase I study found that Pembrolizumab combined with Lenalidomide and low-dose Dexamethasone in the treatment of r/r MM, 20 patients (50%) experienced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&lt;EndNote&gt;&lt;Cite&gt;&lt;Author&gt;Mateos&lt;/Author&gt;&lt;Year&gt;2016&lt;/Year&gt;&lt;RecNum&gt;152&lt;/RecNum&gt;&lt;DisplayText&gt;&lt;style face="superscript"&gt;[76]&lt;/style&gt;&lt;/DisplayText&gt;&lt;record&gt;&lt;rec-number&gt;152&lt;/rec-number&gt;&lt;foreign-keys&gt;&lt;key app="EN" db-id="wtw2d92v2spsvber2d5x2p26d0vxavdxzsxf"&gt;152&lt;/key&gt;&lt;/foreign-keys&gt;&lt;ref-type name="Journal Article"&gt;17&lt;/ref-type&gt;&lt;contributors&gt;&lt;authors&gt;&lt;author&gt;Mateos, Maria-Victoria&lt;/author&gt;&lt;author&gt;Orlowski, Robert&lt;/author&gt;&lt;author&gt;Siegel, David&lt;/author&gt;&lt;author&gt;Reece, Donna&lt;/author&gt;&lt;author&gt;Moreau, Philippe&lt;/author&gt;&lt;author&gt;Ocio, Enrique&lt;/author&gt;&lt;author&gt;Shah, Jatin&lt;/author&gt;&lt;author&gt;Rodríguez-Otero, Paula&lt;/author&gt;&lt;author&gt;Munshi, Nihkil&lt;/author&gt;&lt;author&gt;Avigan, David&lt;/author&gt;&lt;/authors&gt;&lt;/contributors&gt;&lt;titles&gt;&lt;title&gt;Pembrolizumab in combination with lenalidomide and low-dose dexamethasone for relapsed/refractory multiple myeloma: final efficacy and safety analysis&lt;/title&gt;&lt;secondary-title&gt;J Clin Oncol&lt;/secondary-title&gt;&lt;/titles&gt;&lt;periodical&gt;&lt;full-title&gt;J Clin Oncol&lt;/full-title&gt;&lt;/periodical&gt;&lt;pages&gt;8010a&lt;/pages&gt;&lt;volume&gt;34&lt;/volume&gt;&lt;number&gt;suppl 15&lt;/number&gt;&lt;dates&gt;&lt;year&gt;2016&lt;/year&gt;&lt;/dates&gt;&lt;urls&gt;&lt;/urls&gt;&lt;/record&gt;&lt;/Cite&gt;&lt;/EndNote&gt;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"_ENREF_76" \o "Mateos, 2016 #152" </w:instrText>
      </w:r>
      <w:r>
        <w:fldChar w:fldCharType="separate"/>
      </w:r>
      <w:r>
        <w:rPr>
          <w:rFonts w:hint="eastAsia" w:ascii="Times New Roman" w:hAnsi="Times New Roman" w:eastAsia="宋体"/>
          <w:sz w:val="22"/>
          <w:szCs w:val="22"/>
          <w:vertAlign w:val="superscript"/>
        </w:rPr>
        <w:t>76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At present, this treatment method is not mentioned in the treatment guidelines of MM and there are few related clinical trials, more research and exploration are needed in the future.</w:t>
      </w:r>
    </w:p>
    <w:bookmarkEnd w:id="71"/>
    <w:bookmarkEnd w:id="72"/>
    <w:p>
      <w:pPr>
        <w:spacing w:line="360" w:lineRule="auto"/>
        <w:rPr>
          <w:rFonts w:hint="default" w:ascii="Times New Roman" w:hAnsi="Times New Roman" w:eastAsia="黑体"/>
          <w:b/>
          <w:sz w:val="22"/>
          <w:szCs w:val="22"/>
          <w:lang w:val="en-US" w:eastAsia="zh-CN"/>
        </w:rPr>
      </w:pPr>
      <w:bookmarkStart w:id="73" w:name="OLE_LINK47"/>
      <w:r>
        <w:rPr>
          <w:rFonts w:hint="eastAsia" w:ascii="Times New Roman" w:hAnsi="Times New Roman" w:eastAsia="黑体"/>
          <w:b/>
          <w:sz w:val="22"/>
          <w:szCs w:val="22"/>
          <w:lang w:val="en-US" w:eastAsia="zh-CN"/>
        </w:rPr>
        <w:t>CONCLUSION</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summary, targeting PD-1 and PD-L1 can block the combination of PD-1 and PD-L1 to enhance the immune response. It has many applications in tumors and is used in clinical immunotherapy of various tumors, and has satisfactory therapeutic effects. In addition, with the gradual deepening of research and the increase of technical level, the therapeutic range of targeting PD-1/PD-L1 in tumors has gradually expanded, and the remission rate of the disease has gradually increased. However, this treatment method still faces problems, such as, high drug development costs, instability, potential side effects, and lack of standardized PD-1 detection procedures, etc. It is believed that with the deepening of research and the improvement of technical level, these issues will be solved or improved. Targeting PD-1/PD-L1 will achieve greater breakthroughs, and exert greater value in clinical research and anti-tumor therapy in the future.</w:t>
      </w:r>
      <w:bookmarkEnd w:id="2"/>
      <w:bookmarkEnd w:id="73"/>
    </w:p>
    <w:bookmarkEnd w:id="1"/>
    <w:p>
      <w:pPr>
        <w:adjustRightInd w:val="0"/>
        <w:snapToGrid w:val="0"/>
        <w:spacing w:before="312" w:beforeLines="100" w:line="260" w:lineRule="atLeast"/>
        <w:rPr>
          <w:rFonts w:ascii="Times New Roman" w:hAnsi="Times New Roman"/>
          <w:b/>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hint="eastAsia" w:ascii="Times New Roman" w:hAnsi="Times New Roman"/>
        </w:rPr>
      </w:pPr>
      <w:r>
        <w:rPr>
          <w:rFonts w:ascii="Times New Roman" w:hAnsi="Times New Roman" w:eastAsia="宋体" w:cs="Times New Roman"/>
          <w:b/>
          <w:bCs/>
          <w:iCs/>
          <w:color w:val="000000"/>
          <w:kern w:val="0"/>
          <w:sz w:val="22"/>
          <w:szCs w:val="22"/>
          <w:highlight w:val="none"/>
        </w:rPr>
        <w:t>Authors’ contributions</w:t>
      </w:r>
    </w:p>
    <w:p>
      <w:pPr>
        <w:spacing w:before="100" w:beforeAutospacing="1" w:after="100" w:afterAutospacing="1"/>
        <w:rPr>
          <w:rFonts w:ascii="Times New Roman" w:hAnsi="Times New Roman"/>
          <w:b/>
        </w:rPr>
      </w:pPr>
      <w:r>
        <w:rPr>
          <w:rFonts w:hint="eastAsia" w:ascii="Times New Roman" w:hAnsi="Times New Roman"/>
        </w:rPr>
        <w:t>Liang Wang designed the study. Wanying Zhao and Yuanzheng Liang collected all the literatures and analyzed the data. Wanying Zhao wrote the paper.</w:t>
      </w:r>
      <w:r>
        <w:rPr>
          <w:rFonts w:ascii="Times New Roman" w:hAnsi="Times New Roman"/>
        </w:rPr>
        <w:t xml:space="preserve"> </w:t>
      </w:r>
      <w:r>
        <w:rPr>
          <w:rFonts w:hint="eastAsia" w:ascii="Times New Roman" w:hAnsi="Times New Roman"/>
        </w:rPr>
        <w:t>All authors revised the paper and approved the publication of this paper.</w:t>
      </w:r>
      <w:bookmarkStart w:id="151" w:name="_GoBack"/>
      <w:bookmarkEnd w:id="151"/>
    </w:p>
    <w:p>
      <w:pPr>
        <w:spacing w:before="100" w:beforeAutospacing="1" w:after="100" w:afterAutospacing="1"/>
        <w:rPr>
          <w:rFonts w:ascii="Times New Roman" w:hAnsi="Times New Roman"/>
          <w:b/>
        </w:rPr>
      </w:pPr>
      <w:r>
        <w:rPr>
          <w:rFonts w:ascii="Times New Roman" w:hAnsi="Times New Roman"/>
          <w:b/>
        </w:rPr>
        <w:t>Competing interests</w:t>
      </w:r>
    </w:p>
    <w:p>
      <w:pPr>
        <w:spacing w:before="100" w:beforeAutospacing="1" w:after="100" w:afterAutospacing="1"/>
        <w:rPr>
          <w:rFonts w:ascii="Times New Roman" w:hAnsi="Times New Roman"/>
        </w:rPr>
      </w:pPr>
      <w:r>
        <w:rPr>
          <w:rFonts w:ascii="Times New Roman" w:hAnsi="Times New Roman"/>
        </w:rPr>
        <w:t>All authors declare no conflicts of interest.</w:t>
      </w:r>
    </w:p>
    <w:p>
      <w:pPr>
        <w:spacing w:before="100" w:beforeAutospacing="1" w:after="100" w:afterAutospacing="1"/>
        <w:rPr>
          <w:rFonts w:ascii="Times New Roman" w:hAnsi="Times New Roman"/>
          <w:b/>
        </w:rPr>
      </w:pPr>
      <w:r>
        <w:rPr>
          <w:rFonts w:ascii="Times New Roman" w:hAnsi="Times New Roman"/>
          <w:b/>
        </w:rPr>
        <w:t>Funding</w:t>
      </w:r>
    </w:p>
    <w:p>
      <w:pPr>
        <w:spacing w:line="360" w:lineRule="auto"/>
        <w:rPr>
          <w:rFonts w:hint="eastAsia" w:ascii="Times New Roman" w:hAnsi="Times New Roman"/>
        </w:rPr>
      </w:pPr>
      <w:r>
        <w:rPr>
          <w:rFonts w:ascii="Times New Roman" w:hAnsi="Times New Roman"/>
        </w:rPr>
        <w:t>This work was financially supported through grants from the National Natural Science Foundation of China (81873450, 82170181) and the Open Research Fund from Beijing Advanced Innovation Center for Big Data-Based Precision Medicine, Beijing Tongren Hospital, Beihang University &amp; Capital Medical University (grant No. BHTR-KFJJ-202009) to Liang Wang</w:t>
      </w:r>
      <w:r>
        <w:rPr>
          <w:rFonts w:hint="eastAsia" w:ascii="Times New Roman" w:hAnsi="Times New Roman"/>
        </w:rPr>
        <w:t>.</w:t>
      </w:r>
    </w:p>
    <w:p>
      <w:pPr>
        <w:adjustRightInd w:val="0"/>
        <w:snapToGrid w:val="0"/>
        <w:spacing w:before="312" w:beforeLines="100" w:after="156" w:afterLines="50" w:line="260" w:lineRule="atLeast"/>
        <w:rPr>
          <w:rFonts w:hint="eastAsia" w:ascii="Times New Roman" w:hAnsi="Times New Roman"/>
        </w:rPr>
      </w:pPr>
      <w:r>
        <w:rPr>
          <w:rFonts w:ascii="Times New Roman" w:hAnsi="Times New Roman" w:eastAsia="Times New Roman" w:cs="Times New Roman"/>
          <w:b/>
          <w:bCs/>
          <w:iCs/>
          <w:color w:val="190F13"/>
          <w:sz w:val="24"/>
          <w:highlight w:val="none"/>
        </w:rPr>
        <w:t>REFERENCES</w:t>
      </w:r>
    </w:p>
    <w:p>
      <w:pPr>
        <w:pStyle w:val="14"/>
        <w:spacing w:line="36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ADDIN  EN.REFLIST </w:instrText>
      </w:r>
      <w:r>
        <w:rPr>
          <w:rFonts w:ascii="Times New Roman" w:hAnsi="Times New Roman"/>
          <w:sz w:val="22"/>
          <w:szCs w:val="22"/>
        </w:rPr>
        <w:fldChar w:fldCharType="separate"/>
      </w:r>
      <w:bookmarkStart w:id="74" w:name="_ENREF_38"/>
      <w:bookmarkEnd w:id="74"/>
      <w:bookmarkStart w:id="75" w:name="_ENREF_27"/>
      <w:bookmarkEnd w:id="75"/>
      <w:bookmarkStart w:id="76" w:name="_ENREF_24"/>
      <w:bookmarkEnd w:id="76"/>
      <w:bookmarkStart w:id="77" w:name="_ENREF_23"/>
      <w:bookmarkEnd w:id="77"/>
      <w:bookmarkStart w:id="78" w:name="_ENREF_32"/>
      <w:bookmarkEnd w:id="78"/>
      <w:bookmarkStart w:id="79" w:name="_ENREF_25"/>
      <w:bookmarkEnd w:id="79"/>
      <w:bookmarkStart w:id="80" w:name="_ENREF_13"/>
      <w:bookmarkEnd w:id="80"/>
      <w:bookmarkStart w:id="81" w:name="_ENREF_29"/>
      <w:bookmarkEnd w:id="81"/>
      <w:bookmarkStart w:id="82" w:name="_ENREF_20"/>
      <w:bookmarkEnd w:id="82"/>
      <w:bookmarkStart w:id="83" w:name="_ENREF_11"/>
      <w:bookmarkEnd w:id="83"/>
      <w:bookmarkStart w:id="84" w:name="_ENREF_35"/>
      <w:bookmarkEnd w:id="84"/>
      <w:bookmarkStart w:id="85" w:name="_ENREF_15"/>
      <w:bookmarkEnd w:id="85"/>
      <w:bookmarkStart w:id="86" w:name="_ENREF_28"/>
      <w:bookmarkEnd w:id="86"/>
      <w:bookmarkStart w:id="87" w:name="_ENREF_18"/>
      <w:bookmarkEnd w:id="87"/>
      <w:bookmarkStart w:id="88" w:name="_ENREF_73"/>
      <w:bookmarkEnd w:id="88"/>
      <w:bookmarkStart w:id="89" w:name="_ENREF_75"/>
      <w:bookmarkEnd w:id="89"/>
      <w:bookmarkStart w:id="90" w:name="_ENREF_76"/>
      <w:bookmarkEnd w:id="90"/>
      <w:bookmarkStart w:id="91" w:name="_ENREF_72"/>
      <w:bookmarkEnd w:id="91"/>
      <w:bookmarkStart w:id="92" w:name="_ENREF_74"/>
      <w:bookmarkEnd w:id="92"/>
      <w:bookmarkStart w:id="93" w:name="_ENREF_45"/>
      <w:bookmarkEnd w:id="93"/>
      <w:bookmarkStart w:id="94" w:name="_ENREF_61"/>
      <w:bookmarkEnd w:id="94"/>
      <w:bookmarkStart w:id="95" w:name="_ENREF_51"/>
      <w:bookmarkEnd w:id="95"/>
      <w:bookmarkStart w:id="96" w:name="_ENREF_48"/>
      <w:bookmarkEnd w:id="96"/>
      <w:bookmarkStart w:id="97" w:name="_ENREF_64"/>
      <w:bookmarkEnd w:id="97"/>
      <w:bookmarkStart w:id="98" w:name="_ENREF_44"/>
      <w:bookmarkEnd w:id="98"/>
      <w:bookmarkStart w:id="99" w:name="_ENREF_63"/>
      <w:bookmarkEnd w:id="99"/>
      <w:bookmarkStart w:id="100" w:name="_ENREF_57"/>
      <w:bookmarkEnd w:id="100"/>
      <w:bookmarkStart w:id="101" w:name="_ENREF_49"/>
      <w:bookmarkEnd w:id="101"/>
      <w:bookmarkStart w:id="102" w:name="_ENREF_50"/>
      <w:bookmarkEnd w:id="102"/>
      <w:bookmarkStart w:id="103" w:name="_ENREF_52"/>
      <w:bookmarkEnd w:id="103"/>
      <w:bookmarkStart w:id="104" w:name="_ENREF_54"/>
      <w:bookmarkEnd w:id="104"/>
      <w:bookmarkStart w:id="105" w:name="_ENREF_56"/>
      <w:bookmarkEnd w:id="105"/>
      <w:bookmarkStart w:id="106" w:name="_ENREF_66"/>
      <w:bookmarkEnd w:id="106"/>
      <w:bookmarkStart w:id="107" w:name="_ENREF_71"/>
      <w:bookmarkEnd w:id="107"/>
      <w:bookmarkStart w:id="108" w:name="_ENREF_59"/>
      <w:bookmarkEnd w:id="108"/>
      <w:bookmarkStart w:id="109" w:name="_ENREF_70"/>
      <w:bookmarkEnd w:id="109"/>
      <w:bookmarkStart w:id="110" w:name="_ENREF_60"/>
      <w:bookmarkEnd w:id="110"/>
      <w:bookmarkStart w:id="111" w:name="_ENREF_47"/>
      <w:bookmarkEnd w:id="111"/>
      <w:bookmarkStart w:id="112" w:name="_ENREF_41"/>
      <w:bookmarkEnd w:id="112"/>
      <w:bookmarkStart w:id="113" w:name="_ENREF_40"/>
      <w:bookmarkEnd w:id="113"/>
      <w:bookmarkStart w:id="114" w:name="_ENREF_69"/>
      <w:bookmarkEnd w:id="114"/>
      <w:bookmarkStart w:id="115" w:name="_ENREF_68"/>
      <w:bookmarkEnd w:id="115"/>
      <w:bookmarkStart w:id="116" w:name="_ENREF_67"/>
      <w:bookmarkEnd w:id="116"/>
      <w:bookmarkStart w:id="117" w:name="_ENREF_62"/>
      <w:bookmarkEnd w:id="117"/>
      <w:bookmarkStart w:id="118" w:name="_ENREF_43"/>
      <w:bookmarkEnd w:id="118"/>
      <w:bookmarkStart w:id="119" w:name="_ENREF_55"/>
      <w:bookmarkEnd w:id="119"/>
      <w:bookmarkStart w:id="120" w:name="_ENREF_53"/>
      <w:bookmarkEnd w:id="120"/>
      <w:bookmarkStart w:id="121" w:name="_ENREF_46"/>
      <w:bookmarkEnd w:id="121"/>
      <w:bookmarkStart w:id="122" w:name="_ENREF_42"/>
      <w:bookmarkEnd w:id="122"/>
      <w:bookmarkStart w:id="123" w:name="_ENREF_58"/>
      <w:bookmarkEnd w:id="123"/>
      <w:bookmarkStart w:id="124" w:name="_ENREF_65"/>
      <w:bookmarkEnd w:id="124"/>
      <w:bookmarkStart w:id="125" w:name="_ENREF_39"/>
      <w:bookmarkEnd w:id="125"/>
      <w:bookmarkStart w:id="126" w:name="_ENREF_12"/>
      <w:bookmarkEnd w:id="126"/>
      <w:bookmarkStart w:id="127" w:name="_ENREF_9"/>
      <w:bookmarkEnd w:id="127"/>
      <w:bookmarkStart w:id="128" w:name="_ENREF_36"/>
      <w:bookmarkEnd w:id="128"/>
      <w:bookmarkStart w:id="129" w:name="_ENREF_17"/>
      <w:bookmarkEnd w:id="129"/>
      <w:bookmarkStart w:id="130" w:name="_ENREF_14"/>
      <w:bookmarkEnd w:id="130"/>
      <w:bookmarkStart w:id="131" w:name="_ENREF_37"/>
      <w:bookmarkEnd w:id="131"/>
      <w:bookmarkStart w:id="132" w:name="_ENREF_22"/>
      <w:bookmarkEnd w:id="132"/>
      <w:bookmarkStart w:id="133" w:name="_ENREF_10"/>
      <w:bookmarkEnd w:id="133"/>
      <w:bookmarkStart w:id="134" w:name="_ENREF_19"/>
      <w:bookmarkEnd w:id="134"/>
      <w:bookmarkStart w:id="135" w:name="_ENREF_34"/>
      <w:bookmarkEnd w:id="135"/>
      <w:bookmarkStart w:id="136" w:name="_ENREF_31"/>
      <w:bookmarkEnd w:id="136"/>
      <w:bookmarkStart w:id="137" w:name="_ENREF_30"/>
      <w:bookmarkEnd w:id="137"/>
      <w:bookmarkStart w:id="138" w:name="_ENREF_26"/>
      <w:bookmarkEnd w:id="138"/>
      <w:bookmarkStart w:id="139" w:name="_ENREF_8"/>
      <w:bookmarkEnd w:id="139"/>
      <w:bookmarkStart w:id="140" w:name="_ENREF_16"/>
      <w:bookmarkEnd w:id="140"/>
      <w:bookmarkStart w:id="141" w:name="_ENREF_21"/>
      <w:bookmarkEnd w:id="141"/>
      <w:bookmarkStart w:id="142" w:name="_ENREF_33"/>
      <w:bookmarkEnd w:id="142"/>
      <w:bookmarkStart w:id="143" w:name="_ENREF_2"/>
      <w:bookmarkEnd w:id="143"/>
      <w:bookmarkStart w:id="144" w:name="_ENREF_3"/>
      <w:bookmarkEnd w:id="144"/>
      <w:bookmarkStart w:id="145" w:name="_ENREF_78"/>
      <w:bookmarkEnd w:id="145"/>
      <w:bookmarkStart w:id="146" w:name="_ENREF_4"/>
      <w:bookmarkEnd w:id="146"/>
      <w:bookmarkStart w:id="147" w:name="_ENREF_7"/>
      <w:bookmarkEnd w:id="147"/>
      <w:bookmarkStart w:id="148" w:name="_ENREF_5"/>
      <w:bookmarkEnd w:id="148"/>
      <w:bookmarkStart w:id="149" w:name="_ENREF_6"/>
      <w:bookmarkEnd w:id="149"/>
      <w:bookmarkStart w:id="150" w:name="_ENREF_1"/>
      <w:bookmarkEnd w:id="150"/>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COUZIN-FRANKEL J. Breakthrough of the year 2013. Cancer immunotherapy [J]. Science, 2013, 342(6165): 1432-3.</w:t>
      </w:r>
    </w:p>
    <w:p>
      <w:pPr>
        <w:pStyle w:val="14"/>
        <w:spacing w:line="360" w:lineRule="auto"/>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OK C Y, YOUNG K H. Checkpoint inhibitors in hematological malignancies [J]. Journal of Hematology &amp; Oncology, 2017, 10(1): 103.</w:t>
      </w:r>
    </w:p>
    <w:p>
      <w:pPr>
        <w:pStyle w:val="14"/>
        <w:spacing w:line="360" w:lineRule="auto"/>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BACHY E, COIFFIER B. Anti-PD1 antibody: a new approach to treatment of lymphomas [J]. Lancet Oncology, 2014, 15(1): 7-8.</w:t>
      </w:r>
    </w:p>
    <w:p>
      <w:pPr>
        <w:pStyle w:val="14"/>
        <w:spacing w:line="360" w:lineRule="auto"/>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KEIR M E, BUTTE M J, FREEMAN G J, et al. PD-1 and its ligands in tolerance and immunity [J]. Annual Review of Immunology, 2008, 26(1): 677-704.</w:t>
      </w:r>
    </w:p>
    <w:p>
      <w:pPr>
        <w:pStyle w:val="14"/>
        <w:spacing w:line="360" w:lineRule="auto"/>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ZHANG X, SCHWARTZ J-C D, GUO X, et al. Structural and Functional Analysis of the Costimulatory Receptor Programmed Death-1 [J]. Immunity, 2004, 20(3): 337-47.</w:t>
      </w:r>
    </w:p>
    <w:p>
      <w:pPr>
        <w:pStyle w:val="14"/>
        <w:spacing w:line="360" w:lineRule="auto"/>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Pr>
          <w:rFonts w:ascii="Times New Roman" w:hAnsi="Times New Roman"/>
          <w:sz w:val="22"/>
          <w:szCs w:val="22"/>
        </w:rPr>
        <w:t>ISHIDA Y, AGATA Y, SHIBAHARA K, et al. Induced expression of PD-1, a novel member of the immunoglobulin gene superfamily, upon programmed cell death [J]. The EMBO Journal, 1992, 11(11): 3887-95.</w:t>
      </w:r>
    </w:p>
    <w:p>
      <w:pPr>
        <w:pStyle w:val="14"/>
        <w:spacing w:line="360" w:lineRule="auto"/>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GUNTERMANN C, ALEXANDER D R. CTLA-4 Suppresses Proximal TCR Signaling in Resting Human CD4+ T Cells by Inhibiting ZAP-70 Tyr319 Phosphorylation: A Potential Role for Tyrosine Phosphatases [J]. Journal of Immunology, 2002, 168(9): 4420-9.</w:t>
      </w:r>
    </w:p>
    <w:p>
      <w:pPr>
        <w:pStyle w:val="14"/>
        <w:spacing w:line="360" w:lineRule="auto"/>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Pr>
          <w:rFonts w:ascii="Times New Roman" w:hAnsi="Times New Roman"/>
          <w:sz w:val="22"/>
          <w:szCs w:val="22"/>
        </w:rPr>
        <w:t>OKAZAKI T, HONJO T. The PD-1-PD-L pathway in immunological tolerance [J]. Trends in Immunology, 2006, 27(4): 195-201.</w:t>
      </w:r>
    </w:p>
    <w:p>
      <w:pPr>
        <w:pStyle w:val="14"/>
        <w:spacing w:line="360" w:lineRule="auto"/>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sz w:val="22"/>
          <w:szCs w:val="22"/>
        </w:rPr>
        <w:t>CHO H-Y, CHOI E-K, LEE S-W, et al. Programmed death-1 receptor negatively regulates LPS-mediated IL-12 production and differentiation of murine macrophage RAW264.7 cells [J]. Immunology Letters, 2009, 127(1): 39-47.</w:t>
      </w:r>
    </w:p>
    <w:p>
      <w:pPr>
        <w:pStyle w:val="14"/>
        <w:spacing w:line="360" w:lineRule="auto"/>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Pr>
          <w:rFonts w:ascii="Times New Roman" w:hAnsi="Times New Roman"/>
          <w:sz w:val="22"/>
          <w:szCs w:val="22"/>
        </w:rPr>
        <w:t>SHARPE A H, WHERRY E J, AHMED R, et al. The function of programmed cell death 1 and its ligands in regulating autoimmunity and infection [J]. Nature Immunology, 2007, 8(3): 239-45.</w:t>
      </w:r>
    </w:p>
    <w:p>
      <w:pPr>
        <w:pStyle w:val="14"/>
        <w:spacing w:line="360" w:lineRule="auto"/>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Pr>
          <w:rFonts w:ascii="Times New Roman" w:hAnsi="Times New Roman"/>
          <w:sz w:val="22"/>
          <w:szCs w:val="22"/>
        </w:rPr>
        <w:t>LATCHMAN Y, WOOD C R, CHERNOVA T, et al. PD-L2 is a second ligand for PD-1 and inhibits T cell activation [J]. Nature Immunology, 2001, 2(3): 261-8.</w:t>
      </w:r>
    </w:p>
    <w:p>
      <w:pPr>
        <w:pStyle w:val="14"/>
        <w:spacing w:line="360" w:lineRule="auto"/>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SUGIURA D, MARUHASHI T, OKAZAKI I-M, et al. Restriction of PD-1 function by cis -PD-L1/CD80 interactions is required for optimal T cell responses [J]. Science, 2019, 364(6440): 558-66.</w:t>
      </w:r>
    </w:p>
    <w:p>
      <w:pPr>
        <w:pStyle w:val="14"/>
        <w:spacing w:line="360" w:lineRule="auto"/>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PATSOUKIS N, WANG Q, STRAUSS L, et al. Revisiting the PD-1 pathway [J]. Science Advances, 2020, 6(38): eabd2712.</w:t>
      </w:r>
    </w:p>
    <w:p>
      <w:pPr>
        <w:pStyle w:val="14"/>
        <w:spacing w:line="360" w:lineRule="auto"/>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Pr>
          <w:rFonts w:ascii="Times New Roman" w:hAnsi="Times New Roman"/>
          <w:sz w:val="22"/>
          <w:szCs w:val="22"/>
        </w:rPr>
        <w:t>SAUNDERS P A, HENDRYCKS V R, LIDINSKY W A, et al. PD-L2:PD-1 involvement in T cell proliferation, cytokine production, and integrin-mediated adhesion [J]. European Journal of Immunology, 2010, 35(12): 3561-9.</w:t>
      </w:r>
    </w:p>
    <w:p>
      <w:pPr>
        <w:pStyle w:val="14"/>
        <w:spacing w:line="360" w:lineRule="auto"/>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Pr>
          <w:rFonts w:ascii="Times New Roman" w:hAnsi="Times New Roman"/>
          <w:sz w:val="22"/>
          <w:szCs w:val="22"/>
        </w:rPr>
        <w:t>FRANCISCO L M, SALINAS V H, BROWN K E, et al. PD-L1 regulates the development, maintenance, and function of induced regulatory T cells [J]. Journal of Experimental Medicine, 2009, 206(13): 3015-29.</w:t>
      </w:r>
    </w:p>
    <w:p>
      <w:pPr>
        <w:pStyle w:val="14"/>
        <w:spacing w:line="360" w:lineRule="auto"/>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Pr>
          <w:rFonts w:ascii="Times New Roman" w:hAnsi="Times New Roman"/>
          <w:sz w:val="22"/>
          <w:szCs w:val="22"/>
        </w:rPr>
        <w:t>CALLAHAN M K, POSTOW M A, WOLCHOK J D. Targeting T Cell Co-receptors for Cancer Therapy [J]. Immunity, 2016, 44(5): 1069-78.</w:t>
      </w:r>
    </w:p>
    <w:p>
      <w:pPr>
        <w:pStyle w:val="14"/>
        <w:spacing w:line="360" w:lineRule="auto"/>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Pr>
          <w:rFonts w:ascii="Times New Roman" w:hAnsi="Times New Roman"/>
          <w:sz w:val="22"/>
          <w:szCs w:val="22"/>
        </w:rPr>
        <w:t>ZHUANG Y, LIU C, LIU J, et al. Resistance mechanism of PD-1/PD-L1 blockade in the cancer-immunity cycle [J]. OncoTargets and therapy, 2020, 13: 83-94.</w:t>
      </w:r>
    </w:p>
    <w:p>
      <w:pPr>
        <w:pStyle w:val="14"/>
        <w:spacing w:line="360" w:lineRule="auto"/>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r>
      <w:r>
        <w:rPr>
          <w:rFonts w:ascii="Times New Roman" w:hAnsi="Times New Roman"/>
          <w:sz w:val="22"/>
          <w:szCs w:val="22"/>
        </w:rPr>
        <w:t>MINN A J, WHERRY E J. Combination Cancer Therapies with Immune Checkpoint Blockade: Convergence on Interferon Signaling [J]. Cell, 2016, 165(2): 272-5.</w:t>
      </w:r>
    </w:p>
    <w:p>
      <w:pPr>
        <w:pStyle w:val="14"/>
        <w:spacing w:line="360" w:lineRule="auto"/>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r>
      <w:r>
        <w:rPr>
          <w:rFonts w:ascii="Times New Roman" w:hAnsi="Times New Roman"/>
          <w:sz w:val="22"/>
          <w:szCs w:val="22"/>
        </w:rPr>
        <w:t>TWYMAN-SAINT VICTOR C, RECH A J, MAITY A, et al. Radiation and dual checkpoint blockade activate non-redundant immune mechanisms in cancer [J]. Nature, 2015, 520(7547): 373-7.</w:t>
      </w:r>
    </w:p>
    <w:p>
      <w:pPr>
        <w:pStyle w:val="14"/>
        <w:spacing w:line="360" w:lineRule="auto"/>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r>
      <w:r>
        <w:rPr>
          <w:rFonts w:ascii="Times New Roman" w:hAnsi="Times New Roman"/>
          <w:sz w:val="22"/>
          <w:szCs w:val="22"/>
        </w:rPr>
        <w:t>LONGLEY J, JOHNSON P W M. Options for first line therapy of Hodgkin lymphoma [J]. Hematological Oncology, 2019, 37 Suppl 1(Suppl Suppl 1): 82-6.</w:t>
      </w:r>
    </w:p>
    <w:p>
      <w:pPr>
        <w:pStyle w:val="14"/>
        <w:spacing w:line="360" w:lineRule="auto"/>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METI N, ESFAHANI K, JOHNSON N A. The Role of Immune Checkpoint Inhibitors in Classical Hodgkin Lymphoma [J]. Cancers (Basel), 2018, 10(6): 204.</w:t>
      </w:r>
    </w:p>
    <w:p>
      <w:pPr>
        <w:pStyle w:val="14"/>
        <w:spacing w:line="360" w:lineRule="auto"/>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Pr>
          <w:rFonts w:ascii="Times New Roman" w:hAnsi="Times New Roman"/>
          <w:sz w:val="22"/>
          <w:szCs w:val="22"/>
        </w:rPr>
        <w:t>BAIR S M, STRELEC L E, FELDMAN T A, et al. Outcomes and Toxicities of Programmed Death‐1 (PD‐1) Inhibitors in Hodgkin Lymphoma Patients in the United States: A Real‐World, Multicenter Retrospective Analysis [J]. The oncologist, 2019, 24(7): 955-62.</w:t>
      </w:r>
    </w:p>
    <w:p>
      <w:pPr>
        <w:pStyle w:val="14"/>
        <w:spacing w:line="360" w:lineRule="auto"/>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MD A F H, PHD L C, MD Y N, et al. Consolidation with Nivolumab and Brentuximab Vedotin after Autologous Hematopoietic Cell Transplantation in Patients with High-Risk Hodgkin Lymphoma [J]. Blood, 2020, 136(Supplement 1): 19-20.</w:t>
      </w:r>
    </w:p>
    <w:p>
      <w:pPr>
        <w:pStyle w:val="14"/>
        <w:spacing w:line="360" w:lineRule="auto"/>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r>
      <w:r>
        <w:rPr>
          <w:rFonts w:ascii="Times New Roman" w:hAnsi="Times New Roman"/>
          <w:sz w:val="22"/>
          <w:szCs w:val="22"/>
        </w:rPr>
        <w:t>CHEN R W, ZINZANI P L, FANALE M A, et al. Pembrolizumab for relapsed/refractory classical Hodgkin lymphoma (R/R cHL): phase 2 KEYNOTE-087 study [J]. Journal of Clinical Oncology, 2016, 34(15_suppl): 7555.</w:t>
      </w:r>
    </w:p>
    <w:p>
      <w:pPr>
        <w:pStyle w:val="14"/>
        <w:spacing w:line="360" w:lineRule="auto"/>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Pr>
          <w:rFonts w:ascii="Times New Roman" w:hAnsi="Times New Roman"/>
          <w:sz w:val="22"/>
          <w:szCs w:val="22"/>
        </w:rPr>
        <w:t>ARMAND P, SHIPP M A, RIBRAG V, et al. Programmed death-1 blockade with pembrolizumab in patients with classical Hodgkin lymphoma after brentuximab vedotin failure [J]. Journal of Clinical Oncology, 2016, 34(31): 3733.</w:t>
      </w:r>
    </w:p>
    <w:p>
      <w:pPr>
        <w:pStyle w:val="14"/>
        <w:spacing w:line="360" w:lineRule="auto"/>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Pr>
          <w:rFonts w:ascii="Times New Roman" w:hAnsi="Times New Roman"/>
          <w:sz w:val="22"/>
          <w:szCs w:val="22"/>
        </w:rPr>
        <w:t>MOSKOWITZ A J, SHAH G, SCH DER H, et al. Phase II Study of Pembrolizumab Plus GVD As Second-Line Therapy for Relapsed or Refractory Classical Hodgkin Lymphoma [J]. Blood 2020, 136(Supplement 1): 17–8.</w:t>
      </w:r>
    </w:p>
    <w:p>
      <w:pPr>
        <w:pStyle w:val="14"/>
        <w:spacing w:line="360" w:lineRule="auto"/>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SU H, SONG Y, JIANG W, et al. Sintilimab for relapsed/refractory classical Hodgkin’s lymphoma: Long-term follow-up on the multicenter, single-arm phase II ORIENT-1 study [J]. American Society of Clinical Oncology, 2020, 38(15_suppl): 8034.</w:t>
      </w:r>
    </w:p>
    <w:p>
      <w:pPr>
        <w:pStyle w:val="14"/>
        <w:spacing w:line="360" w:lineRule="auto"/>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r>
      <w:r>
        <w:rPr>
          <w:rFonts w:ascii="Times New Roman" w:hAnsi="Times New Roman"/>
          <w:sz w:val="22"/>
          <w:szCs w:val="22"/>
        </w:rPr>
        <w:t>WANG C, LIU Y, DONG L, et al. Efficacy of Decitabine plus Anti-PD-1 Camrelizumab in Patients with Hodgkin Lymphoma Who Progressed or Relapsed after PD-1 Blockade Monotherapy [J]. Clinical Cancer Research, 2021, 27(10): 2782-91.</w:t>
      </w:r>
    </w:p>
    <w:p>
      <w:pPr>
        <w:pStyle w:val="14"/>
        <w:spacing w:line="360" w:lineRule="auto"/>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CHESON B D, BARTLETT N L, LAPLANT B, et al. Phase II, multicenter trial of nivolumab (Nivo) and brentuximab vedotin (BV) in patients (Pts) with untreated Hodgkin lymphoma (HL) over the age of 60 years or unable to receive standard ABVD chemotherapy: Results of a study of Academic and Community Cancer Research United (ACCRU) RU051505I [J]. Journal of Clinical Oncology 2020, 38(15_suppl): 8014.</w:t>
      </w:r>
    </w:p>
    <w:p>
      <w:pPr>
        <w:pStyle w:val="14"/>
        <w:spacing w:line="360" w:lineRule="auto"/>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r>
      <w:r>
        <w:rPr>
          <w:rFonts w:ascii="Times New Roman" w:hAnsi="Times New Roman"/>
          <w:sz w:val="22"/>
          <w:szCs w:val="22"/>
        </w:rPr>
        <w:t>LAURENT C, CHARMPI K, GRAVELLE P, et al. Several immune escape patterns in non-Hodgkin's lymphomas [J]. Oncoimmunology, 2015, 4(8): e1026530.</w:t>
      </w:r>
    </w:p>
    <w:p>
      <w:pPr>
        <w:pStyle w:val="14"/>
        <w:spacing w:line="360" w:lineRule="auto"/>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GEORGIOU K, CHEN L, BERGLUND M, et al. Genetic basis of PD-L1 overexpression in diffuse large B-cell lymphomas [J]. Blood, 2016, 127(24): 3026-34.</w:t>
      </w:r>
    </w:p>
    <w:p>
      <w:pPr>
        <w:pStyle w:val="14"/>
        <w:spacing w:line="360" w:lineRule="auto"/>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r>
      <w:r>
        <w:rPr>
          <w:rFonts w:ascii="Times New Roman" w:hAnsi="Times New Roman"/>
          <w:sz w:val="22"/>
          <w:szCs w:val="22"/>
        </w:rPr>
        <w:t>KIYASU J, MIYOSHI H, HIRATA A, et al. Expression of programmed cell death ligand 1 is associated with poor overall survival in patients with diffuse large B-cell lymphoma [J]. Blood, The Journal of the American Society of Hematology, 2015, 126(19): 2193-201.</w:t>
      </w:r>
    </w:p>
    <w:p>
      <w:pPr>
        <w:pStyle w:val="14"/>
        <w:spacing w:line="360" w:lineRule="auto"/>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Pr>
          <w:rFonts w:ascii="Times New Roman" w:hAnsi="Times New Roman"/>
          <w:sz w:val="22"/>
          <w:szCs w:val="22"/>
        </w:rPr>
        <w:t>LESOKHIN A M, ANSELL S M, ARMAND P, et al. Nivolumab in Patients With Relapsed or Refractory Hematologic Malignancy: Preliminary Results of a Phase Ib Study [J]. Journal of Clinical Oncology, 2016, 34(23): 2698-704.</w:t>
      </w:r>
    </w:p>
    <w:p>
      <w:pPr>
        <w:pStyle w:val="14"/>
        <w:spacing w:line="360" w:lineRule="auto"/>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Pr>
          <w:rFonts w:ascii="Times New Roman" w:hAnsi="Times New Roman"/>
          <w:sz w:val="22"/>
          <w:szCs w:val="22"/>
        </w:rPr>
        <w:t>ANSELL S, GUTIERREZ M E, SHIPP M A, et al. A phase 1 study of nivolumab in combination with ipilimumab for relapsed or refractory hematologic malignancies (CheckMate 039) [J]. Blood, 2016, 128(22): 183.</w:t>
      </w:r>
    </w:p>
    <w:p>
      <w:pPr>
        <w:pStyle w:val="14"/>
        <w:spacing w:line="360" w:lineRule="auto"/>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SMITH S D, TILL B G, SHADMAN M S, et al. Pembrolizumab with R‐CHOP in previously untreated diffuse large B‐cell lymphoma: potential for biomarker driven therapy [J]. British journal of haematology, 2020, 189(6): 1119-26.</w:t>
      </w:r>
    </w:p>
    <w:p>
      <w:pPr>
        <w:pStyle w:val="14"/>
        <w:spacing w:line="360" w:lineRule="auto"/>
        <w:rPr>
          <w:rFonts w:ascii="Times New Roman" w:hAnsi="Times New Roman"/>
          <w:sz w:val="22"/>
          <w:szCs w:val="22"/>
        </w:rPr>
      </w:pPr>
      <w:r>
        <w:rPr>
          <w:rFonts w:ascii="Times New Roman" w:hAnsi="Times New Roman"/>
          <w:sz w:val="22"/>
          <w:szCs w:val="22"/>
        </w:rPr>
        <w:t>[36]</w:t>
      </w:r>
      <w:r>
        <w:rPr>
          <w:rFonts w:ascii="Times New Roman" w:hAnsi="Times New Roman"/>
          <w:sz w:val="22"/>
          <w:szCs w:val="22"/>
        </w:rPr>
        <w:tab/>
      </w:r>
      <w:r>
        <w:rPr>
          <w:rFonts w:ascii="Times New Roman" w:hAnsi="Times New Roman"/>
          <w:sz w:val="22"/>
          <w:szCs w:val="22"/>
        </w:rPr>
        <w:t>TAM C S, CULL G, OPAT S, et al. An Update on Safety and Preliminary Efficacy of Highly Specific Bruton Tyrosine Kinase (BTK) Inhibitor Zanubrutinib in Combination with PD-1 Inhibitor Tislelizumab in Patients with Previously Treated B-Cell Lymphoid Malignancies [J]. Blood, 2019, 134 (Supplement_1): 1594.</w:t>
      </w:r>
    </w:p>
    <w:p>
      <w:pPr>
        <w:pStyle w:val="14"/>
        <w:spacing w:line="360" w:lineRule="auto"/>
        <w:rPr>
          <w:rFonts w:ascii="Times New Roman" w:hAnsi="Times New Roman"/>
          <w:sz w:val="22"/>
          <w:szCs w:val="22"/>
        </w:rPr>
      </w:pPr>
      <w:r>
        <w:rPr>
          <w:rFonts w:ascii="Times New Roman" w:hAnsi="Times New Roman"/>
          <w:sz w:val="22"/>
          <w:szCs w:val="22"/>
        </w:rPr>
        <w:t>[37]</w:t>
      </w:r>
      <w:r>
        <w:rPr>
          <w:rFonts w:ascii="Times New Roman" w:hAnsi="Times New Roman"/>
          <w:sz w:val="22"/>
          <w:szCs w:val="22"/>
        </w:rPr>
        <w:tab/>
      </w:r>
      <w:r>
        <w:rPr>
          <w:rFonts w:ascii="Times New Roman" w:hAnsi="Times New Roman"/>
          <w:sz w:val="22"/>
          <w:szCs w:val="22"/>
        </w:rPr>
        <w:t>YOUNES A, BURKE J M, CHESON B D, et al. Sharman; Safety and Efficacy of Atezolizumab in Combination with Rituximab Plus CHOP in Previously Untreated Patients with Diffuse Large B-Cell Lymphoma (DLBCL): Updated Analysis of a Phase I/II Study [J]. Blood, 2019, 134(Supplement_1): 2874.</w:t>
      </w:r>
    </w:p>
    <w:p>
      <w:pPr>
        <w:pStyle w:val="14"/>
        <w:spacing w:line="360" w:lineRule="auto"/>
        <w:rPr>
          <w:rFonts w:ascii="Times New Roman" w:hAnsi="Times New Roman"/>
          <w:sz w:val="22"/>
          <w:szCs w:val="22"/>
        </w:rPr>
      </w:pPr>
      <w:r>
        <w:rPr>
          <w:rFonts w:ascii="Times New Roman" w:hAnsi="Times New Roman"/>
          <w:sz w:val="22"/>
          <w:szCs w:val="22"/>
        </w:rPr>
        <w:t>[38]</w:t>
      </w:r>
      <w:r>
        <w:rPr>
          <w:rFonts w:ascii="Times New Roman" w:hAnsi="Times New Roman"/>
          <w:sz w:val="22"/>
          <w:szCs w:val="22"/>
        </w:rPr>
        <w:tab/>
      </w:r>
      <w:r>
        <w:rPr>
          <w:rFonts w:ascii="Times New Roman" w:hAnsi="Times New Roman"/>
          <w:sz w:val="22"/>
          <w:szCs w:val="22"/>
        </w:rPr>
        <w:t>CHAPUY B, ROEMER M G M, STEWART C, et al. Targetable genetic features of primary testicular and primary central nervous system lymphomas [J]. Blood, The Journal of the American Society of Hematology, 2016, 127(7): 869-81.</w:t>
      </w:r>
    </w:p>
    <w:p>
      <w:pPr>
        <w:pStyle w:val="14"/>
        <w:spacing w:line="360" w:lineRule="auto"/>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r>
      <w:r>
        <w:rPr>
          <w:rFonts w:ascii="Times New Roman" w:hAnsi="Times New Roman"/>
          <w:sz w:val="22"/>
          <w:szCs w:val="22"/>
        </w:rPr>
        <w:t>REDDY N M, THIEBLEMONT C. Thieblemont C Maintenance therapy following induction chemoimmunotherapy in patients with diffuse large B-cell lymphoma: current perspective [J]. Ann Oncol, 2017, 28(11): 2680–90.</w:t>
      </w:r>
    </w:p>
    <w:p>
      <w:pPr>
        <w:pStyle w:val="14"/>
        <w:spacing w:line="360" w:lineRule="auto"/>
        <w:rPr>
          <w:rFonts w:ascii="Times New Roman" w:hAnsi="Times New Roman"/>
          <w:sz w:val="22"/>
          <w:szCs w:val="22"/>
        </w:rPr>
      </w:pPr>
      <w:r>
        <w:rPr>
          <w:rFonts w:ascii="Times New Roman" w:hAnsi="Times New Roman"/>
          <w:sz w:val="22"/>
          <w:szCs w:val="22"/>
        </w:rPr>
        <w:t>[40]</w:t>
      </w:r>
      <w:r>
        <w:rPr>
          <w:rFonts w:ascii="Times New Roman" w:hAnsi="Times New Roman"/>
          <w:sz w:val="22"/>
          <w:szCs w:val="22"/>
        </w:rPr>
        <w:tab/>
      </w:r>
      <w:r>
        <w:rPr>
          <w:rFonts w:ascii="Times New Roman" w:hAnsi="Times New Roman"/>
          <w:sz w:val="22"/>
          <w:szCs w:val="22"/>
        </w:rPr>
        <w:t>NAYAK L, IWAMOTO F, FERRERI A, et al. CHECKMATE 647: A PHASE 2, OPEN‐LABEL STUDY OF NIVOLUMAB IN RELAPSED/REFRACTORY PRIMARY CENTRAL NERVOUS SYSTEM LYMPHOMA OR RELAPSED/REFRACTORY PRIMARY TESTICULAR LYMPHOMA [J]. Hematological Oncology, 2017, 35(S2): 420-1.</w:t>
      </w:r>
    </w:p>
    <w:p>
      <w:pPr>
        <w:pStyle w:val="14"/>
        <w:spacing w:line="360" w:lineRule="auto"/>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r>
      <w:r>
        <w:rPr>
          <w:rFonts w:ascii="Times New Roman" w:hAnsi="Times New Roman"/>
          <w:sz w:val="22"/>
          <w:szCs w:val="22"/>
        </w:rPr>
        <w:t>WESTIN J R, FOWLER N H, NASTOUPIL L J, et al. A Phase II Trial of Nivolumab and Ibrutinib for Patients with Relapsed or Refractory Central Nervous System Lymphoma [J]. Blood, 2019, 134(Supplement_1): 4086.</w:t>
      </w:r>
    </w:p>
    <w:p>
      <w:pPr>
        <w:pStyle w:val="14"/>
        <w:spacing w:line="360" w:lineRule="auto"/>
        <w:rPr>
          <w:rFonts w:ascii="Times New Roman" w:hAnsi="Times New Roman"/>
          <w:sz w:val="22"/>
          <w:szCs w:val="22"/>
        </w:rPr>
      </w:pPr>
      <w:r>
        <w:rPr>
          <w:rFonts w:ascii="Times New Roman" w:hAnsi="Times New Roman"/>
          <w:sz w:val="22"/>
          <w:szCs w:val="22"/>
        </w:rPr>
        <w:t>[42]</w:t>
      </w:r>
      <w:r>
        <w:rPr>
          <w:rFonts w:ascii="Times New Roman" w:hAnsi="Times New Roman"/>
          <w:sz w:val="22"/>
          <w:szCs w:val="22"/>
        </w:rPr>
        <w:tab/>
      </w:r>
      <w:r>
        <w:rPr>
          <w:rFonts w:ascii="Times New Roman" w:hAnsi="Times New Roman"/>
          <w:sz w:val="22"/>
          <w:szCs w:val="22"/>
        </w:rPr>
        <w:t>CHANG A, SCHLAFER D, FLOWERS C R, et al. Investigational PD-1 inhibitors in HL and NHL and biomarkers for predictors of response and outcome [J]. Expert Opin Investig Drugs, 2018, 27(1): 55-70.</w:t>
      </w:r>
    </w:p>
    <w:p>
      <w:pPr>
        <w:pStyle w:val="14"/>
        <w:spacing w:line="360" w:lineRule="auto"/>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Pr>
          <w:rFonts w:ascii="Times New Roman" w:hAnsi="Times New Roman"/>
          <w:sz w:val="22"/>
          <w:szCs w:val="22"/>
        </w:rPr>
        <w:t>ARMAND P, RODIG S, MELNICHENKO V, et al. Pembrolizumab in relapsed or refractory primary mediastinal large B-cell lymphoma [J]. J Clin Oncol, 2019, 37(34): 3291–9.</w:t>
      </w:r>
    </w:p>
    <w:p>
      <w:pPr>
        <w:pStyle w:val="14"/>
        <w:spacing w:line="360" w:lineRule="auto"/>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r>
      <w:r>
        <w:rPr>
          <w:rFonts w:ascii="Times New Roman" w:hAnsi="Times New Roman"/>
          <w:sz w:val="22"/>
          <w:szCs w:val="22"/>
        </w:rPr>
        <w:t>ZINZANI P L, SANTORO A, GRITTI G, et al. Nivolumab Combined With Brentuximab Vedotin for Relapsed/Refractory Primary Mediastinal Large B-Cell Lymphoma: Efficacy and Safety From the Phase II CheckMate 436 Study [J]. Journal of Clinical Oncology, 2019, 37(33): 3081-9.</w:t>
      </w:r>
    </w:p>
    <w:p>
      <w:pPr>
        <w:pStyle w:val="14"/>
        <w:spacing w:line="360" w:lineRule="auto"/>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r>
      <w:r>
        <w:rPr>
          <w:rFonts w:ascii="Times New Roman" w:hAnsi="Times New Roman"/>
          <w:sz w:val="22"/>
          <w:szCs w:val="22"/>
        </w:rPr>
        <w:t>LIN N, SONG Y, ZHU J. Immune checkpoint inhibitors in malignant lymphoma: Advances and perspectives [J]. Chin J Cancer Res, 2020, 32(3): 303-18.</w:t>
      </w:r>
    </w:p>
    <w:p>
      <w:pPr>
        <w:pStyle w:val="14"/>
        <w:spacing w:line="360" w:lineRule="auto"/>
        <w:rPr>
          <w:rFonts w:ascii="Times New Roman" w:hAnsi="Times New Roman"/>
          <w:sz w:val="22"/>
          <w:szCs w:val="22"/>
        </w:rPr>
      </w:pPr>
      <w:r>
        <w:rPr>
          <w:rFonts w:ascii="Times New Roman" w:hAnsi="Times New Roman"/>
          <w:sz w:val="22"/>
          <w:szCs w:val="22"/>
        </w:rPr>
        <w:t>[46]</w:t>
      </w:r>
      <w:r>
        <w:rPr>
          <w:rFonts w:ascii="Times New Roman" w:hAnsi="Times New Roman"/>
          <w:sz w:val="22"/>
          <w:szCs w:val="22"/>
        </w:rPr>
        <w:tab/>
      </w:r>
      <w:r>
        <w:rPr>
          <w:rFonts w:ascii="Times New Roman" w:hAnsi="Times New Roman"/>
          <w:sz w:val="22"/>
          <w:szCs w:val="22"/>
        </w:rPr>
        <w:t>GARON E B, RIZVI N A, HUI R, et al. Pembrolizumab for the treatment of non-small-cell lung cancer [J]. N Engl J Med, 2015, 372(21): 2018-28.</w:t>
      </w:r>
    </w:p>
    <w:p>
      <w:pPr>
        <w:pStyle w:val="14"/>
        <w:spacing w:line="360" w:lineRule="auto"/>
        <w:rPr>
          <w:rFonts w:ascii="Times New Roman" w:hAnsi="Times New Roman"/>
          <w:sz w:val="22"/>
          <w:szCs w:val="22"/>
        </w:rPr>
      </w:pPr>
      <w:r>
        <w:rPr>
          <w:rFonts w:ascii="Times New Roman" w:hAnsi="Times New Roman"/>
          <w:sz w:val="22"/>
          <w:szCs w:val="22"/>
        </w:rPr>
        <w:t>[47]</w:t>
      </w:r>
      <w:r>
        <w:rPr>
          <w:rFonts w:ascii="Times New Roman" w:hAnsi="Times New Roman"/>
          <w:sz w:val="22"/>
          <w:szCs w:val="22"/>
        </w:rPr>
        <w:tab/>
      </w:r>
      <w:r>
        <w:rPr>
          <w:rFonts w:ascii="Times New Roman" w:hAnsi="Times New Roman"/>
          <w:sz w:val="22"/>
          <w:szCs w:val="22"/>
        </w:rPr>
        <w:t>QUAN L, CHEN X, LIU A, et al. PD-1 blockade can restore functions of T-cells in Epstein-Barr virus-positive diffuse large B-cell lymphoma in vitro [J]. PloS one, 2015, 10(9): e0136476.</w:t>
      </w:r>
    </w:p>
    <w:p>
      <w:pPr>
        <w:pStyle w:val="14"/>
        <w:spacing w:line="360" w:lineRule="auto"/>
        <w:rPr>
          <w:rFonts w:ascii="Times New Roman" w:hAnsi="Times New Roman"/>
          <w:sz w:val="22"/>
          <w:szCs w:val="22"/>
        </w:rPr>
      </w:pPr>
      <w:r>
        <w:rPr>
          <w:rFonts w:ascii="Times New Roman" w:hAnsi="Times New Roman"/>
          <w:sz w:val="22"/>
          <w:szCs w:val="22"/>
        </w:rPr>
        <w:t>[48]</w:t>
      </w:r>
      <w:r>
        <w:rPr>
          <w:rFonts w:ascii="Times New Roman" w:hAnsi="Times New Roman"/>
          <w:sz w:val="22"/>
          <w:szCs w:val="22"/>
        </w:rPr>
        <w:tab/>
      </w:r>
      <w:r>
        <w:rPr>
          <w:rFonts w:ascii="Times New Roman" w:hAnsi="Times New Roman"/>
          <w:sz w:val="22"/>
          <w:szCs w:val="22"/>
        </w:rPr>
        <w:t>WAHLIN B E, AGGARWAL M, MONTES-MORENO S, et al. A unifying microenvironment model in follicular lymphoma: outcome is predicted by programmed death-1--positive, regulatory, cytotoxic, and helper T cells and macrophages [J]. Clinical Cancer Research, 2010, 16(2): 637-50.</w:t>
      </w:r>
    </w:p>
    <w:p>
      <w:pPr>
        <w:pStyle w:val="14"/>
        <w:spacing w:line="360" w:lineRule="auto"/>
        <w:rPr>
          <w:rFonts w:ascii="Times New Roman" w:hAnsi="Times New Roman"/>
          <w:sz w:val="22"/>
          <w:szCs w:val="22"/>
        </w:rPr>
      </w:pPr>
      <w:r>
        <w:rPr>
          <w:rFonts w:ascii="Times New Roman" w:hAnsi="Times New Roman"/>
          <w:sz w:val="22"/>
          <w:szCs w:val="22"/>
        </w:rPr>
        <w:t>[49]</w:t>
      </w:r>
      <w:r>
        <w:rPr>
          <w:rFonts w:ascii="Times New Roman" w:hAnsi="Times New Roman"/>
          <w:sz w:val="22"/>
          <w:szCs w:val="22"/>
        </w:rPr>
        <w:tab/>
      </w:r>
      <w:r>
        <w:rPr>
          <w:rFonts w:ascii="Times New Roman" w:hAnsi="Times New Roman"/>
          <w:sz w:val="22"/>
          <w:szCs w:val="22"/>
        </w:rPr>
        <w:t>KIESER A, KILGER E, GIRES O, et al. Epstein–Barr virus latent membrane protein‐1 triggers AP‐1 activity via the c‐Jun N‐terminal kinase cascade [J]. The EMBO journal, 1997, 16(21): 6478-85.</w:t>
      </w:r>
    </w:p>
    <w:p>
      <w:pPr>
        <w:pStyle w:val="14"/>
        <w:spacing w:line="360" w:lineRule="auto"/>
        <w:rPr>
          <w:rFonts w:ascii="Times New Roman" w:hAnsi="Times New Roman"/>
          <w:sz w:val="22"/>
          <w:szCs w:val="22"/>
        </w:rPr>
      </w:pPr>
      <w:r>
        <w:rPr>
          <w:rFonts w:ascii="Times New Roman" w:hAnsi="Times New Roman"/>
          <w:sz w:val="22"/>
          <w:szCs w:val="22"/>
        </w:rPr>
        <w:t>[50]</w:t>
      </w:r>
      <w:r>
        <w:rPr>
          <w:rFonts w:ascii="Times New Roman" w:hAnsi="Times New Roman"/>
          <w:sz w:val="22"/>
          <w:szCs w:val="22"/>
        </w:rPr>
        <w:tab/>
      </w:r>
      <w:r>
        <w:rPr>
          <w:rFonts w:ascii="Times New Roman" w:hAnsi="Times New Roman"/>
          <w:sz w:val="22"/>
          <w:szCs w:val="22"/>
        </w:rPr>
        <w:t>ALRAWASHDH N, MCBRIDE A, PERSKY D O, et al. Survival trends in chronic lymphocytic leukemia in the era of oral targeted therapies in the United States: SEER database analyses (1985 to 2017) [J]. 2021, 39(15_suppl): 7524.</w:t>
      </w:r>
    </w:p>
    <w:p>
      <w:pPr>
        <w:pStyle w:val="14"/>
        <w:spacing w:line="360" w:lineRule="auto"/>
        <w:rPr>
          <w:rFonts w:ascii="Times New Roman" w:hAnsi="Times New Roman"/>
          <w:sz w:val="22"/>
          <w:szCs w:val="22"/>
        </w:rPr>
      </w:pPr>
      <w:r>
        <w:rPr>
          <w:rFonts w:ascii="Times New Roman" w:hAnsi="Times New Roman"/>
          <w:sz w:val="22"/>
          <w:szCs w:val="22"/>
        </w:rPr>
        <w:t>[51]</w:t>
      </w:r>
      <w:r>
        <w:rPr>
          <w:rFonts w:ascii="Times New Roman" w:hAnsi="Times New Roman"/>
          <w:sz w:val="22"/>
          <w:szCs w:val="22"/>
        </w:rPr>
        <w:tab/>
      </w:r>
      <w:r>
        <w:rPr>
          <w:rFonts w:ascii="Times New Roman" w:hAnsi="Times New Roman"/>
          <w:sz w:val="22"/>
          <w:szCs w:val="22"/>
        </w:rPr>
        <w:t>WESTIN J R, CHU F, ZHANG M, et al. Safety and activity of PD1 blockade by pidilizumab in combination with rituximab in patients with relapsed follicular lymphoma: a single group, open-label, phase 2 trial [J]. Lancet Oncology, 2014, 15(1): 69-77.</w:t>
      </w:r>
    </w:p>
    <w:p>
      <w:pPr>
        <w:pStyle w:val="14"/>
        <w:spacing w:line="360" w:lineRule="auto"/>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r>
      <w:r>
        <w:rPr>
          <w:rFonts w:ascii="Times New Roman" w:hAnsi="Times New Roman"/>
          <w:sz w:val="22"/>
          <w:szCs w:val="22"/>
        </w:rPr>
        <w:t>KAROLOVA J, RADEK M, HELMAN K, et al. PD-1, PD-L1 and PD-L2 Expression in Mantle Cell Lymphoma and Healthy Population [J]. Folia Biologica, 2020, 66(4): 117-22.</w:t>
      </w:r>
    </w:p>
    <w:p>
      <w:pPr>
        <w:pStyle w:val="14"/>
        <w:spacing w:line="360" w:lineRule="auto"/>
        <w:rPr>
          <w:rFonts w:ascii="Times New Roman" w:hAnsi="Times New Roman"/>
          <w:sz w:val="22"/>
          <w:szCs w:val="22"/>
        </w:rPr>
      </w:pPr>
      <w:r>
        <w:rPr>
          <w:rFonts w:ascii="Times New Roman" w:hAnsi="Times New Roman"/>
          <w:sz w:val="22"/>
          <w:szCs w:val="22"/>
        </w:rPr>
        <w:t>[53]</w:t>
      </w:r>
      <w:r>
        <w:rPr>
          <w:rFonts w:ascii="Times New Roman" w:hAnsi="Times New Roman"/>
          <w:sz w:val="22"/>
          <w:szCs w:val="22"/>
        </w:rPr>
        <w:tab/>
      </w:r>
      <w:r>
        <w:rPr>
          <w:rFonts w:ascii="Times New Roman" w:hAnsi="Times New Roman"/>
          <w:sz w:val="22"/>
          <w:szCs w:val="22"/>
        </w:rPr>
        <w:t>VRANIC S, GHOSH N, KIMBROUGH J, et al. PD-L1 status in refractory lymphomas [J]. PloS one, 2016, 11(11): e0166266.</w:t>
      </w:r>
    </w:p>
    <w:p>
      <w:pPr>
        <w:pStyle w:val="14"/>
        <w:spacing w:line="360" w:lineRule="auto"/>
        <w:rPr>
          <w:rFonts w:ascii="Times New Roman" w:hAnsi="Times New Roman"/>
          <w:sz w:val="22"/>
          <w:szCs w:val="22"/>
        </w:rPr>
      </w:pPr>
      <w:r>
        <w:rPr>
          <w:rFonts w:ascii="Times New Roman" w:hAnsi="Times New Roman"/>
          <w:sz w:val="22"/>
          <w:szCs w:val="22"/>
        </w:rPr>
        <w:t>[54]</w:t>
      </w:r>
      <w:r>
        <w:rPr>
          <w:rFonts w:ascii="Times New Roman" w:hAnsi="Times New Roman"/>
          <w:sz w:val="22"/>
          <w:szCs w:val="22"/>
        </w:rPr>
        <w:tab/>
      </w:r>
      <w:r>
        <w:rPr>
          <w:rFonts w:ascii="Times New Roman" w:hAnsi="Times New Roman"/>
          <w:sz w:val="22"/>
          <w:szCs w:val="22"/>
        </w:rPr>
        <w:t>HAN L, LIU F, LI R, et al. Role of programmed death ligands in effective T-cell interactions in extranodal natural killer/T-cell lymphoma [J]. Oncology letters, 2014, 8(4): 1461-9.</w:t>
      </w:r>
    </w:p>
    <w:p>
      <w:pPr>
        <w:pStyle w:val="14"/>
        <w:spacing w:line="360" w:lineRule="auto"/>
        <w:rPr>
          <w:rFonts w:ascii="Times New Roman" w:hAnsi="Times New Roman"/>
          <w:sz w:val="22"/>
          <w:szCs w:val="22"/>
        </w:rPr>
      </w:pPr>
      <w:r>
        <w:rPr>
          <w:rFonts w:ascii="Times New Roman" w:hAnsi="Times New Roman"/>
          <w:sz w:val="22"/>
          <w:szCs w:val="22"/>
        </w:rPr>
        <w:t>[55]</w:t>
      </w:r>
      <w:r>
        <w:rPr>
          <w:rFonts w:ascii="Times New Roman" w:hAnsi="Times New Roman"/>
          <w:sz w:val="22"/>
          <w:szCs w:val="22"/>
        </w:rPr>
        <w:tab/>
      </w:r>
      <w:r>
        <w:rPr>
          <w:rFonts w:ascii="Times New Roman" w:hAnsi="Times New Roman"/>
          <w:sz w:val="22"/>
          <w:szCs w:val="22"/>
        </w:rPr>
        <w:t>WANG H, WANG L, LIU W-J. High post-treatment serum levels of soluble programmed cell death ligand 1 predict early relapse and poor prognosis in extranodal NK/T cell lymphoma patients [J]. Oncotarget, 2016, 7(22): 33035-45.</w:t>
      </w:r>
    </w:p>
    <w:p>
      <w:pPr>
        <w:pStyle w:val="14"/>
        <w:spacing w:line="360" w:lineRule="auto"/>
        <w:rPr>
          <w:rFonts w:ascii="Times New Roman" w:hAnsi="Times New Roman"/>
          <w:sz w:val="22"/>
          <w:szCs w:val="22"/>
        </w:rPr>
      </w:pPr>
      <w:r>
        <w:rPr>
          <w:rFonts w:ascii="Times New Roman" w:hAnsi="Times New Roman"/>
          <w:sz w:val="22"/>
          <w:szCs w:val="22"/>
        </w:rPr>
        <w:t>[56]</w:t>
      </w:r>
      <w:r>
        <w:rPr>
          <w:rFonts w:ascii="Times New Roman" w:hAnsi="Times New Roman"/>
          <w:sz w:val="22"/>
          <w:szCs w:val="22"/>
        </w:rPr>
        <w:tab/>
      </w:r>
      <w:r>
        <w:rPr>
          <w:rFonts w:ascii="Times New Roman" w:hAnsi="Times New Roman"/>
          <w:sz w:val="22"/>
          <w:szCs w:val="22"/>
        </w:rPr>
        <w:t>CHAN T S Y, LI J, LOONG F, et al. PD1 blockade with low-dose nivolumab in NK/T cell lymphoma failing L-asparaginase: efficacy and safety [J]. Annals of hematology, 2018, 97(1): 193-6.</w:t>
      </w:r>
    </w:p>
    <w:p>
      <w:pPr>
        <w:pStyle w:val="14"/>
        <w:spacing w:line="360" w:lineRule="auto"/>
        <w:rPr>
          <w:rFonts w:ascii="Times New Roman" w:hAnsi="Times New Roman"/>
          <w:sz w:val="22"/>
          <w:szCs w:val="22"/>
        </w:rPr>
      </w:pPr>
      <w:r>
        <w:rPr>
          <w:rFonts w:ascii="Times New Roman" w:hAnsi="Times New Roman"/>
          <w:sz w:val="22"/>
          <w:szCs w:val="22"/>
        </w:rPr>
        <w:t>[57]</w:t>
      </w:r>
      <w:r>
        <w:rPr>
          <w:rFonts w:ascii="Times New Roman" w:hAnsi="Times New Roman"/>
          <w:sz w:val="22"/>
          <w:szCs w:val="22"/>
        </w:rPr>
        <w:tab/>
      </w:r>
      <w:r>
        <w:rPr>
          <w:rFonts w:ascii="Times New Roman" w:hAnsi="Times New Roman"/>
          <w:sz w:val="22"/>
          <w:szCs w:val="22"/>
        </w:rPr>
        <w:t>KWONG Y L, CHAN T S Y, TAN D, et al. PD1 blockade with pembrolizumab is highly effective in relapsed or refractory NK/T-cell lymphoma failing l-asparaginase [J]. Blood, 2017, 129(17): 2437-42.</w:t>
      </w:r>
    </w:p>
    <w:p>
      <w:pPr>
        <w:pStyle w:val="14"/>
        <w:spacing w:line="360" w:lineRule="auto"/>
        <w:rPr>
          <w:rFonts w:ascii="Times New Roman" w:hAnsi="Times New Roman"/>
          <w:sz w:val="22"/>
          <w:szCs w:val="22"/>
        </w:rPr>
      </w:pPr>
      <w:r>
        <w:rPr>
          <w:rFonts w:ascii="Times New Roman" w:hAnsi="Times New Roman"/>
          <w:sz w:val="22"/>
          <w:szCs w:val="22"/>
        </w:rPr>
        <w:t>[58]</w:t>
      </w:r>
      <w:r>
        <w:rPr>
          <w:rFonts w:ascii="Times New Roman" w:hAnsi="Times New Roman"/>
          <w:sz w:val="22"/>
          <w:szCs w:val="22"/>
        </w:rPr>
        <w:tab/>
      </w:r>
      <w:r>
        <w:rPr>
          <w:rFonts w:ascii="Times New Roman" w:hAnsi="Times New Roman"/>
          <w:sz w:val="22"/>
          <w:szCs w:val="22"/>
        </w:rPr>
        <w:t>KIM S J, LIM J Q, LAURENSIA Y, et al. Avelumab for the treatment of relapsed or refractory extranodal NK/T-cell lymphoma: an open-label phase 2 study [J]. Blood, 2020, 136(24): 2754-63.</w:t>
      </w:r>
    </w:p>
    <w:p>
      <w:pPr>
        <w:pStyle w:val="14"/>
        <w:spacing w:line="360" w:lineRule="auto"/>
        <w:rPr>
          <w:rFonts w:ascii="Times New Roman" w:hAnsi="Times New Roman"/>
          <w:sz w:val="22"/>
          <w:szCs w:val="22"/>
        </w:rPr>
      </w:pPr>
      <w:r>
        <w:rPr>
          <w:rFonts w:ascii="Times New Roman" w:hAnsi="Times New Roman"/>
          <w:sz w:val="22"/>
          <w:szCs w:val="22"/>
        </w:rPr>
        <w:t>[59]</w:t>
      </w:r>
      <w:r>
        <w:rPr>
          <w:rFonts w:ascii="Times New Roman" w:hAnsi="Times New Roman"/>
          <w:sz w:val="22"/>
          <w:szCs w:val="22"/>
        </w:rPr>
        <w:tab/>
      </w:r>
      <w:r>
        <w:rPr>
          <w:rFonts w:ascii="Times New Roman" w:hAnsi="Times New Roman"/>
          <w:sz w:val="22"/>
          <w:szCs w:val="22"/>
        </w:rPr>
        <w:t>CAI J, LIU P, HUANG H, et al. Combination of anti-PD-1 antibody with P-GEMOX as apotentially effective immunochemotherapy for advancednatural killer/T cell lymphoma [J]. Signal Transduction and Targeted Therapy, 2021, 5(1): 289.</w:t>
      </w:r>
    </w:p>
    <w:p>
      <w:pPr>
        <w:pStyle w:val="14"/>
        <w:spacing w:line="360" w:lineRule="auto"/>
        <w:rPr>
          <w:rFonts w:ascii="Times New Roman" w:hAnsi="Times New Roman"/>
          <w:sz w:val="22"/>
          <w:szCs w:val="22"/>
        </w:rPr>
      </w:pPr>
      <w:r>
        <w:rPr>
          <w:rFonts w:ascii="Times New Roman" w:hAnsi="Times New Roman"/>
          <w:sz w:val="22"/>
          <w:szCs w:val="22"/>
        </w:rPr>
        <w:t>[60]</w:t>
      </w:r>
      <w:r>
        <w:rPr>
          <w:rFonts w:ascii="Times New Roman" w:hAnsi="Times New Roman"/>
          <w:sz w:val="22"/>
          <w:szCs w:val="22"/>
        </w:rPr>
        <w:tab/>
      </w:r>
      <w:r>
        <w:rPr>
          <w:rFonts w:ascii="Times New Roman" w:hAnsi="Times New Roman"/>
          <w:sz w:val="22"/>
          <w:szCs w:val="22"/>
        </w:rPr>
        <w:t>GAO Y, HUANG H, WANG X, et al. Anti-PD-1 Antibody (Sintilimab) Plus Histone Deacetylase Inhibitor (Chidamide) for the Treatment of Refractory or Relapsed Extranodal Natural Killer/T Cell Lymphoma, Nasal Type (r/r-ENKTL): Preliminary Results from a Prospective, Multicenter, Single-Arm, Phase Ib/II Trial (SCENT) [J]. Blood, 2020, 136(Supplement 1): 39–40.</w:t>
      </w:r>
    </w:p>
    <w:p>
      <w:pPr>
        <w:pStyle w:val="14"/>
        <w:spacing w:line="360" w:lineRule="auto"/>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r>
      <w:r>
        <w:rPr>
          <w:rFonts w:ascii="Times New Roman" w:hAnsi="Times New Roman"/>
          <w:sz w:val="22"/>
          <w:szCs w:val="22"/>
        </w:rPr>
        <w:t>WANG J S. Progress and Trend of CAR-T and PD-1 Blockade in the Treatment of Acute Myeloid Leukemia--Review [J]. Zhongguo shi yan xue ye xue za zhi, 2020, 28(3): 1069-74.</w:t>
      </w:r>
    </w:p>
    <w:p>
      <w:pPr>
        <w:pStyle w:val="14"/>
        <w:spacing w:line="360" w:lineRule="auto"/>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r>
      <w:r>
        <w:rPr>
          <w:rFonts w:ascii="Times New Roman" w:hAnsi="Times New Roman"/>
          <w:sz w:val="22"/>
          <w:szCs w:val="22"/>
        </w:rPr>
        <w:t>ZHANG L, GAJEWSKI T F, KLINE J. PD-1/PD-L1 interactions inhibit antitumor immune responses in a murine acute myeloid leukemia model [J]. Blood, 2009, 114(8): 1545-52.</w:t>
      </w:r>
    </w:p>
    <w:p>
      <w:pPr>
        <w:pStyle w:val="14"/>
        <w:spacing w:line="360" w:lineRule="auto"/>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r>
      <w:r>
        <w:rPr>
          <w:rFonts w:ascii="Times New Roman" w:hAnsi="Times New Roman"/>
          <w:sz w:val="22"/>
          <w:szCs w:val="22"/>
        </w:rPr>
        <w:t>MD N D, PHD S B, MD G G-M, et al. Defining the immune checkpoint landscape in patients (pts) with acute myeloid leukemia (AML) [J]. Blood, 2016, 128(22): 2900.</w:t>
      </w:r>
    </w:p>
    <w:p>
      <w:pPr>
        <w:pStyle w:val="14"/>
        <w:spacing w:line="360" w:lineRule="auto"/>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r>
      <w:r>
        <w:rPr>
          <w:rFonts w:ascii="Times New Roman" w:hAnsi="Times New Roman"/>
          <w:sz w:val="22"/>
          <w:szCs w:val="22"/>
        </w:rPr>
        <w:t>KADIA T M, CORTES J E, GHORAB A, et al. Nivolumab (Nivo) maintenance (maint) in high-risk (HR) acute myeloid leukemia (AML) patients [J]. Journal of Clinical Oncology, 2018, 36(15_suppl): 7014.</w:t>
      </w:r>
    </w:p>
    <w:p>
      <w:pPr>
        <w:pStyle w:val="14"/>
        <w:spacing w:line="360" w:lineRule="auto"/>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r>
      <w:r>
        <w:rPr>
          <w:rFonts w:ascii="Times New Roman" w:hAnsi="Times New Roman"/>
          <w:sz w:val="22"/>
          <w:szCs w:val="22"/>
        </w:rPr>
        <w:t>DAVER N, GARCIA-MANERO G, BASU S, et al. Efficacy, safety, and biomarkers of response to azacitidine and nivolumab in relapsed/refractory acute myeloid leukemia: a nonrandomized, open-label, phase II study [J]. Cancer discovery, 2019, 9(3): 370-83.</w:t>
      </w:r>
    </w:p>
    <w:p>
      <w:pPr>
        <w:pStyle w:val="14"/>
        <w:spacing w:line="360" w:lineRule="auto"/>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r>
      <w:r>
        <w:rPr>
          <w:rFonts w:ascii="Times New Roman" w:hAnsi="Times New Roman"/>
          <w:sz w:val="22"/>
          <w:szCs w:val="22"/>
        </w:rPr>
        <w:t>MAN L M, MORRIS A L, KENG M. New Therapeutic Strategies in Acute Lymphocytic Leukemia [J]. Current Hematologic Malignancy Reports, 2017, 12(3): 197-206.</w:t>
      </w:r>
    </w:p>
    <w:p>
      <w:pPr>
        <w:pStyle w:val="14"/>
        <w:spacing w:line="360" w:lineRule="auto"/>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r>
      <w:r>
        <w:rPr>
          <w:rFonts w:ascii="Times New Roman" w:hAnsi="Times New Roman"/>
          <w:sz w:val="22"/>
          <w:szCs w:val="22"/>
        </w:rPr>
        <w:t>CHRISTIANSSON L, S DERLUND S, SVENSSON E, et al. Loskog ASI Increased Level of Myeloid-Derived Suppressor Cells, Programmed Death Receptor Ligand 1/Programmed Death Receptor 1, and Soluble CD25 in Sokal High Risk Chronic Myeloid Leukemia [J]. PLoS One, 2013, 8(1): e55818.</w:t>
      </w:r>
    </w:p>
    <w:p>
      <w:pPr>
        <w:pStyle w:val="14"/>
        <w:spacing w:line="360" w:lineRule="auto"/>
        <w:rPr>
          <w:rFonts w:ascii="Times New Roman" w:hAnsi="Times New Roman"/>
          <w:sz w:val="22"/>
          <w:szCs w:val="22"/>
        </w:rPr>
      </w:pPr>
      <w:r>
        <w:rPr>
          <w:rFonts w:ascii="Times New Roman" w:hAnsi="Times New Roman"/>
          <w:sz w:val="22"/>
          <w:szCs w:val="22"/>
        </w:rPr>
        <w:t>[68]</w:t>
      </w:r>
      <w:r>
        <w:rPr>
          <w:rFonts w:ascii="Times New Roman" w:hAnsi="Times New Roman"/>
          <w:sz w:val="22"/>
          <w:szCs w:val="22"/>
        </w:rPr>
        <w:tab/>
      </w:r>
      <w:r>
        <w:rPr>
          <w:rFonts w:ascii="Times New Roman" w:hAnsi="Times New Roman"/>
          <w:sz w:val="22"/>
          <w:szCs w:val="22"/>
        </w:rPr>
        <w:t>HELD S A E, HEINE A, MAYER K T, et al. Advances in Immunotherapy of Chronic Myeloid Leukemia CML [J]. Curr Cancer Drug Targets, 2013, 13(7): 768-74.</w:t>
      </w:r>
    </w:p>
    <w:p>
      <w:pPr>
        <w:pStyle w:val="14"/>
        <w:spacing w:line="360" w:lineRule="auto"/>
        <w:rPr>
          <w:rFonts w:ascii="Times New Roman" w:hAnsi="Times New Roman"/>
          <w:sz w:val="22"/>
          <w:szCs w:val="22"/>
        </w:rPr>
      </w:pPr>
      <w:r>
        <w:rPr>
          <w:rFonts w:ascii="Times New Roman" w:hAnsi="Times New Roman"/>
          <w:sz w:val="22"/>
          <w:szCs w:val="22"/>
        </w:rPr>
        <w:t>[69]</w:t>
      </w:r>
      <w:r>
        <w:rPr>
          <w:rFonts w:ascii="Times New Roman" w:hAnsi="Times New Roman"/>
          <w:sz w:val="22"/>
          <w:szCs w:val="22"/>
        </w:rPr>
        <w:tab/>
      </w:r>
      <w:r>
        <w:rPr>
          <w:rFonts w:ascii="Times New Roman" w:hAnsi="Times New Roman"/>
          <w:sz w:val="22"/>
          <w:szCs w:val="22"/>
        </w:rPr>
        <w:t>RAMSAY A G, CLEAR A J, FATAH R, et al. Multiple inhibitory ligands induce impaired T-cell immunologic synapse function in chronic lymphocytic leukemia that can be blocked with lenalidomide: establishing a reversible immune evasion mechanism in human cancer [J]. Blood, 2012, 120(7): 1412-21.</w:t>
      </w:r>
    </w:p>
    <w:p>
      <w:pPr>
        <w:pStyle w:val="14"/>
        <w:spacing w:line="360" w:lineRule="auto"/>
        <w:rPr>
          <w:rFonts w:ascii="Times New Roman" w:hAnsi="Times New Roman"/>
          <w:sz w:val="22"/>
          <w:szCs w:val="22"/>
        </w:rPr>
      </w:pPr>
      <w:r>
        <w:rPr>
          <w:rFonts w:ascii="Times New Roman" w:hAnsi="Times New Roman"/>
          <w:sz w:val="22"/>
          <w:szCs w:val="22"/>
        </w:rPr>
        <w:t>[70]</w:t>
      </w:r>
      <w:r>
        <w:rPr>
          <w:rFonts w:ascii="Times New Roman" w:hAnsi="Times New Roman"/>
          <w:sz w:val="22"/>
          <w:szCs w:val="22"/>
        </w:rPr>
        <w:tab/>
      </w:r>
      <w:r>
        <w:rPr>
          <w:rFonts w:ascii="Times New Roman" w:hAnsi="Times New Roman"/>
          <w:sz w:val="22"/>
          <w:szCs w:val="22"/>
        </w:rPr>
        <w:t>RICHES J C, DAVIES J K, MCCLANAHAN F, et al. T cells from CLL patients exhibit features of T-cell exhaustion but retain capacity for cytokine production [J]. Blood, 2013, 121(9): 1612-21.</w:t>
      </w:r>
    </w:p>
    <w:p>
      <w:pPr>
        <w:pStyle w:val="14"/>
        <w:spacing w:line="360" w:lineRule="auto"/>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r>
      <w:r>
        <w:rPr>
          <w:rFonts w:ascii="Times New Roman" w:hAnsi="Times New Roman"/>
          <w:sz w:val="22"/>
          <w:szCs w:val="22"/>
        </w:rPr>
        <w:t>WANG Y, SINHA S, DONG H, et al. Distinct immune signatures in chronic lymphocytic leukemia (CLL) and Richter’s syndrome (RS) [J]. Journal of Clinical Oncology, 2018, 36(15_suppl): 7524.</w:t>
      </w:r>
    </w:p>
    <w:p>
      <w:pPr>
        <w:pStyle w:val="14"/>
        <w:spacing w:line="360" w:lineRule="auto"/>
        <w:rPr>
          <w:rFonts w:ascii="Times New Roman" w:hAnsi="Times New Roman"/>
          <w:sz w:val="22"/>
          <w:szCs w:val="22"/>
        </w:rPr>
      </w:pPr>
      <w:r>
        <w:rPr>
          <w:rFonts w:ascii="Times New Roman" w:hAnsi="Times New Roman"/>
          <w:sz w:val="22"/>
          <w:szCs w:val="22"/>
        </w:rPr>
        <w:t>[72]</w:t>
      </w:r>
      <w:r>
        <w:rPr>
          <w:rFonts w:ascii="Times New Roman" w:hAnsi="Times New Roman"/>
          <w:sz w:val="22"/>
          <w:szCs w:val="22"/>
        </w:rPr>
        <w:tab/>
      </w:r>
      <w:r>
        <w:rPr>
          <w:rFonts w:ascii="Times New Roman" w:hAnsi="Times New Roman"/>
          <w:sz w:val="22"/>
          <w:szCs w:val="22"/>
        </w:rPr>
        <w:t>YINJUAN M, YAOZHU P. Research update on PD-1/PD-L1 pathway in hematological diseases [J]. Journal of Modern Oncology, 2020, 28(16): 2905-9.</w:t>
      </w:r>
    </w:p>
    <w:p>
      <w:pPr>
        <w:pStyle w:val="14"/>
        <w:spacing w:line="360" w:lineRule="auto"/>
        <w:rPr>
          <w:rFonts w:ascii="Times New Roman" w:hAnsi="Times New Roman"/>
          <w:sz w:val="22"/>
          <w:szCs w:val="22"/>
        </w:rPr>
      </w:pPr>
      <w:r>
        <w:rPr>
          <w:rFonts w:ascii="Times New Roman" w:hAnsi="Times New Roman"/>
          <w:sz w:val="22"/>
          <w:szCs w:val="22"/>
        </w:rPr>
        <w:t>[73]</w:t>
      </w:r>
      <w:r>
        <w:rPr>
          <w:rFonts w:ascii="Times New Roman" w:hAnsi="Times New Roman"/>
          <w:sz w:val="22"/>
          <w:szCs w:val="22"/>
        </w:rPr>
        <w:tab/>
      </w:r>
      <w:r>
        <w:rPr>
          <w:rFonts w:ascii="Times New Roman" w:hAnsi="Times New Roman"/>
          <w:sz w:val="22"/>
          <w:szCs w:val="22"/>
        </w:rPr>
        <w:t>TAMURA H, ISHIBASHI M, SUNAKAWA-KII M, et al. PD-L1–PD-1 pathway in the pathophysiology of multiple myeloma [J]. Cancers, 2020, 12(4): 924.</w:t>
      </w:r>
    </w:p>
    <w:p>
      <w:pPr>
        <w:pStyle w:val="14"/>
        <w:spacing w:line="360" w:lineRule="auto"/>
        <w:rPr>
          <w:rFonts w:ascii="Times New Roman" w:hAnsi="Times New Roman"/>
          <w:sz w:val="22"/>
          <w:szCs w:val="22"/>
        </w:rPr>
      </w:pPr>
      <w:r>
        <w:rPr>
          <w:rFonts w:ascii="Times New Roman" w:hAnsi="Times New Roman"/>
          <w:sz w:val="22"/>
          <w:szCs w:val="22"/>
        </w:rPr>
        <w:t>[74]</w:t>
      </w:r>
      <w:r>
        <w:rPr>
          <w:rFonts w:ascii="Times New Roman" w:hAnsi="Times New Roman"/>
          <w:sz w:val="22"/>
          <w:szCs w:val="22"/>
        </w:rPr>
        <w:tab/>
      </w:r>
      <w:r>
        <w:rPr>
          <w:rFonts w:ascii="Times New Roman" w:hAnsi="Times New Roman"/>
          <w:sz w:val="22"/>
          <w:szCs w:val="22"/>
        </w:rPr>
        <w:t>HALLETT W H D, JING W, DROBYSKI W R, et al. Immunosuppressive Effects of Multiple Myeloma Are Overcome by PD-L1 Blockade - ScienceDirect [J]. Biology of Blood and Marrow Transplantation, 2011, 17(8): 1133-45.</w:t>
      </w:r>
    </w:p>
    <w:p>
      <w:pPr>
        <w:pStyle w:val="14"/>
        <w:spacing w:line="360" w:lineRule="auto"/>
        <w:rPr>
          <w:rFonts w:ascii="Times New Roman" w:hAnsi="Times New Roman"/>
          <w:sz w:val="22"/>
          <w:szCs w:val="22"/>
        </w:rPr>
      </w:pPr>
      <w:r>
        <w:rPr>
          <w:rFonts w:ascii="Times New Roman" w:hAnsi="Times New Roman"/>
          <w:sz w:val="22"/>
          <w:szCs w:val="22"/>
        </w:rPr>
        <w:t>[75]</w:t>
      </w:r>
      <w:r>
        <w:rPr>
          <w:rFonts w:ascii="Times New Roman" w:hAnsi="Times New Roman"/>
          <w:sz w:val="22"/>
          <w:szCs w:val="22"/>
        </w:rPr>
        <w:tab/>
      </w:r>
      <w:r>
        <w:rPr>
          <w:rFonts w:ascii="Times New Roman" w:hAnsi="Times New Roman"/>
          <w:sz w:val="22"/>
          <w:szCs w:val="22"/>
        </w:rPr>
        <w:t>G RG N G, SAMUR M K, COWENS K B, et al. Lenalidomide Enhances Immune Checkpoint Blockade-Induced Immune Response in Multiple Myeloma [J]. Clinical Cancer Research, 2015, 21(20): 4607-18.</w:t>
      </w:r>
    </w:p>
    <w:p>
      <w:pPr>
        <w:pStyle w:val="14"/>
        <w:spacing w:line="360" w:lineRule="auto"/>
        <w:rPr>
          <w:rFonts w:ascii="Times New Roman" w:hAnsi="Times New Roman"/>
          <w:sz w:val="22"/>
          <w:szCs w:val="22"/>
        </w:rPr>
      </w:pPr>
      <w:r>
        <w:rPr>
          <w:rFonts w:ascii="Times New Roman" w:hAnsi="Times New Roman"/>
          <w:sz w:val="22"/>
          <w:szCs w:val="22"/>
        </w:rPr>
        <w:t>[76]</w:t>
      </w:r>
      <w:r>
        <w:rPr>
          <w:rFonts w:ascii="Times New Roman" w:hAnsi="Times New Roman"/>
          <w:sz w:val="22"/>
          <w:szCs w:val="22"/>
        </w:rPr>
        <w:tab/>
      </w:r>
      <w:r>
        <w:rPr>
          <w:rFonts w:ascii="Times New Roman" w:hAnsi="Times New Roman"/>
          <w:sz w:val="22"/>
          <w:szCs w:val="22"/>
        </w:rPr>
        <w:t>MATEOS M-V, ORLOWSKI R, SIEGEL D, et al. Pembrolizumab in combination with lenalidomide and low-dose dexamethasone for relapsed/refractory multiple myeloma: final efficacy and safety analysis [J]. J Clin Oncol, 2016, 34(suppl 15): 8010a.</w:t>
      </w:r>
    </w:p>
    <w:p>
      <w:pPr>
        <w:pStyle w:val="14"/>
        <w:spacing w:line="360" w:lineRule="auto"/>
        <w:rPr>
          <w:rFonts w:ascii="Times New Roman" w:hAnsi="Times New Roman"/>
          <w:sz w:val="22"/>
          <w:szCs w:val="22"/>
        </w:rPr>
      </w:pPr>
      <w:r>
        <w:rPr>
          <w:rFonts w:ascii="Times New Roman" w:hAnsi="Times New Roman"/>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eastAsia="宋体"/>
          <w:sz w:val="22"/>
          <w:szCs w:val="22"/>
        </w:rPr>
      </w:pPr>
    </w:p>
    <w:sectPr>
      <w:pgSz w:w="11906" w:h="16838"/>
      <w:pgMar w:top="1440" w:right="1418" w:bottom="1440" w:left="1418"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Copy 复制&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w2d92v2spsvber2d5x2p26d0vxavdxzsxf&quot;&gt;我的EndNote库&lt;record-ids&gt;&lt;item&gt;7&lt;/item&gt;&lt;item&gt;8&lt;/item&gt;&lt;item&gt;9&lt;/item&gt;&lt;item&gt;10&lt;/item&gt;&lt;item&gt;11&lt;/item&gt;&lt;item&gt;12&lt;/item&gt;&lt;item&gt;13&lt;/item&gt;&lt;item&gt;15&lt;/item&gt;&lt;item&gt;17&lt;/item&gt;&lt;item&gt;23&lt;/item&gt;&lt;item&gt;24&lt;/item&gt;&lt;item&gt;25&lt;/item&gt;&lt;item&gt;33&lt;/item&gt;&lt;item&gt;34&lt;/item&gt;&lt;item&gt;40&lt;/item&gt;&lt;item&gt;41&lt;/item&gt;&lt;item&gt;42&lt;/item&gt;&lt;item&gt;44&lt;/item&gt;&lt;item&gt;49&lt;/item&gt;&lt;item&gt;51&lt;/item&gt;&lt;item&gt;54&lt;/item&gt;&lt;item&gt;64&lt;/item&gt;&lt;item&gt;66&lt;/item&gt;&lt;item&gt;73&lt;/item&gt;&lt;item&gt;74&lt;/item&gt;&lt;item&gt;75&lt;/item&gt;&lt;item&gt;77&lt;/item&gt;&lt;item&gt;78&lt;/item&gt;&lt;item&gt;81&lt;/item&gt;&lt;item&gt;82&lt;/item&gt;&lt;item&gt;86&lt;/item&gt;&lt;item&gt;90&lt;/item&gt;&lt;item&gt;91&lt;/item&gt;&lt;item&gt;93&lt;/item&gt;&lt;item&gt;95&lt;/item&gt;&lt;item&gt;96&lt;/item&gt;&lt;item&gt;100&lt;/item&gt;&lt;item&gt;101&lt;/item&gt;&lt;item&gt;103&lt;/item&gt;&lt;item&gt;106&lt;/item&gt;&lt;item&gt;108&lt;/item&gt;&lt;item&gt;109&lt;/item&gt;&lt;item&gt;110&lt;/item&gt;&lt;item&gt;113&lt;/item&gt;&lt;item&gt;115&lt;/item&gt;&lt;item&gt;116&lt;/item&gt;&lt;item&gt;118&lt;/item&gt;&lt;item&gt;120&lt;/item&gt;&lt;item&gt;122&lt;/item&gt;&lt;item&gt;126&lt;/item&gt;&lt;item&gt;133&lt;/item&gt;&lt;item&gt;134&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3&lt;/item&gt;&lt;item&gt;164&lt;/item&gt;&lt;item&gt;165&lt;/item&gt;&lt;/record-ids&gt;&lt;/item&gt;&lt;/Libraries&gt;"/>
  </w:docVars>
  <w:rsids>
    <w:rsidRoot w:val="416802F4"/>
    <w:rsid w:val="00082913"/>
    <w:rsid w:val="00225684"/>
    <w:rsid w:val="002553F5"/>
    <w:rsid w:val="00394245"/>
    <w:rsid w:val="003D5876"/>
    <w:rsid w:val="0062726C"/>
    <w:rsid w:val="006D15EA"/>
    <w:rsid w:val="00797D2D"/>
    <w:rsid w:val="007C5FA1"/>
    <w:rsid w:val="007D4166"/>
    <w:rsid w:val="007F39B7"/>
    <w:rsid w:val="00AA3C1E"/>
    <w:rsid w:val="00AC19EA"/>
    <w:rsid w:val="00BC66EB"/>
    <w:rsid w:val="00BD1358"/>
    <w:rsid w:val="00CC2B4B"/>
    <w:rsid w:val="00D122F8"/>
    <w:rsid w:val="00DB1446"/>
    <w:rsid w:val="00DB1AB2"/>
    <w:rsid w:val="00FA088A"/>
    <w:rsid w:val="00FC7F94"/>
    <w:rsid w:val="00FE6806"/>
    <w:rsid w:val="083064CF"/>
    <w:rsid w:val="0A004A17"/>
    <w:rsid w:val="0BB82489"/>
    <w:rsid w:val="0F8B0DF6"/>
    <w:rsid w:val="12804187"/>
    <w:rsid w:val="12A16A35"/>
    <w:rsid w:val="17B87AAC"/>
    <w:rsid w:val="18D84147"/>
    <w:rsid w:val="1EBF4DF6"/>
    <w:rsid w:val="21A27572"/>
    <w:rsid w:val="222E1AD0"/>
    <w:rsid w:val="25193FC0"/>
    <w:rsid w:val="25483D56"/>
    <w:rsid w:val="272F1F7B"/>
    <w:rsid w:val="2833289C"/>
    <w:rsid w:val="2B581056"/>
    <w:rsid w:val="2E2460E4"/>
    <w:rsid w:val="316A5204"/>
    <w:rsid w:val="31874F9F"/>
    <w:rsid w:val="34817BC3"/>
    <w:rsid w:val="37B43684"/>
    <w:rsid w:val="416802F4"/>
    <w:rsid w:val="47F24241"/>
    <w:rsid w:val="48E648CA"/>
    <w:rsid w:val="4B347F53"/>
    <w:rsid w:val="543B2E32"/>
    <w:rsid w:val="5697318E"/>
    <w:rsid w:val="5ACA4395"/>
    <w:rsid w:val="5B1B0C09"/>
    <w:rsid w:val="5C536BE5"/>
    <w:rsid w:val="603849D9"/>
    <w:rsid w:val="612B567D"/>
    <w:rsid w:val="64B87FFF"/>
    <w:rsid w:val="675045AE"/>
    <w:rsid w:val="67A453F6"/>
    <w:rsid w:val="6A4D5EAD"/>
    <w:rsid w:val="6F315145"/>
    <w:rsid w:val="724E7710"/>
    <w:rsid w:val="727A20B9"/>
    <w:rsid w:val="7677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qFormat/>
    <w:uiPriority w:val="0"/>
    <w:pPr>
      <w:tabs>
        <w:tab w:val="center" w:pos="4153"/>
        <w:tab w:val="right" w:pos="8306"/>
      </w:tabs>
      <w:snapToGrid w:val="0"/>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style>
  <w:style w:type="character" w:styleId="10">
    <w:name w:val="Strong"/>
    <w:basedOn w:val="9"/>
    <w:qFormat/>
    <w:uiPriority w:val="0"/>
    <w:rPr>
      <w:b/>
    </w:rPr>
  </w:style>
  <w:style w:type="character" w:styleId="11">
    <w:name w:val="Emphasis"/>
    <w:basedOn w:val="9"/>
    <w:qFormat/>
    <w:uiPriority w:val="0"/>
    <w:rPr>
      <w:i/>
    </w:rPr>
  </w:style>
  <w:style w:type="character" w:styleId="12">
    <w:name w:val="line number"/>
    <w:basedOn w:val="9"/>
    <w:qFormat/>
    <w:uiPriority w:val="0"/>
  </w:style>
  <w:style w:type="character" w:styleId="13">
    <w:name w:val="Hyperlink"/>
    <w:basedOn w:val="9"/>
    <w:qFormat/>
    <w:uiPriority w:val="0"/>
    <w:rPr>
      <w:color w:val="0000FF"/>
      <w:u w:val="single"/>
    </w:rPr>
  </w:style>
  <w:style w:type="paragraph" w:customStyle="1" w:styleId="14">
    <w:name w:val="EndNote Bibliography"/>
    <w:qFormat/>
    <w:uiPriority w:val="0"/>
    <w:pPr>
      <w:jc w:val="both"/>
    </w:pPr>
    <w:rPr>
      <w:rFonts w:cs="Times New Roman" w:asciiTheme="minorHAnsi" w:hAnsiTheme="minorHAnsi" w:eastAsiaTheme="minorEastAsia"/>
      <w:sz w:val="24"/>
      <w:szCs w:val="24"/>
      <w:lang w:val="en-US" w:eastAsia="zh-CN" w:bidi="ar-SA"/>
    </w:rPr>
  </w:style>
  <w:style w:type="paragraph" w:customStyle="1" w:styleId="15">
    <w:name w:val="EndNote Bibliography Title"/>
    <w:qFormat/>
    <w:uiPriority w:val="0"/>
    <w:pPr>
      <w:jc w:val="center"/>
    </w:pPr>
    <w:rPr>
      <w:rFonts w:cs="Times New Roman" w:asciiTheme="minorHAnsi" w:hAnsiTheme="minorHAnsi" w:eastAsiaTheme="minorEastAsia"/>
      <w:sz w:val="24"/>
      <w:szCs w:val="24"/>
      <w:lang w:val="en-US" w:eastAsia="zh-CN" w:bidi="ar-SA"/>
    </w:rPr>
  </w:style>
  <w:style w:type="character" w:customStyle="1" w:styleId="16">
    <w:name w:val="页眉 字符"/>
    <w:basedOn w:val="9"/>
    <w:link w:val="6"/>
    <w:qFormat/>
    <w:uiPriority w:val="0"/>
    <w:rPr>
      <w:rFonts w:asciiTheme="minorHAnsi" w:hAnsiTheme="minorHAnsi" w:eastAsiaTheme="minorEastAsia"/>
      <w:sz w:val="18"/>
      <w:szCs w:val="18"/>
    </w:rPr>
  </w:style>
  <w:style w:type="character" w:customStyle="1" w:styleId="17">
    <w:name w:val="页脚 字符"/>
    <w:basedOn w:val="9"/>
    <w:link w:val="5"/>
    <w:qFormat/>
    <w:uiPriority w:val="0"/>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22</Pages>
  <Words>20914</Words>
  <Characters>119214</Characters>
  <Lines>993</Lines>
  <Paragraphs>279</Paragraphs>
  <TotalTime>0</TotalTime>
  <ScaleCrop>false</ScaleCrop>
  <LinksUpToDate>false</LinksUpToDate>
  <CharactersWithSpaces>139849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2021-11-11T07:20:00Z</dcterms:created>
  <dc:creator>Z。</dc:creator>
  <cp:lastModifiedBy>lala</cp:lastModifiedBy>
  <dcterms:modified xsi:type="dcterms:W3CDTF">2021-11-15T07:54:37Z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B2B8201EC0624E7D86DBB46ACEB2BF52</vt:lpwstr>
  </property>
</Properties>
</file>