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Commentary</w:t>
      </w:r>
    </w:p>
    <w:p>
      <w:pPr>
        <w:spacing w:after="0" w:line="240" w:lineRule="auto"/>
        <w:rPr>
          <w:rFonts w:cstheme="minorHAnsi"/>
          <w:b/>
          <w:bCs/>
          <w:color w:val="000000" w:themeColor="text1"/>
          <w:sz w:val="24"/>
          <w:szCs w:val="24"/>
          <w14:textFill>
            <w14:solidFill>
              <w14:schemeClr w14:val="tx1"/>
            </w14:solidFill>
          </w14:textFill>
        </w:rPr>
      </w:pPr>
    </w:p>
    <w:p>
      <w:pPr>
        <w:spacing w:after="0" w:line="240" w:lineRule="auto"/>
        <w:rPr>
          <w:rFonts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The unrecognized potential of pet cats for studying aging and age-related diseases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Warren Ladiges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Department of Comparative Medicine, School of Medicine, University of Washington, Seattle, WA 98195</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Abstract</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eastAsia="Times New Roman" w:cstheme="minorHAnsi"/>
          <w:sz w:val="24"/>
          <w:szCs w:val="24"/>
        </w:rPr>
      </w:pPr>
      <w:r>
        <w:rPr>
          <w:rFonts w:eastAsia="Times New Roman" w:cstheme="minorHAnsi"/>
          <w:sz w:val="24"/>
          <w:szCs w:val="24"/>
        </w:rPr>
        <w:t>Old cats develop chronic diseases similar to diseases in older people.</w:t>
      </w:r>
      <w:r>
        <w:rPr>
          <w:rFonts w:cstheme="minorHAnsi"/>
          <w:sz w:val="24"/>
          <w:szCs w:val="24"/>
        </w:rPr>
        <w:t xml:space="preserve"> One fourth of American households</w:t>
      </w:r>
      <w:r>
        <w:rPr>
          <w:rFonts w:cstheme="minorHAnsi"/>
          <w:color w:val="2F3538"/>
          <w:sz w:val="24"/>
          <w:szCs w:val="24"/>
          <w:shd w:val="clear" w:color="auto" w:fill="FFFFFF"/>
        </w:rPr>
        <w:t xml:space="preserve"> own cats, and almost half are more than 7 years old. Cats share the same environment and are exposed to many of the same chemical stresses.</w:t>
      </w:r>
      <w:r>
        <w:rPr>
          <w:rFonts w:cstheme="minorHAnsi"/>
          <w:sz w:val="24"/>
          <w:szCs w:val="24"/>
        </w:rPr>
        <w:t xml:space="preserve"> In addition, genomic diversity and population stratification are similar to that occurring in people. With these comparative features, </w:t>
      </w:r>
      <w:r>
        <w:rPr>
          <w:rFonts w:eastAsia="Times New Roman" w:cstheme="minorHAnsi"/>
          <w:sz w:val="24"/>
          <w:szCs w:val="24"/>
        </w:rPr>
        <w:t xml:space="preserve">the aging cat represents a geroscience model to investigate pathogenesis and therapeutic interventions for aging. However, </w:t>
      </w:r>
      <w:r>
        <w:rPr>
          <w:rFonts w:cstheme="minorHAnsi"/>
          <w:sz w:val="24"/>
          <w:szCs w:val="24"/>
        </w:rPr>
        <w:t xml:space="preserve">cats are generally not recognized as a translational model for aging research mainly because of the lack of knowledge and appreciation within the scientific community. In addition, cat owners are not aware of any research programs designed to enhance healthy aging in their pets because none exist. </w:t>
      </w:r>
      <w:r>
        <w:rPr>
          <w:rFonts w:eastAsia="Times New Roman" w:cstheme="minorHAnsi"/>
          <w:sz w:val="24"/>
          <w:szCs w:val="24"/>
        </w:rPr>
        <w:t xml:space="preserve">Much work is needed to inform and educate the scientific community as well as cat owners about the power of aging cats as a transformative model to investigate aging and age-related diseases that will benefit both human and feline health. </w:t>
      </w:r>
    </w:p>
    <w:p>
      <w:pPr>
        <w:spacing w:after="0" w:line="240" w:lineRule="auto"/>
        <w:ind w:firstLine="360"/>
        <w:rPr>
          <w:rFonts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Key words.</w:t>
      </w:r>
      <w:r>
        <w:rPr>
          <w:rFonts w:cstheme="minorHAnsi"/>
          <w:color w:val="000000" w:themeColor="text1"/>
          <w:sz w:val="24"/>
          <w:szCs w:val="24"/>
          <w14:textFill>
            <w14:solidFill>
              <w14:schemeClr w14:val="tx1"/>
            </w14:solidFill>
          </w14:textFill>
        </w:rPr>
        <w:t xml:space="preserve"> Aging cats, Age-related diseases, Healthy aging, Geroscience</w:t>
      </w:r>
    </w:p>
    <w:p>
      <w:pPr>
        <w:spacing w:after="0" w:line="240" w:lineRule="auto"/>
        <w:rPr>
          <w:rFonts w:eastAsia="Times New Roman"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bookmarkStart w:id="4" w:name="_GoBack"/>
      <w:bookmarkEnd w:id="4"/>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eastAsia="Times New Roman" w:cstheme="minorHAnsi"/>
          <w:sz w:val="24"/>
          <w:szCs w:val="24"/>
        </w:rPr>
      </w:pPr>
      <w:r>
        <w:rPr>
          <w:rFonts w:cstheme="minorHAnsi"/>
          <w:sz w:val="24"/>
          <w:szCs w:val="24"/>
        </w:rPr>
        <w:t xml:space="preserve">The geroscience approach assumes that all diseases that affect primarily older adults have a common and major underlying cause of declining function and resilience that is part of the aging process [1]. Research is proving this concept, using a variety of clinical and preclinical approaches. For preclinical studies, animal models generally have advantages of shorter lifespans and various similarities in biological aging, and access to mutiple tissues for laboratory assessments. However, current animal models of aging have one or more shortcomings such as lack of a comparable human disease, different pathogenesis of a comparable human disease, different environments than humans, lack of heterogeneity, lack of naturally occurring age-related disease, and dissimilar co-morbidity profiles compared to older people. These disadvantages provide the rationale to consider alternate animal models phylogenetically close to humans that will replicate the aging process in a relatively short period of time and provide a source of naturally occurring chronic diseases similar to humans, capable of responding to therapeutic interventions that will accurately predict positive results in people. The domestic pet cat is a novel model of aging with these attributes and deserves to be developed and validated.    </w:t>
      </w:r>
    </w:p>
    <w:p>
      <w:pPr>
        <w:spacing w:after="0" w:line="240" w:lineRule="auto"/>
        <w:ind w:firstLine="360"/>
        <w:rPr>
          <w:rFonts w:eastAsia="Times New Roman" w:cstheme="minorHAnsi"/>
          <w:sz w:val="24"/>
          <w:szCs w:val="24"/>
        </w:rPr>
      </w:pPr>
      <w:bookmarkStart w:id="0" w:name="_Hlk88058688"/>
    </w:p>
    <w:p>
      <w:pPr>
        <w:spacing w:after="0" w:line="240" w:lineRule="auto"/>
        <w:rPr>
          <w:rFonts w:eastAsia="Times New Roman" w:cstheme="minorHAnsi"/>
          <w:sz w:val="24"/>
          <w:szCs w:val="24"/>
        </w:rPr>
      </w:pPr>
      <w:r>
        <w:rPr>
          <w:rFonts w:eastAsia="Times New Roman" w:cstheme="minorHAnsi"/>
          <w:sz w:val="24"/>
          <w:szCs w:val="24"/>
        </w:rPr>
        <w:t xml:space="preserve">The aging pet cat </w:t>
      </w:r>
      <w:bookmarkStart w:id="1" w:name="_Hlk88059501"/>
      <w:r>
        <w:rPr>
          <w:rFonts w:eastAsia="Times New Roman" w:cstheme="minorHAnsi"/>
          <w:sz w:val="24"/>
          <w:szCs w:val="24"/>
        </w:rPr>
        <w:t xml:space="preserve">represents a large population </w:t>
      </w:r>
      <w:r>
        <w:rPr>
          <w:rFonts w:cstheme="minorHAnsi"/>
          <w:color w:val="2F3538"/>
          <w:sz w:val="24"/>
          <w:szCs w:val="24"/>
          <w:shd w:val="clear" w:color="auto" w:fill="FFFFFF"/>
        </w:rPr>
        <w:t>available for preclinical studies</w:t>
      </w:r>
      <w:bookmarkEnd w:id="1"/>
      <w:r>
        <w:rPr>
          <w:rFonts w:cstheme="minorHAnsi"/>
          <w:color w:val="2F3538"/>
          <w:sz w:val="24"/>
          <w:szCs w:val="24"/>
          <w:shd w:val="clear" w:color="auto" w:fill="FFFFFF"/>
        </w:rPr>
        <w:t>.</w:t>
      </w:r>
      <w:r>
        <w:rPr>
          <w:rFonts w:eastAsia="Times New Roman" w:cstheme="minorHAnsi"/>
          <w:sz w:val="24"/>
          <w:szCs w:val="24"/>
        </w:rPr>
        <w:t xml:space="preserve"> According to the</w:t>
      </w:r>
      <w:r>
        <w:rPr>
          <w:rFonts w:eastAsia="Times New Roman" w:cstheme="minorHAnsi"/>
          <w:i/>
          <w:iCs/>
          <w:sz w:val="24"/>
          <w:szCs w:val="24"/>
        </w:rPr>
        <w:t xml:space="preserve"> </w:t>
      </w:r>
      <w:r>
        <w:fldChar w:fldCharType="begin"/>
      </w:r>
      <w:r>
        <w:instrText xml:space="preserve"> HYPERLINK "https://ebusiness.avma.org/ProductCatalog/ProductCategory.aspx?ID=120" \t "_blank" </w:instrText>
      </w:r>
      <w:r>
        <w:fldChar w:fldCharType="separate"/>
      </w:r>
      <w:r>
        <w:rPr>
          <w:rStyle w:val="4"/>
          <w:rFonts w:cstheme="minorHAnsi"/>
          <w:sz w:val="24"/>
          <w:szCs w:val="24"/>
          <w:shd w:val="clear" w:color="auto" w:fill="FFFFFF"/>
        </w:rPr>
        <w:t>2017-2018 U.S. Pet Ownership &amp; Demographics Sourcebook</w:t>
      </w:r>
      <w:r>
        <w:rPr>
          <w:rStyle w:val="4"/>
          <w:rFonts w:cstheme="minorHAnsi"/>
          <w:sz w:val="24"/>
          <w:szCs w:val="24"/>
          <w:shd w:val="clear" w:color="auto" w:fill="FFFFFF"/>
        </w:rPr>
        <w:fldChar w:fldCharType="end"/>
      </w:r>
      <w:r>
        <w:rPr>
          <w:rFonts w:cstheme="minorHAnsi"/>
          <w:i/>
          <w:iCs/>
          <w:sz w:val="24"/>
          <w:szCs w:val="24"/>
        </w:rPr>
        <w:t>,</w:t>
      </w:r>
      <w:r>
        <w:rPr>
          <w:rFonts w:cstheme="minorHAnsi"/>
          <w:sz w:val="24"/>
          <w:szCs w:val="24"/>
        </w:rPr>
        <w:t xml:space="preserve"> an estimated 25 percent of American households </w:t>
      </w:r>
      <w:r>
        <w:rPr>
          <w:rFonts w:cstheme="minorHAnsi"/>
          <w:color w:val="2F3538"/>
          <w:sz w:val="24"/>
          <w:szCs w:val="24"/>
          <w:shd w:val="clear" w:color="auto" w:fill="FFFFFF"/>
        </w:rPr>
        <w:t xml:space="preserve">own pet cats and the percentage older than 10 years is increasing. Feline lifespan is estimated at 15 years, although this varies based on geographic location, outdoor access, sex, breed, and other factors [2, 3]. </w:t>
      </w:r>
      <w:bookmarkEnd w:id="0"/>
      <w:r>
        <w:rPr>
          <w:rFonts w:cstheme="minorHAnsi"/>
          <w:sz w:val="24"/>
          <w:szCs w:val="24"/>
        </w:rPr>
        <w:t xml:space="preserve">Older cats experience chronic kidney disease, osteoarthritis, cognitive impairment, cardiovascular disease, diabetes, and cancer. The relationship of aging with these chronic disease conditions is still not well understood, but increasing age is a major risk factor. In this regard, application of the geroscience concept for investigating diseases of aging in the cat would provide a natural model to develop scientifically sound strategies for aging intervention studies in people. Not only is the rationale for developing a naturally occurring aging model in cats based on comorbidities, but the fact that </w:t>
      </w:r>
      <w:bookmarkStart w:id="2" w:name="_Hlk88059738"/>
      <w:r>
        <w:rPr>
          <w:rFonts w:cstheme="minorHAnsi"/>
          <w:sz w:val="24"/>
          <w:szCs w:val="24"/>
        </w:rPr>
        <w:t xml:space="preserve">pet cats share the same environment and live in the same households as people provides even more convincing rationale. In addition, the feline genetic architecture is the product of random mating, and as a result, genomic diversity and population stratification are similar to that occurring in people. </w:t>
      </w:r>
    </w:p>
    <w:bookmarkEnd w:id="2"/>
    <w:p>
      <w:pPr>
        <w:spacing w:after="0" w:line="240" w:lineRule="auto"/>
        <w:ind w:firstLine="360"/>
        <w:rPr>
          <w:rFonts w:cstheme="minorHAnsi"/>
          <w:sz w:val="24"/>
          <w:szCs w:val="24"/>
        </w:rPr>
      </w:pPr>
    </w:p>
    <w:p>
      <w:pPr>
        <w:spacing w:after="0" w:line="240" w:lineRule="auto"/>
        <w:rPr>
          <w:rFonts w:cstheme="minorHAnsi"/>
          <w:sz w:val="24"/>
          <w:szCs w:val="24"/>
        </w:rPr>
      </w:pPr>
      <w:r>
        <w:rPr>
          <w:rFonts w:cstheme="minorHAnsi"/>
          <w:sz w:val="24"/>
          <w:szCs w:val="24"/>
        </w:rPr>
        <w:t>One striking but underappreciated and understudied condition associated with older age in pet cats is cognitive impairment (CI). While CI can be caused by a number of disease conditions, there is now evidence to suggest that cats develop neuropathology lesions very similar to neuropathology lesions associated with Alzheimer’s disease (AD) in people [4, 5]. These lesions include amyloid plaques and tau fibrillary tangles, which in combination are seen in domestic cats and humans, but generally not other mammals. The relationship of these neuropathology lesions with CI has not yet been investigated in cats. Another unique aspect of aging in cats in the development of type 2 diabetes in relation to obesity and insulin resistance similar to humans [6]. Cats respond clinically to diabetic medications including insulin just as humans do and are often on long term treatment for this condition [7]</w:t>
      </w:r>
      <w:r>
        <w:rPr>
          <w:rFonts w:cstheme="minorHAnsi"/>
          <w:color w:val="000000"/>
          <w:sz w:val="24"/>
          <w:szCs w:val="24"/>
        </w:rPr>
        <w:t>.</w:t>
      </w:r>
      <w:r>
        <w:rPr>
          <w:rFonts w:cstheme="minorHAnsi"/>
          <w:sz w:val="24"/>
          <w:szCs w:val="24"/>
        </w:rPr>
        <w:t xml:space="preserve"> Hypertension is very common in older cats and, as in humans, is not well understood [8]. Chronic kidney disease is also very common in older cats [9] and complications can be a frequent cause of death or at least a driving rationale for humane euthanasia. The relationship of progressive renal failure to hypertension would be a fertile model for research on the underlying causes of hypertension. Cardiomyopathy is another common disease condition in cats [10]. </w:t>
      </w:r>
    </w:p>
    <w:p>
      <w:pPr>
        <w:spacing w:after="0" w:line="240" w:lineRule="auto"/>
        <w:ind w:firstLine="360"/>
        <w:rPr>
          <w:rFonts w:cstheme="minorHAnsi"/>
          <w:sz w:val="24"/>
          <w:szCs w:val="24"/>
        </w:rPr>
      </w:pPr>
    </w:p>
    <w:p>
      <w:pPr>
        <w:spacing w:after="0" w:line="240" w:lineRule="auto"/>
        <w:rPr>
          <w:rFonts w:eastAsia="Times New Roman" w:cstheme="minorHAnsi"/>
          <w:sz w:val="24"/>
          <w:szCs w:val="24"/>
        </w:rPr>
      </w:pPr>
      <w:r>
        <w:rPr>
          <w:rFonts w:cstheme="minorHAnsi"/>
          <w:sz w:val="24"/>
          <w:szCs w:val="24"/>
        </w:rPr>
        <w:t>In summary, c</w:t>
      </w:r>
      <w:r>
        <w:rPr>
          <w:rFonts w:eastAsia="Times New Roman" w:cstheme="minorHAnsi"/>
          <w:sz w:val="24"/>
          <w:szCs w:val="24"/>
        </w:rPr>
        <w:t xml:space="preserve">ats are novel in that they develop chronic age-related disease conditions similar to the corresponding disease in older people. These diseases can be managed medically by pet cat owners for years, and thus represent similar chronic comorbidities as seen in humans. In this regard, investigating the relationship between systemic co-morbidities and aging in cats will help to better clarify underlying pathophysiologic mechanisms and identify targets for aging intervention studies. So why is more research on aging not being done in pet cats? One explanation is that there is very little research funding to support pilot studies, model development, or infrastructure types of projects. This is reflected by uninformed scientific review committees that do not appreciate the high impact that a cat aging project would have. Therefore, more work is needed to inform and educate not only the scientific community but also pet cat owners who have the power in numbers to be heard. The message is that the aging pet cat fits well within the geroscience concept as a transformative model to investigate pathways of aging and effectively treat age-related diseases that would benefit both human and feline health.       </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Conflict of Intererst</w:t>
      </w:r>
    </w:p>
    <w:p>
      <w:pPr>
        <w:spacing w:after="0" w:line="240" w:lineRule="auto"/>
        <w:rPr>
          <w:rFonts w:cstheme="minorHAnsi"/>
          <w:sz w:val="24"/>
          <w:szCs w:val="24"/>
        </w:rPr>
      </w:pPr>
      <w:r>
        <w:rPr>
          <w:rFonts w:cstheme="minorHAnsi"/>
          <w:sz w:val="24"/>
          <w:szCs w:val="24"/>
        </w:rPr>
        <w:t>The author declares no conflict of interest</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Funding</w:t>
      </w:r>
    </w:p>
    <w:p>
      <w:pPr>
        <w:spacing w:after="0" w:line="240" w:lineRule="auto"/>
        <w:rPr>
          <w:rFonts w:cstheme="minorHAnsi"/>
          <w:sz w:val="24"/>
          <w:szCs w:val="24"/>
        </w:rPr>
      </w:pPr>
      <w:r>
        <w:rPr>
          <w:rFonts w:cstheme="minorHAnsi"/>
          <w:sz w:val="24"/>
          <w:szCs w:val="24"/>
        </w:rPr>
        <w:t>Supported in part by R24 AG047115</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References</w:t>
      </w:r>
    </w:p>
    <w:p>
      <w:pPr>
        <w:shd w:val="clear" w:color="auto" w:fill="FFFFFF"/>
        <w:spacing w:after="0" w:line="240" w:lineRule="auto"/>
        <w:ind w:left="360" w:hanging="360"/>
        <w:rPr>
          <w:rFonts w:eastAsia="Times New Roman" w:cstheme="minorHAnsi"/>
          <w:sz w:val="24"/>
          <w:szCs w:val="24"/>
        </w:rPr>
      </w:pPr>
      <w:r>
        <w:rPr>
          <w:rFonts w:cstheme="minorHAnsi"/>
          <w:sz w:val="24"/>
          <w:szCs w:val="24"/>
        </w:rPr>
        <w:t xml:space="preserve">1. Sierra F, Kohanski R. </w:t>
      </w:r>
      <w:r>
        <w:fldChar w:fldCharType="begin"/>
      </w:r>
      <w:r>
        <w:instrText xml:space="preserve"> HYPERLINK "https://www.ncbi.nlm.nih.gov/pubmed/28299635" </w:instrText>
      </w:r>
      <w:r>
        <w:fldChar w:fldCharType="separate"/>
      </w:r>
      <w:r>
        <w:rPr>
          <w:rFonts w:cstheme="minorHAnsi"/>
          <w:sz w:val="24"/>
          <w:szCs w:val="24"/>
        </w:rPr>
        <w:t>Geroscience and the trans-NIH Geroscience Interest Group, GSIG.</w:t>
      </w:r>
      <w:r>
        <w:rPr>
          <w:rFonts w:cstheme="minorHAnsi"/>
          <w:sz w:val="24"/>
          <w:szCs w:val="24"/>
        </w:rPr>
        <w:fldChar w:fldCharType="end"/>
      </w:r>
      <w:r>
        <w:rPr>
          <w:rFonts w:cstheme="minorHAnsi"/>
          <w:sz w:val="24"/>
          <w:szCs w:val="24"/>
        </w:rPr>
        <w:t xml:space="preserve"> Geroscience. 2017 Feb;39(1):1-5</w:t>
      </w:r>
    </w:p>
    <w:p>
      <w:pPr>
        <w:shd w:val="clear" w:color="auto" w:fill="FFFFFF"/>
        <w:spacing w:after="0" w:line="240" w:lineRule="auto"/>
        <w:ind w:left="360" w:hanging="360"/>
        <w:rPr>
          <w:rFonts w:eastAsia="Times New Roman" w:cstheme="minorHAnsi"/>
          <w:sz w:val="24"/>
          <w:szCs w:val="24"/>
        </w:rPr>
      </w:pPr>
      <w:r>
        <w:rPr>
          <w:rFonts w:eastAsia="Times New Roman" w:cstheme="minorHAnsi"/>
          <w:sz w:val="24"/>
          <w:szCs w:val="24"/>
        </w:rPr>
        <w:t xml:space="preserve">2. </w:t>
      </w:r>
      <w:r>
        <w:fldChar w:fldCharType="begin"/>
      </w:r>
      <w:r>
        <w:instrText xml:space="preserve"> HYPERLINK "https://pubmed.ncbi.nlm.nih.gov/?term=O%27Neill+DG&amp;cauthor_id=24925771" </w:instrText>
      </w:r>
      <w:r>
        <w:fldChar w:fldCharType="separate"/>
      </w:r>
      <w:r>
        <w:rPr>
          <w:rFonts w:eastAsia="Times New Roman" w:cstheme="minorHAnsi"/>
          <w:sz w:val="24"/>
          <w:szCs w:val="24"/>
        </w:rPr>
        <w:t>O'Neill</w:t>
      </w:r>
      <w:r>
        <w:rPr>
          <w:rFonts w:eastAsia="Times New Roman" w:cstheme="minorHAnsi"/>
          <w:sz w:val="24"/>
          <w:szCs w:val="24"/>
        </w:rPr>
        <w:fldChar w:fldCharType="end"/>
      </w:r>
      <w:r>
        <w:rPr>
          <w:rFonts w:eastAsia="Times New Roman" w:cstheme="minorHAnsi"/>
          <w:sz w:val="24"/>
          <w:szCs w:val="24"/>
        </w:rPr>
        <w:t xml:space="preserve"> DG, </w:t>
      </w:r>
      <w:r>
        <w:fldChar w:fldCharType="begin"/>
      </w:r>
      <w:r>
        <w:instrText xml:space="preserve"> HYPERLINK "https://pubmed.ncbi.nlm.nih.gov/?term=Church+DB&amp;cauthor_id=24925771" </w:instrText>
      </w:r>
      <w:r>
        <w:fldChar w:fldCharType="separate"/>
      </w:r>
      <w:r>
        <w:rPr>
          <w:rFonts w:eastAsia="Times New Roman" w:cstheme="minorHAnsi"/>
          <w:sz w:val="24"/>
          <w:szCs w:val="24"/>
        </w:rPr>
        <w:t>David B Church</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"https://pubmed.ncbi.nlm.nih.gov/?term=McGreevy+PD&amp;cauthor_id=24925771" </w:instrText>
      </w:r>
      <w:r>
        <w:fldChar w:fldCharType="separate"/>
      </w:r>
      <w:r>
        <w:rPr>
          <w:rFonts w:eastAsia="Times New Roman" w:cstheme="minorHAnsi"/>
          <w:sz w:val="24"/>
          <w:szCs w:val="24"/>
        </w:rPr>
        <w:t>Paul D McGreevy</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"https://pubmed.ncbi.nlm.nih.gov/?term=Thomson+PC&amp;cauthor_id=24925771" </w:instrText>
      </w:r>
      <w:r>
        <w:fldChar w:fldCharType="separate"/>
      </w:r>
      <w:r>
        <w:rPr>
          <w:rFonts w:eastAsia="Times New Roman" w:cstheme="minorHAnsi"/>
          <w:sz w:val="24"/>
          <w:szCs w:val="24"/>
        </w:rPr>
        <w:t>Peter C Thomson</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"https://pubmed.ncbi.nlm.nih.gov/?term=Brodbelt+DC&amp;cauthor_id=24925771" </w:instrText>
      </w:r>
      <w:r>
        <w:fldChar w:fldCharType="separate"/>
      </w:r>
      <w:r>
        <w:rPr>
          <w:rFonts w:eastAsia="Times New Roman" w:cstheme="minorHAnsi"/>
          <w:sz w:val="24"/>
          <w:szCs w:val="24"/>
        </w:rPr>
        <w:t>David C Brodbelt</w:t>
      </w:r>
      <w:r>
        <w:rPr>
          <w:rFonts w:eastAsia="Times New Roman" w:cstheme="minorHAnsi"/>
          <w:sz w:val="24"/>
          <w:szCs w:val="24"/>
        </w:rPr>
        <w:fldChar w:fldCharType="end"/>
      </w:r>
      <w:r>
        <w:rPr>
          <w:rFonts w:eastAsia="Times New Roman" w:cstheme="minorHAnsi"/>
          <w:sz w:val="24"/>
          <w:szCs w:val="24"/>
        </w:rPr>
        <w:t>.</w:t>
      </w:r>
      <w:r>
        <w:rPr>
          <w:rFonts w:eastAsia="Times New Roman" w:cstheme="minorHAnsi"/>
          <w:kern w:val="36"/>
          <w:sz w:val="24"/>
          <w:szCs w:val="24"/>
        </w:rPr>
        <w:t xml:space="preserve"> Longevity and mortality of cats attending primary care veterinary practices in England.</w:t>
      </w:r>
      <w:r>
        <w:rPr>
          <w:rFonts w:eastAsia="Times New Roman" w:cstheme="minorHAnsi"/>
          <w:sz w:val="24"/>
          <w:szCs w:val="24"/>
        </w:rPr>
        <w:t xml:space="preserve"> J Feline Med Surg. 2015 Feb;17(2):125-33. doi: 10.1177/1098612X14536176.</w:t>
      </w:r>
    </w:p>
    <w:p>
      <w:pPr>
        <w:shd w:val="clear" w:color="auto" w:fill="FFFFFF"/>
        <w:spacing w:after="0" w:line="240" w:lineRule="auto"/>
        <w:ind w:left="360" w:hanging="360"/>
        <w:rPr>
          <w:rFonts w:eastAsia="Times New Roman" w:cstheme="minorHAnsi"/>
          <w:sz w:val="24"/>
          <w:szCs w:val="24"/>
        </w:rPr>
      </w:pPr>
      <w:r>
        <w:rPr>
          <w:rFonts w:eastAsia="Times New Roman" w:cstheme="minorHAnsi"/>
          <w:sz w:val="24"/>
          <w:szCs w:val="24"/>
        </w:rPr>
        <w:t xml:space="preserve">3. </w:t>
      </w:r>
      <w:r>
        <w:fldChar w:fldCharType="begin"/>
      </w:r>
      <w:r>
        <w:instrText xml:space="preserve"> HYPERLINK "https://pubmed.ncbi.nlm.nih.gov/?term=Teng+KT&amp;cauthor_id=29393723" </w:instrText>
      </w:r>
      <w:r>
        <w:fldChar w:fldCharType="separate"/>
      </w:r>
      <w:r>
        <w:rPr>
          <w:rFonts w:eastAsia="Times New Roman" w:cstheme="minorHAnsi"/>
          <w:sz w:val="24"/>
          <w:szCs w:val="24"/>
        </w:rPr>
        <w:t>Teng</w:t>
      </w:r>
      <w:r>
        <w:rPr>
          <w:rFonts w:eastAsia="Times New Roman" w:cstheme="minorHAnsi"/>
          <w:sz w:val="24"/>
          <w:szCs w:val="24"/>
        </w:rPr>
        <w:fldChar w:fldCharType="end"/>
      </w:r>
      <w:r>
        <w:rPr>
          <w:rFonts w:eastAsia="Times New Roman" w:cstheme="minorHAnsi"/>
          <w:sz w:val="24"/>
          <w:szCs w:val="24"/>
        </w:rPr>
        <w:t xml:space="preserve"> KT, </w:t>
      </w:r>
      <w:r>
        <w:fldChar w:fldCharType="begin"/>
      </w:r>
      <w:r>
        <w:instrText xml:space="preserve"> HYPERLINK "https://pubmed.ncbi.nlm.nih.gov/?term=McGreevy+PD&amp;cauthor_id=29393723" </w:instrText>
      </w:r>
      <w:r>
        <w:fldChar w:fldCharType="separate"/>
      </w:r>
      <w:r>
        <w:rPr>
          <w:rFonts w:eastAsia="Times New Roman" w:cstheme="minorHAnsi"/>
          <w:sz w:val="24"/>
          <w:szCs w:val="24"/>
        </w:rPr>
        <w:t>Paul D McGreevy</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"https://pubmed.ncbi.nlm.nih.gov/?term=Toribio+JL&amp;cauthor_id=29393723" </w:instrText>
      </w:r>
      <w:r>
        <w:fldChar w:fldCharType="separate"/>
      </w:r>
      <w:r>
        <w:rPr>
          <w:rFonts w:eastAsia="Times New Roman" w:cstheme="minorHAnsi"/>
          <w:sz w:val="24"/>
          <w:szCs w:val="24"/>
        </w:rPr>
        <w:t>Jenny-Ann Lml Toribio</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"https://pubmed.ncbi.nlm.nih.gov/?term=Raubenheimer+D&amp;cauthor_id=29393723" </w:instrText>
      </w:r>
      <w:r>
        <w:fldChar w:fldCharType="separate"/>
      </w:r>
      <w:r>
        <w:rPr>
          <w:rFonts w:eastAsia="Times New Roman" w:cstheme="minorHAnsi"/>
          <w:sz w:val="24"/>
          <w:szCs w:val="24"/>
        </w:rPr>
        <w:t>David Raubenheimer</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"https://pubmed.ncbi.nlm.nih.gov/?term=Kendall+K&amp;cauthor_id=29393723" </w:instrText>
      </w:r>
      <w:r>
        <w:fldChar w:fldCharType="separate"/>
      </w:r>
      <w:r>
        <w:rPr>
          <w:rFonts w:eastAsia="Times New Roman" w:cstheme="minorHAnsi"/>
          <w:sz w:val="24"/>
          <w:szCs w:val="24"/>
        </w:rPr>
        <w:t>Kim Kendall</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"https://pubmed.ncbi.nlm.nih.gov/?term=Dhand+NK&amp;cauthor_id=29393723" </w:instrText>
      </w:r>
      <w:r>
        <w:fldChar w:fldCharType="separate"/>
      </w:r>
      <w:r>
        <w:rPr>
          <w:rFonts w:eastAsia="Times New Roman" w:cstheme="minorHAnsi"/>
          <w:sz w:val="24"/>
          <w:szCs w:val="24"/>
        </w:rPr>
        <w:t>Navneet K Dhand</w:t>
      </w:r>
      <w:r>
        <w:rPr>
          <w:rFonts w:eastAsia="Times New Roman" w:cstheme="minorHAnsi"/>
          <w:sz w:val="24"/>
          <w:szCs w:val="24"/>
        </w:rPr>
        <w:fldChar w:fldCharType="end"/>
      </w:r>
      <w:r>
        <w:rPr>
          <w:rFonts w:eastAsia="Times New Roman" w:cstheme="minorHAnsi"/>
          <w:sz w:val="24"/>
          <w:szCs w:val="24"/>
        </w:rPr>
        <w:t>.</w:t>
      </w:r>
      <w:r>
        <w:rPr>
          <w:rFonts w:eastAsia="Times New Roman" w:cstheme="minorHAnsi"/>
          <w:color w:val="5B616B"/>
          <w:sz w:val="24"/>
          <w:szCs w:val="24"/>
          <w:vertAlign w:val="superscript"/>
        </w:rPr>
        <w:t> </w:t>
      </w:r>
      <w:r>
        <w:rPr>
          <w:rFonts w:eastAsia="Times New Roman" w:cstheme="minorHAnsi"/>
          <w:kern w:val="36"/>
          <w:sz w:val="24"/>
          <w:szCs w:val="24"/>
        </w:rPr>
        <w:t>Strong associations of nine-point body condition scoring with survival and lifespan in cats.</w:t>
      </w:r>
      <w:r>
        <w:rPr>
          <w:rFonts w:eastAsia="Times New Roman" w:cstheme="minorHAnsi"/>
          <w:sz w:val="24"/>
          <w:szCs w:val="24"/>
        </w:rPr>
        <w:t xml:space="preserve"> J Feline Med Surg. 2018 Dec;20(12):1110-1118. doi: 10.1177/1098612X17752198. Epub 2018 Feb 2.</w:t>
      </w:r>
    </w:p>
    <w:p>
      <w:pPr>
        <w:spacing w:after="0" w:line="240" w:lineRule="auto"/>
        <w:ind w:left="360" w:hanging="360"/>
        <w:rPr>
          <w:rFonts w:eastAsia="Times New Roman" w:cstheme="minorHAnsi"/>
          <w:sz w:val="24"/>
          <w:szCs w:val="24"/>
        </w:rPr>
      </w:pPr>
      <w:r>
        <w:rPr>
          <w:rFonts w:eastAsia="Times New Roman" w:cstheme="minorHAnsi"/>
          <w:sz w:val="24"/>
          <w:szCs w:val="24"/>
        </w:rPr>
        <w:t>4. Chambers, James K., et al. The domestic cat as a natural animal model of Alzheimer’s disease. Acta neuropathologica communications 3.1 (2015): 78.</w:t>
      </w:r>
    </w:p>
    <w:p>
      <w:pPr>
        <w:spacing w:after="0" w:line="240" w:lineRule="auto"/>
        <w:ind w:left="360" w:hanging="360"/>
        <w:rPr>
          <w:rFonts w:cstheme="minorHAnsi"/>
          <w:sz w:val="24"/>
          <w:szCs w:val="24"/>
        </w:rPr>
      </w:pPr>
      <w:r>
        <w:rPr>
          <w:rFonts w:cstheme="minorHAnsi"/>
          <w:sz w:val="24"/>
          <w:szCs w:val="24"/>
        </w:rPr>
        <w:t>5. Klug J, Jessica M. Snyder, Martin Darvas, C Dirk Keene, Warren Ladiges.  Aging pet cats develop neuropathology similar to human Alzheimer’s disease. Aging Pathobiology and Therapeutics, 2020, 2(3): 120-125</w:t>
      </w:r>
    </w:p>
    <w:p>
      <w:pPr>
        <w:autoSpaceDE w:val="0"/>
        <w:autoSpaceDN w:val="0"/>
        <w:adjustRightInd w:val="0"/>
        <w:spacing w:after="0" w:line="240" w:lineRule="auto"/>
        <w:ind w:left="360" w:hanging="360"/>
        <w:rPr>
          <w:rFonts w:cstheme="minorHAnsi"/>
          <w:sz w:val="24"/>
          <w:szCs w:val="24"/>
        </w:rPr>
      </w:pPr>
      <w:r>
        <w:rPr>
          <w:rFonts w:cstheme="minorHAnsi"/>
          <w:sz w:val="24"/>
          <w:szCs w:val="24"/>
        </w:rPr>
        <w:t xml:space="preserve">6. Osto, Melania; Zini, Eric; Reusch, Claudia E; Lutz, Thomas A (2013). Diabetes from humans to cats. General and Comparative Endocrinology, 182C:48-53. DOI: </w:t>
      </w:r>
      <w:r>
        <w:fldChar w:fldCharType="begin"/>
      </w:r>
      <w:r>
        <w:instrText xml:space="preserve"> HYPERLINK "https://doi.org/10.1016/j.ygcen.2012.11.019" </w:instrText>
      </w:r>
      <w:r>
        <w:fldChar w:fldCharType="separate"/>
      </w:r>
      <w:r>
        <w:rPr>
          <w:rFonts w:cstheme="minorHAnsi"/>
          <w:sz w:val="24"/>
          <w:szCs w:val="24"/>
        </w:rPr>
        <w:t>https://doi.org/10.1016/j.ygcen.2012.11.019</w:t>
      </w:r>
      <w:r>
        <w:rPr>
          <w:rFonts w:cstheme="minorHAnsi"/>
          <w:sz w:val="24"/>
          <w:szCs w:val="24"/>
        </w:rPr>
        <w:fldChar w:fldCharType="end"/>
      </w:r>
    </w:p>
    <w:p>
      <w:pPr>
        <w:autoSpaceDE w:val="0"/>
        <w:autoSpaceDN w:val="0"/>
        <w:adjustRightInd w:val="0"/>
        <w:spacing w:after="0" w:line="240" w:lineRule="auto"/>
        <w:ind w:left="360" w:hanging="360"/>
        <w:rPr>
          <w:rFonts w:cstheme="minorHAnsi"/>
          <w:color w:val="000000"/>
          <w:sz w:val="24"/>
          <w:szCs w:val="24"/>
        </w:rPr>
      </w:pPr>
      <w:r>
        <w:rPr>
          <w:rFonts w:cstheme="minorHAnsi"/>
          <w:color w:val="000000"/>
          <w:sz w:val="24"/>
          <w:szCs w:val="24"/>
        </w:rPr>
        <w:t>7. Gottlieb S, Rand J, Anderson ST, Morton JM, Dias DA, Boughton BA, Roessner U and Ramadan Z (2020). Metabolic Profiling of Diabetic Cats in Remission. Front. Vet. Sci. 7:218. doi: 10.3389/fvets.2020.00218</w:t>
      </w:r>
    </w:p>
    <w:p>
      <w:pPr>
        <w:autoSpaceDE w:val="0"/>
        <w:autoSpaceDN w:val="0"/>
        <w:adjustRightInd w:val="0"/>
        <w:spacing w:after="0" w:line="240" w:lineRule="auto"/>
        <w:ind w:left="360" w:hanging="360"/>
        <w:rPr>
          <w:rFonts w:cstheme="minorHAnsi"/>
          <w:sz w:val="24"/>
          <w:szCs w:val="24"/>
        </w:rPr>
      </w:pPr>
      <w:r>
        <w:rPr>
          <w:rFonts w:cstheme="minorHAnsi"/>
          <w:sz w:val="24"/>
          <w:szCs w:val="24"/>
        </w:rPr>
        <w:t>8. Acierno MJ, Scott Brown, Amanda E. Coleman, Rosanne E. Jepson, Mark Papich, Rebecca L. Stepien, Harriet M. Syme. ACVIM consensus statement: Guidelines for the identification, evaluation, and management of systemic hypertension in dogs and cats. J Vet Intern Med. 2018;32:1803–1822.</w:t>
      </w:r>
    </w:p>
    <w:p>
      <w:pPr>
        <w:autoSpaceDE w:val="0"/>
        <w:autoSpaceDN w:val="0"/>
        <w:adjustRightInd w:val="0"/>
        <w:spacing w:after="0" w:line="240" w:lineRule="auto"/>
        <w:ind w:left="360" w:hanging="360"/>
        <w:rPr>
          <w:rFonts w:cstheme="minorHAnsi"/>
          <w:sz w:val="24"/>
          <w:szCs w:val="24"/>
        </w:rPr>
      </w:pPr>
      <w:r>
        <w:rPr>
          <w:rFonts w:cstheme="minorHAnsi"/>
          <w:sz w:val="24"/>
          <w:szCs w:val="24"/>
        </w:rPr>
        <w:t>9. Brown CA, J. Elliott, C. W. Schmiedt, and S. A. Brown. Chronic Kidney Disease in Aged Cats: Clinical Features, Morphology, and Proposed Pathogeneses. Veterinary Pathology 2016, Vol. 53(2) 309-326.</w:t>
      </w:r>
      <w:bookmarkStart w:id="3" w:name="_Hlk73700695"/>
    </w:p>
    <w:p>
      <w:pPr>
        <w:spacing w:after="0" w:line="240" w:lineRule="auto"/>
        <w:ind w:left="360" w:hanging="360"/>
        <w:rPr>
          <w:rFonts w:eastAsia="Times New Roman" w:cstheme="minorHAnsi"/>
          <w:iCs/>
          <w:sz w:val="24"/>
          <w:szCs w:val="24"/>
        </w:rPr>
      </w:pPr>
      <w:r>
        <w:rPr>
          <w:rFonts w:cstheme="minorHAnsi"/>
          <w:color w:val="231F20"/>
          <w:sz w:val="24"/>
          <w:szCs w:val="24"/>
        </w:rPr>
        <w:t>10. Fox PR, Bruce W. Keene, Kenneth Lamb, et al.</w:t>
      </w:r>
      <w:r>
        <w:rPr>
          <w:rFonts w:eastAsia="Times New Roman" w:cstheme="minorHAnsi"/>
          <w:iCs/>
          <w:sz w:val="24"/>
          <w:szCs w:val="24"/>
        </w:rPr>
        <w:t xml:space="preserve"> </w:t>
      </w:r>
      <w:r>
        <w:rPr>
          <w:rFonts w:cstheme="minorHAnsi"/>
          <w:color w:val="231F20"/>
          <w:sz w:val="24"/>
          <w:szCs w:val="24"/>
        </w:rPr>
        <w:t>International collaborative study to assess cardiovascular risk</w:t>
      </w:r>
      <w:r>
        <w:rPr>
          <w:rFonts w:eastAsia="Times New Roman" w:cstheme="minorHAnsi"/>
          <w:iCs/>
          <w:sz w:val="24"/>
          <w:szCs w:val="24"/>
        </w:rPr>
        <w:t xml:space="preserve"> </w:t>
      </w:r>
      <w:r>
        <w:rPr>
          <w:rFonts w:cstheme="minorHAnsi"/>
          <w:color w:val="231F20"/>
          <w:sz w:val="24"/>
          <w:szCs w:val="24"/>
        </w:rPr>
        <w:t>and evaluate long-term health in cats with preclinical hypertrophic cardiomyopathy and apparently healthy cats:The REVEAL Study. J Vet Intern Med. 2018;32:930–943.</w:t>
      </w:r>
    </w:p>
    <w:p>
      <w:pPr>
        <w:autoSpaceDE w:val="0"/>
        <w:autoSpaceDN w:val="0"/>
        <w:adjustRightInd w:val="0"/>
        <w:spacing w:after="0" w:line="240" w:lineRule="auto"/>
        <w:ind w:left="360" w:hanging="360"/>
        <w:rPr>
          <w:rFonts w:cstheme="minorHAnsi"/>
          <w:color w:val="000000"/>
          <w:sz w:val="24"/>
          <w:szCs w:val="24"/>
        </w:rPr>
      </w:pPr>
    </w:p>
    <w:p>
      <w:pPr>
        <w:autoSpaceDE w:val="0"/>
        <w:autoSpaceDN w:val="0"/>
        <w:adjustRightInd w:val="0"/>
        <w:spacing w:after="0" w:line="240" w:lineRule="auto"/>
        <w:ind w:left="360" w:hanging="360"/>
        <w:rPr>
          <w:rFonts w:ascii="Arial" w:hAnsi="Arial" w:cs="Arial"/>
          <w:color w:val="000000"/>
        </w:rPr>
      </w:pPr>
    </w:p>
    <w:bookmarkEnd w:id="3"/>
    <w:p>
      <w:pPr>
        <w:spacing w:after="0" w:line="240" w:lineRule="auto"/>
        <w:rPr>
          <w:rFonts w:cstheme="minorHAnsi"/>
          <w:sz w:val="24"/>
          <w:szCs w:val="24"/>
        </w:rPr>
      </w:pPr>
    </w:p>
    <w:p>
      <w:pPr>
        <w:shd w:val="clear" w:color="auto" w:fill="FFFFFF"/>
        <w:spacing w:after="0" w:line="240" w:lineRule="auto"/>
        <w:ind w:left="360" w:hanging="360"/>
        <w:rPr>
          <w:rFonts w:ascii="Arial" w:hAnsi="Arial" w:eastAsia="Times New Roman" w:cs="Arial"/>
        </w:rPr>
      </w:pPr>
    </w:p>
    <w:p>
      <w:pPr>
        <w:autoSpaceDE w:val="0"/>
        <w:autoSpaceDN w:val="0"/>
        <w:adjustRightInd w:val="0"/>
        <w:spacing w:after="0" w:line="240" w:lineRule="auto"/>
        <w:ind w:left="360" w:hanging="360"/>
        <w:rPr>
          <w:rFonts w:ascii="Arial" w:hAnsi="Arial" w:cs="Arial"/>
        </w:rPr>
      </w:pPr>
    </w:p>
    <w:p>
      <w:pPr>
        <w:spacing w:after="0" w:line="240" w:lineRule="auto"/>
        <w:rPr>
          <w:rFonts w:ascii="Arial" w:hAnsi="Arial" w:cs="Arial"/>
        </w:rPr>
      </w:pPr>
    </w:p>
    <w:p>
      <w:pPr>
        <w:shd w:val="clear" w:color="auto" w:fill="FFFFFF"/>
        <w:spacing w:after="0" w:line="240" w:lineRule="auto"/>
        <w:ind w:left="360" w:hanging="360"/>
        <w:rPr>
          <w:rFonts w:ascii="Times New Roman" w:hAnsi="Times New Roman" w:eastAsia="Times New Roman" w:cs="Times New Roman"/>
          <w:sz w:val="24"/>
          <w:szCs w:val="24"/>
        </w:rPr>
      </w:pPr>
    </w:p>
    <w:p>
      <w:pPr>
        <w:spacing w:after="0" w:line="240" w:lineRule="auto"/>
        <w:rPr>
          <w:rFonts w:cstheme="minorHAnsi"/>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D9"/>
    <w:rsid w:val="000427FE"/>
    <w:rsid w:val="00123309"/>
    <w:rsid w:val="00125A16"/>
    <w:rsid w:val="00195C92"/>
    <w:rsid w:val="001C3951"/>
    <w:rsid w:val="001E4DF1"/>
    <w:rsid w:val="001E7BCB"/>
    <w:rsid w:val="00273F51"/>
    <w:rsid w:val="002A55B3"/>
    <w:rsid w:val="002F37D9"/>
    <w:rsid w:val="003510BC"/>
    <w:rsid w:val="00363447"/>
    <w:rsid w:val="003F46FD"/>
    <w:rsid w:val="003F67E0"/>
    <w:rsid w:val="0040229D"/>
    <w:rsid w:val="00453E6F"/>
    <w:rsid w:val="004D3826"/>
    <w:rsid w:val="004D6C7B"/>
    <w:rsid w:val="004E0E05"/>
    <w:rsid w:val="004F0621"/>
    <w:rsid w:val="004F69C1"/>
    <w:rsid w:val="00516637"/>
    <w:rsid w:val="00553B97"/>
    <w:rsid w:val="005610CE"/>
    <w:rsid w:val="005C7276"/>
    <w:rsid w:val="00622E07"/>
    <w:rsid w:val="00690597"/>
    <w:rsid w:val="006A2A00"/>
    <w:rsid w:val="006A6143"/>
    <w:rsid w:val="006D30E2"/>
    <w:rsid w:val="00776476"/>
    <w:rsid w:val="00804F67"/>
    <w:rsid w:val="008C0EE0"/>
    <w:rsid w:val="00936651"/>
    <w:rsid w:val="00951111"/>
    <w:rsid w:val="00960DD1"/>
    <w:rsid w:val="00983F91"/>
    <w:rsid w:val="00A33188"/>
    <w:rsid w:val="00A3638E"/>
    <w:rsid w:val="00A56407"/>
    <w:rsid w:val="00A766D8"/>
    <w:rsid w:val="00A955D2"/>
    <w:rsid w:val="00AA040E"/>
    <w:rsid w:val="00AD1003"/>
    <w:rsid w:val="00B15D0E"/>
    <w:rsid w:val="00CA79AF"/>
    <w:rsid w:val="00CB07A6"/>
    <w:rsid w:val="00CB1472"/>
    <w:rsid w:val="00CF19FB"/>
    <w:rsid w:val="00D1036C"/>
    <w:rsid w:val="00D35E81"/>
    <w:rsid w:val="00D407DD"/>
    <w:rsid w:val="00DA1C8E"/>
    <w:rsid w:val="00DE218F"/>
    <w:rsid w:val="00E001A4"/>
    <w:rsid w:val="00E134CD"/>
    <w:rsid w:val="00E5054F"/>
    <w:rsid w:val="00E62DBD"/>
    <w:rsid w:val="00E84A62"/>
    <w:rsid w:val="00F14836"/>
    <w:rsid w:val="00FB45BA"/>
    <w:rsid w:val="00FC10DB"/>
    <w:rsid w:val="0B31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1502</Words>
  <Characters>8567</Characters>
  <Lines>71</Lines>
  <Paragraphs>20</Paragraphs>
  <TotalTime>5</TotalTime>
  <ScaleCrop>false</ScaleCrop>
  <LinksUpToDate>false</LinksUpToDate>
  <CharactersWithSpaces>10049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2021-11-22T05:33:00Z</dcterms:created>
  <dc:creator>Warren Ladiges</dc:creator>
  <cp:lastModifiedBy>lala</cp:lastModifiedBy>
  <cp:lastPrinted>2021-11-18T07:24:00Z</cp:lastPrinted>
  <dcterms:modified xsi:type="dcterms:W3CDTF">2021-11-22T06:20:12Z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AF02F2BDB03841028474E4144735F38E</vt:lpwstr>
  </property>
</Properties>
</file>