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A" w:rsidRDefault="00132ECA" w:rsidP="0021728A">
      <w:pPr>
        <w:bidi w:val="0"/>
        <w:spacing w:line="480" w:lineRule="auto"/>
        <w:rPr>
          <w:rFonts w:asciiTheme="majorBidi" w:hAnsiTheme="majorBidi" w:cstheme="majorBidi"/>
          <w:b/>
          <w:bCs/>
          <w:sz w:val="30"/>
          <w:szCs w:val="30"/>
        </w:rPr>
      </w:pPr>
      <w:proofErr w:type="spellStart"/>
      <w:r>
        <w:rPr>
          <w:rFonts w:asciiTheme="majorBidi" w:hAnsiTheme="majorBidi" w:cstheme="majorBidi"/>
          <w:b/>
          <w:bCs/>
          <w:sz w:val="30"/>
          <w:szCs w:val="30"/>
        </w:rPr>
        <w:t>Therapu</w:t>
      </w:r>
      <w:r w:rsidR="00BC5090">
        <w:rPr>
          <w:rFonts w:asciiTheme="majorBidi" w:hAnsiTheme="majorBidi" w:cstheme="majorBidi"/>
          <w:b/>
          <w:bCs/>
          <w:sz w:val="30"/>
          <w:szCs w:val="30"/>
        </w:rPr>
        <w:t>e</w:t>
      </w:r>
      <w:r>
        <w:rPr>
          <w:rFonts w:asciiTheme="majorBidi" w:hAnsiTheme="majorBidi" w:cstheme="majorBidi"/>
          <w:b/>
          <w:bCs/>
          <w:sz w:val="30"/>
          <w:szCs w:val="30"/>
        </w:rPr>
        <w:t>tic</w:t>
      </w:r>
      <w:proofErr w:type="spellEnd"/>
      <w:r>
        <w:rPr>
          <w:rFonts w:asciiTheme="majorBidi" w:hAnsiTheme="majorBidi" w:cstheme="majorBidi"/>
          <w:b/>
          <w:bCs/>
          <w:sz w:val="30"/>
          <w:szCs w:val="30"/>
        </w:rPr>
        <w:t xml:space="preserve"> Brief</w:t>
      </w:r>
    </w:p>
    <w:p w:rsidR="00DE0176" w:rsidRPr="00FB3AAB" w:rsidRDefault="0021728A" w:rsidP="00595E0C">
      <w:pPr>
        <w:bidi w:val="0"/>
        <w:spacing w:line="480" w:lineRule="auto"/>
        <w:rPr>
          <w:rFonts w:asciiTheme="majorBidi" w:hAnsiTheme="majorBidi" w:cstheme="majorBidi"/>
          <w:b/>
          <w:bCs/>
          <w:sz w:val="30"/>
          <w:szCs w:val="30"/>
        </w:rPr>
      </w:pPr>
      <w:r>
        <w:rPr>
          <w:rFonts w:asciiTheme="majorBidi" w:hAnsiTheme="majorBidi" w:cstheme="majorBidi"/>
          <w:b/>
          <w:bCs/>
          <w:sz w:val="30"/>
          <w:szCs w:val="30"/>
        </w:rPr>
        <w:t xml:space="preserve">Title: </w:t>
      </w:r>
      <w:r w:rsidR="009A750D" w:rsidRPr="00FB3AAB">
        <w:rPr>
          <w:rFonts w:asciiTheme="majorBidi" w:hAnsiTheme="majorBidi" w:cstheme="majorBidi"/>
          <w:b/>
          <w:bCs/>
          <w:sz w:val="30"/>
          <w:szCs w:val="30"/>
        </w:rPr>
        <w:t>Comparison of subthalamic nucleus and</w:t>
      </w:r>
      <w:r w:rsidR="00DE0176" w:rsidRPr="00FB3AAB">
        <w:rPr>
          <w:rFonts w:asciiTheme="majorBidi" w:hAnsiTheme="majorBidi" w:cstheme="majorBidi"/>
          <w:b/>
          <w:bCs/>
          <w:sz w:val="30"/>
          <w:szCs w:val="30"/>
        </w:rPr>
        <w:t xml:space="preserve"> globus pa</w:t>
      </w:r>
      <w:r w:rsidR="005E04FA" w:rsidRPr="00FB3AAB">
        <w:rPr>
          <w:rFonts w:asciiTheme="majorBidi" w:hAnsiTheme="majorBidi" w:cstheme="majorBidi"/>
          <w:b/>
          <w:bCs/>
          <w:sz w:val="30"/>
          <w:szCs w:val="30"/>
        </w:rPr>
        <w:t>l</w:t>
      </w:r>
      <w:r w:rsidR="00DE0176" w:rsidRPr="00FB3AAB">
        <w:rPr>
          <w:rFonts w:asciiTheme="majorBidi" w:hAnsiTheme="majorBidi" w:cstheme="majorBidi"/>
          <w:b/>
          <w:bCs/>
          <w:sz w:val="30"/>
          <w:szCs w:val="30"/>
        </w:rPr>
        <w:t>lidus deep brain s</w:t>
      </w:r>
      <w:bookmarkStart w:id="0" w:name="_GoBack"/>
      <w:r w:rsidR="00DE0176" w:rsidRPr="00FB3AAB">
        <w:rPr>
          <w:rFonts w:asciiTheme="majorBidi" w:hAnsiTheme="majorBidi" w:cstheme="majorBidi"/>
          <w:b/>
          <w:bCs/>
          <w:sz w:val="30"/>
          <w:szCs w:val="30"/>
        </w:rPr>
        <w:t>t</w:t>
      </w:r>
      <w:bookmarkEnd w:id="0"/>
      <w:r w:rsidR="00DE0176" w:rsidRPr="00FB3AAB">
        <w:rPr>
          <w:rFonts w:asciiTheme="majorBidi" w:hAnsiTheme="majorBidi" w:cstheme="majorBidi"/>
          <w:b/>
          <w:bCs/>
          <w:sz w:val="30"/>
          <w:szCs w:val="30"/>
        </w:rPr>
        <w:t>imulation in Parkinson</w:t>
      </w:r>
      <w:r w:rsidR="00F564E3" w:rsidRPr="00FB3AAB">
        <w:rPr>
          <w:rFonts w:asciiTheme="majorBidi" w:hAnsiTheme="majorBidi" w:cstheme="majorBidi"/>
          <w:b/>
          <w:bCs/>
          <w:sz w:val="30"/>
          <w:szCs w:val="30"/>
        </w:rPr>
        <w:t>'</w:t>
      </w:r>
      <w:r w:rsidR="00DE0176" w:rsidRPr="00FB3AAB">
        <w:rPr>
          <w:rFonts w:asciiTheme="majorBidi" w:hAnsiTheme="majorBidi" w:cstheme="majorBidi"/>
          <w:b/>
          <w:bCs/>
          <w:sz w:val="30"/>
          <w:szCs w:val="30"/>
        </w:rPr>
        <w:t xml:space="preserve">s </w:t>
      </w:r>
      <w:r w:rsidR="00CB015C" w:rsidRPr="00FB3AAB">
        <w:rPr>
          <w:rFonts w:asciiTheme="majorBidi" w:hAnsiTheme="majorBidi" w:cstheme="majorBidi"/>
          <w:b/>
          <w:bCs/>
          <w:sz w:val="30"/>
          <w:szCs w:val="30"/>
        </w:rPr>
        <w:t>disease</w:t>
      </w:r>
      <w:r w:rsidR="00DE0176" w:rsidRPr="00FB3AAB">
        <w:rPr>
          <w:rFonts w:asciiTheme="majorBidi" w:hAnsiTheme="majorBidi" w:cstheme="majorBidi"/>
          <w:b/>
          <w:bCs/>
          <w:sz w:val="30"/>
          <w:szCs w:val="30"/>
        </w:rPr>
        <w:t xml:space="preserve"> </w:t>
      </w:r>
    </w:p>
    <w:p w:rsidR="00DE0176" w:rsidRPr="008F60CC" w:rsidRDefault="00DE0176" w:rsidP="001E17AC">
      <w:pPr>
        <w:bidi w:val="0"/>
        <w:spacing w:line="480" w:lineRule="auto"/>
        <w:rPr>
          <w:rFonts w:asciiTheme="majorBidi" w:hAnsiTheme="majorBidi" w:cstheme="majorBidi"/>
        </w:rPr>
      </w:pPr>
      <w:r w:rsidRPr="008F60CC">
        <w:rPr>
          <w:rFonts w:asciiTheme="majorBidi" w:hAnsiTheme="majorBidi" w:cstheme="majorBidi"/>
          <w:b/>
          <w:bCs/>
          <w:sz w:val="24"/>
          <w:szCs w:val="24"/>
        </w:rPr>
        <w:t xml:space="preserve">Hushyar Azari MD. </w:t>
      </w:r>
      <w:r w:rsidRPr="008F60CC">
        <w:rPr>
          <w:rFonts w:asciiTheme="majorBidi" w:hAnsiTheme="majorBidi" w:cstheme="majorBidi"/>
        </w:rPr>
        <w:t>Urmia University of Medical Sciences, Urmia, Iran</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ORCID: 0000-0002-4340-2830</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Phone: +989188811447 - +98 44 3223 4897</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Fax: +98 44 322 290 59</w:t>
      </w:r>
    </w:p>
    <w:p w:rsidR="00E96811" w:rsidRPr="008F60CC" w:rsidRDefault="00E96811" w:rsidP="00E96811">
      <w:pPr>
        <w:spacing w:line="480" w:lineRule="auto"/>
        <w:jc w:val="right"/>
        <w:rPr>
          <w:rFonts w:asciiTheme="majorBidi" w:hAnsiTheme="majorBidi" w:cstheme="majorBidi"/>
        </w:rPr>
      </w:pPr>
      <w:r w:rsidRPr="008F60CC">
        <w:rPr>
          <w:rFonts w:asciiTheme="majorBidi" w:hAnsiTheme="majorBidi" w:cstheme="majorBidi"/>
        </w:rPr>
        <w:t>Postal code: 571478334</w:t>
      </w:r>
    </w:p>
    <w:p w:rsidR="00E96811" w:rsidRPr="008F60CC" w:rsidRDefault="00E96811" w:rsidP="00E96811">
      <w:pPr>
        <w:bidi w:val="0"/>
        <w:spacing w:line="480" w:lineRule="auto"/>
        <w:jc w:val="both"/>
        <w:rPr>
          <w:rFonts w:asciiTheme="majorBidi" w:hAnsiTheme="majorBidi" w:cstheme="majorBidi"/>
        </w:rPr>
      </w:pPr>
      <w:proofErr w:type="gramStart"/>
      <w:r w:rsidRPr="008F60CC">
        <w:rPr>
          <w:rFonts w:asciiTheme="majorBidi" w:hAnsiTheme="majorBidi" w:cstheme="majorBidi"/>
        </w:rPr>
        <w:t>Email :</w:t>
      </w:r>
      <w:proofErr w:type="gramEnd"/>
      <w:r w:rsidRPr="008F60CC">
        <w:rPr>
          <w:rFonts w:asciiTheme="majorBidi" w:hAnsiTheme="majorBidi" w:cstheme="majorBidi"/>
        </w:rPr>
        <w:t xml:space="preserve"> </w:t>
      </w:r>
      <w:hyperlink r:id="rId8" w:history="1">
        <w:r w:rsidR="00CA7974" w:rsidRPr="008F60CC">
          <w:rPr>
            <w:rStyle w:val="Hyperlink"/>
            <w:rFonts w:asciiTheme="majorBidi" w:hAnsiTheme="majorBidi" w:cstheme="majorBidi"/>
          </w:rPr>
          <w:t>hushyarazari@hotmail.com</w:t>
        </w:r>
      </w:hyperlink>
    </w:p>
    <w:p w:rsidR="00CA7974" w:rsidRPr="008F60CC" w:rsidRDefault="00CA7974" w:rsidP="00CA7974">
      <w:pPr>
        <w:bidi w:val="0"/>
        <w:spacing w:line="480" w:lineRule="auto"/>
        <w:jc w:val="both"/>
        <w:rPr>
          <w:rFonts w:asciiTheme="majorBidi" w:hAnsiTheme="majorBidi" w:cstheme="majorBidi"/>
        </w:rPr>
      </w:pPr>
      <w:proofErr w:type="spellStart"/>
      <w:r w:rsidRPr="008F60CC">
        <w:rPr>
          <w:rFonts w:asciiTheme="majorBidi" w:hAnsiTheme="majorBidi" w:cstheme="majorBidi"/>
        </w:rPr>
        <w:t>Adress</w:t>
      </w:r>
      <w:proofErr w:type="spellEnd"/>
      <w:r w:rsidRPr="008F60CC">
        <w:rPr>
          <w:rFonts w:asciiTheme="majorBidi" w:hAnsiTheme="majorBidi" w:cstheme="majorBidi"/>
        </w:rPr>
        <w:t xml:space="preserve">: </w:t>
      </w:r>
      <w:proofErr w:type="spellStart"/>
      <w:r w:rsidRPr="008F60CC">
        <w:rPr>
          <w:rFonts w:asciiTheme="majorBidi" w:hAnsiTheme="majorBidi" w:cstheme="majorBidi"/>
        </w:rPr>
        <w:t>Orjhans</w:t>
      </w:r>
      <w:proofErr w:type="spellEnd"/>
      <w:r w:rsidRPr="008F60CC">
        <w:rPr>
          <w:rFonts w:asciiTheme="majorBidi" w:hAnsiTheme="majorBidi" w:cstheme="majorBidi"/>
        </w:rPr>
        <w:t xml:space="preserve"> Street, </w:t>
      </w:r>
      <w:proofErr w:type="spellStart"/>
      <w:r w:rsidRPr="008F60CC">
        <w:rPr>
          <w:rFonts w:asciiTheme="majorBidi" w:hAnsiTheme="majorBidi" w:cstheme="majorBidi"/>
        </w:rPr>
        <w:t>Resalat</w:t>
      </w:r>
      <w:proofErr w:type="spellEnd"/>
      <w:r w:rsidRPr="008F60CC">
        <w:rPr>
          <w:rFonts w:asciiTheme="majorBidi" w:hAnsiTheme="majorBidi" w:cstheme="majorBidi"/>
        </w:rPr>
        <w:t xml:space="preserve"> Blvd, </w:t>
      </w:r>
      <w:proofErr w:type="gramStart"/>
      <w:r w:rsidRPr="008F60CC">
        <w:rPr>
          <w:rFonts w:asciiTheme="majorBidi" w:hAnsiTheme="majorBidi" w:cstheme="majorBidi"/>
        </w:rPr>
        <w:t>Urmia ,</w:t>
      </w:r>
      <w:proofErr w:type="gramEnd"/>
      <w:r w:rsidRPr="008F60CC">
        <w:rPr>
          <w:rFonts w:asciiTheme="majorBidi" w:hAnsiTheme="majorBidi" w:cstheme="majorBidi"/>
        </w:rPr>
        <w:t xml:space="preserve"> Iran (Postal Code:571478334)</w:t>
      </w:r>
    </w:p>
    <w:p w:rsidR="00E96811" w:rsidRDefault="00E96811" w:rsidP="00E96811">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Default="008F60CC" w:rsidP="008F60CC">
      <w:pPr>
        <w:bidi w:val="0"/>
        <w:spacing w:line="480" w:lineRule="auto"/>
        <w:rPr>
          <w:rFonts w:asciiTheme="majorBidi" w:hAnsiTheme="majorBidi" w:cstheme="majorBidi"/>
          <w:b/>
          <w:bCs/>
        </w:rPr>
      </w:pPr>
    </w:p>
    <w:p w:rsidR="008F60CC" w:rsidRPr="001E17AC" w:rsidRDefault="008F60CC" w:rsidP="008F60CC">
      <w:pPr>
        <w:bidi w:val="0"/>
        <w:spacing w:line="480" w:lineRule="auto"/>
        <w:rPr>
          <w:rFonts w:asciiTheme="majorBidi" w:hAnsiTheme="majorBidi" w:cstheme="majorBidi"/>
          <w:b/>
          <w:bCs/>
        </w:rPr>
      </w:pPr>
    </w:p>
    <w:p w:rsidR="00434918" w:rsidRPr="001E17AC" w:rsidRDefault="001E17AC" w:rsidP="007F5D7F">
      <w:pPr>
        <w:bidi w:val="0"/>
        <w:spacing w:line="480" w:lineRule="auto"/>
        <w:jc w:val="both"/>
        <w:rPr>
          <w:rFonts w:asciiTheme="majorBidi" w:hAnsiTheme="majorBidi" w:cstheme="majorBidi"/>
          <w:b/>
          <w:bCs/>
        </w:rPr>
      </w:pPr>
      <w:r w:rsidRPr="001E17AC">
        <w:rPr>
          <w:rFonts w:asciiTheme="majorBidi" w:hAnsiTheme="majorBidi" w:cstheme="majorBidi"/>
          <w:b/>
          <w:bCs/>
        </w:rPr>
        <w:lastRenderedPageBreak/>
        <w:t>Abstract</w:t>
      </w:r>
    </w:p>
    <w:p w:rsidR="00E47C13" w:rsidRPr="00AC2D4D" w:rsidRDefault="00AC2D4D" w:rsidP="009B4DA1">
      <w:pPr>
        <w:bidi w:val="0"/>
        <w:spacing w:line="480" w:lineRule="auto"/>
        <w:jc w:val="both"/>
        <w:rPr>
          <w:rFonts w:asciiTheme="majorBidi" w:hAnsiTheme="majorBidi" w:cstheme="majorBidi"/>
        </w:rPr>
      </w:pPr>
      <w:r w:rsidRPr="00AC2D4D">
        <w:rPr>
          <w:rFonts w:asciiTheme="majorBidi" w:hAnsiTheme="majorBidi" w:cstheme="majorBidi"/>
        </w:rPr>
        <w:t>Deep brain stimulation (DBS) is regarded as a viable therapeutic choice for</w:t>
      </w:r>
      <w:r w:rsidR="00EA589A">
        <w:rPr>
          <w:rFonts w:asciiTheme="majorBidi" w:hAnsiTheme="majorBidi" w:cstheme="majorBidi"/>
        </w:rPr>
        <w:t xml:space="preserve"> </w:t>
      </w:r>
      <w:r w:rsidRPr="00AC2D4D">
        <w:rPr>
          <w:rFonts w:asciiTheme="majorBidi" w:hAnsiTheme="majorBidi" w:cstheme="majorBidi"/>
        </w:rPr>
        <w:t>Parkinson's disease (PD). The two most common sites for DBS are the subthalamic nucleus</w:t>
      </w:r>
      <w:r w:rsidR="00EA589A">
        <w:rPr>
          <w:rFonts w:asciiTheme="majorBidi" w:hAnsiTheme="majorBidi" w:cstheme="majorBidi"/>
        </w:rPr>
        <w:t xml:space="preserve"> </w:t>
      </w:r>
      <w:r>
        <w:rPr>
          <w:rFonts w:asciiTheme="majorBidi" w:hAnsiTheme="majorBidi" w:cs="Times New Roman"/>
        </w:rPr>
        <w:t>(</w:t>
      </w:r>
      <w:r w:rsidR="009B4DA1">
        <w:rPr>
          <w:rFonts w:asciiTheme="majorBidi" w:hAnsiTheme="majorBidi" w:cstheme="majorBidi"/>
        </w:rPr>
        <w:t>STN) and globus pallidus (GPi)</w:t>
      </w:r>
      <w:r w:rsidRPr="00AC2D4D">
        <w:rPr>
          <w:rFonts w:asciiTheme="majorBidi" w:hAnsiTheme="majorBidi" w:cs="Times New Roman"/>
          <w:rtl/>
        </w:rPr>
        <w:t>.</w:t>
      </w:r>
      <w:r w:rsidR="00EA589A">
        <w:rPr>
          <w:rFonts w:asciiTheme="majorBidi" w:hAnsiTheme="majorBidi" w:cstheme="majorBidi"/>
        </w:rPr>
        <w:t xml:space="preserve"> </w:t>
      </w:r>
      <w:r w:rsidRPr="00AC2D4D">
        <w:rPr>
          <w:rFonts w:asciiTheme="majorBidi" w:hAnsiTheme="majorBidi" w:cstheme="majorBidi"/>
        </w:rPr>
        <w:t>Studies that evaluated the Unified Parkinson's Disease Rating Scale (UPDRS) III were</w:t>
      </w:r>
      <w:r w:rsidR="00EA589A">
        <w:rPr>
          <w:rFonts w:asciiTheme="majorBidi" w:hAnsiTheme="majorBidi" w:cstheme="majorBidi"/>
        </w:rPr>
        <w:t xml:space="preserve"> </w:t>
      </w:r>
      <w:r w:rsidRPr="00AC2D4D">
        <w:rPr>
          <w:rFonts w:asciiTheme="majorBidi" w:hAnsiTheme="majorBidi" w:cstheme="majorBidi"/>
        </w:rPr>
        <w:t>selected by meeting the following criteria: (1) had at least three months follow-up period; (2</w:t>
      </w:r>
      <w:r>
        <w:rPr>
          <w:rFonts w:asciiTheme="majorBidi" w:hAnsiTheme="majorBidi" w:cs="Times New Roman"/>
        </w:rPr>
        <w:t>)</w:t>
      </w:r>
      <w:r w:rsidR="00EA589A">
        <w:rPr>
          <w:rFonts w:asciiTheme="majorBidi" w:hAnsiTheme="majorBidi" w:cstheme="majorBidi"/>
        </w:rPr>
        <w:t xml:space="preserve"> </w:t>
      </w:r>
      <w:r w:rsidRPr="00AC2D4D">
        <w:rPr>
          <w:rFonts w:asciiTheme="majorBidi" w:hAnsiTheme="majorBidi" w:cstheme="majorBidi"/>
        </w:rPr>
        <w:t>compared both GPi and STN DBS; (3)at least five participants in each group; (4)conducted</w:t>
      </w:r>
      <w:r w:rsidR="00EA589A">
        <w:rPr>
          <w:rFonts w:asciiTheme="majorBidi" w:hAnsiTheme="majorBidi" w:cstheme="majorBidi"/>
        </w:rPr>
        <w:t xml:space="preserve"> </w:t>
      </w:r>
      <w:r w:rsidR="009B4DA1">
        <w:rPr>
          <w:rFonts w:asciiTheme="majorBidi" w:hAnsiTheme="majorBidi" w:cstheme="majorBidi"/>
        </w:rPr>
        <w:t>after 2010</w:t>
      </w:r>
      <w:r w:rsidRPr="00AC2D4D">
        <w:rPr>
          <w:rFonts w:asciiTheme="majorBidi" w:hAnsiTheme="majorBidi" w:cstheme="majorBidi"/>
        </w:rPr>
        <w:t>. Majority of studies reported no statistically</w:t>
      </w:r>
      <w:r w:rsidR="00EA589A">
        <w:rPr>
          <w:rFonts w:asciiTheme="majorBidi" w:hAnsiTheme="majorBidi" w:cstheme="majorBidi"/>
        </w:rPr>
        <w:t xml:space="preserve"> </w:t>
      </w:r>
      <w:r w:rsidRPr="00AC2D4D">
        <w:rPr>
          <w:rFonts w:asciiTheme="majorBidi" w:hAnsiTheme="majorBidi" w:cstheme="majorBidi"/>
        </w:rPr>
        <w:t>significant between-group difference for improvements in UPDRS ш scores.</w:t>
      </w:r>
      <w:r w:rsidR="00EA589A">
        <w:rPr>
          <w:rFonts w:asciiTheme="majorBidi" w:hAnsiTheme="majorBidi" w:cstheme="majorBidi"/>
        </w:rPr>
        <w:t xml:space="preserve"> </w:t>
      </w:r>
      <w:r w:rsidR="00E47C13" w:rsidRPr="00E47C13">
        <w:rPr>
          <w:rFonts w:asciiTheme="majorBidi" w:hAnsiTheme="majorBidi" w:cstheme="majorBidi"/>
        </w:rPr>
        <w:t>Although there were some</w:t>
      </w:r>
      <w:r w:rsidR="009B4DA1">
        <w:rPr>
          <w:rFonts w:asciiTheme="majorBidi" w:hAnsiTheme="majorBidi" w:cstheme="majorBidi"/>
        </w:rPr>
        <w:t xml:space="preserve"> promising</w:t>
      </w:r>
      <w:r w:rsidR="00E47C13" w:rsidRPr="00E47C13">
        <w:rPr>
          <w:rFonts w:asciiTheme="majorBidi" w:hAnsiTheme="majorBidi" w:cstheme="majorBidi"/>
        </w:rPr>
        <w:t xml:space="preserve"> results in terms of action tremor, rigidity, and</w:t>
      </w:r>
      <w:r w:rsidR="00EA589A">
        <w:rPr>
          <w:rFonts w:asciiTheme="majorBidi" w:hAnsiTheme="majorBidi" w:cstheme="majorBidi"/>
        </w:rPr>
        <w:t xml:space="preserve"> </w:t>
      </w:r>
      <w:r w:rsidR="00E47C13" w:rsidRPr="00E47C13">
        <w:rPr>
          <w:rFonts w:asciiTheme="majorBidi" w:hAnsiTheme="majorBidi" w:cstheme="majorBidi"/>
        </w:rPr>
        <w:t>urinary symptoms, which indicated that STN DBS might be a better choice or regarding the</w:t>
      </w:r>
      <w:r w:rsidR="00EA589A">
        <w:rPr>
          <w:rFonts w:asciiTheme="majorBidi" w:hAnsiTheme="majorBidi" w:cstheme="majorBidi"/>
        </w:rPr>
        <w:t xml:space="preserve"> </w:t>
      </w:r>
      <w:r w:rsidR="00E47C13" w:rsidRPr="00E47C13">
        <w:rPr>
          <w:rFonts w:asciiTheme="majorBidi" w:hAnsiTheme="majorBidi" w:cstheme="majorBidi"/>
        </w:rPr>
        <w:t>adverse effects, GPi seemed better; but it cannot be concluded that one target is superior</w:t>
      </w:r>
      <w:r w:rsidR="00E47C13" w:rsidRPr="00E47C13">
        <w:rPr>
          <w:rFonts w:asciiTheme="majorBidi" w:hAnsiTheme="majorBidi" w:cs="Times New Roman"/>
          <w:rtl/>
        </w:rPr>
        <w:t>.</w:t>
      </w:r>
      <w:r w:rsidR="00EA589A">
        <w:rPr>
          <w:rFonts w:asciiTheme="majorBidi" w:hAnsiTheme="majorBidi" w:cstheme="majorBidi"/>
        </w:rPr>
        <w:t xml:space="preserve"> </w:t>
      </w:r>
      <w:r w:rsidR="00E47C13" w:rsidRPr="00E47C13">
        <w:rPr>
          <w:rFonts w:asciiTheme="majorBidi" w:hAnsiTheme="majorBidi" w:cstheme="majorBidi"/>
        </w:rPr>
        <w:t>Other larger randomized clinical trials with longer follow-up periods and control groups are</w:t>
      </w:r>
      <w:r w:rsidR="00EA589A">
        <w:rPr>
          <w:rFonts w:asciiTheme="majorBidi" w:hAnsiTheme="majorBidi" w:cstheme="majorBidi"/>
        </w:rPr>
        <w:t xml:space="preserve"> </w:t>
      </w:r>
      <w:r w:rsidR="00E47C13" w:rsidRPr="00E47C13">
        <w:rPr>
          <w:rFonts w:asciiTheme="majorBidi" w:hAnsiTheme="majorBidi" w:cstheme="majorBidi"/>
        </w:rPr>
        <w:t>needed to decide which target is more efficient for stimulation and imposes fewer adverse</w:t>
      </w:r>
      <w:r w:rsidR="00EA589A">
        <w:rPr>
          <w:rFonts w:asciiTheme="majorBidi" w:hAnsiTheme="majorBidi" w:cstheme="majorBidi"/>
        </w:rPr>
        <w:t xml:space="preserve"> </w:t>
      </w:r>
      <w:r w:rsidR="00E47C13" w:rsidRPr="00E47C13">
        <w:rPr>
          <w:rFonts w:asciiTheme="majorBidi" w:hAnsiTheme="majorBidi" w:cstheme="majorBidi"/>
        </w:rPr>
        <w:t>effects on the patients.</w:t>
      </w:r>
    </w:p>
    <w:p w:rsidR="004156D0" w:rsidRPr="00AB5935" w:rsidRDefault="004156D0" w:rsidP="007F5D7F">
      <w:pPr>
        <w:bidi w:val="0"/>
        <w:spacing w:line="480" w:lineRule="auto"/>
        <w:jc w:val="both"/>
        <w:rPr>
          <w:rFonts w:asciiTheme="majorBidi" w:hAnsiTheme="majorBidi" w:cstheme="majorBidi"/>
        </w:rPr>
      </w:pPr>
      <w:r w:rsidRPr="00AB5935">
        <w:rPr>
          <w:rFonts w:asciiTheme="majorBidi" w:hAnsiTheme="majorBidi" w:cstheme="majorBidi"/>
          <w:b/>
          <w:bCs/>
        </w:rPr>
        <w:t>Keywords:</w:t>
      </w:r>
      <w:r w:rsidRPr="00AB5935">
        <w:rPr>
          <w:rFonts w:asciiTheme="majorBidi" w:hAnsiTheme="majorBidi" w:cstheme="majorBidi"/>
        </w:rPr>
        <w:t xml:space="preserve"> deep brain stimulation, globus pallidus, Parkinson</w:t>
      </w:r>
      <w:r w:rsidR="00F564E3">
        <w:rPr>
          <w:rFonts w:asciiTheme="majorBidi" w:hAnsiTheme="majorBidi" w:cstheme="majorBidi"/>
        </w:rPr>
        <w:t>'</w:t>
      </w:r>
      <w:r w:rsidRPr="00AB5935">
        <w:rPr>
          <w:rFonts w:asciiTheme="majorBidi" w:hAnsiTheme="majorBidi" w:cstheme="majorBidi"/>
        </w:rPr>
        <w:t>s disease</w:t>
      </w:r>
      <w:r w:rsidR="00A15179" w:rsidRPr="00AB5935">
        <w:rPr>
          <w:rFonts w:asciiTheme="majorBidi" w:hAnsiTheme="majorBidi" w:cstheme="majorBidi"/>
        </w:rPr>
        <w:t>,</w:t>
      </w:r>
      <w:r w:rsidRPr="00AB5935">
        <w:rPr>
          <w:rFonts w:asciiTheme="majorBidi" w:hAnsiTheme="majorBidi" w:cstheme="majorBidi"/>
        </w:rPr>
        <w:t xml:space="preserve"> subthalamic nucleus</w:t>
      </w:r>
      <w:r w:rsidR="00A15179" w:rsidRPr="00AB5935">
        <w:rPr>
          <w:rFonts w:asciiTheme="majorBidi" w:hAnsiTheme="majorBidi" w:cstheme="majorBidi"/>
        </w:rPr>
        <w:t>,</w:t>
      </w:r>
      <w:r w:rsidRPr="00AB5935">
        <w:rPr>
          <w:rFonts w:asciiTheme="majorBidi" w:hAnsiTheme="majorBidi" w:cstheme="majorBidi"/>
        </w:rPr>
        <w:t xml:space="preserve"> UPDRS</w:t>
      </w:r>
    </w:p>
    <w:p w:rsidR="008F60CC" w:rsidRDefault="008F60CC" w:rsidP="008F60CC">
      <w:pPr>
        <w:bidi w:val="0"/>
        <w:spacing w:line="480" w:lineRule="auto"/>
        <w:jc w:val="both"/>
        <w:rPr>
          <w:rFonts w:asciiTheme="majorBidi" w:hAnsiTheme="majorBidi" w:cstheme="majorBidi"/>
        </w:rPr>
      </w:pPr>
    </w:p>
    <w:p w:rsidR="0047102E" w:rsidRPr="00A81099" w:rsidRDefault="00E47C13" w:rsidP="009A0E74">
      <w:pPr>
        <w:bidi w:val="0"/>
        <w:spacing w:line="480" w:lineRule="auto"/>
        <w:jc w:val="both"/>
        <w:rPr>
          <w:rFonts w:asciiTheme="majorBidi" w:hAnsiTheme="majorBidi" w:cstheme="majorBidi"/>
        </w:rPr>
      </w:pPr>
      <w:r w:rsidRPr="00E47C13">
        <w:rPr>
          <w:rFonts w:asciiTheme="majorBidi" w:hAnsiTheme="majorBidi" w:cstheme="majorBidi"/>
        </w:rPr>
        <w:t>Parkinson's disease is the most common movem</w:t>
      </w:r>
      <w:r w:rsidR="00A81099">
        <w:rPr>
          <w:rFonts w:asciiTheme="majorBidi" w:hAnsiTheme="majorBidi" w:cstheme="majorBidi"/>
        </w:rPr>
        <w:t xml:space="preserve">ent disorder, the second common </w:t>
      </w:r>
      <w:r w:rsidRPr="00E47C13">
        <w:rPr>
          <w:rFonts w:asciiTheme="majorBidi" w:hAnsiTheme="majorBidi" w:cstheme="majorBidi"/>
        </w:rPr>
        <w:t>progressive, disabling, and neurodegenerative disease, which is</w:t>
      </w:r>
      <w:r w:rsidR="00A81099">
        <w:rPr>
          <w:rFonts w:asciiTheme="majorBidi" w:hAnsiTheme="majorBidi" w:cstheme="majorBidi"/>
        </w:rPr>
        <w:t xml:space="preserve"> expected to be as prevalent as </w:t>
      </w:r>
      <w:r w:rsidRPr="00E47C13">
        <w:rPr>
          <w:rFonts w:asciiTheme="majorBidi" w:hAnsiTheme="majorBidi" w:cs="Times New Roman"/>
          <w:rtl/>
        </w:rPr>
        <w:t xml:space="preserve">12.9 </w:t>
      </w:r>
      <w:r w:rsidR="00134161">
        <w:rPr>
          <w:rFonts w:asciiTheme="majorBidi" w:hAnsiTheme="majorBidi" w:cstheme="majorBidi"/>
        </w:rPr>
        <w:t xml:space="preserve">million cases by 2040 </w: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 </w:instrText>
      </w:r>
      <w:r w:rsidR="00134161">
        <w:rPr>
          <w:rFonts w:asciiTheme="majorBidi" w:hAnsiTheme="majorBidi" w:cstheme="majorBidi"/>
        </w:rPr>
        <w:fldChar w:fldCharType="begin">
          <w:fldData xml:space="preserve">PEVuZE5vdGU+PENpdGU+PEF1dGhvcj5CbGF1d2VuZHJhYXQ8L0F1dGhvcj48WWVhcj4yMDIwPC9Z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</w:fldData>
        </w:fldChar>
      </w:r>
      <w:r w:rsidR="00134161">
        <w:rPr>
          <w:rFonts w:asciiTheme="majorBidi" w:hAnsiTheme="majorBidi" w:cstheme="majorBidi"/>
        </w:rPr>
        <w:instrText xml:space="preserve"> ADDIN EN.CITE.DATA </w:instrText>
      </w:r>
      <w:r w:rsidR="00134161">
        <w:rPr>
          <w:rFonts w:asciiTheme="majorBidi" w:hAnsiTheme="majorBidi" w:cstheme="majorBidi"/>
        </w:rPr>
      </w:r>
      <w:r w:rsidR="00134161">
        <w:rPr>
          <w:rFonts w:asciiTheme="majorBidi" w:hAnsiTheme="majorBidi" w:cstheme="majorBidi"/>
        </w:rPr>
        <w:fldChar w:fldCharType="end"/>
      </w:r>
      <w:r w:rsidR="00134161">
        <w:rPr>
          <w:rFonts w:asciiTheme="majorBidi" w:hAnsiTheme="majorBidi" w:cstheme="majorBidi"/>
        </w:rPr>
      </w:r>
      <w:r w:rsidR="00134161">
        <w:rPr>
          <w:rFonts w:asciiTheme="majorBidi" w:hAnsiTheme="majorBidi" w:cstheme="majorBidi"/>
        </w:rPr>
        <w:fldChar w:fldCharType="separate"/>
      </w:r>
      <w:r w:rsidR="00134161">
        <w:rPr>
          <w:rFonts w:asciiTheme="majorBidi" w:hAnsiTheme="majorBidi" w:cstheme="majorBidi"/>
          <w:noProof/>
        </w:rPr>
        <w:t>[</w:t>
      </w:r>
      <w:hyperlink w:anchor="_ENREF_1" w:tooltip="Blauwendraat, 2020 #624" w:history="1">
        <w:r w:rsidR="00A9207F">
          <w:rPr>
            <w:rFonts w:asciiTheme="majorBidi" w:hAnsiTheme="majorBidi" w:cstheme="majorBidi"/>
            <w:noProof/>
          </w:rPr>
          <w:t>1-4</w:t>
        </w:r>
      </w:hyperlink>
      <w:r w:rsidR="00134161">
        <w:rPr>
          <w:rFonts w:asciiTheme="majorBidi" w:hAnsiTheme="majorBidi" w:cstheme="majorBidi"/>
          <w:noProof/>
        </w:rPr>
        <w:t>]</w:t>
      </w:r>
      <w:r w:rsidR="00134161">
        <w:rPr>
          <w:rFonts w:asciiTheme="majorBidi" w:hAnsiTheme="majorBidi" w:cstheme="majorBidi"/>
        </w:rPr>
        <w:fldChar w:fldCharType="end"/>
      </w:r>
      <w:r w:rsidR="00474DF5">
        <w:rPr>
          <w:rFonts w:asciiTheme="majorBidi" w:hAnsiTheme="majorBidi" w:cstheme="majorBidi"/>
        </w:rPr>
        <w:t>.</w:t>
      </w:r>
      <w:r w:rsidR="00132ECA">
        <w:rPr>
          <w:rFonts w:asciiTheme="majorBidi" w:hAnsiTheme="majorBidi" w:cstheme="majorBidi"/>
        </w:rPr>
        <w:t xml:space="preserve"> </w:t>
      </w:r>
      <w:r w:rsidRPr="00E47C13">
        <w:rPr>
          <w:rFonts w:asciiTheme="majorBidi" w:hAnsiTheme="majorBidi" w:cstheme="majorBidi"/>
        </w:rPr>
        <w:t>Parkinson's disease is characterized by slow movemen</w:t>
      </w:r>
      <w:r w:rsidR="00474DF5">
        <w:rPr>
          <w:rFonts w:asciiTheme="majorBidi" w:hAnsiTheme="majorBidi" w:cstheme="majorBidi"/>
        </w:rPr>
        <w:t xml:space="preserve">ts, rigidity, and low amplitude </w:t>
      </w:r>
      <w:r w:rsidRPr="00E47C13">
        <w:rPr>
          <w:rFonts w:asciiTheme="majorBidi" w:hAnsiTheme="majorBidi" w:cstheme="majorBidi"/>
        </w:rPr>
        <w:t>movements without the previous automaticity. Levodopa, a dopamine precursor, was</w:t>
      </w:r>
      <w:r>
        <w:rPr>
          <w:rFonts w:asciiTheme="majorBidi" w:hAnsiTheme="majorBidi" w:cstheme="majorBidi"/>
        </w:rPr>
        <w:t xml:space="preserve"> </w:t>
      </w:r>
      <w:r w:rsidRPr="00E47C13">
        <w:rPr>
          <w:rFonts w:asciiTheme="majorBidi" w:hAnsiTheme="majorBidi" w:cstheme="majorBidi"/>
        </w:rPr>
        <w:t>develope</w:t>
      </w:r>
      <w:r w:rsidR="00B36A77">
        <w:rPr>
          <w:rFonts w:asciiTheme="majorBidi" w:hAnsiTheme="majorBidi" w:cstheme="majorBidi"/>
        </w:rPr>
        <w:t>d for the first time in 1911</w:t>
      </w:r>
      <w:r w:rsidR="00B36A77">
        <w:rPr>
          <w:rFonts w:asciiTheme="majorBidi" w:hAnsiTheme="majorBidi" w:cstheme="majorBidi"/>
        </w:rPr>
        <w:fldChar w:fldCharType="begin"/>
      </w:r>
      <w:r w:rsidR="00A9207F">
        <w:rPr>
          <w:rFonts w:asciiTheme="majorBidi" w:hAnsiTheme="majorBidi" w:cstheme="majorBidi"/>
        </w:rPr>
        <w:instrText xml:space="preserve"> ADDIN EN.CITE &lt;EndNote&gt;&lt;Cite&gt;&lt;Author&gt;Tambasco&lt;/Author&gt;&lt;Year&gt;2018&lt;/Year&gt;&lt;RecNum&gt;634&lt;/RecNum&gt;&lt;DisplayText&gt;[5]&lt;/DisplayText&gt;&lt;record&gt;&lt;rec-number&gt;634&lt;/rec-number&gt;&lt;foreign-keys&gt;&lt;key app="EN" db-id="rewfwt2w8r5sdvev9v0xsda92ff2twsr5ees"&gt;634&lt;/key&gt;&lt;/foreign-keys&gt;&lt;ref-type name="Journal Article"&gt;17&lt;/ref-type&gt;&lt;contributors&gt;&lt;authors&gt;&lt;author&gt;Tambasco, N.&lt;/author&gt;&lt;author&gt;Romoli, M.&lt;/author&gt;&lt;author&gt;Calabresi, P.&lt;/author&gt;&lt;/authors&gt;&lt;/contributors&gt;&lt;auth-address&gt;Clinica Neurologica, Azienda Ospedaliera-Universita di Perugia, Perugia, Italy.&amp;#xD;IRCCS &amp;quot;Santa Lucia&amp;quot;, Rome, Italy.&lt;/auth-address&gt;&lt;titles&gt;&lt;title&gt;Levodopa in Parkinson&amp;apos;s Disease: Current Status and Future Developments&lt;/title&gt;&lt;secondary-title&gt;Curr Neuropharmacol&lt;/secondary-title&gt;&lt;alt-title&gt;Current neuropharmacology&lt;/alt-title&gt;&lt;/titles&gt;&lt;alt-periodical&gt;&lt;full-title&gt;Current neuropharmacology&lt;/full-title&gt;&lt;/alt-periodical&gt;&lt;pages&gt;1239-1252&lt;/pages&gt;&lt;volume&gt;16&lt;/volume&gt;&lt;number&gt;8&lt;/number&gt;&lt;edition&gt;2017/05/13&lt;/edition&gt;&lt;keywords&gt;&lt;keyword&gt;Animals&lt;/keyword&gt;&lt;keyword&gt;Antiparkinson Agents/pharmacokinetics/ therapeutic use&lt;/keyword&gt;&lt;keyword&gt;Humans&lt;/keyword&gt;&lt;keyword&gt;Levodopa/pharmacokinetics/ therapeutic use&lt;/keyword&gt;&lt;keyword&gt;Parkinson Disease/ drug therapy&lt;/keyword&gt;&lt;/keywords&gt;&lt;dates&gt;&lt;year&gt;2018&lt;/year&gt;&lt;/dates&gt;&lt;isbn&gt;1875-6190 (Electronic)&amp;#xD;1570-159X (Print)&amp;#xD;1570-159X (Linking)&lt;/isbn&gt;&lt;accession-num&gt;28494719&lt;/accession-num&gt;&lt;urls&gt;&lt;/urls&gt;&lt;custom2&gt;PMC6187751&lt;/custom2&gt;&lt;electronic-resource-num&gt;10.2174/1570159x15666170510143821&lt;/electronic-resource-num&gt;&lt;remote-database-provider&gt;NLM&lt;/remote-database-provider&gt;&lt;language&gt;eng&lt;/language&gt;&lt;/record&gt;&lt;/Cite&gt;&lt;/EndNote&gt;</w:instrText>
      </w:r>
      <w:r w:rsidR="00B36A77">
        <w:rPr>
          <w:rFonts w:asciiTheme="majorBidi" w:hAnsiTheme="majorBidi" w:cstheme="majorBidi"/>
        </w:rPr>
        <w:fldChar w:fldCharType="separate"/>
      </w:r>
      <w:r w:rsidR="00A9207F">
        <w:rPr>
          <w:rFonts w:asciiTheme="majorBidi" w:hAnsiTheme="majorBidi" w:cstheme="majorBidi"/>
          <w:noProof/>
        </w:rPr>
        <w:t>[</w:t>
      </w:r>
      <w:hyperlink w:anchor="_ENREF_5" w:tooltip="Tambasco, 2018 #634" w:history="1">
        <w:r w:rsidR="00A9207F">
          <w:rPr>
            <w:rFonts w:asciiTheme="majorBidi" w:hAnsiTheme="majorBidi" w:cstheme="majorBidi"/>
            <w:noProof/>
          </w:rPr>
          <w:t>5</w:t>
        </w:r>
      </w:hyperlink>
      <w:r w:rsidR="00A9207F">
        <w:rPr>
          <w:rFonts w:asciiTheme="majorBidi" w:hAnsiTheme="majorBidi" w:cstheme="majorBidi"/>
          <w:noProof/>
        </w:rPr>
        <w:t>]</w:t>
      </w:r>
      <w:r w:rsidR="00B36A77">
        <w:rPr>
          <w:rFonts w:asciiTheme="majorBidi" w:hAnsiTheme="majorBidi" w:cstheme="majorBidi"/>
        </w:rPr>
        <w:fldChar w:fldCharType="end"/>
      </w:r>
      <w:r w:rsidRPr="00E47C13">
        <w:rPr>
          <w:rFonts w:asciiTheme="majorBidi" w:hAnsiTheme="majorBidi" w:cstheme="majorBidi"/>
        </w:rPr>
        <w:t>. It has been used as an efficacious drug for PD</w:t>
      </w:r>
      <w:r w:rsidR="00132ECA">
        <w:rPr>
          <w:rFonts w:asciiTheme="majorBidi" w:hAnsiTheme="majorBidi" w:cstheme="majorBidi"/>
        </w:rPr>
        <w:t xml:space="preserve"> </w:t>
      </w:r>
      <w:r w:rsidRPr="00E47C13">
        <w:rPr>
          <w:rFonts w:asciiTheme="majorBidi" w:hAnsiTheme="majorBidi" w:cstheme="majorBidi"/>
        </w:rPr>
        <w:t>treatment for over 50 years, but it has been shown that its e</w:t>
      </w:r>
      <w:r w:rsidR="008F60CC">
        <w:rPr>
          <w:rFonts w:asciiTheme="majorBidi" w:hAnsiTheme="majorBidi" w:cstheme="majorBidi"/>
        </w:rPr>
        <w:t xml:space="preserve">fficacy declines as the disease </w:t>
      </w:r>
      <w:r w:rsidR="00AF0D47">
        <w:rPr>
          <w:rFonts w:asciiTheme="majorBidi" w:hAnsiTheme="majorBidi" w:cstheme="majorBidi"/>
        </w:rPr>
        <w:t xml:space="preserve">progresses </w:t>
      </w:r>
      <w:r w:rsidR="00AF0D47">
        <w:rPr>
          <w:rFonts w:asciiTheme="majorBidi" w:hAnsiTheme="majorBidi" w:cstheme="majorBidi"/>
        </w:rPr>
        <w:fldChar w:fldCharType="begin"/>
      </w:r>
      <w:r w:rsidR="00A9207F">
        <w:rPr>
          <w:rFonts w:asciiTheme="majorBidi" w:hAnsiTheme="majorBidi" w:cstheme="majorBidi"/>
        </w:rPr>
        <w:instrText xml:space="preserve"> ADDIN EN.CITE &lt;EndNote&gt;&lt;Cite&gt;&lt;Author&gt;de Bie&lt;/Author&gt;&lt;Year&gt;2020&lt;/Year&gt;&lt;RecNum&gt;635&lt;/RecNum&gt;&lt;DisplayText&gt;[6, 7]&lt;/DisplayText&gt;&lt;record&gt;&lt;rec-number&gt;635&lt;/rec-number&gt;&lt;foreign-keys&gt;&lt;key app="EN" db-id="rewfwt2w8r5sdvev9v0xsda92ff2twsr5ees"&gt;635&lt;/key&gt;&lt;/foreign-keys&gt;&lt;ref-type name="Journal Article"&gt;17&lt;/ref-type&gt;&lt;contributors&gt;&lt;authors&gt;&lt;author&gt;de Bie, Rob MA&lt;/author&gt;&lt;author&gt;Clarke, Carl E&lt;/author&gt;&lt;author&gt;Espay, Alberto J&lt;/author&gt;&lt;author&gt;Fox, Susan H&lt;/author&gt;&lt;author&gt;Lang, Anthony E&lt;/author&gt;&lt;/authors&gt;&lt;/contributors&gt;&lt;titles&gt;&lt;title&gt;Initiation of pharmacological therapy in Parkinson&amp;apos;s disease: when, why, and how&lt;/title&gt;&lt;secondary-title&gt;The Lancet Neurology&lt;/secondary-title&gt;&lt;/titles&gt;&lt;periodical&gt;&lt;full-title&gt;The Lancet Neurology&lt;/full-title&gt;&lt;/periodical&gt;&lt;pages&gt;452-461&lt;/pages&gt;&lt;volume&gt;19&lt;/volume&gt;&lt;number&gt;5&lt;/number&gt;&lt;dates&gt;&lt;year&gt;2020&lt;/year&gt;&lt;/dates&gt;&lt;isbn&gt;1474-4422&lt;/isbn&gt;&lt;urls&gt;&lt;/urls&gt;&lt;/record&gt;&lt;/Cite&gt;&lt;Cite&gt;&lt;Author&gt;Cushnie-Sparrow&lt;/Author&gt;&lt;Year&gt;2018&lt;/Year&gt;&lt;RecNum&gt;636&lt;/RecNum&gt;&lt;record&gt;&lt;rec-number&gt;636&lt;/rec-number&gt;&lt;foreign-keys&gt;&lt;key app="EN" db-id="rewfwt2w8r5sdvev9v0xsda92ff2twsr5ees"&gt;636&lt;/key&gt;&lt;/foreign-keys&gt;&lt;ref-type name="Journal Article"&gt;17&lt;/ref-type&gt;&lt;contributors&gt;&lt;authors&gt;&lt;author&gt;Cushnie-Sparrow, Daryn&lt;/author&gt;&lt;author&gt;Adams, Scott&lt;/author&gt;&lt;author&gt;Abeyesekera, Anita&lt;/author&gt;&lt;author&gt;Pieterman, Marcus&lt;/author&gt;&lt;author&gt;Gilmore, Greydon&lt;/author&gt;&lt;author&gt;Jog, Mandar&lt;/author&gt;&lt;/authors&gt;&lt;/contributors&gt;&lt;titles&gt;&lt;title&gt;Voice quality severity and responsiveness to levodopa in Parkinson’s disease&lt;/title&gt;&lt;secondary-title&gt;Journal of communication disorders&lt;/secondary-title&gt;&lt;/titles&gt;&lt;periodical&gt;&lt;full-title&gt;Journal of communication disorders&lt;/full-title&gt;&lt;/periodical&gt;&lt;pages&gt;1-10&lt;/pages&gt;&lt;volume&gt;76&lt;/volume&gt;&lt;dates&gt;&lt;year&gt;2018&lt;/year&gt;&lt;/dates&gt;&lt;isbn&gt;0021-9924&lt;/isbn&gt;&lt;urls&gt;&lt;/urls&gt;&lt;/record&gt;&lt;/Cite&gt;&lt;/EndNote&gt;</w:instrText>
      </w:r>
      <w:r w:rsidR="00AF0D47">
        <w:rPr>
          <w:rFonts w:asciiTheme="majorBidi" w:hAnsiTheme="majorBidi" w:cstheme="majorBidi"/>
        </w:rPr>
        <w:fldChar w:fldCharType="separate"/>
      </w:r>
      <w:r w:rsidR="00A9207F">
        <w:rPr>
          <w:rFonts w:asciiTheme="majorBidi" w:hAnsiTheme="majorBidi" w:cstheme="majorBidi"/>
          <w:noProof/>
        </w:rPr>
        <w:t>[</w:t>
      </w:r>
      <w:hyperlink w:anchor="_ENREF_6" w:tooltip="de Bie, 2020 #635" w:history="1">
        <w:r w:rsidR="00A9207F">
          <w:rPr>
            <w:rFonts w:asciiTheme="majorBidi" w:hAnsiTheme="majorBidi" w:cstheme="majorBidi"/>
            <w:noProof/>
          </w:rPr>
          <w:t>6</w:t>
        </w:r>
      </w:hyperlink>
      <w:r w:rsidR="00A9207F">
        <w:rPr>
          <w:rFonts w:asciiTheme="majorBidi" w:hAnsiTheme="majorBidi" w:cstheme="majorBidi"/>
          <w:noProof/>
        </w:rPr>
        <w:t xml:space="preserve">, </w:t>
      </w:r>
      <w:hyperlink w:anchor="_ENREF_7" w:tooltip="Cushnie-Sparrow, 2018 #636" w:history="1">
        <w:r w:rsidR="00A9207F">
          <w:rPr>
            <w:rFonts w:asciiTheme="majorBidi" w:hAnsiTheme="majorBidi" w:cstheme="majorBidi"/>
            <w:noProof/>
          </w:rPr>
          <w:t>7</w:t>
        </w:r>
      </w:hyperlink>
      <w:r w:rsidR="00A9207F">
        <w:rPr>
          <w:rFonts w:asciiTheme="majorBidi" w:hAnsiTheme="majorBidi" w:cstheme="majorBidi"/>
          <w:noProof/>
        </w:rPr>
        <w:t>]</w:t>
      </w:r>
      <w:r w:rsidR="00AF0D47">
        <w:rPr>
          <w:rFonts w:asciiTheme="majorBidi" w:hAnsiTheme="majorBidi" w:cstheme="majorBidi"/>
        </w:rPr>
        <w:fldChar w:fldCharType="end"/>
      </w:r>
      <w:r w:rsidRPr="00E47C13">
        <w:rPr>
          <w:rFonts w:asciiTheme="majorBidi" w:hAnsiTheme="majorBidi" w:cstheme="majorBidi"/>
        </w:rPr>
        <w:t xml:space="preserve"> . Surgical treatment of movement disorders s</w:t>
      </w:r>
      <w:r w:rsidR="008F60CC">
        <w:rPr>
          <w:rFonts w:asciiTheme="majorBidi" w:hAnsiTheme="majorBidi" w:cstheme="majorBidi"/>
        </w:rPr>
        <w:t xml:space="preserve">tarted in 1987 by targeting the </w:t>
      </w:r>
      <w:r w:rsidRPr="00E47C13">
        <w:rPr>
          <w:rFonts w:asciiTheme="majorBidi" w:hAnsiTheme="majorBidi" w:cstheme="majorBidi"/>
        </w:rPr>
        <w:t xml:space="preserve">ventral intermediate </w:t>
      </w:r>
      <w:r w:rsidR="006B2032">
        <w:rPr>
          <w:rFonts w:asciiTheme="majorBidi" w:hAnsiTheme="majorBidi" w:cstheme="majorBidi"/>
        </w:rPr>
        <w:t xml:space="preserve">nucleus of the thalamus </w:t>
      </w:r>
      <w:r w:rsidR="006B2032">
        <w:rPr>
          <w:rFonts w:asciiTheme="majorBidi" w:hAnsiTheme="majorBidi" w:cstheme="majorBidi"/>
        </w:rPr>
        <w:fldChar w:fldCharType="begin"/>
      </w:r>
      <w:r w:rsidR="00A9207F">
        <w:rPr>
          <w:rFonts w:asciiTheme="majorBidi" w:hAnsiTheme="majorBidi" w:cstheme="majorBidi"/>
        </w:rPr>
        <w:instrText xml:space="preserve"> ADDIN EN.CITE &lt;EndNote&gt;&lt;Cite&gt;&lt;Author&gt;Chen&lt;/Author&gt;&lt;Year&gt;2020&lt;/Year&gt;&lt;RecNum&gt;637&lt;/RecNum&gt;&lt;DisplayText&gt;[8, 9]&lt;/DisplayText&gt;&lt;record&gt;&lt;rec-number&gt;637&lt;/rec-number&gt;&lt;foreign-keys&gt;&lt;key app="EN" db-id="rewfwt2w8r5sdvev9v0xsda92ff2twsr5ees"&gt;637&lt;/key&gt;&lt;/foreign-keys&gt;&lt;ref-type name="Journal Article"&gt;17&lt;/ref-type&gt;&lt;contributors&gt;&lt;authors&gt;&lt;author&gt;Chen, Jiang-Fan&lt;/author&gt;&lt;author&gt;Cunha, Rodrigo A&lt;/author&gt;&lt;/authors&gt;&lt;/contributors&gt;&lt;titles&gt;&lt;title&gt;The belated US FDA approval of the adenosine A 2A receptor antagonist istradefylline for treatment of Parkinson’s disease&lt;/title&gt;&lt;secondary-title&gt;Purinergic signalling&lt;/secondary-title&gt;&lt;/titles&gt;&lt;periodical&gt;&lt;full-title&gt;Purinergic signalling&lt;/full-title&gt;&lt;/periodical&gt;&lt;pages&gt;1-8&lt;/pages&gt;&lt;dates&gt;&lt;year&gt;2020&lt;/year&gt;&lt;/dates&gt;&lt;isbn&gt;1573-9546&lt;/isbn&gt;&lt;urls&gt;&lt;/urls&gt;&lt;/record&gt;&lt;/Cite&gt;&lt;Cite&gt;&lt;Author&gt;Pollak&lt;/Author&gt;&lt;Year&gt;2002&lt;/Year&gt;&lt;RecNum&gt;638&lt;/RecNum&gt;&lt;record&gt;&lt;rec-number&gt;638&lt;/rec-number&gt;&lt;foreign-keys&gt;&lt;key app="EN" db-id="rewfwt2w8r5sdvev9v0xsda92ff2twsr5ees"&gt;638&lt;/key&gt;&lt;/foreign-keys&gt;&lt;ref-type name="Journal Article"&gt;17&lt;/ref-type&gt;&lt;contributors&gt;&lt;authors&gt;&lt;author&gt;Pollak, Pierre&lt;/author&gt;&lt;author&gt;Krack, Paul&lt;/author&gt;&lt;author&gt;Fraix, Valérie&lt;/author&gt;&lt;author&gt;Mendes, Alexandre&lt;/author&gt;&lt;author&gt;Moro, Elena&lt;/author&gt;&lt;author&gt;Chabardes, Stephan&lt;/author&gt;&lt;author&gt;Benabid, Alim</w:instrText>
      </w:r>
      <w:r w:rsidR="00A9207F">
        <w:rPr>
          <w:rFonts w:ascii="Cambria Math" w:hAnsi="Cambria Math" w:cs="Cambria Math"/>
        </w:rPr>
        <w:instrText>‐</w:instrText>
      </w:r>
      <w:r w:rsidR="00A9207F">
        <w:rPr>
          <w:rFonts w:asciiTheme="majorBidi" w:hAnsiTheme="majorBidi" w:cstheme="majorBidi"/>
        </w:rPr>
        <w:instrText>Louis&lt;/author&gt;&lt;/authors&gt;&lt;/contributors&gt;&lt;titles&gt;&lt;title&gt;Intraoperative micro</w:instrText>
      </w:r>
      <w:r w:rsidR="00A9207F">
        <w:rPr>
          <w:rFonts w:ascii="Cambria Math" w:hAnsi="Cambria Math" w:cs="Cambria Math"/>
        </w:rPr>
        <w:instrText>‐</w:instrText>
      </w:r>
      <w:r w:rsidR="00A9207F">
        <w:rPr>
          <w:rFonts w:asciiTheme="majorBidi" w:hAnsiTheme="majorBidi" w:cstheme="majorBidi"/>
        </w:rPr>
        <w:instrText>and macrostimulation of the subthalamic nucleus in Parkinson&amp;apos;s disease&lt;/title&gt;&lt;secondary-title&gt;Movement disorders: official journal of the Movement Disorder Society&lt;/secondary-title&gt;&lt;/titles&gt;&lt;periodical&gt;&lt;full-title&gt;Movement disorders: official journal of the Movement Disorder Society&lt;/full-title&gt;&lt;/periodical&gt;&lt;pages&gt;S155-S161&lt;/pages&gt;&lt;volume&gt;17&lt;/volume&gt;&lt;number&gt;S3&lt;/number&gt;&lt;dates&gt;&lt;year&gt;2002&lt;/year&gt;&lt;/dates&gt;&lt;isbn&gt;0885-3185&lt;/isbn&gt;&lt;urls&gt;&lt;/urls&gt;&lt;/record&gt;&lt;/Cite&gt;&lt;/EndNote&gt;</w:instrText>
      </w:r>
      <w:r w:rsidR="006B2032">
        <w:rPr>
          <w:rFonts w:asciiTheme="majorBidi" w:hAnsiTheme="majorBidi" w:cstheme="majorBidi"/>
        </w:rPr>
        <w:fldChar w:fldCharType="separate"/>
      </w:r>
      <w:r w:rsidR="00A9207F">
        <w:rPr>
          <w:rFonts w:asciiTheme="majorBidi" w:hAnsiTheme="majorBidi" w:cstheme="majorBidi"/>
          <w:noProof/>
        </w:rPr>
        <w:t>[</w:t>
      </w:r>
      <w:hyperlink w:anchor="_ENREF_8" w:tooltip="Chen, 2020 #637" w:history="1">
        <w:r w:rsidR="00A9207F">
          <w:rPr>
            <w:rFonts w:asciiTheme="majorBidi" w:hAnsiTheme="majorBidi" w:cstheme="majorBidi"/>
            <w:noProof/>
          </w:rPr>
          <w:t>8</w:t>
        </w:r>
      </w:hyperlink>
      <w:r w:rsidR="00A9207F">
        <w:rPr>
          <w:rFonts w:asciiTheme="majorBidi" w:hAnsiTheme="majorBidi" w:cstheme="majorBidi"/>
          <w:noProof/>
        </w:rPr>
        <w:t xml:space="preserve">, </w:t>
      </w:r>
      <w:hyperlink w:anchor="_ENREF_9" w:tooltip="Pollak, 2002 #638" w:history="1">
        <w:r w:rsidR="00A9207F">
          <w:rPr>
            <w:rFonts w:asciiTheme="majorBidi" w:hAnsiTheme="majorBidi" w:cstheme="majorBidi"/>
            <w:noProof/>
          </w:rPr>
          <w:t>9</w:t>
        </w:r>
      </w:hyperlink>
      <w:r w:rsidR="00A9207F">
        <w:rPr>
          <w:rFonts w:asciiTheme="majorBidi" w:hAnsiTheme="majorBidi" w:cstheme="majorBidi"/>
          <w:noProof/>
        </w:rPr>
        <w:t>]</w:t>
      </w:r>
      <w:r w:rsidR="006B2032">
        <w:rPr>
          <w:rFonts w:asciiTheme="majorBidi" w:hAnsiTheme="majorBidi" w:cstheme="majorBidi"/>
        </w:rPr>
        <w:fldChar w:fldCharType="end"/>
      </w:r>
      <w:r w:rsidR="008F60CC">
        <w:rPr>
          <w:rFonts w:asciiTheme="majorBidi" w:hAnsiTheme="majorBidi" w:cstheme="majorBidi"/>
        </w:rPr>
        <w:t xml:space="preserve"> by the DBS technique. DBS is a </w:t>
      </w:r>
      <w:r w:rsidRPr="00E47C13">
        <w:rPr>
          <w:rFonts w:asciiTheme="majorBidi" w:hAnsiTheme="majorBidi" w:cstheme="majorBidi"/>
        </w:rPr>
        <w:t>common and effective surgical treatment option that al</w:t>
      </w:r>
      <w:r w:rsidR="008F60CC">
        <w:rPr>
          <w:rFonts w:asciiTheme="majorBidi" w:hAnsiTheme="majorBidi" w:cstheme="majorBidi"/>
        </w:rPr>
        <w:t xml:space="preserve">leviates motor symptoms. It was </w:t>
      </w:r>
      <w:r w:rsidRPr="00E47C13">
        <w:rPr>
          <w:rFonts w:asciiTheme="majorBidi" w:hAnsiTheme="majorBidi" w:cstheme="majorBidi"/>
        </w:rPr>
        <w:t>introduced about three decades ago and is recently performe</w:t>
      </w:r>
      <w:r w:rsidR="008F60CC">
        <w:rPr>
          <w:rFonts w:asciiTheme="majorBidi" w:hAnsiTheme="majorBidi" w:cstheme="majorBidi"/>
        </w:rPr>
        <w:t xml:space="preserve">d on several new targets in the </w:t>
      </w:r>
      <w:r w:rsidRPr="00E47C13">
        <w:rPr>
          <w:rFonts w:asciiTheme="majorBidi" w:hAnsiTheme="majorBidi" w:cstheme="majorBidi"/>
        </w:rPr>
        <w:t xml:space="preserve">brain, including the </w:t>
      </w:r>
      <w:proofErr w:type="gramStart"/>
      <w:r w:rsidRPr="00E47C13">
        <w:rPr>
          <w:rFonts w:asciiTheme="majorBidi" w:hAnsiTheme="majorBidi" w:cstheme="majorBidi"/>
        </w:rPr>
        <w:t>Subthalamic</w:t>
      </w:r>
      <w:proofErr w:type="gramEnd"/>
      <w:r w:rsidRPr="00E47C13">
        <w:rPr>
          <w:rFonts w:asciiTheme="majorBidi" w:hAnsiTheme="majorBidi" w:cstheme="majorBidi"/>
        </w:rPr>
        <w:t xml:space="preserve"> nucleus (STN) and Globus</w:t>
      </w:r>
      <w:r w:rsidR="00E34988">
        <w:rPr>
          <w:rFonts w:asciiTheme="majorBidi" w:hAnsiTheme="majorBidi" w:cstheme="majorBidi"/>
        </w:rPr>
        <w:t xml:space="preserve"> Pallidus internus (GPi) </w:t>
      </w:r>
      <w:r w:rsidR="00E34988">
        <w:rPr>
          <w:rFonts w:asciiTheme="majorBidi" w:hAnsiTheme="majorBidi" w:cstheme="majorBidi"/>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Pr>
          <w:rFonts w:asciiTheme="majorBidi" w:hAnsiTheme="majorBidi" w:cstheme="majorBidi"/>
        </w:rPr>
        <w:instrText xml:space="preserve"> ADDIN EN.CITE </w:instrText>
      </w:r>
      <w:r w:rsidR="00A9207F">
        <w:rPr>
          <w:rFonts w:asciiTheme="majorBidi" w:hAnsiTheme="majorBidi" w:cstheme="majorBidi"/>
        </w:rPr>
        <w:fldChar w:fldCharType="begin">
          <w:fldData xml:space="preserve">PEVuZE5vdGU+PENpdGU+PEF1dGhvcj5DZXJuZXJhPC9BdXRob3I+PFllYXI+MjAyMDwvWWVhcj48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</w:fldData>
        </w:fldChar>
      </w:r>
      <w:r w:rsidR="00A9207F">
        <w:rPr>
          <w:rFonts w:asciiTheme="majorBidi" w:hAnsiTheme="majorBidi" w:cstheme="majorBidi"/>
        </w:rPr>
        <w:instrText xml:space="preserve"> ADDIN EN.CITE.DATA </w:instrText>
      </w:r>
      <w:r w:rsidR="00A9207F">
        <w:rPr>
          <w:rFonts w:asciiTheme="majorBidi" w:hAnsiTheme="majorBidi" w:cstheme="majorBidi"/>
        </w:rPr>
      </w:r>
      <w:r w:rsidR="00A9207F">
        <w:rPr>
          <w:rFonts w:asciiTheme="majorBidi" w:hAnsiTheme="majorBidi" w:cstheme="majorBidi"/>
        </w:rPr>
        <w:fldChar w:fldCharType="end"/>
      </w:r>
      <w:r w:rsidR="00E34988">
        <w:rPr>
          <w:rFonts w:asciiTheme="majorBidi" w:hAnsiTheme="majorBidi" w:cstheme="majorBidi"/>
        </w:rPr>
      </w:r>
      <w:r w:rsidR="00E34988">
        <w:rPr>
          <w:rFonts w:asciiTheme="majorBidi" w:hAnsiTheme="majorBidi" w:cstheme="majorBidi"/>
        </w:rPr>
        <w:fldChar w:fldCharType="separate"/>
      </w:r>
      <w:r w:rsidR="00A9207F">
        <w:rPr>
          <w:rFonts w:asciiTheme="majorBidi" w:hAnsiTheme="majorBidi" w:cstheme="majorBidi"/>
          <w:noProof/>
        </w:rPr>
        <w:t>[</w:t>
      </w:r>
      <w:hyperlink w:anchor="_ENREF_10" w:tooltip="Cernera, 2020 #639" w:history="1">
        <w:r w:rsidR="00A9207F">
          <w:rPr>
            <w:rFonts w:asciiTheme="majorBidi" w:hAnsiTheme="majorBidi" w:cstheme="majorBidi"/>
            <w:noProof/>
          </w:rPr>
          <w:t>10-12</w:t>
        </w:r>
      </w:hyperlink>
      <w:r w:rsidR="00A9207F">
        <w:rPr>
          <w:rFonts w:asciiTheme="majorBidi" w:hAnsiTheme="majorBidi" w:cstheme="majorBidi"/>
          <w:noProof/>
        </w:rPr>
        <w:t>]</w:t>
      </w:r>
      <w:r w:rsidR="00E34988">
        <w:rPr>
          <w:rFonts w:asciiTheme="majorBidi" w:hAnsiTheme="majorBidi" w:cstheme="majorBidi"/>
        </w:rPr>
        <w:fldChar w:fldCharType="end"/>
      </w:r>
      <w:r w:rsidRPr="00E47C13">
        <w:rPr>
          <w:rFonts w:asciiTheme="majorBidi" w:hAnsiTheme="majorBidi" w:cstheme="majorBidi"/>
        </w:rPr>
        <w:t>.</w:t>
      </w:r>
      <w:r w:rsidR="00F1535F">
        <w:rPr>
          <w:rFonts w:asciiTheme="majorBidi" w:hAnsiTheme="majorBidi" w:cstheme="majorBidi"/>
        </w:rPr>
        <w:t xml:space="preserve"> The </w:t>
      </w:r>
      <w:proofErr w:type="gramStart"/>
      <w:r w:rsidR="00F1535F">
        <w:rPr>
          <w:rFonts w:asciiTheme="majorBidi" w:hAnsiTheme="majorBidi" w:cstheme="majorBidi"/>
        </w:rPr>
        <w:t>efficacy of these two targets have</w:t>
      </w:r>
      <w:proofErr w:type="gramEnd"/>
      <w:r w:rsidR="00F1535F">
        <w:rPr>
          <w:rFonts w:asciiTheme="majorBidi" w:hAnsiTheme="majorBidi" w:cstheme="majorBidi"/>
        </w:rPr>
        <w:t xml:space="preserve"> been different according to studies.</w:t>
      </w:r>
    </w:p>
    <w:p w:rsidR="00A81099" w:rsidRPr="00A81099" w:rsidRDefault="00A81099" w:rsidP="003F32C1">
      <w:pPr>
        <w:bidi w:val="0"/>
        <w:spacing w:line="480" w:lineRule="auto"/>
        <w:jc w:val="both"/>
        <w:rPr>
          <w:rFonts w:asciiTheme="majorBidi" w:hAnsiTheme="majorBidi" w:cstheme="majorBidi"/>
          <w:sz w:val="24"/>
          <w:szCs w:val="24"/>
        </w:rPr>
      </w:pPr>
      <w:r w:rsidRPr="00C91117">
        <w:rPr>
          <w:rFonts w:asciiTheme="majorBidi" w:hAnsiTheme="majorBidi" w:cstheme="majorBidi"/>
          <w:sz w:val="24"/>
          <w:szCs w:val="24"/>
        </w:rPr>
        <w:lastRenderedPageBreak/>
        <w:t>Odekerken et al. demonstrated that the change in UPDRS</w:t>
      </w:r>
      <w:r>
        <w:rPr>
          <w:rFonts w:asciiTheme="majorBidi" w:hAnsiTheme="majorBidi" w:cstheme="majorBidi"/>
          <w:sz w:val="24"/>
          <w:szCs w:val="24"/>
        </w:rPr>
        <w:t xml:space="preserve"> score during the off</w:t>
      </w:r>
      <w:r w:rsidR="009A0E74">
        <w:rPr>
          <w:rFonts w:asciiTheme="majorBidi" w:hAnsiTheme="majorBidi" w:cstheme="majorBidi"/>
          <w:sz w:val="24"/>
          <w:szCs w:val="24"/>
        </w:rPr>
        <w:t xml:space="preserve"> drug </w:t>
      </w:r>
      <w:r>
        <w:rPr>
          <w:rFonts w:asciiTheme="majorBidi" w:hAnsiTheme="majorBidi" w:cstheme="majorBidi"/>
          <w:sz w:val="24"/>
          <w:szCs w:val="24"/>
        </w:rPr>
        <w:t xml:space="preserve">phase was </w:t>
      </w:r>
      <w:r w:rsidRPr="00C91117">
        <w:rPr>
          <w:rFonts w:asciiTheme="majorBidi" w:hAnsiTheme="majorBidi" w:cstheme="majorBidi"/>
          <w:sz w:val="24"/>
          <w:szCs w:val="24"/>
        </w:rPr>
        <w:t>lower in the GPi group than in the STN group, and during the</w:t>
      </w:r>
      <w:r>
        <w:rPr>
          <w:rFonts w:asciiTheme="majorBidi" w:hAnsiTheme="majorBidi" w:cstheme="majorBidi"/>
          <w:sz w:val="24"/>
          <w:szCs w:val="24"/>
        </w:rPr>
        <w:t xml:space="preserve"> on-phase, dyskinesia was less </w:t>
      </w:r>
      <w:r w:rsidRPr="00C91117">
        <w:rPr>
          <w:rFonts w:asciiTheme="majorBidi" w:hAnsiTheme="majorBidi" w:cstheme="majorBidi"/>
          <w:sz w:val="24"/>
          <w:szCs w:val="24"/>
        </w:rPr>
        <w:t xml:space="preserve">in the GPi group compared to the STN group. In both </w:t>
      </w:r>
      <w:r>
        <w:rPr>
          <w:rFonts w:asciiTheme="majorBidi" w:hAnsiTheme="majorBidi" w:cstheme="majorBidi"/>
          <w:sz w:val="24"/>
          <w:szCs w:val="24"/>
        </w:rPr>
        <w:t>phase</w:t>
      </w:r>
      <w:r w:rsidR="009A0E74">
        <w:rPr>
          <w:rFonts w:asciiTheme="majorBidi" w:hAnsiTheme="majorBidi" w:cstheme="majorBidi"/>
          <w:sz w:val="24"/>
          <w:szCs w:val="24"/>
        </w:rPr>
        <w:t>s</w:t>
      </w:r>
      <w:r>
        <w:rPr>
          <w:rFonts w:asciiTheme="majorBidi" w:hAnsiTheme="majorBidi" w:cstheme="majorBidi"/>
          <w:sz w:val="24"/>
          <w:szCs w:val="24"/>
        </w:rPr>
        <w:t xml:space="preserve">, the reduction </w:t>
      </w:r>
      <w:r w:rsidRPr="00C91117">
        <w:rPr>
          <w:rFonts w:asciiTheme="majorBidi" w:hAnsiTheme="majorBidi" w:cstheme="majorBidi"/>
          <w:sz w:val="24"/>
          <w:szCs w:val="24"/>
        </w:rPr>
        <w:t>in time was similar, but it was significant on</w:t>
      </w:r>
      <w:r>
        <w:rPr>
          <w:rFonts w:asciiTheme="majorBidi" w:hAnsiTheme="majorBidi" w:cstheme="majorBidi"/>
          <w:sz w:val="24"/>
          <w:szCs w:val="24"/>
        </w:rPr>
        <w:t>ly in the off-phase (p=0.02)</w:t>
      </w:r>
      <w:r>
        <w:rPr>
          <w:rFonts w:asciiTheme="majorBidi" w:hAnsiTheme="majorBidi" w:cstheme="majorBidi"/>
          <w:sz w:val="24"/>
          <w:szCs w:val="24"/>
        </w:rPr>
        <w:fldChar w:fldCharType="begin"/>
      </w:r>
      <w:r w:rsidR="00A9207F">
        <w:rPr>
          <w:rFonts w:asciiTheme="majorBidi" w:hAnsiTheme="majorBidi" w:cstheme="majorBidi"/>
          <w:sz w:val="24"/>
          <w:szCs w:val="24"/>
        </w:rPr>
        <w:instrText xml:space="preserve"> ADDIN EN.CITE &lt;EndNote&gt;&lt;Cite&gt;&lt;Author&gt;Odekerken&lt;/Author&gt;&lt;Year&gt;2013&lt;/Year&gt;&lt;RecNum&gt;650&lt;/RecNum&gt;&lt;DisplayText&gt;[13]&lt;/DisplayText&gt;&lt;record&gt;&lt;rec-number&gt;650&lt;/rec-number&gt;&lt;foreign-keys&gt;&lt;key app="EN" db-id="rewfwt2w8r5sdvev9v0xsda92ff2twsr5ees"&gt;650&lt;/key&gt;&lt;/foreign-keys&gt;&lt;ref-type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Pr>
          <w:rFonts w:asciiTheme="majorBidi" w:hAnsiTheme="majorBidi" w:cstheme="majorBidi"/>
          <w:sz w:val="24"/>
          <w:szCs w:val="24"/>
        </w:rPr>
        <w:fldChar w:fldCharType="separate"/>
      </w:r>
      <w:r w:rsidR="00A9207F">
        <w:rPr>
          <w:rFonts w:asciiTheme="majorBidi" w:hAnsiTheme="majorBidi" w:cstheme="majorBidi"/>
          <w:noProof/>
          <w:sz w:val="24"/>
          <w:szCs w:val="24"/>
        </w:rPr>
        <w:t>[</w:t>
      </w:r>
      <w:hyperlink w:anchor="_ENREF_13" w:tooltip="Odekerken, 2013 #650" w:history="1">
        <w:r w:rsidR="00A9207F">
          <w:rPr>
            <w:rFonts w:asciiTheme="majorBidi" w:hAnsiTheme="majorBidi" w:cstheme="majorBidi"/>
            <w:noProof/>
            <w:sz w:val="24"/>
            <w:szCs w:val="24"/>
          </w:rPr>
          <w:t>13</w:t>
        </w:r>
      </w:hyperlink>
      <w:r w:rsidR="00A9207F">
        <w:rPr>
          <w:rFonts w:asciiTheme="majorBidi" w:hAnsiTheme="majorBidi" w:cstheme="majorBidi"/>
          <w:noProof/>
          <w:sz w:val="24"/>
          <w:szCs w:val="24"/>
        </w:rPr>
        <w:t>]</w:t>
      </w:r>
      <w:r>
        <w:rPr>
          <w:rFonts w:asciiTheme="majorBidi" w:hAnsiTheme="majorBidi" w:cstheme="majorBidi"/>
          <w:sz w:val="24"/>
          <w:szCs w:val="24"/>
        </w:rPr>
        <w:fldChar w:fldCharType="end"/>
      </w:r>
      <w:r w:rsidRPr="00C91117">
        <w:rPr>
          <w:rFonts w:asciiTheme="majorBidi" w:hAnsiTheme="majorBidi" w:cstheme="majorBidi"/>
          <w:sz w:val="24"/>
          <w:szCs w:val="24"/>
        </w:rPr>
        <w:t>. Troche et al</w:t>
      </w:r>
      <w:r w:rsidRPr="00C91117">
        <w:rPr>
          <w:rFonts w:asciiTheme="majorBidi" w:hAnsiTheme="majorBidi" w:cs="Times New Roman"/>
          <w:sz w:val="24"/>
          <w:szCs w:val="24"/>
          <w:rtl/>
        </w:rPr>
        <w:t>.</w:t>
      </w:r>
      <w:r>
        <w:rPr>
          <w:rFonts w:asciiTheme="majorBidi" w:hAnsiTheme="majorBidi" w:cstheme="majorBidi"/>
          <w:sz w:val="24"/>
          <w:szCs w:val="24"/>
        </w:rPr>
        <w:t xml:space="preserve"> </w:t>
      </w:r>
      <w:r w:rsidRPr="00C91117">
        <w:rPr>
          <w:rFonts w:asciiTheme="majorBidi" w:hAnsiTheme="majorBidi" w:cstheme="majorBidi"/>
          <w:sz w:val="24"/>
          <w:szCs w:val="24"/>
        </w:rPr>
        <w:t>showed there was a significant improvement in UPDRS score</w:t>
      </w:r>
      <w:r>
        <w:rPr>
          <w:rFonts w:asciiTheme="majorBidi" w:hAnsiTheme="majorBidi" w:cstheme="majorBidi"/>
          <w:sz w:val="24"/>
          <w:szCs w:val="24"/>
        </w:rPr>
        <w:t xml:space="preserve"> at off-medication state before </w:t>
      </w:r>
      <w:r w:rsidRPr="00C91117">
        <w:rPr>
          <w:rFonts w:asciiTheme="majorBidi" w:hAnsiTheme="majorBidi" w:cstheme="majorBidi"/>
          <w:sz w:val="24"/>
          <w:szCs w:val="24"/>
        </w:rPr>
        <w:t>and after sur</w:t>
      </w:r>
      <w:r w:rsidR="003F32C1">
        <w:rPr>
          <w:rFonts w:asciiTheme="majorBidi" w:hAnsiTheme="majorBidi" w:cstheme="majorBidi"/>
          <w:sz w:val="24"/>
          <w:szCs w:val="24"/>
        </w:rPr>
        <w:t>gery for both groups (p &lt; .001)</w:t>
      </w:r>
      <w:r w:rsidRPr="00C91117">
        <w:rPr>
          <w:rFonts w:asciiTheme="majorBidi" w:hAnsiTheme="majorBidi" w:cs="Times New Roman"/>
          <w:sz w:val="24"/>
          <w:szCs w:val="24"/>
          <w:rtl/>
        </w:rPr>
        <w:t xml:space="preserve"> </w:t>
      </w:r>
      <w:r>
        <w:rPr>
          <w:rFonts w:asciiTheme="majorBidi" w:hAnsiTheme="majorBidi" w:cs="Times New Roman"/>
          <w:sz w:val="24"/>
          <w:szCs w:val="24"/>
          <w:rtl/>
        </w:rPr>
        <w:fldChar w:fldCharType="begin"/>
      </w:r>
      <w:r w:rsidR="00A9207F">
        <w:rPr>
          <w:rFonts w:asciiTheme="majorBidi" w:hAnsiTheme="majorBidi" w:cs="Times New Roman"/>
          <w:sz w:val="24"/>
          <w:szCs w:val="24"/>
          <w:rtl/>
        </w:rPr>
        <w:instrText xml:space="preserve"> </w:instrText>
      </w:r>
      <w:r w:rsidR="00A9207F">
        <w:rPr>
          <w:rFonts w:asciiTheme="majorBidi" w:hAnsiTheme="majorBidi" w:cs="Times New Roman"/>
          <w:sz w:val="24"/>
          <w:szCs w:val="24"/>
        </w:rPr>
        <w:instrText>ADDIN EN.CITE &lt;EndNote&gt;&lt;Cite&gt;&lt;Author&gt;Troche&lt;/Author&gt;&lt;Year&gt;2014&lt;/Year&gt;&lt;RecNum&gt;649&lt;/RecNum&gt;&lt;DisplayText&gt;[14]&lt;/DisplayText&gt;&lt;record&gt;&lt;rec-number&gt;649&lt;/rec-number&gt;&lt;foreign-keys&gt;&lt;key app="EN" db-id="rewfwt2w8r5sdvev9v0xsda92ff2twsr5ees"&gt;649&lt;/key&gt;&lt;/foreign-keys</w:instrText>
      </w:r>
      <w:r w:rsidR="00A9207F">
        <w:rPr>
          <w:rFonts w:asciiTheme="majorBidi" w:hAnsiTheme="majorBidi" w:cs="Times New Roman"/>
          <w:sz w:val="24"/>
          <w:szCs w:val="24"/>
          <w:rtl/>
        </w:rPr>
        <w:instrText>&gt;&lt;</w:instrText>
      </w:r>
      <w:r w:rsidR="00A9207F">
        <w:rPr>
          <w:rFonts w:asciiTheme="majorBidi" w:hAnsiTheme="majorBidi" w:cs="Times New Roman"/>
          <w:sz w:val="24"/>
          <w:szCs w:val="24"/>
        </w:rPr>
        <w:instrText>ref-type name="Journal Article"&gt;17&lt;/ref-type&gt;&lt;contributors&gt;&lt;authors&gt;&lt;author&gt;Troche, Michelle S&lt;/author&gt;&lt;author&gt;Brandimore, Alexandra E&lt;/author&gt;&lt;author&gt;Foote, Kelly D&lt;/author&gt;&lt;author&gt;Morishita, Takashi&lt;/author&gt;&lt;author&gt;Chen, Dennis&lt;/author&gt;&lt;author&gt;Hegland</w:instrText>
      </w:r>
      <w:r w:rsidR="00A9207F">
        <w:rPr>
          <w:rFonts w:asciiTheme="majorBidi" w:hAnsiTheme="majorBidi" w:cs="Times New Roman"/>
          <w:sz w:val="24"/>
          <w:szCs w:val="24"/>
          <w:rtl/>
        </w:rPr>
        <w:instrText xml:space="preserve">, </w:instrText>
      </w:r>
      <w:r w:rsidR="00A9207F">
        <w:rPr>
          <w:rFonts w:asciiTheme="majorBidi" w:hAnsiTheme="majorBidi" w:cs="Times New Roman"/>
          <w:sz w:val="24"/>
          <w:szCs w:val="24"/>
        </w:rPr>
        <w:instrText>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w:instrText>
      </w:r>
      <w:r w:rsidR="00A9207F">
        <w:rPr>
          <w:rFonts w:asciiTheme="majorBidi" w:hAnsiTheme="majorBidi" w:cs="Times New Roman"/>
          <w:sz w:val="24"/>
          <w:szCs w:val="24"/>
          <w:rtl/>
        </w:rPr>
        <w:instrText>&gt;</w:instrText>
      </w:r>
      <w:r>
        <w:rPr>
          <w:rFonts w:asciiTheme="majorBidi" w:hAnsiTheme="majorBidi" w:cs="Times New Roman"/>
          <w:sz w:val="24"/>
          <w:szCs w:val="24"/>
          <w:rtl/>
        </w:rPr>
        <w:fldChar w:fldCharType="separate"/>
      </w:r>
      <w:r w:rsidR="00A9207F">
        <w:rPr>
          <w:rFonts w:asciiTheme="majorBidi" w:hAnsiTheme="majorBidi" w:cs="Times New Roman"/>
          <w:noProof/>
          <w:sz w:val="24"/>
          <w:szCs w:val="24"/>
          <w:rtl/>
        </w:rPr>
        <w:t>[</w:t>
      </w:r>
      <w:hyperlink w:anchor="_ENREF_14" w:tooltip="Troche, 2014 #649" w:history="1">
        <w:r w:rsidR="00A9207F">
          <w:rPr>
            <w:rFonts w:asciiTheme="majorBidi" w:hAnsiTheme="majorBidi" w:cs="Times New Roman"/>
            <w:noProof/>
            <w:sz w:val="24"/>
            <w:szCs w:val="24"/>
            <w:rtl/>
          </w:rPr>
          <w:t>14</w:t>
        </w:r>
      </w:hyperlink>
      <w:r w:rsidR="00A9207F">
        <w:rPr>
          <w:rFonts w:asciiTheme="majorBidi" w:hAnsiTheme="majorBidi" w:cs="Times New Roman"/>
          <w:noProof/>
          <w:sz w:val="24"/>
          <w:szCs w:val="24"/>
          <w:rtl/>
        </w:rPr>
        <w:t>]</w:t>
      </w:r>
      <w:r>
        <w:rPr>
          <w:rFonts w:asciiTheme="majorBidi" w:hAnsiTheme="majorBidi" w:cs="Times New Roman"/>
          <w:sz w:val="24"/>
          <w:szCs w:val="24"/>
          <w:rtl/>
        </w:rPr>
        <w:fldChar w:fldCharType="end"/>
      </w:r>
      <w:r w:rsidR="003F32C1">
        <w:rPr>
          <w:rFonts w:asciiTheme="majorBidi" w:hAnsiTheme="majorBidi" w:cs="Times New Roman"/>
          <w:sz w:val="24"/>
          <w:szCs w:val="24"/>
        </w:rPr>
        <w:t xml:space="preserve">. </w:t>
      </w:r>
      <w:r w:rsidRPr="00C91117">
        <w:rPr>
          <w:rFonts w:asciiTheme="majorBidi" w:hAnsiTheme="majorBidi" w:cstheme="majorBidi"/>
          <w:sz w:val="24"/>
          <w:szCs w:val="24"/>
        </w:rPr>
        <w:t>In another study conducted by Odekerken</w:t>
      </w:r>
      <w:r>
        <w:rPr>
          <w:rFonts w:asciiTheme="majorBidi" w:hAnsiTheme="majorBidi" w:cstheme="majorBidi"/>
          <w:sz w:val="24"/>
          <w:szCs w:val="24"/>
        </w:rPr>
        <w:t xml:space="preserve"> et al., more improvements were </w:t>
      </w:r>
      <w:r w:rsidRPr="00C91117">
        <w:rPr>
          <w:rFonts w:asciiTheme="majorBidi" w:hAnsiTheme="majorBidi" w:cstheme="majorBidi"/>
          <w:sz w:val="24"/>
          <w:szCs w:val="24"/>
        </w:rPr>
        <w:t>reported the off-drug phase UPDRS-ME score after three years in the STN group (p=0.04</w:t>
      </w:r>
      <w:r w:rsidRPr="00C91117">
        <w:t xml:space="preserve"> </w:t>
      </w:r>
      <w:r w:rsidRPr="00C91117">
        <w:rPr>
          <w:rFonts w:asciiTheme="majorBidi" w:hAnsiTheme="majorBidi" w:cstheme="majorBidi"/>
          <w:sz w:val="24"/>
          <w:szCs w:val="24"/>
        </w:rPr>
        <w:t>while no between-group differences were shown in the on-drug phase</w:t>
      </w:r>
      <w:r>
        <w:rPr>
          <w:rFonts w:asciiTheme="majorBidi" w:hAnsiTheme="majorBidi" w:cstheme="majorBidi"/>
          <w:sz w:val="24"/>
          <w:szCs w:val="24"/>
        </w:rPr>
        <w:fldChar w:fldCharType="begin"/>
      </w:r>
      <w:r w:rsidR="00A9207F">
        <w:rPr>
          <w:rFonts w:asciiTheme="majorBidi" w:hAnsiTheme="majorBidi" w:cstheme="majorBidi"/>
          <w:sz w:val="24"/>
          <w:szCs w:val="24"/>
        </w:rPr>
        <w:instrText xml:space="preserve"> ADDIN EN.CITE &lt;EndNote&gt;&lt;Cite&gt;&lt;Author&gt;Odekerken&lt;/Author&gt;&lt;Year&gt;2016&lt;/Year&gt;&lt;RecNum&gt;651&lt;/RecNum&gt;&lt;DisplayText&gt;[15]&lt;/DisplayText&gt;&lt;record&gt;&lt;rec-number&gt;651&lt;/rec-number&gt;&lt;foreign-keys&gt;&lt;key app="EN" db-id="rewfwt2w8r5sdvev9v0xsda92ff2twsr5ees"&gt;651&lt;/key&gt;&lt;/foreign-keys&gt;&lt;ref-type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Pr>
          <w:rFonts w:asciiTheme="majorBidi" w:hAnsiTheme="majorBidi" w:cstheme="majorBidi"/>
          <w:sz w:val="24"/>
          <w:szCs w:val="24"/>
        </w:rPr>
        <w:fldChar w:fldCharType="separate"/>
      </w:r>
      <w:r w:rsidR="00A9207F">
        <w:rPr>
          <w:rFonts w:asciiTheme="majorBidi" w:hAnsiTheme="majorBidi" w:cstheme="majorBidi"/>
          <w:noProof/>
          <w:sz w:val="24"/>
          <w:szCs w:val="24"/>
        </w:rPr>
        <w:t>[</w:t>
      </w:r>
      <w:hyperlink w:anchor="_ENREF_15" w:tooltip="Odekerken, 2016 #651" w:history="1">
        <w:r w:rsidR="00A9207F">
          <w:rPr>
            <w:rFonts w:asciiTheme="majorBidi" w:hAnsiTheme="majorBidi" w:cstheme="majorBidi"/>
            <w:noProof/>
            <w:sz w:val="24"/>
            <w:szCs w:val="24"/>
          </w:rPr>
          <w:t>15</w:t>
        </w:r>
      </w:hyperlink>
      <w:r w:rsidR="00A9207F">
        <w:rPr>
          <w:rFonts w:asciiTheme="majorBidi" w:hAnsiTheme="majorBidi" w:cstheme="majorBidi"/>
          <w:noProof/>
          <w:sz w:val="24"/>
          <w:szCs w:val="24"/>
        </w:rPr>
        <w:t>]</w:t>
      </w:r>
      <w:r>
        <w:rPr>
          <w:rFonts w:asciiTheme="majorBidi" w:hAnsiTheme="majorBidi" w:cstheme="majorBidi"/>
          <w:sz w:val="24"/>
          <w:szCs w:val="24"/>
        </w:rPr>
        <w:fldChar w:fldCharType="end"/>
      </w:r>
      <w:r w:rsidRPr="00C91117">
        <w:rPr>
          <w:rFonts w:asciiTheme="majorBidi" w:hAnsiTheme="majorBidi" w:cstheme="majorBidi"/>
          <w:sz w:val="24"/>
          <w:szCs w:val="24"/>
        </w:rPr>
        <w:t xml:space="preserve"> </w:t>
      </w:r>
      <w:r>
        <w:rPr>
          <w:rFonts w:asciiTheme="majorBidi" w:hAnsiTheme="majorBidi" w:cstheme="majorBidi"/>
          <w:sz w:val="24"/>
          <w:szCs w:val="24"/>
        </w:rPr>
        <w:t xml:space="preserve">. In the study of </w:t>
      </w:r>
      <w:r w:rsidRPr="00C91117">
        <w:rPr>
          <w:rFonts w:asciiTheme="majorBidi" w:hAnsiTheme="majorBidi" w:cstheme="majorBidi"/>
          <w:sz w:val="24"/>
          <w:szCs w:val="24"/>
        </w:rPr>
        <w:t>Gong et al., four months after DBS, all patients exp</w:t>
      </w:r>
      <w:r>
        <w:rPr>
          <w:rFonts w:asciiTheme="majorBidi" w:hAnsiTheme="majorBidi" w:cstheme="majorBidi"/>
          <w:sz w:val="24"/>
          <w:szCs w:val="24"/>
        </w:rPr>
        <w:t xml:space="preserve">erienced improvement (≥30% ) in </w:t>
      </w:r>
      <w:r w:rsidRPr="00C91117">
        <w:rPr>
          <w:rFonts w:asciiTheme="majorBidi" w:hAnsiTheme="majorBidi" w:cstheme="majorBidi"/>
          <w:sz w:val="24"/>
          <w:szCs w:val="24"/>
        </w:rPr>
        <w:t>UPDRS score in off-period, and pain symptoms improvement rate was 79±27% and</w:t>
      </w:r>
      <w:r w:rsidR="009A0E74">
        <w:rPr>
          <w:rFonts w:asciiTheme="majorBidi" w:hAnsiTheme="majorBidi" w:cs="Times New Roman"/>
          <w:sz w:val="24"/>
          <w:szCs w:val="24"/>
          <w:rtl/>
        </w:rPr>
        <w:t>75%±27%</w:t>
      </w:r>
      <w:r w:rsidR="009A0E74">
        <w:rPr>
          <w:rFonts w:asciiTheme="majorBidi" w:hAnsiTheme="majorBidi" w:cs="Times New Roman"/>
          <w:sz w:val="24"/>
          <w:szCs w:val="24"/>
        </w:rPr>
        <w:t xml:space="preserve"> </w:t>
      </w:r>
      <w:r w:rsidR="009A0E74" w:rsidRPr="00C91117">
        <w:rPr>
          <w:rFonts w:asciiTheme="majorBidi" w:hAnsiTheme="majorBidi" w:cstheme="majorBidi"/>
          <w:sz w:val="24"/>
          <w:szCs w:val="24"/>
        </w:rPr>
        <w:t>in STN and GPi groups, respectively</w:t>
      </w:r>
      <w:r w:rsidR="009A0E74">
        <w:rPr>
          <w:rFonts w:asciiTheme="majorBidi" w:hAnsiTheme="majorBidi" w:cstheme="majorBidi"/>
          <w:sz w:val="24"/>
          <w:szCs w:val="24"/>
        </w:rPr>
        <w:fldChar w:fldCharType="begin"/>
      </w:r>
      <w:r w:rsidR="009A0E74">
        <w:rPr>
          <w:rFonts w:asciiTheme="majorBidi" w:hAnsiTheme="majorBidi" w:cstheme="majorBidi"/>
          <w:sz w:val="24"/>
          <w:szCs w:val="24"/>
        </w:rPr>
        <w:instrText xml:space="preserve"> ADDIN EN.CITE &lt;EndNote&gt;&lt;Cite&gt;&lt;Author&gt;Gong&lt;/Author&gt;&lt;Year&gt;2020&lt;/Year&gt;&lt;RecNum&gt;652&lt;/RecNum&gt;&lt;DisplayText&gt;[16]&lt;/DisplayText&gt;&lt;record&gt;&lt;rec-number&gt;652&lt;/rec-number&gt;&lt;foreign-keys&gt;&lt;key app="EN" db-id="rewfwt2w8r5sdvev9v0xsda92ff2twsr5ees"&gt;652&lt;/key&gt;&lt;/foreign-keys&gt;&lt;ref-type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009A0E74">
        <w:rPr>
          <w:rFonts w:asciiTheme="majorBidi" w:hAnsiTheme="majorBidi" w:cstheme="majorBidi"/>
          <w:sz w:val="24"/>
          <w:szCs w:val="24"/>
        </w:rPr>
        <w:fldChar w:fldCharType="separate"/>
      </w:r>
      <w:r w:rsidR="009A0E74">
        <w:rPr>
          <w:rFonts w:asciiTheme="majorBidi" w:hAnsiTheme="majorBidi" w:cstheme="majorBidi"/>
          <w:noProof/>
          <w:sz w:val="24"/>
          <w:szCs w:val="24"/>
        </w:rPr>
        <w:t>[</w:t>
      </w:r>
      <w:hyperlink w:anchor="_ENREF_16" w:tooltip="Gong, 2020 #652" w:history="1">
        <w:r w:rsidR="009A0E74">
          <w:rPr>
            <w:rFonts w:asciiTheme="majorBidi" w:hAnsiTheme="majorBidi" w:cstheme="majorBidi"/>
            <w:noProof/>
            <w:sz w:val="24"/>
            <w:szCs w:val="24"/>
          </w:rPr>
          <w:t>16</w:t>
        </w:r>
      </w:hyperlink>
      <w:r w:rsidR="009A0E74">
        <w:rPr>
          <w:rFonts w:asciiTheme="majorBidi" w:hAnsiTheme="majorBidi" w:cstheme="majorBidi"/>
          <w:noProof/>
          <w:sz w:val="24"/>
          <w:szCs w:val="24"/>
        </w:rPr>
        <w:t>]</w:t>
      </w:r>
      <w:r w:rsidR="009A0E74">
        <w:rPr>
          <w:rFonts w:asciiTheme="majorBidi" w:hAnsiTheme="majorBidi" w:cstheme="majorBidi"/>
          <w:sz w:val="24"/>
          <w:szCs w:val="24"/>
        </w:rPr>
        <w:fldChar w:fldCharType="end"/>
      </w:r>
      <w:r w:rsidR="009A0E74" w:rsidRPr="00C91117">
        <w:rPr>
          <w:rFonts w:asciiTheme="majorBidi" w:hAnsiTheme="majorBidi" w:cstheme="majorBidi"/>
          <w:sz w:val="24"/>
          <w:szCs w:val="24"/>
        </w:rPr>
        <w:t>.</w:t>
      </w:r>
      <w:r w:rsidR="009A0E74">
        <w:rPr>
          <w:rFonts w:asciiTheme="majorBidi" w:hAnsiTheme="majorBidi" w:cstheme="majorBidi"/>
          <w:sz w:val="24"/>
          <w:szCs w:val="24"/>
        </w:rPr>
        <w:t xml:space="preserve"> </w:t>
      </w:r>
      <w:r w:rsidRPr="00C91117">
        <w:rPr>
          <w:rFonts w:asciiTheme="majorBidi" w:hAnsiTheme="majorBidi" w:cstheme="majorBidi"/>
          <w:sz w:val="24"/>
          <w:szCs w:val="24"/>
        </w:rPr>
        <w:t xml:space="preserve">Fan et al. demonstrated that in the </w:t>
      </w:r>
      <w:proofErr w:type="spellStart"/>
      <w:r w:rsidRPr="00C91117">
        <w:rPr>
          <w:rFonts w:asciiTheme="majorBidi" w:hAnsiTheme="majorBidi" w:cstheme="majorBidi"/>
          <w:sz w:val="24"/>
          <w:szCs w:val="24"/>
        </w:rPr>
        <w:t>drugoff</w:t>
      </w:r>
      <w:proofErr w:type="spellEnd"/>
      <w:r>
        <w:rPr>
          <w:rFonts w:asciiTheme="majorBidi" w:hAnsiTheme="majorBidi" w:cstheme="majorBidi"/>
          <w:sz w:val="24"/>
          <w:szCs w:val="24"/>
        </w:rPr>
        <w:t>-</w:t>
      </w:r>
      <w:r w:rsidRPr="00C91117">
        <w:rPr>
          <w:rFonts w:asciiTheme="majorBidi" w:hAnsiTheme="majorBidi" w:cstheme="majorBidi"/>
          <w:sz w:val="24"/>
          <w:szCs w:val="24"/>
        </w:rPr>
        <w:t>phase, the mean improvement of UPDRS was 4</w:t>
      </w:r>
      <w:r>
        <w:rPr>
          <w:rFonts w:asciiTheme="majorBidi" w:hAnsiTheme="majorBidi" w:cstheme="majorBidi"/>
          <w:sz w:val="24"/>
          <w:szCs w:val="24"/>
        </w:rPr>
        <w:t xml:space="preserve">1.50% and 43.56% in STN and GPi </w:t>
      </w:r>
      <w:r w:rsidRPr="00C91117">
        <w:rPr>
          <w:rFonts w:asciiTheme="majorBidi" w:hAnsiTheme="majorBidi" w:cstheme="majorBidi"/>
          <w:sz w:val="24"/>
          <w:szCs w:val="24"/>
        </w:rPr>
        <w:t>groups, respectively, with no significant difference between the group (p=0.609</w:t>
      </w:r>
      <w:r>
        <w:rPr>
          <w:rFonts w:asciiTheme="majorBidi" w:hAnsiTheme="majorBidi" w:cs="Times New Roman"/>
          <w:sz w:val="24"/>
          <w:szCs w:val="24"/>
        </w:rPr>
        <w:t>).</w:t>
      </w:r>
      <w:r>
        <w:rPr>
          <w:rFonts w:asciiTheme="majorBidi" w:hAnsiTheme="majorBidi" w:cstheme="majorBidi"/>
          <w:sz w:val="24"/>
          <w:szCs w:val="24"/>
        </w:rPr>
        <w:t xml:space="preserve"> </w:t>
      </w:r>
      <w:r w:rsidRPr="00C91117">
        <w:rPr>
          <w:rFonts w:asciiTheme="majorBidi" w:hAnsiTheme="majorBidi" w:cstheme="majorBidi"/>
          <w:sz w:val="24"/>
          <w:szCs w:val="24"/>
        </w:rPr>
        <w:t>Additionally, GPi DBS had dir</w:t>
      </w:r>
      <w:r>
        <w:rPr>
          <w:rFonts w:asciiTheme="majorBidi" w:hAnsiTheme="majorBidi" w:cstheme="majorBidi"/>
          <w:sz w:val="24"/>
          <w:szCs w:val="24"/>
        </w:rPr>
        <w:t xml:space="preserve">ect anti-dyskinesia effects </w:t>
      </w:r>
      <w:r>
        <w:rPr>
          <w:rFonts w:asciiTheme="majorBidi" w:hAnsiTheme="majorBidi" w:cstheme="majorBidi"/>
          <w:sz w:val="24"/>
          <w:szCs w:val="24"/>
        </w:rPr>
        <w:fldChar w:fldCharType="begin"/>
      </w:r>
      <w:r w:rsidR="00A9207F">
        <w:rPr>
          <w:rFonts w:asciiTheme="majorBidi" w:hAnsiTheme="majorBidi" w:cstheme="majorBidi"/>
          <w:sz w:val="24"/>
          <w:szCs w:val="24"/>
        </w:rPr>
        <w:instrText xml:space="preserve"> ADDIN EN.CITE &lt;EndNote&gt;&lt;Cite&gt;&lt;Author&gt;Fan&lt;/Author&gt;&lt;Year&gt;2020&lt;/Year&gt;&lt;RecNum&gt;653&lt;/RecNum&gt;&lt;DisplayText&gt;[17]&lt;/DisplayText&gt;&lt;record&gt;&lt;rec-number&gt;653&lt;/rec-number&gt;&lt;foreign-keys&gt;&lt;key app="EN" db-id="rewfwt2w8r5sdvev9v0xsda92ff2twsr5ees"&gt;653&lt;/key&gt;&lt;/foreign-keys&gt;&lt;ref-type name="Journal Article"&gt;17&lt;/ref-type&gt;&lt;contributors&gt;&lt;authors&gt;&lt;author&gt;Fan, Shi</w:instrText>
      </w:r>
      <w:r w:rsidR="00A9207F">
        <w:rPr>
          <w:rFonts w:ascii="Cambria Math" w:hAnsi="Cambria Math" w:cs="Cambria Math"/>
          <w:sz w:val="24"/>
          <w:szCs w:val="24"/>
        </w:rPr>
        <w:instrText>‐</w:instrText>
      </w:r>
      <w:r w:rsidR="00A9207F">
        <w:rPr>
          <w:rFonts w:asciiTheme="majorBidi" w:hAnsiTheme="majorBidi" w:cstheme="majorBidi"/>
          <w:sz w:val="24"/>
          <w:szCs w:val="24"/>
        </w:rPr>
        <w:instrText>Ying&lt;/author&gt;&lt;author&gt;Wang, Kai</w:instrText>
      </w:r>
      <w:r w:rsidR="00A9207F">
        <w:rPr>
          <w:rFonts w:ascii="Cambria Math" w:hAnsi="Cambria Math" w:cs="Cambria Math"/>
          <w:sz w:val="24"/>
          <w:szCs w:val="24"/>
        </w:rPr>
        <w:instrText>‐</w:instrText>
      </w:r>
      <w:r w:rsidR="00A9207F">
        <w:rPr>
          <w:rFonts w:asciiTheme="majorBidi" w:hAnsiTheme="majorBidi" w:cstheme="majorBidi"/>
          <w:sz w:val="24"/>
          <w:szCs w:val="24"/>
        </w:rPr>
        <w:instrText>Liang&lt;/author&gt;&lt;author&gt;Hu, Wei&lt;/author&gt;&lt;author&gt;Eisinger, Robert S&lt;/author&gt;&lt;author&gt;Han, Alexander&lt;/author&gt;&lt;author&gt;Han, Chun</w:instrText>
      </w:r>
      <w:r w:rsidR="00A9207F">
        <w:rPr>
          <w:rFonts w:ascii="Cambria Math" w:hAnsi="Cambria Math" w:cs="Cambria Math"/>
          <w:sz w:val="24"/>
          <w:szCs w:val="24"/>
        </w:rPr>
        <w:instrText>‐</w:instrText>
      </w:r>
      <w:r w:rsidR="00A9207F">
        <w:rPr>
          <w:rFonts w:asciiTheme="majorBidi" w:hAnsiTheme="majorBidi" w:cstheme="majorBidi"/>
          <w:sz w:val="24"/>
          <w:szCs w:val="24"/>
        </w:rPr>
        <w:instrText>Lei&lt;/author&gt;&lt;author&gt;Wang, Qiao&lt;/author&gt;&lt;author&gt;Michitomo, Shimabukuro&lt;/author&gt;&lt;author&gt;Zhang, Jian</w:instrText>
      </w:r>
      <w:r w:rsidR="00A9207F">
        <w:rPr>
          <w:rFonts w:ascii="Cambria Math" w:hAnsi="Cambria Math" w:cs="Cambria Math"/>
          <w:sz w:val="24"/>
          <w:szCs w:val="24"/>
        </w:rPr>
        <w:instrText>‐</w:instrText>
      </w:r>
      <w:r w:rsidR="00A9207F">
        <w:rPr>
          <w:rFonts w:asciiTheme="majorBidi" w:hAnsiTheme="majorBidi" w:cstheme="majorBidi"/>
          <w:sz w:val="24"/>
          <w:szCs w:val="24"/>
        </w:rPr>
        <w:instrText>Guo&lt;/author&gt;&lt;author&gt;Wang, Feng&lt;/author&gt;&lt;/authors&gt;&lt;/contributors&gt;&lt;titles&gt;&lt;title&gt;Pallidal versus subthalamic nucleus deep brain stimulation for levodopa</w:instrText>
      </w:r>
      <w:r w:rsidR="00A9207F">
        <w:rPr>
          <w:rFonts w:ascii="Cambria Math" w:hAnsi="Cambria Math" w:cs="Cambria Math"/>
          <w:sz w:val="24"/>
          <w:szCs w:val="24"/>
        </w:rPr>
        <w:instrText>‐</w:instrText>
      </w:r>
      <w:r w:rsidR="00A9207F">
        <w:rPr>
          <w:rFonts w:asciiTheme="majorBidi" w:hAnsiTheme="majorBidi" w:cstheme="majorBidi"/>
          <w:sz w:val="24"/>
          <w:szCs w:val="24"/>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Pr>
          <w:rFonts w:asciiTheme="majorBidi" w:hAnsiTheme="majorBidi" w:cstheme="majorBidi"/>
          <w:sz w:val="24"/>
          <w:szCs w:val="24"/>
        </w:rPr>
        <w:fldChar w:fldCharType="separate"/>
      </w:r>
      <w:r w:rsidR="00A9207F">
        <w:rPr>
          <w:rFonts w:asciiTheme="majorBidi" w:hAnsiTheme="majorBidi" w:cstheme="majorBidi"/>
          <w:noProof/>
          <w:sz w:val="24"/>
          <w:szCs w:val="24"/>
        </w:rPr>
        <w:t>[</w:t>
      </w:r>
      <w:hyperlink w:anchor="_ENREF_17" w:tooltip="Fan, 2020 #653" w:history="1">
        <w:r w:rsidR="00A9207F">
          <w:rPr>
            <w:rFonts w:asciiTheme="majorBidi" w:hAnsiTheme="majorBidi" w:cstheme="majorBidi"/>
            <w:noProof/>
            <w:sz w:val="24"/>
            <w:szCs w:val="24"/>
          </w:rPr>
          <w:t>17</w:t>
        </w:r>
      </w:hyperlink>
      <w:r w:rsidR="00A9207F">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Wong et al. proved that STN </w:t>
      </w:r>
      <w:r w:rsidRPr="00C91117">
        <w:rPr>
          <w:rFonts w:asciiTheme="majorBidi" w:hAnsiTheme="majorBidi" w:cstheme="majorBidi"/>
          <w:sz w:val="24"/>
          <w:szCs w:val="24"/>
        </w:rPr>
        <w:t>DBS was related to a statistically significant decrease in brad</w:t>
      </w:r>
      <w:r>
        <w:rPr>
          <w:rFonts w:asciiTheme="majorBidi" w:hAnsiTheme="majorBidi" w:cstheme="majorBidi"/>
          <w:sz w:val="24"/>
          <w:szCs w:val="24"/>
        </w:rPr>
        <w:t xml:space="preserve">ykinesia and rigidity after six </w:t>
      </w:r>
      <w:r w:rsidRPr="00C91117">
        <w:rPr>
          <w:rFonts w:asciiTheme="majorBidi" w:hAnsiTheme="majorBidi" w:cstheme="majorBidi"/>
          <w:sz w:val="24"/>
          <w:szCs w:val="24"/>
        </w:rPr>
        <w:t>months compared with GPi DBS (p&lt;0.001 and p=0.025, respectively). However, ther</w:t>
      </w:r>
      <w:r>
        <w:rPr>
          <w:rFonts w:asciiTheme="majorBidi" w:hAnsiTheme="majorBidi" w:cstheme="majorBidi"/>
          <w:sz w:val="24"/>
          <w:szCs w:val="24"/>
        </w:rPr>
        <w:t xml:space="preserve">e was </w:t>
      </w:r>
      <w:r w:rsidRPr="00C91117">
        <w:rPr>
          <w:rFonts w:asciiTheme="majorBidi" w:hAnsiTheme="majorBidi" w:cstheme="majorBidi"/>
          <w:sz w:val="24"/>
          <w:szCs w:val="24"/>
        </w:rPr>
        <w:t xml:space="preserve">no significant between group </w:t>
      </w:r>
      <w:proofErr w:type="gramStart"/>
      <w:r w:rsidRPr="00C91117">
        <w:rPr>
          <w:rFonts w:asciiTheme="majorBidi" w:hAnsiTheme="majorBidi" w:cstheme="majorBidi"/>
          <w:sz w:val="24"/>
          <w:szCs w:val="24"/>
        </w:rPr>
        <w:t>difference</w:t>
      </w:r>
      <w:proofErr w:type="gramEnd"/>
      <w:r w:rsidRPr="00C91117">
        <w:rPr>
          <w:rFonts w:asciiTheme="majorBidi" w:hAnsiTheme="majorBidi" w:cstheme="majorBidi"/>
          <w:sz w:val="24"/>
          <w:szCs w:val="24"/>
        </w:rPr>
        <w:t xml:space="preserve"> i</w:t>
      </w:r>
      <w:r>
        <w:rPr>
          <w:rFonts w:asciiTheme="majorBidi" w:hAnsiTheme="majorBidi" w:cstheme="majorBidi"/>
          <w:sz w:val="24"/>
          <w:szCs w:val="24"/>
        </w:rPr>
        <w:t xml:space="preserve">n terms of tremor outcomes. </w:t>
      </w:r>
      <w:r>
        <w:rPr>
          <w:rFonts w:asciiTheme="majorBidi" w:hAnsiTheme="majorBidi" w:cstheme="majorBidi"/>
          <w:sz w:val="24"/>
          <w:szCs w:val="24"/>
        </w:rPr>
        <w:fldChar w:fldCharType="begin"/>
      </w:r>
      <w:r w:rsidR="00A9207F">
        <w:rPr>
          <w:rFonts w:asciiTheme="majorBidi" w:hAnsiTheme="majorBidi" w:cstheme="majorBidi"/>
          <w:sz w:val="24"/>
          <w:szCs w:val="24"/>
        </w:rPr>
        <w:instrText xml:space="preserve"> ADDIN EN.CITE &lt;EndNote&gt;&lt;Cite&gt;&lt;Author&gt;Wong&lt;/Author&gt;&lt;Year&gt;2020&lt;/Year&gt;&lt;RecNum&gt;654&lt;/RecNum&gt;&lt;DisplayText&gt;[18]&lt;/DisplayText&gt;&lt;record&gt;&lt;rec-number&gt;654&lt;/rec-number&gt;&lt;foreign-keys&gt;&lt;key app="EN" db-id="rewfwt2w8r5sdvev9v0xsda92ff2twsr5ees"&gt;654&lt;/key&gt;&lt;/foreign-keys&gt;&lt;ref-type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Pr>
          <w:rFonts w:asciiTheme="majorBidi" w:hAnsiTheme="majorBidi" w:cstheme="majorBidi"/>
          <w:sz w:val="24"/>
          <w:szCs w:val="24"/>
        </w:rPr>
        <w:fldChar w:fldCharType="separate"/>
      </w:r>
      <w:r w:rsidR="00A9207F">
        <w:rPr>
          <w:rFonts w:asciiTheme="majorBidi" w:hAnsiTheme="majorBidi" w:cstheme="majorBidi"/>
          <w:noProof/>
          <w:sz w:val="24"/>
          <w:szCs w:val="24"/>
        </w:rPr>
        <w:t>[</w:t>
      </w:r>
      <w:hyperlink w:anchor="_ENREF_18" w:tooltip="Wong, 2020 #654" w:history="1">
        <w:r w:rsidR="00A9207F">
          <w:rPr>
            <w:rFonts w:asciiTheme="majorBidi" w:hAnsiTheme="majorBidi" w:cstheme="majorBidi"/>
            <w:noProof/>
            <w:sz w:val="24"/>
            <w:szCs w:val="24"/>
          </w:rPr>
          <w:t>18</w:t>
        </w:r>
      </w:hyperlink>
      <w:r w:rsidR="00A9207F">
        <w:rPr>
          <w:rFonts w:asciiTheme="majorBidi" w:hAnsiTheme="majorBidi" w:cstheme="majorBidi"/>
          <w:noProof/>
          <w:sz w:val="24"/>
          <w:szCs w:val="24"/>
        </w:rPr>
        <w:t>]</w:t>
      </w:r>
      <w:r>
        <w:rPr>
          <w:rFonts w:asciiTheme="majorBidi" w:hAnsiTheme="majorBidi" w:cstheme="majorBidi"/>
          <w:sz w:val="24"/>
          <w:szCs w:val="24"/>
        </w:rPr>
        <w:fldChar w:fldCharType="end"/>
      </w:r>
      <w:r w:rsidRPr="00C91117">
        <w:rPr>
          <w:rFonts w:asciiTheme="majorBidi" w:hAnsiTheme="majorBidi" w:cstheme="majorBidi"/>
          <w:sz w:val="24"/>
          <w:szCs w:val="24"/>
        </w:rPr>
        <w:t>. Celiker et al</w:t>
      </w:r>
      <w:r w:rsidRPr="00C91117">
        <w:rPr>
          <w:rFonts w:asciiTheme="majorBidi" w:hAnsiTheme="majorBidi" w:cs="Times New Roman"/>
          <w:sz w:val="24"/>
          <w:szCs w:val="24"/>
          <w:rtl/>
        </w:rPr>
        <w:t>.</w:t>
      </w:r>
      <w:r>
        <w:rPr>
          <w:rFonts w:asciiTheme="majorBidi" w:hAnsiTheme="majorBidi" w:cstheme="majorBidi"/>
          <w:sz w:val="24"/>
          <w:szCs w:val="24"/>
        </w:rPr>
        <w:t xml:space="preserve"> </w:t>
      </w:r>
      <w:r w:rsidRPr="00C91117">
        <w:rPr>
          <w:rFonts w:asciiTheme="majorBidi" w:hAnsiTheme="majorBidi" w:cstheme="majorBidi"/>
          <w:sz w:val="24"/>
          <w:szCs w:val="24"/>
        </w:rPr>
        <w:t>reported on-phase UPDRS motor scores were significant</w:t>
      </w:r>
      <w:r>
        <w:rPr>
          <w:rFonts w:asciiTheme="majorBidi" w:hAnsiTheme="majorBidi" w:cstheme="majorBidi"/>
          <w:sz w:val="24"/>
          <w:szCs w:val="24"/>
        </w:rPr>
        <w:t xml:space="preserve">ly declined in both STN and GPi </w:t>
      </w:r>
      <w:r w:rsidRPr="00C91117">
        <w:rPr>
          <w:rFonts w:asciiTheme="majorBidi" w:hAnsiTheme="majorBidi" w:cstheme="majorBidi"/>
          <w:sz w:val="24"/>
          <w:szCs w:val="24"/>
        </w:rPr>
        <w:t>groups (p&lt;0.05), while STN DBS was better in improving bladder symptoms. In addition</w:t>
      </w:r>
      <w:r w:rsidRPr="00C91117">
        <w:rPr>
          <w:rFonts w:asciiTheme="majorBidi" w:hAnsiTheme="majorBidi" w:cs="Times New Roman"/>
          <w:sz w:val="24"/>
          <w:szCs w:val="24"/>
          <w:rtl/>
        </w:rPr>
        <w:t>,</w:t>
      </w:r>
      <w:r>
        <w:rPr>
          <w:rFonts w:asciiTheme="majorBidi" w:hAnsiTheme="majorBidi" w:cstheme="majorBidi"/>
          <w:sz w:val="24"/>
          <w:szCs w:val="24"/>
        </w:rPr>
        <w:t xml:space="preserve"> </w:t>
      </w:r>
      <w:r w:rsidRPr="00C91117">
        <w:rPr>
          <w:rFonts w:asciiTheme="majorBidi" w:hAnsiTheme="majorBidi" w:cstheme="majorBidi"/>
          <w:sz w:val="24"/>
          <w:szCs w:val="24"/>
        </w:rPr>
        <w:t>both groups had fewer sleep</w:t>
      </w:r>
      <w:r>
        <w:rPr>
          <w:rFonts w:asciiTheme="majorBidi" w:hAnsiTheme="majorBidi" w:cstheme="majorBidi"/>
          <w:sz w:val="24"/>
          <w:szCs w:val="24"/>
        </w:rPr>
        <w:t xml:space="preserve"> problems after the surgery [31</w:t>
      </w:r>
      <w:proofErr w:type="gramStart"/>
      <w:r>
        <w:rPr>
          <w:rFonts w:asciiTheme="majorBidi" w:hAnsiTheme="majorBidi" w:cstheme="majorBidi"/>
          <w:sz w:val="24"/>
          <w:szCs w:val="24"/>
        </w:rPr>
        <w:t xml:space="preserve">] </w:t>
      </w:r>
      <w:r w:rsidRPr="00C91117">
        <w:rPr>
          <w:rFonts w:asciiTheme="majorBidi" w:hAnsiTheme="majorBidi" w:cstheme="majorBidi"/>
          <w:sz w:val="24"/>
          <w:szCs w:val="24"/>
        </w:rPr>
        <w:t>.</w:t>
      </w:r>
      <w:proofErr w:type="gramEnd"/>
      <w:r w:rsidRPr="00AB5935">
        <w:rPr>
          <w:rFonts w:asciiTheme="majorBidi" w:eastAsia="HelveticaNeue" w:hAnsiTheme="majorBidi" w:cstheme="majorBidi"/>
          <w:sz w:val="24"/>
          <w:szCs w:val="24"/>
          <w:lang w:bidi="ar-SA"/>
        </w:rPr>
        <w:t xml:space="preserve"> </w:t>
      </w:r>
      <w:r w:rsidRPr="00C91117">
        <w:rPr>
          <w:rFonts w:asciiTheme="majorBidi" w:eastAsia="HelveticaNeue" w:hAnsiTheme="majorBidi" w:cstheme="majorBidi"/>
          <w:sz w:val="24"/>
          <w:szCs w:val="24"/>
          <w:lang w:bidi="ar-SA"/>
        </w:rPr>
        <w:t>Okun et al. investigated the</w:t>
      </w:r>
      <w:r>
        <w:rPr>
          <w:rFonts w:asciiTheme="majorBidi" w:hAnsiTheme="majorBidi" w:cstheme="majorBidi"/>
          <w:sz w:val="24"/>
          <w:szCs w:val="24"/>
        </w:rPr>
        <w:t xml:space="preserve"> </w:t>
      </w:r>
      <w:r w:rsidRPr="00C91117">
        <w:rPr>
          <w:rFonts w:asciiTheme="majorBidi" w:eastAsia="HelveticaNeue" w:hAnsiTheme="majorBidi" w:cstheme="majorBidi"/>
          <w:sz w:val="24"/>
          <w:szCs w:val="24"/>
          <w:lang w:bidi="ar-SA"/>
        </w:rPr>
        <w:t>effect of unilateral and staged bilateral STN and GPI DBS. They found that off phase UPDRS</w:t>
      </w:r>
      <w:r>
        <w:rPr>
          <w:rFonts w:asciiTheme="majorBidi" w:hAnsiTheme="majorBidi" w:cstheme="majorBidi"/>
          <w:sz w:val="24"/>
          <w:szCs w:val="24"/>
        </w:rPr>
        <w:t xml:space="preserve"> </w:t>
      </w:r>
      <w:r w:rsidRPr="00C91117">
        <w:rPr>
          <w:rFonts w:asciiTheme="majorBidi" w:eastAsia="HelveticaNeue" w:hAnsiTheme="majorBidi" w:cstheme="majorBidi"/>
          <w:sz w:val="24"/>
          <w:szCs w:val="24"/>
          <w:lang w:bidi="ar-SA"/>
        </w:rPr>
        <w:t>motor scores, in both unilateral and staged bilateral modes, improved significantly after four</w:t>
      </w:r>
      <w:r>
        <w:rPr>
          <w:rFonts w:asciiTheme="majorBidi" w:hAnsiTheme="majorBidi" w:cstheme="majorBidi"/>
          <w:sz w:val="24"/>
          <w:szCs w:val="24"/>
        </w:rPr>
        <w:t xml:space="preserve"> </w:t>
      </w:r>
      <w:r>
        <w:rPr>
          <w:rFonts w:asciiTheme="majorBidi" w:eastAsia="HelveticaNeue" w:hAnsiTheme="majorBidi" w:cstheme="majorBidi"/>
          <w:sz w:val="24"/>
          <w:szCs w:val="24"/>
          <w:lang w:bidi="ar-SA"/>
        </w:rPr>
        <w:t xml:space="preserve">and 12 months follow-up </w:t>
      </w:r>
      <w:r>
        <w:rPr>
          <w:rFonts w:asciiTheme="majorBidi" w:eastAsia="HelveticaNeue" w:hAnsiTheme="majorBidi" w:cstheme="majorBidi"/>
          <w:sz w:val="24"/>
          <w:szCs w:val="24"/>
          <w:lang w:bidi="ar-SA"/>
        </w:rPr>
        <w:fldChar w:fldCharType="begin"/>
      </w:r>
      <w:r w:rsidR="00A9207F">
        <w:rPr>
          <w:rFonts w:asciiTheme="majorBidi" w:eastAsia="HelveticaNeue" w:hAnsiTheme="majorBidi" w:cstheme="majorBidi"/>
          <w:sz w:val="24"/>
          <w:szCs w:val="24"/>
          <w:lang w:bidi="ar-SA"/>
        </w:rPr>
        <w:instrText xml:space="preserve"> ADDIN EN.CITE &lt;EndNote&gt;&lt;Cite&gt;&lt;Author&gt;Okun&lt;/Author&gt;&lt;Year&gt;2014&lt;/Year&gt;&lt;RecNum&gt;656&lt;/RecNum&gt;&lt;DisplayText&gt;[19]&lt;/DisplayText&gt;&lt;record&gt;&lt;rec-number&gt;656&lt;/rec-number&gt;&lt;foreign-keys&gt;&lt;key app="EN" db-id="rewfwt2w8r5sdvev9v0xsda92ff2twsr5ees"&gt;656&lt;/key&gt;&lt;/foreign-keys&gt;&lt;ref-type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Pr>
          <w:rFonts w:asciiTheme="majorBidi" w:eastAsia="HelveticaNeue" w:hAnsiTheme="majorBidi" w:cstheme="majorBidi"/>
          <w:sz w:val="24"/>
          <w:szCs w:val="24"/>
          <w:lang w:bidi="ar-SA"/>
        </w:rPr>
        <w:fldChar w:fldCharType="separate"/>
      </w:r>
      <w:r w:rsidR="00A9207F">
        <w:rPr>
          <w:rFonts w:asciiTheme="majorBidi" w:eastAsia="HelveticaNeue" w:hAnsiTheme="majorBidi" w:cstheme="majorBidi"/>
          <w:noProof/>
          <w:sz w:val="24"/>
          <w:szCs w:val="24"/>
          <w:lang w:bidi="ar-SA"/>
        </w:rPr>
        <w:t>[</w:t>
      </w:r>
      <w:hyperlink w:anchor="_ENREF_19" w:tooltip="Okun, 2014 #656" w:history="1">
        <w:r w:rsidR="00A9207F">
          <w:rPr>
            <w:rFonts w:asciiTheme="majorBidi" w:eastAsia="HelveticaNeue" w:hAnsiTheme="majorBidi" w:cstheme="majorBidi"/>
            <w:noProof/>
            <w:sz w:val="24"/>
            <w:szCs w:val="24"/>
            <w:lang w:bidi="ar-SA"/>
          </w:rPr>
          <w:t>19</w:t>
        </w:r>
      </w:hyperlink>
      <w:r w:rsidR="00A9207F">
        <w:rPr>
          <w:rFonts w:asciiTheme="majorBidi" w:eastAsia="HelveticaNeue" w:hAnsiTheme="majorBidi" w:cstheme="majorBidi"/>
          <w:noProof/>
          <w:sz w:val="24"/>
          <w:szCs w:val="24"/>
          <w:lang w:bidi="ar-SA"/>
        </w:rPr>
        <w:t>]</w:t>
      </w:r>
      <w:r>
        <w:rPr>
          <w:rFonts w:asciiTheme="majorBidi" w:eastAsia="HelveticaNeue" w:hAnsiTheme="majorBidi" w:cstheme="majorBidi"/>
          <w:sz w:val="24"/>
          <w:szCs w:val="24"/>
          <w:lang w:bidi="ar-SA"/>
        </w:rPr>
        <w:fldChar w:fldCharType="end"/>
      </w:r>
      <w:r w:rsidRPr="00C91117">
        <w:rPr>
          <w:rFonts w:asciiTheme="majorBidi" w:eastAsia="HelveticaNeue" w:hAnsiTheme="majorBidi" w:cstheme="majorBidi"/>
          <w:sz w:val="24"/>
          <w:szCs w:val="24"/>
          <w:lang w:bidi="ar-SA"/>
        </w:rPr>
        <w:t>.</w:t>
      </w:r>
      <w:r>
        <w:rPr>
          <w:rFonts w:asciiTheme="majorBidi" w:eastAsia="HelveticaNeue" w:hAnsiTheme="majorBidi" w:cstheme="majorBidi"/>
          <w:sz w:val="24"/>
          <w:szCs w:val="24"/>
          <w:lang w:bidi="ar-SA"/>
        </w:rPr>
        <w:t xml:space="preserve"> </w:t>
      </w:r>
      <w:r w:rsidRPr="00AB5935">
        <w:rPr>
          <w:rFonts w:asciiTheme="majorBidi" w:hAnsiTheme="majorBidi" w:cstheme="majorBidi"/>
          <w:sz w:val="24"/>
          <w:szCs w:val="24"/>
        </w:rPr>
        <w:t>Odekerken et al</w:t>
      </w:r>
      <w:r>
        <w:rPr>
          <w:rFonts w:asciiTheme="majorBidi" w:hAnsiTheme="majorBidi" w:cstheme="majorBidi"/>
          <w:sz w:val="24"/>
          <w:szCs w:val="24"/>
        </w:rPr>
        <w:t>.</w:t>
      </w:r>
      <w:r w:rsidRPr="00AB5935">
        <w:rPr>
          <w:rFonts w:asciiTheme="majorBidi" w:hAnsiTheme="majorBidi" w:cstheme="majorBidi"/>
          <w:sz w:val="24"/>
          <w:szCs w:val="24"/>
        </w:rPr>
        <w:t xml:space="preserve"> reported no statistically significant difference between groups in terms of adverse events (p&gt;0.05)</w:t>
      </w:r>
      <w:r>
        <w:rPr>
          <w:rFonts w:asciiTheme="majorBidi" w:hAnsiTheme="majorBidi" w:cstheme="majorBidi"/>
          <w:sz w:val="24"/>
          <w:szCs w:val="24"/>
        </w:rPr>
        <w:t xml:space="preserve"> </w:t>
      </w:r>
      <w:r w:rsidRPr="00AB5935">
        <w:rPr>
          <w:rFonts w:asciiTheme="majorBidi" w:hAnsiTheme="majorBidi" w:cstheme="majorBidi"/>
          <w:sz w:val="24"/>
          <w:szCs w:val="24"/>
        </w:rPr>
        <w:fldChar w:fldCharType="begin"/>
      </w:r>
      <w:r w:rsidR="00A9207F">
        <w:rPr>
          <w:rFonts w:asciiTheme="majorBidi" w:hAnsiTheme="majorBidi" w:cstheme="majorBidi"/>
          <w:sz w:val="24"/>
          <w:szCs w:val="24"/>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AB5935">
        <w:rPr>
          <w:rFonts w:asciiTheme="majorBidi" w:hAnsiTheme="majorBidi" w:cstheme="majorBidi"/>
          <w:sz w:val="24"/>
          <w:szCs w:val="24"/>
        </w:rPr>
        <w:fldChar w:fldCharType="separate"/>
      </w:r>
      <w:r w:rsidR="00A9207F">
        <w:rPr>
          <w:rFonts w:asciiTheme="majorBidi" w:hAnsiTheme="majorBidi" w:cstheme="majorBidi"/>
          <w:noProof/>
          <w:sz w:val="24"/>
          <w:szCs w:val="24"/>
        </w:rPr>
        <w:t>[</w:t>
      </w:r>
      <w:hyperlink w:anchor="_ENREF_13" w:tooltip="Odekerken, 2013 #650" w:history="1">
        <w:r w:rsidR="00A9207F">
          <w:rPr>
            <w:rFonts w:asciiTheme="majorBidi" w:hAnsiTheme="majorBidi" w:cstheme="majorBidi"/>
            <w:noProof/>
            <w:sz w:val="24"/>
            <w:szCs w:val="24"/>
          </w:rPr>
          <w:t>13</w:t>
        </w:r>
      </w:hyperlink>
      <w:r w:rsidR="00A9207F">
        <w:rPr>
          <w:rFonts w:asciiTheme="majorBidi" w:hAnsiTheme="majorBidi" w:cstheme="majorBidi"/>
          <w:noProof/>
          <w:sz w:val="24"/>
          <w:szCs w:val="24"/>
        </w:rPr>
        <w:t>]</w:t>
      </w:r>
      <w:r w:rsidRPr="00AB5935">
        <w:rPr>
          <w:rFonts w:asciiTheme="majorBidi" w:hAnsiTheme="majorBidi" w:cstheme="majorBidi"/>
          <w:sz w:val="24"/>
          <w:szCs w:val="24"/>
        </w:rPr>
        <w:fldChar w:fldCharType="end"/>
      </w:r>
      <w:r w:rsidRPr="00AB5935">
        <w:rPr>
          <w:rFonts w:asciiTheme="majorBidi" w:hAnsiTheme="majorBidi" w:cstheme="majorBidi"/>
          <w:sz w:val="24"/>
          <w:szCs w:val="24"/>
        </w:rPr>
        <w:t>. Troche et al</w:t>
      </w:r>
      <w:r>
        <w:rPr>
          <w:rFonts w:asciiTheme="majorBidi" w:hAnsiTheme="majorBidi" w:cstheme="majorBidi"/>
          <w:sz w:val="24"/>
          <w:szCs w:val="24"/>
        </w:rPr>
        <w:t>.</w:t>
      </w:r>
      <w:r w:rsidRPr="00AB5935">
        <w:rPr>
          <w:rFonts w:asciiTheme="majorBidi" w:hAnsiTheme="majorBidi" w:cstheme="majorBidi"/>
          <w:sz w:val="24"/>
          <w:szCs w:val="24"/>
        </w:rPr>
        <w:t xml:space="preserve"> showed that </w:t>
      </w:r>
      <w:r w:rsidRPr="00AB5935">
        <w:rPr>
          <w:rFonts w:asciiTheme="majorBidi" w:hAnsiTheme="majorBidi" w:cstheme="majorBidi"/>
          <w:sz w:val="24"/>
          <w:szCs w:val="24"/>
          <w:lang w:bidi="ar-SA"/>
        </w:rPr>
        <w:t>mean penetration-aspiration</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 xml:space="preserve">(PA) scores did not change significantly for participants who received </w:t>
      </w:r>
      <w:r w:rsidRPr="00AB5935">
        <w:rPr>
          <w:rFonts w:asciiTheme="majorBidi" w:hAnsiTheme="majorBidi" w:cstheme="majorBidi"/>
          <w:sz w:val="24"/>
          <w:szCs w:val="24"/>
          <w:lang w:bidi="ar-SA"/>
        </w:rPr>
        <w:lastRenderedPageBreak/>
        <w:t>GPi surgery</w:t>
      </w:r>
      <w:r>
        <w:rPr>
          <w:rFonts w:asciiTheme="majorBidi" w:hAnsiTheme="majorBidi" w:cstheme="majorBidi"/>
          <w:sz w:val="24"/>
          <w:szCs w:val="24"/>
          <w:lang w:bidi="ar-SA"/>
        </w:rPr>
        <w:t xml:space="preserve"> </w:t>
      </w:r>
      <w:proofErr w:type="gramStart"/>
      <w:r w:rsidRPr="00AB5935">
        <w:rPr>
          <w:rFonts w:asciiTheme="majorBidi" w:hAnsiTheme="majorBidi" w:cstheme="majorBidi"/>
          <w:sz w:val="24"/>
          <w:szCs w:val="24"/>
          <w:lang w:bidi="ar-SA"/>
        </w:rPr>
        <w:t xml:space="preserve">( </w:t>
      </w:r>
      <w:r w:rsidRPr="00AB5935">
        <w:rPr>
          <w:rFonts w:asciiTheme="majorBidi" w:hAnsiTheme="majorBidi" w:cstheme="majorBidi"/>
          <w:i/>
          <w:iCs/>
          <w:sz w:val="24"/>
          <w:szCs w:val="24"/>
          <w:lang w:bidi="ar-SA"/>
        </w:rPr>
        <w:t>p</w:t>
      </w:r>
      <w:proofErr w:type="gramEnd"/>
      <w:r w:rsidRPr="00AB5935">
        <w:rPr>
          <w:rFonts w:asciiTheme="majorBidi" w:hAnsiTheme="majorBidi" w:cstheme="majorBidi"/>
          <w:i/>
          <w:iCs/>
          <w:sz w:val="24"/>
          <w:szCs w:val="24"/>
          <w:lang w:bidi="ar-SA"/>
        </w:rPr>
        <w:t xml:space="preserve"> </w:t>
      </w:r>
      <w:r w:rsidRPr="00AB5935">
        <w:rPr>
          <w:rFonts w:asciiTheme="majorBidi" w:hAnsiTheme="majorBidi" w:cstheme="majorBidi"/>
          <w:sz w:val="24"/>
          <w:szCs w:val="24"/>
          <w:lang w:bidi="ar-SA"/>
        </w:rPr>
        <w:t xml:space="preserve">= .857) but significantly worsened for participants who received STN DBS ( </w:t>
      </w:r>
      <w:r w:rsidRPr="00AB5935">
        <w:rPr>
          <w:rFonts w:asciiTheme="majorBidi" w:hAnsiTheme="majorBidi" w:cstheme="majorBidi"/>
          <w:i/>
          <w:iCs/>
          <w:sz w:val="24"/>
          <w:szCs w:val="24"/>
          <w:lang w:bidi="ar-SA"/>
        </w:rPr>
        <w:t xml:space="preserve">p </w:t>
      </w:r>
      <w:r w:rsidRPr="00AB5935">
        <w:rPr>
          <w:rFonts w:asciiTheme="majorBidi" w:hAnsiTheme="majorBidi" w:cstheme="majorBidi"/>
          <w:sz w:val="24"/>
          <w:szCs w:val="24"/>
          <w:lang w:bidi="ar-SA"/>
        </w:rPr>
        <w:t>= .007) and</w:t>
      </w:r>
      <w:r w:rsidRPr="00AB5935">
        <w:rPr>
          <w:rFonts w:asciiTheme="majorBidi" w:hAnsiTheme="majorBidi" w:cstheme="majorBidi"/>
          <w:sz w:val="24"/>
          <w:szCs w:val="24"/>
        </w:rPr>
        <w:t xml:space="preserve"> </w:t>
      </w:r>
      <w:r w:rsidRPr="00AB5935">
        <w:rPr>
          <w:rFonts w:asciiTheme="majorBidi" w:hAnsiTheme="majorBidi" w:cstheme="majorBidi"/>
          <w:sz w:val="24"/>
          <w:szCs w:val="24"/>
          <w:lang w:bidi="ar-SA"/>
        </w:rPr>
        <w:t>STN DBS have an adverse effect on swallowing function</w:t>
      </w:r>
      <w:r>
        <w:rPr>
          <w:rFonts w:asciiTheme="majorBidi" w:hAnsiTheme="majorBidi" w:cstheme="majorBidi"/>
          <w:sz w:val="24"/>
          <w:szCs w:val="24"/>
          <w:lang w:bidi="ar-SA"/>
        </w:rPr>
        <w:t>. In contrast,</w:t>
      </w:r>
      <w:r w:rsidRPr="00AB5935">
        <w:rPr>
          <w:rFonts w:asciiTheme="majorBidi" w:hAnsiTheme="majorBidi" w:cstheme="majorBidi"/>
          <w:sz w:val="24"/>
          <w:szCs w:val="24"/>
          <w:lang w:bidi="ar-SA"/>
        </w:rPr>
        <w:t xml:space="preserve"> unilateral GPi DBS does not have this deleterious effect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9207F">
        <w:rPr>
          <w:rFonts w:asciiTheme="majorBidi" w:hAnsiTheme="majorBidi" w:cstheme="majorBidi"/>
          <w:sz w:val="24"/>
          <w:szCs w:val="24"/>
          <w:lang w:bidi="ar-SA"/>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AB5935">
        <w:rPr>
          <w:rFonts w:asciiTheme="majorBidi" w:hAnsiTheme="majorBidi" w:cstheme="majorBidi"/>
          <w:sz w:val="24"/>
          <w:szCs w:val="24"/>
          <w:lang w:bidi="ar-SA"/>
        </w:rPr>
        <w:fldChar w:fldCharType="separate"/>
      </w:r>
      <w:r w:rsidR="00A9207F">
        <w:rPr>
          <w:rFonts w:asciiTheme="majorBidi" w:hAnsiTheme="majorBidi" w:cstheme="majorBidi"/>
          <w:noProof/>
          <w:sz w:val="24"/>
          <w:szCs w:val="24"/>
          <w:lang w:bidi="ar-SA"/>
        </w:rPr>
        <w:t>[</w:t>
      </w:r>
      <w:hyperlink w:anchor="_ENREF_14" w:tooltip="Troche, 2014 #649" w:history="1">
        <w:r w:rsidR="00A9207F">
          <w:rPr>
            <w:rFonts w:asciiTheme="majorBidi" w:hAnsiTheme="majorBidi" w:cstheme="majorBidi"/>
            <w:noProof/>
            <w:sz w:val="24"/>
            <w:szCs w:val="24"/>
            <w:lang w:bidi="ar-SA"/>
          </w:rPr>
          <w:t>14</w:t>
        </w:r>
      </w:hyperlink>
      <w:r w:rsidR="00A9207F">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Fifty percent</w:t>
      </w:r>
      <w:r w:rsidRPr="00AB5935">
        <w:rPr>
          <w:rFonts w:asciiTheme="majorBidi" w:hAnsiTheme="majorBidi" w:cstheme="majorBidi"/>
          <w:sz w:val="24"/>
          <w:szCs w:val="24"/>
          <w:lang w:bidi="ar-SA"/>
        </w:rPr>
        <w:t xml:space="preserve"> of patients in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STN group in the study of Fan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had dyskinesia caused by stimulation</w:t>
      </w:r>
      <w:r>
        <w:rPr>
          <w:rFonts w:asciiTheme="majorBidi" w:hAnsiTheme="majorBidi" w:cstheme="majorBidi"/>
          <w:sz w:val="24"/>
          <w:szCs w:val="24"/>
          <w:lang w:bidi="ar-SA"/>
        </w:rPr>
        <w:t>. I</w:t>
      </w:r>
      <w:r w:rsidRPr="00AB5935">
        <w:rPr>
          <w:rFonts w:asciiTheme="majorBidi" w:hAnsiTheme="majorBidi" w:cstheme="majorBidi"/>
          <w:sz w:val="24"/>
          <w:szCs w:val="24"/>
          <w:lang w:bidi="ar-SA"/>
        </w:rPr>
        <w:t xml:space="preserve">n </w:t>
      </w:r>
      <w:r>
        <w:rPr>
          <w:rFonts w:asciiTheme="majorBidi" w:hAnsiTheme="majorBidi" w:cstheme="majorBidi"/>
          <w:sz w:val="24"/>
          <w:szCs w:val="24"/>
          <w:lang w:bidi="ar-SA"/>
        </w:rPr>
        <w:t>ten</w:t>
      </w:r>
      <w:r w:rsidRPr="00AB5935">
        <w:rPr>
          <w:rFonts w:asciiTheme="majorBidi" w:hAnsiTheme="majorBidi" w:cstheme="majorBidi"/>
          <w:sz w:val="24"/>
          <w:szCs w:val="24"/>
          <w:lang w:bidi="ar-SA"/>
        </w:rPr>
        <w:t xml:space="preserve"> of these patients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w:t>
      </w:r>
      <w:r>
        <w:rPr>
          <w:rFonts w:asciiTheme="majorBidi" w:hAnsiTheme="majorBidi" w:cstheme="majorBidi"/>
          <w:sz w:val="24"/>
          <w:szCs w:val="24"/>
          <w:lang w:bidi="ar-SA"/>
        </w:rPr>
        <w:t xml:space="preserve">the </w:t>
      </w:r>
      <w:r w:rsidRPr="00AB5935">
        <w:rPr>
          <w:rFonts w:asciiTheme="majorBidi" w:hAnsiTheme="majorBidi" w:cstheme="majorBidi"/>
          <w:sz w:val="24"/>
          <w:szCs w:val="24"/>
          <w:lang w:bidi="ar-SA"/>
        </w:rPr>
        <w:t>direct anti-dyskinesia effect of STN DBS was also noticed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9207F">
        <w:rPr>
          <w:rFonts w:asciiTheme="majorBidi" w:hAnsiTheme="majorBidi" w:cstheme="majorBidi"/>
          <w:sz w:val="24"/>
          <w:szCs w:val="24"/>
          <w:lang w:bidi="ar-SA"/>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Pr>
          <w:rFonts w:ascii="Cambria Math" w:hAnsi="Cambria Math" w:cs="Cambria Math"/>
          <w:sz w:val="24"/>
          <w:szCs w:val="24"/>
          <w:lang w:bidi="ar-SA"/>
        </w:rPr>
        <w:instrText>‐</w:instrText>
      </w:r>
      <w:r w:rsidR="00A9207F">
        <w:rPr>
          <w:rFonts w:asciiTheme="majorBidi" w:hAnsiTheme="majorBidi" w:cstheme="majorBidi"/>
          <w:sz w:val="24"/>
          <w:szCs w:val="24"/>
          <w:lang w:bidi="ar-SA"/>
        </w:rPr>
        <w:instrText>Ying&lt;/author&gt;&lt;author&gt;Wang, Kai</w:instrText>
      </w:r>
      <w:r w:rsidR="00A9207F">
        <w:rPr>
          <w:rFonts w:ascii="Cambria Math" w:hAnsi="Cambria Math" w:cs="Cambria Math"/>
          <w:sz w:val="24"/>
          <w:szCs w:val="24"/>
          <w:lang w:bidi="ar-SA"/>
        </w:rPr>
        <w:instrText>‐</w:instrText>
      </w:r>
      <w:r w:rsidR="00A9207F">
        <w:rPr>
          <w:rFonts w:asciiTheme="majorBidi" w:hAnsiTheme="majorBidi" w:cstheme="majorBidi"/>
          <w:sz w:val="24"/>
          <w:szCs w:val="24"/>
          <w:lang w:bidi="ar-SA"/>
        </w:rPr>
        <w:instrText>Liang&lt;/author&gt;&lt;author&gt;Hu, Wei&lt;/author&gt;&lt;author&gt;Eisinger, Robert S&lt;/author&gt;&lt;author&gt;Han, Alexander&lt;/author&gt;&lt;author&gt;Han, Chun</w:instrText>
      </w:r>
      <w:r w:rsidR="00A9207F">
        <w:rPr>
          <w:rFonts w:ascii="Cambria Math" w:hAnsi="Cambria Math" w:cs="Cambria Math"/>
          <w:sz w:val="24"/>
          <w:szCs w:val="24"/>
          <w:lang w:bidi="ar-SA"/>
        </w:rPr>
        <w:instrText>‐</w:instrText>
      </w:r>
      <w:r w:rsidR="00A9207F">
        <w:rPr>
          <w:rFonts w:asciiTheme="majorBidi" w:hAnsiTheme="majorBidi" w:cstheme="majorBidi"/>
          <w:sz w:val="24"/>
          <w:szCs w:val="24"/>
          <w:lang w:bidi="ar-SA"/>
        </w:rPr>
        <w:instrText>Lei&lt;/author&gt;&lt;author&gt;Wang, Qiao&lt;/author&gt;&lt;author&gt;Michitomo, Shimabukuro&lt;/author&gt;&lt;author&gt;Zhang, Jian</w:instrText>
      </w:r>
      <w:r w:rsidR="00A9207F">
        <w:rPr>
          <w:rFonts w:ascii="Cambria Math" w:hAnsi="Cambria Math" w:cs="Cambria Math"/>
          <w:sz w:val="24"/>
          <w:szCs w:val="24"/>
          <w:lang w:bidi="ar-SA"/>
        </w:rPr>
        <w:instrText>‐</w:instrText>
      </w:r>
      <w:r w:rsidR="00A9207F">
        <w:rPr>
          <w:rFonts w:asciiTheme="majorBidi" w:hAnsiTheme="majorBidi" w:cstheme="majorBidi"/>
          <w:sz w:val="24"/>
          <w:szCs w:val="24"/>
          <w:lang w:bidi="ar-SA"/>
        </w:rPr>
        <w:instrText>Guo&lt;/author&gt;&lt;author&gt;Wang, Feng&lt;/author&gt;&lt;/authors&gt;&lt;/contributors&gt;&lt;titles&gt;&lt;title&gt;Pallidal versus subthalamic nucleus deep brain stimulation for levodopa</w:instrText>
      </w:r>
      <w:r w:rsidR="00A9207F">
        <w:rPr>
          <w:rFonts w:ascii="Cambria Math" w:hAnsi="Cambria Math" w:cs="Cambria Math"/>
          <w:sz w:val="24"/>
          <w:szCs w:val="24"/>
          <w:lang w:bidi="ar-SA"/>
        </w:rPr>
        <w:instrText>‐</w:instrText>
      </w:r>
      <w:r w:rsidR="00A9207F">
        <w:rPr>
          <w:rFonts w:asciiTheme="majorBidi" w:hAnsiTheme="majorBidi" w:cstheme="majorBidi"/>
          <w:sz w:val="24"/>
          <w:szCs w:val="24"/>
          <w:lang w:bidi="ar-SA"/>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AB5935">
        <w:rPr>
          <w:rFonts w:asciiTheme="majorBidi" w:hAnsiTheme="majorBidi" w:cstheme="majorBidi"/>
          <w:sz w:val="24"/>
          <w:szCs w:val="24"/>
          <w:lang w:bidi="ar-SA"/>
        </w:rPr>
        <w:fldChar w:fldCharType="separate"/>
      </w:r>
      <w:r w:rsidR="00A9207F">
        <w:rPr>
          <w:rFonts w:asciiTheme="majorBidi" w:hAnsiTheme="majorBidi" w:cstheme="majorBidi"/>
          <w:noProof/>
          <w:sz w:val="24"/>
          <w:szCs w:val="24"/>
          <w:lang w:bidi="ar-SA"/>
        </w:rPr>
        <w:t>[</w:t>
      </w:r>
      <w:hyperlink w:anchor="_ENREF_17" w:tooltip="Fan, 2020 #653" w:history="1">
        <w:r w:rsidR="00A9207F">
          <w:rPr>
            <w:rFonts w:asciiTheme="majorBidi" w:hAnsiTheme="majorBidi" w:cstheme="majorBidi"/>
            <w:noProof/>
            <w:sz w:val="24"/>
            <w:szCs w:val="24"/>
            <w:lang w:bidi="ar-SA"/>
          </w:rPr>
          <w:t>17</w:t>
        </w:r>
      </w:hyperlink>
      <w:r w:rsidR="00A9207F">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t>Okun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reported only minor mood and apathy effects which were not significant</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9207F">
        <w:rPr>
          <w:rFonts w:asciiTheme="majorBidi" w:hAnsiTheme="majorBidi" w:cstheme="majorBidi"/>
          <w:sz w:val="24"/>
          <w:szCs w:val="24"/>
          <w:lang w:bidi="ar-SA"/>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AB5935">
        <w:rPr>
          <w:rFonts w:asciiTheme="majorBidi" w:hAnsiTheme="majorBidi" w:cstheme="majorBidi"/>
          <w:sz w:val="24"/>
          <w:szCs w:val="24"/>
          <w:lang w:bidi="ar-SA"/>
        </w:rPr>
        <w:fldChar w:fldCharType="separate"/>
      </w:r>
      <w:r w:rsidR="00A9207F">
        <w:rPr>
          <w:rFonts w:asciiTheme="majorBidi" w:hAnsiTheme="majorBidi" w:cstheme="majorBidi"/>
          <w:noProof/>
          <w:sz w:val="24"/>
          <w:szCs w:val="24"/>
          <w:lang w:bidi="ar-SA"/>
        </w:rPr>
        <w:t>[</w:t>
      </w:r>
      <w:hyperlink w:anchor="_ENREF_19" w:tooltip="Okun, 2014 #656" w:history="1">
        <w:r w:rsidR="00A9207F">
          <w:rPr>
            <w:rFonts w:asciiTheme="majorBidi" w:hAnsiTheme="majorBidi" w:cstheme="majorBidi"/>
            <w:noProof/>
            <w:sz w:val="24"/>
            <w:szCs w:val="24"/>
            <w:lang w:bidi="ar-SA"/>
          </w:rPr>
          <w:t>19</w:t>
        </w:r>
      </w:hyperlink>
      <w:r w:rsidR="00A9207F">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In another study carried out by Odekerken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no significant differences</w:t>
      </w:r>
      <w:r>
        <w:rPr>
          <w:rFonts w:asciiTheme="majorBidi" w:hAnsiTheme="majorBidi" w:cstheme="majorBidi"/>
          <w:sz w:val="24"/>
          <w:szCs w:val="24"/>
          <w:lang w:bidi="ar-SA"/>
        </w:rPr>
        <w:t xml:space="preserve"> were reported</w:t>
      </w:r>
      <w:r w:rsidRPr="00AB5935">
        <w:rPr>
          <w:rFonts w:asciiTheme="majorBidi" w:hAnsiTheme="majorBidi" w:cstheme="majorBidi"/>
          <w:sz w:val="24"/>
          <w:szCs w:val="24"/>
          <w:lang w:bidi="ar-SA"/>
        </w:rPr>
        <w:t xml:space="preserve"> in terms of adverse events for the two groups</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only minor events </w:t>
      </w:r>
      <w:r>
        <w:rPr>
          <w:rFonts w:asciiTheme="majorBidi" w:hAnsiTheme="majorBidi" w:cstheme="majorBidi"/>
          <w:sz w:val="24"/>
          <w:szCs w:val="24"/>
          <w:lang w:bidi="ar-SA"/>
        </w:rPr>
        <w:t xml:space="preserve">were </w:t>
      </w:r>
      <w:r w:rsidRPr="00AB5935">
        <w:rPr>
          <w:rFonts w:asciiTheme="majorBidi" w:hAnsiTheme="majorBidi" w:cstheme="majorBidi"/>
          <w:sz w:val="24"/>
          <w:szCs w:val="24"/>
          <w:lang w:bidi="ar-SA"/>
        </w:rPr>
        <w:t>reported</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9207F">
        <w:rPr>
          <w:rFonts w:asciiTheme="majorBidi" w:hAnsiTheme="majorBidi" w:cstheme="majorBidi"/>
          <w:sz w:val="24"/>
          <w:szCs w:val="24"/>
          <w:lang w:bidi="ar-SA"/>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AB5935">
        <w:rPr>
          <w:rFonts w:asciiTheme="majorBidi" w:hAnsiTheme="majorBidi" w:cstheme="majorBidi"/>
          <w:sz w:val="24"/>
          <w:szCs w:val="24"/>
          <w:lang w:bidi="ar-SA"/>
        </w:rPr>
        <w:fldChar w:fldCharType="separate"/>
      </w:r>
      <w:r w:rsidR="00A9207F">
        <w:rPr>
          <w:rFonts w:asciiTheme="majorBidi" w:hAnsiTheme="majorBidi" w:cstheme="majorBidi"/>
          <w:noProof/>
          <w:sz w:val="24"/>
          <w:szCs w:val="24"/>
          <w:lang w:bidi="ar-SA"/>
        </w:rPr>
        <w:t>[</w:t>
      </w:r>
      <w:hyperlink w:anchor="_ENREF_15" w:tooltip="Odekerken, 2016 #651" w:history="1">
        <w:r w:rsidR="00A9207F">
          <w:rPr>
            <w:rFonts w:asciiTheme="majorBidi" w:hAnsiTheme="majorBidi" w:cstheme="majorBidi"/>
            <w:noProof/>
            <w:sz w:val="24"/>
            <w:szCs w:val="24"/>
            <w:lang w:bidi="ar-SA"/>
          </w:rPr>
          <w:t>15</w:t>
        </w:r>
      </w:hyperlink>
      <w:r w:rsidR="00A9207F">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Wong et al</w:t>
      </w:r>
      <w:r>
        <w:rPr>
          <w:rFonts w:asciiTheme="majorBidi" w:hAnsiTheme="majorBidi" w:cstheme="majorBidi"/>
          <w:sz w:val="24"/>
          <w:szCs w:val="24"/>
          <w:lang w:bidi="ar-SA"/>
        </w:rPr>
        <w:t>.</w:t>
      </w:r>
      <w:r w:rsidRPr="00AB5935">
        <w:rPr>
          <w:rFonts w:asciiTheme="majorBidi" w:hAnsiTheme="majorBidi" w:cstheme="majorBidi"/>
          <w:sz w:val="24"/>
          <w:szCs w:val="24"/>
          <w:lang w:bidi="ar-SA"/>
        </w:rPr>
        <w:t xml:space="preserve"> found that the most common adverse events were problems with DBS lead hardware and hemorrhage, which were minor and controlled easily</w:t>
      </w:r>
      <w:r>
        <w:rPr>
          <w:rFonts w:asciiTheme="majorBidi" w:hAnsiTheme="majorBidi" w:cstheme="majorBidi"/>
          <w:sz w:val="24"/>
          <w:szCs w:val="24"/>
          <w:lang w:bidi="ar-SA"/>
        </w:rPr>
        <w:t xml:space="preserve"> </w:t>
      </w:r>
      <w:r w:rsidRPr="00AB5935">
        <w:rPr>
          <w:rFonts w:asciiTheme="majorBidi" w:hAnsiTheme="majorBidi" w:cstheme="majorBidi"/>
          <w:sz w:val="24"/>
          <w:szCs w:val="24"/>
          <w:lang w:bidi="ar-SA"/>
        </w:rPr>
        <w:fldChar w:fldCharType="begin"/>
      </w:r>
      <w:r w:rsidR="00A9207F">
        <w:rPr>
          <w:rFonts w:asciiTheme="majorBidi" w:hAnsiTheme="majorBidi" w:cstheme="majorBidi"/>
          <w:sz w:val="24"/>
          <w:szCs w:val="24"/>
          <w:lang w:bidi="ar-SA"/>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AB5935">
        <w:rPr>
          <w:rFonts w:asciiTheme="majorBidi" w:hAnsiTheme="majorBidi" w:cstheme="majorBidi"/>
          <w:sz w:val="24"/>
          <w:szCs w:val="24"/>
          <w:lang w:bidi="ar-SA"/>
        </w:rPr>
        <w:fldChar w:fldCharType="separate"/>
      </w:r>
      <w:r w:rsidR="00A9207F">
        <w:rPr>
          <w:rFonts w:asciiTheme="majorBidi" w:hAnsiTheme="majorBidi" w:cstheme="majorBidi"/>
          <w:noProof/>
          <w:sz w:val="24"/>
          <w:szCs w:val="24"/>
          <w:lang w:bidi="ar-SA"/>
        </w:rPr>
        <w:t>[</w:t>
      </w:r>
      <w:hyperlink w:anchor="_ENREF_18" w:tooltip="Wong, 2020 #654" w:history="1">
        <w:r w:rsidR="00A9207F">
          <w:rPr>
            <w:rFonts w:asciiTheme="majorBidi" w:hAnsiTheme="majorBidi" w:cstheme="majorBidi"/>
            <w:noProof/>
            <w:sz w:val="24"/>
            <w:szCs w:val="24"/>
            <w:lang w:bidi="ar-SA"/>
          </w:rPr>
          <w:t>18</w:t>
        </w:r>
      </w:hyperlink>
      <w:r w:rsidR="00A9207F">
        <w:rPr>
          <w:rFonts w:asciiTheme="majorBidi" w:hAnsiTheme="majorBidi" w:cstheme="majorBidi"/>
          <w:noProof/>
          <w:sz w:val="24"/>
          <w:szCs w:val="24"/>
          <w:lang w:bidi="ar-SA"/>
        </w:rPr>
        <w:t>]</w:t>
      </w:r>
      <w:r w:rsidRPr="00AB5935">
        <w:rPr>
          <w:rFonts w:asciiTheme="majorBidi" w:hAnsiTheme="majorBidi" w:cstheme="majorBidi"/>
          <w:sz w:val="24"/>
          <w:szCs w:val="24"/>
          <w:lang w:bidi="ar-SA"/>
        </w:rPr>
        <w:fldChar w:fldCharType="end"/>
      </w:r>
      <w:r w:rsidRPr="00AB5935">
        <w:rPr>
          <w:rFonts w:asciiTheme="majorBidi" w:hAnsiTheme="majorBidi" w:cstheme="majorBidi"/>
          <w:sz w:val="24"/>
          <w:szCs w:val="24"/>
          <w:lang w:bidi="ar-SA"/>
        </w:rPr>
        <w:t xml:space="preserve">. </w:t>
      </w:r>
    </w:p>
    <w:p w:rsidR="00A81099" w:rsidRPr="00710C7F" w:rsidRDefault="00A81099" w:rsidP="00A81099">
      <w:pPr>
        <w:bidi w:val="0"/>
        <w:spacing w:line="480" w:lineRule="auto"/>
        <w:jc w:val="both"/>
        <w:rPr>
          <w:rFonts w:asciiTheme="majorBidi" w:hAnsiTheme="majorBidi" w:cstheme="majorBidi"/>
          <w:b/>
          <w:bCs/>
          <w:lang w:bidi="ar-SA"/>
        </w:rPr>
      </w:pPr>
      <w:r w:rsidRPr="00710C7F">
        <w:rPr>
          <w:rFonts w:asciiTheme="majorBidi" w:hAnsiTheme="majorBidi" w:cstheme="majorBidi"/>
          <w:b/>
          <w:bCs/>
          <w:lang w:bidi="ar-SA"/>
        </w:rPr>
        <w:t>Conclusion</w:t>
      </w:r>
    </w:p>
    <w:p w:rsidR="00A81099" w:rsidRPr="007311FA" w:rsidRDefault="009A0E74" w:rsidP="009A0E74">
      <w:pPr>
        <w:bidi w:val="0"/>
        <w:spacing w:line="480" w:lineRule="auto"/>
        <w:jc w:val="both"/>
        <w:rPr>
          <w:rFonts w:asciiTheme="majorBidi" w:hAnsiTheme="majorBidi" w:cstheme="majorBidi"/>
          <w:sz w:val="24"/>
          <w:szCs w:val="24"/>
          <w:lang w:bidi="ar-SA"/>
        </w:rPr>
      </w:pPr>
      <w:r>
        <w:rPr>
          <w:rFonts w:asciiTheme="majorBidi" w:hAnsiTheme="majorBidi" w:cstheme="majorBidi"/>
          <w:sz w:val="24"/>
          <w:szCs w:val="24"/>
          <w:lang w:bidi="ar-SA"/>
        </w:rPr>
        <w:t>A</w:t>
      </w:r>
      <w:r w:rsidR="00A81099" w:rsidRPr="007F5D7F">
        <w:rPr>
          <w:rFonts w:asciiTheme="majorBidi" w:hAnsiTheme="majorBidi" w:cstheme="majorBidi"/>
          <w:sz w:val="24"/>
          <w:szCs w:val="24"/>
          <w:lang w:bidi="ar-SA"/>
        </w:rPr>
        <w:t>lthough STN was better in terms of improving action</w:t>
      </w:r>
      <w:r w:rsidR="00A81099" w:rsidRPr="007F5D7F">
        <w:rPr>
          <w:rFonts w:asciiTheme="majorBidi" w:hAnsiTheme="majorBidi" w:cs="Times New Roman"/>
          <w:sz w:val="24"/>
          <w:szCs w:val="24"/>
          <w:rtl/>
          <w:lang w:bidi="ar-SA"/>
        </w:rPr>
        <w:t xml:space="preserve"> </w:t>
      </w:r>
      <w:r w:rsidR="00A81099" w:rsidRPr="007F5D7F">
        <w:rPr>
          <w:rFonts w:asciiTheme="majorBidi" w:hAnsiTheme="majorBidi" w:cstheme="majorBidi"/>
          <w:sz w:val="24"/>
          <w:szCs w:val="24"/>
          <w:lang w:bidi="ar-SA"/>
        </w:rPr>
        <w:t>tremor, and GPi was relat</w:t>
      </w:r>
      <w:r>
        <w:rPr>
          <w:rFonts w:asciiTheme="majorBidi" w:hAnsiTheme="majorBidi" w:cstheme="majorBidi"/>
          <w:sz w:val="24"/>
          <w:szCs w:val="24"/>
          <w:lang w:bidi="ar-SA"/>
        </w:rPr>
        <w:t>ed to less adverse events</w:t>
      </w:r>
      <w:r w:rsidR="00A81099" w:rsidRPr="007F5D7F">
        <w:rPr>
          <w:rFonts w:asciiTheme="majorBidi" w:hAnsiTheme="majorBidi" w:cstheme="majorBidi"/>
          <w:sz w:val="24"/>
          <w:szCs w:val="24"/>
          <w:lang w:bidi="ar-SA"/>
        </w:rPr>
        <w:t xml:space="preserve">, it cannot prove the superiority of </w:t>
      </w:r>
      <w:proofErr w:type="gramStart"/>
      <w:r w:rsidR="00A81099" w:rsidRPr="007F5D7F">
        <w:rPr>
          <w:rFonts w:asciiTheme="majorBidi" w:hAnsiTheme="majorBidi" w:cstheme="majorBidi"/>
          <w:sz w:val="24"/>
          <w:szCs w:val="24"/>
          <w:lang w:bidi="ar-SA"/>
        </w:rPr>
        <w:t>any</w:t>
      </w:r>
      <w:r w:rsidR="00A81099">
        <w:rPr>
          <w:rFonts w:asciiTheme="majorBidi" w:hAnsiTheme="majorBidi" w:cstheme="majorBidi"/>
          <w:sz w:val="24"/>
          <w:szCs w:val="24"/>
          <w:lang w:bidi="ar-SA"/>
        </w:rPr>
        <w:t xml:space="preserve"> </w:t>
      </w:r>
      <w:r w:rsidR="00A81099" w:rsidRPr="007F5D7F">
        <w:rPr>
          <w:rFonts w:asciiTheme="majorBidi" w:hAnsiTheme="majorBidi" w:cs="Times New Roman"/>
          <w:sz w:val="24"/>
          <w:szCs w:val="24"/>
          <w:rtl/>
          <w:lang w:bidi="ar-SA"/>
        </w:rPr>
        <w:t xml:space="preserve"> </w:t>
      </w:r>
      <w:r w:rsidR="00A81099" w:rsidRPr="007F5D7F">
        <w:rPr>
          <w:rFonts w:asciiTheme="majorBidi" w:hAnsiTheme="majorBidi" w:cstheme="majorBidi"/>
          <w:sz w:val="24"/>
          <w:szCs w:val="24"/>
          <w:lang w:bidi="ar-SA"/>
        </w:rPr>
        <w:t>of</w:t>
      </w:r>
      <w:proofErr w:type="gramEnd"/>
      <w:r w:rsidR="00A81099" w:rsidRPr="007F5D7F">
        <w:rPr>
          <w:rFonts w:asciiTheme="majorBidi" w:hAnsiTheme="majorBidi" w:cstheme="majorBidi"/>
          <w:sz w:val="24"/>
          <w:szCs w:val="24"/>
          <w:lang w:bidi="ar-SA"/>
        </w:rPr>
        <w:t xml:space="preserve"> the two targets. It is clear that more and more clinical trials with large sample size, longer follow-up</w:t>
      </w:r>
      <w:r w:rsidR="00A81099" w:rsidRPr="007F5D7F">
        <w:rPr>
          <w:rFonts w:asciiTheme="majorBidi" w:hAnsiTheme="majorBidi" w:cs="Times New Roman"/>
          <w:sz w:val="24"/>
          <w:szCs w:val="24"/>
          <w:rtl/>
          <w:lang w:bidi="ar-SA"/>
        </w:rPr>
        <w:t xml:space="preserve"> </w:t>
      </w:r>
      <w:r w:rsidR="00A81099" w:rsidRPr="007F5D7F">
        <w:rPr>
          <w:rFonts w:asciiTheme="majorBidi" w:hAnsiTheme="majorBidi" w:cstheme="majorBidi"/>
          <w:sz w:val="24"/>
          <w:szCs w:val="24"/>
          <w:lang w:bidi="ar-SA"/>
        </w:rPr>
        <w:t>periods and more specific outcome assessments are needed to conclude which target is definitely better.</w:t>
      </w:r>
    </w:p>
    <w:p w:rsidR="00A81099" w:rsidRDefault="00A81099" w:rsidP="00A81099">
      <w:pPr>
        <w:autoSpaceDE w:val="0"/>
        <w:autoSpaceDN w:val="0"/>
        <w:bidi w:val="0"/>
        <w:adjustRightInd w:val="0"/>
        <w:spacing w:after="0" w:line="480" w:lineRule="auto"/>
        <w:jc w:val="both"/>
        <w:rPr>
          <w:rFonts w:asciiTheme="majorBidi" w:hAnsiTheme="majorBidi" w:cstheme="majorBidi"/>
          <w:sz w:val="24"/>
          <w:szCs w:val="24"/>
        </w:rPr>
        <w:sectPr w:rsidR="00A81099" w:rsidSect="00A81099">
          <w:footerReference w:type="default" r:id="rId9"/>
          <w:pgSz w:w="11906" w:h="16838"/>
          <w:pgMar w:top="1440" w:right="1440" w:bottom="1440" w:left="1440" w:header="709" w:footer="709" w:gutter="0"/>
          <w:lnNumType w:countBy="1" w:restart="continuous"/>
          <w:cols w:space="708"/>
          <w:rtlGutter/>
          <w:docGrid w:linePitch="360"/>
        </w:sectPr>
      </w:pPr>
    </w:p>
    <w:p w:rsidR="00A81099" w:rsidRDefault="00A81099" w:rsidP="00A81099">
      <w:pPr>
        <w:pStyle w:val="Caption"/>
        <w:keepNext/>
        <w:bidi w:val="0"/>
      </w:pPr>
      <w:r>
        <w:lastRenderedPageBreak/>
        <w:t xml:space="preserve">Table </w:t>
      </w:r>
      <w:proofErr w:type="gramStart"/>
      <w:r>
        <w:t xml:space="preserve">1  </w:t>
      </w:r>
      <w:r w:rsidR="003F32C1">
        <w:t>Main</w:t>
      </w:r>
      <w:proofErr w:type="gramEnd"/>
      <w:r w:rsidR="003F32C1">
        <w:t xml:space="preserve"> characteristics of studies</w:t>
      </w:r>
    </w:p>
    <w:tbl>
      <w:tblPr>
        <w:tblStyle w:val="TableGrid1"/>
        <w:tblW w:w="12441" w:type="dxa"/>
        <w:tblInd w:w="1005" w:type="dxa"/>
        <w:tblLayout w:type="fixed"/>
        <w:tblLook w:val="04A0" w:firstRow="1" w:lastRow="0" w:firstColumn="1" w:lastColumn="0" w:noHBand="0" w:noVBand="1"/>
      </w:tblPr>
      <w:tblGrid>
        <w:gridCol w:w="392"/>
        <w:gridCol w:w="1559"/>
        <w:gridCol w:w="992"/>
        <w:gridCol w:w="1276"/>
        <w:gridCol w:w="1418"/>
        <w:gridCol w:w="1842"/>
        <w:gridCol w:w="1560"/>
        <w:gridCol w:w="1701"/>
        <w:gridCol w:w="1701"/>
      </w:tblGrid>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p>
        </w:tc>
        <w:tc>
          <w:tcPr>
            <w:tcW w:w="1559"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reference</w:t>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target</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age</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Sample size</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UPDRS on-period- baseline</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UPDRS off-period- baseline</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Follow up period</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(month)</w:t>
            </w:r>
          </w:p>
        </w:tc>
        <w:tc>
          <w:tcPr>
            <w:tcW w:w="1701" w:type="dxa"/>
          </w:tcPr>
          <w:p w:rsidR="00A81099" w:rsidRPr="006F12B8" w:rsidRDefault="0078178C" w:rsidP="007C16A0">
            <w:pPr>
              <w:bidi w:val="0"/>
              <w:jc w:val="both"/>
              <w:rPr>
                <w:rFonts w:asciiTheme="majorBidi" w:hAnsiTheme="majorBidi" w:cstheme="majorBidi"/>
                <w:lang w:bidi="fa-IR"/>
              </w:rPr>
            </w:pPr>
            <w:r>
              <w:rPr>
                <w:rFonts w:asciiTheme="majorBidi" w:hAnsiTheme="majorBidi" w:cstheme="majorBidi"/>
                <w:lang w:bidi="fa-IR"/>
              </w:rPr>
              <w:t>Location</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ku-Arab-IQ"/>
              </w:rPr>
            </w:pPr>
            <w:r w:rsidRPr="006F12B8">
              <w:rPr>
                <w:rFonts w:asciiTheme="majorBidi" w:hAnsiTheme="majorBidi" w:cstheme="majorBidi"/>
                <w:lang w:bidi="ku-Arab-IQ"/>
              </w:rPr>
              <w:t>1</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&lt;EndNote&gt;&lt;Cite&gt;&lt;Author&gt;Odekerken&lt;/Author&gt;&lt;Year&gt;2013&lt;/Year&gt;&lt;RecNum&gt;314&lt;/RecNum&gt;&lt;DisplayText&gt;[13]&lt;/DisplayText&gt;&lt;record&gt;&lt;rec-number&gt;314&lt;/rec-number&gt;&lt;foreign-keys&gt;&lt;key app="EN" db-id="rewfwt2w8r5sdvev9v0xsda92ff2twsr5ees"&gt;314&lt;/key&gt;&lt;/foreign-keys&gt;&lt;ref-type name="Journal Article"&gt;17&lt;/ref-type&gt;&lt;contributors&gt;&lt;authors&gt;&lt;author&gt;Odekerken, Vincent JJ&lt;/author&gt;&lt;author&gt;van Laar, Teus&lt;/author&gt;&lt;author&gt;Staal, Michiel J&lt;/author&gt;&lt;author&gt;Mosch, Arne&lt;/author&gt;&lt;author&gt;Hoffmann, Carel FE&lt;/author&gt;&lt;author&gt;Nijssen, Peter CG&lt;/author&gt;&lt;author&gt;Beute, Guus N&lt;/author&gt;&lt;author&gt;van Vugt, Jeroen PP&lt;/author&gt;&lt;author&gt;Lenders, Mathieu WPM&lt;/author&gt;&lt;author&gt;Contarino, M Fiorella&lt;/author&gt;&lt;/authors&gt;&lt;/contributors&gt;&lt;titles&gt;&lt;title&gt;Subthalamic nucleus versus globus pallidus bilateral deep brain stimulation for advanced Parkinson&amp;apos;s disease (NSTAPS study): a randomised controlled trial&lt;/title&gt;&lt;secondary-title&gt;The Lancet Neurology&lt;/secondary-title&gt;&lt;/titles&gt;&lt;periodical&gt;&lt;full-title&gt;The Lancet Neurology&lt;/full-title&gt;&lt;/periodical&gt;&lt;pages&gt;37-44&lt;/pages&gt;&lt;volume&gt;12&lt;/volume&gt;&lt;number&gt;1&lt;/number&gt;&lt;dates&gt;&lt;year&gt;2013&lt;/year&gt;&lt;/dates&gt;&lt;isbn&gt;1474-4422&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3" w:tooltip="Odekerken, 2013 #650" w:history="1">
              <w:r w:rsidR="00A9207F">
                <w:rPr>
                  <w:rFonts w:asciiTheme="majorBidi" w:hAnsiTheme="majorBidi" w:cstheme="majorBidi"/>
                  <w:noProof/>
                </w:rPr>
                <w:t>13</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ku-Arab-IQ"/>
              </w:rPr>
            </w:pPr>
            <w:r w:rsidRPr="006F12B8">
              <w:rPr>
                <w:rFonts w:asciiTheme="majorBidi" w:hAnsiTheme="majorBidi" w:cstheme="majorBidi"/>
                <w:lang w:bidi="fa-IR"/>
              </w:rPr>
              <w:t>59·1±</w:t>
            </w:r>
            <w:r w:rsidRPr="006F12B8">
              <w:rPr>
                <w:rFonts w:asciiTheme="majorBidi" w:hAnsiTheme="majorBidi" w:cstheme="majorBidi"/>
                <w:lang w:bidi="ku-Arab-IQ"/>
              </w:rPr>
              <w:t xml:space="preserve"> 7.8</w:t>
            </w:r>
          </w:p>
          <w:p w:rsidR="00A81099" w:rsidRPr="006F12B8" w:rsidRDefault="00A81099" w:rsidP="007C16A0">
            <w:pPr>
              <w:bidi w:val="0"/>
              <w:jc w:val="both"/>
              <w:rPr>
                <w:rFonts w:asciiTheme="majorBidi" w:hAnsiTheme="majorBidi" w:cstheme="majorBidi"/>
                <w:lang w:bidi="ku-Arab-IQ"/>
              </w:rPr>
            </w:pPr>
            <w:r w:rsidRPr="006F12B8">
              <w:rPr>
                <w:rFonts w:asciiTheme="majorBidi" w:hAnsiTheme="majorBidi" w:cstheme="majorBidi"/>
                <w:lang w:bidi="ku-Arab-IQ"/>
              </w:rPr>
              <w:t>60.9</w:t>
            </w:r>
            <w:r w:rsidRPr="006F12B8">
              <w:rPr>
                <w:rFonts w:asciiTheme="majorBidi" w:hAnsiTheme="majorBidi" w:cstheme="majorBidi"/>
                <w:lang w:bidi="fa-IR"/>
              </w:rPr>
              <w:t>±</w:t>
            </w:r>
            <w:r w:rsidRPr="006F12B8">
              <w:rPr>
                <w:rFonts w:asciiTheme="majorBidi" w:hAnsiTheme="majorBidi" w:cstheme="majorBidi"/>
                <w:lang w:bidi="ku-Arab-IQ"/>
              </w:rPr>
              <w:t xml:space="preserve"> 7.6</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62</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63</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16±8</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17±9.9</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43.8±13.5</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44.4±15.5</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Troche</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&lt;EndNote&gt;&lt;Cite&gt;&lt;Author&gt;Troche&lt;/Author&gt;&lt;Year&gt;2014&lt;/Year&gt;&lt;RecNum&gt;315&lt;/RecNum&gt;&lt;DisplayText&gt;[14]&lt;/DisplayText&gt;&lt;record&gt;&lt;rec-number&gt;315&lt;/rec-number&gt;&lt;foreign-keys&gt;&lt;key app="EN" db-id="rewfwt2w8r5sdvev9v0xsda92ff2twsr5ees"&gt;315&lt;/key&gt;&lt;/foreign-keys&gt;&lt;ref-type name="Journal Article"&gt;17&lt;/ref-type&gt;&lt;contributors&gt;&lt;authors&gt;&lt;author&gt;Troche, Michelle S&lt;/author&gt;&lt;author&gt;Brandimore, Alexandra E&lt;/author&gt;&lt;author&gt;Foote, Kelly D&lt;/author&gt;&lt;author&gt;Morishita, Takashi&lt;/author&gt;&lt;author&gt;Chen, Dennis&lt;/author&gt;&lt;author&gt;Hegland, Karen W&lt;/author&gt;&lt;author&gt;Okun, Michael S&lt;/author&gt;&lt;/authors&gt;&lt;/contributors&gt;&lt;titles&gt;&lt;title&gt;Swallowing outcomes following unilateral STN vs. GPi surgery: a retrospective analysis&lt;/title&gt;&lt;secondary-title&gt;Dysphagia&lt;/secondary-title&gt;&lt;/titles&gt;&lt;periodical&gt;&lt;full-title&gt;Dysphagia&lt;/full-title&gt;&lt;/periodical&gt;&lt;pages&gt;425-431&lt;/pages&gt;&lt;volume&gt;29&lt;/volume&gt;&lt;number&gt;4&lt;/number&gt;&lt;dates&gt;&lt;year&gt;2014&lt;/year&gt;&lt;/dates&gt;&lt;isbn&gt;0179-051X&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4" w:tooltip="Troche, 2014 #649" w:history="1">
              <w:r w:rsidR="00A9207F">
                <w:rPr>
                  <w:rFonts w:asciiTheme="majorBidi" w:hAnsiTheme="majorBidi" w:cstheme="majorBidi"/>
                  <w:noProof/>
                </w:rPr>
                <w:t>14</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64.26±8.79</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66.5±7.02</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19</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14</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23.13±6.73</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23.43±10.64</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39.89±11.06</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35.93±8.98</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6 </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Asia</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Odekerken</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&lt;EndNote&gt;&lt;Cite&gt;&lt;Author&gt;Odekerken&lt;/Author&gt;&lt;Year&gt;2016&lt;/Year&gt;&lt;RecNum&gt;323&lt;/RecNum&gt;&lt;DisplayText&gt;[15]&lt;/DisplayText&gt;&lt;record&gt;&lt;rec-number&gt;323&lt;/rec-number&gt;&lt;foreign-keys&gt;&lt;key app="EN" db-id="rewfwt2w8r5sdvev9v0xsda92ff2twsr5ees"&gt;323&lt;/key&gt;&lt;/foreign-keys&gt;&lt;ref-type name="Journal Article"&gt;17&lt;/ref-type&gt;&lt;contributors&gt;&lt;authors&gt;&lt;author&gt;Odekerken, Vincent JJ&lt;/author&gt;&lt;author&gt;Boel, Judith A&lt;/author&gt;&lt;author&gt;Schmand, Ben A&lt;/author&gt;&lt;author&gt;de Haan, Rob J&lt;/author&gt;&lt;author&gt;Figee, M&lt;/author&gt;&lt;author&gt;van den Munckhof, Pepijn&lt;/author&gt;&lt;author&gt;Schuurman, P Richard&lt;/author&gt;&lt;author&gt;de Bie, Rob MA&lt;/author&gt;&lt;author&gt;NSTAPS Study Group&lt;/author&gt;&lt;/authors&gt;&lt;/contributors&gt;&lt;titles&gt;&lt;title&gt;GPi vs STN deep brain stimulation for Parkinson disease: three-year follow-up&lt;/title&gt;&lt;secondary-title&gt;Neurology&lt;/secondary-title&gt;&lt;/titles&gt;&lt;periodical&gt;&lt;full-title&gt;Neurology&lt;/full-title&gt;&lt;/periodical&gt;&lt;pages&gt;755-761&lt;/pages&gt;&lt;volume&gt;86&lt;/volume&gt;&lt;number&gt;8&lt;/number&gt;&lt;dates&gt;&lt;year&gt;2016&lt;/year&gt;&lt;/dates&gt;&lt;isbn&gt;0028-3878&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5" w:tooltip="Odekerken, 2016 #651" w:history="1">
              <w:r w:rsidR="00A9207F">
                <w:rPr>
                  <w:rFonts w:asciiTheme="majorBidi" w:hAnsiTheme="majorBidi" w:cstheme="majorBidi"/>
                  <w:noProof/>
                </w:rPr>
                <w:t>15</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59.1±7.8</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60.9±7.6</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43</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47</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43</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41</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36</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Europe</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Gong</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&lt;EndNote&gt;&lt;Cite&gt;&lt;Author&gt;Gong&lt;/Author&gt;&lt;Year&gt;2020&lt;/Year&gt;&lt;RecNum&gt;317&lt;/RecNum&gt;&lt;DisplayText&gt;[16]&lt;/DisplayText&gt;&lt;record&gt;&lt;rec-number&gt;317&lt;/rec-number&gt;&lt;foreign-keys&gt;&lt;key app="EN" db-id="rewfwt2w8r5sdvev9v0xsda92ff2twsr5ees"&gt;317&lt;/key&gt;&lt;/foreign-keys&gt;&lt;ref-type name="Journal Article"&gt;17&lt;/ref-type&gt;&lt;contributors&gt;&lt;authors&gt;&lt;author&gt;Gong, Shun&lt;/author&gt;&lt;author&gt;Xu, Menting&lt;/author&gt;&lt;author&gt;Tao, Yingqun&lt;/author&gt;&lt;author&gt;Jin, Hai&lt;/author&gt;&lt;author&gt;Liu, Yang&lt;/author&gt;&lt;author&gt;Sun, Xiao&lt;/author&gt;&lt;author&gt;Wang, Shimiao&lt;/author&gt;&lt;author&gt;Yang, Xingwang&lt;/author&gt;&lt;author&gt;Wang, Yu&lt;/author&gt;&lt;author&gt;Yuan, Lijia&lt;/author&gt;&lt;/authors&gt;&lt;/contributors&gt;&lt;titles&gt;&lt;title&gt;Comparison of Subthalamic Nucleus and Globus Pallidus Internus Deep Brain Stimulation Surgery on Parkinson Disease–Related Pain&lt;/title&gt;&lt;secondary-title&gt;World neurosurgery&lt;/secondary-title&gt;&lt;/titles&gt;&lt;periodical&gt;&lt;full-title&gt;World neurosurgery&lt;/full-title&gt;&lt;/periodical&gt;&lt;pages&gt;e94-e99&lt;/pages&gt;&lt;volume&gt;135&lt;/volume&gt;&lt;dates&gt;&lt;year&gt;2020&lt;/year&gt;&lt;/dates&gt;&lt;isbn&gt;1878-8750&lt;/isbn&gt;&lt;urls&gt;&lt;/urls&gt;&lt;/record&gt;&lt;/Cite&gt;&lt;/EndNote&gt;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6" w:tooltip="Gong, 2020 #652" w:history="1">
              <w:r w:rsidR="00A9207F">
                <w:rPr>
                  <w:rFonts w:asciiTheme="majorBidi" w:hAnsiTheme="majorBidi" w:cstheme="majorBidi"/>
                  <w:noProof/>
                </w:rPr>
                <w:t>16</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63.2±9.1</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62.3±10.4</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28</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36</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26.2±7.5</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29.0±10.0</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NA</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4 </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Asia</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Fan</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&lt;EndNote&gt;&lt;Cite&gt;&lt;Author&gt;Fan&lt;/Author&gt;&lt;Year&gt;2020&lt;/Year&gt;&lt;RecNum&gt;318&lt;/RecNum&gt;&lt;DisplayText&gt;[17]&lt;/DisplayText&gt;&lt;record&gt;&lt;rec-number&gt;318&lt;/rec-number&gt;&lt;foreign-keys&gt;&lt;key app="EN" db-id="rewfwt2w8r5sdvev9v0xsda92ff2twsr5ees"&gt;318&lt;/key&gt;&lt;/foreign-keys&gt;&lt;ref-type name="Journal Article"&gt;17&lt;/ref-type&gt;&lt;contributors&gt;&lt;authors&gt;&lt;author&gt;Fan, Shi</w:instrText>
            </w:r>
            <w:r w:rsidR="00A9207F">
              <w:rPr>
                <w:rFonts w:ascii="Cambria Math" w:hAnsi="Cambria Math" w:cs="Cambria Math"/>
              </w:rPr>
              <w:instrText>‐</w:instrText>
            </w:r>
            <w:r w:rsidR="00A9207F">
              <w:rPr>
                <w:rFonts w:asciiTheme="majorBidi" w:hAnsiTheme="majorBidi" w:cstheme="majorBidi"/>
              </w:rPr>
              <w:instrText>Ying&lt;/author&gt;&lt;author&gt;Wang, Kai</w:instrText>
            </w:r>
            <w:r w:rsidR="00A9207F">
              <w:rPr>
                <w:rFonts w:ascii="Cambria Math" w:hAnsi="Cambria Math" w:cs="Cambria Math"/>
              </w:rPr>
              <w:instrText>‐</w:instrText>
            </w:r>
            <w:r w:rsidR="00A9207F">
              <w:rPr>
                <w:rFonts w:asciiTheme="majorBidi" w:hAnsiTheme="majorBidi" w:cstheme="majorBidi"/>
              </w:rPr>
              <w:instrText>Liang&lt;/author&gt;&lt;author&gt;Hu, Wei&lt;/author&gt;&lt;author&gt;Eisinger, Robert S&lt;/author&gt;&lt;author&gt;Han, Alexander&lt;/author&gt;&lt;author&gt;Han, Chun</w:instrText>
            </w:r>
            <w:r w:rsidR="00A9207F">
              <w:rPr>
                <w:rFonts w:ascii="Cambria Math" w:hAnsi="Cambria Math" w:cs="Cambria Math"/>
              </w:rPr>
              <w:instrText>‐</w:instrText>
            </w:r>
            <w:r w:rsidR="00A9207F">
              <w:rPr>
                <w:rFonts w:asciiTheme="majorBidi" w:hAnsiTheme="majorBidi" w:cstheme="majorBidi"/>
              </w:rPr>
              <w:instrText>Lei&lt;/author&gt;&lt;author&gt;Wang, Qiao&lt;/author&gt;&lt;author&gt;Michitomo, Shimabukuro&lt;/author&gt;&lt;author&gt;Zhang, Jian</w:instrText>
            </w:r>
            <w:r w:rsidR="00A9207F">
              <w:rPr>
                <w:rFonts w:ascii="Cambria Math" w:hAnsi="Cambria Math" w:cs="Cambria Math"/>
              </w:rPr>
              <w:instrText>‐</w:instrText>
            </w:r>
            <w:r w:rsidR="00A9207F">
              <w:rPr>
                <w:rFonts w:asciiTheme="majorBidi" w:hAnsiTheme="majorBidi" w:cstheme="majorBidi"/>
              </w:rPr>
              <w:instrText>Guo&lt;/author&gt;&lt;author&gt;Wang, Feng&lt;/author&gt;&lt;/authors&gt;&lt;/contributors&gt;&lt;titles&gt;&lt;title&gt;Pallidal versus subthalamic nucleus deep brain stimulation for levodopa</w:instrText>
            </w:r>
            <w:r w:rsidR="00A9207F">
              <w:rPr>
                <w:rFonts w:ascii="Cambria Math" w:hAnsi="Cambria Math" w:cs="Cambria Math"/>
              </w:rPr>
              <w:instrText>‐</w:instrText>
            </w:r>
            <w:r w:rsidR="00A9207F">
              <w:rPr>
                <w:rFonts w:asciiTheme="majorBidi" w:hAnsiTheme="majorBidi" w:cstheme="majorBidi"/>
              </w:rPr>
              <w:instrText>induced dyskinesia&lt;/title&gt;&lt;secondary-title&gt;Annals of clinical and translational neurology&lt;/secondary-title&gt;&lt;/titles&gt;&lt;periodical&gt;&lt;full-title&gt;Annals of clinical and translational neurology&lt;/full-title&gt;&lt;/periodical&gt;&lt;pages&gt;59-68&lt;/pages&gt;&lt;volume&gt;7&lt;/volume&gt;&lt;number&gt;1&lt;/number&gt;&lt;dates&gt;&lt;year&gt;2020&lt;/year&gt;&lt;/dates&gt;&lt;isbn&gt;2328-9503&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7" w:tooltip="Fan, 2020 #653" w:history="1">
              <w:r w:rsidR="00A9207F">
                <w:rPr>
                  <w:rFonts w:asciiTheme="majorBidi" w:hAnsiTheme="majorBidi" w:cstheme="majorBidi"/>
                  <w:noProof/>
                </w:rPr>
                <w:t>17</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60.43±8.44</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59.65±9.11</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23</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20</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50.68±15.36</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47.85±14.95</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18.26±8.38 and </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21.60±8.79</w:t>
            </w:r>
          </w:p>
          <w:p w:rsidR="00A81099" w:rsidRPr="006F12B8" w:rsidRDefault="00A81099" w:rsidP="007C16A0">
            <w:pPr>
              <w:bidi w:val="0"/>
              <w:jc w:val="both"/>
              <w:rPr>
                <w:rFonts w:asciiTheme="majorBidi" w:hAnsiTheme="majorBidi" w:cstheme="majorBidi"/>
                <w:lang w:bidi="fa-IR"/>
              </w:rPr>
            </w:pP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Asia</w:t>
            </w:r>
          </w:p>
        </w:tc>
      </w:tr>
      <w:tr w:rsidR="00A81099" w:rsidRPr="006F12B8" w:rsidTr="007C16A0">
        <w:tc>
          <w:tcPr>
            <w:tcW w:w="392" w:type="dxa"/>
          </w:tcPr>
          <w:p w:rsidR="00A81099" w:rsidRPr="006F12B8" w:rsidRDefault="00A81099" w:rsidP="007C16A0">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6</w:t>
            </w:r>
          </w:p>
        </w:tc>
        <w:tc>
          <w:tcPr>
            <w:tcW w:w="1559" w:type="dxa"/>
          </w:tcPr>
          <w:p w:rsidR="00A81099" w:rsidRPr="006F12B8" w:rsidRDefault="00A81099" w:rsidP="00A9207F">
            <w:pPr>
              <w:tabs>
                <w:tab w:val="left" w:pos="720"/>
              </w:tabs>
              <w:bidi w:val="0"/>
              <w:jc w:val="both"/>
              <w:rPr>
                <w:rFonts w:asciiTheme="majorBidi" w:hAnsiTheme="majorBidi" w:cstheme="majorBidi"/>
                <w:lang w:bidi="fa-IR"/>
              </w:rPr>
            </w:pPr>
            <w:r w:rsidRPr="006F12B8">
              <w:rPr>
                <w:rFonts w:asciiTheme="majorBidi" w:hAnsiTheme="majorBidi" w:cstheme="majorBidi"/>
                <w:lang w:bidi="fa-IR"/>
              </w:rPr>
              <w:t>Celiker</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&lt;EndNote&gt;&lt;Cite&gt;&lt;Author&gt;Celiker&lt;/Author&gt;&lt;Year&gt;2019&lt;/Year&gt;&lt;RecNum&gt;320&lt;/RecNum&gt;&lt;DisplayText&gt;[20]&lt;/DisplayText&gt;&lt;record&gt;&lt;rec-number&gt;320&lt;/rec-number&gt;&lt;foreign-keys&gt;&lt;key app="EN" db-id="rewfwt2w8r5sdvev9v0xsda92ff2twsr5ees"&gt;320&lt;/key&gt;&lt;/foreign-keys&gt;&lt;ref-type name="Journal Article"&gt;17&lt;/ref-type&gt;&lt;contributors&gt;&lt;authors&gt;&lt;author&gt;Celiker, Ozkan&lt;/author&gt;&lt;author&gt;Demir, Goksemin&lt;/author&gt;&lt;author&gt;Kocaoglu, Murat&lt;/author&gt;&lt;author&gt;Altug, Filiz&lt;/author&gt;&lt;author&gt;Acar, Feri̇dun&lt;/author&gt;&lt;/authors&gt;&lt;/contributors&gt;&lt;titles&gt;&lt;title&gt;Comparison of subthalamic nucleus vs. globus pallidus interna deep brain stimulation in terms of gait and balance; A two year follow-up study&lt;/title&gt;&lt;secondary-title&gt;Turk Neurosurg&lt;/secondary-title&gt;&lt;/titles&gt;&lt;periodical&gt;&lt;full-title&gt;Turk Neurosurg&lt;/full-title&gt;&lt;/periodical&gt;&lt;pages&gt;355-361&lt;/pages&gt;&lt;volume&gt;29&lt;/volume&gt;&lt;number&gt;3&lt;/number&gt;&lt;dates&gt;&lt;year&gt;2019&lt;/year&gt;&lt;/dates&gt;&lt;urls&gt;&lt;/urls&gt;&lt;/record&gt;&lt;/Cite&gt;&lt;/EndNote&gt;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20" w:tooltip="Celiker, 2019 #320" w:history="1">
              <w:r w:rsidR="00A9207F">
                <w:rPr>
                  <w:rFonts w:asciiTheme="majorBidi" w:hAnsiTheme="majorBidi" w:cstheme="majorBidi"/>
                  <w:noProof/>
                </w:rPr>
                <w:t>20</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54±4.51</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56.16±9.6</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22.50±6.65</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22.16±6.55</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49.00±13.57</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47.00±14.01</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24 </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Asia</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7</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Okun</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&lt;EndNote&gt;&lt;Cite&gt;&lt;Author&gt;Okun&lt;/Author&gt;&lt;Year&gt;2014&lt;/Year&gt;&lt;RecNum&gt;322&lt;/RecNum&gt;&lt;DisplayText&gt;[19]&lt;/DisplayText&gt;&lt;record&gt;&lt;rec-number&gt;322&lt;/rec-number&gt;&lt;foreign-keys&gt;&lt;key app="EN" db-id="rewfwt2w8r5sdvev9v0xsda92ff2twsr5ees"&gt;322&lt;/key&gt;&lt;/foreign-keys&gt;&lt;ref-type name="Journal Article"&gt;17&lt;/ref-type&gt;&lt;contributors&gt;&lt;authors&gt;&lt;author&gt;Okun, Michael S&lt;/author&gt;&lt;author&gt;Wu, Samuel S&lt;/author&gt;&lt;author&gt;Fayad, Sarah&lt;/author&gt;&lt;author&gt;Ward, Herbert&lt;/author&gt;&lt;author&gt;Bowers, Dawn&lt;/author&gt;&lt;author&gt;Rosado, Christian&lt;/author&gt;&lt;author&gt;Bowen, Lauren&lt;/author&gt;&lt;author&gt;Jacobson, Charles&lt;/author&gt;&lt;author&gt;Butson, Christopher&lt;/author&gt;&lt;author&gt;Foote, Kelly D&lt;/author&gt;&lt;/authors&gt;&lt;/contributors&gt;&lt;titles&gt;&lt;title&gt;Acute and chronic mood and apathy outcomes from a randomized study of unilateral STN and GPi DBS&lt;/title&gt;&lt;secondary-title&gt;PLoS One&lt;/secondary-title&gt;&lt;/titles&gt;&lt;periodical&gt;&lt;full-title&gt;PloS one&lt;/full-title&gt;&lt;/periodical&gt;&lt;pages&gt;e114140&lt;/pages&gt;&lt;volume&gt;9&lt;/volume&gt;&lt;number&gt;12&lt;/number&gt;&lt;dates&gt;&lt;year&gt;2014&lt;/year&gt;&lt;/dates&gt;&lt;isbn&gt;1932-6203&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9" w:tooltip="Okun, 2014 #656" w:history="1">
              <w:r w:rsidR="00A9207F">
                <w:rPr>
                  <w:rFonts w:asciiTheme="majorBidi" w:hAnsiTheme="majorBidi" w:cstheme="majorBidi"/>
                  <w:noProof/>
                </w:rPr>
                <w:t>19</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60.1±5.5</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58.0±10.7</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14</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16</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20.8±8.68</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21.3±7.56</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40.5±11.2</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41.2±9.32</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12 </w:t>
            </w:r>
          </w:p>
          <w:p w:rsidR="00A81099" w:rsidRPr="006F12B8" w:rsidRDefault="00A81099" w:rsidP="007C16A0">
            <w:pPr>
              <w:bidi w:val="0"/>
              <w:jc w:val="both"/>
              <w:rPr>
                <w:rFonts w:asciiTheme="majorBidi" w:hAnsiTheme="majorBidi" w:cstheme="majorBidi"/>
                <w:lang w:bidi="fa-IR"/>
              </w:rPr>
            </w:pP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USA</w:t>
            </w:r>
          </w:p>
        </w:tc>
      </w:tr>
      <w:tr w:rsidR="00A81099" w:rsidRPr="006F12B8" w:rsidTr="007C16A0">
        <w:tc>
          <w:tcPr>
            <w:tcW w:w="3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8</w:t>
            </w:r>
          </w:p>
        </w:tc>
        <w:tc>
          <w:tcPr>
            <w:tcW w:w="1559" w:type="dxa"/>
          </w:tcPr>
          <w:p w:rsidR="00A81099" w:rsidRPr="006F12B8" w:rsidRDefault="00A81099" w:rsidP="00A9207F">
            <w:pPr>
              <w:bidi w:val="0"/>
              <w:jc w:val="both"/>
              <w:rPr>
                <w:rFonts w:asciiTheme="majorBidi" w:hAnsiTheme="majorBidi" w:cstheme="majorBidi"/>
                <w:lang w:bidi="fa-IR"/>
              </w:rPr>
            </w:pPr>
            <w:r w:rsidRPr="006F12B8">
              <w:rPr>
                <w:rFonts w:asciiTheme="majorBidi" w:hAnsiTheme="majorBidi" w:cstheme="majorBidi"/>
                <w:lang w:bidi="fa-IR"/>
              </w:rPr>
              <w:t>Wong</w:t>
            </w:r>
            <w:r w:rsidRPr="006F12B8">
              <w:rPr>
                <w:rFonts w:asciiTheme="majorBidi" w:hAnsiTheme="majorBidi" w:cstheme="majorBidi"/>
              </w:rPr>
              <w:fldChar w:fldCharType="begin"/>
            </w:r>
            <w:r w:rsidR="00A9207F">
              <w:rPr>
                <w:rFonts w:asciiTheme="majorBidi" w:hAnsiTheme="majorBidi" w:cstheme="majorBidi"/>
              </w:rPr>
              <w:instrText xml:space="preserve"> ADDIN EN.CITE &lt;EndNote&gt;&lt;Cite&gt;&lt;Author&gt;Wong&lt;/Author&gt;&lt;Year&gt;2020&lt;/Year&gt;&lt;RecNum&gt;324&lt;/RecNum&gt;&lt;DisplayText&gt;[18]&lt;/DisplayText&gt;&lt;record&gt;&lt;rec-number&gt;324&lt;/rec-number&gt;&lt;foreign-keys&gt;&lt;key app="EN" db-id="rewfwt2w8r5sdvev9v0xsda92ff2twsr5ees"&gt;324&lt;/key&gt;&lt;/foreign-keys&gt;&lt;ref-type name="Journal Article"&gt;17&lt;/ref-type&gt;&lt;contributors&gt;&lt;authors&gt;&lt;author&gt;Wong, Joshua K&lt;/author&gt;&lt;author&gt;Viswanathan, Vyas T&lt;/author&gt;&lt;author&gt;Nozile-Firth, Kamilia S&lt;/author&gt;&lt;author&gt;Eisinger, Robert S&lt;/author&gt;&lt;author&gt;Leone, Emma L&lt;/author&gt;&lt;author&gt;Desai, Anuj M&lt;/author&gt;&lt;author&gt;Foote, Kelly D&lt;/author&gt;&lt;author&gt;Ramirez-Zamora, Adolfo&lt;/author&gt;&lt;author&gt;Okun, Michael S&lt;/author&gt;&lt;author&gt;Wagle Shukla, Aparna&lt;/author&gt;&lt;/authors&gt;&lt;/contributors&gt;&lt;titles&gt;&lt;title&gt;STN Versus GPi Deep Brain Stimulation for Action and Rest Tremor in Parkinson’s Disease&lt;/title&gt;&lt;secondary-title&gt;Frontiers in human neuroscience&lt;/secondary-title&gt;&lt;/titles&gt;&lt;periodical&gt;&lt;full-title&gt;Frontiers in human neuroscience&lt;/full-title&gt;&lt;/periodical&gt;&lt;pages&gt;463&lt;/pages&gt;&lt;volume&gt;14&lt;/volume&gt;&lt;dates&gt;&lt;year&gt;2020&lt;/year&gt;&lt;/dates&gt;&lt;isbn&gt;1662-5161&lt;/isbn&gt;&lt;urls&gt;&lt;/urls&gt;&lt;/record&gt;&lt;/Cite&gt;&lt;/EndNote&gt;</w:instrText>
            </w:r>
            <w:r w:rsidRPr="006F12B8">
              <w:rPr>
                <w:rFonts w:asciiTheme="majorBidi" w:hAnsiTheme="majorBidi" w:cstheme="majorBidi"/>
              </w:rPr>
              <w:fldChar w:fldCharType="separate"/>
            </w:r>
            <w:r w:rsidR="00A9207F">
              <w:rPr>
                <w:rFonts w:asciiTheme="majorBidi" w:hAnsiTheme="majorBidi" w:cstheme="majorBidi"/>
                <w:noProof/>
              </w:rPr>
              <w:t>[</w:t>
            </w:r>
            <w:hyperlink w:anchor="_ENREF_18" w:tooltip="Wong, 2020 #654" w:history="1">
              <w:r w:rsidR="00A9207F">
                <w:rPr>
                  <w:rFonts w:asciiTheme="majorBidi" w:hAnsiTheme="majorBidi" w:cstheme="majorBidi"/>
                  <w:noProof/>
                </w:rPr>
                <w:t>18</w:t>
              </w:r>
            </w:hyperlink>
            <w:r w:rsidR="00A9207F">
              <w:rPr>
                <w:rFonts w:asciiTheme="majorBidi" w:hAnsiTheme="majorBidi" w:cstheme="majorBidi"/>
                <w:noProof/>
              </w:rPr>
              <w:t>]</w:t>
            </w:r>
            <w:r w:rsidRPr="006F12B8">
              <w:rPr>
                <w:rFonts w:asciiTheme="majorBidi" w:hAnsiTheme="majorBidi" w:cstheme="majorBidi"/>
              </w:rPr>
              <w:fldChar w:fldCharType="end"/>
            </w:r>
          </w:p>
        </w:tc>
        <w:tc>
          <w:tcPr>
            <w:tcW w:w="99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GPi</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STN</w:t>
            </w:r>
          </w:p>
        </w:tc>
        <w:tc>
          <w:tcPr>
            <w:tcW w:w="1276"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63±8.12</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61±10.33</w:t>
            </w:r>
          </w:p>
        </w:tc>
        <w:tc>
          <w:tcPr>
            <w:tcW w:w="1418"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31</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57</w:t>
            </w:r>
          </w:p>
        </w:tc>
        <w:tc>
          <w:tcPr>
            <w:tcW w:w="1842"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NA</w:t>
            </w:r>
          </w:p>
        </w:tc>
        <w:tc>
          <w:tcPr>
            <w:tcW w:w="1560"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47.32±11.79</w:t>
            </w:r>
          </w:p>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44.12±10.45</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 xml:space="preserve">12 </w:t>
            </w:r>
          </w:p>
        </w:tc>
        <w:tc>
          <w:tcPr>
            <w:tcW w:w="1701" w:type="dxa"/>
          </w:tcPr>
          <w:p w:rsidR="00A81099" w:rsidRPr="006F12B8" w:rsidRDefault="00A81099" w:rsidP="007C16A0">
            <w:pPr>
              <w:bidi w:val="0"/>
              <w:jc w:val="both"/>
              <w:rPr>
                <w:rFonts w:asciiTheme="majorBidi" w:hAnsiTheme="majorBidi" w:cstheme="majorBidi"/>
                <w:lang w:bidi="fa-IR"/>
              </w:rPr>
            </w:pPr>
            <w:r w:rsidRPr="006F12B8">
              <w:rPr>
                <w:rFonts w:asciiTheme="majorBidi" w:hAnsiTheme="majorBidi" w:cstheme="majorBidi"/>
                <w:lang w:bidi="fa-IR"/>
              </w:rPr>
              <w:t>USA</w:t>
            </w:r>
          </w:p>
        </w:tc>
      </w:tr>
    </w:tbl>
    <w:p w:rsidR="008F60CC" w:rsidRDefault="00A81099" w:rsidP="008F60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Data </w:t>
      </w:r>
      <w:r w:rsidR="007A10C7">
        <w:rPr>
          <w:rFonts w:asciiTheme="majorBidi" w:hAnsiTheme="majorBidi" w:cstheme="majorBidi"/>
          <w:sz w:val="24"/>
          <w:szCs w:val="24"/>
        </w:rPr>
        <w:t xml:space="preserve">presented </w:t>
      </w:r>
      <w:proofErr w:type="gramStart"/>
      <w:r>
        <w:rPr>
          <w:rFonts w:asciiTheme="majorBidi" w:hAnsiTheme="majorBidi" w:cstheme="majorBidi"/>
          <w:sz w:val="24"/>
          <w:szCs w:val="24"/>
        </w:rPr>
        <w:t>as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Mean</w:t>
      </w:r>
      <w:r w:rsidRPr="00A81099">
        <w:rPr>
          <w:rFonts w:asciiTheme="majorBidi" w:hAnsiTheme="majorBidi" w:cstheme="majorBidi"/>
          <w:sz w:val="24"/>
          <w:szCs w:val="24"/>
        </w:rPr>
        <w:t>±</w:t>
      </w:r>
      <w:r>
        <w:rPr>
          <w:rFonts w:asciiTheme="majorBidi" w:hAnsiTheme="majorBidi" w:cstheme="majorBidi"/>
          <w:sz w:val="24"/>
          <w:szCs w:val="24"/>
        </w:rPr>
        <w:t>SD</w:t>
      </w:r>
      <w:proofErr w:type="spellEnd"/>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F60CC" w:rsidRDefault="008F60CC" w:rsidP="008F60CC">
      <w:pPr>
        <w:autoSpaceDE w:val="0"/>
        <w:autoSpaceDN w:val="0"/>
        <w:bidi w:val="0"/>
        <w:adjustRightInd w:val="0"/>
        <w:spacing w:after="0" w:line="480" w:lineRule="auto"/>
        <w:jc w:val="both"/>
        <w:rPr>
          <w:rFonts w:asciiTheme="majorBidi" w:hAnsiTheme="majorBidi" w:cstheme="majorBidi"/>
          <w:sz w:val="24"/>
          <w:szCs w:val="24"/>
        </w:rPr>
        <w:sectPr w:rsidR="008F60CC" w:rsidSect="008F60CC">
          <w:pgSz w:w="16838" w:h="11906" w:orient="landscape"/>
          <w:pgMar w:top="1440" w:right="1440" w:bottom="1440" w:left="1440" w:header="709" w:footer="709" w:gutter="0"/>
          <w:lnNumType w:countBy="1" w:restart="continuous"/>
          <w:cols w:space="708"/>
          <w:rtlGutter/>
          <w:docGrid w:linePitch="360"/>
        </w:sectPr>
      </w:pPr>
    </w:p>
    <w:p w:rsidR="008F60CC" w:rsidRPr="00AB5935" w:rsidRDefault="008F60CC" w:rsidP="008F60CC">
      <w:pPr>
        <w:autoSpaceDE w:val="0"/>
        <w:autoSpaceDN w:val="0"/>
        <w:bidi w:val="0"/>
        <w:adjustRightInd w:val="0"/>
        <w:spacing w:after="0" w:line="480" w:lineRule="auto"/>
        <w:jc w:val="both"/>
        <w:rPr>
          <w:rFonts w:asciiTheme="majorBidi" w:hAnsiTheme="majorBidi" w:cstheme="majorBidi"/>
          <w:sz w:val="24"/>
          <w:szCs w:val="24"/>
        </w:rPr>
      </w:pP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b/>
          <w:bCs/>
        </w:rPr>
        <w:t>DECLARATIONS</w:t>
      </w:r>
    </w:p>
    <w:p w:rsidR="00870BD8" w:rsidRPr="00870BD8" w:rsidRDefault="00870BD8" w:rsidP="00870BD8">
      <w:pPr>
        <w:spacing w:line="480" w:lineRule="auto"/>
        <w:jc w:val="right"/>
        <w:rPr>
          <w:rFonts w:asciiTheme="majorBidi" w:hAnsiTheme="majorBidi" w:cstheme="majorBidi"/>
          <w:b/>
          <w:bCs/>
        </w:rPr>
      </w:pPr>
      <w:r w:rsidRPr="00870BD8">
        <w:rPr>
          <w:rFonts w:asciiTheme="majorBidi" w:hAnsiTheme="majorBidi" w:cstheme="majorBidi"/>
          <w:b/>
          <w:bCs/>
        </w:rPr>
        <w:t>Acknowledgments</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 xml:space="preserve">The author would like to express his gratitude to the Clinical Research Development Unit of Imam Khomeini Hospital, Urmia University of Medical Sciences, for English editing, especially Dr. </w:t>
      </w:r>
      <w:proofErr w:type="spellStart"/>
      <w:r w:rsidRPr="00870BD8">
        <w:rPr>
          <w:rFonts w:asciiTheme="majorBidi" w:hAnsiTheme="majorBidi" w:cstheme="majorBidi"/>
        </w:rPr>
        <w:t>Nazila</w:t>
      </w:r>
      <w:proofErr w:type="spellEnd"/>
      <w:r w:rsidRPr="00870BD8">
        <w:rPr>
          <w:rFonts w:asciiTheme="majorBidi" w:hAnsiTheme="majorBidi" w:cstheme="majorBidi"/>
        </w:rPr>
        <w:t xml:space="preserve"> </w:t>
      </w:r>
      <w:proofErr w:type="spellStart"/>
      <w:r w:rsidRPr="00870BD8">
        <w:rPr>
          <w:rFonts w:asciiTheme="majorBidi" w:hAnsiTheme="majorBidi" w:cstheme="majorBidi"/>
        </w:rPr>
        <w:t>Farrokh</w:t>
      </w:r>
      <w:proofErr w:type="spellEnd"/>
      <w:r w:rsidRPr="00870BD8">
        <w:rPr>
          <w:rFonts w:asciiTheme="majorBidi" w:hAnsiTheme="majorBidi" w:cstheme="majorBidi"/>
        </w:rPr>
        <w:t xml:space="preserve"> </w:t>
      </w:r>
      <w:proofErr w:type="spellStart"/>
      <w:r w:rsidRPr="00870BD8">
        <w:rPr>
          <w:rFonts w:asciiTheme="majorBidi" w:hAnsiTheme="majorBidi" w:cstheme="majorBidi"/>
        </w:rPr>
        <w:t>Eslamloo</w:t>
      </w:r>
      <w:proofErr w:type="spellEnd"/>
      <w:r w:rsidR="007311FA">
        <w:rPr>
          <w:rFonts w:asciiTheme="majorBidi" w:hAnsiTheme="majorBidi" w:cstheme="majorBidi"/>
        </w:rPr>
        <w:t>.</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Authors’ contributions</w:t>
      </w:r>
    </w:p>
    <w:p w:rsidR="00870BD8" w:rsidRPr="00870BD8" w:rsidRDefault="00870BD8" w:rsidP="007311FA">
      <w:pPr>
        <w:spacing w:line="480" w:lineRule="auto"/>
        <w:jc w:val="right"/>
        <w:rPr>
          <w:rFonts w:asciiTheme="majorBidi" w:hAnsiTheme="majorBidi" w:cstheme="majorBidi"/>
        </w:rPr>
      </w:pPr>
      <w:r w:rsidRPr="00870BD8">
        <w:rPr>
          <w:rFonts w:asciiTheme="majorBidi" w:hAnsiTheme="majorBidi" w:cstheme="majorBidi"/>
        </w:rPr>
        <w:t>The author contributed solely to the article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Availability of data and materials</w:t>
      </w:r>
      <w:r w:rsidRPr="007311FA">
        <w:rPr>
          <w:rFonts w:asciiTheme="majorBidi" w:hAnsiTheme="majorBidi" w:cs="Times New Roman"/>
          <w:b/>
          <w:bCs/>
          <w:rtl/>
        </w:rPr>
        <w:t xml:space="preserve"> </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Not applicable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Financial support and sponsorship</w:t>
      </w:r>
    </w:p>
    <w:p w:rsidR="00870BD8" w:rsidRPr="00870BD8" w:rsidRDefault="00870BD8" w:rsidP="007311FA">
      <w:pPr>
        <w:spacing w:line="480" w:lineRule="auto"/>
        <w:jc w:val="right"/>
        <w:rPr>
          <w:rFonts w:asciiTheme="majorBidi" w:hAnsiTheme="majorBidi" w:cstheme="majorBidi"/>
        </w:rPr>
      </w:pPr>
      <w:r w:rsidRPr="00870BD8">
        <w:rPr>
          <w:rFonts w:asciiTheme="majorBidi" w:hAnsiTheme="majorBidi" w:cstheme="majorBidi"/>
        </w:rPr>
        <w:t>None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Conflicts of interest</w:t>
      </w:r>
    </w:p>
    <w:p w:rsidR="00870BD8" w:rsidRPr="00870BD8" w:rsidRDefault="00870BD8" w:rsidP="00870BD8">
      <w:pPr>
        <w:spacing w:line="480" w:lineRule="auto"/>
        <w:jc w:val="right"/>
        <w:rPr>
          <w:rFonts w:asciiTheme="majorBidi" w:hAnsiTheme="majorBidi" w:cstheme="majorBidi"/>
        </w:rPr>
      </w:pPr>
      <w:r w:rsidRPr="00870BD8">
        <w:rPr>
          <w:rFonts w:asciiTheme="majorBidi" w:hAnsiTheme="majorBidi" w:cstheme="majorBidi"/>
        </w:rPr>
        <w:t>Single author - None</w:t>
      </w:r>
    </w:p>
    <w:p w:rsidR="00870BD8" w:rsidRPr="007311FA" w:rsidRDefault="00870BD8" w:rsidP="00870BD8">
      <w:pPr>
        <w:spacing w:line="480" w:lineRule="auto"/>
        <w:jc w:val="right"/>
        <w:rPr>
          <w:rFonts w:asciiTheme="majorBidi" w:hAnsiTheme="majorBidi" w:cstheme="majorBidi"/>
          <w:b/>
          <w:bCs/>
        </w:rPr>
      </w:pPr>
      <w:r w:rsidRPr="007311FA">
        <w:rPr>
          <w:rFonts w:asciiTheme="majorBidi" w:hAnsiTheme="majorBidi" w:cstheme="majorBidi"/>
          <w:b/>
          <w:bCs/>
        </w:rPr>
        <w:t>Ethical approval and consent to participate</w:t>
      </w:r>
    </w:p>
    <w:p w:rsidR="00870BD8" w:rsidRPr="00870BD8" w:rsidRDefault="00870BD8" w:rsidP="00870BD8">
      <w:pPr>
        <w:bidi w:val="0"/>
        <w:spacing w:line="480" w:lineRule="auto"/>
        <w:jc w:val="both"/>
        <w:rPr>
          <w:rFonts w:asciiTheme="majorBidi" w:hAnsiTheme="majorBidi" w:cstheme="majorBidi"/>
          <w:rtl/>
        </w:rPr>
      </w:pPr>
      <w:r w:rsidRPr="00870BD8">
        <w:rPr>
          <w:rFonts w:asciiTheme="majorBidi" w:hAnsiTheme="majorBidi" w:cstheme="majorBidi"/>
        </w:rPr>
        <w:t>Not applicable.</w:t>
      </w:r>
    </w:p>
    <w:p w:rsidR="00134161" w:rsidRPr="00AB6C58" w:rsidRDefault="00A51AE3" w:rsidP="00870BD8">
      <w:pPr>
        <w:bidi w:val="0"/>
        <w:spacing w:line="480" w:lineRule="auto"/>
        <w:jc w:val="both"/>
        <w:rPr>
          <w:rFonts w:asciiTheme="majorBidi" w:hAnsiTheme="majorBidi" w:cstheme="majorBidi"/>
          <w:b/>
          <w:bCs/>
        </w:rPr>
      </w:pPr>
      <w:r w:rsidRPr="00710C7F">
        <w:rPr>
          <w:rFonts w:asciiTheme="majorBidi" w:hAnsiTheme="majorBidi" w:cstheme="majorBidi"/>
          <w:b/>
          <w:bCs/>
        </w:rPr>
        <w:t>References</w:t>
      </w:r>
    </w:p>
    <w:p w:rsidR="00134161" w:rsidRDefault="00134161" w:rsidP="006F12B8">
      <w:pPr>
        <w:tabs>
          <w:tab w:val="left" w:pos="3256"/>
        </w:tabs>
        <w:bidi w:val="0"/>
        <w:rPr>
          <w:rFonts w:asciiTheme="majorBidi" w:hAnsiTheme="majorBidi" w:cstheme="majorBidi"/>
        </w:rPr>
      </w:pPr>
    </w:p>
    <w:p w:rsidR="00A9207F" w:rsidRPr="00A9207F" w:rsidRDefault="00134161" w:rsidP="003F32C1">
      <w:pPr>
        <w:bidi w:val="0"/>
        <w:spacing w:after="0" w:line="240" w:lineRule="auto"/>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A9207F" w:rsidRPr="00A9207F">
        <w:rPr>
          <w:rFonts w:ascii="Calibri" w:hAnsi="Calibri" w:cstheme="majorBidi"/>
          <w:noProof/>
        </w:rPr>
        <w:t>1.</w:t>
      </w:r>
      <w:r w:rsidR="00A9207F" w:rsidRPr="00A9207F">
        <w:rPr>
          <w:rFonts w:ascii="Calibri" w:hAnsi="Calibri" w:cstheme="majorBidi"/>
          <w:noProof/>
        </w:rPr>
        <w:tab/>
        <w:t>Blauwendraat C, Nalls MA, Singleton AB. The genetic architecture of Parkinson's disease. The Lancet Neurology. 2020;19(2):170-8.</w:t>
      </w:r>
      <w:bookmarkEnd w:id="1"/>
    </w:p>
    <w:p w:rsidR="00A9207F" w:rsidRPr="00A9207F" w:rsidRDefault="00A9207F" w:rsidP="003F32C1">
      <w:pPr>
        <w:bidi w:val="0"/>
        <w:spacing w:after="0" w:line="240" w:lineRule="auto"/>
        <w:rPr>
          <w:rFonts w:ascii="Calibri" w:hAnsi="Calibri" w:cstheme="majorBidi"/>
          <w:noProof/>
        </w:rPr>
      </w:pPr>
      <w:bookmarkStart w:id="2" w:name="_ENREF_2"/>
      <w:r w:rsidRPr="00A9207F">
        <w:rPr>
          <w:rFonts w:ascii="Calibri" w:hAnsi="Calibri" w:cstheme="majorBidi"/>
          <w:noProof/>
        </w:rPr>
        <w:t>2.</w:t>
      </w:r>
      <w:r w:rsidRPr="00A9207F">
        <w:rPr>
          <w:rFonts w:ascii="Calibri" w:hAnsi="Calibri" w:cstheme="majorBidi"/>
          <w:noProof/>
        </w:rPr>
        <w:tab/>
        <w:t>Raza C, Anjum R. Parkinson's disease: Mechanisms, translational models and management strategies. Life sciences. 2019;226:77-90.</w:t>
      </w:r>
      <w:bookmarkEnd w:id="2"/>
    </w:p>
    <w:p w:rsidR="00A9207F" w:rsidRPr="00A9207F" w:rsidRDefault="00A9207F" w:rsidP="003F32C1">
      <w:pPr>
        <w:bidi w:val="0"/>
        <w:spacing w:after="0" w:line="240" w:lineRule="auto"/>
        <w:rPr>
          <w:rFonts w:ascii="Calibri" w:hAnsi="Calibri" w:cstheme="majorBidi"/>
          <w:noProof/>
        </w:rPr>
      </w:pPr>
      <w:bookmarkStart w:id="3" w:name="_ENREF_3"/>
      <w:r w:rsidRPr="00A9207F">
        <w:rPr>
          <w:rFonts w:ascii="Calibri" w:hAnsi="Calibri" w:cstheme="majorBidi"/>
          <w:noProof/>
        </w:rPr>
        <w:t>3.</w:t>
      </w:r>
      <w:r w:rsidRPr="00A9207F">
        <w:rPr>
          <w:rFonts w:ascii="Calibri" w:hAnsi="Calibri" w:cstheme="majorBidi"/>
          <w:noProof/>
        </w:rPr>
        <w:tab/>
        <w:t>Tysnes O-B, Storstein A. Epidemiology of Parkinson’s disease. Journal of neural transmission. 2017;124(8):901-5.</w:t>
      </w:r>
      <w:bookmarkEnd w:id="3"/>
    </w:p>
    <w:p w:rsidR="00A9207F" w:rsidRPr="00A9207F" w:rsidRDefault="00A9207F" w:rsidP="003F32C1">
      <w:pPr>
        <w:bidi w:val="0"/>
        <w:spacing w:after="0" w:line="240" w:lineRule="auto"/>
        <w:rPr>
          <w:rFonts w:ascii="Calibri" w:hAnsi="Calibri" w:cstheme="majorBidi"/>
          <w:noProof/>
        </w:rPr>
      </w:pPr>
      <w:bookmarkStart w:id="4" w:name="_ENREF_4"/>
      <w:r w:rsidRPr="00A9207F">
        <w:rPr>
          <w:rFonts w:ascii="Calibri" w:hAnsi="Calibri" w:cstheme="majorBidi"/>
          <w:noProof/>
        </w:rPr>
        <w:lastRenderedPageBreak/>
        <w:t>4.</w:t>
      </w:r>
      <w:r w:rsidRPr="00A9207F">
        <w:rPr>
          <w:rFonts w:ascii="Calibri" w:hAnsi="Calibri" w:cstheme="majorBidi"/>
          <w:noProof/>
        </w:rPr>
        <w:tab/>
        <w:t>Poly TN, Islam MMR, Yang H-C, Li Y-CJ. Non-steroidal anti-inflammatory drugs and risk of Parkinson’s disease in the elderly population: a meta-analysis. European journal of clinical pharmacology. 2019;75(1):99-108.</w:t>
      </w:r>
      <w:bookmarkEnd w:id="4"/>
    </w:p>
    <w:p w:rsidR="00A9207F" w:rsidRPr="00A9207F" w:rsidRDefault="00A9207F" w:rsidP="003F32C1">
      <w:pPr>
        <w:bidi w:val="0"/>
        <w:spacing w:after="0" w:line="240" w:lineRule="auto"/>
        <w:rPr>
          <w:rFonts w:ascii="Calibri" w:hAnsi="Calibri" w:cstheme="majorBidi"/>
          <w:noProof/>
        </w:rPr>
      </w:pPr>
      <w:bookmarkStart w:id="5" w:name="_ENREF_5"/>
      <w:r w:rsidRPr="00A9207F">
        <w:rPr>
          <w:rFonts w:ascii="Calibri" w:hAnsi="Calibri" w:cstheme="majorBidi"/>
          <w:noProof/>
        </w:rPr>
        <w:t>5.</w:t>
      </w:r>
      <w:r w:rsidRPr="00A9207F">
        <w:rPr>
          <w:rFonts w:ascii="Calibri" w:hAnsi="Calibri" w:cstheme="majorBidi"/>
          <w:noProof/>
        </w:rPr>
        <w:tab/>
        <w:t>Tambasco N, Romoli M, Calabresi P. Levodopa in Parkinson's Disease: Current Status and Future Developments. Curr Neuropharmacol. 2018;16(8):1239-52. PubMed PMID: 28494719. Pubmed Central PMCID: PMC6187751. Epub 2017/05/13. eng.</w:t>
      </w:r>
      <w:bookmarkEnd w:id="5"/>
    </w:p>
    <w:p w:rsidR="00A9207F" w:rsidRPr="00A9207F" w:rsidRDefault="00A9207F" w:rsidP="003F32C1">
      <w:pPr>
        <w:bidi w:val="0"/>
        <w:spacing w:after="0" w:line="240" w:lineRule="auto"/>
        <w:rPr>
          <w:rFonts w:ascii="Calibri" w:hAnsi="Calibri" w:cstheme="majorBidi"/>
          <w:noProof/>
        </w:rPr>
      </w:pPr>
      <w:bookmarkStart w:id="6" w:name="_ENREF_6"/>
      <w:r w:rsidRPr="00A9207F">
        <w:rPr>
          <w:rFonts w:ascii="Calibri" w:hAnsi="Calibri" w:cstheme="majorBidi"/>
          <w:noProof/>
        </w:rPr>
        <w:t>6.</w:t>
      </w:r>
      <w:r w:rsidRPr="00A9207F">
        <w:rPr>
          <w:rFonts w:ascii="Calibri" w:hAnsi="Calibri" w:cstheme="majorBidi"/>
          <w:noProof/>
        </w:rPr>
        <w:tab/>
        <w:t>de Bie RM, Clarke CE, Espay AJ, Fox SH, Lang AE. Initiation of pharmacological therapy in Parkinson's disease: when, why, and how. The Lancet Neurology. 2020;19(5):452-61.</w:t>
      </w:r>
      <w:bookmarkEnd w:id="6"/>
    </w:p>
    <w:p w:rsidR="00A9207F" w:rsidRPr="00A9207F" w:rsidRDefault="00A9207F" w:rsidP="003F32C1">
      <w:pPr>
        <w:bidi w:val="0"/>
        <w:spacing w:after="0" w:line="240" w:lineRule="auto"/>
        <w:rPr>
          <w:rFonts w:ascii="Calibri" w:hAnsi="Calibri" w:cstheme="majorBidi"/>
          <w:noProof/>
        </w:rPr>
      </w:pPr>
      <w:bookmarkStart w:id="7" w:name="_ENREF_7"/>
      <w:r w:rsidRPr="00A9207F">
        <w:rPr>
          <w:rFonts w:ascii="Calibri" w:hAnsi="Calibri" w:cstheme="majorBidi"/>
          <w:noProof/>
        </w:rPr>
        <w:t>7.</w:t>
      </w:r>
      <w:r w:rsidRPr="00A9207F">
        <w:rPr>
          <w:rFonts w:ascii="Calibri" w:hAnsi="Calibri" w:cstheme="majorBidi"/>
          <w:noProof/>
        </w:rPr>
        <w:tab/>
        <w:t>Cushnie-Sparrow D, Adams S, Abeyesekera A, Pieterman M, Gilmore G, Jog M. Voice quality severity and responsiveness to levodopa in Parkinson’s disease. Journal of communication disorders. 2018;76:1-10.</w:t>
      </w:r>
      <w:bookmarkEnd w:id="7"/>
    </w:p>
    <w:p w:rsidR="00A9207F" w:rsidRPr="00A9207F" w:rsidRDefault="00A9207F" w:rsidP="003F32C1">
      <w:pPr>
        <w:bidi w:val="0"/>
        <w:spacing w:after="0" w:line="240" w:lineRule="auto"/>
        <w:rPr>
          <w:rFonts w:ascii="Calibri" w:hAnsi="Calibri" w:cstheme="majorBidi"/>
          <w:noProof/>
        </w:rPr>
      </w:pPr>
      <w:bookmarkStart w:id="8" w:name="_ENREF_8"/>
      <w:r w:rsidRPr="00A9207F">
        <w:rPr>
          <w:rFonts w:ascii="Calibri" w:hAnsi="Calibri" w:cstheme="majorBidi"/>
          <w:noProof/>
        </w:rPr>
        <w:t>8.</w:t>
      </w:r>
      <w:r w:rsidRPr="00A9207F">
        <w:rPr>
          <w:rFonts w:ascii="Calibri" w:hAnsi="Calibri" w:cstheme="majorBidi"/>
          <w:noProof/>
        </w:rPr>
        <w:tab/>
        <w:t>Chen J-F, Cunha RA. The belated US FDA approval of the adenosine A 2A receptor antagonist istradefylline for treatment of Parkinson’s disease. Purinergic signalling. 2020:1-8.</w:t>
      </w:r>
      <w:bookmarkEnd w:id="8"/>
    </w:p>
    <w:p w:rsidR="00A9207F" w:rsidRPr="00A9207F" w:rsidRDefault="00A9207F" w:rsidP="003F32C1">
      <w:pPr>
        <w:bidi w:val="0"/>
        <w:spacing w:after="0" w:line="240" w:lineRule="auto"/>
        <w:rPr>
          <w:rFonts w:ascii="Calibri" w:hAnsi="Calibri" w:cstheme="majorBidi"/>
          <w:noProof/>
        </w:rPr>
      </w:pPr>
      <w:bookmarkStart w:id="9" w:name="_ENREF_9"/>
      <w:r w:rsidRPr="00A9207F">
        <w:rPr>
          <w:rFonts w:ascii="Calibri" w:hAnsi="Calibri" w:cstheme="majorBidi"/>
          <w:noProof/>
        </w:rPr>
        <w:t>9.</w:t>
      </w:r>
      <w:r w:rsidRPr="00A9207F">
        <w:rPr>
          <w:rFonts w:ascii="Calibri" w:hAnsi="Calibri" w:cstheme="majorBidi"/>
          <w:noProof/>
        </w:rPr>
        <w:tab/>
        <w:t>Pollak P, Krack P, Fraix V, Mendes A, Moro E, Chabardes S, et al. Intraoperative micro‐and macrostimulation of the subthalamic nucleus in Parkinson's disease. Movement disorders: official journal of the Movement Disorder Society. 2002;17(S3):S155-S61.</w:t>
      </w:r>
      <w:bookmarkEnd w:id="9"/>
    </w:p>
    <w:p w:rsidR="00A9207F" w:rsidRPr="00A9207F" w:rsidRDefault="00A9207F" w:rsidP="003F32C1">
      <w:pPr>
        <w:bidi w:val="0"/>
        <w:spacing w:after="0" w:line="240" w:lineRule="auto"/>
        <w:rPr>
          <w:rFonts w:ascii="Calibri" w:hAnsi="Calibri" w:cstheme="majorBidi"/>
          <w:noProof/>
        </w:rPr>
      </w:pPr>
      <w:bookmarkStart w:id="10" w:name="_ENREF_10"/>
      <w:r w:rsidRPr="00A9207F">
        <w:rPr>
          <w:rFonts w:ascii="Calibri" w:hAnsi="Calibri" w:cstheme="majorBidi"/>
          <w:noProof/>
        </w:rPr>
        <w:t>10.</w:t>
      </w:r>
      <w:r w:rsidRPr="00A9207F">
        <w:rPr>
          <w:rFonts w:ascii="Calibri" w:hAnsi="Calibri" w:cstheme="majorBidi"/>
          <w:noProof/>
        </w:rPr>
        <w:tab/>
        <w:t>Cernera S, Eisinger RS, Wong JK, Ho KWD, Lopes JL, To K, et al. Long-term Parkinson’s disease quality of life after staged DBS: STN vs GPi and first vs second lead. NPJ Parkinson's disease. 2020;6(1):1-10.</w:t>
      </w:r>
      <w:bookmarkEnd w:id="10"/>
    </w:p>
    <w:p w:rsidR="00A9207F" w:rsidRPr="00A9207F" w:rsidRDefault="00A9207F" w:rsidP="003F32C1">
      <w:pPr>
        <w:bidi w:val="0"/>
        <w:spacing w:after="0" w:line="240" w:lineRule="auto"/>
        <w:rPr>
          <w:rFonts w:ascii="Calibri" w:hAnsi="Calibri" w:cstheme="majorBidi"/>
          <w:noProof/>
        </w:rPr>
      </w:pPr>
      <w:bookmarkStart w:id="11" w:name="_ENREF_11"/>
      <w:r w:rsidRPr="00A9207F">
        <w:rPr>
          <w:rFonts w:ascii="Calibri" w:hAnsi="Calibri" w:cstheme="majorBidi"/>
          <w:noProof/>
        </w:rPr>
        <w:t>11.</w:t>
      </w:r>
      <w:r w:rsidRPr="00A9207F">
        <w:rPr>
          <w:rFonts w:ascii="Calibri" w:hAnsi="Calibri" w:cstheme="majorBidi"/>
          <w:noProof/>
        </w:rPr>
        <w:tab/>
        <w:t>Wang J, Ponce FA, Tao J, Yu Hm, Liu Jy, Wang Yj, et al. Comparison of awake and asleep deep brain stimulation for Parkinson's disease: a detailed analysis through literature review. Neuromodulation: Technology at the Neural Interface. 2020;23(4):444-50.</w:t>
      </w:r>
      <w:bookmarkEnd w:id="11"/>
    </w:p>
    <w:p w:rsidR="00A9207F" w:rsidRPr="00A9207F" w:rsidRDefault="00A9207F" w:rsidP="003F32C1">
      <w:pPr>
        <w:bidi w:val="0"/>
        <w:spacing w:after="0" w:line="240" w:lineRule="auto"/>
        <w:rPr>
          <w:rFonts w:ascii="Calibri" w:hAnsi="Calibri" w:cstheme="majorBidi"/>
          <w:noProof/>
        </w:rPr>
      </w:pPr>
      <w:bookmarkStart w:id="12" w:name="_ENREF_12"/>
      <w:r w:rsidRPr="00A9207F">
        <w:rPr>
          <w:rFonts w:ascii="Calibri" w:hAnsi="Calibri" w:cstheme="majorBidi"/>
          <w:noProof/>
        </w:rPr>
        <w:t>12.</w:t>
      </w:r>
      <w:r w:rsidRPr="00A9207F">
        <w:rPr>
          <w:rFonts w:ascii="Calibri" w:hAnsi="Calibri" w:cstheme="majorBidi"/>
          <w:noProof/>
        </w:rPr>
        <w:tab/>
        <w:t>Pillon B, Ardouin C, Damier P, Krack P, Houeto J-L, Klinger H, et al. Neuropsychological changes between “off” and “on” STN or GPi stimulation in Parkinson’s disease. Neurology. 2000;55(3):411-8.</w:t>
      </w:r>
      <w:bookmarkEnd w:id="12"/>
    </w:p>
    <w:p w:rsidR="00A9207F" w:rsidRPr="00A9207F" w:rsidRDefault="00A9207F" w:rsidP="003F32C1">
      <w:pPr>
        <w:bidi w:val="0"/>
        <w:spacing w:after="0" w:line="240" w:lineRule="auto"/>
        <w:rPr>
          <w:rFonts w:ascii="Calibri" w:hAnsi="Calibri" w:cstheme="majorBidi"/>
          <w:noProof/>
        </w:rPr>
      </w:pPr>
      <w:bookmarkStart w:id="13" w:name="_ENREF_13"/>
      <w:r w:rsidRPr="00A9207F">
        <w:rPr>
          <w:rFonts w:ascii="Calibri" w:hAnsi="Calibri" w:cstheme="majorBidi"/>
          <w:noProof/>
        </w:rPr>
        <w:t>13.</w:t>
      </w:r>
      <w:r w:rsidRPr="00A9207F">
        <w:rPr>
          <w:rFonts w:ascii="Calibri" w:hAnsi="Calibri" w:cstheme="majorBidi"/>
          <w:noProof/>
        </w:rPr>
        <w:tab/>
        <w:t>Odekerken VJ, van Laar T, Staal MJ, Mosch A, Hoffmann CF, Nijssen PC, et al. Subthalamic nucleus versus globus pallidus bilateral deep brain stimulation for advanced Parkinson's disease (NSTAPS study): a randomised controlled trial. The Lancet Neurology. 2013;12(1):37-44.</w:t>
      </w:r>
      <w:bookmarkEnd w:id="13"/>
    </w:p>
    <w:p w:rsidR="00A9207F" w:rsidRPr="00A9207F" w:rsidRDefault="00A9207F" w:rsidP="003F32C1">
      <w:pPr>
        <w:bidi w:val="0"/>
        <w:spacing w:after="0" w:line="240" w:lineRule="auto"/>
        <w:rPr>
          <w:rFonts w:ascii="Calibri" w:hAnsi="Calibri" w:cstheme="majorBidi"/>
          <w:noProof/>
        </w:rPr>
      </w:pPr>
      <w:bookmarkStart w:id="14" w:name="_ENREF_14"/>
      <w:r w:rsidRPr="00A9207F">
        <w:rPr>
          <w:rFonts w:ascii="Calibri" w:hAnsi="Calibri" w:cstheme="majorBidi"/>
          <w:noProof/>
        </w:rPr>
        <w:t>14.</w:t>
      </w:r>
      <w:r w:rsidRPr="00A9207F">
        <w:rPr>
          <w:rFonts w:ascii="Calibri" w:hAnsi="Calibri" w:cstheme="majorBidi"/>
          <w:noProof/>
        </w:rPr>
        <w:tab/>
        <w:t>Troche MS, Brandimore AE, Foote KD, Morishita T, Chen D, Hegland KW, et al. Swallowing outcomes following unilateral STN vs. GPi surgery: a retrospective analysis. Dysphagia. 2014;29(4):425-31.</w:t>
      </w:r>
      <w:bookmarkEnd w:id="14"/>
    </w:p>
    <w:p w:rsidR="00A9207F" w:rsidRPr="00A9207F" w:rsidRDefault="00A9207F" w:rsidP="003F32C1">
      <w:pPr>
        <w:bidi w:val="0"/>
        <w:spacing w:after="0" w:line="240" w:lineRule="auto"/>
        <w:rPr>
          <w:rFonts w:ascii="Calibri" w:hAnsi="Calibri" w:cstheme="majorBidi"/>
          <w:noProof/>
        </w:rPr>
      </w:pPr>
      <w:bookmarkStart w:id="15" w:name="_ENREF_15"/>
      <w:r w:rsidRPr="00A9207F">
        <w:rPr>
          <w:rFonts w:ascii="Calibri" w:hAnsi="Calibri" w:cstheme="majorBidi"/>
          <w:noProof/>
        </w:rPr>
        <w:t>15.</w:t>
      </w:r>
      <w:r w:rsidRPr="00A9207F">
        <w:rPr>
          <w:rFonts w:ascii="Calibri" w:hAnsi="Calibri" w:cstheme="majorBidi"/>
          <w:noProof/>
        </w:rPr>
        <w:tab/>
        <w:t>Odekerken VJ, Boel JA, Schmand BA, de Haan RJ, Figee M, van den Munckhof P, et al. GPi vs STN deep brain stimulation for Parkinson disease: three-year follow-up. Neurology. 2016;86(8):755-61.</w:t>
      </w:r>
      <w:bookmarkEnd w:id="15"/>
    </w:p>
    <w:p w:rsidR="00A9207F" w:rsidRPr="00A9207F" w:rsidRDefault="00A9207F" w:rsidP="003F32C1">
      <w:pPr>
        <w:bidi w:val="0"/>
        <w:spacing w:after="0" w:line="240" w:lineRule="auto"/>
        <w:rPr>
          <w:rFonts w:ascii="Calibri" w:hAnsi="Calibri" w:cstheme="majorBidi"/>
          <w:noProof/>
        </w:rPr>
      </w:pPr>
      <w:bookmarkStart w:id="16" w:name="_ENREF_16"/>
      <w:r w:rsidRPr="00A9207F">
        <w:rPr>
          <w:rFonts w:ascii="Calibri" w:hAnsi="Calibri" w:cstheme="majorBidi"/>
          <w:noProof/>
        </w:rPr>
        <w:t>16.</w:t>
      </w:r>
      <w:r w:rsidRPr="00A9207F">
        <w:rPr>
          <w:rFonts w:ascii="Calibri" w:hAnsi="Calibri" w:cstheme="majorBidi"/>
          <w:noProof/>
        </w:rPr>
        <w:tab/>
        <w:t>Gong S, Xu M, Tao Y, Jin H, Liu Y, Sun X, et al. Comparison of Subthalamic Nucleus and Globus Pallidus Internus Deep Brain Stimulation Surgery on Parkinson Disease–Related Pain. World neurosurgery. 2020;135:e94-e9.</w:t>
      </w:r>
      <w:bookmarkEnd w:id="16"/>
    </w:p>
    <w:p w:rsidR="00A9207F" w:rsidRPr="00A9207F" w:rsidRDefault="00A9207F" w:rsidP="003F32C1">
      <w:pPr>
        <w:bidi w:val="0"/>
        <w:spacing w:after="0" w:line="240" w:lineRule="auto"/>
        <w:rPr>
          <w:rFonts w:ascii="Calibri" w:hAnsi="Calibri" w:cstheme="majorBidi"/>
          <w:noProof/>
        </w:rPr>
      </w:pPr>
      <w:bookmarkStart w:id="17" w:name="_ENREF_17"/>
      <w:r w:rsidRPr="00A9207F">
        <w:rPr>
          <w:rFonts w:ascii="Calibri" w:hAnsi="Calibri" w:cstheme="majorBidi"/>
          <w:noProof/>
        </w:rPr>
        <w:t>17.</w:t>
      </w:r>
      <w:r w:rsidRPr="00A9207F">
        <w:rPr>
          <w:rFonts w:ascii="Calibri" w:hAnsi="Calibri" w:cstheme="majorBidi"/>
          <w:noProof/>
        </w:rPr>
        <w:tab/>
        <w:t>Fan SY, Wang KL, Hu W, Eisinger RS, Han A, Han CL, et al. Pallidal versus subthalamic nucleus deep brain stimulation for levodopa‐induced dyskinesia. Annals of clinical and translational neurology. 2020;7(1):59-68.</w:t>
      </w:r>
      <w:bookmarkEnd w:id="17"/>
    </w:p>
    <w:p w:rsidR="00A9207F" w:rsidRPr="00A9207F" w:rsidRDefault="00A9207F" w:rsidP="003F32C1">
      <w:pPr>
        <w:bidi w:val="0"/>
        <w:spacing w:after="0" w:line="240" w:lineRule="auto"/>
        <w:rPr>
          <w:rFonts w:ascii="Calibri" w:hAnsi="Calibri" w:cstheme="majorBidi"/>
          <w:noProof/>
        </w:rPr>
      </w:pPr>
      <w:bookmarkStart w:id="18" w:name="_ENREF_18"/>
      <w:r w:rsidRPr="00A9207F">
        <w:rPr>
          <w:rFonts w:ascii="Calibri" w:hAnsi="Calibri" w:cstheme="majorBidi"/>
          <w:noProof/>
        </w:rPr>
        <w:t>18.</w:t>
      </w:r>
      <w:r w:rsidRPr="00A9207F">
        <w:rPr>
          <w:rFonts w:ascii="Calibri" w:hAnsi="Calibri" w:cstheme="majorBidi"/>
          <w:noProof/>
        </w:rPr>
        <w:tab/>
        <w:t>Wong JK, Viswanathan VT, Nozile-Firth KS, Eisinger RS, Leone EL, Desai AM, et al. STN Versus GPi Deep Brain Stimulation for Action and Rest Tremor in Parkinson’s Disease. Frontiers in human neuroscience. 2020;14:463.</w:t>
      </w:r>
      <w:bookmarkEnd w:id="18"/>
    </w:p>
    <w:p w:rsidR="00A9207F" w:rsidRPr="00A9207F" w:rsidRDefault="00A9207F" w:rsidP="003F32C1">
      <w:pPr>
        <w:bidi w:val="0"/>
        <w:spacing w:after="0" w:line="240" w:lineRule="auto"/>
        <w:rPr>
          <w:rFonts w:ascii="Calibri" w:hAnsi="Calibri" w:cstheme="majorBidi"/>
          <w:noProof/>
        </w:rPr>
      </w:pPr>
      <w:bookmarkStart w:id="19" w:name="_ENREF_19"/>
      <w:r w:rsidRPr="00A9207F">
        <w:rPr>
          <w:rFonts w:ascii="Calibri" w:hAnsi="Calibri" w:cstheme="majorBidi"/>
          <w:noProof/>
        </w:rPr>
        <w:t>19.</w:t>
      </w:r>
      <w:r w:rsidRPr="00A9207F">
        <w:rPr>
          <w:rFonts w:ascii="Calibri" w:hAnsi="Calibri" w:cstheme="majorBidi"/>
          <w:noProof/>
        </w:rPr>
        <w:tab/>
        <w:t>Okun MS, Wu SS, Fayad S, Ward H, Bowers D, Rosado C, et al. Acute and chronic mood and apathy outcomes from a randomized study of unilateral STN and GPi DBS. PLoS One. 2014;9(12):e114140.</w:t>
      </w:r>
      <w:bookmarkEnd w:id="19"/>
    </w:p>
    <w:p w:rsidR="00A9207F" w:rsidRPr="00A9207F" w:rsidRDefault="00A9207F" w:rsidP="003F32C1">
      <w:pPr>
        <w:bidi w:val="0"/>
        <w:spacing w:line="240" w:lineRule="auto"/>
        <w:rPr>
          <w:rFonts w:ascii="Calibri" w:hAnsi="Calibri" w:cstheme="majorBidi"/>
          <w:noProof/>
        </w:rPr>
      </w:pPr>
      <w:bookmarkStart w:id="20" w:name="_ENREF_20"/>
      <w:r w:rsidRPr="00A9207F">
        <w:rPr>
          <w:rFonts w:ascii="Calibri" w:hAnsi="Calibri" w:cstheme="majorBidi"/>
          <w:noProof/>
        </w:rPr>
        <w:t>20.</w:t>
      </w:r>
      <w:r w:rsidRPr="00A9207F">
        <w:rPr>
          <w:rFonts w:ascii="Calibri" w:hAnsi="Calibri" w:cstheme="majorBidi"/>
          <w:noProof/>
        </w:rPr>
        <w:tab/>
        <w:t>Celiker O, Demir G, Kocaoglu M, Altug F, Acar Fd. Comparison of subthalamic nucleus vs. globus pallidus interna deep brain stimulation in terms of gait and balance; A two year follow-up study. Turk Neurosurg. 2019;29(3):355-61.</w:t>
      </w:r>
      <w:bookmarkEnd w:id="20"/>
    </w:p>
    <w:p w:rsidR="00A9207F" w:rsidRDefault="00A9207F" w:rsidP="003F32C1">
      <w:pPr>
        <w:bidi w:val="0"/>
        <w:spacing w:line="240" w:lineRule="auto"/>
        <w:rPr>
          <w:rFonts w:ascii="Calibri" w:hAnsi="Calibri" w:cstheme="majorBidi"/>
          <w:noProof/>
        </w:rPr>
      </w:pPr>
    </w:p>
    <w:p w:rsidR="006F12B8" w:rsidRPr="006F12B8" w:rsidRDefault="00134161" w:rsidP="003F32C1">
      <w:pPr>
        <w:tabs>
          <w:tab w:val="left" w:pos="3256"/>
        </w:tabs>
        <w:bidi w:val="0"/>
        <w:rPr>
          <w:rFonts w:asciiTheme="majorBidi" w:hAnsiTheme="majorBidi" w:cstheme="majorBidi"/>
        </w:rPr>
      </w:pPr>
      <w:r>
        <w:rPr>
          <w:rFonts w:asciiTheme="majorBidi" w:hAnsiTheme="majorBidi" w:cstheme="majorBidi"/>
        </w:rPr>
        <w:lastRenderedPageBreak/>
        <w:fldChar w:fldCharType="end"/>
      </w:r>
    </w:p>
    <w:sectPr w:rsidR="006F12B8" w:rsidRPr="006F12B8" w:rsidSect="00175691">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18" w:rsidRDefault="003A5018" w:rsidP="00B3797A">
      <w:pPr>
        <w:spacing w:after="0" w:line="240" w:lineRule="auto"/>
      </w:pPr>
      <w:r>
        <w:separator/>
      </w:r>
    </w:p>
  </w:endnote>
  <w:endnote w:type="continuationSeparator" w:id="0">
    <w:p w:rsidR="003A5018" w:rsidRDefault="003A5018" w:rsidP="00B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51942"/>
      <w:docPartObj>
        <w:docPartGallery w:val="Page Numbers (Bottom of Page)"/>
        <w:docPartUnique/>
      </w:docPartObj>
    </w:sdtPr>
    <w:sdtEndPr>
      <w:rPr>
        <w:noProof/>
      </w:rPr>
    </w:sdtEndPr>
    <w:sdtContent>
      <w:p w:rsidR="004E2F64" w:rsidRDefault="004E2F64">
        <w:pPr>
          <w:pStyle w:val="Footer"/>
          <w:jc w:val="center"/>
        </w:pPr>
        <w:r>
          <w:fldChar w:fldCharType="begin"/>
        </w:r>
        <w:r>
          <w:instrText xml:space="preserve"> PAGE   \* MERGEFORMAT </w:instrText>
        </w:r>
        <w:r>
          <w:fldChar w:fldCharType="separate"/>
        </w:r>
        <w:r w:rsidR="00BC5090">
          <w:rPr>
            <w:noProof/>
            <w:rtl/>
          </w:rPr>
          <w:t>1</w:t>
        </w:r>
        <w:r>
          <w:rPr>
            <w:noProof/>
          </w:rPr>
          <w:fldChar w:fldCharType="end"/>
        </w:r>
      </w:p>
    </w:sdtContent>
  </w:sdt>
  <w:p w:rsidR="004E2F64" w:rsidRDefault="004E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18" w:rsidRDefault="003A5018" w:rsidP="00B3797A">
      <w:pPr>
        <w:spacing w:after="0" w:line="240" w:lineRule="auto"/>
      </w:pPr>
      <w:r>
        <w:separator/>
      </w:r>
    </w:p>
  </w:footnote>
  <w:footnote w:type="continuationSeparator" w:id="0">
    <w:p w:rsidR="003A5018" w:rsidRDefault="003A5018" w:rsidP="00B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29ED"/>
    <w:multiLevelType w:val="hybridMultilevel"/>
    <w:tmpl w:val="EB8E274A"/>
    <w:lvl w:ilvl="0" w:tplc="9E6AE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wNDUxNzYzNzQzMzNX0lEKTi0uzszPAykwrQUAt95J2ywAAAA="/>
    <w:docVar w:name="EN.InstantFormat" w:val="&lt;ENInstantFormat&gt;&lt;Enabled&gt;1&lt;/Enabled&gt;&lt;ScanUnformatted&gt;1&lt;/ScanUnformatted&gt;&lt;ScanChanges&gt;1&lt;/ScanChanges&gt;&lt;Suspended&gt;1&lt;/Suspended&gt;&lt;/ENInstantFormat&gt;"/>
    <w:docVar w:name="EN.Layout" w:val="&lt;ENLayout&gt;&lt;Style&gt;Vancouver Copy brackettt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wfwt2w8r5sdvev9v0xsda92ff2twsr5ees&quot;&gt;My EndNote Library&lt;record-ids&gt;&lt;item&gt;314&lt;/item&gt;&lt;item&gt;315&lt;/item&gt;&lt;item&gt;317&lt;/item&gt;&lt;item&gt;318&lt;/item&gt;&lt;item&gt;320&lt;/item&gt;&lt;item&gt;322&lt;/item&gt;&lt;item&gt;323&lt;/item&gt;&lt;item&gt;324&lt;/item&gt;&lt;item&gt;624&lt;/item&gt;&lt;item&gt;625&lt;/item&gt;&lt;item&gt;626&lt;/item&gt;&lt;item&gt;627&lt;/item&gt;&lt;item&gt;634&lt;/item&gt;&lt;item&gt;635&lt;/item&gt;&lt;item&gt;636&lt;/item&gt;&lt;item&gt;637&lt;/item&gt;&lt;item&gt;638&lt;/item&gt;&lt;item&gt;639&lt;/item&gt;&lt;item&gt;640&lt;/item&gt;&lt;item&gt;641&lt;/item&gt;&lt;item&gt;649&lt;/item&gt;&lt;item&gt;650&lt;/item&gt;&lt;item&gt;651&lt;/item&gt;&lt;item&gt;652&lt;/item&gt;&lt;item&gt;653&lt;/item&gt;&lt;item&gt;654&lt;/item&gt;&lt;item&gt;656&lt;/item&gt;&lt;/record-ids&gt;&lt;/item&gt;&lt;/Libraries&gt;"/>
  </w:docVars>
  <w:rsids>
    <w:rsidRoot w:val="00EA28E8"/>
    <w:rsid w:val="00003448"/>
    <w:rsid w:val="000061F1"/>
    <w:rsid w:val="000133CF"/>
    <w:rsid w:val="00015F94"/>
    <w:rsid w:val="00016A3A"/>
    <w:rsid w:val="000352D2"/>
    <w:rsid w:val="0003601D"/>
    <w:rsid w:val="00036DFC"/>
    <w:rsid w:val="000536E6"/>
    <w:rsid w:val="00056ECB"/>
    <w:rsid w:val="000736C2"/>
    <w:rsid w:val="000737ED"/>
    <w:rsid w:val="00083028"/>
    <w:rsid w:val="0008419E"/>
    <w:rsid w:val="0008795B"/>
    <w:rsid w:val="000931A8"/>
    <w:rsid w:val="00096532"/>
    <w:rsid w:val="000B041B"/>
    <w:rsid w:val="000B4661"/>
    <w:rsid w:val="000D00FA"/>
    <w:rsid w:val="000D0648"/>
    <w:rsid w:val="000D3EA8"/>
    <w:rsid w:val="000D5F1B"/>
    <w:rsid w:val="000F3CB8"/>
    <w:rsid w:val="000F5B51"/>
    <w:rsid w:val="0011003C"/>
    <w:rsid w:val="00111BF1"/>
    <w:rsid w:val="00116842"/>
    <w:rsid w:val="00117A71"/>
    <w:rsid w:val="0013078F"/>
    <w:rsid w:val="00132ECA"/>
    <w:rsid w:val="00134161"/>
    <w:rsid w:val="00136868"/>
    <w:rsid w:val="0013739D"/>
    <w:rsid w:val="00143176"/>
    <w:rsid w:val="00146069"/>
    <w:rsid w:val="00146EAE"/>
    <w:rsid w:val="00152C52"/>
    <w:rsid w:val="00155882"/>
    <w:rsid w:val="0016323E"/>
    <w:rsid w:val="00164268"/>
    <w:rsid w:val="0017246B"/>
    <w:rsid w:val="00175691"/>
    <w:rsid w:val="00192059"/>
    <w:rsid w:val="001A48C4"/>
    <w:rsid w:val="001B0F8F"/>
    <w:rsid w:val="001B119B"/>
    <w:rsid w:val="001B4294"/>
    <w:rsid w:val="001C1558"/>
    <w:rsid w:val="001D025E"/>
    <w:rsid w:val="001D6614"/>
    <w:rsid w:val="001D6DA2"/>
    <w:rsid w:val="001E17AC"/>
    <w:rsid w:val="001E62A2"/>
    <w:rsid w:val="001F256D"/>
    <w:rsid w:val="00202179"/>
    <w:rsid w:val="00204655"/>
    <w:rsid w:val="0020694E"/>
    <w:rsid w:val="002114A0"/>
    <w:rsid w:val="00216472"/>
    <w:rsid w:val="00216803"/>
    <w:rsid w:val="0021728A"/>
    <w:rsid w:val="002275BC"/>
    <w:rsid w:val="002315B5"/>
    <w:rsid w:val="00234687"/>
    <w:rsid w:val="00257F58"/>
    <w:rsid w:val="00270E44"/>
    <w:rsid w:val="0027316C"/>
    <w:rsid w:val="00273CEE"/>
    <w:rsid w:val="002752DC"/>
    <w:rsid w:val="00282744"/>
    <w:rsid w:val="002853EF"/>
    <w:rsid w:val="002864D4"/>
    <w:rsid w:val="00287F46"/>
    <w:rsid w:val="002A0AA0"/>
    <w:rsid w:val="002A1F65"/>
    <w:rsid w:val="002A4A44"/>
    <w:rsid w:val="002C28D3"/>
    <w:rsid w:val="002C3984"/>
    <w:rsid w:val="002C79F0"/>
    <w:rsid w:val="002D18B3"/>
    <w:rsid w:val="002D1E8A"/>
    <w:rsid w:val="002D5533"/>
    <w:rsid w:val="002E2114"/>
    <w:rsid w:val="002F0F0A"/>
    <w:rsid w:val="003019D9"/>
    <w:rsid w:val="0030499C"/>
    <w:rsid w:val="003130D9"/>
    <w:rsid w:val="0031383E"/>
    <w:rsid w:val="003156C0"/>
    <w:rsid w:val="00317972"/>
    <w:rsid w:val="003223A1"/>
    <w:rsid w:val="003300DF"/>
    <w:rsid w:val="0033017F"/>
    <w:rsid w:val="00336BC0"/>
    <w:rsid w:val="0033785F"/>
    <w:rsid w:val="00347877"/>
    <w:rsid w:val="00347949"/>
    <w:rsid w:val="003514DD"/>
    <w:rsid w:val="00366D00"/>
    <w:rsid w:val="003846AE"/>
    <w:rsid w:val="003871AB"/>
    <w:rsid w:val="00387443"/>
    <w:rsid w:val="0039186D"/>
    <w:rsid w:val="00393BD2"/>
    <w:rsid w:val="00397279"/>
    <w:rsid w:val="003A5018"/>
    <w:rsid w:val="003B4BA3"/>
    <w:rsid w:val="003B5838"/>
    <w:rsid w:val="003C261C"/>
    <w:rsid w:val="003C66D6"/>
    <w:rsid w:val="003D0400"/>
    <w:rsid w:val="003D2DAC"/>
    <w:rsid w:val="003E70D4"/>
    <w:rsid w:val="003F32C1"/>
    <w:rsid w:val="003F4EDB"/>
    <w:rsid w:val="0040005A"/>
    <w:rsid w:val="004055FE"/>
    <w:rsid w:val="00405879"/>
    <w:rsid w:val="0040649D"/>
    <w:rsid w:val="004156D0"/>
    <w:rsid w:val="00415C12"/>
    <w:rsid w:val="00417F6D"/>
    <w:rsid w:val="004227AE"/>
    <w:rsid w:val="004231AA"/>
    <w:rsid w:val="00425305"/>
    <w:rsid w:val="004270BD"/>
    <w:rsid w:val="004279E0"/>
    <w:rsid w:val="00434918"/>
    <w:rsid w:val="00442841"/>
    <w:rsid w:val="00447D3E"/>
    <w:rsid w:val="00450124"/>
    <w:rsid w:val="004530CE"/>
    <w:rsid w:val="004550BB"/>
    <w:rsid w:val="00455BBE"/>
    <w:rsid w:val="00461AFA"/>
    <w:rsid w:val="0046221A"/>
    <w:rsid w:val="00462A73"/>
    <w:rsid w:val="004651BD"/>
    <w:rsid w:val="0047102E"/>
    <w:rsid w:val="00474DF5"/>
    <w:rsid w:val="00476EF1"/>
    <w:rsid w:val="00482F80"/>
    <w:rsid w:val="004853CE"/>
    <w:rsid w:val="004928DB"/>
    <w:rsid w:val="004A2E96"/>
    <w:rsid w:val="004C1C81"/>
    <w:rsid w:val="004C20D0"/>
    <w:rsid w:val="004C4BC2"/>
    <w:rsid w:val="004D48AC"/>
    <w:rsid w:val="004D4A5E"/>
    <w:rsid w:val="004D5C36"/>
    <w:rsid w:val="004E2A45"/>
    <w:rsid w:val="004E2F64"/>
    <w:rsid w:val="004F1EA1"/>
    <w:rsid w:val="00501955"/>
    <w:rsid w:val="005040D5"/>
    <w:rsid w:val="005063E0"/>
    <w:rsid w:val="00510EA0"/>
    <w:rsid w:val="00511C27"/>
    <w:rsid w:val="005128ED"/>
    <w:rsid w:val="00513D66"/>
    <w:rsid w:val="00514B07"/>
    <w:rsid w:val="00523D30"/>
    <w:rsid w:val="00532552"/>
    <w:rsid w:val="005440B9"/>
    <w:rsid w:val="0054707C"/>
    <w:rsid w:val="005542F3"/>
    <w:rsid w:val="00556030"/>
    <w:rsid w:val="005621D1"/>
    <w:rsid w:val="0056558D"/>
    <w:rsid w:val="00567229"/>
    <w:rsid w:val="005729E6"/>
    <w:rsid w:val="00573AD1"/>
    <w:rsid w:val="005745AA"/>
    <w:rsid w:val="005755C0"/>
    <w:rsid w:val="00595E0C"/>
    <w:rsid w:val="0059629A"/>
    <w:rsid w:val="0059747E"/>
    <w:rsid w:val="005A61E8"/>
    <w:rsid w:val="005B15B8"/>
    <w:rsid w:val="005B51F8"/>
    <w:rsid w:val="005B7CDA"/>
    <w:rsid w:val="005E04FA"/>
    <w:rsid w:val="005E3ECA"/>
    <w:rsid w:val="005E7D38"/>
    <w:rsid w:val="005F1A62"/>
    <w:rsid w:val="005F3A98"/>
    <w:rsid w:val="005F6A2E"/>
    <w:rsid w:val="00605948"/>
    <w:rsid w:val="006123FD"/>
    <w:rsid w:val="006154BE"/>
    <w:rsid w:val="006161FA"/>
    <w:rsid w:val="006429F9"/>
    <w:rsid w:val="0064585F"/>
    <w:rsid w:val="006537CC"/>
    <w:rsid w:val="00663215"/>
    <w:rsid w:val="006702A6"/>
    <w:rsid w:val="006748B9"/>
    <w:rsid w:val="00676B3C"/>
    <w:rsid w:val="00684F0A"/>
    <w:rsid w:val="00693B98"/>
    <w:rsid w:val="006940EA"/>
    <w:rsid w:val="006B2032"/>
    <w:rsid w:val="006B5CFA"/>
    <w:rsid w:val="006C1B18"/>
    <w:rsid w:val="006C227A"/>
    <w:rsid w:val="006C5AC5"/>
    <w:rsid w:val="006D115E"/>
    <w:rsid w:val="006D5C6A"/>
    <w:rsid w:val="006D76FA"/>
    <w:rsid w:val="006E6886"/>
    <w:rsid w:val="006F1215"/>
    <w:rsid w:val="006F12B8"/>
    <w:rsid w:val="0070698C"/>
    <w:rsid w:val="00710C7F"/>
    <w:rsid w:val="007157B2"/>
    <w:rsid w:val="007168E3"/>
    <w:rsid w:val="00717597"/>
    <w:rsid w:val="00722E48"/>
    <w:rsid w:val="007275C4"/>
    <w:rsid w:val="007311FA"/>
    <w:rsid w:val="00745C04"/>
    <w:rsid w:val="00751CB8"/>
    <w:rsid w:val="00752CAF"/>
    <w:rsid w:val="00753581"/>
    <w:rsid w:val="0075553D"/>
    <w:rsid w:val="00757817"/>
    <w:rsid w:val="00757A88"/>
    <w:rsid w:val="007629E9"/>
    <w:rsid w:val="00762EE7"/>
    <w:rsid w:val="007748F0"/>
    <w:rsid w:val="00775608"/>
    <w:rsid w:val="0078178C"/>
    <w:rsid w:val="00784CB6"/>
    <w:rsid w:val="007A10C7"/>
    <w:rsid w:val="007B0537"/>
    <w:rsid w:val="007B45F2"/>
    <w:rsid w:val="007C283E"/>
    <w:rsid w:val="007C6232"/>
    <w:rsid w:val="007E03B5"/>
    <w:rsid w:val="007E350E"/>
    <w:rsid w:val="007E61EA"/>
    <w:rsid w:val="007F3CF0"/>
    <w:rsid w:val="007F5D7F"/>
    <w:rsid w:val="00800624"/>
    <w:rsid w:val="00807802"/>
    <w:rsid w:val="00817F30"/>
    <w:rsid w:val="00820EA0"/>
    <w:rsid w:val="00827F20"/>
    <w:rsid w:val="0083252A"/>
    <w:rsid w:val="0083318C"/>
    <w:rsid w:val="008355EB"/>
    <w:rsid w:val="008438AD"/>
    <w:rsid w:val="00846C66"/>
    <w:rsid w:val="00851294"/>
    <w:rsid w:val="00852419"/>
    <w:rsid w:val="0087040A"/>
    <w:rsid w:val="00870BD8"/>
    <w:rsid w:val="00883F38"/>
    <w:rsid w:val="00892C7E"/>
    <w:rsid w:val="008969CD"/>
    <w:rsid w:val="008A1267"/>
    <w:rsid w:val="008A17A2"/>
    <w:rsid w:val="008A3218"/>
    <w:rsid w:val="008A67A7"/>
    <w:rsid w:val="008B4595"/>
    <w:rsid w:val="008B595A"/>
    <w:rsid w:val="008B7385"/>
    <w:rsid w:val="008C4A31"/>
    <w:rsid w:val="008E47C9"/>
    <w:rsid w:val="008E597F"/>
    <w:rsid w:val="008E6C75"/>
    <w:rsid w:val="008F0F03"/>
    <w:rsid w:val="008F26DB"/>
    <w:rsid w:val="008F60CC"/>
    <w:rsid w:val="009024A4"/>
    <w:rsid w:val="00903B0C"/>
    <w:rsid w:val="00903F90"/>
    <w:rsid w:val="00905AB6"/>
    <w:rsid w:val="00921485"/>
    <w:rsid w:val="009247DE"/>
    <w:rsid w:val="00927C35"/>
    <w:rsid w:val="009348CA"/>
    <w:rsid w:val="009404C7"/>
    <w:rsid w:val="009432B7"/>
    <w:rsid w:val="009477CE"/>
    <w:rsid w:val="00952938"/>
    <w:rsid w:val="00957842"/>
    <w:rsid w:val="00962DF1"/>
    <w:rsid w:val="009656D4"/>
    <w:rsid w:val="009666B6"/>
    <w:rsid w:val="00971F9C"/>
    <w:rsid w:val="00972CD3"/>
    <w:rsid w:val="009749CA"/>
    <w:rsid w:val="009840D3"/>
    <w:rsid w:val="009846E9"/>
    <w:rsid w:val="0098563E"/>
    <w:rsid w:val="00987E87"/>
    <w:rsid w:val="009A04A2"/>
    <w:rsid w:val="009A0783"/>
    <w:rsid w:val="009A0E74"/>
    <w:rsid w:val="009A5596"/>
    <w:rsid w:val="009A750D"/>
    <w:rsid w:val="009A7AC5"/>
    <w:rsid w:val="009B21F7"/>
    <w:rsid w:val="009B4DA1"/>
    <w:rsid w:val="009C55C1"/>
    <w:rsid w:val="009D38F7"/>
    <w:rsid w:val="009E2B46"/>
    <w:rsid w:val="009F1645"/>
    <w:rsid w:val="009F3936"/>
    <w:rsid w:val="009F6A5A"/>
    <w:rsid w:val="00A01821"/>
    <w:rsid w:val="00A11156"/>
    <w:rsid w:val="00A13E20"/>
    <w:rsid w:val="00A1457A"/>
    <w:rsid w:val="00A15179"/>
    <w:rsid w:val="00A169F8"/>
    <w:rsid w:val="00A2000D"/>
    <w:rsid w:val="00A22AE7"/>
    <w:rsid w:val="00A254F3"/>
    <w:rsid w:val="00A314D8"/>
    <w:rsid w:val="00A323A8"/>
    <w:rsid w:val="00A42FFC"/>
    <w:rsid w:val="00A47487"/>
    <w:rsid w:val="00A4762C"/>
    <w:rsid w:val="00A506A9"/>
    <w:rsid w:val="00A51AE3"/>
    <w:rsid w:val="00A51E82"/>
    <w:rsid w:val="00A542C2"/>
    <w:rsid w:val="00A64F05"/>
    <w:rsid w:val="00A672FA"/>
    <w:rsid w:val="00A7438E"/>
    <w:rsid w:val="00A81099"/>
    <w:rsid w:val="00A821DE"/>
    <w:rsid w:val="00A86631"/>
    <w:rsid w:val="00A90934"/>
    <w:rsid w:val="00A9207F"/>
    <w:rsid w:val="00A92165"/>
    <w:rsid w:val="00AA18C0"/>
    <w:rsid w:val="00AA3008"/>
    <w:rsid w:val="00AA6266"/>
    <w:rsid w:val="00AB5935"/>
    <w:rsid w:val="00AB6C58"/>
    <w:rsid w:val="00AC2D4D"/>
    <w:rsid w:val="00AC72C2"/>
    <w:rsid w:val="00AD3DC5"/>
    <w:rsid w:val="00AD4E68"/>
    <w:rsid w:val="00AE53A8"/>
    <w:rsid w:val="00AF0D47"/>
    <w:rsid w:val="00AF22F6"/>
    <w:rsid w:val="00AF32F8"/>
    <w:rsid w:val="00AF441A"/>
    <w:rsid w:val="00B04714"/>
    <w:rsid w:val="00B06DC9"/>
    <w:rsid w:val="00B16F80"/>
    <w:rsid w:val="00B2448C"/>
    <w:rsid w:val="00B366A5"/>
    <w:rsid w:val="00B36A77"/>
    <w:rsid w:val="00B3797A"/>
    <w:rsid w:val="00B423E3"/>
    <w:rsid w:val="00B45853"/>
    <w:rsid w:val="00B45CC7"/>
    <w:rsid w:val="00B60815"/>
    <w:rsid w:val="00B620BC"/>
    <w:rsid w:val="00B62253"/>
    <w:rsid w:val="00B63C2B"/>
    <w:rsid w:val="00B66370"/>
    <w:rsid w:val="00B71C4C"/>
    <w:rsid w:val="00B80B01"/>
    <w:rsid w:val="00B80B4E"/>
    <w:rsid w:val="00B82B18"/>
    <w:rsid w:val="00B9291A"/>
    <w:rsid w:val="00B9357F"/>
    <w:rsid w:val="00BC18E6"/>
    <w:rsid w:val="00BC352D"/>
    <w:rsid w:val="00BC5090"/>
    <w:rsid w:val="00BD2FDA"/>
    <w:rsid w:val="00BD6E29"/>
    <w:rsid w:val="00BE5F25"/>
    <w:rsid w:val="00BE6E0C"/>
    <w:rsid w:val="00BE7A95"/>
    <w:rsid w:val="00BF19A6"/>
    <w:rsid w:val="00BF1E03"/>
    <w:rsid w:val="00C03701"/>
    <w:rsid w:val="00C04069"/>
    <w:rsid w:val="00C16EB4"/>
    <w:rsid w:val="00C258A6"/>
    <w:rsid w:val="00C25CCF"/>
    <w:rsid w:val="00C3082A"/>
    <w:rsid w:val="00C32067"/>
    <w:rsid w:val="00C33EB8"/>
    <w:rsid w:val="00C358FE"/>
    <w:rsid w:val="00C4145E"/>
    <w:rsid w:val="00C519B3"/>
    <w:rsid w:val="00C5694F"/>
    <w:rsid w:val="00C56DDD"/>
    <w:rsid w:val="00C61A11"/>
    <w:rsid w:val="00C67D77"/>
    <w:rsid w:val="00C8657E"/>
    <w:rsid w:val="00C86C11"/>
    <w:rsid w:val="00C91117"/>
    <w:rsid w:val="00C91353"/>
    <w:rsid w:val="00C913FA"/>
    <w:rsid w:val="00C91556"/>
    <w:rsid w:val="00C978A7"/>
    <w:rsid w:val="00CA7974"/>
    <w:rsid w:val="00CB015C"/>
    <w:rsid w:val="00CB4E10"/>
    <w:rsid w:val="00CB559F"/>
    <w:rsid w:val="00CC1320"/>
    <w:rsid w:val="00CC2B6E"/>
    <w:rsid w:val="00CD1193"/>
    <w:rsid w:val="00CD66A8"/>
    <w:rsid w:val="00CE0E4D"/>
    <w:rsid w:val="00CE1098"/>
    <w:rsid w:val="00D04861"/>
    <w:rsid w:val="00D211BC"/>
    <w:rsid w:val="00D21740"/>
    <w:rsid w:val="00D23DCF"/>
    <w:rsid w:val="00D24832"/>
    <w:rsid w:val="00D24D1E"/>
    <w:rsid w:val="00D26B52"/>
    <w:rsid w:val="00D443A2"/>
    <w:rsid w:val="00D57804"/>
    <w:rsid w:val="00D6598E"/>
    <w:rsid w:val="00D72C82"/>
    <w:rsid w:val="00D83719"/>
    <w:rsid w:val="00D846F3"/>
    <w:rsid w:val="00DA4682"/>
    <w:rsid w:val="00DB0A7E"/>
    <w:rsid w:val="00DC091A"/>
    <w:rsid w:val="00DC44D9"/>
    <w:rsid w:val="00DC6A7D"/>
    <w:rsid w:val="00DD42D1"/>
    <w:rsid w:val="00DD646B"/>
    <w:rsid w:val="00DE0176"/>
    <w:rsid w:val="00DE11E1"/>
    <w:rsid w:val="00DE2AB5"/>
    <w:rsid w:val="00DF15F0"/>
    <w:rsid w:val="00DF5128"/>
    <w:rsid w:val="00DF77D8"/>
    <w:rsid w:val="00E003B7"/>
    <w:rsid w:val="00E02279"/>
    <w:rsid w:val="00E02F4F"/>
    <w:rsid w:val="00E056A6"/>
    <w:rsid w:val="00E07E30"/>
    <w:rsid w:val="00E2211F"/>
    <w:rsid w:val="00E22643"/>
    <w:rsid w:val="00E26A28"/>
    <w:rsid w:val="00E27D23"/>
    <w:rsid w:val="00E34988"/>
    <w:rsid w:val="00E35C31"/>
    <w:rsid w:val="00E41EA4"/>
    <w:rsid w:val="00E4287F"/>
    <w:rsid w:val="00E45D61"/>
    <w:rsid w:val="00E46D28"/>
    <w:rsid w:val="00E47C13"/>
    <w:rsid w:val="00E50BEB"/>
    <w:rsid w:val="00E51E35"/>
    <w:rsid w:val="00E601C8"/>
    <w:rsid w:val="00E70059"/>
    <w:rsid w:val="00E71598"/>
    <w:rsid w:val="00E71D42"/>
    <w:rsid w:val="00E7751C"/>
    <w:rsid w:val="00E83948"/>
    <w:rsid w:val="00E9208E"/>
    <w:rsid w:val="00E94492"/>
    <w:rsid w:val="00E96811"/>
    <w:rsid w:val="00E96DAC"/>
    <w:rsid w:val="00E97216"/>
    <w:rsid w:val="00EA28E8"/>
    <w:rsid w:val="00EA589A"/>
    <w:rsid w:val="00EC21BE"/>
    <w:rsid w:val="00ED3DE6"/>
    <w:rsid w:val="00EE0194"/>
    <w:rsid w:val="00EE2748"/>
    <w:rsid w:val="00EE37C5"/>
    <w:rsid w:val="00EF0054"/>
    <w:rsid w:val="00EF0304"/>
    <w:rsid w:val="00EF2514"/>
    <w:rsid w:val="00EF5714"/>
    <w:rsid w:val="00EF70BD"/>
    <w:rsid w:val="00F0042C"/>
    <w:rsid w:val="00F0082B"/>
    <w:rsid w:val="00F036DA"/>
    <w:rsid w:val="00F07FB5"/>
    <w:rsid w:val="00F1535F"/>
    <w:rsid w:val="00F17F2B"/>
    <w:rsid w:val="00F21496"/>
    <w:rsid w:val="00F226A5"/>
    <w:rsid w:val="00F263B0"/>
    <w:rsid w:val="00F27F5E"/>
    <w:rsid w:val="00F34A22"/>
    <w:rsid w:val="00F34B53"/>
    <w:rsid w:val="00F41EE0"/>
    <w:rsid w:val="00F42A62"/>
    <w:rsid w:val="00F44CD7"/>
    <w:rsid w:val="00F51C56"/>
    <w:rsid w:val="00F52F60"/>
    <w:rsid w:val="00F533B9"/>
    <w:rsid w:val="00F55676"/>
    <w:rsid w:val="00F564E3"/>
    <w:rsid w:val="00F64418"/>
    <w:rsid w:val="00F813D2"/>
    <w:rsid w:val="00F82939"/>
    <w:rsid w:val="00F86885"/>
    <w:rsid w:val="00FA25CA"/>
    <w:rsid w:val="00FA7741"/>
    <w:rsid w:val="00FB05A4"/>
    <w:rsid w:val="00FB14F2"/>
    <w:rsid w:val="00FB3AAB"/>
    <w:rsid w:val="00FB4AD5"/>
    <w:rsid w:val="00FD2C9F"/>
    <w:rsid w:val="00FD56DA"/>
    <w:rsid w:val="00FD7D25"/>
    <w:rsid w:val="00FE120B"/>
    <w:rsid w:val="00FE3D08"/>
    <w:rsid w:val="00FF06F0"/>
    <w:rsid w:val="00FF1FE5"/>
    <w:rsid w:val="00FF4F95"/>
    <w:rsid w:val="00FF5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BB"/>
    <w:rPr>
      <w:color w:val="0000FF" w:themeColor="hyperlink"/>
      <w:u w:val="single"/>
    </w:rPr>
  </w:style>
  <w:style w:type="paragraph" w:styleId="ListParagraph">
    <w:name w:val="List Paragraph"/>
    <w:basedOn w:val="Normal"/>
    <w:uiPriority w:val="34"/>
    <w:qFormat/>
    <w:rsid w:val="00E45D61"/>
    <w:pPr>
      <w:bidi w:val="0"/>
      <w:ind w:left="720"/>
      <w:contextualSpacing/>
    </w:pPr>
    <w:rPr>
      <w:lang w:bidi="ar-SA"/>
    </w:rPr>
  </w:style>
  <w:style w:type="paragraph" w:styleId="Caption">
    <w:name w:val="caption"/>
    <w:basedOn w:val="Normal"/>
    <w:next w:val="Normal"/>
    <w:uiPriority w:val="35"/>
    <w:unhideWhenUsed/>
    <w:qFormat/>
    <w:rsid w:val="00E45D61"/>
    <w:pPr>
      <w:spacing w:line="240" w:lineRule="auto"/>
    </w:pPr>
    <w:rPr>
      <w:b/>
      <w:bCs/>
      <w:color w:val="4F81BD" w:themeColor="accent1"/>
      <w:sz w:val="18"/>
      <w:szCs w:val="18"/>
    </w:rPr>
  </w:style>
  <w:style w:type="table" w:styleId="TableGrid">
    <w:name w:val="Table Grid"/>
    <w:basedOn w:val="TableNormal"/>
    <w:uiPriority w:val="59"/>
    <w:rsid w:val="00B3797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7A"/>
  </w:style>
  <w:style w:type="paragraph" w:styleId="Footer">
    <w:name w:val="footer"/>
    <w:basedOn w:val="Normal"/>
    <w:link w:val="FooterChar"/>
    <w:uiPriority w:val="99"/>
    <w:unhideWhenUsed/>
    <w:rsid w:val="00B3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7A"/>
  </w:style>
  <w:style w:type="table" w:styleId="LightShading">
    <w:name w:val="Light Shading"/>
    <w:basedOn w:val="TableNormal"/>
    <w:uiPriority w:val="60"/>
    <w:rsid w:val="00D443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443A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5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E3"/>
    <w:rPr>
      <w:rFonts w:ascii="Tahoma" w:hAnsi="Tahoma" w:cs="Tahoma"/>
      <w:sz w:val="16"/>
      <w:szCs w:val="16"/>
    </w:rPr>
  </w:style>
  <w:style w:type="paragraph" w:customStyle="1" w:styleId="mb15">
    <w:name w:val="mb15"/>
    <w:basedOn w:val="Normal"/>
    <w:rsid w:val="00AA18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5j03av">
    <w:name w:val="css-5j03av"/>
    <w:basedOn w:val="DefaultParagraphFont"/>
    <w:rsid w:val="00096532"/>
  </w:style>
  <w:style w:type="character" w:customStyle="1" w:styleId="css-1vwsgcv">
    <w:name w:val="css-1vwsgcv"/>
    <w:basedOn w:val="DefaultParagraphFont"/>
    <w:rsid w:val="00096532"/>
  </w:style>
  <w:style w:type="character" w:customStyle="1" w:styleId="css-1rwqwr9">
    <w:name w:val="css-1rwqwr9"/>
    <w:basedOn w:val="DefaultParagraphFont"/>
    <w:rsid w:val="00096532"/>
  </w:style>
  <w:style w:type="table" w:customStyle="1" w:styleId="TableGrid1">
    <w:name w:val="Table Grid1"/>
    <w:basedOn w:val="TableNormal"/>
    <w:next w:val="TableGrid"/>
    <w:uiPriority w:val="59"/>
    <w:rsid w:val="006F12B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06">
      <w:bodyDiv w:val="1"/>
      <w:marLeft w:val="0"/>
      <w:marRight w:val="0"/>
      <w:marTop w:val="0"/>
      <w:marBottom w:val="0"/>
      <w:divBdr>
        <w:top w:val="none" w:sz="0" w:space="0" w:color="auto"/>
        <w:left w:val="none" w:sz="0" w:space="0" w:color="auto"/>
        <w:bottom w:val="none" w:sz="0" w:space="0" w:color="auto"/>
        <w:right w:val="none" w:sz="0" w:space="0" w:color="auto"/>
      </w:divBdr>
    </w:div>
    <w:div w:id="15196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yarazar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5074</TotalTime>
  <Pages>8</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King.Co</cp:lastModifiedBy>
  <cp:revision>410</cp:revision>
  <dcterms:created xsi:type="dcterms:W3CDTF">2021-04-04T07:01:00Z</dcterms:created>
  <dcterms:modified xsi:type="dcterms:W3CDTF">2021-12-15T10:24:00Z</dcterms:modified>
</cp:coreProperties>
</file>