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E2EA" w14:textId="77777777" w:rsidR="00594E55" w:rsidRPr="006A5FBD" w:rsidRDefault="00400D14" w:rsidP="00261B50">
      <w:pPr>
        <w:jc w:val="center"/>
        <w:rPr>
          <w:rStyle w:val="jlqj4b"/>
          <w:rFonts w:ascii="Times New Roman" w:hAnsi="Times New Roman"/>
          <w:b/>
          <w:sz w:val="28"/>
          <w:szCs w:val="28"/>
          <w:lang w:val="en"/>
        </w:rPr>
      </w:pPr>
      <w:bookmarkStart w:id="0" w:name="_Hlk91858692"/>
      <w:r w:rsidRPr="006A5FBD">
        <w:rPr>
          <w:rStyle w:val="jlqj4b"/>
          <w:rFonts w:ascii="Times New Roman" w:hAnsi="Times New Roman"/>
          <w:b/>
          <w:sz w:val="28"/>
          <w:szCs w:val="28"/>
          <w:lang w:val="en"/>
        </w:rPr>
        <w:t>Evaluation of Polypharmacy and Its Effects in Geriatric Age Group Patients Applying to the Internal Diseases Outpatient Clinic</w:t>
      </w:r>
    </w:p>
    <w:bookmarkEnd w:id="0"/>
    <w:p w14:paraId="54D0A15C" w14:textId="77777777" w:rsidR="00A42443" w:rsidRPr="00A42443" w:rsidRDefault="00A42443" w:rsidP="00A42443">
      <w:pPr>
        <w:jc w:val="center"/>
        <w:rPr>
          <w:rFonts w:ascii="Times New Roman" w:eastAsia="Calibri" w:hAnsi="Times New Roman"/>
          <w:bCs/>
          <w:sz w:val="24"/>
          <w:szCs w:val="24"/>
          <w:lang w:val="en"/>
        </w:rPr>
      </w:pPr>
      <w:proofErr w:type="spellStart"/>
      <w:r w:rsidRPr="00A42443">
        <w:rPr>
          <w:rFonts w:ascii="Times New Roman" w:eastAsia="Calibri" w:hAnsi="Times New Roman"/>
          <w:bCs/>
          <w:sz w:val="24"/>
          <w:szCs w:val="24"/>
          <w:lang w:val="en"/>
        </w:rPr>
        <w:t>Sinem</w:t>
      </w:r>
      <w:proofErr w:type="spellEnd"/>
      <w:r w:rsidRPr="00A42443">
        <w:rPr>
          <w:rFonts w:ascii="Times New Roman" w:eastAsia="Calibri" w:hAnsi="Times New Roman"/>
          <w:bCs/>
          <w:sz w:val="24"/>
          <w:szCs w:val="24"/>
          <w:lang w:val="en"/>
        </w:rPr>
        <w:t xml:space="preserve"> GÜRCÜ</w:t>
      </w:r>
      <w:r w:rsidRPr="00A42443">
        <w:rPr>
          <w:rFonts w:ascii="Times New Roman" w:eastAsia="Calibri" w:hAnsi="Times New Roman"/>
          <w:bCs/>
          <w:sz w:val="24"/>
          <w:szCs w:val="24"/>
          <w:vertAlign w:val="superscript"/>
          <w:lang w:val="en"/>
        </w:rPr>
        <w:t>1</w:t>
      </w:r>
      <w:r w:rsidRPr="00A42443">
        <w:rPr>
          <w:rFonts w:ascii="Times New Roman" w:eastAsia="Calibri" w:hAnsi="Times New Roman"/>
          <w:bCs/>
          <w:sz w:val="24"/>
          <w:szCs w:val="24"/>
          <w:lang w:val="en"/>
        </w:rPr>
        <w:t>, Melisa ŞAHİN TEKİN</w:t>
      </w:r>
      <w:r w:rsidRPr="00A42443">
        <w:rPr>
          <w:rFonts w:ascii="Times New Roman" w:eastAsia="Calibri" w:hAnsi="Times New Roman"/>
          <w:bCs/>
          <w:sz w:val="24"/>
          <w:szCs w:val="24"/>
          <w:vertAlign w:val="superscript"/>
          <w:lang w:val="en"/>
        </w:rPr>
        <w:t>2</w:t>
      </w:r>
      <w:r w:rsidRPr="00A42443">
        <w:rPr>
          <w:rFonts w:ascii="Times New Roman" w:eastAsia="Calibri" w:hAnsi="Times New Roman"/>
          <w:bCs/>
          <w:sz w:val="24"/>
          <w:szCs w:val="24"/>
          <w:lang w:val="en"/>
        </w:rPr>
        <w:t xml:space="preserve">, </w:t>
      </w:r>
      <w:proofErr w:type="spellStart"/>
      <w:r w:rsidRPr="00A42443">
        <w:rPr>
          <w:rFonts w:ascii="Times New Roman" w:eastAsia="Calibri" w:hAnsi="Times New Roman"/>
          <w:bCs/>
          <w:sz w:val="24"/>
          <w:szCs w:val="24"/>
          <w:lang w:val="en"/>
        </w:rPr>
        <w:t>Pınar</w:t>
      </w:r>
      <w:proofErr w:type="spellEnd"/>
      <w:r w:rsidRPr="00A42443">
        <w:rPr>
          <w:rFonts w:ascii="Times New Roman" w:eastAsia="Calibri" w:hAnsi="Times New Roman"/>
          <w:bCs/>
          <w:sz w:val="24"/>
          <w:szCs w:val="24"/>
          <w:lang w:val="en"/>
        </w:rPr>
        <w:t xml:space="preserve"> YILDIZ</w:t>
      </w:r>
      <w:r w:rsidRPr="00A42443">
        <w:rPr>
          <w:rFonts w:ascii="Times New Roman" w:eastAsia="Calibri" w:hAnsi="Times New Roman"/>
          <w:bCs/>
          <w:sz w:val="24"/>
          <w:szCs w:val="24"/>
          <w:vertAlign w:val="superscript"/>
          <w:lang w:val="en"/>
        </w:rPr>
        <w:t>2</w:t>
      </w:r>
      <w:r w:rsidRPr="00A42443">
        <w:rPr>
          <w:rFonts w:ascii="Times New Roman" w:eastAsia="Calibri" w:hAnsi="Times New Roman"/>
          <w:bCs/>
          <w:sz w:val="24"/>
          <w:szCs w:val="24"/>
          <w:lang w:val="en"/>
        </w:rPr>
        <w:t xml:space="preserve">, </w:t>
      </w:r>
      <w:proofErr w:type="spellStart"/>
      <w:r w:rsidRPr="00A42443">
        <w:rPr>
          <w:rFonts w:ascii="Times New Roman" w:eastAsia="Calibri" w:hAnsi="Times New Roman"/>
          <w:bCs/>
          <w:sz w:val="24"/>
          <w:szCs w:val="24"/>
          <w:lang w:val="en"/>
        </w:rPr>
        <w:t>Göknur</w:t>
      </w:r>
      <w:proofErr w:type="spellEnd"/>
      <w:r w:rsidRPr="00A42443">
        <w:rPr>
          <w:rFonts w:ascii="Times New Roman" w:eastAsia="Calibri" w:hAnsi="Times New Roman"/>
          <w:bCs/>
          <w:sz w:val="24"/>
          <w:szCs w:val="24"/>
          <w:lang w:val="en"/>
        </w:rPr>
        <w:t xml:space="preserve"> YORULMAZ</w:t>
      </w:r>
      <w:r w:rsidRPr="00A42443">
        <w:rPr>
          <w:rFonts w:ascii="Times New Roman" w:eastAsia="Calibri" w:hAnsi="Times New Roman"/>
          <w:bCs/>
          <w:sz w:val="24"/>
          <w:szCs w:val="24"/>
          <w:vertAlign w:val="superscript"/>
          <w:lang w:val="en"/>
        </w:rPr>
        <w:t>3</w:t>
      </w:r>
      <w:r w:rsidRPr="00A42443">
        <w:rPr>
          <w:rFonts w:ascii="Times New Roman" w:eastAsia="Calibri" w:hAnsi="Times New Roman"/>
          <w:bCs/>
          <w:sz w:val="24"/>
          <w:szCs w:val="24"/>
          <w:lang w:val="en"/>
        </w:rPr>
        <w:t xml:space="preserve"> </w:t>
      </w:r>
    </w:p>
    <w:p w14:paraId="62CB3696" w14:textId="77777777" w:rsidR="00A42443" w:rsidRPr="00A42443" w:rsidRDefault="00A42443" w:rsidP="00A42443">
      <w:pPr>
        <w:spacing w:line="240" w:lineRule="auto"/>
        <w:jc w:val="both"/>
        <w:rPr>
          <w:rFonts w:ascii="Times New Roman" w:eastAsia="Times New Roman" w:hAnsi="Times New Roman"/>
          <w:bCs/>
          <w:i/>
          <w:sz w:val="24"/>
          <w:szCs w:val="24"/>
          <w:lang w:val="en" w:eastAsia="tr-TR"/>
        </w:rPr>
      </w:pPr>
      <w:r w:rsidRPr="00A42443">
        <w:rPr>
          <w:rFonts w:ascii="Times New Roman" w:eastAsia="Calibri" w:hAnsi="Times New Roman"/>
          <w:bCs/>
          <w:i/>
          <w:sz w:val="24"/>
          <w:szCs w:val="24"/>
          <w:vertAlign w:val="superscript"/>
          <w:lang w:val="en"/>
        </w:rPr>
        <w:t>1</w:t>
      </w:r>
      <w:r w:rsidRPr="00A42443">
        <w:rPr>
          <w:rFonts w:ascii="Times New Roman" w:eastAsia="Calibri" w:hAnsi="Times New Roman"/>
          <w:bCs/>
          <w:i/>
          <w:sz w:val="24"/>
          <w:szCs w:val="24"/>
          <w:lang w:val="en"/>
        </w:rPr>
        <w:t xml:space="preserve"> </w:t>
      </w:r>
      <w:r w:rsidRPr="00A42443">
        <w:rPr>
          <w:rFonts w:ascii="Times New Roman" w:eastAsia="Calibri" w:hAnsi="Times New Roman"/>
          <w:bCs/>
          <w:i/>
          <w:sz w:val="24"/>
          <w:szCs w:val="24"/>
        </w:rPr>
        <w:t>Eskisehir City Hospital, Department of Pharmacy, Eskişehir, Turkey</w:t>
      </w:r>
    </w:p>
    <w:p w14:paraId="28FA1579" w14:textId="77777777"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vertAlign w:val="superscript"/>
          <w:lang w:val="en"/>
        </w:rPr>
        <w:t>2</w:t>
      </w:r>
      <w:r w:rsidRPr="00A42443">
        <w:rPr>
          <w:rFonts w:ascii="Times New Roman" w:eastAsia="Calibri" w:hAnsi="Times New Roman"/>
          <w:bCs/>
          <w:i/>
          <w:sz w:val="24"/>
          <w:szCs w:val="24"/>
          <w:lang w:val="en"/>
        </w:rPr>
        <w:t xml:space="preserve"> </w:t>
      </w:r>
      <w:r w:rsidRPr="00A42443">
        <w:rPr>
          <w:rFonts w:ascii="Times New Roman" w:eastAsia="Calibri" w:hAnsi="Times New Roman"/>
          <w:bCs/>
          <w:i/>
          <w:sz w:val="24"/>
          <w:szCs w:val="24"/>
        </w:rPr>
        <w:t>Eskisehir Osmangazi University, Faculty of Medicine, Department of Internal Medicine Eskişehir, Turkey</w:t>
      </w:r>
    </w:p>
    <w:p w14:paraId="1D169BE6" w14:textId="77777777"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vertAlign w:val="superscript"/>
        </w:rPr>
        <w:t>3</w:t>
      </w:r>
      <w:r w:rsidRPr="00A42443">
        <w:rPr>
          <w:bCs/>
        </w:rPr>
        <w:t xml:space="preserve"> </w:t>
      </w:r>
      <w:r w:rsidRPr="00A42443">
        <w:rPr>
          <w:rFonts w:ascii="Times New Roman" w:eastAsia="Calibri" w:hAnsi="Times New Roman"/>
          <w:bCs/>
          <w:i/>
          <w:sz w:val="24"/>
          <w:szCs w:val="24"/>
        </w:rPr>
        <w:t>Eskisehir Osmangazi University, Faculty of Medicine, Department of Endocrinology, Eskişehir, Turkey</w:t>
      </w:r>
    </w:p>
    <w:p w14:paraId="2D2BA6B7" w14:textId="77777777" w:rsidR="00A42443" w:rsidRDefault="00A42443" w:rsidP="00A42443">
      <w:pPr>
        <w:spacing w:line="240" w:lineRule="auto"/>
        <w:jc w:val="both"/>
        <w:rPr>
          <w:rFonts w:ascii="Times New Roman" w:eastAsia="Calibri" w:hAnsi="Times New Roman"/>
          <w:bCs/>
          <w:i/>
          <w:sz w:val="24"/>
          <w:szCs w:val="24"/>
        </w:rPr>
      </w:pPr>
    </w:p>
    <w:p w14:paraId="604DCAFC" w14:textId="504CCB9A"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rPr>
        <w:t>Address for Correspondence:</w:t>
      </w:r>
    </w:p>
    <w:p w14:paraId="23711651" w14:textId="77777777"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rPr>
        <w:t>Assoc. Prof. Pınar Yıldız</w:t>
      </w:r>
    </w:p>
    <w:p w14:paraId="4471E310" w14:textId="77777777"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rPr>
        <w:t xml:space="preserve">Eskisehir Osmangazi University, Faculty of Medicine, Department of Internal Medicine Eskişehir, Turkey </w:t>
      </w:r>
    </w:p>
    <w:p w14:paraId="6020BB25" w14:textId="77777777" w:rsidR="00A42443" w:rsidRPr="00A42443" w:rsidRDefault="00A42443" w:rsidP="00A42443">
      <w:pPr>
        <w:spacing w:line="240" w:lineRule="auto"/>
        <w:jc w:val="both"/>
        <w:rPr>
          <w:rFonts w:ascii="Times New Roman" w:eastAsia="Calibri" w:hAnsi="Times New Roman"/>
          <w:bCs/>
          <w:i/>
          <w:sz w:val="24"/>
          <w:szCs w:val="24"/>
        </w:rPr>
      </w:pPr>
      <w:r w:rsidRPr="00A42443">
        <w:rPr>
          <w:rFonts w:ascii="Times New Roman" w:eastAsia="Calibri" w:hAnsi="Times New Roman"/>
          <w:bCs/>
          <w:i/>
          <w:sz w:val="24"/>
          <w:szCs w:val="24"/>
        </w:rPr>
        <w:t xml:space="preserve">e-mail: </w:t>
      </w:r>
      <w:hyperlink r:id="rId7" w:history="1">
        <w:r w:rsidRPr="00A42443">
          <w:rPr>
            <w:rStyle w:val="a9"/>
            <w:rFonts w:ascii="Times New Roman" w:eastAsia="Calibri" w:hAnsi="Times New Roman"/>
            <w:bCs/>
            <w:i/>
            <w:sz w:val="24"/>
            <w:szCs w:val="24"/>
          </w:rPr>
          <w:t>pinaresogu@gmail.com</w:t>
        </w:r>
      </w:hyperlink>
    </w:p>
    <w:p w14:paraId="3FFEABB5" w14:textId="280E0EA1" w:rsidR="00A42443" w:rsidRPr="00A42443" w:rsidRDefault="00A42443" w:rsidP="00A42443">
      <w:pPr>
        <w:spacing w:line="240" w:lineRule="auto"/>
        <w:jc w:val="both"/>
        <w:rPr>
          <w:rFonts w:ascii="Times New Roman" w:eastAsia="Times New Roman" w:hAnsi="Times New Roman"/>
          <w:bCs/>
          <w:i/>
          <w:sz w:val="24"/>
          <w:szCs w:val="24"/>
          <w:lang w:val="en" w:eastAsia="tr-TR"/>
        </w:rPr>
      </w:pPr>
      <w:r w:rsidRPr="00A42443">
        <w:rPr>
          <w:rFonts w:ascii="Times New Roman" w:eastAsia="Calibri" w:hAnsi="Times New Roman"/>
          <w:bCs/>
          <w:i/>
          <w:sz w:val="24"/>
          <w:szCs w:val="24"/>
        </w:rPr>
        <w:t>ORCID ID:</w:t>
      </w:r>
      <w:r w:rsidRPr="00A42443">
        <w:rPr>
          <w:rFonts w:ascii="Noto Sans" w:hAnsi="Noto Sans" w:cs="Noto Sans"/>
          <w:bCs/>
          <w:color w:val="000000"/>
          <w:spacing w:val="8"/>
          <w:sz w:val="36"/>
          <w:szCs w:val="36"/>
          <w:shd w:val="clear" w:color="auto" w:fill="FFFFFF"/>
        </w:rPr>
        <w:t xml:space="preserve"> </w:t>
      </w:r>
      <w:r w:rsidRPr="00A42443">
        <w:rPr>
          <w:rFonts w:ascii="Times New Roman" w:eastAsia="Calibri" w:hAnsi="Times New Roman"/>
          <w:bCs/>
          <w:i/>
          <w:sz w:val="24"/>
          <w:szCs w:val="24"/>
        </w:rPr>
        <w:t>0000-0002-3625-9829</w:t>
      </w:r>
    </w:p>
    <w:p w14:paraId="37E110C3" w14:textId="77777777" w:rsidR="00A42443" w:rsidRDefault="00A42443">
      <w:pPr>
        <w:rPr>
          <w:rFonts w:ascii="Times New Roman" w:eastAsia="Times New Roman" w:hAnsi="Times New Roman"/>
          <w:b/>
          <w:sz w:val="24"/>
          <w:szCs w:val="24"/>
          <w:lang w:eastAsia="tr-TR"/>
        </w:rPr>
      </w:pPr>
      <w:r>
        <w:rPr>
          <w:rFonts w:ascii="Times New Roman" w:eastAsia="Times New Roman" w:hAnsi="Times New Roman"/>
          <w:b/>
          <w:sz w:val="24"/>
          <w:szCs w:val="24"/>
          <w:lang w:eastAsia="tr-TR"/>
        </w:rPr>
        <w:br w:type="page"/>
      </w:r>
    </w:p>
    <w:p w14:paraId="1FC2C79F" w14:textId="3E540217" w:rsidR="00E9376F" w:rsidRPr="006A5FBD" w:rsidRDefault="00E9376F" w:rsidP="00E9376F">
      <w:pPr>
        <w:spacing w:after="0" w:line="360" w:lineRule="auto"/>
        <w:jc w:val="both"/>
        <w:rPr>
          <w:rFonts w:ascii="Times New Roman" w:eastAsia="Times New Roman" w:hAnsi="Times New Roman"/>
          <w:b/>
          <w:sz w:val="24"/>
          <w:szCs w:val="24"/>
          <w:lang w:eastAsia="tr-TR"/>
        </w:rPr>
      </w:pPr>
      <w:r w:rsidRPr="006A5FBD">
        <w:rPr>
          <w:rFonts w:ascii="Times New Roman" w:eastAsia="Times New Roman" w:hAnsi="Times New Roman"/>
          <w:b/>
          <w:sz w:val="24"/>
          <w:szCs w:val="24"/>
          <w:lang w:eastAsia="tr-TR"/>
        </w:rPr>
        <w:lastRenderedPageBreak/>
        <w:t>ABSTRACT</w:t>
      </w:r>
    </w:p>
    <w:p w14:paraId="0E70D46A" w14:textId="77777777" w:rsidR="00E9376F" w:rsidRPr="006A5FBD" w:rsidRDefault="00E9376F" w:rsidP="00E9376F">
      <w:pPr>
        <w:spacing w:after="0" w:line="360" w:lineRule="auto"/>
        <w:jc w:val="both"/>
        <w:rPr>
          <w:rFonts w:ascii="Times New Roman" w:eastAsia="Times New Roman" w:hAnsi="Times New Roman"/>
          <w:b/>
          <w:sz w:val="24"/>
          <w:szCs w:val="24"/>
          <w:lang w:eastAsia="tr-TR"/>
        </w:rPr>
      </w:pPr>
      <w:r w:rsidRPr="006A5FBD">
        <w:rPr>
          <w:rStyle w:val="jlqj4b"/>
          <w:rFonts w:ascii="Times New Roman" w:hAnsi="Times New Roman"/>
          <w:sz w:val="24"/>
          <w:szCs w:val="24"/>
          <w:lang w:val="en"/>
        </w:rPr>
        <w:t>The world population is aging and the elderly population is trying to cope with chronic diseases and multiple drug use. Polypharmacy can be defined as the combined use of 4 or more drugs. Pharmacokinetic and pharmacodynamic changes of drugs and drug-drug interactions in old age may affect this age group much more. In this study, drug-drug interactions were investigated in outpatients over the age of 65 who had 4 or more drugs prescribed. 119 prescriptions were included in the study.</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The average number of drugs in prescriptions is 5.23 (min 4 max 12). The group of drugs that interact most frequently </w:t>
      </w:r>
      <w:r w:rsidR="00F92286">
        <w:rPr>
          <w:rStyle w:val="jlqj4b"/>
          <w:rFonts w:ascii="Times New Roman" w:hAnsi="Times New Roman"/>
          <w:sz w:val="24"/>
          <w:szCs w:val="24"/>
          <w:lang w:val="en"/>
        </w:rPr>
        <w:t>is</w:t>
      </w:r>
      <w:r w:rsidRPr="006A5FBD">
        <w:rPr>
          <w:rStyle w:val="jlqj4b"/>
          <w:rFonts w:ascii="Times New Roman" w:hAnsi="Times New Roman"/>
          <w:sz w:val="24"/>
          <w:szCs w:val="24"/>
          <w:lang w:val="en"/>
        </w:rPr>
        <w:t xml:space="preserve"> antidiabetic drugs. In second place are diuretics and nonsteroidal anti-inflammatory drugs (NSAIDs);</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angiotensin converting enzyme (ACE) inhibitor drugs are in the third place. Prevention of polypharmacy and its related problems will benefit both the patient and the cost. By avoiding polypharmacy or at least by </w:t>
      </w:r>
      <w:r w:rsidR="00BC4CB8">
        <w:rPr>
          <w:rStyle w:val="jlqj4b"/>
          <w:rFonts w:ascii="Times New Roman" w:hAnsi="Times New Roman"/>
          <w:sz w:val="24"/>
          <w:szCs w:val="24"/>
          <w:lang w:val="en"/>
        </w:rPr>
        <w:t xml:space="preserve">following </w:t>
      </w:r>
      <w:r w:rsidR="00D8129E">
        <w:rPr>
          <w:rStyle w:val="jlqj4b"/>
          <w:rFonts w:ascii="Times New Roman" w:hAnsi="Times New Roman"/>
          <w:sz w:val="24"/>
          <w:szCs w:val="24"/>
          <w:lang w:val="en"/>
        </w:rPr>
        <w:t>guidelines when prescribing</w:t>
      </w:r>
      <w:r w:rsidR="00BC4CB8">
        <w:rPr>
          <w:rStyle w:val="jlqj4b"/>
          <w:rFonts w:ascii="Times New Roman" w:hAnsi="Times New Roman"/>
          <w:sz w:val="24"/>
          <w:szCs w:val="24"/>
          <w:lang w:val="en"/>
        </w:rPr>
        <w:t xml:space="preserve">, </w:t>
      </w:r>
      <w:r w:rsidRPr="006A5FBD">
        <w:rPr>
          <w:rStyle w:val="jlqj4b"/>
          <w:rFonts w:ascii="Times New Roman" w:hAnsi="Times New Roman"/>
          <w:sz w:val="24"/>
          <w:szCs w:val="24"/>
          <w:lang w:val="en"/>
        </w:rPr>
        <w:t xml:space="preserve">geriatric patients' drug compliance will increase, all side effects and interactions that may be caused by inappropriate drug use will be kept to </w:t>
      </w:r>
      <w:r w:rsidR="00262B62">
        <w:rPr>
          <w:rStyle w:val="jlqj4b"/>
          <w:rFonts w:ascii="Times New Roman" w:hAnsi="Times New Roman"/>
          <w:sz w:val="24"/>
          <w:szCs w:val="24"/>
          <w:lang w:val="en"/>
        </w:rPr>
        <w:t xml:space="preserve">a </w:t>
      </w:r>
      <w:r w:rsidRPr="006A5FBD">
        <w:rPr>
          <w:rStyle w:val="jlqj4b"/>
          <w:rFonts w:ascii="Times New Roman" w:hAnsi="Times New Roman"/>
          <w:sz w:val="24"/>
          <w:szCs w:val="24"/>
          <w:lang w:val="en"/>
        </w:rPr>
        <w:t>minimum, and possible hospitalizations and health expenses will be reduced in this way.</w:t>
      </w:r>
    </w:p>
    <w:p w14:paraId="19919C16" w14:textId="77777777" w:rsidR="00E9376F" w:rsidRPr="006A5FBD" w:rsidRDefault="00E9376F" w:rsidP="00E9376F">
      <w:pPr>
        <w:spacing w:after="0" w:line="360" w:lineRule="auto"/>
        <w:jc w:val="both"/>
        <w:rPr>
          <w:rFonts w:ascii="Times New Roman" w:eastAsia="Times New Roman" w:hAnsi="Times New Roman"/>
          <w:b/>
          <w:sz w:val="24"/>
          <w:szCs w:val="24"/>
          <w:lang w:eastAsia="tr-TR"/>
        </w:rPr>
      </w:pPr>
    </w:p>
    <w:p w14:paraId="021DA69A" w14:textId="77777777" w:rsidR="00E9376F" w:rsidRPr="006A5FBD" w:rsidRDefault="00E9376F" w:rsidP="00E9376F">
      <w:pPr>
        <w:spacing w:after="0" w:line="360" w:lineRule="auto"/>
        <w:jc w:val="both"/>
        <w:rPr>
          <w:rFonts w:ascii="Times New Roman" w:eastAsia="Times New Roman" w:hAnsi="Times New Roman"/>
          <w:b/>
          <w:i/>
          <w:sz w:val="24"/>
          <w:szCs w:val="24"/>
          <w:lang w:eastAsia="tr-TR"/>
        </w:rPr>
      </w:pPr>
      <w:r w:rsidRPr="006A5FBD">
        <w:rPr>
          <w:rFonts w:ascii="Times New Roman" w:eastAsia="Times New Roman" w:hAnsi="Times New Roman"/>
          <w:b/>
          <w:sz w:val="24"/>
          <w:szCs w:val="24"/>
          <w:lang w:eastAsia="tr-TR"/>
        </w:rPr>
        <w:t xml:space="preserve">Key Words: </w:t>
      </w:r>
      <w:r w:rsidRPr="006A5FBD">
        <w:rPr>
          <w:rStyle w:val="jlqj4b"/>
          <w:rFonts w:ascii="Times New Roman" w:hAnsi="Times New Roman"/>
          <w:i/>
          <w:sz w:val="24"/>
          <w:szCs w:val="24"/>
          <w:lang w:val="en"/>
        </w:rPr>
        <w:t>Geriatrics, polypharmacy, drug-drug interaction</w:t>
      </w:r>
    </w:p>
    <w:p w14:paraId="468D14AC" w14:textId="77777777" w:rsidR="00E9376F" w:rsidRPr="006A5FBD" w:rsidRDefault="00E9376F" w:rsidP="00E9376F">
      <w:pPr>
        <w:autoSpaceDE w:val="0"/>
        <w:autoSpaceDN w:val="0"/>
        <w:adjustRightInd w:val="0"/>
        <w:spacing w:after="0" w:line="360" w:lineRule="auto"/>
        <w:jc w:val="both"/>
        <w:rPr>
          <w:rFonts w:ascii="Times New Roman" w:hAnsi="Times New Roman"/>
          <w:b/>
          <w:sz w:val="24"/>
          <w:szCs w:val="24"/>
        </w:rPr>
      </w:pPr>
    </w:p>
    <w:p w14:paraId="2D5EE334" w14:textId="77777777" w:rsidR="00A74E53" w:rsidRPr="006A5FBD" w:rsidRDefault="004E70AC" w:rsidP="004E70AC">
      <w:pPr>
        <w:rPr>
          <w:rStyle w:val="jlqj4b"/>
          <w:rFonts w:ascii="Times New Roman" w:hAnsi="Times New Roman"/>
          <w:b/>
          <w:sz w:val="24"/>
          <w:szCs w:val="24"/>
          <w:lang w:val="en"/>
        </w:rPr>
      </w:pPr>
      <w:r w:rsidRPr="006A5FBD">
        <w:rPr>
          <w:rStyle w:val="jlqj4b"/>
          <w:rFonts w:ascii="Times New Roman" w:hAnsi="Times New Roman"/>
          <w:b/>
          <w:sz w:val="24"/>
          <w:szCs w:val="24"/>
          <w:lang w:val="en"/>
        </w:rPr>
        <w:br w:type="page"/>
      </w:r>
    </w:p>
    <w:p w14:paraId="2C3F0EC5" w14:textId="77777777" w:rsidR="00594E55" w:rsidRPr="006A5FBD" w:rsidRDefault="008E0655" w:rsidP="00F5575F">
      <w:pPr>
        <w:spacing w:line="360" w:lineRule="auto"/>
        <w:jc w:val="both"/>
        <w:rPr>
          <w:rFonts w:ascii="Times New Roman" w:hAnsi="Times New Roman"/>
          <w:b/>
          <w:sz w:val="24"/>
          <w:szCs w:val="24"/>
        </w:rPr>
      </w:pPr>
      <w:r w:rsidRPr="006A5FBD">
        <w:rPr>
          <w:rFonts w:ascii="Times New Roman" w:hAnsi="Times New Roman"/>
          <w:b/>
          <w:sz w:val="24"/>
          <w:szCs w:val="24"/>
        </w:rPr>
        <w:lastRenderedPageBreak/>
        <w:t>INTRODUCTION</w:t>
      </w:r>
    </w:p>
    <w:p w14:paraId="0A265CFB" w14:textId="68FF81C8" w:rsidR="00041FB5" w:rsidRPr="006A5FBD" w:rsidRDefault="00216459"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The world population is aging rapidly with each passing day with economic progress, decrease in birth rate and increase in the </w:t>
      </w:r>
      <w:r w:rsidR="004464C6">
        <w:rPr>
          <w:rStyle w:val="jlqj4b"/>
          <w:rFonts w:ascii="Times New Roman" w:hAnsi="Times New Roman"/>
          <w:sz w:val="24"/>
          <w:szCs w:val="24"/>
          <w:lang w:val="en"/>
        </w:rPr>
        <w:t>practices</w:t>
      </w:r>
      <w:r w:rsidRPr="006A5FBD">
        <w:rPr>
          <w:rStyle w:val="jlqj4b"/>
          <w:rFonts w:ascii="Times New Roman" w:hAnsi="Times New Roman"/>
          <w:sz w:val="24"/>
          <w:szCs w:val="24"/>
          <w:lang w:val="en"/>
        </w:rPr>
        <w:t xml:space="preserve"> of modern medicine.</w:t>
      </w:r>
      <w:r w:rsidR="00F23139" w:rsidRPr="006A5FBD">
        <w:rPr>
          <w:rStyle w:val="jlqj4b"/>
          <w:rFonts w:ascii="Times New Roman" w:hAnsi="Times New Roman"/>
          <w:sz w:val="24"/>
          <w:szCs w:val="24"/>
          <w:lang w:val="en"/>
        </w:rPr>
        <w:t xml:space="preserve"> The aging of the population emerges as a very important phenomenon both individually and socially.</w:t>
      </w:r>
      <w:r w:rsidR="00F5575F" w:rsidRPr="006A5FBD">
        <w:rPr>
          <w:rStyle w:val="jlqj4b"/>
          <w:rFonts w:ascii="Times New Roman" w:hAnsi="Times New Roman"/>
          <w:sz w:val="24"/>
          <w:szCs w:val="24"/>
          <w:lang w:val="en"/>
        </w:rPr>
        <w:t xml:space="preserve"> According to 2001 data, in the United States of America (USA), approximately 35 million Americans are over the age of 65 and this number is expected to reach 70 million by 2030</w:t>
      </w:r>
      <w:r w:rsidR="00E317AA" w:rsidRPr="006A5FBD">
        <w:rPr>
          <w:rStyle w:val="jlqj4b"/>
          <w:rFonts w:ascii="Times New Roman" w:hAnsi="Times New Roman"/>
          <w:sz w:val="24"/>
          <w:szCs w:val="24"/>
          <w:lang w:val="en"/>
        </w:rPr>
        <w:t xml:space="preserve"> </w:t>
      </w:r>
      <w:r w:rsidR="00BF71BF">
        <w:rPr>
          <w:rFonts w:ascii="Times New Roman" w:hAnsi="Times New Roman"/>
          <w:sz w:val="24"/>
          <w:szCs w:val="24"/>
        </w:rPr>
        <w:t>[</w:t>
      </w:r>
      <w:r w:rsidR="00E317AA" w:rsidRPr="006A5FBD">
        <w:rPr>
          <w:rFonts w:ascii="Times New Roman" w:hAnsi="Times New Roman"/>
          <w:sz w:val="24"/>
          <w:szCs w:val="24"/>
        </w:rPr>
        <w:t>1</w:t>
      </w:r>
      <w:r w:rsidR="00BF71BF">
        <w:rPr>
          <w:rFonts w:ascii="Times New Roman" w:hAnsi="Times New Roman"/>
          <w:sz w:val="24"/>
          <w:szCs w:val="24"/>
        </w:rPr>
        <w:t>]</w:t>
      </w:r>
      <w:r w:rsidR="00E317AA" w:rsidRPr="006A5FBD">
        <w:rPr>
          <w:rFonts w:ascii="Times New Roman" w:hAnsi="Times New Roman"/>
          <w:sz w:val="24"/>
          <w:szCs w:val="24"/>
        </w:rPr>
        <w:t>.</w:t>
      </w:r>
      <w:r w:rsidR="00E5586E" w:rsidRPr="006A5FBD">
        <w:rPr>
          <w:rFonts w:ascii="Times New Roman" w:hAnsi="Times New Roman"/>
          <w:sz w:val="24"/>
          <w:szCs w:val="24"/>
        </w:rPr>
        <w:t xml:space="preserve"> </w:t>
      </w:r>
      <w:r w:rsidR="00E5586E" w:rsidRPr="006A5FBD">
        <w:rPr>
          <w:rStyle w:val="jlqj4b"/>
          <w:rFonts w:ascii="Times New Roman" w:hAnsi="Times New Roman"/>
          <w:sz w:val="24"/>
          <w:szCs w:val="24"/>
          <w:lang w:val="en"/>
        </w:rPr>
        <w:t xml:space="preserve">The World Health Organization (WHO) states that, in 2025, approximately 2 million people will be the age of 60 years or older, and in 2050, 80% of the 2 million elderly population will continue to live in developing countries </w:t>
      </w:r>
      <w:r w:rsidR="00BF71BF">
        <w:rPr>
          <w:rStyle w:val="jlqj4b"/>
          <w:rFonts w:ascii="Times New Roman" w:hAnsi="Times New Roman"/>
          <w:sz w:val="24"/>
          <w:szCs w:val="24"/>
          <w:lang w:val="en"/>
        </w:rPr>
        <w:t>[</w:t>
      </w:r>
      <w:r w:rsidR="00E5586E" w:rsidRPr="006A5FBD">
        <w:rPr>
          <w:rStyle w:val="jlqj4b"/>
          <w:rFonts w:ascii="Times New Roman" w:hAnsi="Times New Roman"/>
          <w:sz w:val="24"/>
          <w:szCs w:val="24"/>
          <w:lang w:val="en"/>
        </w:rPr>
        <w:t>2</w:t>
      </w:r>
      <w:r w:rsidR="00BF71BF">
        <w:rPr>
          <w:rStyle w:val="jlqj4b"/>
          <w:rFonts w:ascii="Times New Roman" w:hAnsi="Times New Roman"/>
          <w:sz w:val="24"/>
          <w:szCs w:val="24"/>
          <w:lang w:val="en"/>
        </w:rPr>
        <w:t>]</w:t>
      </w:r>
      <w:r w:rsidR="00E5586E" w:rsidRPr="006A5FBD">
        <w:rPr>
          <w:rStyle w:val="jlqj4b"/>
          <w:rFonts w:ascii="Times New Roman" w:hAnsi="Times New Roman"/>
          <w:sz w:val="24"/>
          <w:szCs w:val="24"/>
          <w:lang w:val="en"/>
        </w:rPr>
        <w:t>.</w:t>
      </w:r>
      <w:r w:rsidR="00F032EE" w:rsidRPr="006A5FBD">
        <w:rPr>
          <w:rStyle w:val="jlqj4b"/>
          <w:rFonts w:ascii="Times New Roman" w:hAnsi="Times New Roman"/>
          <w:sz w:val="24"/>
          <w:szCs w:val="24"/>
          <w:lang w:val="en"/>
        </w:rPr>
        <w:t xml:space="preserve"> Chronic diseases that increase with aging bring about the use of many drugs.</w:t>
      </w:r>
      <w:r w:rsidR="009003D0" w:rsidRPr="006A5FBD">
        <w:rPr>
          <w:rStyle w:val="jlqj4b"/>
          <w:rFonts w:ascii="Times New Roman" w:hAnsi="Times New Roman"/>
          <w:sz w:val="24"/>
          <w:szCs w:val="24"/>
          <w:lang w:val="en"/>
        </w:rPr>
        <w:t xml:space="preserve"> Pharmacodynamic and pharmacokinetic changes in drug metabolism, increasing side effects and interactions between drugs in geriatric patients make it difficult to regulate treatments.</w:t>
      </w:r>
      <w:r w:rsidR="009003D0" w:rsidRPr="006A5FBD">
        <w:rPr>
          <w:rStyle w:val="viiyi"/>
          <w:rFonts w:ascii="Times New Roman" w:hAnsi="Times New Roman"/>
          <w:sz w:val="24"/>
          <w:szCs w:val="24"/>
          <w:lang w:val="en"/>
        </w:rPr>
        <w:t xml:space="preserve"> </w:t>
      </w:r>
      <w:r w:rsidR="009003D0" w:rsidRPr="006A5FBD">
        <w:rPr>
          <w:rStyle w:val="jlqj4b"/>
          <w:rFonts w:ascii="Times New Roman" w:hAnsi="Times New Roman"/>
          <w:sz w:val="24"/>
          <w:szCs w:val="24"/>
          <w:lang w:val="en"/>
        </w:rPr>
        <w:t>There are different definitions of polypharmacy in the literature.</w:t>
      </w:r>
      <w:r w:rsidR="00E46FAA" w:rsidRPr="006A5FBD">
        <w:rPr>
          <w:rStyle w:val="jlqj4b"/>
          <w:rFonts w:ascii="Times New Roman" w:hAnsi="Times New Roman"/>
          <w:sz w:val="24"/>
          <w:szCs w:val="24"/>
          <w:lang w:val="en"/>
        </w:rPr>
        <w:t xml:space="preserve"> Polypharmacy is defined as the use of four or more drugs by the National Service Framework (NSF) </w:t>
      </w:r>
      <w:r w:rsidR="00BF71BF">
        <w:rPr>
          <w:rStyle w:val="jlqj4b"/>
          <w:rFonts w:ascii="Times New Roman" w:hAnsi="Times New Roman"/>
          <w:sz w:val="24"/>
          <w:szCs w:val="24"/>
          <w:lang w:val="en"/>
        </w:rPr>
        <w:t>[</w:t>
      </w:r>
      <w:r w:rsidR="00E46FAA" w:rsidRPr="006A5FBD">
        <w:rPr>
          <w:rStyle w:val="jlqj4b"/>
          <w:rFonts w:ascii="Times New Roman" w:hAnsi="Times New Roman"/>
          <w:sz w:val="24"/>
          <w:szCs w:val="24"/>
          <w:lang w:val="en"/>
        </w:rPr>
        <w:t>3</w:t>
      </w:r>
      <w:r w:rsidR="00BF71BF">
        <w:rPr>
          <w:rStyle w:val="jlqj4b"/>
          <w:rFonts w:ascii="Times New Roman" w:hAnsi="Times New Roman"/>
          <w:sz w:val="24"/>
          <w:szCs w:val="24"/>
          <w:lang w:val="en"/>
        </w:rPr>
        <w:t>]</w:t>
      </w:r>
      <w:r w:rsidR="00E46FAA" w:rsidRPr="006A5FBD">
        <w:rPr>
          <w:rStyle w:val="jlqj4b"/>
          <w:rFonts w:ascii="Times New Roman" w:hAnsi="Times New Roman"/>
          <w:sz w:val="24"/>
          <w:szCs w:val="24"/>
          <w:lang w:val="en"/>
        </w:rPr>
        <w:t>.</w:t>
      </w:r>
      <w:r w:rsidR="0042050A" w:rsidRPr="006A5FBD">
        <w:rPr>
          <w:rStyle w:val="jlqj4b"/>
          <w:rFonts w:ascii="Times New Roman" w:hAnsi="Times New Roman"/>
          <w:sz w:val="24"/>
          <w:szCs w:val="24"/>
          <w:lang w:val="en"/>
        </w:rPr>
        <w:t xml:space="preserve"> Although it can be thought that polypharmacy may benefit the patient when it is regulated in a way that drugs can positively affect each other in some treatments, such as hypertension, it may </w:t>
      </w:r>
      <w:r w:rsidR="004464C6">
        <w:rPr>
          <w:rStyle w:val="jlqj4b"/>
          <w:rFonts w:ascii="Times New Roman" w:hAnsi="Times New Roman"/>
          <w:sz w:val="24"/>
          <w:szCs w:val="24"/>
          <w:lang w:val="en"/>
        </w:rPr>
        <w:t xml:space="preserve">also </w:t>
      </w:r>
      <w:r w:rsidR="0042050A" w:rsidRPr="006A5FBD">
        <w:rPr>
          <w:rStyle w:val="jlqj4b"/>
          <w:rFonts w:ascii="Times New Roman" w:hAnsi="Times New Roman"/>
          <w:sz w:val="24"/>
          <w:szCs w:val="24"/>
          <w:lang w:val="en"/>
        </w:rPr>
        <w:t>cause potential problems due to predicted and/or unpredictable side effects, toxic effects and drug interactions.</w:t>
      </w:r>
      <w:r w:rsidR="00F92A1A" w:rsidRPr="006A5FBD">
        <w:rPr>
          <w:rStyle w:val="jlqj4b"/>
          <w:rFonts w:ascii="Times New Roman" w:hAnsi="Times New Roman"/>
          <w:sz w:val="24"/>
          <w:szCs w:val="24"/>
          <w:lang w:val="en"/>
        </w:rPr>
        <w:t xml:space="preserve"> Changes in physiological functions in systems with aging affect the pharmacokinetic and pharmacodynamic properties of drugs, and therefore drug side effects can be seen more seriously in the elderly.</w:t>
      </w:r>
      <w:r w:rsidR="005E4C30" w:rsidRPr="006A5FBD">
        <w:rPr>
          <w:rStyle w:val="jlqj4b"/>
          <w:rFonts w:ascii="Times New Roman" w:hAnsi="Times New Roman"/>
          <w:sz w:val="24"/>
          <w:szCs w:val="24"/>
          <w:lang w:val="en"/>
        </w:rPr>
        <w:t xml:space="preserve"> With aging, gastrointestinal motility slows down, salivation decreases, body fat mass increases while muscle mass decreases.</w:t>
      </w:r>
      <w:r w:rsidR="005E4C30" w:rsidRPr="006A5FBD">
        <w:rPr>
          <w:rStyle w:val="viiyi"/>
          <w:rFonts w:ascii="Times New Roman" w:hAnsi="Times New Roman"/>
          <w:sz w:val="24"/>
          <w:szCs w:val="24"/>
          <w:lang w:val="en"/>
        </w:rPr>
        <w:t xml:space="preserve"> </w:t>
      </w:r>
      <w:r w:rsidR="005E4C30" w:rsidRPr="006A5FBD">
        <w:rPr>
          <w:rStyle w:val="jlqj4b"/>
          <w:rFonts w:ascii="Times New Roman" w:hAnsi="Times New Roman"/>
          <w:sz w:val="24"/>
          <w:szCs w:val="24"/>
          <w:lang w:val="en"/>
        </w:rPr>
        <w:t xml:space="preserve">Renal and </w:t>
      </w:r>
      <w:r w:rsidR="004464C6">
        <w:rPr>
          <w:rStyle w:val="jlqj4b"/>
          <w:rFonts w:ascii="Times New Roman" w:hAnsi="Times New Roman"/>
          <w:sz w:val="24"/>
          <w:szCs w:val="24"/>
          <w:lang w:val="en"/>
        </w:rPr>
        <w:t>hepatic</w:t>
      </w:r>
      <w:r w:rsidR="004464C6" w:rsidRPr="006A5FBD">
        <w:rPr>
          <w:rStyle w:val="jlqj4b"/>
          <w:rFonts w:ascii="Times New Roman" w:hAnsi="Times New Roman"/>
          <w:sz w:val="24"/>
          <w:szCs w:val="24"/>
          <w:lang w:val="en"/>
        </w:rPr>
        <w:t xml:space="preserve"> </w:t>
      </w:r>
      <w:r w:rsidR="005E4C30" w:rsidRPr="006A5FBD">
        <w:rPr>
          <w:rStyle w:val="jlqj4b"/>
          <w:rFonts w:ascii="Times New Roman" w:hAnsi="Times New Roman"/>
          <w:sz w:val="24"/>
          <w:szCs w:val="24"/>
          <w:lang w:val="en"/>
        </w:rPr>
        <w:t xml:space="preserve">blood flow, which play an important role in drug metabolism, decreases, and these </w:t>
      </w:r>
      <w:r w:rsidR="00671987">
        <w:rPr>
          <w:rStyle w:val="jlqj4b"/>
          <w:rFonts w:ascii="Times New Roman" w:hAnsi="Times New Roman"/>
          <w:sz w:val="24"/>
          <w:szCs w:val="24"/>
          <w:lang w:val="en"/>
        </w:rPr>
        <w:t>alterations</w:t>
      </w:r>
      <w:r w:rsidR="00671987" w:rsidRPr="006A5FBD">
        <w:rPr>
          <w:rStyle w:val="jlqj4b"/>
          <w:rFonts w:ascii="Times New Roman" w:hAnsi="Times New Roman"/>
          <w:sz w:val="24"/>
          <w:szCs w:val="24"/>
          <w:lang w:val="en"/>
        </w:rPr>
        <w:t xml:space="preserve"> </w:t>
      </w:r>
      <w:r w:rsidR="005E4C30" w:rsidRPr="006A5FBD">
        <w:rPr>
          <w:rStyle w:val="jlqj4b"/>
          <w:rFonts w:ascii="Times New Roman" w:hAnsi="Times New Roman"/>
          <w:sz w:val="24"/>
          <w:szCs w:val="24"/>
          <w:lang w:val="en"/>
        </w:rPr>
        <w:t>cause changes in the effect of the drug</w:t>
      </w:r>
      <w:r w:rsidR="00386F87">
        <w:rPr>
          <w:rStyle w:val="jlqj4b"/>
          <w:rFonts w:ascii="Times New Roman" w:hAnsi="Times New Roman"/>
          <w:sz w:val="24"/>
          <w:szCs w:val="24"/>
          <w:lang w:val="en"/>
        </w:rPr>
        <w:t>s</w:t>
      </w:r>
      <w:r w:rsidR="005E4C30" w:rsidRPr="006A5FBD">
        <w:rPr>
          <w:rStyle w:val="jlqj4b"/>
          <w:rFonts w:ascii="Times New Roman" w:hAnsi="Times New Roman"/>
          <w:sz w:val="24"/>
          <w:szCs w:val="24"/>
          <w:lang w:val="en"/>
        </w:rPr>
        <w:t xml:space="preserve"> in the body </w:t>
      </w:r>
      <w:r w:rsidR="00BF71BF">
        <w:rPr>
          <w:rStyle w:val="jlqj4b"/>
          <w:rFonts w:ascii="Times New Roman" w:hAnsi="Times New Roman"/>
          <w:sz w:val="24"/>
          <w:szCs w:val="24"/>
          <w:lang w:val="en"/>
        </w:rPr>
        <w:t>[</w:t>
      </w:r>
      <w:r w:rsidR="005E4C30" w:rsidRPr="006A5FBD">
        <w:rPr>
          <w:rStyle w:val="jlqj4b"/>
          <w:rFonts w:ascii="Times New Roman" w:hAnsi="Times New Roman"/>
          <w:sz w:val="24"/>
          <w:szCs w:val="24"/>
          <w:lang w:val="en"/>
        </w:rPr>
        <w:t>4, 5</w:t>
      </w:r>
      <w:r w:rsidR="00BF71BF">
        <w:rPr>
          <w:rStyle w:val="jlqj4b"/>
          <w:rFonts w:ascii="Times New Roman" w:hAnsi="Times New Roman"/>
          <w:sz w:val="24"/>
          <w:szCs w:val="24"/>
          <w:lang w:val="en"/>
        </w:rPr>
        <w:t>]</w:t>
      </w:r>
      <w:r w:rsidR="005E4C30" w:rsidRPr="006A5FBD">
        <w:rPr>
          <w:rStyle w:val="jlqj4b"/>
          <w:rFonts w:ascii="Times New Roman" w:hAnsi="Times New Roman"/>
          <w:sz w:val="24"/>
          <w:szCs w:val="24"/>
          <w:lang w:val="en"/>
        </w:rPr>
        <w:t>.</w:t>
      </w:r>
      <w:r w:rsidR="00A42F8D" w:rsidRPr="006A5FBD">
        <w:rPr>
          <w:rStyle w:val="jlqj4b"/>
          <w:rFonts w:ascii="Times New Roman" w:hAnsi="Times New Roman"/>
          <w:sz w:val="24"/>
          <w:szCs w:val="24"/>
          <w:lang w:val="en"/>
        </w:rPr>
        <w:t xml:space="preserve"> For many reasons, the geriatric population is a sensitive group and drug use should not be considered as in other adult individuals.</w:t>
      </w:r>
      <w:r w:rsidR="006653CD" w:rsidRPr="006A5FBD">
        <w:rPr>
          <w:rStyle w:val="jlqj4b"/>
          <w:rFonts w:ascii="Times New Roman" w:hAnsi="Times New Roman"/>
          <w:sz w:val="24"/>
          <w:szCs w:val="24"/>
          <w:lang w:val="en"/>
        </w:rPr>
        <w:t xml:space="preserve"> </w:t>
      </w:r>
      <w:r w:rsidR="00FB1FDF" w:rsidRPr="006A5FBD">
        <w:rPr>
          <w:rStyle w:val="jlqj4b"/>
          <w:rFonts w:ascii="Times New Roman" w:hAnsi="Times New Roman"/>
          <w:sz w:val="24"/>
          <w:szCs w:val="24"/>
          <w:lang w:val="en"/>
        </w:rPr>
        <w:t>In this study, prescriptions for geriatric patients were analyzed.</w:t>
      </w:r>
      <w:r w:rsidR="00FB1FDF" w:rsidRPr="006A5FBD">
        <w:rPr>
          <w:rStyle w:val="viiyi"/>
          <w:rFonts w:ascii="Times New Roman" w:hAnsi="Times New Roman"/>
          <w:sz w:val="24"/>
          <w:szCs w:val="24"/>
          <w:lang w:val="en"/>
        </w:rPr>
        <w:t xml:space="preserve"> </w:t>
      </w:r>
      <w:r w:rsidR="00FB1FDF" w:rsidRPr="006A5FBD">
        <w:rPr>
          <w:rStyle w:val="jlqj4b"/>
          <w:rFonts w:ascii="Times New Roman" w:hAnsi="Times New Roman"/>
          <w:sz w:val="24"/>
          <w:szCs w:val="24"/>
          <w:lang w:val="en"/>
        </w:rPr>
        <w:t>Especially drug interactions were evaluated in prescriptions and it was aimed to raise awareness that ordinary outpatient prescriptions could lead to important complications for patients.</w:t>
      </w:r>
      <w:r w:rsidR="00A66CE4" w:rsidRPr="006A5FBD">
        <w:rPr>
          <w:rStyle w:val="jlqj4b"/>
          <w:rFonts w:ascii="Times New Roman" w:hAnsi="Times New Roman"/>
          <w:sz w:val="24"/>
          <w:szCs w:val="24"/>
          <w:lang w:val="en"/>
        </w:rPr>
        <w:t xml:space="preserve"> </w:t>
      </w:r>
    </w:p>
    <w:p w14:paraId="7CC9D29C" w14:textId="77777777" w:rsidR="008E0655" w:rsidRPr="006A5FBD" w:rsidRDefault="008E0655">
      <w:pPr>
        <w:rPr>
          <w:rStyle w:val="jlqj4b"/>
          <w:rFonts w:ascii="Times New Roman" w:hAnsi="Times New Roman"/>
          <w:b/>
          <w:sz w:val="24"/>
          <w:szCs w:val="24"/>
          <w:lang w:val="en"/>
        </w:rPr>
      </w:pPr>
      <w:r w:rsidRPr="006A5FBD">
        <w:rPr>
          <w:rStyle w:val="jlqj4b"/>
          <w:rFonts w:ascii="Times New Roman" w:hAnsi="Times New Roman"/>
          <w:b/>
          <w:sz w:val="24"/>
          <w:szCs w:val="24"/>
          <w:lang w:val="en"/>
        </w:rPr>
        <w:br w:type="page"/>
      </w:r>
    </w:p>
    <w:p w14:paraId="65A1AB2C" w14:textId="77777777" w:rsidR="005B7781" w:rsidRPr="006A5FBD" w:rsidRDefault="005B7781" w:rsidP="00F5575F">
      <w:pPr>
        <w:spacing w:line="360" w:lineRule="auto"/>
        <w:jc w:val="both"/>
        <w:rPr>
          <w:rStyle w:val="jlqj4b"/>
          <w:rFonts w:ascii="Times New Roman" w:hAnsi="Times New Roman"/>
          <w:b/>
          <w:sz w:val="24"/>
          <w:szCs w:val="24"/>
          <w:lang w:val="en"/>
        </w:rPr>
      </w:pPr>
      <w:r w:rsidRPr="006A5FBD">
        <w:rPr>
          <w:rStyle w:val="jlqj4b"/>
          <w:rFonts w:ascii="Times New Roman" w:hAnsi="Times New Roman"/>
          <w:b/>
          <w:sz w:val="24"/>
          <w:szCs w:val="24"/>
          <w:lang w:val="en"/>
        </w:rPr>
        <w:lastRenderedPageBreak/>
        <w:t>MATERIALS AND METHODS</w:t>
      </w:r>
    </w:p>
    <w:p w14:paraId="0630A49C" w14:textId="74324758" w:rsidR="002C0CC7" w:rsidRPr="006A5FBD" w:rsidRDefault="006D5BAC"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In the study, prescriptions of patients over the age of 65 who applied to the Internal Medicine Outpatient Clinic between January 2021 and June 2021 were retrospectively analyzed.</w:t>
      </w:r>
      <w:r w:rsidR="00770933" w:rsidRPr="006A5FBD">
        <w:rPr>
          <w:rStyle w:val="jlqj4b"/>
          <w:rFonts w:ascii="Times New Roman" w:hAnsi="Times New Roman"/>
          <w:sz w:val="24"/>
          <w:szCs w:val="24"/>
          <w:lang w:val="en"/>
        </w:rPr>
        <w:t xml:space="preserve"> </w:t>
      </w:r>
      <w:r w:rsidR="008D08AE" w:rsidRPr="008D08AE">
        <w:rPr>
          <w:rFonts w:ascii="Times New Roman" w:hAnsi="Times New Roman"/>
          <w:sz w:val="24"/>
          <w:szCs w:val="24"/>
        </w:rPr>
        <w:t>The study was approved by the ethics committee</w:t>
      </w:r>
      <w:r w:rsidR="008D08AE">
        <w:rPr>
          <w:rFonts w:ascii="Times New Roman" w:hAnsi="Times New Roman"/>
          <w:sz w:val="24"/>
          <w:szCs w:val="24"/>
        </w:rPr>
        <w:t xml:space="preserve"> (14.12.2021/36).</w:t>
      </w:r>
      <w:r w:rsidR="00770933" w:rsidRPr="006A5FBD">
        <w:rPr>
          <w:rStyle w:val="jlqj4b"/>
          <w:rFonts w:ascii="Times New Roman" w:hAnsi="Times New Roman"/>
          <w:sz w:val="24"/>
          <w:szCs w:val="24"/>
          <w:lang w:val="en"/>
        </w:rPr>
        <w:t xml:space="preserve"> </w:t>
      </w:r>
    </w:p>
    <w:p w14:paraId="13279E2F" w14:textId="77777777" w:rsidR="00801374" w:rsidRPr="006A5FBD" w:rsidRDefault="00801374"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The number of drugs in the prescription was determined as a minimum of 4, prescriptions with 3 or</w:t>
      </w:r>
      <w:r w:rsidR="00830BFD">
        <w:rPr>
          <w:rStyle w:val="jlqj4b"/>
          <w:rFonts w:ascii="Times New Roman" w:hAnsi="Times New Roman"/>
          <w:sz w:val="24"/>
          <w:szCs w:val="24"/>
          <w:lang w:val="en"/>
        </w:rPr>
        <w:t xml:space="preserve"> fewer</w:t>
      </w:r>
      <w:r w:rsidR="007A7636">
        <w:rPr>
          <w:rStyle w:val="jlqj4b"/>
          <w:rFonts w:ascii="Times New Roman" w:hAnsi="Times New Roman"/>
          <w:sz w:val="24"/>
          <w:szCs w:val="24"/>
          <w:lang w:val="en"/>
        </w:rPr>
        <w:t xml:space="preserve"> </w:t>
      </w:r>
      <w:r w:rsidRPr="006A5FBD">
        <w:rPr>
          <w:rStyle w:val="jlqj4b"/>
          <w:rFonts w:ascii="Times New Roman" w:hAnsi="Times New Roman"/>
          <w:sz w:val="24"/>
          <w:szCs w:val="24"/>
          <w:lang w:val="en"/>
        </w:rPr>
        <w:t>drugs were not included in the study.</w:t>
      </w:r>
      <w:r w:rsidR="00BF7275" w:rsidRPr="006A5FBD">
        <w:rPr>
          <w:rStyle w:val="jlqj4b"/>
          <w:rFonts w:ascii="Times New Roman" w:hAnsi="Times New Roman"/>
          <w:sz w:val="24"/>
          <w:szCs w:val="24"/>
          <w:lang w:val="en"/>
        </w:rPr>
        <w:t xml:space="preserve"> Drug interactions are classified into three levels, “Low”, “Moderate” and “Major”, according to the clinical severity of the interaction.</w:t>
      </w:r>
      <w:r w:rsidR="00BF7275" w:rsidRPr="006A5FBD">
        <w:rPr>
          <w:rStyle w:val="viiyi"/>
          <w:rFonts w:ascii="Times New Roman" w:hAnsi="Times New Roman"/>
          <w:sz w:val="24"/>
          <w:szCs w:val="24"/>
          <w:lang w:val="en"/>
        </w:rPr>
        <w:t xml:space="preserve"> </w:t>
      </w:r>
      <w:r w:rsidR="00BF7275" w:rsidRPr="006A5FBD">
        <w:rPr>
          <w:rStyle w:val="jlqj4b"/>
          <w:rFonts w:ascii="Times New Roman" w:hAnsi="Times New Roman"/>
          <w:sz w:val="24"/>
          <w:szCs w:val="24"/>
          <w:lang w:val="en"/>
        </w:rPr>
        <w:t>Low-level interactions, such as decreased elimination of vitamin B12;</w:t>
      </w:r>
      <w:r w:rsidR="00BF7275" w:rsidRPr="006A5FBD">
        <w:rPr>
          <w:rStyle w:val="viiyi"/>
          <w:rFonts w:ascii="Times New Roman" w:hAnsi="Times New Roman"/>
          <w:sz w:val="24"/>
          <w:szCs w:val="24"/>
          <w:lang w:val="en"/>
        </w:rPr>
        <w:t xml:space="preserve"> </w:t>
      </w:r>
      <w:r w:rsidR="00BF7275" w:rsidRPr="006A5FBD">
        <w:rPr>
          <w:rStyle w:val="jlqj4b"/>
          <w:rFonts w:ascii="Times New Roman" w:hAnsi="Times New Roman"/>
          <w:sz w:val="24"/>
          <w:szCs w:val="24"/>
          <w:lang w:val="en"/>
        </w:rPr>
        <w:t>moderate interactions include additive interactions that are not serious when some drugs are used together, and major-level interactions include interactions that can be life-threatening.</w:t>
      </w:r>
    </w:p>
    <w:p w14:paraId="71EC3CAD" w14:textId="77777777" w:rsidR="000E2080" w:rsidRPr="006A5FBD" w:rsidRDefault="008322FF" w:rsidP="00F5575F">
      <w:pPr>
        <w:spacing w:line="360" w:lineRule="auto"/>
        <w:jc w:val="both"/>
        <w:rPr>
          <w:rStyle w:val="jlqj4b"/>
          <w:rFonts w:ascii="Times New Roman" w:hAnsi="Times New Roman"/>
          <w:b/>
          <w:sz w:val="24"/>
          <w:szCs w:val="24"/>
          <w:lang w:val="en"/>
        </w:rPr>
      </w:pPr>
      <w:r w:rsidRPr="006A5FBD">
        <w:rPr>
          <w:rStyle w:val="jlqj4b"/>
          <w:rFonts w:ascii="Times New Roman" w:hAnsi="Times New Roman"/>
          <w:b/>
          <w:sz w:val="24"/>
          <w:szCs w:val="24"/>
          <w:lang w:val="en"/>
        </w:rPr>
        <w:t>RESULTS</w:t>
      </w:r>
    </w:p>
    <w:p w14:paraId="0EE09D41" w14:textId="77777777" w:rsidR="008322FF" w:rsidRPr="006A5FBD" w:rsidRDefault="00EF14FB"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119 prescriptions were included in the study.</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46.22% (n=55) of the prescriptions belong</w:t>
      </w:r>
      <w:r w:rsidR="00830BFD">
        <w:rPr>
          <w:rStyle w:val="jlqj4b"/>
          <w:rFonts w:ascii="Times New Roman" w:hAnsi="Times New Roman"/>
          <w:sz w:val="24"/>
          <w:szCs w:val="24"/>
          <w:lang w:val="en"/>
        </w:rPr>
        <w:t>ed</w:t>
      </w:r>
      <w:r w:rsidRPr="006A5FBD">
        <w:rPr>
          <w:rStyle w:val="jlqj4b"/>
          <w:rFonts w:ascii="Times New Roman" w:hAnsi="Times New Roman"/>
          <w:sz w:val="24"/>
          <w:szCs w:val="24"/>
          <w:lang w:val="en"/>
        </w:rPr>
        <w:t xml:space="preserve"> to women and 53.78% (n=64) of them belong</w:t>
      </w:r>
      <w:r w:rsidR="00830BFD">
        <w:rPr>
          <w:rStyle w:val="jlqj4b"/>
          <w:rFonts w:ascii="Times New Roman" w:hAnsi="Times New Roman"/>
          <w:sz w:val="24"/>
          <w:szCs w:val="24"/>
          <w:lang w:val="en"/>
        </w:rPr>
        <w:t>ed</w:t>
      </w:r>
      <w:r w:rsidRPr="006A5FBD">
        <w:rPr>
          <w:rStyle w:val="jlqj4b"/>
          <w:rFonts w:ascii="Times New Roman" w:hAnsi="Times New Roman"/>
          <w:sz w:val="24"/>
          <w:szCs w:val="24"/>
          <w:lang w:val="en"/>
        </w:rPr>
        <w:t xml:space="preserve"> to men.</w:t>
      </w:r>
      <w:r w:rsidR="00C20619" w:rsidRPr="006A5FBD">
        <w:rPr>
          <w:rStyle w:val="jlqj4b"/>
          <w:rFonts w:ascii="Times New Roman" w:hAnsi="Times New Roman"/>
          <w:sz w:val="24"/>
          <w:szCs w:val="24"/>
          <w:lang w:val="en"/>
        </w:rPr>
        <w:t xml:space="preserve"> The average number of drugs in prescriptions </w:t>
      </w:r>
      <w:r w:rsidR="00830BFD">
        <w:rPr>
          <w:rStyle w:val="jlqj4b"/>
          <w:rFonts w:ascii="Times New Roman" w:hAnsi="Times New Roman"/>
          <w:sz w:val="24"/>
          <w:szCs w:val="24"/>
          <w:lang w:val="en"/>
        </w:rPr>
        <w:t xml:space="preserve">was </w:t>
      </w:r>
      <w:r w:rsidR="00C20619" w:rsidRPr="006A5FBD">
        <w:rPr>
          <w:rStyle w:val="jlqj4b"/>
          <w:rFonts w:ascii="Times New Roman" w:hAnsi="Times New Roman"/>
          <w:sz w:val="24"/>
          <w:szCs w:val="24"/>
          <w:lang w:val="en"/>
        </w:rPr>
        <w:t>5.23 (min 4 max 12).</w:t>
      </w:r>
      <w:r w:rsidR="00C20619" w:rsidRPr="006A5FBD">
        <w:rPr>
          <w:rStyle w:val="viiyi"/>
          <w:rFonts w:ascii="Times New Roman" w:hAnsi="Times New Roman"/>
          <w:sz w:val="24"/>
          <w:szCs w:val="24"/>
          <w:lang w:val="en"/>
        </w:rPr>
        <w:t xml:space="preserve"> </w:t>
      </w:r>
      <w:r w:rsidR="00C20619" w:rsidRPr="006A5FBD">
        <w:rPr>
          <w:rStyle w:val="jlqj4b"/>
          <w:rFonts w:ascii="Times New Roman" w:hAnsi="Times New Roman"/>
          <w:sz w:val="24"/>
          <w:szCs w:val="24"/>
          <w:lang w:val="en"/>
        </w:rPr>
        <w:t xml:space="preserve">The average age of prescription holders </w:t>
      </w:r>
      <w:r w:rsidR="00830BFD">
        <w:rPr>
          <w:rStyle w:val="jlqj4b"/>
          <w:rFonts w:ascii="Times New Roman" w:hAnsi="Times New Roman"/>
          <w:sz w:val="24"/>
          <w:szCs w:val="24"/>
          <w:lang w:val="en"/>
        </w:rPr>
        <w:t xml:space="preserve">was </w:t>
      </w:r>
      <w:r w:rsidR="00C20619" w:rsidRPr="006A5FBD">
        <w:rPr>
          <w:rStyle w:val="jlqj4b"/>
          <w:rFonts w:ascii="Times New Roman" w:hAnsi="Times New Roman"/>
          <w:sz w:val="24"/>
          <w:szCs w:val="24"/>
          <w:lang w:val="en"/>
        </w:rPr>
        <w:t>69.44 years.</w:t>
      </w:r>
      <w:r w:rsidR="002A6F78" w:rsidRPr="006A5FBD">
        <w:rPr>
          <w:rStyle w:val="jlqj4b"/>
          <w:rFonts w:ascii="Times New Roman" w:hAnsi="Times New Roman"/>
          <w:sz w:val="24"/>
          <w:szCs w:val="24"/>
          <w:lang w:val="en"/>
        </w:rPr>
        <w:t xml:space="preserve"> The mean age of female patients was 69.56 (min 65 max 85);</w:t>
      </w:r>
      <w:r w:rsidR="002A6F78" w:rsidRPr="006A5FBD">
        <w:rPr>
          <w:rStyle w:val="viiyi"/>
          <w:rFonts w:ascii="Times New Roman" w:hAnsi="Times New Roman"/>
          <w:sz w:val="24"/>
          <w:szCs w:val="24"/>
          <w:lang w:val="en"/>
        </w:rPr>
        <w:t xml:space="preserve"> </w:t>
      </w:r>
      <w:r w:rsidR="002A6F78" w:rsidRPr="006A5FBD">
        <w:rPr>
          <w:rStyle w:val="jlqj4b"/>
          <w:rFonts w:ascii="Times New Roman" w:hAnsi="Times New Roman"/>
          <w:sz w:val="24"/>
          <w:szCs w:val="24"/>
          <w:lang w:val="en"/>
        </w:rPr>
        <w:t xml:space="preserve">mean age of male patients </w:t>
      </w:r>
      <w:r w:rsidR="00830BFD">
        <w:rPr>
          <w:rStyle w:val="jlqj4b"/>
          <w:rFonts w:ascii="Times New Roman" w:hAnsi="Times New Roman"/>
          <w:sz w:val="24"/>
          <w:szCs w:val="24"/>
          <w:lang w:val="en"/>
        </w:rPr>
        <w:t>was</w:t>
      </w:r>
      <w:r w:rsidR="002A6F78" w:rsidRPr="006A5FBD">
        <w:rPr>
          <w:rStyle w:val="jlqj4b"/>
          <w:rFonts w:ascii="Times New Roman" w:hAnsi="Times New Roman"/>
          <w:sz w:val="24"/>
          <w:szCs w:val="24"/>
          <w:lang w:val="en"/>
        </w:rPr>
        <w:t xml:space="preserve"> 69.32 (min 66, max 82).</w:t>
      </w:r>
      <w:r w:rsidR="002A6F78" w:rsidRPr="006A5FBD">
        <w:rPr>
          <w:rStyle w:val="viiyi"/>
          <w:rFonts w:ascii="Times New Roman" w:hAnsi="Times New Roman"/>
          <w:sz w:val="24"/>
          <w:szCs w:val="24"/>
          <w:lang w:val="en"/>
        </w:rPr>
        <w:t xml:space="preserve"> </w:t>
      </w:r>
      <w:r w:rsidR="002A6F78" w:rsidRPr="006A5FBD">
        <w:rPr>
          <w:rStyle w:val="jlqj4b"/>
          <w:rFonts w:ascii="Times New Roman" w:hAnsi="Times New Roman"/>
          <w:sz w:val="24"/>
          <w:szCs w:val="24"/>
          <w:lang w:val="en"/>
        </w:rPr>
        <w:t>There was no significant difference between the mean age of women and men (p&gt;0.05).</w:t>
      </w:r>
    </w:p>
    <w:p w14:paraId="59FD8960" w14:textId="77777777" w:rsidR="009A35E6" w:rsidRPr="006A5FBD" w:rsidRDefault="009A35E6"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A total of 4 major, 46 </w:t>
      </w:r>
      <w:r w:rsidR="00804F5C" w:rsidRPr="006A5FBD">
        <w:rPr>
          <w:rStyle w:val="jlqj4b"/>
          <w:rFonts w:ascii="Times New Roman" w:hAnsi="Times New Roman"/>
          <w:sz w:val="24"/>
          <w:szCs w:val="24"/>
          <w:lang w:val="en"/>
        </w:rPr>
        <w:t xml:space="preserve">moderate </w:t>
      </w:r>
      <w:r w:rsidRPr="006A5FBD">
        <w:rPr>
          <w:rStyle w:val="jlqj4b"/>
          <w:rFonts w:ascii="Times New Roman" w:hAnsi="Times New Roman"/>
          <w:sz w:val="24"/>
          <w:szCs w:val="24"/>
          <w:lang w:val="en"/>
        </w:rPr>
        <w:t>and 10 low-level interactions were</w:t>
      </w:r>
      <w:r w:rsidR="006A5FBD">
        <w:rPr>
          <w:rStyle w:val="jlqj4b"/>
          <w:rFonts w:ascii="Times New Roman" w:hAnsi="Times New Roman"/>
          <w:sz w:val="24"/>
          <w:szCs w:val="24"/>
          <w:lang w:val="en"/>
        </w:rPr>
        <w:t xml:space="preserve"> detected in </w:t>
      </w:r>
      <w:proofErr w:type="gramStart"/>
      <w:r w:rsidR="006A5FBD">
        <w:rPr>
          <w:rStyle w:val="jlqj4b"/>
          <w:rFonts w:ascii="Times New Roman" w:hAnsi="Times New Roman"/>
          <w:sz w:val="24"/>
          <w:szCs w:val="24"/>
          <w:lang w:val="en"/>
        </w:rPr>
        <w:t xml:space="preserve">119 </w:t>
      </w:r>
      <w:r w:rsidR="00830BFD">
        <w:rPr>
          <w:rStyle w:val="jlqj4b"/>
          <w:rFonts w:ascii="Times New Roman" w:hAnsi="Times New Roman"/>
          <w:sz w:val="24"/>
          <w:szCs w:val="24"/>
          <w:lang w:val="en"/>
        </w:rPr>
        <w:t xml:space="preserve"> prescriptions</w:t>
      </w:r>
      <w:proofErr w:type="gramEnd"/>
      <w:r w:rsidR="00830BFD">
        <w:rPr>
          <w:rStyle w:val="jlqj4b"/>
          <w:rFonts w:ascii="Times New Roman" w:hAnsi="Times New Roman"/>
          <w:sz w:val="24"/>
          <w:szCs w:val="24"/>
          <w:lang w:val="en"/>
        </w:rPr>
        <w:t xml:space="preserve"> </w:t>
      </w:r>
      <w:r w:rsidR="006A5FBD">
        <w:rPr>
          <w:rStyle w:val="jlqj4b"/>
          <w:rFonts w:ascii="Times New Roman" w:hAnsi="Times New Roman"/>
          <w:sz w:val="24"/>
          <w:szCs w:val="24"/>
          <w:lang w:val="en"/>
        </w:rPr>
        <w:t xml:space="preserve">in the </w:t>
      </w:r>
      <w:r w:rsidRPr="006A5FBD">
        <w:rPr>
          <w:rStyle w:val="jlqj4b"/>
          <w:rFonts w:ascii="Times New Roman" w:hAnsi="Times New Roman"/>
          <w:sz w:val="24"/>
          <w:szCs w:val="24"/>
          <w:lang w:val="en"/>
        </w:rPr>
        <w:t>study, and no interaction was detected in 22 prescriptions.</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The interaction contents are indicated in Table 1.</w:t>
      </w:r>
    </w:p>
    <w:tbl>
      <w:tblPr>
        <w:tblW w:w="4841" w:type="dxa"/>
        <w:jc w:val="center"/>
        <w:tblCellMar>
          <w:left w:w="70" w:type="dxa"/>
          <w:right w:w="70" w:type="dxa"/>
        </w:tblCellMar>
        <w:tblLook w:val="04A0" w:firstRow="1" w:lastRow="0" w:firstColumn="1" w:lastColumn="0" w:noHBand="0" w:noVBand="1"/>
      </w:tblPr>
      <w:tblGrid>
        <w:gridCol w:w="3941"/>
        <w:gridCol w:w="923"/>
      </w:tblGrid>
      <w:tr w:rsidR="00C018FC" w:rsidRPr="006A5FBD" w14:paraId="75477F7C" w14:textId="77777777" w:rsidTr="005F76B4">
        <w:trPr>
          <w:trHeight w:val="255"/>
          <w:jc w:val="center"/>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FBA4" w14:textId="77777777" w:rsidR="00C018FC" w:rsidRPr="006A5FBD" w:rsidRDefault="00947FF4" w:rsidP="005F76B4">
            <w:pPr>
              <w:spacing w:after="0" w:line="360" w:lineRule="auto"/>
              <w:jc w:val="both"/>
              <w:rPr>
                <w:rFonts w:ascii="Times New Roman" w:eastAsia="Times New Roman" w:hAnsi="Times New Roman"/>
                <w:b/>
                <w:bCs/>
                <w:lang w:eastAsia="tr-TR"/>
              </w:rPr>
            </w:pPr>
            <w:r w:rsidRPr="006A5FBD">
              <w:rPr>
                <w:rFonts w:ascii="Times New Roman" w:eastAsia="Times New Roman" w:hAnsi="Times New Roman"/>
                <w:b/>
                <w:bCs/>
                <w:lang w:eastAsia="tr-TR"/>
              </w:rPr>
              <w:t>Interaction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41C5A2" w14:textId="77777777" w:rsidR="00C018FC" w:rsidRPr="006A5FBD" w:rsidRDefault="00947FF4" w:rsidP="005F76B4">
            <w:pPr>
              <w:spacing w:after="0" w:line="360" w:lineRule="auto"/>
              <w:jc w:val="both"/>
              <w:rPr>
                <w:rFonts w:ascii="Times New Roman" w:eastAsia="Times New Roman" w:hAnsi="Times New Roman"/>
                <w:b/>
                <w:bCs/>
                <w:lang w:eastAsia="tr-TR"/>
              </w:rPr>
            </w:pPr>
            <w:r w:rsidRPr="006A5FBD">
              <w:rPr>
                <w:rFonts w:ascii="Times New Roman" w:eastAsia="Times New Roman" w:hAnsi="Times New Roman"/>
                <w:b/>
                <w:bCs/>
                <w:lang w:eastAsia="tr-TR"/>
              </w:rPr>
              <w:t>Number</w:t>
            </w:r>
          </w:p>
        </w:tc>
      </w:tr>
      <w:tr w:rsidR="00C018FC" w:rsidRPr="006A5FBD" w14:paraId="428F1434"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52F2BB9F" w14:textId="77777777" w:rsidR="00C018FC" w:rsidRPr="006A5FBD" w:rsidRDefault="00947FF4" w:rsidP="005F76B4">
            <w:pPr>
              <w:spacing w:after="0" w:line="360" w:lineRule="auto"/>
              <w:jc w:val="both"/>
              <w:rPr>
                <w:rFonts w:ascii="Times New Roman" w:eastAsia="Times New Roman" w:hAnsi="Times New Roman"/>
                <w:i/>
                <w:iCs/>
                <w:lang w:eastAsia="tr-TR"/>
              </w:rPr>
            </w:pPr>
            <w:r w:rsidRPr="006A5FBD">
              <w:rPr>
                <w:rFonts w:ascii="Times New Roman" w:eastAsia="Times New Roman" w:hAnsi="Times New Roman"/>
                <w:i/>
                <w:iCs/>
                <w:lang w:eastAsia="tr-TR"/>
              </w:rPr>
              <w:t>Major</w:t>
            </w:r>
          </w:p>
        </w:tc>
        <w:tc>
          <w:tcPr>
            <w:tcW w:w="900" w:type="dxa"/>
            <w:tcBorders>
              <w:top w:val="nil"/>
              <w:left w:val="nil"/>
              <w:bottom w:val="single" w:sz="4" w:space="0" w:color="auto"/>
              <w:right w:val="single" w:sz="4" w:space="0" w:color="auto"/>
            </w:tcBorders>
            <w:shd w:val="clear" w:color="auto" w:fill="auto"/>
            <w:noWrap/>
            <w:vAlign w:val="bottom"/>
            <w:hideMark/>
          </w:tcPr>
          <w:p w14:paraId="45149B1A"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 </w:t>
            </w:r>
          </w:p>
        </w:tc>
      </w:tr>
      <w:tr w:rsidR="00C018FC" w:rsidRPr="006A5FBD" w14:paraId="1CD94B0C"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0606EDFA" w14:textId="77777777" w:rsidR="00C018FC" w:rsidRPr="006A5FBD" w:rsidRDefault="00740E6D"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Quinolone x Antidiabetics</w:t>
            </w:r>
          </w:p>
        </w:tc>
        <w:tc>
          <w:tcPr>
            <w:tcW w:w="900" w:type="dxa"/>
            <w:tcBorders>
              <w:top w:val="nil"/>
              <w:left w:val="nil"/>
              <w:bottom w:val="single" w:sz="4" w:space="0" w:color="auto"/>
              <w:right w:val="single" w:sz="4" w:space="0" w:color="auto"/>
            </w:tcBorders>
            <w:shd w:val="clear" w:color="auto" w:fill="auto"/>
            <w:noWrap/>
            <w:vAlign w:val="bottom"/>
            <w:hideMark/>
          </w:tcPr>
          <w:p w14:paraId="52E4568D"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3</w:t>
            </w:r>
          </w:p>
        </w:tc>
      </w:tr>
      <w:tr w:rsidR="00C018FC" w:rsidRPr="006A5FBD" w14:paraId="7ABB0993"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720CD72" w14:textId="77777777" w:rsidR="00C018FC" w:rsidRPr="006A5FBD" w:rsidRDefault="006055A9" w:rsidP="005F76B4">
            <w:pPr>
              <w:spacing w:after="0" w:line="360" w:lineRule="auto"/>
              <w:jc w:val="both"/>
              <w:rPr>
                <w:rFonts w:ascii="Times New Roman" w:eastAsia="Times New Roman" w:hAnsi="Times New Roman"/>
                <w:lang w:eastAsia="tr-TR"/>
              </w:rPr>
            </w:pPr>
            <w:proofErr w:type="spellStart"/>
            <w:r w:rsidRPr="006A5FBD">
              <w:rPr>
                <w:rStyle w:val="jlqj4b"/>
                <w:rFonts w:ascii="Times New Roman" w:hAnsi="Times New Roman"/>
                <w:lang w:val="en"/>
              </w:rPr>
              <w:t>Antigut</w:t>
            </w:r>
            <w:proofErr w:type="spellEnd"/>
            <w:r w:rsidRPr="006A5FBD">
              <w:rPr>
                <w:rStyle w:val="jlqj4b"/>
                <w:rFonts w:ascii="Times New Roman" w:hAnsi="Times New Roman"/>
                <w:lang w:val="en"/>
              </w:rPr>
              <w:t xml:space="preserve"> x Diltiazem</w:t>
            </w:r>
          </w:p>
        </w:tc>
        <w:tc>
          <w:tcPr>
            <w:tcW w:w="900" w:type="dxa"/>
            <w:tcBorders>
              <w:top w:val="nil"/>
              <w:left w:val="nil"/>
              <w:bottom w:val="single" w:sz="4" w:space="0" w:color="auto"/>
              <w:right w:val="single" w:sz="4" w:space="0" w:color="auto"/>
            </w:tcBorders>
            <w:shd w:val="clear" w:color="auto" w:fill="auto"/>
            <w:noWrap/>
            <w:vAlign w:val="bottom"/>
          </w:tcPr>
          <w:p w14:paraId="20767033"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1</w:t>
            </w:r>
          </w:p>
        </w:tc>
      </w:tr>
      <w:tr w:rsidR="00C018FC" w:rsidRPr="006A5FBD" w14:paraId="442D9FD3"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746B3D51" w14:textId="77777777" w:rsidR="00C018FC" w:rsidRPr="006A5FBD" w:rsidRDefault="00804F5C" w:rsidP="005F76B4">
            <w:pPr>
              <w:spacing w:after="0" w:line="360" w:lineRule="auto"/>
              <w:jc w:val="both"/>
              <w:rPr>
                <w:rFonts w:ascii="Times New Roman" w:eastAsia="Times New Roman" w:hAnsi="Times New Roman"/>
                <w:i/>
                <w:iCs/>
                <w:lang w:eastAsia="tr-TR"/>
              </w:rPr>
            </w:pPr>
            <w:r w:rsidRPr="006A5FBD">
              <w:rPr>
                <w:rStyle w:val="jlqj4b"/>
                <w:rFonts w:ascii="Times New Roman" w:hAnsi="Times New Roman"/>
                <w:i/>
                <w:sz w:val="24"/>
                <w:szCs w:val="24"/>
                <w:lang w:val="en"/>
              </w:rPr>
              <w:t>Moderate</w:t>
            </w:r>
          </w:p>
        </w:tc>
        <w:tc>
          <w:tcPr>
            <w:tcW w:w="900" w:type="dxa"/>
            <w:tcBorders>
              <w:top w:val="nil"/>
              <w:left w:val="nil"/>
              <w:bottom w:val="single" w:sz="4" w:space="0" w:color="auto"/>
              <w:right w:val="single" w:sz="4" w:space="0" w:color="auto"/>
            </w:tcBorders>
            <w:shd w:val="clear" w:color="auto" w:fill="auto"/>
            <w:noWrap/>
            <w:vAlign w:val="bottom"/>
            <w:hideMark/>
          </w:tcPr>
          <w:p w14:paraId="511C4270"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 </w:t>
            </w:r>
          </w:p>
        </w:tc>
      </w:tr>
      <w:tr w:rsidR="00C018FC" w:rsidRPr="006A5FBD" w14:paraId="35BD8B29"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25593307" w14:textId="77777777" w:rsidR="00C018FC" w:rsidRPr="006A5FBD" w:rsidRDefault="005D1177"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Antidiabetics x Beta-blockers</w:t>
            </w:r>
          </w:p>
        </w:tc>
        <w:tc>
          <w:tcPr>
            <w:tcW w:w="900" w:type="dxa"/>
            <w:tcBorders>
              <w:top w:val="nil"/>
              <w:left w:val="nil"/>
              <w:bottom w:val="single" w:sz="4" w:space="0" w:color="auto"/>
              <w:right w:val="single" w:sz="4" w:space="0" w:color="auto"/>
            </w:tcBorders>
            <w:shd w:val="clear" w:color="auto" w:fill="auto"/>
            <w:noWrap/>
            <w:vAlign w:val="bottom"/>
            <w:hideMark/>
          </w:tcPr>
          <w:p w14:paraId="6A07510F"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5</w:t>
            </w:r>
          </w:p>
        </w:tc>
      </w:tr>
      <w:tr w:rsidR="00C018FC" w:rsidRPr="006A5FBD" w14:paraId="71290839"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43906E26" w14:textId="77777777" w:rsidR="00C018FC" w:rsidRPr="006A5FBD" w:rsidRDefault="00962DE8"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Antidiabetics x Angiotensin-Converting Enzyme (ACE) inhibitors</w:t>
            </w:r>
          </w:p>
        </w:tc>
        <w:tc>
          <w:tcPr>
            <w:tcW w:w="900" w:type="dxa"/>
            <w:tcBorders>
              <w:top w:val="nil"/>
              <w:left w:val="nil"/>
              <w:bottom w:val="single" w:sz="4" w:space="0" w:color="auto"/>
              <w:right w:val="single" w:sz="4" w:space="0" w:color="auto"/>
            </w:tcBorders>
            <w:shd w:val="clear" w:color="auto" w:fill="auto"/>
            <w:noWrap/>
            <w:vAlign w:val="bottom"/>
            <w:hideMark/>
          </w:tcPr>
          <w:p w14:paraId="16DE81DF"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5</w:t>
            </w:r>
          </w:p>
        </w:tc>
      </w:tr>
      <w:tr w:rsidR="00C018FC" w:rsidRPr="006A5FBD" w14:paraId="65280F83"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4E2D6619" w14:textId="77777777" w:rsidR="00C018FC" w:rsidRPr="006A5FBD" w:rsidRDefault="00962DE8"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lastRenderedPageBreak/>
              <w:t>NSAID x Corticosteroid</w:t>
            </w:r>
          </w:p>
        </w:tc>
        <w:tc>
          <w:tcPr>
            <w:tcW w:w="900" w:type="dxa"/>
            <w:tcBorders>
              <w:top w:val="nil"/>
              <w:left w:val="nil"/>
              <w:bottom w:val="single" w:sz="4" w:space="0" w:color="auto"/>
              <w:right w:val="single" w:sz="4" w:space="0" w:color="auto"/>
            </w:tcBorders>
            <w:shd w:val="clear" w:color="auto" w:fill="auto"/>
            <w:noWrap/>
            <w:vAlign w:val="bottom"/>
            <w:hideMark/>
          </w:tcPr>
          <w:p w14:paraId="3EB29C6E"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5</w:t>
            </w:r>
          </w:p>
        </w:tc>
      </w:tr>
      <w:tr w:rsidR="00C018FC" w:rsidRPr="006A5FBD" w14:paraId="04E1C1B7"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4CE7EF7A" w14:textId="77777777" w:rsidR="00C018FC" w:rsidRPr="006A5FBD" w:rsidRDefault="00962DE8"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Diuretics x Digitals</w:t>
            </w:r>
          </w:p>
        </w:tc>
        <w:tc>
          <w:tcPr>
            <w:tcW w:w="900" w:type="dxa"/>
            <w:tcBorders>
              <w:top w:val="nil"/>
              <w:left w:val="nil"/>
              <w:bottom w:val="single" w:sz="4" w:space="0" w:color="auto"/>
              <w:right w:val="single" w:sz="4" w:space="0" w:color="auto"/>
            </w:tcBorders>
            <w:shd w:val="clear" w:color="auto" w:fill="auto"/>
            <w:noWrap/>
            <w:vAlign w:val="bottom"/>
          </w:tcPr>
          <w:p w14:paraId="78DB01D2"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r w:rsidR="00C018FC" w:rsidRPr="006A5FBD" w14:paraId="43CE8B6C"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63D136A9" w14:textId="77777777" w:rsidR="00C018FC" w:rsidRPr="006A5FBD" w:rsidRDefault="00CC1C4E"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NSAID x ACE inhibitors</w:t>
            </w:r>
          </w:p>
        </w:tc>
        <w:tc>
          <w:tcPr>
            <w:tcW w:w="900" w:type="dxa"/>
            <w:tcBorders>
              <w:top w:val="nil"/>
              <w:left w:val="nil"/>
              <w:bottom w:val="single" w:sz="4" w:space="0" w:color="auto"/>
              <w:right w:val="single" w:sz="4" w:space="0" w:color="auto"/>
            </w:tcBorders>
            <w:shd w:val="clear" w:color="auto" w:fill="auto"/>
            <w:noWrap/>
            <w:vAlign w:val="bottom"/>
          </w:tcPr>
          <w:p w14:paraId="6C2ADF89"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r w:rsidR="00C018FC" w:rsidRPr="006A5FBD" w14:paraId="3F13C592"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65C7836D" w14:textId="77777777" w:rsidR="00C018FC" w:rsidRPr="006A5FBD" w:rsidRDefault="00CC1C4E"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Diuretics x ACE inhibitors</w:t>
            </w:r>
          </w:p>
        </w:tc>
        <w:tc>
          <w:tcPr>
            <w:tcW w:w="900" w:type="dxa"/>
            <w:tcBorders>
              <w:top w:val="nil"/>
              <w:left w:val="nil"/>
              <w:bottom w:val="single" w:sz="4" w:space="0" w:color="auto"/>
              <w:right w:val="single" w:sz="4" w:space="0" w:color="auto"/>
            </w:tcBorders>
            <w:shd w:val="clear" w:color="auto" w:fill="auto"/>
            <w:noWrap/>
            <w:vAlign w:val="bottom"/>
          </w:tcPr>
          <w:p w14:paraId="3209DA98"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r w:rsidR="00C018FC" w:rsidRPr="006A5FBD" w14:paraId="6628AE78"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748F4F66" w14:textId="77777777" w:rsidR="00C018FC" w:rsidRPr="006A5FBD" w:rsidRDefault="00CC1C4E"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Antidiabetics x Thiazide</w:t>
            </w:r>
          </w:p>
        </w:tc>
        <w:tc>
          <w:tcPr>
            <w:tcW w:w="900" w:type="dxa"/>
            <w:tcBorders>
              <w:top w:val="nil"/>
              <w:left w:val="nil"/>
              <w:bottom w:val="single" w:sz="4" w:space="0" w:color="auto"/>
              <w:right w:val="single" w:sz="4" w:space="0" w:color="auto"/>
            </w:tcBorders>
            <w:shd w:val="clear" w:color="auto" w:fill="auto"/>
            <w:noWrap/>
            <w:vAlign w:val="bottom"/>
          </w:tcPr>
          <w:p w14:paraId="38E5E255"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r w:rsidR="00C018FC" w:rsidRPr="006A5FBD" w14:paraId="03BF091D"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41BA1865" w14:textId="77777777" w:rsidR="00C018FC" w:rsidRPr="006A5FBD" w:rsidRDefault="00CC1C4E"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Antiplatelets x Statins</w:t>
            </w:r>
          </w:p>
        </w:tc>
        <w:tc>
          <w:tcPr>
            <w:tcW w:w="900" w:type="dxa"/>
            <w:tcBorders>
              <w:top w:val="nil"/>
              <w:left w:val="nil"/>
              <w:bottom w:val="single" w:sz="4" w:space="0" w:color="auto"/>
              <w:right w:val="single" w:sz="4" w:space="0" w:color="auto"/>
            </w:tcBorders>
            <w:shd w:val="clear" w:color="auto" w:fill="auto"/>
            <w:noWrap/>
            <w:vAlign w:val="bottom"/>
          </w:tcPr>
          <w:p w14:paraId="1B46BCA0"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r w:rsidR="00C018FC" w:rsidRPr="006A5FBD" w14:paraId="388B4595"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2CD5FD9" w14:textId="77777777" w:rsidR="00C018FC" w:rsidRPr="006A5FBD" w:rsidRDefault="001E07FF"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PPI x Oral iron preparations</w:t>
            </w:r>
          </w:p>
        </w:tc>
        <w:tc>
          <w:tcPr>
            <w:tcW w:w="900" w:type="dxa"/>
            <w:tcBorders>
              <w:top w:val="nil"/>
              <w:left w:val="nil"/>
              <w:bottom w:val="single" w:sz="4" w:space="0" w:color="auto"/>
              <w:right w:val="single" w:sz="4" w:space="0" w:color="auto"/>
            </w:tcBorders>
            <w:shd w:val="clear" w:color="auto" w:fill="auto"/>
            <w:noWrap/>
            <w:vAlign w:val="bottom"/>
          </w:tcPr>
          <w:p w14:paraId="2BE2D828"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3</w:t>
            </w:r>
          </w:p>
        </w:tc>
      </w:tr>
      <w:tr w:rsidR="00C018FC" w:rsidRPr="006A5FBD" w14:paraId="1F0FE842"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51F930CE" w14:textId="77777777" w:rsidR="00C018FC" w:rsidRPr="006A5FBD" w:rsidRDefault="001E07FF"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Antiplatelets x PPI</w:t>
            </w:r>
          </w:p>
        </w:tc>
        <w:tc>
          <w:tcPr>
            <w:tcW w:w="900" w:type="dxa"/>
            <w:tcBorders>
              <w:top w:val="nil"/>
              <w:left w:val="nil"/>
              <w:bottom w:val="single" w:sz="4" w:space="0" w:color="auto"/>
              <w:right w:val="single" w:sz="4" w:space="0" w:color="auto"/>
            </w:tcBorders>
            <w:shd w:val="clear" w:color="auto" w:fill="auto"/>
            <w:noWrap/>
            <w:vAlign w:val="bottom"/>
          </w:tcPr>
          <w:p w14:paraId="5FD23A35"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3</w:t>
            </w:r>
          </w:p>
        </w:tc>
      </w:tr>
      <w:tr w:rsidR="00C018FC" w:rsidRPr="006A5FBD" w14:paraId="1C69FB49"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404E001F" w14:textId="77777777" w:rsidR="00C018FC" w:rsidRPr="006A5FBD" w:rsidRDefault="001E07FF"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Antiplatelets x Pentoxifylline</w:t>
            </w:r>
          </w:p>
        </w:tc>
        <w:tc>
          <w:tcPr>
            <w:tcW w:w="900" w:type="dxa"/>
            <w:tcBorders>
              <w:top w:val="nil"/>
              <w:left w:val="nil"/>
              <w:bottom w:val="single" w:sz="4" w:space="0" w:color="auto"/>
              <w:right w:val="single" w:sz="4" w:space="0" w:color="auto"/>
            </w:tcBorders>
            <w:shd w:val="clear" w:color="auto" w:fill="auto"/>
            <w:noWrap/>
            <w:vAlign w:val="bottom"/>
          </w:tcPr>
          <w:p w14:paraId="0B677E6E"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3</w:t>
            </w:r>
          </w:p>
        </w:tc>
      </w:tr>
      <w:tr w:rsidR="00C018FC" w:rsidRPr="006A5FBD" w14:paraId="388EF69B" w14:textId="77777777" w:rsidTr="005F76B4">
        <w:trPr>
          <w:trHeight w:val="510"/>
          <w:jc w:val="center"/>
        </w:trPr>
        <w:tc>
          <w:tcPr>
            <w:tcW w:w="3941" w:type="dxa"/>
            <w:tcBorders>
              <w:top w:val="nil"/>
              <w:left w:val="single" w:sz="4" w:space="0" w:color="auto"/>
              <w:bottom w:val="single" w:sz="4" w:space="0" w:color="auto"/>
              <w:right w:val="single" w:sz="4" w:space="0" w:color="auto"/>
            </w:tcBorders>
            <w:shd w:val="clear" w:color="auto" w:fill="auto"/>
            <w:vAlign w:val="center"/>
          </w:tcPr>
          <w:p w14:paraId="28D9D146" w14:textId="77777777" w:rsidR="00C018FC" w:rsidRPr="006A5FBD" w:rsidRDefault="001E07FF"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Quinolones x Oral iron preparations</w:t>
            </w:r>
          </w:p>
        </w:tc>
        <w:tc>
          <w:tcPr>
            <w:tcW w:w="900" w:type="dxa"/>
            <w:tcBorders>
              <w:top w:val="nil"/>
              <w:left w:val="nil"/>
              <w:bottom w:val="single" w:sz="4" w:space="0" w:color="auto"/>
              <w:right w:val="single" w:sz="4" w:space="0" w:color="auto"/>
            </w:tcBorders>
            <w:shd w:val="clear" w:color="auto" w:fill="auto"/>
            <w:noWrap/>
            <w:vAlign w:val="bottom"/>
          </w:tcPr>
          <w:p w14:paraId="473E3548"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2</w:t>
            </w:r>
          </w:p>
        </w:tc>
      </w:tr>
      <w:tr w:rsidR="00C018FC" w:rsidRPr="006A5FBD" w14:paraId="4D198C3B"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5F975DEA" w14:textId="77777777" w:rsidR="00C018FC" w:rsidRPr="006A5FBD" w:rsidRDefault="00804F5C" w:rsidP="005F76B4">
            <w:pPr>
              <w:spacing w:after="0" w:line="360" w:lineRule="auto"/>
              <w:jc w:val="both"/>
              <w:rPr>
                <w:rFonts w:ascii="Times New Roman" w:eastAsia="Times New Roman" w:hAnsi="Times New Roman"/>
                <w:i/>
                <w:iCs/>
                <w:lang w:eastAsia="tr-TR"/>
              </w:rPr>
            </w:pPr>
            <w:r w:rsidRPr="006A5FBD">
              <w:rPr>
                <w:rFonts w:ascii="Times New Roman" w:eastAsia="Times New Roman" w:hAnsi="Times New Roman"/>
                <w:i/>
                <w:iCs/>
                <w:lang w:eastAsia="tr-TR"/>
              </w:rPr>
              <w:t>Low</w:t>
            </w:r>
          </w:p>
        </w:tc>
        <w:tc>
          <w:tcPr>
            <w:tcW w:w="900" w:type="dxa"/>
            <w:tcBorders>
              <w:top w:val="nil"/>
              <w:left w:val="nil"/>
              <w:bottom w:val="single" w:sz="4" w:space="0" w:color="auto"/>
              <w:right w:val="single" w:sz="4" w:space="0" w:color="auto"/>
            </w:tcBorders>
            <w:shd w:val="clear" w:color="auto" w:fill="auto"/>
            <w:noWrap/>
            <w:vAlign w:val="bottom"/>
            <w:hideMark/>
          </w:tcPr>
          <w:p w14:paraId="4CFAD065"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 </w:t>
            </w:r>
          </w:p>
        </w:tc>
      </w:tr>
      <w:tr w:rsidR="00C018FC" w:rsidRPr="006A5FBD" w14:paraId="745DF971"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68258F98"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Metformin x B12</w:t>
            </w:r>
          </w:p>
        </w:tc>
        <w:tc>
          <w:tcPr>
            <w:tcW w:w="900" w:type="dxa"/>
            <w:tcBorders>
              <w:top w:val="nil"/>
              <w:left w:val="nil"/>
              <w:bottom w:val="single" w:sz="4" w:space="0" w:color="auto"/>
              <w:right w:val="single" w:sz="4" w:space="0" w:color="auto"/>
            </w:tcBorders>
            <w:shd w:val="clear" w:color="auto" w:fill="auto"/>
            <w:noWrap/>
            <w:vAlign w:val="bottom"/>
            <w:hideMark/>
          </w:tcPr>
          <w:p w14:paraId="0402A419"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6</w:t>
            </w:r>
          </w:p>
        </w:tc>
      </w:tr>
      <w:tr w:rsidR="00C018FC" w:rsidRPr="006A5FBD" w14:paraId="6BD820C7" w14:textId="77777777" w:rsidTr="005F76B4">
        <w:trPr>
          <w:trHeight w:val="255"/>
          <w:jc w:val="center"/>
        </w:trPr>
        <w:tc>
          <w:tcPr>
            <w:tcW w:w="3941" w:type="dxa"/>
            <w:tcBorders>
              <w:top w:val="nil"/>
              <w:left w:val="single" w:sz="4" w:space="0" w:color="auto"/>
              <w:bottom w:val="single" w:sz="4" w:space="0" w:color="auto"/>
              <w:right w:val="single" w:sz="4" w:space="0" w:color="auto"/>
            </w:tcBorders>
            <w:shd w:val="clear" w:color="auto" w:fill="auto"/>
            <w:vAlign w:val="center"/>
            <w:hideMark/>
          </w:tcPr>
          <w:p w14:paraId="54376441" w14:textId="77777777" w:rsidR="00C018FC" w:rsidRPr="006A5FBD" w:rsidRDefault="006A5FBD" w:rsidP="005F76B4">
            <w:pPr>
              <w:spacing w:after="0" w:line="360" w:lineRule="auto"/>
              <w:jc w:val="both"/>
              <w:rPr>
                <w:rFonts w:ascii="Times New Roman" w:eastAsia="Times New Roman" w:hAnsi="Times New Roman"/>
                <w:lang w:eastAsia="tr-TR"/>
              </w:rPr>
            </w:pPr>
            <w:r w:rsidRPr="006A5FBD">
              <w:rPr>
                <w:rStyle w:val="jlqj4b"/>
                <w:rFonts w:ascii="Times New Roman" w:hAnsi="Times New Roman"/>
                <w:lang w:val="en"/>
              </w:rPr>
              <w:t>Iron x Zinc</w:t>
            </w:r>
          </w:p>
        </w:tc>
        <w:tc>
          <w:tcPr>
            <w:tcW w:w="900" w:type="dxa"/>
            <w:tcBorders>
              <w:top w:val="nil"/>
              <w:left w:val="nil"/>
              <w:bottom w:val="single" w:sz="4" w:space="0" w:color="auto"/>
              <w:right w:val="single" w:sz="4" w:space="0" w:color="auto"/>
            </w:tcBorders>
            <w:shd w:val="clear" w:color="auto" w:fill="auto"/>
            <w:noWrap/>
            <w:vAlign w:val="bottom"/>
            <w:hideMark/>
          </w:tcPr>
          <w:p w14:paraId="6C0DE35C" w14:textId="77777777" w:rsidR="00C018FC" w:rsidRPr="006A5FBD" w:rsidRDefault="00C018FC" w:rsidP="005F76B4">
            <w:pPr>
              <w:spacing w:after="0" w:line="360" w:lineRule="auto"/>
              <w:jc w:val="both"/>
              <w:rPr>
                <w:rFonts w:ascii="Times New Roman" w:eastAsia="Times New Roman" w:hAnsi="Times New Roman"/>
                <w:lang w:eastAsia="tr-TR"/>
              </w:rPr>
            </w:pPr>
            <w:r w:rsidRPr="006A5FBD">
              <w:rPr>
                <w:rFonts w:ascii="Times New Roman" w:eastAsia="Times New Roman" w:hAnsi="Times New Roman"/>
                <w:lang w:eastAsia="tr-TR"/>
              </w:rPr>
              <w:t>4</w:t>
            </w:r>
          </w:p>
        </w:tc>
      </w:tr>
    </w:tbl>
    <w:p w14:paraId="5D6E62E9" w14:textId="77777777" w:rsidR="00C018FC" w:rsidRPr="006A5FBD" w:rsidRDefault="00C018FC" w:rsidP="00C018FC">
      <w:pPr>
        <w:spacing w:after="0" w:line="360" w:lineRule="auto"/>
        <w:jc w:val="both"/>
        <w:rPr>
          <w:rFonts w:ascii="Times New Roman" w:hAnsi="Times New Roman"/>
        </w:rPr>
      </w:pPr>
    </w:p>
    <w:p w14:paraId="6ED55EC8" w14:textId="77777777" w:rsidR="00C018FC" w:rsidRPr="006A5FBD" w:rsidRDefault="00C018FC" w:rsidP="00C018FC">
      <w:pPr>
        <w:spacing w:after="0" w:line="360" w:lineRule="auto"/>
        <w:jc w:val="center"/>
        <w:rPr>
          <w:rStyle w:val="jlqj4b"/>
          <w:rFonts w:ascii="Times New Roman" w:hAnsi="Times New Roman"/>
          <w:lang w:val="en"/>
        </w:rPr>
      </w:pPr>
      <w:r w:rsidRPr="006A5FBD">
        <w:rPr>
          <w:rStyle w:val="jlqj4b"/>
          <w:rFonts w:ascii="Times New Roman" w:hAnsi="Times New Roman"/>
          <w:lang w:val="en"/>
        </w:rPr>
        <w:t>Table 1. Drug Interactions and Classification</w:t>
      </w:r>
    </w:p>
    <w:p w14:paraId="0AA20C34" w14:textId="77777777" w:rsidR="00C018FC" w:rsidRPr="006A5FBD" w:rsidRDefault="00C018FC" w:rsidP="00C018FC">
      <w:pPr>
        <w:spacing w:after="0" w:line="360" w:lineRule="auto"/>
        <w:jc w:val="both"/>
        <w:rPr>
          <w:rStyle w:val="jlqj4b"/>
          <w:rFonts w:ascii="Times New Roman" w:hAnsi="Times New Roman"/>
        </w:rPr>
      </w:pPr>
    </w:p>
    <w:p w14:paraId="05BAEFF3" w14:textId="77777777" w:rsidR="00B84941" w:rsidRPr="006A5FBD" w:rsidRDefault="00B84941"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When all interactions are examined, the most frequently interacting group of drugs </w:t>
      </w:r>
      <w:r w:rsidR="00F273AF">
        <w:rPr>
          <w:rStyle w:val="jlqj4b"/>
          <w:rFonts w:ascii="Times New Roman" w:hAnsi="Times New Roman"/>
          <w:sz w:val="24"/>
          <w:szCs w:val="24"/>
          <w:lang w:val="en"/>
        </w:rPr>
        <w:t xml:space="preserve">was </w:t>
      </w:r>
      <w:r w:rsidRPr="006A5FBD">
        <w:rPr>
          <w:rStyle w:val="jlqj4b"/>
          <w:rFonts w:ascii="Times New Roman" w:hAnsi="Times New Roman"/>
          <w:sz w:val="24"/>
          <w:szCs w:val="24"/>
          <w:lang w:val="en"/>
        </w:rPr>
        <w:t>antidiabetic drugs.</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In second place </w:t>
      </w:r>
      <w:r w:rsidR="00F054B0">
        <w:rPr>
          <w:rStyle w:val="jlqj4b"/>
          <w:rFonts w:ascii="Times New Roman" w:hAnsi="Times New Roman"/>
          <w:sz w:val="24"/>
          <w:szCs w:val="24"/>
          <w:lang w:val="en"/>
        </w:rPr>
        <w:t xml:space="preserve">were </w:t>
      </w:r>
      <w:r w:rsidRPr="006A5FBD">
        <w:rPr>
          <w:rStyle w:val="jlqj4b"/>
          <w:rFonts w:ascii="Times New Roman" w:hAnsi="Times New Roman"/>
          <w:sz w:val="24"/>
          <w:szCs w:val="24"/>
          <w:lang w:val="en"/>
        </w:rPr>
        <w:t>diuretics and nonsteroidal anti-inflammatory drugs (NSAIDs);</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Angiotensin Converting Enzyme (ACE) inhibitors </w:t>
      </w:r>
      <w:r w:rsidR="00F054B0">
        <w:rPr>
          <w:rStyle w:val="jlqj4b"/>
          <w:rFonts w:ascii="Times New Roman" w:hAnsi="Times New Roman"/>
          <w:sz w:val="24"/>
          <w:szCs w:val="24"/>
          <w:lang w:val="en"/>
        </w:rPr>
        <w:t xml:space="preserve">were </w:t>
      </w:r>
      <w:r w:rsidRPr="006A5FBD">
        <w:rPr>
          <w:rStyle w:val="jlqj4b"/>
          <w:rFonts w:ascii="Times New Roman" w:hAnsi="Times New Roman"/>
          <w:sz w:val="24"/>
          <w:szCs w:val="24"/>
          <w:lang w:val="en"/>
        </w:rPr>
        <w:t>in third place.</w:t>
      </w:r>
    </w:p>
    <w:p w14:paraId="6F93F492" w14:textId="77777777" w:rsidR="007871D8" w:rsidRPr="006A5FBD" w:rsidRDefault="00BD11F3" w:rsidP="00F5575F">
      <w:pPr>
        <w:spacing w:line="360" w:lineRule="auto"/>
        <w:jc w:val="both"/>
        <w:rPr>
          <w:rFonts w:ascii="Times New Roman" w:hAnsi="Times New Roman"/>
          <w:b/>
          <w:sz w:val="24"/>
          <w:szCs w:val="24"/>
        </w:rPr>
      </w:pPr>
      <w:r w:rsidRPr="006A5FBD">
        <w:rPr>
          <w:rFonts w:ascii="Times New Roman" w:hAnsi="Times New Roman"/>
          <w:b/>
          <w:sz w:val="24"/>
          <w:szCs w:val="24"/>
        </w:rPr>
        <w:t>DISCUSSION</w:t>
      </w:r>
    </w:p>
    <w:p w14:paraId="1A1A8731" w14:textId="7EA8CA1F" w:rsidR="00041892" w:rsidRPr="006A5FBD" w:rsidRDefault="00041892"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The purpose of drug therapy is to improve the </w:t>
      </w:r>
      <w:r w:rsidR="000E5F54">
        <w:rPr>
          <w:rStyle w:val="jlqj4b"/>
          <w:rFonts w:ascii="Times New Roman" w:hAnsi="Times New Roman"/>
          <w:sz w:val="24"/>
          <w:szCs w:val="24"/>
          <w:lang w:val="en"/>
        </w:rPr>
        <w:t xml:space="preserve">management </w:t>
      </w:r>
      <w:r w:rsidRPr="006A5FBD">
        <w:rPr>
          <w:rStyle w:val="jlqj4b"/>
          <w:rFonts w:ascii="Times New Roman" w:hAnsi="Times New Roman"/>
          <w:sz w:val="24"/>
          <w:szCs w:val="24"/>
          <w:lang w:val="en"/>
        </w:rPr>
        <w:t xml:space="preserve">of diseases and thus to increase the </w:t>
      </w:r>
      <w:r w:rsidR="000E5F54">
        <w:rPr>
          <w:rStyle w:val="jlqj4b"/>
          <w:rFonts w:ascii="Times New Roman" w:hAnsi="Times New Roman"/>
          <w:sz w:val="24"/>
          <w:szCs w:val="24"/>
          <w:lang w:val="en"/>
        </w:rPr>
        <w:t xml:space="preserve">patients’ </w:t>
      </w:r>
      <w:r w:rsidRPr="006A5FBD">
        <w:rPr>
          <w:rStyle w:val="jlqj4b"/>
          <w:rFonts w:ascii="Times New Roman" w:hAnsi="Times New Roman"/>
          <w:sz w:val="24"/>
          <w:szCs w:val="24"/>
          <w:lang w:val="en"/>
        </w:rPr>
        <w:t>quality of life.</w:t>
      </w:r>
      <w:r w:rsidR="000340E2" w:rsidRPr="006A5FBD">
        <w:rPr>
          <w:rStyle w:val="jlqj4b"/>
          <w:rFonts w:ascii="Times New Roman" w:hAnsi="Times New Roman"/>
          <w:sz w:val="24"/>
          <w:szCs w:val="24"/>
          <w:lang w:val="en"/>
        </w:rPr>
        <w:t xml:space="preserve"> Drug-related side effects or drug interactions are more common in older ages due to the increased frequency of chronic diseases, the increase in the number and types of drugs used, the use of prescription or non-prescription drugs, herbal treatments, dose repetition due to forgetfulness, and differences in the pharmacokinetic and pharmacodynamic properties of drugs.</w:t>
      </w:r>
      <w:r w:rsidR="00676128" w:rsidRPr="006A5FBD">
        <w:rPr>
          <w:rStyle w:val="jlqj4b"/>
          <w:rFonts w:ascii="Times New Roman" w:hAnsi="Times New Roman"/>
          <w:sz w:val="24"/>
          <w:szCs w:val="24"/>
          <w:lang w:val="en"/>
        </w:rPr>
        <w:t xml:space="preserve"> The problems associated with polypharmacy can be listed as drug side effects, drug-drug </w:t>
      </w:r>
      <w:r w:rsidR="00676128" w:rsidRPr="006A5FBD">
        <w:rPr>
          <w:rStyle w:val="jlqj4b"/>
          <w:rFonts w:ascii="Times New Roman" w:hAnsi="Times New Roman"/>
          <w:sz w:val="24"/>
          <w:szCs w:val="24"/>
          <w:lang w:val="en"/>
        </w:rPr>
        <w:lastRenderedPageBreak/>
        <w:t xml:space="preserve">interactions, increased treatment expenditures, </w:t>
      </w:r>
      <w:r w:rsidR="000E5F54">
        <w:rPr>
          <w:rStyle w:val="jlqj4b"/>
          <w:rFonts w:ascii="Times New Roman" w:hAnsi="Times New Roman"/>
          <w:sz w:val="24"/>
          <w:szCs w:val="24"/>
          <w:lang w:val="en"/>
        </w:rPr>
        <w:t>compliance issues to treatment</w:t>
      </w:r>
      <w:r w:rsidR="00766211">
        <w:rPr>
          <w:rStyle w:val="jlqj4b"/>
          <w:rFonts w:ascii="Times New Roman" w:hAnsi="Times New Roman"/>
          <w:sz w:val="24"/>
          <w:szCs w:val="24"/>
          <w:lang w:val="en"/>
        </w:rPr>
        <w:t>,</w:t>
      </w:r>
      <w:r w:rsidR="000E5F54">
        <w:rPr>
          <w:rStyle w:val="jlqj4b"/>
          <w:rFonts w:ascii="Times New Roman" w:hAnsi="Times New Roman"/>
          <w:sz w:val="24"/>
          <w:szCs w:val="24"/>
          <w:lang w:val="en"/>
        </w:rPr>
        <w:t xml:space="preserve"> </w:t>
      </w:r>
      <w:r w:rsidR="00676128" w:rsidRPr="006A5FBD">
        <w:rPr>
          <w:rStyle w:val="jlqj4b"/>
          <w:rFonts w:ascii="Times New Roman" w:hAnsi="Times New Roman"/>
          <w:sz w:val="24"/>
          <w:szCs w:val="24"/>
          <w:lang w:val="en"/>
        </w:rPr>
        <w:t xml:space="preserve">increased hospitalization and increased </w:t>
      </w:r>
      <w:r w:rsidR="00676128" w:rsidRPr="00CF3D3B">
        <w:rPr>
          <w:rStyle w:val="jlqj4b"/>
          <w:rFonts w:ascii="Times New Roman" w:hAnsi="Times New Roman"/>
          <w:sz w:val="24"/>
          <w:szCs w:val="24"/>
          <w:lang w:val="en"/>
        </w:rPr>
        <w:t>medication errors</w:t>
      </w:r>
      <w:r w:rsidR="00676128" w:rsidRPr="006A5FBD">
        <w:rPr>
          <w:rStyle w:val="jlqj4b"/>
          <w:rFonts w:ascii="Times New Roman" w:hAnsi="Times New Roman"/>
          <w:sz w:val="24"/>
          <w:szCs w:val="24"/>
          <w:lang w:val="en"/>
        </w:rPr>
        <w:t xml:space="preserve"> </w:t>
      </w:r>
      <w:r w:rsidR="00BF71BF">
        <w:rPr>
          <w:rStyle w:val="jlqj4b"/>
          <w:rFonts w:ascii="Times New Roman" w:hAnsi="Times New Roman"/>
          <w:sz w:val="24"/>
          <w:szCs w:val="24"/>
          <w:lang w:val="en"/>
        </w:rPr>
        <w:t>[</w:t>
      </w:r>
      <w:r w:rsidR="00676128" w:rsidRPr="006A5FBD">
        <w:rPr>
          <w:rStyle w:val="jlqj4b"/>
          <w:rFonts w:ascii="Times New Roman" w:hAnsi="Times New Roman"/>
          <w:sz w:val="24"/>
          <w:szCs w:val="24"/>
          <w:lang w:val="en"/>
        </w:rPr>
        <w:t>6</w:t>
      </w:r>
      <w:r w:rsidR="00BF71BF">
        <w:rPr>
          <w:rStyle w:val="jlqj4b"/>
          <w:rFonts w:ascii="Times New Roman" w:hAnsi="Times New Roman"/>
          <w:sz w:val="24"/>
          <w:szCs w:val="24"/>
          <w:lang w:val="en"/>
        </w:rPr>
        <w:t>]</w:t>
      </w:r>
      <w:r w:rsidR="00676128" w:rsidRPr="006A5FBD">
        <w:rPr>
          <w:rStyle w:val="jlqj4b"/>
          <w:rFonts w:ascii="Times New Roman" w:hAnsi="Times New Roman"/>
          <w:sz w:val="24"/>
          <w:szCs w:val="24"/>
          <w:lang w:val="en"/>
        </w:rPr>
        <w:t>.</w:t>
      </w:r>
    </w:p>
    <w:p w14:paraId="06C129E9" w14:textId="61B734C7" w:rsidR="00676128" w:rsidRPr="006A5FBD" w:rsidRDefault="00993DCD"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In a study in Italy, it was reported that almost all patients aged 75 and over used at least one drug per day, and one-third of them used five or more drugs </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7</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w:t>
      </w:r>
      <w:r w:rsidR="003C54AF" w:rsidRPr="006A5FBD">
        <w:rPr>
          <w:rStyle w:val="jlqj4b"/>
          <w:rFonts w:ascii="Times New Roman" w:hAnsi="Times New Roman"/>
          <w:sz w:val="24"/>
          <w:szCs w:val="24"/>
          <w:lang w:val="en"/>
        </w:rPr>
        <w:t xml:space="preserve"> In the meta-analysis Rollason et al. published, they reported that 20% of geriatric patients aged 70 and overuse five or more drugs </w:t>
      </w:r>
      <w:r w:rsidR="00BF71BF">
        <w:rPr>
          <w:rStyle w:val="jlqj4b"/>
          <w:rFonts w:ascii="Times New Roman" w:hAnsi="Times New Roman"/>
          <w:sz w:val="24"/>
          <w:szCs w:val="24"/>
          <w:lang w:val="en"/>
        </w:rPr>
        <w:t>[</w:t>
      </w:r>
      <w:r w:rsidR="003C54AF" w:rsidRPr="006A5FBD">
        <w:rPr>
          <w:rStyle w:val="jlqj4b"/>
          <w:rFonts w:ascii="Times New Roman" w:hAnsi="Times New Roman"/>
          <w:sz w:val="24"/>
          <w:szCs w:val="24"/>
          <w:lang w:val="en"/>
        </w:rPr>
        <w:t>8</w:t>
      </w:r>
      <w:r w:rsidR="00BF71BF">
        <w:rPr>
          <w:rStyle w:val="jlqj4b"/>
          <w:rFonts w:ascii="Times New Roman" w:hAnsi="Times New Roman"/>
          <w:sz w:val="24"/>
          <w:szCs w:val="24"/>
          <w:lang w:val="en"/>
        </w:rPr>
        <w:t>]</w:t>
      </w:r>
      <w:r w:rsidR="003C54AF" w:rsidRPr="006A5FBD">
        <w:rPr>
          <w:rStyle w:val="jlqj4b"/>
          <w:rFonts w:ascii="Times New Roman" w:hAnsi="Times New Roman"/>
          <w:sz w:val="24"/>
          <w:szCs w:val="24"/>
          <w:lang w:val="en"/>
        </w:rPr>
        <w:t>.</w:t>
      </w:r>
      <w:r w:rsidR="004A4BD7" w:rsidRPr="006A5FBD">
        <w:rPr>
          <w:rStyle w:val="jlqj4b"/>
          <w:rFonts w:ascii="Times New Roman" w:hAnsi="Times New Roman"/>
          <w:sz w:val="24"/>
          <w:szCs w:val="24"/>
          <w:lang w:val="en"/>
        </w:rPr>
        <w:t xml:space="preserve"> In studies about geriatric patients, the number of daily drug use was reported as 2-5 </w:t>
      </w:r>
      <w:r w:rsidR="00BF71BF">
        <w:rPr>
          <w:rStyle w:val="jlqj4b"/>
          <w:rFonts w:ascii="Times New Roman" w:hAnsi="Times New Roman"/>
          <w:sz w:val="24"/>
          <w:szCs w:val="24"/>
          <w:lang w:val="en"/>
        </w:rPr>
        <w:t>[</w:t>
      </w:r>
      <w:r w:rsidR="004A4BD7" w:rsidRPr="006A5FBD">
        <w:rPr>
          <w:rStyle w:val="jlqj4b"/>
          <w:rFonts w:ascii="Times New Roman" w:hAnsi="Times New Roman"/>
          <w:sz w:val="24"/>
          <w:szCs w:val="24"/>
          <w:lang w:val="en"/>
        </w:rPr>
        <w:t>9</w:t>
      </w:r>
      <w:r w:rsidR="00BF71BF">
        <w:rPr>
          <w:rStyle w:val="jlqj4b"/>
          <w:rFonts w:ascii="Times New Roman" w:hAnsi="Times New Roman"/>
          <w:sz w:val="24"/>
          <w:szCs w:val="24"/>
          <w:lang w:val="en"/>
        </w:rPr>
        <w:t>]</w:t>
      </w:r>
      <w:r w:rsidR="004A4BD7" w:rsidRPr="006A5FBD">
        <w:rPr>
          <w:rStyle w:val="jlqj4b"/>
          <w:rFonts w:ascii="Times New Roman" w:hAnsi="Times New Roman"/>
          <w:sz w:val="24"/>
          <w:szCs w:val="24"/>
          <w:lang w:val="en"/>
        </w:rPr>
        <w:t>.</w:t>
      </w:r>
      <w:r w:rsidR="004539A0" w:rsidRPr="006A5FBD">
        <w:rPr>
          <w:rStyle w:val="jlqj4b"/>
          <w:rFonts w:ascii="Times New Roman" w:hAnsi="Times New Roman"/>
          <w:sz w:val="24"/>
          <w:szCs w:val="24"/>
          <w:lang w:val="en"/>
        </w:rPr>
        <w:t xml:space="preserve"> In this study, we found the average number of drugs in prescriptions </w:t>
      </w:r>
      <w:r w:rsidR="00A86E10" w:rsidRPr="006A5FBD">
        <w:rPr>
          <w:rStyle w:val="jlqj4b"/>
          <w:rFonts w:ascii="Times New Roman" w:hAnsi="Times New Roman"/>
          <w:sz w:val="24"/>
          <w:szCs w:val="24"/>
          <w:lang w:val="en"/>
        </w:rPr>
        <w:t>is</w:t>
      </w:r>
      <w:r w:rsidR="004539A0" w:rsidRPr="006A5FBD">
        <w:rPr>
          <w:rStyle w:val="jlqj4b"/>
          <w:rFonts w:ascii="Times New Roman" w:hAnsi="Times New Roman"/>
          <w:sz w:val="24"/>
          <w:szCs w:val="24"/>
          <w:lang w:val="en"/>
        </w:rPr>
        <w:t xml:space="preserve"> 5.23, which is consistent with the literature.</w:t>
      </w:r>
      <w:r w:rsidR="004539A0" w:rsidRPr="006A5FBD">
        <w:rPr>
          <w:rStyle w:val="viiyi"/>
          <w:rFonts w:ascii="Times New Roman" w:hAnsi="Times New Roman"/>
          <w:sz w:val="24"/>
          <w:szCs w:val="24"/>
          <w:lang w:val="en"/>
        </w:rPr>
        <w:t xml:space="preserve"> </w:t>
      </w:r>
      <w:r w:rsidR="004539A0" w:rsidRPr="006A5FBD">
        <w:rPr>
          <w:rStyle w:val="jlqj4b"/>
          <w:rFonts w:ascii="Times New Roman" w:hAnsi="Times New Roman"/>
          <w:sz w:val="24"/>
          <w:szCs w:val="24"/>
          <w:lang w:val="en"/>
        </w:rPr>
        <w:t>It is important because the increase in the number of drugs used is associated with the increase in drug interactions and drug side effects.</w:t>
      </w:r>
    </w:p>
    <w:p w14:paraId="3B719195" w14:textId="2CD01BE3" w:rsidR="00A85254" w:rsidRPr="006A5FBD" w:rsidRDefault="00A85254"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In our study, we found that quinolones and antidiabetics were used together in 3 different prescriptions.</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Quinolones have been associated with </w:t>
      </w:r>
      <w:r w:rsidR="00C44953" w:rsidRPr="006A5FBD">
        <w:rPr>
          <w:rStyle w:val="jlqj4b"/>
          <w:rFonts w:ascii="Times New Roman" w:hAnsi="Times New Roman"/>
          <w:sz w:val="24"/>
          <w:szCs w:val="24"/>
          <w:lang w:val="en"/>
        </w:rPr>
        <w:t>disorders</w:t>
      </w:r>
      <w:r w:rsidRPr="006A5FBD">
        <w:rPr>
          <w:rStyle w:val="jlqj4b"/>
          <w:rFonts w:ascii="Times New Roman" w:hAnsi="Times New Roman"/>
          <w:sz w:val="24"/>
          <w:szCs w:val="24"/>
          <w:lang w:val="en"/>
        </w:rPr>
        <w:t xml:space="preserve"> in blood glucose homeostasis resulting from their effects on ATP-sensitive potassium channels of the pancreatic beta cell that regulate insulin secretion.</w:t>
      </w:r>
      <w:r w:rsidRPr="006A5FBD">
        <w:rPr>
          <w:rStyle w:val="viiyi"/>
          <w:rFonts w:ascii="Times New Roman" w:hAnsi="Times New Roman"/>
          <w:sz w:val="24"/>
          <w:szCs w:val="24"/>
          <w:lang w:val="en"/>
        </w:rPr>
        <w:t xml:space="preserve"> </w:t>
      </w:r>
      <w:r w:rsidRPr="006A5FBD">
        <w:rPr>
          <w:rStyle w:val="jlqj4b"/>
          <w:rFonts w:ascii="Times New Roman" w:hAnsi="Times New Roman"/>
          <w:sz w:val="24"/>
          <w:szCs w:val="24"/>
          <w:lang w:val="en"/>
        </w:rPr>
        <w:t xml:space="preserve">For this reason, serious abnormalities in blood glucose levels may occur when these two drug groups are used together </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10, 11</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w:t>
      </w:r>
      <w:r w:rsidR="00363C61" w:rsidRPr="006A5FBD">
        <w:rPr>
          <w:rStyle w:val="jlqj4b"/>
          <w:rFonts w:ascii="Times New Roman" w:hAnsi="Times New Roman"/>
          <w:sz w:val="24"/>
          <w:szCs w:val="24"/>
          <w:lang w:val="en"/>
        </w:rPr>
        <w:t xml:space="preserve"> Diltiazem, an inhibitor of CYP450 3A4, when co-administered with colchicine can significantly increase serum concentrations of colchicine.</w:t>
      </w:r>
      <w:r w:rsidR="00363C61" w:rsidRPr="006A5FBD">
        <w:rPr>
          <w:rStyle w:val="viiyi"/>
          <w:rFonts w:ascii="Times New Roman" w:hAnsi="Times New Roman"/>
          <w:sz w:val="24"/>
          <w:szCs w:val="24"/>
          <w:lang w:val="en"/>
        </w:rPr>
        <w:t xml:space="preserve"> </w:t>
      </w:r>
      <w:r w:rsidR="00363C61" w:rsidRPr="006A5FBD">
        <w:rPr>
          <w:rStyle w:val="jlqj4b"/>
          <w:rFonts w:ascii="Times New Roman" w:hAnsi="Times New Roman"/>
          <w:sz w:val="24"/>
          <w:szCs w:val="24"/>
          <w:lang w:val="en"/>
        </w:rPr>
        <w:t>One interaction was determined in our study.</w:t>
      </w:r>
      <w:r w:rsidR="00B76A01" w:rsidRPr="006A5FBD">
        <w:rPr>
          <w:rStyle w:val="jlqj4b"/>
          <w:rFonts w:ascii="Times New Roman" w:hAnsi="Times New Roman"/>
          <w:sz w:val="24"/>
          <w:szCs w:val="24"/>
          <w:lang w:val="en"/>
        </w:rPr>
        <w:t xml:space="preserve"> If colchicine is to be used together with CYP450 3A4 inhibitor drugs, it is recommended to reduce the dose of colchicine </w:t>
      </w:r>
      <w:r w:rsidR="00BF71BF">
        <w:rPr>
          <w:rStyle w:val="jlqj4b"/>
          <w:rFonts w:ascii="Times New Roman" w:hAnsi="Times New Roman"/>
          <w:sz w:val="24"/>
          <w:szCs w:val="24"/>
          <w:lang w:val="en"/>
        </w:rPr>
        <w:t>[</w:t>
      </w:r>
      <w:r w:rsidR="00B76A01" w:rsidRPr="006A5FBD">
        <w:rPr>
          <w:rStyle w:val="jlqj4b"/>
          <w:rFonts w:ascii="Times New Roman" w:hAnsi="Times New Roman"/>
          <w:sz w:val="24"/>
          <w:szCs w:val="24"/>
          <w:lang w:val="en"/>
        </w:rPr>
        <w:t>12</w:t>
      </w:r>
      <w:r w:rsidR="00BF71BF">
        <w:rPr>
          <w:rStyle w:val="jlqj4b"/>
          <w:rFonts w:ascii="Times New Roman" w:hAnsi="Times New Roman"/>
          <w:sz w:val="24"/>
          <w:szCs w:val="24"/>
          <w:lang w:val="en"/>
        </w:rPr>
        <w:t>]</w:t>
      </w:r>
      <w:r w:rsidR="00B76A01" w:rsidRPr="006A5FBD">
        <w:rPr>
          <w:rStyle w:val="jlqj4b"/>
          <w:rFonts w:ascii="Times New Roman" w:hAnsi="Times New Roman"/>
          <w:sz w:val="24"/>
          <w:szCs w:val="24"/>
          <w:lang w:val="en"/>
        </w:rPr>
        <w:t>.</w:t>
      </w:r>
      <w:r w:rsidR="000F424F" w:rsidRPr="006A5FBD">
        <w:rPr>
          <w:rStyle w:val="jlqj4b"/>
          <w:rFonts w:ascii="Times New Roman" w:hAnsi="Times New Roman"/>
          <w:sz w:val="24"/>
          <w:szCs w:val="24"/>
          <w:lang w:val="en"/>
        </w:rPr>
        <w:t xml:space="preserve"> Absorption of quinolones is significantly reduced due to chelation by cations such as iron salts.</w:t>
      </w:r>
      <w:r w:rsidR="000F424F" w:rsidRPr="006A5FBD">
        <w:rPr>
          <w:rStyle w:val="viiyi"/>
          <w:rFonts w:ascii="Times New Roman" w:hAnsi="Times New Roman"/>
          <w:sz w:val="24"/>
          <w:szCs w:val="24"/>
          <w:lang w:val="en"/>
        </w:rPr>
        <w:t xml:space="preserve"> </w:t>
      </w:r>
      <w:r w:rsidR="000F424F" w:rsidRPr="006A5FBD">
        <w:rPr>
          <w:rStyle w:val="jlqj4b"/>
          <w:rFonts w:ascii="Times New Roman" w:hAnsi="Times New Roman"/>
          <w:sz w:val="24"/>
          <w:szCs w:val="24"/>
          <w:lang w:val="en"/>
        </w:rPr>
        <w:t>In our study, this interaction was observed in 2 prescriptions.</w:t>
      </w:r>
      <w:r w:rsidR="00064F8E" w:rsidRPr="006A5FBD">
        <w:rPr>
          <w:rStyle w:val="jlqj4b"/>
          <w:rFonts w:ascii="Times New Roman" w:hAnsi="Times New Roman"/>
          <w:sz w:val="24"/>
          <w:szCs w:val="24"/>
          <w:lang w:val="en"/>
        </w:rPr>
        <w:t xml:space="preserve"> However, the gap between the intake times of these two drugs (2-4 hours before or 4-6 hours after the quinolone intake) may not be clinically significant as it will minimize the interaction </w:t>
      </w:r>
      <w:r w:rsidR="00BF71BF">
        <w:rPr>
          <w:rStyle w:val="jlqj4b"/>
          <w:rFonts w:ascii="Times New Roman" w:hAnsi="Times New Roman"/>
          <w:sz w:val="24"/>
          <w:szCs w:val="24"/>
          <w:lang w:val="en"/>
        </w:rPr>
        <w:t>[</w:t>
      </w:r>
      <w:r w:rsidR="00064F8E" w:rsidRPr="006A5FBD">
        <w:rPr>
          <w:rStyle w:val="jlqj4b"/>
          <w:rFonts w:ascii="Times New Roman" w:hAnsi="Times New Roman"/>
          <w:sz w:val="24"/>
          <w:szCs w:val="24"/>
          <w:lang w:val="en"/>
        </w:rPr>
        <w:t>13</w:t>
      </w:r>
      <w:r w:rsidR="00BF71BF">
        <w:rPr>
          <w:rStyle w:val="jlqj4b"/>
          <w:rFonts w:ascii="Times New Roman" w:hAnsi="Times New Roman"/>
          <w:sz w:val="24"/>
          <w:szCs w:val="24"/>
          <w:lang w:val="en"/>
        </w:rPr>
        <w:t>]</w:t>
      </w:r>
      <w:r w:rsidR="00064F8E" w:rsidRPr="006A5FBD">
        <w:rPr>
          <w:rStyle w:val="jlqj4b"/>
          <w:rFonts w:ascii="Times New Roman" w:hAnsi="Times New Roman"/>
          <w:sz w:val="24"/>
          <w:szCs w:val="24"/>
          <w:lang w:val="en"/>
        </w:rPr>
        <w:t>.</w:t>
      </w:r>
      <w:r w:rsidR="00CB666F" w:rsidRPr="006A5FBD">
        <w:rPr>
          <w:rStyle w:val="jlqj4b"/>
          <w:rFonts w:ascii="Times New Roman" w:hAnsi="Times New Roman"/>
          <w:sz w:val="24"/>
          <w:szCs w:val="24"/>
          <w:lang w:val="en"/>
        </w:rPr>
        <w:t xml:space="preserve"> Beta-blockers present pharmacodynamic interactions with antidiabetic drugs.</w:t>
      </w:r>
      <w:r w:rsidR="00CB666F" w:rsidRPr="006A5FBD">
        <w:rPr>
          <w:rStyle w:val="viiyi"/>
          <w:rFonts w:ascii="Times New Roman" w:hAnsi="Times New Roman"/>
          <w:sz w:val="24"/>
          <w:szCs w:val="24"/>
          <w:lang w:val="en"/>
        </w:rPr>
        <w:t xml:space="preserve"> </w:t>
      </w:r>
      <w:r w:rsidR="00CB666F" w:rsidRPr="006A5FBD">
        <w:rPr>
          <w:rStyle w:val="jlqj4b"/>
          <w:rFonts w:ascii="Times New Roman" w:hAnsi="Times New Roman"/>
          <w:sz w:val="24"/>
          <w:szCs w:val="24"/>
          <w:lang w:val="en"/>
        </w:rPr>
        <w:t>Beta-blocker drugs may mask the symptoms of hypoglycemia such as tremor</w:t>
      </w:r>
      <w:r w:rsidR="0098550E">
        <w:rPr>
          <w:rStyle w:val="jlqj4b"/>
          <w:rFonts w:ascii="Times New Roman" w:hAnsi="Times New Roman"/>
          <w:sz w:val="24"/>
          <w:szCs w:val="24"/>
          <w:lang w:val="en"/>
        </w:rPr>
        <w:t>s</w:t>
      </w:r>
      <w:r w:rsidR="00CB666F" w:rsidRPr="006A5FBD">
        <w:rPr>
          <w:rStyle w:val="jlqj4b"/>
          <w:rFonts w:ascii="Times New Roman" w:hAnsi="Times New Roman"/>
          <w:sz w:val="24"/>
          <w:szCs w:val="24"/>
          <w:lang w:val="en"/>
        </w:rPr>
        <w:t xml:space="preserve"> and sweating caused by antidiabetic drugs.</w:t>
      </w:r>
      <w:r w:rsidR="00A62AC9" w:rsidRPr="006A5FBD">
        <w:rPr>
          <w:rStyle w:val="jlqj4b"/>
          <w:rFonts w:ascii="Times New Roman" w:hAnsi="Times New Roman"/>
          <w:sz w:val="24"/>
          <w:szCs w:val="24"/>
          <w:lang w:val="en"/>
        </w:rPr>
        <w:t xml:space="preserve"> It is known that </w:t>
      </w:r>
      <w:proofErr w:type="spellStart"/>
      <w:r w:rsidR="00A62AC9" w:rsidRPr="006A5FBD">
        <w:rPr>
          <w:rStyle w:val="jlqj4b"/>
          <w:rFonts w:ascii="Times New Roman" w:hAnsi="Times New Roman"/>
          <w:sz w:val="24"/>
          <w:szCs w:val="24"/>
          <w:lang w:val="en"/>
        </w:rPr>
        <w:t>cardioselective</w:t>
      </w:r>
      <w:proofErr w:type="spellEnd"/>
      <w:r w:rsidR="00A62AC9" w:rsidRPr="006A5FBD">
        <w:rPr>
          <w:rStyle w:val="jlqj4b"/>
          <w:rFonts w:ascii="Times New Roman" w:hAnsi="Times New Roman"/>
          <w:sz w:val="24"/>
          <w:szCs w:val="24"/>
          <w:lang w:val="en"/>
        </w:rPr>
        <w:t xml:space="preserve"> beta-blockers are safer than non-</w:t>
      </w:r>
      <w:proofErr w:type="spellStart"/>
      <w:r w:rsidR="00A62AC9" w:rsidRPr="006A5FBD">
        <w:rPr>
          <w:rStyle w:val="jlqj4b"/>
          <w:rFonts w:ascii="Times New Roman" w:hAnsi="Times New Roman"/>
          <w:sz w:val="24"/>
          <w:szCs w:val="24"/>
          <w:lang w:val="en"/>
        </w:rPr>
        <w:t>cardioselective</w:t>
      </w:r>
      <w:proofErr w:type="spellEnd"/>
      <w:r w:rsidR="00A62AC9" w:rsidRPr="006A5FBD">
        <w:rPr>
          <w:rStyle w:val="jlqj4b"/>
          <w:rFonts w:ascii="Times New Roman" w:hAnsi="Times New Roman"/>
          <w:sz w:val="24"/>
          <w:szCs w:val="24"/>
          <w:lang w:val="en"/>
        </w:rPr>
        <w:t xml:space="preserve"> agents in diabetic patients.</w:t>
      </w:r>
      <w:r w:rsidR="00A62AC9" w:rsidRPr="006A5FBD">
        <w:rPr>
          <w:rStyle w:val="viiyi"/>
          <w:rFonts w:ascii="Times New Roman" w:hAnsi="Times New Roman"/>
          <w:sz w:val="24"/>
          <w:szCs w:val="24"/>
          <w:lang w:val="en"/>
        </w:rPr>
        <w:t xml:space="preserve"> </w:t>
      </w:r>
      <w:r w:rsidR="00A62AC9" w:rsidRPr="006A5FBD">
        <w:rPr>
          <w:rStyle w:val="jlqj4b"/>
          <w:rFonts w:ascii="Times New Roman" w:hAnsi="Times New Roman"/>
          <w:sz w:val="24"/>
          <w:szCs w:val="24"/>
          <w:lang w:val="en"/>
        </w:rPr>
        <w:t xml:space="preserve">However, the same risks associated with hypoglycemia apply to </w:t>
      </w:r>
      <w:proofErr w:type="spellStart"/>
      <w:r w:rsidR="00A62AC9" w:rsidRPr="006A5FBD">
        <w:rPr>
          <w:rStyle w:val="jlqj4b"/>
          <w:rFonts w:ascii="Times New Roman" w:hAnsi="Times New Roman"/>
          <w:sz w:val="24"/>
          <w:szCs w:val="24"/>
          <w:lang w:val="en"/>
        </w:rPr>
        <w:t>cardioselective</w:t>
      </w:r>
      <w:proofErr w:type="spellEnd"/>
      <w:r w:rsidR="00A62AC9" w:rsidRPr="006A5FBD">
        <w:rPr>
          <w:rStyle w:val="jlqj4b"/>
          <w:rFonts w:ascii="Times New Roman" w:hAnsi="Times New Roman"/>
          <w:sz w:val="24"/>
          <w:szCs w:val="24"/>
          <w:lang w:val="en"/>
        </w:rPr>
        <w:t xml:space="preserve"> beta-blockers.</w:t>
      </w:r>
      <w:r w:rsidR="00CF52CE" w:rsidRPr="006A5FBD">
        <w:rPr>
          <w:rStyle w:val="jlqj4b"/>
          <w:rFonts w:ascii="Times New Roman" w:hAnsi="Times New Roman"/>
          <w:sz w:val="24"/>
          <w:szCs w:val="24"/>
          <w:lang w:val="en"/>
        </w:rPr>
        <w:t xml:space="preserve"> In our study, we detected this interaction in 5 prescriptions, and therefore, in clinical practice, patients should be warned about the symptoms of hypoglycemia if they use these drugs together </w:t>
      </w:r>
      <w:r w:rsidR="00BF71BF">
        <w:rPr>
          <w:rStyle w:val="jlqj4b"/>
          <w:rFonts w:ascii="Times New Roman" w:hAnsi="Times New Roman"/>
          <w:sz w:val="24"/>
          <w:szCs w:val="24"/>
          <w:lang w:val="en"/>
        </w:rPr>
        <w:t>[</w:t>
      </w:r>
      <w:r w:rsidR="00CF52CE" w:rsidRPr="006A5FBD">
        <w:rPr>
          <w:rStyle w:val="jlqj4b"/>
          <w:rFonts w:ascii="Times New Roman" w:hAnsi="Times New Roman"/>
          <w:sz w:val="24"/>
          <w:szCs w:val="24"/>
          <w:lang w:val="en"/>
        </w:rPr>
        <w:t>14, 15</w:t>
      </w:r>
      <w:r w:rsidR="00BF71BF">
        <w:rPr>
          <w:rStyle w:val="jlqj4b"/>
          <w:rFonts w:ascii="Times New Roman" w:hAnsi="Times New Roman"/>
          <w:sz w:val="24"/>
          <w:szCs w:val="24"/>
          <w:lang w:val="en"/>
        </w:rPr>
        <w:t>]</w:t>
      </w:r>
      <w:r w:rsidR="00CF52CE" w:rsidRPr="006A5FBD">
        <w:rPr>
          <w:rStyle w:val="jlqj4b"/>
          <w:rFonts w:ascii="Times New Roman" w:hAnsi="Times New Roman"/>
          <w:sz w:val="24"/>
          <w:szCs w:val="24"/>
          <w:lang w:val="en"/>
        </w:rPr>
        <w:t>.</w:t>
      </w:r>
      <w:r w:rsidR="00080092" w:rsidRPr="006A5FBD">
        <w:rPr>
          <w:rStyle w:val="jlqj4b"/>
          <w:rFonts w:ascii="Times New Roman" w:hAnsi="Times New Roman"/>
          <w:sz w:val="24"/>
          <w:szCs w:val="24"/>
          <w:lang w:val="en"/>
        </w:rPr>
        <w:t xml:space="preserve"> Diuretics may predispose patients who are using digoxin </w:t>
      </w:r>
      <w:r w:rsidR="00080092" w:rsidRPr="006A5FBD">
        <w:rPr>
          <w:rStyle w:val="jlqj4b"/>
          <w:rFonts w:ascii="Times New Roman" w:hAnsi="Times New Roman"/>
          <w:sz w:val="24"/>
          <w:szCs w:val="24"/>
          <w:lang w:val="en"/>
        </w:rPr>
        <w:lastRenderedPageBreak/>
        <w:t>to arrhythmias due to hypokalemia and hypomagnesemia.</w:t>
      </w:r>
      <w:r w:rsidR="00080092" w:rsidRPr="006A5FBD">
        <w:rPr>
          <w:rStyle w:val="viiyi"/>
          <w:rFonts w:ascii="Times New Roman" w:hAnsi="Times New Roman"/>
          <w:sz w:val="24"/>
          <w:szCs w:val="24"/>
          <w:lang w:val="en"/>
        </w:rPr>
        <w:t xml:space="preserve"> </w:t>
      </w:r>
      <w:r w:rsidR="00080092" w:rsidRPr="006A5FBD">
        <w:rPr>
          <w:rStyle w:val="jlqj4b"/>
          <w:rFonts w:ascii="Times New Roman" w:hAnsi="Times New Roman"/>
          <w:sz w:val="24"/>
          <w:szCs w:val="24"/>
          <w:lang w:val="en"/>
        </w:rPr>
        <w:t>These two groups of drugs, which are included in 4 different patient prescriptions in our study, can be frequently prescribed by physicians.</w:t>
      </w:r>
      <w:r w:rsidR="009A4D15" w:rsidRPr="006A5FBD">
        <w:rPr>
          <w:rStyle w:val="jlqj4b"/>
          <w:rFonts w:ascii="Times New Roman" w:hAnsi="Times New Roman"/>
          <w:sz w:val="24"/>
          <w:szCs w:val="24"/>
          <w:lang w:val="en"/>
        </w:rPr>
        <w:t xml:space="preserve"> </w:t>
      </w:r>
      <w:r w:rsidR="00C3186F" w:rsidRPr="006A5FBD">
        <w:rPr>
          <w:rStyle w:val="jlqj4b"/>
          <w:rFonts w:ascii="Times New Roman" w:hAnsi="Times New Roman"/>
          <w:sz w:val="24"/>
          <w:szCs w:val="24"/>
          <w:lang w:val="en"/>
        </w:rPr>
        <w:t xml:space="preserve">Therefore, when these drugs are used together, if patients experience symptoms of possible digoxin toxicity or electrolyte disturbances, such as weakness, drowsiness, muscle aches or cramps, nausea, anorexia, visual disturbances, or irregular heartbeat, they may be advised to consult a physician </w:t>
      </w:r>
      <w:r w:rsidR="00BF71BF">
        <w:rPr>
          <w:rStyle w:val="jlqj4b"/>
          <w:rFonts w:ascii="Times New Roman" w:hAnsi="Times New Roman"/>
          <w:sz w:val="24"/>
          <w:szCs w:val="24"/>
          <w:lang w:val="en"/>
        </w:rPr>
        <w:t>[</w:t>
      </w:r>
      <w:r w:rsidR="00C3186F" w:rsidRPr="006A5FBD">
        <w:rPr>
          <w:rStyle w:val="jlqj4b"/>
          <w:rFonts w:ascii="Times New Roman" w:hAnsi="Times New Roman"/>
          <w:sz w:val="24"/>
          <w:szCs w:val="24"/>
          <w:lang w:val="en"/>
        </w:rPr>
        <w:t>16, 17</w:t>
      </w:r>
      <w:r w:rsidR="00BF71BF">
        <w:rPr>
          <w:rStyle w:val="jlqj4b"/>
          <w:rFonts w:ascii="Times New Roman" w:hAnsi="Times New Roman"/>
          <w:sz w:val="24"/>
          <w:szCs w:val="24"/>
          <w:lang w:val="en"/>
        </w:rPr>
        <w:t>]</w:t>
      </w:r>
      <w:r w:rsidR="00C3186F" w:rsidRPr="006A5FBD">
        <w:rPr>
          <w:rStyle w:val="jlqj4b"/>
          <w:rFonts w:ascii="Times New Roman" w:hAnsi="Times New Roman"/>
          <w:sz w:val="24"/>
          <w:szCs w:val="24"/>
          <w:lang w:val="en"/>
        </w:rPr>
        <w:t xml:space="preserve">. </w:t>
      </w:r>
      <w:r w:rsidR="00142E9F" w:rsidRPr="006A5FBD">
        <w:rPr>
          <w:rStyle w:val="jlqj4b"/>
          <w:rFonts w:ascii="Times New Roman" w:hAnsi="Times New Roman"/>
          <w:sz w:val="24"/>
          <w:szCs w:val="24"/>
          <w:lang w:val="en"/>
        </w:rPr>
        <w:t>When nonsteroidal anti-inflammatory drugs are used together with Angiotensin Converting Enzyme (ACE) inhibitors, the risk of renal failure and a decrease in hypotensive effect are observed.</w:t>
      </w:r>
      <w:r w:rsidR="00142E9F" w:rsidRPr="006A5FBD">
        <w:rPr>
          <w:rStyle w:val="viiyi"/>
          <w:rFonts w:ascii="Times New Roman" w:hAnsi="Times New Roman"/>
          <w:sz w:val="24"/>
          <w:szCs w:val="24"/>
          <w:lang w:val="en"/>
        </w:rPr>
        <w:t xml:space="preserve"> </w:t>
      </w:r>
      <w:r w:rsidR="00142E9F" w:rsidRPr="006A5FBD">
        <w:rPr>
          <w:rStyle w:val="jlqj4b"/>
          <w:rFonts w:ascii="Times New Roman" w:hAnsi="Times New Roman"/>
          <w:sz w:val="24"/>
          <w:szCs w:val="24"/>
          <w:lang w:val="en"/>
        </w:rPr>
        <w:t>In the study, interactions between NSAIDs and ACE inhibitors were observed in 4 prescriptions.</w:t>
      </w:r>
      <w:r w:rsidR="002B1697" w:rsidRPr="006A5FBD">
        <w:rPr>
          <w:rStyle w:val="jlqj4b"/>
          <w:rFonts w:ascii="Times New Roman" w:hAnsi="Times New Roman"/>
          <w:sz w:val="24"/>
          <w:szCs w:val="24"/>
          <w:lang w:val="en"/>
        </w:rPr>
        <w:t xml:space="preserve"> When the past medical records of these four patients </w:t>
      </w:r>
      <w:r w:rsidR="005D60F9">
        <w:rPr>
          <w:rStyle w:val="jlqj4b"/>
          <w:rFonts w:ascii="Times New Roman" w:hAnsi="Times New Roman"/>
          <w:sz w:val="24"/>
          <w:szCs w:val="24"/>
          <w:lang w:val="en"/>
        </w:rPr>
        <w:t xml:space="preserve">were </w:t>
      </w:r>
      <w:r w:rsidR="002B1697" w:rsidRPr="006A5FBD">
        <w:rPr>
          <w:rStyle w:val="jlqj4b"/>
          <w:rFonts w:ascii="Times New Roman" w:hAnsi="Times New Roman"/>
          <w:sz w:val="24"/>
          <w:szCs w:val="24"/>
          <w:lang w:val="en"/>
        </w:rPr>
        <w:t>analyzed, it was thought that they had taken NSAIDs for a short time.</w:t>
      </w:r>
      <w:r w:rsidR="002B1697" w:rsidRPr="006A5FBD">
        <w:rPr>
          <w:rStyle w:val="viiyi"/>
          <w:rFonts w:ascii="Times New Roman" w:hAnsi="Times New Roman"/>
          <w:sz w:val="24"/>
          <w:szCs w:val="24"/>
          <w:lang w:val="en"/>
        </w:rPr>
        <w:t xml:space="preserve"> </w:t>
      </w:r>
      <w:r w:rsidR="002B1697" w:rsidRPr="006A5FBD">
        <w:rPr>
          <w:rStyle w:val="jlqj4b"/>
          <w:rFonts w:ascii="Times New Roman" w:hAnsi="Times New Roman"/>
          <w:sz w:val="24"/>
          <w:szCs w:val="24"/>
          <w:lang w:val="en"/>
        </w:rPr>
        <w:t xml:space="preserve">The use of NSAIDs for more than one week may pose a risk in terms of interaction, and it is recommended to monitor the patient's blood pressure </w:t>
      </w:r>
      <w:r w:rsidR="00BF71BF">
        <w:rPr>
          <w:rStyle w:val="jlqj4b"/>
          <w:rFonts w:ascii="Times New Roman" w:hAnsi="Times New Roman"/>
          <w:sz w:val="24"/>
          <w:szCs w:val="24"/>
          <w:lang w:val="en"/>
        </w:rPr>
        <w:t>[</w:t>
      </w:r>
      <w:r w:rsidR="002B1697" w:rsidRPr="006A5FBD">
        <w:rPr>
          <w:rStyle w:val="jlqj4b"/>
          <w:rFonts w:ascii="Times New Roman" w:hAnsi="Times New Roman"/>
          <w:sz w:val="24"/>
          <w:szCs w:val="24"/>
          <w:lang w:val="en"/>
        </w:rPr>
        <w:t>18</w:t>
      </w:r>
      <w:r w:rsidR="00BF71BF">
        <w:rPr>
          <w:rStyle w:val="jlqj4b"/>
          <w:rFonts w:ascii="Times New Roman" w:hAnsi="Times New Roman"/>
          <w:sz w:val="24"/>
          <w:szCs w:val="24"/>
          <w:lang w:val="en"/>
        </w:rPr>
        <w:t>]</w:t>
      </w:r>
      <w:r w:rsidR="002B1697" w:rsidRPr="006A5FBD">
        <w:rPr>
          <w:rStyle w:val="jlqj4b"/>
          <w:rFonts w:ascii="Times New Roman" w:hAnsi="Times New Roman"/>
          <w:sz w:val="24"/>
          <w:szCs w:val="24"/>
          <w:lang w:val="en"/>
        </w:rPr>
        <w:t>.</w:t>
      </w:r>
    </w:p>
    <w:p w14:paraId="0EEAD4FA" w14:textId="2B5CF124" w:rsidR="00ED51B5" w:rsidRDefault="007F2ADE"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 xml:space="preserve">Because thiazide diuretics antagonize the hypoglycemic effect of antidiabetics, they increase blood sugar levels </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19</w:t>
      </w:r>
      <w:r w:rsidR="00BF71BF">
        <w:rPr>
          <w:rStyle w:val="jlqj4b"/>
          <w:rFonts w:ascii="Times New Roman" w:hAnsi="Times New Roman"/>
          <w:sz w:val="24"/>
          <w:szCs w:val="24"/>
          <w:lang w:val="en"/>
        </w:rPr>
        <w:t>]</w:t>
      </w:r>
      <w:r w:rsidRPr="006A5FBD">
        <w:rPr>
          <w:rStyle w:val="jlqj4b"/>
          <w:rFonts w:ascii="Times New Roman" w:hAnsi="Times New Roman"/>
          <w:sz w:val="24"/>
          <w:szCs w:val="24"/>
          <w:lang w:val="en"/>
        </w:rPr>
        <w:t xml:space="preserve">. </w:t>
      </w:r>
      <w:r w:rsidR="00B165A9" w:rsidRPr="006A5FBD">
        <w:rPr>
          <w:rStyle w:val="jlqj4b"/>
          <w:rFonts w:ascii="Times New Roman" w:hAnsi="Times New Roman"/>
          <w:sz w:val="24"/>
          <w:szCs w:val="24"/>
          <w:lang w:val="en"/>
        </w:rPr>
        <w:t xml:space="preserve">By competitively blocking the binding of the Intrinsic Factor-Vitamin B12 complex to its receptor depending on calcium, metformin may result in decreased oral vitamin B12 absorption </w:t>
      </w:r>
      <w:r w:rsidR="00BF71BF">
        <w:rPr>
          <w:rStyle w:val="jlqj4b"/>
          <w:rFonts w:ascii="Times New Roman" w:hAnsi="Times New Roman"/>
          <w:sz w:val="24"/>
          <w:szCs w:val="24"/>
          <w:lang w:val="en"/>
        </w:rPr>
        <w:t>[</w:t>
      </w:r>
      <w:r w:rsidR="00B165A9" w:rsidRPr="006A5FBD">
        <w:rPr>
          <w:rStyle w:val="jlqj4b"/>
          <w:rFonts w:ascii="Times New Roman" w:hAnsi="Times New Roman"/>
          <w:sz w:val="24"/>
          <w:szCs w:val="24"/>
          <w:lang w:val="en"/>
        </w:rPr>
        <w:t>20</w:t>
      </w:r>
      <w:r w:rsidR="00DD7E0E">
        <w:rPr>
          <w:rStyle w:val="jlqj4b"/>
          <w:rFonts w:ascii="Times New Roman" w:hAnsi="Times New Roman"/>
          <w:sz w:val="24"/>
          <w:szCs w:val="24"/>
          <w:lang w:val="en"/>
        </w:rPr>
        <w:t>]</w:t>
      </w:r>
      <w:r w:rsidR="00B165A9" w:rsidRPr="006A5FBD">
        <w:rPr>
          <w:rStyle w:val="jlqj4b"/>
          <w:rFonts w:ascii="Times New Roman" w:hAnsi="Times New Roman"/>
          <w:sz w:val="24"/>
          <w:szCs w:val="24"/>
          <w:lang w:val="en"/>
        </w:rPr>
        <w:t xml:space="preserve">. </w:t>
      </w:r>
      <w:r w:rsidR="00BC65F3" w:rsidRPr="006A5FBD">
        <w:rPr>
          <w:rStyle w:val="jlqj4b"/>
          <w:rFonts w:ascii="Times New Roman" w:hAnsi="Times New Roman"/>
          <w:sz w:val="24"/>
          <w:szCs w:val="24"/>
          <w:lang w:val="en"/>
        </w:rPr>
        <w:t xml:space="preserve">ACE inhibitors can increase the effectiveness of oral antidiabetics </w:t>
      </w:r>
      <w:r w:rsidR="00BF71BF">
        <w:rPr>
          <w:rStyle w:val="jlqj4b"/>
          <w:rFonts w:ascii="Times New Roman" w:hAnsi="Times New Roman"/>
          <w:sz w:val="24"/>
          <w:szCs w:val="24"/>
          <w:lang w:val="en"/>
        </w:rPr>
        <w:t>[</w:t>
      </w:r>
      <w:r w:rsidR="00BC65F3" w:rsidRPr="006A5FBD">
        <w:rPr>
          <w:rStyle w:val="jlqj4b"/>
          <w:rFonts w:ascii="Times New Roman" w:hAnsi="Times New Roman"/>
          <w:sz w:val="24"/>
          <w:szCs w:val="24"/>
          <w:lang w:val="en"/>
        </w:rPr>
        <w:t>21</w:t>
      </w:r>
      <w:r w:rsidR="00BF71BF">
        <w:rPr>
          <w:rStyle w:val="jlqj4b"/>
          <w:rFonts w:ascii="Times New Roman" w:hAnsi="Times New Roman"/>
          <w:sz w:val="24"/>
          <w:szCs w:val="24"/>
          <w:lang w:val="en"/>
        </w:rPr>
        <w:t>]</w:t>
      </w:r>
      <w:r w:rsidR="00BC65F3" w:rsidRPr="006A5FBD">
        <w:rPr>
          <w:rStyle w:val="jlqj4b"/>
          <w:rFonts w:ascii="Times New Roman" w:hAnsi="Times New Roman"/>
          <w:sz w:val="24"/>
          <w:szCs w:val="24"/>
          <w:lang w:val="en"/>
        </w:rPr>
        <w:t>.</w:t>
      </w:r>
      <w:r w:rsidR="00BC65F3" w:rsidRPr="006A5FBD">
        <w:rPr>
          <w:rStyle w:val="viiyi"/>
          <w:rFonts w:ascii="Times New Roman" w:hAnsi="Times New Roman"/>
          <w:sz w:val="24"/>
          <w:szCs w:val="24"/>
          <w:lang w:val="en"/>
        </w:rPr>
        <w:t xml:space="preserve"> </w:t>
      </w:r>
      <w:r w:rsidR="00BC65F3" w:rsidRPr="006A5FBD">
        <w:rPr>
          <w:rStyle w:val="jlqj4b"/>
          <w:rFonts w:ascii="Times New Roman" w:hAnsi="Times New Roman"/>
          <w:sz w:val="24"/>
          <w:szCs w:val="24"/>
          <w:lang w:val="en"/>
        </w:rPr>
        <w:t>When diuretics and ACE inhibitors are used together, the hypotensive effect is increased additively.</w:t>
      </w:r>
      <w:r w:rsidR="00BC65F3" w:rsidRPr="006A5FBD">
        <w:rPr>
          <w:rStyle w:val="viiyi"/>
          <w:rFonts w:ascii="Times New Roman" w:hAnsi="Times New Roman"/>
          <w:sz w:val="24"/>
          <w:szCs w:val="24"/>
          <w:lang w:val="en"/>
        </w:rPr>
        <w:t xml:space="preserve"> </w:t>
      </w:r>
      <w:r w:rsidR="00BC65F3" w:rsidRPr="006A5FBD">
        <w:rPr>
          <w:rStyle w:val="jlqj4b"/>
          <w:rFonts w:ascii="Times New Roman" w:hAnsi="Times New Roman"/>
          <w:sz w:val="24"/>
          <w:szCs w:val="24"/>
          <w:lang w:val="en"/>
        </w:rPr>
        <w:t xml:space="preserve">This interaction may be a </w:t>
      </w:r>
      <w:r w:rsidR="008F4033">
        <w:rPr>
          <w:rStyle w:val="jlqj4b"/>
          <w:rFonts w:ascii="Times New Roman" w:hAnsi="Times New Roman"/>
          <w:sz w:val="24"/>
          <w:szCs w:val="24"/>
          <w:lang w:val="en"/>
        </w:rPr>
        <w:t xml:space="preserve">convenient </w:t>
      </w:r>
      <w:r w:rsidR="00BC65F3" w:rsidRPr="006A5FBD">
        <w:rPr>
          <w:rStyle w:val="jlqj4b"/>
          <w:rFonts w:ascii="Times New Roman" w:hAnsi="Times New Roman"/>
          <w:sz w:val="24"/>
          <w:szCs w:val="24"/>
          <w:lang w:val="en"/>
        </w:rPr>
        <w:t xml:space="preserve">effect in clinical practice </w:t>
      </w:r>
      <w:r w:rsidR="00DD7E0E">
        <w:rPr>
          <w:rStyle w:val="jlqj4b"/>
          <w:rFonts w:ascii="Times New Roman" w:hAnsi="Times New Roman"/>
          <w:sz w:val="24"/>
          <w:szCs w:val="24"/>
          <w:lang w:val="en"/>
        </w:rPr>
        <w:t>[</w:t>
      </w:r>
      <w:r w:rsidR="00BC65F3" w:rsidRPr="006A5FBD">
        <w:rPr>
          <w:rStyle w:val="jlqj4b"/>
          <w:rFonts w:ascii="Times New Roman" w:hAnsi="Times New Roman"/>
          <w:sz w:val="24"/>
          <w:szCs w:val="24"/>
          <w:lang w:val="en"/>
        </w:rPr>
        <w:t>22</w:t>
      </w:r>
      <w:r w:rsidR="00DD7E0E">
        <w:rPr>
          <w:rStyle w:val="jlqj4b"/>
          <w:rFonts w:ascii="Times New Roman" w:hAnsi="Times New Roman"/>
          <w:sz w:val="24"/>
          <w:szCs w:val="24"/>
          <w:lang w:val="en"/>
        </w:rPr>
        <w:t>]</w:t>
      </w:r>
      <w:r w:rsidR="00BC65F3" w:rsidRPr="006A5FBD">
        <w:rPr>
          <w:rStyle w:val="jlqj4b"/>
          <w:rFonts w:ascii="Times New Roman" w:hAnsi="Times New Roman"/>
          <w:sz w:val="24"/>
          <w:szCs w:val="24"/>
          <w:lang w:val="en"/>
        </w:rPr>
        <w:t>.</w:t>
      </w:r>
      <w:r w:rsidR="00587E2C" w:rsidRPr="006A5FBD">
        <w:rPr>
          <w:rStyle w:val="jlqj4b"/>
          <w:rFonts w:ascii="Times New Roman" w:hAnsi="Times New Roman"/>
          <w:sz w:val="24"/>
          <w:szCs w:val="24"/>
          <w:lang w:val="en"/>
        </w:rPr>
        <w:t xml:space="preserve"> When clopidogrel and proton pump inhibitors (PPI) are used together, pantoprazole may decrease the serum concentrations of clopidogrel's active metabolites.</w:t>
      </w:r>
      <w:r w:rsidR="00587E2C" w:rsidRPr="006A5FBD">
        <w:rPr>
          <w:rStyle w:val="viiyi"/>
          <w:rFonts w:ascii="Times New Roman" w:hAnsi="Times New Roman"/>
          <w:sz w:val="24"/>
          <w:szCs w:val="24"/>
          <w:lang w:val="en"/>
        </w:rPr>
        <w:t xml:space="preserve"> </w:t>
      </w:r>
      <w:r w:rsidR="00587E2C" w:rsidRPr="006A5FBD">
        <w:rPr>
          <w:rStyle w:val="jlqj4b"/>
          <w:rFonts w:ascii="Times New Roman" w:hAnsi="Times New Roman"/>
          <w:sz w:val="24"/>
          <w:szCs w:val="24"/>
          <w:lang w:val="en"/>
        </w:rPr>
        <w:t>The bioactivation of clopidogrel occurs by the enzyme CYP450 2C19.</w:t>
      </w:r>
      <w:r w:rsidR="00587E2C" w:rsidRPr="006A5FBD">
        <w:rPr>
          <w:rStyle w:val="viiyi"/>
          <w:rFonts w:ascii="Times New Roman" w:hAnsi="Times New Roman"/>
          <w:sz w:val="24"/>
          <w:szCs w:val="24"/>
          <w:lang w:val="en"/>
        </w:rPr>
        <w:t xml:space="preserve"> </w:t>
      </w:r>
      <w:r w:rsidR="00587E2C" w:rsidRPr="006A5FBD">
        <w:rPr>
          <w:rStyle w:val="jlqj4b"/>
          <w:rFonts w:ascii="Times New Roman" w:hAnsi="Times New Roman"/>
          <w:sz w:val="24"/>
          <w:szCs w:val="24"/>
          <w:lang w:val="en"/>
        </w:rPr>
        <w:t xml:space="preserve">Since proton pump inhibitors have been shown to inhibit CYP450 2C19, an interaction is possible leading to decreased therapeutic efficacy and formation of the active metabolite of clopidogrel </w:t>
      </w:r>
      <w:r w:rsidR="00DD7E0E">
        <w:rPr>
          <w:rStyle w:val="jlqj4b"/>
          <w:rFonts w:ascii="Times New Roman" w:hAnsi="Times New Roman"/>
          <w:sz w:val="24"/>
          <w:szCs w:val="24"/>
          <w:lang w:val="en"/>
        </w:rPr>
        <w:t>[</w:t>
      </w:r>
      <w:r w:rsidR="00587E2C" w:rsidRPr="006A5FBD">
        <w:rPr>
          <w:rStyle w:val="jlqj4b"/>
          <w:rFonts w:ascii="Times New Roman" w:hAnsi="Times New Roman"/>
          <w:sz w:val="24"/>
          <w:szCs w:val="24"/>
          <w:lang w:val="en"/>
        </w:rPr>
        <w:t>23</w:t>
      </w:r>
      <w:r w:rsidR="00DD7E0E">
        <w:rPr>
          <w:rStyle w:val="jlqj4b"/>
          <w:rFonts w:ascii="Times New Roman" w:hAnsi="Times New Roman"/>
          <w:sz w:val="24"/>
          <w:szCs w:val="24"/>
          <w:lang w:val="en"/>
        </w:rPr>
        <w:t>]</w:t>
      </w:r>
      <w:r w:rsidR="00587E2C" w:rsidRPr="006A5FBD">
        <w:rPr>
          <w:rStyle w:val="jlqj4b"/>
          <w:rFonts w:ascii="Times New Roman" w:hAnsi="Times New Roman"/>
          <w:sz w:val="24"/>
          <w:szCs w:val="24"/>
          <w:lang w:val="en"/>
        </w:rPr>
        <w:t>.</w:t>
      </w:r>
      <w:r w:rsidR="00A1539C" w:rsidRPr="006A5FBD">
        <w:rPr>
          <w:rStyle w:val="jlqj4b"/>
          <w:rFonts w:ascii="Times New Roman" w:hAnsi="Times New Roman"/>
          <w:sz w:val="24"/>
          <w:szCs w:val="24"/>
          <w:lang w:val="en"/>
        </w:rPr>
        <w:t xml:space="preserve"> Pentoxifylline prolongs the prothrombin time.</w:t>
      </w:r>
      <w:r w:rsidR="00A1539C" w:rsidRPr="006A5FBD">
        <w:rPr>
          <w:rStyle w:val="viiyi"/>
          <w:rFonts w:ascii="Times New Roman" w:hAnsi="Times New Roman"/>
          <w:sz w:val="24"/>
          <w:szCs w:val="24"/>
          <w:lang w:val="en"/>
        </w:rPr>
        <w:t xml:space="preserve"> </w:t>
      </w:r>
      <w:r w:rsidR="00A1539C" w:rsidRPr="006A5FBD">
        <w:rPr>
          <w:rStyle w:val="jlqj4b"/>
          <w:rFonts w:ascii="Times New Roman" w:hAnsi="Times New Roman"/>
          <w:sz w:val="24"/>
          <w:szCs w:val="24"/>
          <w:lang w:val="en"/>
        </w:rPr>
        <w:t xml:space="preserve">Since clopidogrel inhibits platelet aggregation, the risk of bleeding increases when used simultaneously with pentoxifylline </w:t>
      </w:r>
      <w:r w:rsidR="00DD7E0E">
        <w:rPr>
          <w:rStyle w:val="jlqj4b"/>
          <w:rFonts w:ascii="Times New Roman" w:hAnsi="Times New Roman"/>
          <w:sz w:val="24"/>
          <w:szCs w:val="24"/>
          <w:lang w:val="en"/>
        </w:rPr>
        <w:t>[</w:t>
      </w:r>
      <w:r w:rsidR="00A1539C" w:rsidRPr="006A5FBD">
        <w:rPr>
          <w:rStyle w:val="jlqj4b"/>
          <w:rFonts w:ascii="Times New Roman" w:hAnsi="Times New Roman"/>
          <w:sz w:val="24"/>
          <w:szCs w:val="24"/>
          <w:lang w:val="en"/>
        </w:rPr>
        <w:t>24</w:t>
      </w:r>
      <w:r w:rsidR="00DD7E0E">
        <w:rPr>
          <w:rStyle w:val="jlqj4b"/>
          <w:rFonts w:ascii="Times New Roman" w:hAnsi="Times New Roman"/>
          <w:sz w:val="24"/>
          <w:szCs w:val="24"/>
          <w:lang w:val="en"/>
        </w:rPr>
        <w:t>]</w:t>
      </w:r>
      <w:r w:rsidR="00A1539C" w:rsidRPr="006A5FBD">
        <w:rPr>
          <w:rStyle w:val="jlqj4b"/>
          <w:rFonts w:ascii="Times New Roman" w:hAnsi="Times New Roman"/>
          <w:sz w:val="24"/>
          <w:szCs w:val="24"/>
          <w:lang w:val="en"/>
        </w:rPr>
        <w:t xml:space="preserve">. </w:t>
      </w:r>
      <w:r w:rsidR="0041002A" w:rsidRPr="006A5FBD">
        <w:rPr>
          <w:rStyle w:val="jlqj4b"/>
          <w:rFonts w:ascii="Times New Roman" w:hAnsi="Times New Roman"/>
          <w:sz w:val="24"/>
          <w:szCs w:val="24"/>
          <w:lang w:val="en"/>
        </w:rPr>
        <w:t xml:space="preserve">Atorvastatin may inhibit the antiplatelet activity of clopidogrel by preventing its conversion to its active metabolite via CYP3A4 </w:t>
      </w:r>
      <w:r w:rsidR="00DD7E0E">
        <w:rPr>
          <w:rStyle w:val="jlqj4b"/>
          <w:rFonts w:ascii="Times New Roman" w:hAnsi="Times New Roman"/>
          <w:sz w:val="24"/>
          <w:szCs w:val="24"/>
          <w:lang w:val="en"/>
        </w:rPr>
        <w:t>[</w:t>
      </w:r>
      <w:r w:rsidR="0041002A" w:rsidRPr="006A5FBD">
        <w:rPr>
          <w:rStyle w:val="jlqj4b"/>
          <w:rFonts w:ascii="Times New Roman" w:hAnsi="Times New Roman"/>
          <w:sz w:val="24"/>
          <w:szCs w:val="24"/>
          <w:lang w:val="en"/>
        </w:rPr>
        <w:t>25</w:t>
      </w:r>
      <w:r w:rsidR="00DD7E0E">
        <w:rPr>
          <w:rStyle w:val="jlqj4b"/>
          <w:rFonts w:ascii="Times New Roman" w:hAnsi="Times New Roman"/>
          <w:sz w:val="24"/>
          <w:szCs w:val="24"/>
          <w:lang w:val="en"/>
        </w:rPr>
        <w:t>]</w:t>
      </w:r>
      <w:r w:rsidR="0041002A" w:rsidRPr="006A5FBD">
        <w:rPr>
          <w:rStyle w:val="jlqj4b"/>
          <w:rFonts w:ascii="Times New Roman" w:hAnsi="Times New Roman"/>
          <w:sz w:val="24"/>
          <w:szCs w:val="24"/>
          <w:lang w:val="en"/>
        </w:rPr>
        <w:t>.</w:t>
      </w:r>
      <w:r w:rsidR="009B2FF6" w:rsidRPr="006A5FBD">
        <w:rPr>
          <w:rStyle w:val="jlqj4b"/>
          <w:rFonts w:ascii="Times New Roman" w:hAnsi="Times New Roman"/>
          <w:sz w:val="24"/>
          <w:szCs w:val="24"/>
          <w:lang w:val="en"/>
        </w:rPr>
        <w:t xml:space="preserve"> The combined use of proton pump inhibitors (PPIs) and oral iron, which is seen in 3 prescriptions of our study group patients, is seen much more frequently in our geriatric patient prescriptions in our daily practice.</w:t>
      </w:r>
      <w:r w:rsidR="0077249F" w:rsidRPr="006A5FBD">
        <w:rPr>
          <w:rStyle w:val="jlqj4b"/>
          <w:rFonts w:ascii="Times New Roman" w:hAnsi="Times New Roman"/>
          <w:sz w:val="24"/>
          <w:szCs w:val="24"/>
          <w:lang w:val="en"/>
        </w:rPr>
        <w:t xml:space="preserve"> Since PPIs reduce gastric acidity, gastrointestinal absorption of iron, </w:t>
      </w:r>
      <w:r w:rsidR="001E6622">
        <w:rPr>
          <w:rStyle w:val="jlqj4b"/>
          <w:rFonts w:ascii="Times New Roman" w:hAnsi="Times New Roman"/>
          <w:sz w:val="24"/>
          <w:szCs w:val="24"/>
          <w:lang w:val="en"/>
        </w:rPr>
        <w:t>which</w:t>
      </w:r>
      <w:r w:rsidR="0077249F" w:rsidRPr="006A5FBD">
        <w:rPr>
          <w:rStyle w:val="jlqj4b"/>
          <w:rFonts w:ascii="Times New Roman" w:hAnsi="Times New Roman"/>
          <w:sz w:val="24"/>
          <w:szCs w:val="24"/>
          <w:lang w:val="en"/>
        </w:rPr>
        <w:t xml:space="preserve"> is dependent on an </w:t>
      </w:r>
      <w:r w:rsidR="0077249F" w:rsidRPr="006A5FBD">
        <w:rPr>
          <w:rStyle w:val="jlqj4b"/>
          <w:rFonts w:ascii="Times New Roman" w:hAnsi="Times New Roman"/>
          <w:sz w:val="24"/>
          <w:szCs w:val="24"/>
          <w:lang w:val="en"/>
        </w:rPr>
        <w:lastRenderedPageBreak/>
        <w:t xml:space="preserve">acidic environment, is impaired and iron absorption decreases </w:t>
      </w:r>
      <w:r w:rsidR="00DD7E0E">
        <w:rPr>
          <w:rStyle w:val="jlqj4b"/>
          <w:rFonts w:ascii="Times New Roman" w:hAnsi="Times New Roman"/>
          <w:sz w:val="24"/>
          <w:szCs w:val="24"/>
          <w:lang w:val="en"/>
        </w:rPr>
        <w:t>[</w:t>
      </w:r>
      <w:r w:rsidR="0077249F" w:rsidRPr="006A5FBD">
        <w:rPr>
          <w:rStyle w:val="jlqj4b"/>
          <w:rFonts w:ascii="Times New Roman" w:hAnsi="Times New Roman"/>
          <w:sz w:val="24"/>
          <w:szCs w:val="24"/>
          <w:lang w:val="en"/>
        </w:rPr>
        <w:t>26</w:t>
      </w:r>
      <w:r w:rsidR="00DD7E0E">
        <w:rPr>
          <w:rStyle w:val="jlqj4b"/>
          <w:rFonts w:ascii="Times New Roman" w:hAnsi="Times New Roman"/>
          <w:sz w:val="24"/>
          <w:szCs w:val="24"/>
          <w:lang w:val="en"/>
        </w:rPr>
        <w:t>]</w:t>
      </w:r>
      <w:r w:rsidR="0077249F" w:rsidRPr="006A5FBD">
        <w:rPr>
          <w:rStyle w:val="jlqj4b"/>
          <w:rFonts w:ascii="Times New Roman" w:hAnsi="Times New Roman"/>
          <w:sz w:val="24"/>
          <w:szCs w:val="24"/>
          <w:lang w:val="en"/>
        </w:rPr>
        <w:t>.</w:t>
      </w:r>
      <w:r w:rsidR="00A31474" w:rsidRPr="006A5FBD">
        <w:rPr>
          <w:rStyle w:val="jlqj4b"/>
          <w:rFonts w:ascii="Times New Roman" w:hAnsi="Times New Roman"/>
          <w:sz w:val="24"/>
          <w:szCs w:val="24"/>
          <w:lang w:val="en"/>
        </w:rPr>
        <w:t xml:space="preserve"> Concomitant use of corticosteroids and nonsteroidal anti-inflammatory drugs (NSAIDs) may increase the potential for serious gastrointestinal (GI) toxicity, including inflammation, bleeding, ulceration, and perforation.</w:t>
      </w:r>
      <w:r w:rsidR="009428C9" w:rsidRPr="006A5FBD">
        <w:rPr>
          <w:rStyle w:val="jlqj4b"/>
          <w:rFonts w:ascii="Times New Roman" w:hAnsi="Times New Roman"/>
          <w:sz w:val="24"/>
          <w:szCs w:val="24"/>
          <w:lang w:val="en"/>
        </w:rPr>
        <w:t xml:space="preserve"> In this study, this interaction was observed in 5 different prescriptions </w:t>
      </w:r>
      <w:r w:rsidR="00DD7E0E">
        <w:rPr>
          <w:rStyle w:val="jlqj4b"/>
          <w:rFonts w:ascii="Times New Roman" w:hAnsi="Times New Roman"/>
          <w:sz w:val="24"/>
          <w:szCs w:val="24"/>
          <w:lang w:val="en"/>
        </w:rPr>
        <w:t>[</w:t>
      </w:r>
      <w:r w:rsidR="009428C9" w:rsidRPr="006A5FBD">
        <w:rPr>
          <w:rStyle w:val="jlqj4b"/>
          <w:rFonts w:ascii="Times New Roman" w:hAnsi="Times New Roman"/>
          <w:sz w:val="24"/>
          <w:szCs w:val="24"/>
          <w:lang w:val="en"/>
        </w:rPr>
        <w:t>27</w:t>
      </w:r>
      <w:r w:rsidR="00DD7E0E">
        <w:rPr>
          <w:rStyle w:val="jlqj4b"/>
          <w:rFonts w:ascii="Times New Roman" w:hAnsi="Times New Roman"/>
          <w:sz w:val="24"/>
          <w:szCs w:val="24"/>
          <w:lang w:val="en"/>
        </w:rPr>
        <w:t>].</w:t>
      </w:r>
      <w:r w:rsidR="009564B6" w:rsidRPr="006A5FBD">
        <w:rPr>
          <w:rStyle w:val="jlqj4b"/>
          <w:rFonts w:ascii="Times New Roman" w:hAnsi="Times New Roman"/>
          <w:sz w:val="24"/>
          <w:szCs w:val="24"/>
          <w:lang w:val="en"/>
        </w:rPr>
        <w:t xml:space="preserve"> The interactions of oral iron and zinc preparations seen in four different prescriptions are potentially due to decreased absorption of each other </w:t>
      </w:r>
      <w:r w:rsidR="00DD7E0E">
        <w:rPr>
          <w:rStyle w:val="jlqj4b"/>
          <w:rFonts w:ascii="Times New Roman" w:hAnsi="Times New Roman"/>
          <w:sz w:val="24"/>
          <w:szCs w:val="24"/>
          <w:lang w:val="en"/>
        </w:rPr>
        <w:t>[</w:t>
      </w:r>
      <w:r w:rsidR="009564B6" w:rsidRPr="006A5FBD">
        <w:rPr>
          <w:rStyle w:val="jlqj4b"/>
          <w:rFonts w:ascii="Times New Roman" w:hAnsi="Times New Roman"/>
          <w:sz w:val="24"/>
          <w:szCs w:val="24"/>
          <w:lang w:val="en"/>
        </w:rPr>
        <w:t>28</w:t>
      </w:r>
      <w:r w:rsidR="00DD7E0E">
        <w:rPr>
          <w:rStyle w:val="jlqj4b"/>
          <w:rFonts w:ascii="Times New Roman" w:hAnsi="Times New Roman"/>
          <w:sz w:val="24"/>
          <w:szCs w:val="24"/>
          <w:lang w:val="en"/>
        </w:rPr>
        <w:t>]</w:t>
      </w:r>
      <w:r w:rsidR="009564B6" w:rsidRPr="006A5FBD">
        <w:rPr>
          <w:rStyle w:val="jlqj4b"/>
          <w:rFonts w:ascii="Times New Roman" w:hAnsi="Times New Roman"/>
          <w:sz w:val="24"/>
          <w:szCs w:val="24"/>
          <w:lang w:val="en"/>
        </w:rPr>
        <w:t xml:space="preserve">. </w:t>
      </w:r>
    </w:p>
    <w:p w14:paraId="61F9381C" w14:textId="16B92685" w:rsidR="007F2ADE" w:rsidRPr="006A5FBD" w:rsidRDefault="00ED51B5" w:rsidP="00F5575F">
      <w:pPr>
        <w:spacing w:line="360" w:lineRule="auto"/>
        <w:jc w:val="both"/>
        <w:rPr>
          <w:rStyle w:val="jlqj4b"/>
          <w:rFonts w:ascii="Times New Roman" w:hAnsi="Times New Roman"/>
          <w:sz w:val="24"/>
          <w:szCs w:val="24"/>
          <w:lang w:val="en"/>
        </w:rPr>
      </w:pPr>
      <w:r>
        <w:rPr>
          <w:rStyle w:val="jlqj4b"/>
          <w:rFonts w:ascii="Times New Roman" w:hAnsi="Times New Roman"/>
          <w:sz w:val="24"/>
          <w:szCs w:val="24"/>
          <w:lang w:val="en"/>
        </w:rPr>
        <w:t xml:space="preserve">In </w:t>
      </w:r>
      <w:r w:rsidR="00C929C2" w:rsidRPr="006A5FBD">
        <w:rPr>
          <w:rStyle w:val="jlqj4b"/>
          <w:rFonts w:ascii="Times New Roman" w:hAnsi="Times New Roman"/>
          <w:sz w:val="24"/>
          <w:szCs w:val="24"/>
          <w:lang w:val="en"/>
        </w:rPr>
        <w:t>Steinman et al.</w:t>
      </w:r>
      <w:r w:rsidR="00C929C2" w:rsidRPr="006A5FBD">
        <w:rPr>
          <w:rStyle w:val="viiyi"/>
          <w:rFonts w:ascii="Times New Roman" w:hAnsi="Times New Roman"/>
          <w:sz w:val="24"/>
          <w:szCs w:val="24"/>
          <w:lang w:val="en"/>
        </w:rPr>
        <w:t xml:space="preserve">’s </w:t>
      </w:r>
      <w:r w:rsidR="00C929C2" w:rsidRPr="006A5FBD">
        <w:rPr>
          <w:rStyle w:val="jlqj4b"/>
          <w:rFonts w:ascii="Times New Roman" w:hAnsi="Times New Roman"/>
          <w:sz w:val="24"/>
          <w:szCs w:val="24"/>
          <w:lang w:val="en"/>
        </w:rPr>
        <w:t xml:space="preserve">study, it was observed that 128 of 196 patients (65%) had at least one inappropriate drug use, and the frequency of inappropriate drug use increased as the number of drugs used increased </w:t>
      </w:r>
      <w:r w:rsidR="00DD7E0E">
        <w:rPr>
          <w:rStyle w:val="jlqj4b"/>
          <w:rFonts w:ascii="Times New Roman" w:hAnsi="Times New Roman"/>
          <w:sz w:val="24"/>
          <w:szCs w:val="24"/>
          <w:lang w:val="en"/>
        </w:rPr>
        <w:t>[</w:t>
      </w:r>
      <w:r w:rsidR="00C929C2" w:rsidRPr="006A5FBD">
        <w:rPr>
          <w:rStyle w:val="jlqj4b"/>
          <w:rFonts w:ascii="Times New Roman" w:hAnsi="Times New Roman"/>
          <w:sz w:val="24"/>
          <w:szCs w:val="24"/>
          <w:lang w:val="en"/>
        </w:rPr>
        <w:t>9</w:t>
      </w:r>
      <w:r w:rsidR="00DD7E0E">
        <w:rPr>
          <w:rStyle w:val="jlqj4b"/>
          <w:rFonts w:ascii="Times New Roman" w:hAnsi="Times New Roman"/>
          <w:sz w:val="24"/>
          <w:szCs w:val="24"/>
          <w:lang w:val="en"/>
        </w:rPr>
        <w:t>]</w:t>
      </w:r>
      <w:r w:rsidR="00C929C2" w:rsidRPr="006A5FBD">
        <w:rPr>
          <w:rStyle w:val="jlqj4b"/>
          <w:rFonts w:ascii="Times New Roman" w:hAnsi="Times New Roman"/>
          <w:sz w:val="24"/>
          <w:szCs w:val="24"/>
          <w:lang w:val="en"/>
        </w:rPr>
        <w:t xml:space="preserve">. </w:t>
      </w:r>
      <w:r w:rsidR="00C45536" w:rsidRPr="006A5FBD">
        <w:rPr>
          <w:rStyle w:val="jlqj4b"/>
          <w:rFonts w:ascii="Times New Roman" w:hAnsi="Times New Roman"/>
          <w:sz w:val="24"/>
          <w:szCs w:val="24"/>
          <w:lang w:val="en"/>
        </w:rPr>
        <w:t xml:space="preserve">According to the data of the Ministry of Health of the Republic of Turkey, 2 billion 19 million boxes of drugs were consumed in 2016 </w:t>
      </w:r>
      <w:r w:rsidR="00DD7E0E">
        <w:rPr>
          <w:rStyle w:val="jlqj4b"/>
          <w:rFonts w:ascii="Times New Roman" w:hAnsi="Times New Roman"/>
          <w:sz w:val="24"/>
          <w:szCs w:val="24"/>
          <w:lang w:val="en"/>
        </w:rPr>
        <w:t>[</w:t>
      </w:r>
      <w:r w:rsidR="00C45536" w:rsidRPr="006A5FBD">
        <w:rPr>
          <w:rStyle w:val="jlqj4b"/>
          <w:rFonts w:ascii="Times New Roman" w:hAnsi="Times New Roman"/>
          <w:sz w:val="24"/>
          <w:szCs w:val="24"/>
          <w:lang w:val="en"/>
        </w:rPr>
        <w:t>29</w:t>
      </w:r>
      <w:r w:rsidR="00DD7E0E">
        <w:rPr>
          <w:rStyle w:val="jlqj4b"/>
          <w:rFonts w:ascii="Times New Roman" w:hAnsi="Times New Roman"/>
          <w:sz w:val="24"/>
          <w:szCs w:val="24"/>
          <w:lang w:val="en"/>
        </w:rPr>
        <w:t>]</w:t>
      </w:r>
      <w:r w:rsidR="00C45536" w:rsidRPr="006A5FBD">
        <w:rPr>
          <w:rStyle w:val="jlqj4b"/>
          <w:rFonts w:ascii="Times New Roman" w:hAnsi="Times New Roman"/>
          <w:sz w:val="24"/>
          <w:szCs w:val="24"/>
          <w:lang w:val="en"/>
        </w:rPr>
        <w:t>.</w:t>
      </w:r>
      <w:r w:rsidR="00C45536" w:rsidRPr="006A5FBD">
        <w:rPr>
          <w:rStyle w:val="viiyi"/>
          <w:rFonts w:ascii="Times New Roman" w:hAnsi="Times New Roman"/>
          <w:sz w:val="24"/>
          <w:szCs w:val="24"/>
          <w:lang w:val="en"/>
        </w:rPr>
        <w:t xml:space="preserve"> </w:t>
      </w:r>
      <w:r w:rsidR="00C45536" w:rsidRPr="006A5FBD">
        <w:rPr>
          <w:rStyle w:val="jlqj4b"/>
          <w:rFonts w:ascii="Times New Roman" w:hAnsi="Times New Roman"/>
          <w:sz w:val="24"/>
          <w:szCs w:val="24"/>
          <w:lang w:val="en"/>
        </w:rPr>
        <w:t>In these data, analgesics are in the first place and antibiotics are in the second.</w:t>
      </w:r>
      <w:r w:rsidR="0098223F" w:rsidRPr="006A5FBD">
        <w:rPr>
          <w:rStyle w:val="jlqj4b"/>
          <w:rFonts w:ascii="Times New Roman" w:hAnsi="Times New Roman"/>
          <w:sz w:val="24"/>
          <w:szCs w:val="24"/>
          <w:lang w:val="en"/>
        </w:rPr>
        <w:t xml:space="preserve"> According to Organization for Economic Co-operation and Development (OECD) data, Turkey ranks first place in t</w:t>
      </w:r>
      <w:r w:rsidR="004803AA" w:rsidRPr="006A5FBD">
        <w:rPr>
          <w:rStyle w:val="jlqj4b"/>
          <w:rFonts w:ascii="Times New Roman" w:hAnsi="Times New Roman"/>
          <w:sz w:val="24"/>
          <w:szCs w:val="24"/>
          <w:lang w:val="en"/>
        </w:rPr>
        <w:t xml:space="preserve">he world with 42.2 per thousand </w:t>
      </w:r>
      <w:r w:rsidR="0098223F" w:rsidRPr="006A5FBD">
        <w:rPr>
          <w:rStyle w:val="jlqj4b"/>
          <w:rFonts w:ascii="Times New Roman" w:hAnsi="Times New Roman"/>
          <w:sz w:val="24"/>
          <w:szCs w:val="24"/>
          <w:lang w:val="en"/>
        </w:rPr>
        <w:t xml:space="preserve">antibiotic </w:t>
      </w:r>
      <w:proofErr w:type="gramStart"/>
      <w:r w:rsidR="0098223F" w:rsidRPr="006A5FBD">
        <w:rPr>
          <w:rStyle w:val="jlqj4b"/>
          <w:rFonts w:ascii="Times New Roman" w:hAnsi="Times New Roman"/>
          <w:sz w:val="24"/>
          <w:szCs w:val="24"/>
          <w:lang w:val="en"/>
        </w:rPr>
        <w:t>consumption</w:t>
      </w:r>
      <w:proofErr w:type="gramEnd"/>
      <w:r w:rsidR="0098223F" w:rsidRPr="006A5FBD">
        <w:rPr>
          <w:rStyle w:val="jlqj4b"/>
          <w:rFonts w:ascii="Times New Roman" w:hAnsi="Times New Roman"/>
          <w:sz w:val="24"/>
          <w:szCs w:val="24"/>
          <w:lang w:val="en"/>
        </w:rPr>
        <w:t xml:space="preserve"> </w:t>
      </w:r>
      <w:r w:rsidR="00DD7E0E">
        <w:rPr>
          <w:rStyle w:val="jlqj4b"/>
          <w:rFonts w:ascii="Times New Roman" w:hAnsi="Times New Roman"/>
          <w:sz w:val="24"/>
          <w:szCs w:val="24"/>
          <w:lang w:val="en"/>
        </w:rPr>
        <w:t>[</w:t>
      </w:r>
      <w:r w:rsidR="0098223F" w:rsidRPr="006A5FBD">
        <w:rPr>
          <w:rStyle w:val="jlqj4b"/>
          <w:rFonts w:ascii="Times New Roman" w:hAnsi="Times New Roman"/>
          <w:sz w:val="24"/>
          <w:szCs w:val="24"/>
          <w:lang w:val="en"/>
        </w:rPr>
        <w:t>30</w:t>
      </w:r>
      <w:r w:rsidR="00DD7E0E">
        <w:rPr>
          <w:rStyle w:val="jlqj4b"/>
          <w:rFonts w:ascii="Times New Roman" w:hAnsi="Times New Roman"/>
          <w:sz w:val="24"/>
          <w:szCs w:val="24"/>
          <w:lang w:val="en"/>
        </w:rPr>
        <w:t>]</w:t>
      </w:r>
      <w:r w:rsidR="0098223F" w:rsidRPr="006A5FBD">
        <w:rPr>
          <w:rStyle w:val="jlqj4b"/>
          <w:rFonts w:ascii="Times New Roman" w:hAnsi="Times New Roman"/>
          <w:sz w:val="24"/>
          <w:szCs w:val="24"/>
          <w:lang w:val="en"/>
        </w:rPr>
        <w:t>.</w:t>
      </w:r>
      <w:r w:rsidR="00D33D19" w:rsidRPr="006A5FBD">
        <w:rPr>
          <w:rStyle w:val="jlqj4b"/>
          <w:rFonts w:ascii="Times New Roman" w:hAnsi="Times New Roman"/>
          <w:sz w:val="24"/>
          <w:szCs w:val="24"/>
          <w:lang w:val="en"/>
        </w:rPr>
        <w:t xml:space="preserve"> According to </w:t>
      </w:r>
      <w:proofErr w:type="spellStart"/>
      <w:r w:rsidR="00D33D19" w:rsidRPr="006A5FBD">
        <w:rPr>
          <w:rStyle w:val="jlqj4b"/>
          <w:rFonts w:ascii="Times New Roman" w:hAnsi="Times New Roman"/>
          <w:sz w:val="24"/>
          <w:szCs w:val="24"/>
          <w:lang w:val="en"/>
        </w:rPr>
        <w:t>Masoodi</w:t>
      </w:r>
      <w:proofErr w:type="spellEnd"/>
      <w:r w:rsidR="00D33D19" w:rsidRPr="006A5FBD">
        <w:rPr>
          <w:rStyle w:val="jlqj4b"/>
          <w:rFonts w:ascii="Times New Roman" w:hAnsi="Times New Roman"/>
          <w:sz w:val="24"/>
          <w:szCs w:val="24"/>
          <w:lang w:val="en"/>
        </w:rPr>
        <w:t xml:space="preserve"> et al.’s study in 2008,</w:t>
      </w:r>
      <w:r w:rsidR="00A835AE" w:rsidRPr="006A5FBD">
        <w:rPr>
          <w:rStyle w:val="jlqj4b"/>
          <w:rFonts w:ascii="Times New Roman" w:hAnsi="Times New Roman"/>
          <w:sz w:val="24"/>
          <w:szCs w:val="24"/>
          <w:lang w:val="en"/>
        </w:rPr>
        <w:t xml:space="preserve"> it was </w:t>
      </w:r>
      <w:r w:rsidR="00600ED4">
        <w:rPr>
          <w:rStyle w:val="jlqj4b"/>
          <w:rFonts w:ascii="Times New Roman" w:hAnsi="Times New Roman"/>
          <w:sz w:val="24"/>
          <w:szCs w:val="24"/>
          <w:lang w:val="en"/>
        </w:rPr>
        <w:t>shown</w:t>
      </w:r>
      <w:r w:rsidR="00600ED4" w:rsidRPr="006A5FBD">
        <w:rPr>
          <w:rStyle w:val="jlqj4b"/>
          <w:rFonts w:ascii="Times New Roman" w:hAnsi="Times New Roman"/>
          <w:sz w:val="24"/>
          <w:szCs w:val="24"/>
          <w:lang w:val="en"/>
        </w:rPr>
        <w:t xml:space="preserve"> </w:t>
      </w:r>
      <w:r w:rsidR="00A835AE" w:rsidRPr="006A5FBD">
        <w:rPr>
          <w:rStyle w:val="jlqj4b"/>
          <w:rFonts w:ascii="Times New Roman" w:hAnsi="Times New Roman"/>
          <w:sz w:val="24"/>
          <w:szCs w:val="24"/>
          <w:lang w:val="en"/>
        </w:rPr>
        <w:t>t</w:t>
      </w:r>
      <w:r w:rsidR="004803AA" w:rsidRPr="006A5FBD">
        <w:rPr>
          <w:rStyle w:val="jlqj4b"/>
          <w:rFonts w:ascii="Times New Roman" w:hAnsi="Times New Roman"/>
          <w:sz w:val="24"/>
          <w:szCs w:val="24"/>
          <w:lang w:val="en"/>
        </w:rPr>
        <w:t>hat adverse drug effects can be</w:t>
      </w:r>
      <w:r w:rsidR="00600ED4">
        <w:rPr>
          <w:rStyle w:val="jlqj4b"/>
          <w:rFonts w:ascii="Times New Roman" w:hAnsi="Times New Roman"/>
          <w:sz w:val="24"/>
          <w:szCs w:val="24"/>
          <w:lang w:val="en"/>
        </w:rPr>
        <w:t xml:space="preserve"> seen in</w:t>
      </w:r>
      <w:r w:rsidR="00D33D19" w:rsidRPr="006A5FBD">
        <w:rPr>
          <w:rStyle w:val="jlqj4b"/>
          <w:rFonts w:ascii="Times New Roman" w:hAnsi="Times New Roman"/>
          <w:sz w:val="24"/>
          <w:szCs w:val="24"/>
          <w:lang w:val="en"/>
        </w:rPr>
        <w:t xml:space="preserve"> 15% </w:t>
      </w:r>
      <w:r w:rsidR="00600ED4">
        <w:rPr>
          <w:rStyle w:val="jlqj4b"/>
          <w:rFonts w:ascii="Times New Roman" w:hAnsi="Times New Roman"/>
          <w:sz w:val="24"/>
          <w:szCs w:val="24"/>
          <w:lang w:val="en"/>
        </w:rPr>
        <w:t xml:space="preserve">frequency </w:t>
      </w:r>
      <w:r w:rsidR="00D33D19" w:rsidRPr="006A5FBD">
        <w:rPr>
          <w:rStyle w:val="jlqj4b"/>
          <w:rFonts w:ascii="Times New Roman" w:hAnsi="Times New Roman"/>
          <w:sz w:val="24"/>
          <w:szCs w:val="24"/>
          <w:lang w:val="en"/>
        </w:rPr>
        <w:t>with the use of two drugs;</w:t>
      </w:r>
      <w:r w:rsidR="00D33D19" w:rsidRPr="006A5FBD">
        <w:rPr>
          <w:rStyle w:val="viiyi"/>
          <w:rFonts w:ascii="Times New Roman" w:hAnsi="Times New Roman"/>
          <w:sz w:val="24"/>
          <w:szCs w:val="24"/>
          <w:lang w:val="en"/>
        </w:rPr>
        <w:t xml:space="preserve"> </w:t>
      </w:r>
      <w:r w:rsidR="00600ED4">
        <w:rPr>
          <w:rStyle w:val="viiyi"/>
          <w:rFonts w:ascii="Times New Roman" w:hAnsi="Times New Roman"/>
          <w:sz w:val="24"/>
          <w:szCs w:val="24"/>
          <w:lang w:val="en"/>
        </w:rPr>
        <w:t xml:space="preserve">and raise to </w:t>
      </w:r>
      <w:r w:rsidR="00D33D19" w:rsidRPr="006A5FBD">
        <w:rPr>
          <w:rStyle w:val="jlqj4b"/>
          <w:rFonts w:ascii="Times New Roman" w:hAnsi="Times New Roman"/>
          <w:sz w:val="24"/>
          <w:szCs w:val="24"/>
          <w:lang w:val="en"/>
        </w:rPr>
        <w:t xml:space="preserve">58% with the use of five drugs </w:t>
      </w:r>
      <w:r w:rsidR="00DD7E0E">
        <w:rPr>
          <w:rStyle w:val="jlqj4b"/>
          <w:rFonts w:ascii="Times New Roman" w:hAnsi="Times New Roman"/>
          <w:sz w:val="24"/>
          <w:szCs w:val="24"/>
          <w:lang w:val="en"/>
        </w:rPr>
        <w:t>[</w:t>
      </w:r>
      <w:r w:rsidR="00D33D19" w:rsidRPr="006A5FBD">
        <w:rPr>
          <w:rStyle w:val="jlqj4b"/>
          <w:rFonts w:ascii="Times New Roman" w:hAnsi="Times New Roman"/>
          <w:sz w:val="24"/>
          <w:szCs w:val="24"/>
          <w:lang w:val="en"/>
        </w:rPr>
        <w:t>31</w:t>
      </w:r>
      <w:r w:rsidR="00DD7E0E">
        <w:rPr>
          <w:rStyle w:val="jlqj4b"/>
          <w:rFonts w:ascii="Times New Roman" w:hAnsi="Times New Roman"/>
          <w:sz w:val="24"/>
          <w:szCs w:val="24"/>
          <w:lang w:val="en"/>
        </w:rPr>
        <w:t>]</w:t>
      </w:r>
      <w:r w:rsidR="00D33D19" w:rsidRPr="006A5FBD">
        <w:rPr>
          <w:rStyle w:val="jlqj4b"/>
          <w:rFonts w:ascii="Times New Roman" w:hAnsi="Times New Roman"/>
          <w:sz w:val="24"/>
          <w:szCs w:val="24"/>
          <w:lang w:val="en"/>
        </w:rPr>
        <w:t>.</w:t>
      </w:r>
      <w:r w:rsidR="004803AA" w:rsidRPr="006A5FBD">
        <w:rPr>
          <w:rStyle w:val="jlqj4b"/>
          <w:rFonts w:ascii="Times New Roman" w:hAnsi="Times New Roman"/>
          <w:sz w:val="24"/>
          <w:szCs w:val="24"/>
          <w:lang w:val="en"/>
        </w:rPr>
        <w:t xml:space="preserve"> Adverse drug effects include drug side effects and drug interactions, and drug interactions are preventable adverse drug effects.</w:t>
      </w:r>
      <w:r w:rsidR="004803AA" w:rsidRPr="006A5FBD">
        <w:rPr>
          <w:rStyle w:val="viiyi"/>
          <w:rFonts w:ascii="Times New Roman" w:hAnsi="Times New Roman"/>
          <w:sz w:val="24"/>
          <w:szCs w:val="24"/>
          <w:lang w:val="en"/>
        </w:rPr>
        <w:t xml:space="preserve"> </w:t>
      </w:r>
      <w:r w:rsidR="004803AA" w:rsidRPr="006A5FBD">
        <w:rPr>
          <w:rStyle w:val="jlqj4b"/>
          <w:rFonts w:ascii="Times New Roman" w:hAnsi="Times New Roman"/>
          <w:sz w:val="24"/>
          <w:szCs w:val="24"/>
          <w:lang w:val="en"/>
        </w:rPr>
        <w:t>For this reason, drug interactions should also</w:t>
      </w:r>
      <w:r w:rsidR="00471060" w:rsidRPr="006A5FBD">
        <w:rPr>
          <w:rStyle w:val="jlqj4b"/>
          <w:rFonts w:ascii="Times New Roman" w:hAnsi="Times New Roman"/>
          <w:sz w:val="24"/>
          <w:szCs w:val="24"/>
          <w:lang w:val="en"/>
        </w:rPr>
        <w:t xml:space="preserve"> be considered when prescribing.</w:t>
      </w:r>
    </w:p>
    <w:p w14:paraId="30EA7A57" w14:textId="6393380E" w:rsidR="000F2027" w:rsidRPr="006A5FBD" w:rsidRDefault="000F2027"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There is a need for widespread use of algorithms such as BEERS and TIME TO STOP, TIME TO START that provide physicians with the opportunity to evaluate before prescribing drugs</w:t>
      </w:r>
      <w:r w:rsidR="00580E35" w:rsidRPr="006A5FBD">
        <w:rPr>
          <w:rStyle w:val="jlqj4b"/>
          <w:rFonts w:ascii="Times New Roman" w:hAnsi="Times New Roman"/>
          <w:sz w:val="24"/>
          <w:szCs w:val="24"/>
          <w:lang w:val="en"/>
        </w:rPr>
        <w:t>,</w:t>
      </w:r>
      <w:r w:rsidRPr="006A5FBD">
        <w:rPr>
          <w:rStyle w:val="jlqj4b"/>
          <w:rFonts w:ascii="Times New Roman" w:hAnsi="Times New Roman"/>
          <w:sz w:val="24"/>
          <w:szCs w:val="24"/>
          <w:lang w:val="en"/>
        </w:rPr>
        <w:t xml:space="preserve"> to prevent problems associated with the </w:t>
      </w:r>
      <w:r w:rsidR="006F3319">
        <w:rPr>
          <w:rStyle w:val="jlqj4b"/>
          <w:rFonts w:ascii="Times New Roman" w:hAnsi="Times New Roman"/>
          <w:sz w:val="24"/>
          <w:szCs w:val="24"/>
          <w:lang w:val="en"/>
        </w:rPr>
        <w:t xml:space="preserve">irrational </w:t>
      </w:r>
      <w:r w:rsidRPr="006A5FBD">
        <w:rPr>
          <w:rStyle w:val="jlqj4b"/>
          <w:rFonts w:ascii="Times New Roman" w:hAnsi="Times New Roman"/>
          <w:sz w:val="24"/>
          <w:szCs w:val="24"/>
          <w:lang w:val="en"/>
        </w:rPr>
        <w:t xml:space="preserve">use of prescriptions and polypharmacy in the geriatric patient group </w:t>
      </w:r>
      <w:r w:rsidR="00DD7E0E">
        <w:rPr>
          <w:rStyle w:val="jlqj4b"/>
          <w:rFonts w:ascii="Times New Roman" w:hAnsi="Times New Roman"/>
          <w:sz w:val="24"/>
          <w:szCs w:val="24"/>
          <w:lang w:val="en"/>
        </w:rPr>
        <w:t>[</w:t>
      </w:r>
      <w:r w:rsidRPr="006A5FBD">
        <w:rPr>
          <w:rStyle w:val="jlqj4b"/>
          <w:rFonts w:ascii="Times New Roman" w:hAnsi="Times New Roman"/>
          <w:sz w:val="24"/>
          <w:szCs w:val="24"/>
          <w:lang w:val="en"/>
        </w:rPr>
        <w:t>32, 33</w:t>
      </w:r>
      <w:r w:rsidR="00DD7E0E">
        <w:rPr>
          <w:rStyle w:val="jlqj4b"/>
          <w:rFonts w:ascii="Times New Roman" w:hAnsi="Times New Roman"/>
          <w:sz w:val="24"/>
          <w:szCs w:val="24"/>
          <w:lang w:val="en"/>
        </w:rPr>
        <w:t>]</w:t>
      </w:r>
      <w:r w:rsidRPr="006A5FBD">
        <w:rPr>
          <w:rStyle w:val="jlqj4b"/>
          <w:rFonts w:ascii="Times New Roman" w:hAnsi="Times New Roman"/>
          <w:sz w:val="24"/>
          <w:szCs w:val="24"/>
          <w:lang w:val="en"/>
        </w:rPr>
        <w:t>.</w:t>
      </w:r>
      <w:r w:rsidR="00580E35" w:rsidRPr="006A5FBD">
        <w:rPr>
          <w:rStyle w:val="jlqj4b"/>
          <w:rFonts w:ascii="Times New Roman" w:hAnsi="Times New Roman"/>
          <w:sz w:val="24"/>
          <w:szCs w:val="24"/>
          <w:lang w:val="en"/>
        </w:rPr>
        <w:t xml:space="preserve"> In these criteria, drugs that are not suitable for use in the elderly patient group and potential interactions have been brought to the attention of physicians. Again, in line with the TIME criteria, physicians will have the chance to review drug contents and interactions before starting a new drug, and this will reduce drug side effects that elderly individuals frequently encounter in daily life.</w:t>
      </w:r>
    </w:p>
    <w:p w14:paraId="2E643239" w14:textId="77777777" w:rsidR="00263B7A" w:rsidRPr="006A5FBD" w:rsidRDefault="00263B7A" w:rsidP="00F5575F">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Polypharmacy, which is very common in the elderly, is an important medical condition that increases morbidity and mortality</w:t>
      </w:r>
      <w:r w:rsidR="00274E12">
        <w:rPr>
          <w:rStyle w:val="jlqj4b"/>
          <w:rFonts w:ascii="Times New Roman" w:hAnsi="Times New Roman"/>
          <w:sz w:val="24"/>
          <w:szCs w:val="24"/>
          <w:lang w:val="en"/>
        </w:rPr>
        <w:t>. It</w:t>
      </w:r>
      <w:r w:rsidRPr="006A5FBD">
        <w:rPr>
          <w:rStyle w:val="jlqj4b"/>
          <w:rFonts w:ascii="Times New Roman" w:hAnsi="Times New Roman"/>
          <w:sz w:val="24"/>
          <w:szCs w:val="24"/>
          <w:lang w:val="en"/>
        </w:rPr>
        <w:t xml:space="preserve"> impairs quality of life and increases costs in both developed and developing countries. This situation makes it even more important </w:t>
      </w:r>
      <w:r w:rsidRPr="006A5FBD">
        <w:rPr>
          <w:rStyle w:val="jlqj4b"/>
          <w:rFonts w:ascii="Times New Roman" w:hAnsi="Times New Roman"/>
          <w:sz w:val="24"/>
          <w:szCs w:val="24"/>
          <w:lang w:val="en"/>
        </w:rPr>
        <w:lastRenderedPageBreak/>
        <w:t xml:space="preserve">to </w:t>
      </w:r>
      <w:r w:rsidR="00274E12">
        <w:rPr>
          <w:rStyle w:val="jlqj4b"/>
          <w:rFonts w:ascii="Times New Roman" w:hAnsi="Times New Roman"/>
          <w:sz w:val="24"/>
          <w:szCs w:val="24"/>
          <w:lang w:val="en"/>
        </w:rPr>
        <w:t xml:space="preserve">raise </w:t>
      </w:r>
      <w:r w:rsidRPr="006A5FBD">
        <w:rPr>
          <w:rStyle w:val="jlqj4b"/>
          <w:rFonts w:ascii="Times New Roman" w:hAnsi="Times New Roman"/>
          <w:sz w:val="24"/>
          <w:szCs w:val="24"/>
          <w:lang w:val="en"/>
        </w:rPr>
        <w:t>awareness of polypharmacy and take precautions, if possible. Because of this, before starting a new drug to elder people, a comprehensive geriatric evaluation should be made with an interdisciplinary approach, the indication should be made sure, the current functional capacity should be evaluated, and a new drug should be started by considering other drugs that are constantly used.</w:t>
      </w:r>
    </w:p>
    <w:p w14:paraId="54E78DA5" w14:textId="77777777" w:rsidR="0098781E" w:rsidRPr="006A5FBD" w:rsidRDefault="0098781E" w:rsidP="0098781E">
      <w:pPr>
        <w:spacing w:line="360" w:lineRule="auto"/>
        <w:jc w:val="both"/>
        <w:rPr>
          <w:rStyle w:val="jlqj4b"/>
          <w:rFonts w:ascii="Times New Roman" w:hAnsi="Times New Roman"/>
          <w:sz w:val="24"/>
          <w:szCs w:val="24"/>
          <w:lang w:val="en"/>
        </w:rPr>
      </w:pPr>
      <w:r w:rsidRPr="006A5FBD">
        <w:rPr>
          <w:rStyle w:val="jlqj4b"/>
          <w:rFonts w:ascii="Times New Roman" w:hAnsi="Times New Roman"/>
          <w:sz w:val="24"/>
          <w:szCs w:val="24"/>
          <w:lang w:val="en"/>
        </w:rPr>
        <w:t>As a result, the most important condition for the prevention of polypharmacy</w:t>
      </w:r>
      <w:r w:rsidR="00EC3015">
        <w:rPr>
          <w:rStyle w:val="jlqj4b"/>
          <w:rFonts w:ascii="Times New Roman" w:hAnsi="Times New Roman"/>
          <w:sz w:val="24"/>
          <w:szCs w:val="24"/>
          <w:lang w:val="en"/>
        </w:rPr>
        <w:t>,</w:t>
      </w:r>
      <w:r w:rsidRPr="006A5FBD">
        <w:rPr>
          <w:rStyle w:val="jlqj4b"/>
          <w:rFonts w:ascii="Times New Roman" w:hAnsi="Times New Roman"/>
          <w:sz w:val="24"/>
          <w:szCs w:val="24"/>
          <w:lang w:val="en"/>
        </w:rPr>
        <w:t xml:space="preserve"> and the problems that may develop due to it</w:t>
      </w:r>
      <w:r w:rsidR="00EC3015">
        <w:rPr>
          <w:rStyle w:val="jlqj4b"/>
          <w:rFonts w:ascii="Times New Roman" w:hAnsi="Times New Roman"/>
          <w:sz w:val="24"/>
          <w:szCs w:val="24"/>
          <w:lang w:val="en"/>
        </w:rPr>
        <w:t>,</w:t>
      </w:r>
      <w:r w:rsidRPr="006A5FBD">
        <w:rPr>
          <w:rStyle w:val="jlqj4b"/>
          <w:rFonts w:ascii="Times New Roman" w:hAnsi="Times New Roman"/>
          <w:sz w:val="24"/>
          <w:szCs w:val="24"/>
          <w:lang w:val="en"/>
        </w:rPr>
        <w:t xml:space="preserve"> is awareness.</w:t>
      </w:r>
      <w:r w:rsidR="00662E7C" w:rsidRPr="006A5FBD">
        <w:rPr>
          <w:rStyle w:val="jlqj4b"/>
          <w:rFonts w:ascii="Times New Roman" w:hAnsi="Times New Roman"/>
          <w:sz w:val="24"/>
          <w:szCs w:val="24"/>
          <w:lang w:val="en"/>
        </w:rPr>
        <w:t xml:space="preserve"> It is necessary to act with the knowledge that prescribing medication for an elderly patient is as important as making a diagnosis, and to be aware that we can provide benefits without harming the patient.</w:t>
      </w:r>
      <w:r w:rsidR="008E1F83" w:rsidRPr="006A5FBD">
        <w:rPr>
          <w:rStyle w:val="jlqj4b"/>
          <w:rFonts w:ascii="Times New Roman" w:hAnsi="Times New Roman"/>
          <w:sz w:val="24"/>
          <w:szCs w:val="24"/>
          <w:lang w:val="en"/>
        </w:rPr>
        <w:t xml:space="preserve"> By avoiding polypharmacy, or at least by </w:t>
      </w:r>
      <w:r w:rsidR="00EC3015">
        <w:rPr>
          <w:rStyle w:val="jlqj4b"/>
          <w:rFonts w:ascii="Times New Roman" w:hAnsi="Times New Roman"/>
          <w:sz w:val="24"/>
          <w:szCs w:val="24"/>
          <w:lang w:val="en"/>
        </w:rPr>
        <w:t>follow</w:t>
      </w:r>
      <w:r w:rsidR="00A220C3">
        <w:rPr>
          <w:rStyle w:val="jlqj4b"/>
          <w:rFonts w:ascii="Times New Roman" w:hAnsi="Times New Roman"/>
          <w:sz w:val="24"/>
          <w:szCs w:val="24"/>
          <w:lang w:val="en"/>
        </w:rPr>
        <w:t>ing</w:t>
      </w:r>
      <w:r w:rsidR="00EC3015">
        <w:rPr>
          <w:rStyle w:val="jlqj4b"/>
          <w:rFonts w:ascii="Times New Roman" w:hAnsi="Times New Roman"/>
          <w:sz w:val="24"/>
          <w:szCs w:val="24"/>
          <w:lang w:val="en"/>
        </w:rPr>
        <w:t xml:space="preserve"> guideline</w:t>
      </w:r>
      <w:r w:rsidR="00A220C3">
        <w:rPr>
          <w:rStyle w:val="jlqj4b"/>
          <w:rFonts w:ascii="Times New Roman" w:hAnsi="Times New Roman"/>
          <w:sz w:val="24"/>
          <w:szCs w:val="24"/>
          <w:lang w:val="en"/>
        </w:rPr>
        <w:t>s</w:t>
      </w:r>
      <w:r w:rsidR="00EC3015">
        <w:rPr>
          <w:rStyle w:val="jlqj4b"/>
          <w:rFonts w:ascii="Times New Roman" w:hAnsi="Times New Roman"/>
          <w:sz w:val="24"/>
          <w:szCs w:val="24"/>
          <w:lang w:val="en"/>
        </w:rPr>
        <w:t xml:space="preserve"> when prescribi</w:t>
      </w:r>
      <w:r w:rsidR="007A7636">
        <w:rPr>
          <w:rStyle w:val="jlqj4b"/>
          <w:rFonts w:ascii="Times New Roman" w:hAnsi="Times New Roman"/>
          <w:sz w:val="24"/>
          <w:szCs w:val="24"/>
          <w:lang w:val="en"/>
        </w:rPr>
        <w:t>ng</w:t>
      </w:r>
      <w:r w:rsidR="008E1F83" w:rsidRPr="006A5FBD">
        <w:rPr>
          <w:rStyle w:val="jlqj4b"/>
          <w:rFonts w:ascii="Times New Roman" w:hAnsi="Times New Roman"/>
          <w:sz w:val="24"/>
          <w:szCs w:val="24"/>
          <w:lang w:val="en"/>
        </w:rPr>
        <w:t xml:space="preserve">, </w:t>
      </w:r>
      <w:r w:rsidR="00EC3015" w:rsidRPr="00EC3015">
        <w:rPr>
          <w:rStyle w:val="jlqj4b"/>
          <w:rFonts w:ascii="Times New Roman" w:hAnsi="Times New Roman"/>
          <w:sz w:val="24"/>
          <w:szCs w:val="24"/>
          <w:lang w:val="en"/>
        </w:rPr>
        <w:t>geriatric patients</w:t>
      </w:r>
      <w:r w:rsidR="00EC3015">
        <w:rPr>
          <w:rStyle w:val="jlqj4b"/>
          <w:rFonts w:ascii="Times New Roman" w:hAnsi="Times New Roman"/>
          <w:sz w:val="24"/>
          <w:szCs w:val="24"/>
          <w:lang w:val="en"/>
        </w:rPr>
        <w:t xml:space="preserve">’ </w:t>
      </w:r>
      <w:r w:rsidR="008E1F83" w:rsidRPr="006A5FBD">
        <w:rPr>
          <w:rStyle w:val="jlqj4b"/>
          <w:rFonts w:ascii="Times New Roman" w:hAnsi="Times New Roman"/>
          <w:sz w:val="24"/>
          <w:szCs w:val="24"/>
          <w:lang w:val="en"/>
        </w:rPr>
        <w:t>quality of life will increase, all side effects and interactions that may result from inappropriate drug use will be kept to a minimum, and possible hospitalizations and health expenses will be reduced.</w:t>
      </w:r>
    </w:p>
    <w:p w14:paraId="5231E415" w14:textId="77777777" w:rsidR="008923E1" w:rsidRPr="006A5FBD" w:rsidRDefault="008923E1" w:rsidP="0098781E">
      <w:pPr>
        <w:spacing w:line="360" w:lineRule="auto"/>
        <w:jc w:val="both"/>
        <w:rPr>
          <w:rStyle w:val="jlqj4b"/>
          <w:rFonts w:ascii="Times New Roman" w:hAnsi="Times New Roman"/>
          <w:sz w:val="24"/>
          <w:szCs w:val="24"/>
          <w:lang w:val="en"/>
        </w:rPr>
      </w:pPr>
      <w:r w:rsidRPr="006A5FBD">
        <w:rPr>
          <w:rStyle w:val="jlqj4b"/>
          <w:rFonts w:ascii="Times New Roman" w:hAnsi="Times New Roman"/>
          <w:b/>
          <w:sz w:val="24"/>
          <w:szCs w:val="24"/>
          <w:lang w:val="en"/>
        </w:rPr>
        <w:t>Limitations:</w:t>
      </w:r>
      <w:r w:rsidRPr="006A5FBD">
        <w:rPr>
          <w:rStyle w:val="jlqj4b"/>
          <w:rFonts w:ascii="Times New Roman" w:hAnsi="Times New Roman"/>
          <w:sz w:val="24"/>
          <w:szCs w:val="24"/>
          <w:lang w:val="en"/>
        </w:rPr>
        <w:t xml:space="preserve"> Due to the retrospective design of the study, the inability to differentiate the drugs used by the patients and the duration of use is the limitation of our study.</w:t>
      </w:r>
      <w:r w:rsidRPr="006A5FBD">
        <w:rPr>
          <w:rStyle w:val="viiyi"/>
          <w:rFonts w:ascii="Times New Roman" w:hAnsi="Times New Roman"/>
          <w:sz w:val="24"/>
          <w:szCs w:val="24"/>
          <w:lang w:val="en"/>
        </w:rPr>
        <w:t xml:space="preserve"> </w:t>
      </w:r>
      <w:r w:rsidR="006C288D" w:rsidRPr="006A5FBD">
        <w:rPr>
          <w:rStyle w:val="jlqj4b"/>
          <w:rFonts w:ascii="Times New Roman" w:hAnsi="Times New Roman"/>
          <w:sz w:val="24"/>
          <w:szCs w:val="24"/>
          <w:lang w:val="en"/>
        </w:rPr>
        <w:t>Larger data can be obtained with longer periods and larger samples.</w:t>
      </w:r>
    </w:p>
    <w:p w14:paraId="5F07DE1B" w14:textId="77777777" w:rsidR="00074952" w:rsidRPr="006A5FBD" w:rsidRDefault="00074952" w:rsidP="0098781E">
      <w:pPr>
        <w:spacing w:line="360" w:lineRule="auto"/>
        <w:jc w:val="both"/>
        <w:rPr>
          <w:rStyle w:val="jlqj4b"/>
          <w:rFonts w:ascii="Times New Roman" w:hAnsi="Times New Roman"/>
          <w:b/>
          <w:sz w:val="24"/>
          <w:szCs w:val="24"/>
          <w:lang w:val="en"/>
        </w:rPr>
      </w:pPr>
      <w:r w:rsidRPr="006A5FBD">
        <w:rPr>
          <w:rStyle w:val="jlqj4b"/>
          <w:rFonts w:ascii="Times New Roman" w:hAnsi="Times New Roman"/>
          <w:b/>
          <w:sz w:val="24"/>
          <w:szCs w:val="24"/>
          <w:lang w:val="en"/>
        </w:rPr>
        <w:t>REFERENCES</w:t>
      </w:r>
    </w:p>
    <w:p w14:paraId="4BE0A1E7"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United States Department of Health and Human Services, 2001. A profile of</w:t>
      </w:r>
      <w:r w:rsidRPr="006A5FBD">
        <w:rPr>
          <w:rFonts w:ascii="Times New Roman" w:hAnsi="Times New Roman"/>
          <w:sz w:val="24"/>
          <w:szCs w:val="24"/>
        </w:rPr>
        <w:br/>
        <w:t>older Americans: 2001. Administration on Aging. http://www.caregiverslibrary.org/Portals/0/AOA%20Older%20American%20profile_2001.pdf (Accessed 12/11/21)</w:t>
      </w:r>
    </w:p>
    <w:p w14:paraId="03AFEA92"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Kalache A, Gatti A. Active ageing: a policy framework. Adv Gerontol. 2003;11:7-18. PMID: 12820516.</w:t>
      </w:r>
    </w:p>
    <w:p w14:paraId="0EC699BD" w14:textId="77777777" w:rsidR="000C180A" w:rsidRPr="006A5FBD" w:rsidRDefault="000C180A" w:rsidP="000C180A">
      <w:pPr>
        <w:pStyle w:val="a7"/>
        <w:numPr>
          <w:ilvl w:val="0"/>
          <w:numId w:val="41"/>
        </w:numPr>
        <w:autoSpaceDE w:val="0"/>
        <w:autoSpaceDN w:val="0"/>
        <w:adjustRightInd w:val="0"/>
        <w:spacing w:after="0" w:line="360" w:lineRule="auto"/>
        <w:rPr>
          <w:rFonts w:ascii="Times New Roman" w:eastAsia="Berkeley-Book" w:hAnsi="Times New Roman"/>
          <w:sz w:val="24"/>
          <w:szCs w:val="24"/>
        </w:rPr>
      </w:pPr>
      <w:r w:rsidRPr="006A5FBD">
        <w:rPr>
          <w:rFonts w:ascii="Times New Roman" w:eastAsia="Berkeley-Book" w:hAnsi="Times New Roman"/>
          <w:sz w:val="24"/>
          <w:szCs w:val="24"/>
        </w:rPr>
        <w:t xml:space="preserve">Medicines and older people: implementing medicines-related aspects of the NSF for older people, 2001. </w:t>
      </w:r>
      <w:hyperlink r:id="rId8" w:history="1">
        <w:r w:rsidRPr="006A5FBD">
          <w:rPr>
            <w:rStyle w:val="a9"/>
            <w:rFonts w:ascii="Times New Roman" w:eastAsia="Berkeley-Book" w:hAnsi="Times New Roman"/>
            <w:sz w:val="24"/>
            <w:szCs w:val="24"/>
          </w:rPr>
          <w:t>http://www.wales.nhs.uk/sites3/documents/439/nsf%20for%20older%20people%20-%20medicines%20and%20older%20people.pdf</w:t>
        </w:r>
      </w:hyperlink>
      <w:r w:rsidRPr="006A5FBD">
        <w:rPr>
          <w:rFonts w:ascii="Times New Roman" w:eastAsia="Berkeley-Book" w:hAnsi="Times New Roman"/>
          <w:sz w:val="24"/>
          <w:szCs w:val="24"/>
        </w:rPr>
        <w:t xml:space="preserve"> (Accessed: 26/12/21)</w:t>
      </w:r>
    </w:p>
    <w:p w14:paraId="7404B210" w14:textId="52CEC44D"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Hajjar ER, Cafiero AC, Hanlon JT. Polypharmacy in elderly patients. Am J Geriatr Pharmacother. 2007;5(4):345-</w:t>
      </w:r>
      <w:r w:rsidR="00C326B8">
        <w:rPr>
          <w:rFonts w:ascii="Times New Roman" w:hAnsi="Times New Roman"/>
          <w:sz w:val="24"/>
          <w:szCs w:val="24"/>
        </w:rPr>
        <w:t>3</w:t>
      </w:r>
      <w:r w:rsidRPr="006A5FBD">
        <w:rPr>
          <w:rFonts w:ascii="Times New Roman" w:hAnsi="Times New Roman"/>
          <w:sz w:val="24"/>
          <w:szCs w:val="24"/>
        </w:rPr>
        <w:t>51. doi: 10.1016/j.amjopharm.2007.12.002. PMID: 18179993.</w:t>
      </w:r>
    </w:p>
    <w:p w14:paraId="732FF7CF" w14:textId="005E0F18"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lastRenderedPageBreak/>
        <w:t>Maher RL, Hanlon J, Hajjar ER. Clinical consequences of polypharmacy in elderly. Expert Opin Drug Saf. 2014;13(1):57-65. doi: 10.1517/14740338.2013.827660. Epub 2013 Sep 27. PMID: 24073682; PMCID: PMC3864987.</w:t>
      </w:r>
    </w:p>
    <w:p w14:paraId="1242C4E6" w14:textId="32A6B75E"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Linjakumpu T, Hartikainen S, Klaukka T, Veijola J, Kivelä SL, Isoaho R. Use of medications and polypharmacy are increasing among the elderly. J Clin Epidemiol. 2002 ;55(8):809-</w:t>
      </w:r>
      <w:r w:rsidR="00C326B8">
        <w:rPr>
          <w:rFonts w:ascii="Times New Roman" w:hAnsi="Times New Roman"/>
          <w:sz w:val="24"/>
          <w:szCs w:val="24"/>
        </w:rPr>
        <w:t>8</w:t>
      </w:r>
      <w:r w:rsidRPr="006A5FBD">
        <w:rPr>
          <w:rFonts w:ascii="Times New Roman" w:hAnsi="Times New Roman"/>
          <w:sz w:val="24"/>
          <w:szCs w:val="24"/>
        </w:rPr>
        <w:t>17. doi: 10.1016/s0895-4356(02)00411-0. PMID: 12384196.</w:t>
      </w:r>
    </w:p>
    <w:p w14:paraId="26887968" w14:textId="4225F0CF"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Nobili A, Tettamanti M, Frattura L, Spagnoli A, Ferraro L, Marrazzo E, Ostino G, Comelli M. Drug use by the elderly in Italy. Ann Pharmacother. 1997 ;31(4):416-</w:t>
      </w:r>
      <w:r w:rsidR="00C326B8">
        <w:rPr>
          <w:rFonts w:ascii="Times New Roman" w:hAnsi="Times New Roman"/>
          <w:sz w:val="24"/>
          <w:szCs w:val="24"/>
        </w:rPr>
        <w:t>4</w:t>
      </w:r>
      <w:r w:rsidRPr="006A5FBD">
        <w:rPr>
          <w:rFonts w:ascii="Times New Roman" w:hAnsi="Times New Roman"/>
          <w:sz w:val="24"/>
          <w:szCs w:val="24"/>
        </w:rPr>
        <w:t>22. doi: 10.1177/106002809703100405. PMID: 9101001.</w:t>
      </w:r>
    </w:p>
    <w:p w14:paraId="5CA65A0E" w14:textId="7F4B41B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Rollason V, Vogt N. Reduction of polypharmacy in the elderly: a systematic review of the role of the pharmacist. Drugs Aging. 2003;</w:t>
      </w:r>
      <w:r w:rsidR="00C326B8">
        <w:rPr>
          <w:rFonts w:ascii="Times New Roman" w:hAnsi="Times New Roman"/>
          <w:sz w:val="24"/>
          <w:szCs w:val="24"/>
        </w:rPr>
        <w:t xml:space="preserve"> </w:t>
      </w:r>
      <w:r w:rsidRPr="006A5FBD">
        <w:rPr>
          <w:rFonts w:ascii="Times New Roman" w:hAnsi="Times New Roman"/>
          <w:sz w:val="24"/>
          <w:szCs w:val="24"/>
        </w:rPr>
        <w:t>20(11):817-</w:t>
      </w:r>
      <w:r w:rsidR="00C326B8">
        <w:rPr>
          <w:rFonts w:ascii="Times New Roman" w:hAnsi="Times New Roman"/>
          <w:sz w:val="24"/>
          <w:szCs w:val="24"/>
        </w:rPr>
        <w:t>8</w:t>
      </w:r>
      <w:r w:rsidRPr="006A5FBD">
        <w:rPr>
          <w:rFonts w:ascii="Times New Roman" w:hAnsi="Times New Roman"/>
          <w:sz w:val="24"/>
          <w:szCs w:val="24"/>
        </w:rPr>
        <w:t>32. doi: 10.2165/00002512-200320110-00003. PMID: 12964888.</w:t>
      </w:r>
    </w:p>
    <w:p w14:paraId="74D9ABAA" w14:textId="2D93D935" w:rsidR="000C180A" w:rsidRPr="006A5FBD" w:rsidRDefault="000C180A" w:rsidP="000C180A">
      <w:pPr>
        <w:pStyle w:val="a7"/>
        <w:numPr>
          <w:ilvl w:val="0"/>
          <w:numId w:val="41"/>
        </w:numPr>
        <w:autoSpaceDE w:val="0"/>
        <w:autoSpaceDN w:val="0"/>
        <w:adjustRightInd w:val="0"/>
        <w:spacing w:after="0" w:line="360" w:lineRule="auto"/>
        <w:jc w:val="both"/>
        <w:rPr>
          <w:rFonts w:ascii="Times New Roman" w:hAnsi="Times New Roman"/>
          <w:sz w:val="24"/>
          <w:szCs w:val="24"/>
        </w:rPr>
      </w:pPr>
      <w:r w:rsidRPr="006A5FBD">
        <w:rPr>
          <w:rFonts w:ascii="Times New Roman" w:hAnsi="Times New Roman"/>
          <w:sz w:val="24"/>
          <w:szCs w:val="24"/>
        </w:rPr>
        <w:t>Steinman MA, Landefeld CS, Rosenthal GE, Berthenthal D, Sen S, Kaboli PJ. Polypharmacy and prescribing quality in older people. J Am Geriatr Soc. 2006;54(10):1516-</w:t>
      </w:r>
      <w:r w:rsidR="00C326B8">
        <w:rPr>
          <w:rFonts w:ascii="Times New Roman" w:hAnsi="Times New Roman"/>
          <w:sz w:val="24"/>
          <w:szCs w:val="24"/>
        </w:rPr>
        <w:t>15</w:t>
      </w:r>
      <w:r w:rsidRPr="006A5FBD">
        <w:rPr>
          <w:rFonts w:ascii="Times New Roman" w:hAnsi="Times New Roman"/>
          <w:sz w:val="24"/>
          <w:szCs w:val="24"/>
        </w:rPr>
        <w:t>23. doi: 10.1111/j.1532-5415.2006.00889.x. PMID: 17038068.</w:t>
      </w:r>
    </w:p>
    <w:p w14:paraId="5D9B9E21" w14:textId="010773E4" w:rsidR="000C180A" w:rsidRPr="006A5FBD" w:rsidRDefault="000C180A" w:rsidP="000C180A">
      <w:pPr>
        <w:pStyle w:val="a7"/>
        <w:numPr>
          <w:ilvl w:val="0"/>
          <w:numId w:val="41"/>
        </w:numPr>
        <w:autoSpaceDE w:val="0"/>
        <w:autoSpaceDN w:val="0"/>
        <w:adjustRightInd w:val="0"/>
        <w:spacing w:after="0" w:line="360" w:lineRule="auto"/>
        <w:jc w:val="both"/>
        <w:rPr>
          <w:rFonts w:ascii="Times New Roman" w:hAnsi="Times New Roman"/>
          <w:sz w:val="24"/>
          <w:szCs w:val="24"/>
        </w:rPr>
      </w:pPr>
      <w:r w:rsidRPr="006A5FBD">
        <w:rPr>
          <w:rFonts w:ascii="Times New Roman" w:hAnsi="Times New Roman"/>
          <w:sz w:val="24"/>
          <w:szCs w:val="24"/>
        </w:rPr>
        <w:t>Wang S, Rizvi AA. Levofloxacin-induced hypoglycemia in a nondiabetic patient. Am J Med Sci. 2006;331(6):334-</w:t>
      </w:r>
      <w:r w:rsidR="00C326B8">
        <w:rPr>
          <w:rFonts w:ascii="Times New Roman" w:hAnsi="Times New Roman"/>
          <w:sz w:val="24"/>
          <w:szCs w:val="24"/>
        </w:rPr>
        <w:t>33</w:t>
      </w:r>
      <w:r w:rsidRPr="006A5FBD">
        <w:rPr>
          <w:rFonts w:ascii="Times New Roman" w:hAnsi="Times New Roman"/>
          <w:sz w:val="24"/>
          <w:szCs w:val="24"/>
        </w:rPr>
        <w:t>5. doi: 10.1097/00000441-200606000-00009. PMID: 16775443.</w:t>
      </w:r>
    </w:p>
    <w:p w14:paraId="360E3E1E" w14:textId="7977E43E"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Saraya A, Yokokura M, Gonoi T, Seino S. Effects of fluoroquinolones on insulin secretion and beta-cell ATP-sensitive K+ channels. Eur J Pharmacol. 2004</w:t>
      </w:r>
      <w:r w:rsidR="00C326B8">
        <w:rPr>
          <w:rFonts w:ascii="Times New Roman" w:hAnsi="Times New Roman"/>
          <w:sz w:val="24"/>
          <w:szCs w:val="24"/>
        </w:rPr>
        <w:t>;</w:t>
      </w:r>
      <w:r w:rsidRPr="006A5FBD">
        <w:rPr>
          <w:rFonts w:ascii="Times New Roman" w:hAnsi="Times New Roman"/>
          <w:sz w:val="24"/>
          <w:szCs w:val="24"/>
        </w:rPr>
        <w:t>16;497(1):111-</w:t>
      </w:r>
      <w:r w:rsidR="00C326B8">
        <w:rPr>
          <w:rFonts w:ascii="Times New Roman" w:hAnsi="Times New Roman"/>
          <w:sz w:val="24"/>
          <w:szCs w:val="24"/>
        </w:rPr>
        <w:t>111</w:t>
      </w:r>
      <w:r w:rsidRPr="006A5FBD">
        <w:rPr>
          <w:rFonts w:ascii="Times New Roman" w:hAnsi="Times New Roman"/>
          <w:sz w:val="24"/>
          <w:szCs w:val="24"/>
        </w:rPr>
        <w:t>7. doi: 10.1016/j.ejphar.2004.06.032. PMID: 15321742.</w:t>
      </w:r>
    </w:p>
    <w:p w14:paraId="5B71CE7A" w14:textId="01203E4A"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Şen S, Karahan E, Büyükulaş C, Polat YO, Üresin AY. Colchicine for cardiovascular therapy: A drug interaction perspective and a safety meta-analysis. Anatol J Cardiol. 2021;25(11):753-761. doi: 10.5152/AnatolJCardiol.2021.707. PMID: 34734808; PMCID: PMC8575392.</w:t>
      </w:r>
    </w:p>
    <w:p w14:paraId="380B0666" w14:textId="52643FC2"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Lomaestro BM, Bailie GR. Quinolone-cation interactions: a review. DICP. 1991;25(11):1249-</w:t>
      </w:r>
      <w:r w:rsidR="00C326B8">
        <w:rPr>
          <w:rFonts w:ascii="Times New Roman" w:hAnsi="Times New Roman"/>
          <w:sz w:val="24"/>
          <w:szCs w:val="24"/>
        </w:rPr>
        <w:t>12</w:t>
      </w:r>
      <w:r w:rsidRPr="006A5FBD">
        <w:rPr>
          <w:rFonts w:ascii="Times New Roman" w:hAnsi="Times New Roman"/>
          <w:sz w:val="24"/>
          <w:szCs w:val="24"/>
        </w:rPr>
        <w:t>58. doi: 10.1177/106002809102501115. PMID: 1763542.</w:t>
      </w:r>
    </w:p>
    <w:p w14:paraId="1A0135FF" w14:textId="176AC6BF"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lastRenderedPageBreak/>
        <w:t>May M, Schindler C. Clinically and pharmacologically relevant interactions of antidiabetic drugs. Ther Adv Endocrinol Metab. 2016;7(2):69-83. doi: 10.1177/2042018816638050. Epub 2016 Mar 31. PMID: 27092232; PMCID: PMC4821002.</w:t>
      </w:r>
    </w:p>
    <w:p w14:paraId="3B81414B" w14:textId="686CBB6B"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Sinclair AJ, Davies IB, Warrington SJ. Betaxolol and glucose-insulin relationships: studies in normal subjects taking glibenclamide or metformin. Br J Clin Pharmacol. 1990;30(5):699-702. doi: 10.1111/j.1365-2125.1990.tb03838.x. PMID: 2125460; PMCID: PMC1368169.</w:t>
      </w:r>
    </w:p>
    <w:p w14:paraId="68B2A2ED"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 xml:space="preserve">Marcus FI. Pharmacokinetic interactions between digoxin and other drugs. J Am Coll Cardiol. 1985 May;5(5 Suppl A):82A-90A. doi: 10.1016/s0735-1097(85)80466-6. PMID: 2985676. </w:t>
      </w:r>
    </w:p>
    <w:p w14:paraId="28213F48" w14:textId="4B5C97D6"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Wang MT, Su CY, Chan AL, Lian PW, Leu HB, Hsu YJ. Risk of digoxin intoxication in heart failure patients exposed to digoxin-diuretic interactions: a population-based study. Br J Clin Pharmacol. 2010;70(2):258-</w:t>
      </w:r>
      <w:r w:rsidR="008A56F8">
        <w:rPr>
          <w:rFonts w:ascii="Times New Roman" w:hAnsi="Times New Roman"/>
          <w:sz w:val="24"/>
          <w:szCs w:val="24"/>
        </w:rPr>
        <w:t>2</w:t>
      </w:r>
      <w:r w:rsidRPr="006A5FBD">
        <w:rPr>
          <w:rFonts w:ascii="Times New Roman" w:hAnsi="Times New Roman"/>
          <w:sz w:val="24"/>
          <w:szCs w:val="24"/>
        </w:rPr>
        <w:t>67. doi: 10.1111/j.1365-2125.2010.03687.x. PMID: 20653679; PMCID: PMC2911556.</w:t>
      </w:r>
    </w:p>
    <w:p w14:paraId="1E857730" w14:textId="1B3A7451"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Moore N, Pollack C, Butkerait P. Adverse drug reactions and drug-drug interactions with over-the-counter NSAIDs. Ther Clin Risk Manag. 2015 15;</w:t>
      </w:r>
      <w:r w:rsidR="008A56F8">
        <w:rPr>
          <w:rFonts w:ascii="Times New Roman" w:hAnsi="Times New Roman"/>
          <w:sz w:val="24"/>
          <w:szCs w:val="24"/>
        </w:rPr>
        <w:t xml:space="preserve"> </w:t>
      </w:r>
      <w:r w:rsidRPr="006A5FBD">
        <w:rPr>
          <w:rFonts w:ascii="Times New Roman" w:hAnsi="Times New Roman"/>
          <w:sz w:val="24"/>
          <w:szCs w:val="24"/>
        </w:rPr>
        <w:t>11:1061-</w:t>
      </w:r>
      <w:r w:rsidR="008A56F8">
        <w:rPr>
          <w:rFonts w:ascii="Times New Roman" w:hAnsi="Times New Roman"/>
          <w:sz w:val="24"/>
          <w:szCs w:val="24"/>
        </w:rPr>
        <w:t>10</w:t>
      </w:r>
      <w:r w:rsidRPr="006A5FBD">
        <w:rPr>
          <w:rFonts w:ascii="Times New Roman" w:hAnsi="Times New Roman"/>
          <w:sz w:val="24"/>
          <w:szCs w:val="24"/>
        </w:rPr>
        <w:t>75. doi: 10.2147/TCRM.S79135. PMID: 26203254; PMCID: PMC4508078.</w:t>
      </w:r>
    </w:p>
    <w:p w14:paraId="013A319A" w14:textId="331E5C9F" w:rsidR="000C180A" w:rsidRPr="006A5FBD" w:rsidRDefault="000C180A" w:rsidP="000C180A">
      <w:pPr>
        <w:pStyle w:val="a7"/>
        <w:numPr>
          <w:ilvl w:val="0"/>
          <w:numId w:val="41"/>
        </w:numPr>
        <w:spacing w:after="0" w:line="360" w:lineRule="auto"/>
        <w:jc w:val="both"/>
        <w:rPr>
          <w:rFonts w:ascii="Times New Roman" w:eastAsia="Times New Roman" w:hAnsi="Times New Roman"/>
          <w:sz w:val="24"/>
          <w:szCs w:val="24"/>
          <w:lang w:eastAsia="tr-TR"/>
        </w:rPr>
      </w:pPr>
      <w:r w:rsidRPr="006A5FBD">
        <w:rPr>
          <w:rFonts w:ascii="Times New Roman" w:eastAsia="Times New Roman" w:hAnsi="Times New Roman"/>
          <w:sz w:val="24"/>
          <w:szCs w:val="24"/>
          <w:lang w:eastAsia="tr-TR"/>
        </w:rPr>
        <w:t>Samardzic I, Bacic-Vrca V. Incidence of potential drug-drug interactions with antidiabetic drugs. Pharmazie. 2015 ;70(6):410-</w:t>
      </w:r>
      <w:r w:rsidR="008A56F8">
        <w:rPr>
          <w:rFonts w:ascii="Times New Roman" w:eastAsia="Times New Roman" w:hAnsi="Times New Roman"/>
          <w:sz w:val="24"/>
          <w:szCs w:val="24"/>
          <w:lang w:eastAsia="tr-TR"/>
        </w:rPr>
        <w:t>41</w:t>
      </w:r>
      <w:r w:rsidRPr="006A5FBD">
        <w:rPr>
          <w:rFonts w:ascii="Times New Roman" w:eastAsia="Times New Roman" w:hAnsi="Times New Roman"/>
          <w:sz w:val="24"/>
          <w:szCs w:val="24"/>
          <w:lang w:eastAsia="tr-TR"/>
        </w:rPr>
        <w:t>5. PMID: 26189304.</w:t>
      </w:r>
    </w:p>
    <w:p w14:paraId="308D8729" w14:textId="77BC5C4E" w:rsidR="000C180A" w:rsidRPr="006A5FBD" w:rsidRDefault="000C180A" w:rsidP="000C180A">
      <w:pPr>
        <w:pStyle w:val="a7"/>
        <w:numPr>
          <w:ilvl w:val="0"/>
          <w:numId w:val="41"/>
        </w:numPr>
        <w:spacing w:line="360" w:lineRule="auto"/>
        <w:jc w:val="both"/>
        <w:rPr>
          <w:rFonts w:ascii="Times New Roman" w:eastAsia="Times New Roman" w:hAnsi="Times New Roman"/>
          <w:sz w:val="24"/>
          <w:szCs w:val="24"/>
          <w:lang w:eastAsia="tr-TR"/>
        </w:rPr>
      </w:pPr>
      <w:r w:rsidRPr="006A5FBD">
        <w:rPr>
          <w:rFonts w:ascii="Times New Roman" w:hAnsi="Times New Roman"/>
          <w:sz w:val="24"/>
          <w:szCs w:val="24"/>
        </w:rPr>
        <w:t>Andrès E, Noel E, Goichot B. Metformin-associated vitamin B12 deficiency. Arch Intern Med. 2002</w:t>
      </w:r>
      <w:r w:rsidR="008A56F8">
        <w:rPr>
          <w:rFonts w:ascii="Times New Roman" w:hAnsi="Times New Roman"/>
          <w:sz w:val="24"/>
          <w:szCs w:val="24"/>
        </w:rPr>
        <w:t xml:space="preserve">; </w:t>
      </w:r>
      <w:r w:rsidRPr="006A5FBD">
        <w:rPr>
          <w:rFonts w:ascii="Times New Roman" w:hAnsi="Times New Roman"/>
          <w:sz w:val="24"/>
          <w:szCs w:val="24"/>
        </w:rPr>
        <w:t>28;162(19):2251-</w:t>
      </w:r>
      <w:r w:rsidR="008A56F8">
        <w:rPr>
          <w:rFonts w:ascii="Times New Roman" w:hAnsi="Times New Roman"/>
          <w:sz w:val="24"/>
          <w:szCs w:val="24"/>
        </w:rPr>
        <w:t>225</w:t>
      </w:r>
      <w:r w:rsidRPr="006A5FBD">
        <w:rPr>
          <w:rFonts w:ascii="Times New Roman" w:hAnsi="Times New Roman"/>
          <w:sz w:val="24"/>
          <w:szCs w:val="24"/>
        </w:rPr>
        <w:t>2. doi: 10.1001/archinte.162.19.2251-a. PMID: 12390080.</w:t>
      </w:r>
    </w:p>
    <w:p w14:paraId="4086FBCC" w14:textId="6B8516E8" w:rsidR="000C180A" w:rsidRPr="006A5FBD" w:rsidRDefault="000C180A" w:rsidP="000C180A">
      <w:pPr>
        <w:pStyle w:val="a7"/>
        <w:numPr>
          <w:ilvl w:val="0"/>
          <w:numId w:val="41"/>
        </w:numPr>
        <w:spacing w:line="360" w:lineRule="auto"/>
        <w:jc w:val="both"/>
        <w:rPr>
          <w:rFonts w:ascii="Times New Roman" w:eastAsia="Times New Roman" w:hAnsi="Times New Roman"/>
          <w:sz w:val="24"/>
          <w:szCs w:val="24"/>
          <w:lang w:eastAsia="tr-TR"/>
        </w:rPr>
      </w:pPr>
      <w:r w:rsidRPr="006A5FBD">
        <w:rPr>
          <w:rFonts w:ascii="Times New Roman" w:hAnsi="Times New Roman"/>
          <w:sz w:val="24"/>
          <w:szCs w:val="24"/>
        </w:rPr>
        <w:t>Herings RM, de Boer A, Stricker BH, Leufkens HG, Porsius A. Hypoglycaemia associated with use of inhibitors of angiotensin converting enzyme. Lancet. 199</w:t>
      </w:r>
      <w:r w:rsidR="008A56F8">
        <w:rPr>
          <w:rFonts w:ascii="Times New Roman" w:hAnsi="Times New Roman"/>
          <w:sz w:val="24"/>
          <w:szCs w:val="24"/>
        </w:rPr>
        <w:t>5;</w:t>
      </w:r>
      <w:r w:rsidRPr="006A5FBD">
        <w:rPr>
          <w:rFonts w:ascii="Times New Roman" w:hAnsi="Times New Roman"/>
          <w:sz w:val="24"/>
          <w:szCs w:val="24"/>
        </w:rPr>
        <w:t>13;345(8959):1195-</w:t>
      </w:r>
      <w:r w:rsidR="008A56F8">
        <w:rPr>
          <w:rFonts w:ascii="Times New Roman" w:hAnsi="Times New Roman"/>
          <w:sz w:val="24"/>
          <w:szCs w:val="24"/>
        </w:rPr>
        <w:t>119</w:t>
      </w:r>
      <w:r w:rsidRPr="006A5FBD">
        <w:rPr>
          <w:rFonts w:ascii="Times New Roman" w:hAnsi="Times New Roman"/>
          <w:sz w:val="24"/>
          <w:szCs w:val="24"/>
        </w:rPr>
        <w:t>8. doi: 10.1016/s0140-6736(95)91988-0. PMID: 7739305.</w:t>
      </w:r>
      <w:r w:rsidRPr="006A5FBD">
        <w:rPr>
          <w:rFonts w:ascii="Times New Roman" w:eastAsia="Times New Roman" w:hAnsi="Times New Roman"/>
          <w:sz w:val="24"/>
          <w:szCs w:val="24"/>
          <w:lang w:eastAsia="tr-TR"/>
        </w:rPr>
        <w:t xml:space="preserve"> </w:t>
      </w:r>
    </w:p>
    <w:p w14:paraId="1576A687"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 xml:space="preserve">Scalbert E, Abdon D, Devissaguet M, Juggi JS. Interaction between an angiotensin converting enzyme inhibitor, perindopril, and a thiazide diuretic in </w:t>
      </w:r>
      <w:r w:rsidRPr="006A5FBD">
        <w:rPr>
          <w:rFonts w:ascii="Times New Roman" w:hAnsi="Times New Roman"/>
          <w:sz w:val="24"/>
          <w:szCs w:val="24"/>
        </w:rPr>
        <w:lastRenderedPageBreak/>
        <w:t>the spontaneously hypertensive rat. Can J Cardiol. 1992 May;8(4):381-6. PMID: 1617521.</w:t>
      </w:r>
    </w:p>
    <w:p w14:paraId="03DF49EF" w14:textId="08FDDE2A"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Siller-Matula JM, Spiel AO, Lang IM, Kreiner G, Christ G, Jilma B. Effects of pantoprazole and esomeprazole on platelet inhibition by clopidogrel. Am Heart J. 2009</w:t>
      </w:r>
      <w:r w:rsidR="008A56F8">
        <w:rPr>
          <w:rFonts w:ascii="Times New Roman" w:hAnsi="Times New Roman"/>
          <w:sz w:val="24"/>
          <w:szCs w:val="24"/>
        </w:rPr>
        <w:t>;</w:t>
      </w:r>
      <w:r w:rsidRPr="006A5FBD">
        <w:rPr>
          <w:rFonts w:ascii="Times New Roman" w:hAnsi="Times New Roman"/>
          <w:sz w:val="24"/>
          <w:szCs w:val="24"/>
        </w:rPr>
        <w:t>157(1):</w:t>
      </w:r>
      <w:r w:rsidR="008A56F8">
        <w:rPr>
          <w:rFonts w:ascii="Times New Roman" w:hAnsi="Times New Roman"/>
          <w:sz w:val="24"/>
          <w:szCs w:val="24"/>
        </w:rPr>
        <w:t xml:space="preserve"> </w:t>
      </w:r>
      <w:r w:rsidRPr="006A5FBD">
        <w:rPr>
          <w:rFonts w:ascii="Times New Roman" w:hAnsi="Times New Roman"/>
          <w:sz w:val="24"/>
          <w:szCs w:val="24"/>
        </w:rPr>
        <w:t>148.e1-5. doi: 10.1016/j.ahj.2008.09.017. Epub 2008 Nov 6. PMID: 19081411.</w:t>
      </w:r>
    </w:p>
    <w:p w14:paraId="282414D7" w14:textId="56DDE5DF"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Fernandes JL, de Oliveira RTD, Mamoni RL, Coelho OR, Nicolau JC, Blotta MHSL, Serrano CV Jr. Pentoxifylline reduces pro-inflammatory and increases anti-inflammatory activity in patients with coronary artery disease--a randomized placebo-controlled study. Atherosclerosis. 2008;196(1):434-442. doi: 10.1016/j.atherosclerosis.2006.11.032. Epub 2006 Dec 28. PMID: 17196208.</w:t>
      </w:r>
    </w:p>
    <w:p w14:paraId="0B404CBB" w14:textId="2724FFF6"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Saw J, Steinhubl SR, Berger PB, Kereiakes DJ, Serebruany VL, Brennan D, Topol EJ; Clopidogrel for the Reduction of Events During Observation Investigators. Lack of adverse clopidogrel-atorvastatin clinical interaction from secondary analysis of a randomized, placebo-controlled clopidogrel trial. Circulation. 200</w:t>
      </w:r>
      <w:r w:rsidR="008A56F8">
        <w:rPr>
          <w:rFonts w:ascii="Times New Roman" w:hAnsi="Times New Roman"/>
          <w:sz w:val="24"/>
          <w:szCs w:val="24"/>
        </w:rPr>
        <w:t xml:space="preserve">3; </w:t>
      </w:r>
      <w:r w:rsidRPr="006A5FBD">
        <w:rPr>
          <w:rFonts w:ascii="Times New Roman" w:hAnsi="Times New Roman"/>
          <w:sz w:val="24"/>
          <w:szCs w:val="24"/>
        </w:rPr>
        <w:t>26;108(8):921-</w:t>
      </w:r>
      <w:r w:rsidR="008A56F8">
        <w:rPr>
          <w:rFonts w:ascii="Times New Roman" w:hAnsi="Times New Roman"/>
          <w:sz w:val="24"/>
          <w:szCs w:val="24"/>
        </w:rPr>
        <w:t>92</w:t>
      </w:r>
      <w:r w:rsidRPr="006A5FBD">
        <w:rPr>
          <w:rFonts w:ascii="Times New Roman" w:hAnsi="Times New Roman"/>
          <w:sz w:val="24"/>
          <w:szCs w:val="24"/>
        </w:rPr>
        <w:t>4. doi: 10.1161/01.CIR.0000088780.57432.43. Epub 2003 Aug 18. PMID: 12925453.</w:t>
      </w:r>
    </w:p>
    <w:p w14:paraId="3CCC667E"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 xml:space="preserve">Humphrey ML, Barkhordari N, Kaakeh Y. Effects of Omeprazole on Vitamin and Mineral Absorption and Metabolism. </w:t>
      </w:r>
      <w:r w:rsidRPr="006A5FBD">
        <w:rPr>
          <w:rFonts w:ascii="Times New Roman" w:hAnsi="Times New Roman"/>
          <w:iCs/>
          <w:sz w:val="24"/>
          <w:szCs w:val="24"/>
        </w:rPr>
        <w:t>Journal of Pharmacy Technology</w:t>
      </w:r>
      <w:r w:rsidRPr="006A5FBD">
        <w:rPr>
          <w:rFonts w:ascii="Times New Roman" w:hAnsi="Times New Roman"/>
          <w:sz w:val="24"/>
          <w:szCs w:val="24"/>
        </w:rPr>
        <w:t xml:space="preserve">. 2012: 28(6): 243-248. </w:t>
      </w:r>
    </w:p>
    <w:p w14:paraId="0884D155" w14:textId="1445844B" w:rsidR="000C180A" w:rsidRPr="006A5FBD" w:rsidRDefault="000C180A" w:rsidP="000C180A">
      <w:pPr>
        <w:pStyle w:val="a7"/>
        <w:numPr>
          <w:ilvl w:val="0"/>
          <w:numId w:val="41"/>
        </w:numPr>
        <w:spacing w:after="0" w:line="360" w:lineRule="auto"/>
        <w:jc w:val="both"/>
        <w:rPr>
          <w:rFonts w:ascii="Times New Roman" w:eastAsia="Times New Roman" w:hAnsi="Times New Roman"/>
          <w:sz w:val="24"/>
          <w:szCs w:val="24"/>
          <w:lang w:eastAsia="tr-TR"/>
        </w:rPr>
      </w:pPr>
      <w:r w:rsidRPr="006A5FBD">
        <w:rPr>
          <w:rFonts w:ascii="Times New Roman" w:eastAsia="Times New Roman" w:hAnsi="Times New Roman"/>
          <w:sz w:val="24"/>
          <w:szCs w:val="24"/>
          <w:lang w:eastAsia="tr-TR"/>
        </w:rPr>
        <w:t>Wilcox CM, Shalek KA, Cotsonis G. Striking prevalence of over-the-counter nonsteroidal anti-inflammatory drug use in patients with upper gastrointestinal hemorrhage. Arch Intern Med. 1994</w:t>
      </w:r>
      <w:r w:rsidR="008A56F8">
        <w:rPr>
          <w:rFonts w:ascii="Times New Roman" w:eastAsia="Times New Roman" w:hAnsi="Times New Roman"/>
          <w:sz w:val="24"/>
          <w:szCs w:val="24"/>
          <w:lang w:eastAsia="tr-TR"/>
        </w:rPr>
        <w:t xml:space="preserve">; </w:t>
      </w:r>
      <w:r w:rsidRPr="006A5FBD">
        <w:rPr>
          <w:rFonts w:ascii="Times New Roman" w:eastAsia="Times New Roman" w:hAnsi="Times New Roman"/>
          <w:sz w:val="24"/>
          <w:szCs w:val="24"/>
          <w:lang w:eastAsia="tr-TR"/>
        </w:rPr>
        <w:t>10;154(1):42-</w:t>
      </w:r>
      <w:r w:rsidR="008A56F8">
        <w:rPr>
          <w:rFonts w:ascii="Times New Roman" w:eastAsia="Times New Roman" w:hAnsi="Times New Roman"/>
          <w:sz w:val="24"/>
          <w:szCs w:val="24"/>
          <w:lang w:eastAsia="tr-TR"/>
        </w:rPr>
        <w:t>4</w:t>
      </w:r>
      <w:r w:rsidRPr="006A5FBD">
        <w:rPr>
          <w:rFonts w:ascii="Times New Roman" w:eastAsia="Times New Roman" w:hAnsi="Times New Roman"/>
          <w:sz w:val="24"/>
          <w:szCs w:val="24"/>
          <w:lang w:eastAsia="tr-TR"/>
        </w:rPr>
        <w:t>6. PMID: 8267488.</w:t>
      </w:r>
    </w:p>
    <w:p w14:paraId="6A5F7062" w14:textId="5BCB4C5C" w:rsidR="000C180A" w:rsidRPr="006A5FBD" w:rsidRDefault="000C180A" w:rsidP="000C180A">
      <w:pPr>
        <w:pStyle w:val="a7"/>
        <w:numPr>
          <w:ilvl w:val="0"/>
          <w:numId w:val="41"/>
        </w:numPr>
        <w:spacing w:after="0" w:line="360" w:lineRule="auto"/>
        <w:jc w:val="both"/>
        <w:rPr>
          <w:rFonts w:ascii="Times New Roman" w:eastAsia="Times New Roman" w:hAnsi="Times New Roman"/>
          <w:sz w:val="24"/>
          <w:szCs w:val="24"/>
          <w:lang w:eastAsia="tr-TR"/>
        </w:rPr>
      </w:pPr>
      <w:r w:rsidRPr="006A5FBD">
        <w:rPr>
          <w:rFonts w:ascii="Times New Roman" w:eastAsia="Times New Roman" w:hAnsi="Times New Roman"/>
          <w:sz w:val="24"/>
          <w:szCs w:val="24"/>
          <w:lang w:eastAsia="tr-TR"/>
        </w:rPr>
        <w:t>Lind T, Lönnerdal B, Stenlund H, Ismail D, Seswandhana R, Ekström EC, Persson LA. A community-based randomized controlled trial of iron and zinc supplementation in Indonesian infants: interactions between iron and zinc. Am J Clin Nutr. 2003;77(4):883-</w:t>
      </w:r>
      <w:r w:rsidR="008A56F8">
        <w:rPr>
          <w:rFonts w:ascii="Times New Roman" w:eastAsia="Times New Roman" w:hAnsi="Times New Roman"/>
          <w:sz w:val="24"/>
          <w:szCs w:val="24"/>
          <w:lang w:eastAsia="tr-TR"/>
        </w:rPr>
        <w:t>8</w:t>
      </w:r>
      <w:r w:rsidRPr="006A5FBD">
        <w:rPr>
          <w:rFonts w:ascii="Times New Roman" w:eastAsia="Times New Roman" w:hAnsi="Times New Roman"/>
          <w:sz w:val="24"/>
          <w:szCs w:val="24"/>
          <w:lang w:eastAsia="tr-TR"/>
        </w:rPr>
        <w:t>90. doi: 10.1093/ajcn/77.4.883. PMID: 12663287.</w:t>
      </w:r>
    </w:p>
    <w:p w14:paraId="6A675CE1" w14:textId="77777777"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 xml:space="preserve">Rebuplic of Turkey Ministry of Health, 2019. Turkish Pharmaceutical Market Observation Report. </w:t>
      </w:r>
      <w:hyperlink r:id="rId9" w:history="1">
        <w:r w:rsidRPr="006A5FBD">
          <w:rPr>
            <w:rStyle w:val="a9"/>
            <w:rFonts w:ascii="Times New Roman" w:hAnsi="Times New Roman"/>
            <w:sz w:val="24"/>
            <w:szCs w:val="24"/>
          </w:rPr>
          <w:t>https://titck.gov.tr/storage/Archive/2019/news/ffebd110-9c02-4283-b8b6-653c8d082e18.pdf</w:t>
        </w:r>
      </w:hyperlink>
      <w:r w:rsidRPr="006A5FBD">
        <w:rPr>
          <w:rFonts w:ascii="Times New Roman" w:hAnsi="Times New Roman"/>
          <w:sz w:val="24"/>
          <w:szCs w:val="24"/>
        </w:rPr>
        <w:t xml:space="preserve"> (Accessed 24/12/21)</w:t>
      </w:r>
    </w:p>
    <w:p w14:paraId="1A63188E" w14:textId="77777777" w:rsidR="000C180A" w:rsidRPr="006A5FBD" w:rsidRDefault="000C180A" w:rsidP="000C180A">
      <w:pPr>
        <w:pStyle w:val="a7"/>
        <w:numPr>
          <w:ilvl w:val="0"/>
          <w:numId w:val="41"/>
        </w:numPr>
        <w:spacing w:before="100" w:beforeAutospacing="1" w:after="100" w:afterAutospacing="1" w:line="360" w:lineRule="auto"/>
        <w:jc w:val="both"/>
        <w:outlineLvl w:val="1"/>
        <w:rPr>
          <w:rFonts w:ascii="Times New Roman" w:eastAsia="Times New Roman" w:hAnsi="Times New Roman"/>
          <w:bCs/>
          <w:sz w:val="24"/>
          <w:szCs w:val="24"/>
          <w:lang w:eastAsia="tr-TR"/>
        </w:rPr>
      </w:pPr>
      <w:r w:rsidRPr="006A5FBD">
        <w:rPr>
          <w:rFonts w:ascii="Times New Roman" w:eastAsia="Times New Roman" w:hAnsi="Times New Roman"/>
          <w:bCs/>
          <w:sz w:val="24"/>
          <w:szCs w:val="24"/>
          <w:lang w:eastAsia="tr-TR"/>
        </w:rPr>
        <w:lastRenderedPageBreak/>
        <w:t xml:space="preserve">Organisation for Economic Co-operation and Development, 2016. Antimicrobial Resistance Polict Insight. </w:t>
      </w:r>
      <w:hyperlink r:id="rId10" w:history="1">
        <w:r w:rsidRPr="006A5FBD">
          <w:rPr>
            <w:rStyle w:val="a9"/>
            <w:rFonts w:ascii="Times New Roman" w:hAnsi="Times New Roman"/>
            <w:sz w:val="24"/>
            <w:szCs w:val="24"/>
          </w:rPr>
          <w:t>https://www.oecd.org/health/health-systems/AMR-Policy-Insights November2016.pdf</w:t>
        </w:r>
      </w:hyperlink>
      <w:r w:rsidRPr="006A5FBD">
        <w:rPr>
          <w:rFonts w:ascii="Times New Roman" w:hAnsi="Times New Roman"/>
          <w:sz w:val="24"/>
          <w:szCs w:val="24"/>
        </w:rPr>
        <w:t xml:space="preserve"> (Accessed 24/12/21)</w:t>
      </w:r>
    </w:p>
    <w:p w14:paraId="66B1B9E1" w14:textId="4606FB22" w:rsidR="000C180A" w:rsidRPr="006A5FBD" w:rsidRDefault="000C180A" w:rsidP="000C180A">
      <w:pPr>
        <w:pStyle w:val="a7"/>
        <w:numPr>
          <w:ilvl w:val="0"/>
          <w:numId w:val="41"/>
        </w:numPr>
        <w:autoSpaceDE w:val="0"/>
        <w:autoSpaceDN w:val="0"/>
        <w:adjustRightInd w:val="0"/>
        <w:spacing w:after="0" w:line="360" w:lineRule="auto"/>
        <w:jc w:val="both"/>
        <w:rPr>
          <w:rFonts w:ascii="Times New Roman" w:eastAsia="Berkeley-Book" w:hAnsi="Times New Roman"/>
          <w:sz w:val="24"/>
          <w:szCs w:val="24"/>
        </w:rPr>
      </w:pPr>
      <w:r w:rsidRPr="006A5FBD">
        <w:rPr>
          <w:rFonts w:ascii="Times New Roman" w:hAnsi="Times New Roman"/>
          <w:sz w:val="24"/>
          <w:szCs w:val="24"/>
        </w:rPr>
        <w:t>Masoodi N. Polypharmacy: To err is human, to correct divine. Br J Clin Pharmacol 2008</w:t>
      </w:r>
      <w:r w:rsidR="008A56F8">
        <w:rPr>
          <w:rFonts w:ascii="Times New Roman" w:hAnsi="Times New Roman"/>
          <w:sz w:val="24"/>
          <w:szCs w:val="24"/>
        </w:rPr>
        <w:t>;</w:t>
      </w:r>
      <w:r w:rsidRPr="006A5FBD">
        <w:rPr>
          <w:rFonts w:ascii="Times New Roman" w:hAnsi="Times New Roman"/>
          <w:sz w:val="24"/>
          <w:szCs w:val="24"/>
        </w:rPr>
        <w:t xml:space="preserve"> 1:6–9.</w:t>
      </w:r>
    </w:p>
    <w:p w14:paraId="4B34D2B7" w14:textId="1C0A913B" w:rsidR="000C180A" w:rsidRPr="006A5FBD" w:rsidRDefault="000C180A" w:rsidP="000C180A">
      <w:pPr>
        <w:pStyle w:val="a7"/>
        <w:numPr>
          <w:ilvl w:val="0"/>
          <w:numId w:val="41"/>
        </w:numPr>
        <w:spacing w:after="0" w:line="360" w:lineRule="auto"/>
        <w:jc w:val="both"/>
        <w:rPr>
          <w:rFonts w:ascii="Times New Roman" w:eastAsia="Times New Roman" w:hAnsi="Times New Roman"/>
          <w:sz w:val="24"/>
          <w:szCs w:val="24"/>
          <w:lang w:eastAsia="tr-TR"/>
        </w:rPr>
      </w:pPr>
      <w:r w:rsidRPr="006A5FBD">
        <w:rPr>
          <w:rFonts w:ascii="Times New Roman" w:eastAsia="Times New Roman" w:hAnsi="Times New Roman"/>
          <w:sz w:val="24"/>
          <w:szCs w:val="24"/>
          <w:lang w:eastAsia="tr-TR"/>
        </w:rPr>
        <w:t>American Geriatrics Society 2012 Beers Criteria Update Expert Panel. American Geriatrics Society updated Beers Criteria for potentially inappropriate medication use in older adults. J Am Geriatr Soc. 2012 ;60(4):616-</w:t>
      </w:r>
      <w:r w:rsidR="008A56F8">
        <w:rPr>
          <w:rFonts w:ascii="Times New Roman" w:eastAsia="Times New Roman" w:hAnsi="Times New Roman"/>
          <w:sz w:val="24"/>
          <w:szCs w:val="24"/>
          <w:lang w:eastAsia="tr-TR"/>
        </w:rPr>
        <w:t>6</w:t>
      </w:r>
      <w:r w:rsidRPr="006A5FBD">
        <w:rPr>
          <w:rFonts w:ascii="Times New Roman" w:eastAsia="Times New Roman" w:hAnsi="Times New Roman"/>
          <w:sz w:val="24"/>
          <w:szCs w:val="24"/>
          <w:lang w:eastAsia="tr-TR"/>
        </w:rPr>
        <w:t>31. doi: 10.1111/j.1532-5415.2012.03923.x. Epub 2012 Feb 29. PMID: 22376048; PMCID: PMC3571677.</w:t>
      </w:r>
    </w:p>
    <w:p w14:paraId="4484987D" w14:textId="0B4B8148" w:rsidR="000C180A" w:rsidRPr="006A5FBD" w:rsidRDefault="000C180A" w:rsidP="000C180A">
      <w:pPr>
        <w:pStyle w:val="a7"/>
        <w:numPr>
          <w:ilvl w:val="0"/>
          <w:numId w:val="41"/>
        </w:numPr>
        <w:spacing w:after="0" w:line="360" w:lineRule="auto"/>
        <w:jc w:val="both"/>
        <w:rPr>
          <w:rFonts w:ascii="Times New Roman" w:eastAsia="Times New Roman" w:hAnsi="Times New Roman"/>
          <w:sz w:val="24"/>
          <w:szCs w:val="24"/>
          <w:lang w:eastAsia="tr-TR"/>
        </w:rPr>
      </w:pPr>
      <w:r w:rsidRPr="006A5FBD">
        <w:rPr>
          <w:rFonts w:ascii="Times New Roman" w:eastAsia="Times New Roman" w:hAnsi="Times New Roman"/>
          <w:sz w:val="24"/>
          <w:szCs w:val="24"/>
          <w:lang w:eastAsia="tr-TR"/>
        </w:rPr>
        <w:t>Bahat G, Ilhan B, Erdogan T, et al. Turkish inappropriate medication use in the elderly (TIME) criteria to improve prescribing in older adults: TIME-to-STOP/TIME-to-START. Eur Geriatr Med. 2020;11(3):491-498. doi: 10.1007/s41999-020-00297-z. Epub 2020 Mar 5. PMID: 32297261; PMCID: PMC7280176.</w:t>
      </w:r>
    </w:p>
    <w:p w14:paraId="2DDABD5E" w14:textId="77777777" w:rsidR="000C180A" w:rsidRPr="006A5FBD" w:rsidRDefault="000C180A" w:rsidP="000C180A">
      <w:pPr>
        <w:pStyle w:val="a7"/>
        <w:autoSpaceDE w:val="0"/>
        <w:autoSpaceDN w:val="0"/>
        <w:adjustRightInd w:val="0"/>
        <w:spacing w:after="0" w:line="360" w:lineRule="auto"/>
        <w:jc w:val="both"/>
        <w:rPr>
          <w:rFonts w:ascii="Times New Roman" w:eastAsia="Berkeley-Book" w:hAnsi="Times New Roman"/>
          <w:sz w:val="24"/>
          <w:szCs w:val="24"/>
        </w:rPr>
      </w:pPr>
    </w:p>
    <w:p w14:paraId="3B9F7D57" w14:textId="77777777" w:rsidR="000C180A" w:rsidRPr="006A5FBD" w:rsidRDefault="000C180A" w:rsidP="0098781E">
      <w:pPr>
        <w:spacing w:line="360" w:lineRule="auto"/>
        <w:jc w:val="both"/>
        <w:rPr>
          <w:rFonts w:ascii="Times New Roman" w:hAnsi="Times New Roman"/>
          <w:b/>
          <w:sz w:val="24"/>
          <w:szCs w:val="24"/>
        </w:rPr>
      </w:pPr>
    </w:p>
    <w:sectPr w:rsidR="000C180A" w:rsidRPr="006A5FBD" w:rsidSect="00877A56">
      <w:headerReference w:type="default" r:id="rId11"/>
      <w:type w:val="continuous"/>
      <w:pgSz w:w="11906" w:h="16838"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0F2F" w14:textId="77777777" w:rsidR="003062B5" w:rsidRDefault="003062B5">
      <w:pPr>
        <w:spacing w:after="0" w:line="240" w:lineRule="auto"/>
      </w:pPr>
      <w:r>
        <w:separator/>
      </w:r>
    </w:p>
  </w:endnote>
  <w:endnote w:type="continuationSeparator" w:id="0">
    <w:p w14:paraId="63286A05" w14:textId="77777777" w:rsidR="003062B5" w:rsidRDefault="003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Berkeley-Book">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FDB" w14:textId="77777777" w:rsidR="003062B5" w:rsidRDefault="003062B5">
      <w:pPr>
        <w:spacing w:after="0" w:line="240" w:lineRule="auto"/>
      </w:pPr>
      <w:r>
        <w:separator/>
      </w:r>
    </w:p>
  </w:footnote>
  <w:footnote w:type="continuationSeparator" w:id="0">
    <w:p w14:paraId="59AA069E" w14:textId="77777777" w:rsidR="003062B5" w:rsidRDefault="003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E656" w14:textId="77777777" w:rsidR="00392AB0" w:rsidRDefault="009250D0">
    <w:pPr>
      <w:pStyle w:val="a3"/>
      <w:jc w:val="right"/>
    </w:pPr>
    <w:r>
      <w:fldChar w:fldCharType="begin"/>
    </w:r>
    <w:r>
      <w:instrText xml:space="preserve"> PAGE   \* MERGEFORMAT </w:instrText>
    </w:r>
    <w:r>
      <w:fldChar w:fldCharType="separate"/>
    </w:r>
    <w:r w:rsidR="004A40E5">
      <w:rPr>
        <w:noProof/>
      </w:rPr>
      <w:t>6</w:t>
    </w:r>
    <w:r>
      <w:fldChar w:fldCharType="end"/>
    </w:r>
  </w:p>
  <w:p w14:paraId="4EE270D8" w14:textId="77777777" w:rsidR="00392AB0" w:rsidRDefault="003062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6F3"/>
    <w:multiLevelType w:val="hybridMultilevel"/>
    <w:tmpl w:val="3E6643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C76339"/>
    <w:multiLevelType w:val="hybridMultilevel"/>
    <w:tmpl w:val="7D2447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71C29"/>
    <w:multiLevelType w:val="hybridMultilevel"/>
    <w:tmpl w:val="262E3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833601"/>
    <w:multiLevelType w:val="hybridMultilevel"/>
    <w:tmpl w:val="F8D80C8A"/>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4" w15:restartNumberingAfterBreak="0">
    <w:nsid w:val="0EE22E9A"/>
    <w:multiLevelType w:val="hybridMultilevel"/>
    <w:tmpl w:val="EA428760"/>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F77691A"/>
    <w:multiLevelType w:val="hybridMultilevel"/>
    <w:tmpl w:val="B4DCE39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1F17F9F"/>
    <w:multiLevelType w:val="hybridMultilevel"/>
    <w:tmpl w:val="B14A08E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F7537B"/>
    <w:multiLevelType w:val="hybridMultilevel"/>
    <w:tmpl w:val="B652FDF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8122A"/>
    <w:multiLevelType w:val="hybridMultilevel"/>
    <w:tmpl w:val="FAC62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19269A"/>
    <w:multiLevelType w:val="hybridMultilevel"/>
    <w:tmpl w:val="115C3546"/>
    <w:lvl w:ilvl="0" w:tplc="2E34062C">
      <w:start w:val="1"/>
      <w:numFmt w:val="ordinal"/>
      <w:lvlText w:val="2.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D050975"/>
    <w:multiLevelType w:val="hybridMultilevel"/>
    <w:tmpl w:val="DB665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6314A3"/>
    <w:multiLevelType w:val="hybridMultilevel"/>
    <w:tmpl w:val="E3C0E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B716BE"/>
    <w:multiLevelType w:val="hybridMultilevel"/>
    <w:tmpl w:val="4036BEEA"/>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37C73F3"/>
    <w:multiLevelType w:val="hybridMultilevel"/>
    <w:tmpl w:val="1D1E4FE8"/>
    <w:lvl w:ilvl="0" w:tplc="041F0001">
      <w:start w:val="1"/>
      <w:numFmt w:val="bullet"/>
      <w:lvlText w:val=""/>
      <w:lvlJc w:val="left"/>
      <w:pPr>
        <w:ind w:left="-708" w:hanging="360"/>
      </w:pPr>
      <w:rPr>
        <w:rFonts w:ascii="Symbol" w:hAnsi="Symbol" w:hint="default"/>
      </w:rPr>
    </w:lvl>
    <w:lvl w:ilvl="1" w:tplc="041F0003" w:tentative="1">
      <w:start w:val="1"/>
      <w:numFmt w:val="bullet"/>
      <w:lvlText w:val="o"/>
      <w:lvlJc w:val="left"/>
      <w:pPr>
        <w:ind w:left="12" w:hanging="360"/>
      </w:pPr>
      <w:rPr>
        <w:rFonts w:ascii="Courier New" w:hAnsi="Courier New" w:cs="Courier New" w:hint="default"/>
      </w:rPr>
    </w:lvl>
    <w:lvl w:ilvl="2" w:tplc="041F0005" w:tentative="1">
      <w:start w:val="1"/>
      <w:numFmt w:val="bullet"/>
      <w:lvlText w:val=""/>
      <w:lvlJc w:val="left"/>
      <w:pPr>
        <w:ind w:left="732" w:hanging="360"/>
      </w:pPr>
      <w:rPr>
        <w:rFonts w:ascii="Wingdings" w:hAnsi="Wingdings" w:hint="default"/>
      </w:rPr>
    </w:lvl>
    <w:lvl w:ilvl="3" w:tplc="041F0001" w:tentative="1">
      <w:start w:val="1"/>
      <w:numFmt w:val="bullet"/>
      <w:lvlText w:val=""/>
      <w:lvlJc w:val="left"/>
      <w:pPr>
        <w:ind w:left="1452" w:hanging="360"/>
      </w:pPr>
      <w:rPr>
        <w:rFonts w:ascii="Symbol" w:hAnsi="Symbol" w:hint="default"/>
      </w:rPr>
    </w:lvl>
    <w:lvl w:ilvl="4" w:tplc="041F0003" w:tentative="1">
      <w:start w:val="1"/>
      <w:numFmt w:val="bullet"/>
      <w:lvlText w:val="o"/>
      <w:lvlJc w:val="left"/>
      <w:pPr>
        <w:ind w:left="2172" w:hanging="360"/>
      </w:pPr>
      <w:rPr>
        <w:rFonts w:ascii="Courier New" w:hAnsi="Courier New" w:cs="Courier New" w:hint="default"/>
      </w:rPr>
    </w:lvl>
    <w:lvl w:ilvl="5" w:tplc="041F0005" w:tentative="1">
      <w:start w:val="1"/>
      <w:numFmt w:val="bullet"/>
      <w:lvlText w:val=""/>
      <w:lvlJc w:val="left"/>
      <w:pPr>
        <w:ind w:left="2892" w:hanging="360"/>
      </w:pPr>
      <w:rPr>
        <w:rFonts w:ascii="Wingdings" w:hAnsi="Wingdings" w:hint="default"/>
      </w:rPr>
    </w:lvl>
    <w:lvl w:ilvl="6" w:tplc="041F0001" w:tentative="1">
      <w:start w:val="1"/>
      <w:numFmt w:val="bullet"/>
      <w:lvlText w:val=""/>
      <w:lvlJc w:val="left"/>
      <w:pPr>
        <w:ind w:left="3612" w:hanging="360"/>
      </w:pPr>
      <w:rPr>
        <w:rFonts w:ascii="Symbol" w:hAnsi="Symbol" w:hint="default"/>
      </w:rPr>
    </w:lvl>
    <w:lvl w:ilvl="7" w:tplc="041F0003" w:tentative="1">
      <w:start w:val="1"/>
      <w:numFmt w:val="bullet"/>
      <w:lvlText w:val="o"/>
      <w:lvlJc w:val="left"/>
      <w:pPr>
        <w:ind w:left="4332" w:hanging="360"/>
      </w:pPr>
      <w:rPr>
        <w:rFonts w:ascii="Courier New" w:hAnsi="Courier New" w:cs="Courier New" w:hint="default"/>
      </w:rPr>
    </w:lvl>
    <w:lvl w:ilvl="8" w:tplc="041F0005" w:tentative="1">
      <w:start w:val="1"/>
      <w:numFmt w:val="bullet"/>
      <w:lvlText w:val=""/>
      <w:lvlJc w:val="left"/>
      <w:pPr>
        <w:ind w:left="5052" w:hanging="360"/>
      </w:pPr>
      <w:rPr>
        <w:rFonts w:ascii="Wingdings" w:hAnsi="Wingdings" w:hint="default"/>
      </w:rPr>
    </w:lvl>
  </w:abstractNum>
  <w:abstractNum w:abstractNumId="14" w15:restartNumberingAfterBreak="0">
    <w:nsid w:val="25574556"/>
    <w:multiLevelType w:val="hybridMultilevel"/>
    <w:tmpl w:val="8D3E065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9FC7384"/>
    <w:multiLevelType w:val="multilevel"/>
    <w:tmpl w:val="B7B65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FB17DB"/>
    <w:multiLevelType w:val="hybridMultilevel"/>
    <w:tmpl w:val="9DD0B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0806B1"/>
    <w:multiLevelType w:val="hybridMultilevel"/>
    <w:tmpl w:val="ACDA9B0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7E48F8"/>
    <w:multiLevelType w:val="hybridMultilevel"/>
    <w:tmpl w:val="B5F05CD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4014B6D"/>
    <w:multiLevelType w:val="hybridMultilevel"/>
    <w:tmpl w:val="B78CFAEA"/>
    <w:lvl w:ilvl="0" w:tplc="61F8000A">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1A2F52"/>
    <w:multiLevelType w:val="hybridMultilevel"/>
    <w:tmpl w:val="370A032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F7701C"/>
    <w:multiLevelType w:val="hybridMultilevel"/>
    <w:tmpl w:val="81B20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D24994"/>
    <w:multiLevelType w:val="hybridMultilevel"/>
    <w:tmpl w:val="FB8A919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D24DAC"/>
    <w:multiLevelType w:val="hybridMultilevel"/>
    <w:tmpl w:val="210AEEC0"/>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E980EDE"/>
    <w:multiLevelType w:val="hybridMultilevel"/>
    <w:tmpl w:val="F45C27F8"/>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6D34AA0"/>
    <w:multiLevelType w:val="hybridMultilevel"/>
    <w:tmpl w:val="4A586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526B49"/>
    <w:multiLevelType w:val="hybridMultilevel"/>
    <w:tmpl w:val="36FE24CE"/>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7F966B1"/>
    <w:multiLevelType w:val="hybridMultilevel"/>
    <w:tmpl w:val="9DF6926C"/>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9396185"/>
    <w:multiLevelType w:val="hybridMultilevel"/>
    <w:tmpl w:val="E46ED596"/>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EB83150"/>
    <w:multiLevelType w:val="hybridMultilevel"/>
    <w:tmpl w:val="92FAF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3C4189"/>
    <w:multiLevelType w:val="hybridMultilevel"/>
    <w:tmpl w:val="D60883E8"/>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A454E30"/>
    <w:multiLevelType w:val="hybridMultilevel"/>
    <w:tmpl w:val="BC5E0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65250B"/>
    <w:multiLevelType w:val="hybridMultilevel"/>
    <w:tmpl w:val="049E8DD6"/>
    <w:lvl w:ilvl="0" w:tplc="2E34062C">
      <w:start w:val="1"/>
      <w:numFmt w:val="ordinal"/>
      <w:lvlText w:val="2.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6123E"/>
    <w:multiLevelType w:val="hybridMultilevel"/>
    <w:tmpl w:val="10DC1F64"/>
    <w:lvl w:ilvl="0" w:tplc="603EAABA">
      <w:start w:val="1"/>
      <w:numFmt w:val="upperRoman"/>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AAC07B3"/>
    <w:multiLevelType w:val="hybridMultilevel"/>
    <w:tmpl w:val="3C18CF5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BE4A3E"/>
    <w:multiLevelType w:val="hybridMultilevel"/>
    <w:tmpl w:val="0526F504"/>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tentative="1">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36" w15:restartNumberingAfterBreak="0">
    <w:nsid w:val="772648DD"/>
    <w:multiLevelType w:val="hybridMultilevel"/>
    <w:tmpl w:val="BB7AE75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90E53A7"/>
    <w:multiLevelType w:val="hybridMultilevel"/>
    <w:tmpl w:val="037CE71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7ACC2BD7"/>
    <w:multiLevelType w:val="hybridMultilevel"/>
    <w:tmpl w:val="07FEE49C"/>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tentative="1">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39" w15:restartNumberingAfterBreak="0">
    <w:nsid w:val="7C2030FB"/>
    <w:multiLevelType w:val="hybridMultilevel"/>
    <w:tmpl w:val="934C42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E30C87"/>
    <w:multiLevelType w:val="hybridMultilevel"/>
    <w:tmpl w:val="ADA2C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5"/>
  </w:num>
  <w:num w:numId="4">
    <w:abstractNumId w:val="9"/>
  </w:num>
  <w:num w:numId="5">
    <w:abstractNumId w:val="33"/>
  </w:num>
  <w:num w:numId="6">
    <w:abstractNumId w:val="37"/>
  </w:num>
  <w:num w:numId="7">
    <w:abstractNumId w:val="26"/>
  </w:num>
  <w:num w:numId="8">
    <w:abstractNumId w:val="39"/>
  </w:num>
  <w:num w:numId="9">
    <w:abstractNumId w:val="1"/>
  </w:num>
  <w:num w:numId="10">
    <w:abstractNumId w:val="7"/>
  </w:num>
  <w:num w:numId="11">
    <w:abstractNumId w:val="5"/>
  </w:num>
  <w:num w:numId="12">
    <w:abstractNumId w:val="3"/>
  </w:num>
  <w:num w:numId="13">
    <w:abstractNumId w:val="13"/>
  </w:num>
  <w:num w:numId="14">
    <w:abstractNumId w:val="2"/>
  </w:num>
  <w:num w:numId="15">
    <w:abstractNumId w:val="18"/>
  </w:num>
  <w:num w:numId="16">
    <w:abstractNumId w:val="21"/>
  </w:num>
  <w:num w:numId="17">
    <w:abstractNumId w:val="10"/>
  </w:num>
  <w:num w:numId="18">
    <w:abstractNumId w:val="38"/>
  </w:num>
  <w:num w:numId="19">
    <w:abstractNumId w:val="40"/>
  </w:num>
  <w:num w:numId="20">
    <w:abstractNumId w:val="11"/>
  </w:num>
  <w:num w:numId="21">
    <w:abstractNumId w:val="25"/>
  </w:num>
  <w:num w:numId="22">
    <w:abstractNumId w:val="36"/>
  </w:num>
  <w:num w:numId="23">
    <w:abstractNumId w:val="16"/>
  </w:num>
  <w:num w:numId="24">
    <w:abstractNumId w:val="35"/>
  </w:num>
  <w:num w:numId="25">
    <w:abstractNumId w:val="31"/>
  </w:num>
  <w:num w:numId="26">
    <w:abstractNumId w:val="14"/>
  </w:num>
  <w:num w:numId="27">
    <w:abstractNumId w:val="22"/>
  </w:num>
  <w:num w:numId="28">
    <w:abstractNumId w:val="34"/>
  </w:num>
  <w:num w:numId="29">
    <w:abstractNumId w:val="17"/>
  </w:num>
  <w:num w:numId="30">
    <w:abstractNumId w:val="8"/>
  </w:num>
  <w:num w:numId="31">
    <w:abstractNumId w:val="6"/>
  </w:num>
  <w:num w:numId="32">
    <w:abstractNumId w:val="4"/>
  </w:num>
  <w:num w:numId="33">
    <w:abstractNumId w:val="27"/>
  </w:num>
  <w:num w:numId="34">
    <w:abstractNumId w:val="30"/>
  </w:num>
  <w:num w:numId="35">
    <w:abstractNumId w:val="12"/>
  </w:num>
  <w:num w:numId="36">
    <w:abstractNumId w:val="28"/>
  </w:num>
  <w:num w:numId="37">
    <w:abstractNumId w:val="20"/>
  </w:num>
  <w:num w:numId="38">
    <w:abstractNumId w:val="0"/>
  </w:num>
  <w:num w:numId="39">
    <w:abstractNumId w:val="24"/>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30"/>
    <w:rsid w:val="00033670"/>
    <w:rsid w:val="000340E2"/>
    <w:rsid w:val="00041892"/>
    <w:rsid w:val="00041FB5"/>
    <w:rsid w:val="00050508"/>
    <w:rsid w:val="00064F8E"/>
    <w:rsid w:val="00074952"/>
    <w:rsid w:val="00080092"/>
    <w:rsid w:val="000A0E26"/>
    <w:rsid w:val="000C180A"/>
    <w:rsid w:val="000E2080"/>
    <w:rsid w:val="000E5F54"/>
    <w:rsid w:val="000F2027"/>
    <w:rsid w:val="000F424F"/>
    <w:rsid w:val="00142C57"/>
    <w:rsid w:val="00142E9F"/>
    <w:rsid w:val="001B73B5"/>
    <w:rsid w:val="001E07FF"/>
    <w:rsid w:val="001E6622"/>
    <w:rsid w:val="002151B3"/>
    <w:rsid w:val="00216459"/>
    <w:rsid w:val="00226DF6"/>
    <w:rsid w:val="002318A3"/>
    <w:rsid w:val="00261B50"/>
    <w:rsid w:val="00262B62"/>
    <w:rsid w:val="00263B7A"/>
    <w:rsid w:val="00274E12"/>
    <w:rsid w:val="00283809"/>
    <w:rsid w:val="002A6F78"/>
    <w:rsid w:val="002B1697"/>
    <w:rsid w:val="002C0CC7"/>
    <w:rsid w:val="003062B5"/>
    <w:rsid w:val="0033156C"/>
    <w:rsid w:val="00363C61"/>
    <w:rsid w:val="00386F87"/>
    <w:rsid w:val="003C54AF"/>
    <w:rsid w:val="003F211A"/>
    <w:rsid w:val="00400D14"/>
    <w:rsid w:val="0041002A"/>
    <w:rsid w:val="0042050A"/>
    <w:rsid w:val="004464C6"/>
    <w:rsid w:val="004539A0"/>
    <w:rsid w:val="00471060"/>
    <w:rsid w:val="004803AA"/>
    <w:rsid w:val="004A40E5"/>
    <w:rsid w:val="004A4BD7"/>
    <w:rsid w:val="004D4F22"/>
    <w:rsid w:val="004E70AC"/>
    <w:rsid w:val="005011F5"/>
    <w:rsid w:val="00541283"/>
    <w:rsid w:val="00562741"/>
    <w:rsid w:val="00567183"/>
    <w:rsid w:val="00580E35"/>
    <w:rsid w:val="00587E2C"/>
    <w:rsid w:val="00594E55"/>
    <w:rsid w:val="005A7232"/>
    <w:rsid w:val="005B7781"/>
    <w:rsid w:val="005D0E9A"/>
    <w:rsid w:val="005D1177"/>
    <w:rsid w:val="005D5D17"/>
    <w:rsid w:val="005D60F9"/>
    <w:rsid w:val="005E4C30"/>
    <w:rsid w:val="00600ED4"/>
    <w:rsid w:val="006055A9"/>
    <w:rsid w:val="00612356"/>
    <w:rsid w:val="00662E7C"/>
    <w:rsid w:val="006653CD"/>
    <w:rsid w:val="00671987"/>
    <w:rsid w:val="00676128"/>
    <w:rsid w:val="006764F0"/>
    <w:rsid w:val="006A5FBD"/>
    <w:rsid w:val="006B4380"/>
    <w:rsid w:val="006C288D"/>
    <w:rsid w:val="006D5BAC"/>
    <w:rsid w:val="006F3319"/>
    <w:rsid w:val="006F4D94"/>
    <w:rsid w:val="00740E6D"/>
    <w:rsid w:val="007623BE"/>
    <w:rsid w:val="00766211"/>
    <w:rsid w:val="00770933"/>
    <w:rsid w:val="0077249F"/>
    <w:rsid w:val="007871D8"/>
    <w:rsid w:val="007A6862"/>
    <w:rsid w:val="007A7636"/>
    <w:rsid w:val="007F2ADE"/>
    <w:rsid w:val="007F3206"/>
    <w:rsid w:val="00801374"/>
    <w:rsid w:val="00802430"/>
    <w:rsid w:val="00804F5C"/>
    <w:rsid w:val="00830BFD"/>
    <w:rsid w:val="008322FF"/>
    <w:rsid w:val="008923E1"/>
    <w:rsid w:val="008A56F8"/>
    <w:rsid w:val="008D08AE"/>
    <w:rsid w:val="008E0655"/>
    <w:rsid w:val="008E1F83"/>
    <w:rsid w:val="008F4033"/>
    <w:rsid w:val="009003D0"/>
    <w:rsid w:val="009250D0"/>
    <w:rsid w:val="009428C9"/>
    <w:rsid w:val="00947FF4"/>
    <w:rsid w:val="009564B6"/>
    <w:rsid w:val="00962DE8"/>
    <w:rsid w:val="0098223F"/>
    <w:rsid w:val="0098550E"/>
    <w:rsid w:val="0098781E"/>
    <w:rsid w:val="00993DCD"/>
    <w:rsid w:val="009A35E6"/>
    <w:rsid w:val="009A4D15"/>
    <w:rsid w:val="009B2FF6"/>
    <w:rsid w:val="009B6BC1"/>
    <w:rsid w:val="00A14FFA"/>
    <w:rsid w:val="00A1539C"/>
    <w:rsid w:val="00A220C3"/>
    <w:rsid w:val="00A31474"/>
    <w:rsid w:val="00A42443"/>
    <w:rsid w:val="00A42F8D"/>
    <w:rsid w:val="00A62AC9"/>
    <w:rsid w:val="00A66CE4"/>
    <w:rsid w:val="00A74E53"/>
    <w:rsid w:val="00A8013F"/>
    <w:rsid w:val="00A835AE"/>
    <w:rsid w:val="00A85254"/>
    <w:rsid w:val="00A86E10"/>
    <w:rsid w:val="00AC7D08"/>
    <w:rsid w:val="00B165A9"/>
    <w:rsid w:val="00B638DD"/>
    <w:rsid w:val="00B76A01"/>
    <w:rsid w:val="00B84941"/>
    <w:rsid w:val="00BC4CB8"/>
    <w:rsid w:val="00BC65F3"/>
    <w:rsid w:val="00BD11F3"/>
    <w:rsid w:val="00BF71BF"/>
    <w:rsid w:val="00BF7275"/>
    <w:rsid w:val="00C018FC"/>
    <w:rsid w:val="00C20619"/>
    <w:rsid w:val="00C3186F"/>
    <w:rsid w:val="00C326B8"/>
    <w:rsid w:val="00C32AA6"/>
    <w:rsid w:val="00C44953"/>
    <w:rsid w:val="00C45536"/>
    <w:rsid w:val="00C7701F"/>
    <w:rsid w:val="00C929C2"/>
    <w:rsid w:val="00CB666F"/>
    <w:rsid w:val="00CC1C4E"/>
    <w:rsid w:val="00CF3D3B"/>
    <w:rsid w:val="00CF52CE"/>
    <w:rsid w:val="00D33D19"/>
    <w:rsid w:val="00D40D83"/>
    <w:rsid w:val="00D8129E"/>
    <w:rsid w:val="00DB51CF"/>
    <w:rsid w:val="00DD7E0E"/>
    <w:rsid w:val="00E317AA"/>
    <w:rsid w:val="00E46FAA"/>
    <w:rsid w:val="00E5586E"/>
    <w:rsid w:val="00E735C1"/>
    <w:rsid w:val="00E9376F"/>
    <w:rsid w:val="00EC3015"/>
    <w:rsid w:val="00ED51B5"/>
    <w:rsid w:val="00EF14FB"/>
    <w:rsid w:val="00F032EE"/>
    <w:rsid w:val="00F054B0"/>
    <w:rsid w:val="00F23139"/>
    <w:rsid w:val="00F273AF"/>
    <w:rsid w:val="00F349C1"/>
    <w:rsid w:val="00F5575F"/>
    <w:rsid w:val="00F92286"/>
    <w:rsid w:val="00F92A1A"/>
    <w:rsid w:val="00FB1FDF"/>
  </w:rsids>
  <m:mathPr>
    <m:mathFont m:val="Cambria Math"/>
    <m:brkBin m:val="before"/>
    <m:brkBinSub m:val="--"/>
    <m:smallFrac m:val="0"/>
    <m:dispDef/>
    <m:lMargin m:val="0"/>
    <m:rMargin m:val="0"/>
    <m:defJc m:val="centerGroup"/>
    <m:wrapIndent m:val="1440"/>
    <m:intLim m:val="subSup"/>
    <m:naryLim m:val="undOvr"/>
  </m:mathPr>
  <w:attachedSchema w:val="ActionsPane3"/>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D6006"/>
  <w15:docId w15:val="{75640AF8-607C-4AD5-ABF2-74CCA5CC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0D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D0"/>
    <w:pPr>
      <w:tabs>
        <w:tab w:val="center" w:pos="4536"/>
        <w:tab w:val="right" w:pos="9072"/>
      </w:tabs>
      <w:spacing w:after="0" w:line="240" w:lineRule="auto"/>
    </w:pPr>
  </w:style>
  <w:style w:type="character" w:customStyle="1" w:styleId="a4">
    <w:name w:val="页眉 字符"/>
    <w:basedOn w:val="a0"/>
    <w:link w:val="a3"/>
    <w:uiPriority w:val="99"/>
    <w:rsid w:val="009250D0"/>
    <w:rPr>
      <w:rFonts w:ascii="Calibri" w:eastAsia="Calibri" w:hAnsi="Calibri" w:cs="Times New Roman"/>
    </w:rPr>
  </w:style>
  <w:style w:type="paragraph" w:styleId="a5">
    <w:name w:val="footer"/>
    <w:basedOn w:val="a"/>
    <w:link w:val="a6"/>
    <w:uiPriority w:val="99"/>
    <w:unhideWhenUsed/>
    <w:rsid w:val="009250D0"/>
    <w:pPr>
      <w:tabs>
        <w:tab w:val="center" w:pos="4536"/>
        <w:tab w:val="right" w:pos="9072"/>
      </w:tabs>
      <w:spacing w:after="0" w:line="240" w:lineRule="auto"/>
    </w:pPr>
  </w:style>
  <w:style w:type="character" w:customStyle="1" w:styleId="a6">
    <w:name w:val="页脚 字符"/>
    <w:basedOn w:val="a0"/>
    <w:link w:val="a5"/>
    <w:uiPriority w:val="99"/>
    <w:rsid w:val="009250D0"/>
    <w:rPr>
      <w:rFonts w:ascii="Calibri" w:eastAsia="Calibri" w:hAnsi="Calibri" w:cs="Times New Roman"/>
    </w:rPr>
  </w:style>
  <w:style w:type="paragraph" w:styleId="a7">
    <w:name w:val="List Paragraph"/>
    <w:basedOn w:val="a"/>
    <w:uiPriority w:val="34"/>
    <w:qFormat/>
    <w:rsid w:val="009250D0"/>
    <w:pPr>
      <w:ind w:left="720"/>
      <w:contextualSpacing/>
    </w:pPr>
  </w:style>
  <w:style w:type="paragraph" w:customStyle="1" w:styleId="EndNoteBibliographyTitle">
    <w:name w:val="EndNote Bibliography Title"/>
    <w:basedOn w:val="a"/>
    <w:link w:val="EndNoteBibliographyTitleChar"/>
    <w:rsid w:val="009250D0"/>
    <w:pPr>
      <w:spacing w:after="0"/>
      <w:jc w:val="center"/>
    </w:pPr>
    <w:rPr>
      <w:noProof/>
      <w:sz w:val="20"/>
      <w:szCs w:val="20"/>
      <w:lang w:val="en-US" w:eastAsia="x-none"/>
    </w:rPr>
  </w:style>
  <w:style w:type="character" w:customStyle="1" w:styleId="EndNoteBibliographyTitleChar">
    <w:name w:val="EndNote Bibliography Title Char"/>
    <w:link w:val="EndNoteBibliographyTitle"/>
    <w:rsid w:val="009250D0"/>
    <w:rPr>
      <w:rFonts w:ascii="Calibri" w:eastAsia="Calibri" w:hAnsi="Calibri" w:cs="Times New Roman"/>
      <w:noProof/>
      <w:sz w:val="20"/>
      <w:szCs w:val="20"/>
      <w:lang w:val="en-US" w:eastAsia="x-none"/>
    </w:rPr>
  </w:style>
  <w:style w:type="paragraph" w:customStyle="1" w:styleId="EndNoteBibliography">
    <w:name w:val="EndNote Bibliography"/>
    <w:basedOn w:val="a"/>
    <w:link w:val="EndNoteBibliographyChar"/>
    <w:rsid w:val="009250D0"/>
    <w:pPr>
      <w:spacing w:line="240" w:lineRule="auto"/>
    </w:pPr>
    <w:rPr>
      <w:noProof/>
      <w:sz w:val="20"/>
      <w:szCs w:val="20"/>
      <w:lang w:val="en-US" w:eastAsia="x-none"/>
    </w:rPr>
  </w:style>
  <w:style w:type="character" w:customStyle="1" w:styleId="EndNoteBibliographyChar">
    <w:name w:val="EndNote Bibliography Char"/>
    <w:link w:val="EndNoteBibliography"/>
    <w:rsid w:val="009250D0"/>
    <w:rPr>
      <w:rFonts w:ascii="Calibri" w:eastAsia="Calibri" w:hAnsi="Calibri" w:cs="Times New Roman"/>
      <w:noProof/>
      <w:sz w:val="20"/>
      <w:szCs w:val="20"/>
      <w:lang w:val="en-US" w:eastAsia="x-none"/>
    </w:rPr>
  </w:style>
  <w:style w:type="table" w:styleId="a8">
    <w:name w:val="Table Grid"/>
    <w:basedOn w:val="a1"/>
    <w:uiPriority w:val="59"/>
    <w:rsid w:val="009250D0"/>
    <w:pPr>
      <w:spacing w:after="0" w:line="240" w:lineRule="auto"/>
    </w:pPr>
    <w:rPr>
      <w:rFonts w:ascii="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9250D0"/>
    <w:rPr>
      <w:color w:val="0000FF"/>
      <w:u w:val="single"/>
    </w:rPr>
  </w:style>
  <w:style w:type="character" w:styleId="aa">
    <w:name w:val="FollowedHyperlink"/>
    <w:uiPriority w:val="99"/>
    <w:semiHidden/>
    <w:unhideWhenUsed/>
    <w:rsid w:val="009250D0"/>
    <w:rPr>
      <w:color w:val="800080"/>
      <w:u w:val="single"/>
    </w:rPr>
  </w:style>
  <w:style w:type="character" w:styleId="ab">
    <w:name w:val="annotation reference"/>
    <w:uiPriority w:val="99"/>
    <w:semiHidden/>
    <w:unhideWhenUsed/>
    <w:rsid w:val="009250D0"/>
    <w:rPr>
      <w:sz w:val="16"/>
      <w:szCs w:val="16"/>
    </w:rPr>
  </w:style>
  <w:style w:type="paragraph" w:styleId="ac">
    <w:name w:val="annotation text"/>
    <w:basedOn w:val="a"/>
    <w:link w:val="ad"/>
    <w:uiPriority w:val="99"/>
    <w:semiHidden/>
    <w:unhideWhenUsed/>
    <w:rsid w:val="009250D0"/>
    <w:rPr>
      <w:sz w:val="20"/>
      <w:szCs w:val="20"/>
      <w:lang w:val="x-none" w:eastAsia="x-none"/>
    </w:rPr>
  </w:style>
  <w:style w:type="character" w:customStyle="1" w:styleId="ad">
    <w:name w:val="批注文字 字符"/>
    <w:basedOn w:val="a0"/>
    <w:link w:val="ac"/>
    <w:uiPriority w:val="99"/>
    <w:semiHidden/>
    <w:rsid w:val="009250D0"/>
    <w:rPr>
      <w:rFonts w:ascii="Calibri" w:eastAsia="Calibri" w:hAnsi="Calibri" w:cs="Times New Roman"/>
      <w:sz w:val="20"/>
      <w:szCs w:val="20"/>
      <w:lang w:val="x-none" w:eastAsia="x-none"/>
    </w:rPr>
  </w:style>
  <w:style w:type="paragraph" w:styleId="ae">
    <w:name w:val="annotation subject"/>
    <w:basedOn w:val="ac"/>
    <w:next w:val="ac"/>
    <w:link w:val="af"/>
    <w:uiPriority w:val="99"/>
    <w:semiHidden/>
    <w:unhideWhenUsed/>
    <w:rsid w:val="009250D0"/>
    <w:rPr>
      <w:b/>
      <w:bCs/>
    </w:rPr>
  </w:style>
  <w:style w:type="character" w:customStyle="1" w:styleId="af">
    <w:name w:val="批注主题 字符"/>
    <w:basedOn w:val="ad"/>
    <w:link w:val="ae"/>
    <w:uiPriority w:val="99"/>
    <w:semiHidden/>
    <w:rsid w:val="009250D0"/>
    <w:rPr>
      <w:rFonts w:ascii="Calibri" w:eastAsia="Calibri" w:hAnsi="Calibri" w:cs="Times New Roman"/>
      <w:b/>
      <w:bCs/>
      <w:sz w:val="20"/>
      <w:szCs w:val="20"/>
      <w:lang w:val="x-none" w:eastAsia="x-none"/>
    </w:rPr>
  </w:style>
  <w:style w:type="paragraph" w:styleId="af0">
    <w:name w:val="Balloon Text"/>
    <w:basedOn w:val="a"/>
    <w:link w:val="af1"/>
    <w:uiPriority w:val="99"/>
    <w:semiHidden/>
    <w:unhideWhenUsed/>
    <w:rsid w:val="009250D0"/>
    <w:pPr>
      <w:spacing w:after="0" w:line="240" w:lineRule="auto"/>
    </w:pPr>
    <w:rPr>
      <w:rFonts w:ascii="Segoe UI" w:hAnsi="Segoe UI"/>
      <w:sz w:val="18"/>
      <w:szCs w:val="18"/>
      <w:lang w:val="x-none" w:eastAsia="x-none"/>
    </w:rPr>
  </w:style>
  <w:style w:type="character" w:customStyle="1" w:styleId="af1">
    <w:name w:val="批注框文本 字符"/>
    <w:basedOn w:val="a0"/>
    <w:link w:val="af0"/>
    <w:uiPriority w:val="99"/>
    <w:semiHidden/>
    <w:rsid w:val="009250D0"/>
    <w:rPr>
      <w:rFonts w:ascii="Segoe UI" w:eastAsia="Calibri" w:hAnsi="Segoe UI" w:cs="Times New Roman"/>
      <w:sz w:val="18"/>
      <w:szCs w:val="18"/>
      <w:lang w:val="x-none" w:eastAsia="x-none"/>
    </w:rPr>
  </w:style>
  <w:style w:type="character" w:customStyle="1" w:styleId="highlight">
    <w:name w:val="highlight"/>
    <w:basedOn w:val="a0"/>
    <w:rsid w:val="009250D0"/>
  </w:style>
  <w:style w:type="paragraph" w:styleId="af2">
    <w:name w:val="Document Map"/>
    <w:basedOn w:val="a"/>
    <w:link w:val="af3"/>
    <w:uiPriority w:val="99"/>
    <w:semiHidden/>
    <w:unhideWhenUsed/>
    <w:rsid w:val="009250D0"/>
    <w:rPr>
      <w:rFonts w:ascii="Tahoma" w:hAnsi="Tahoma" w:cs="Tahoma"/>
      <w:sz w:val="16"/>
      <w:szCs w:val="16"/>
    </w:rPr>
  </w:style>
  <w:style w:type="character" w:customStyle="1" w:styleId="af3">
    <w:name w:val="文档结构图 字符"/>
    <w:basedOn w:val="a0"/>
    <w:link w:val="af2"/>
    <w:uiPriority w:val="99"/>
    <w:semiHidden/>
    <w:rsid w:val="009250D0"/>
    <w:rPr>
      <w:rFonts w:ascii="Tahoma" w:eastAsia="Calibri" w:hAnsi="Tahoma" w:cs="Tahoma"/>
      <w:sz w:val="16"/>
      <w:szCs w:val="16"/>
    </w:rPr>
  </w:style>
  <w:style w:type="character" w:customStyle="1" w:styleId="jlqj4b">
    <w:name w:val="jlqj4b"/>
    <w:basedOn w:val="a0"/>
    <w:rsid w:val="002318A3"/>
  </w:style>
  <w:style w:type="character" w:customStyle="1" w:styleId="viiyi">
    <w:name w:val="viiyi"/>
    <w:basedOn w:val="a0"/>
    <w:rsid w:val="00E9376F"/>
  </w:style>
  <w:style w:type="character" w:customStyle="1" w:styleId="kgnlhe">
    <w:name w:val="kgnlhe"/>
    <w:basedOn w:val="a0"/>
    <w:rsid w:val="00676128"/>
  </w:style>
  <w:style w:type="paragraph" w:styleId="af4">
    <w:name w:val="Revision"/>
    <w:hidden/>
    <w:uiPriority w:val="99"/>
    <w:semiHidden/>
    <w:rsid w:val="008D08A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sites3/documents/439/nsf%20for%20older%20people%20-%20medicines%20and%20older%20peop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naresog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ecd.org/health/health-systems/AMR-Policy-Insights%20November2016.pdf" TargetMode="External"/><Relationship Id="rId4" Type="http://schemas.openxmlformats.org/officeDocument/2006/relationships/webSettings" Target="webSettings.xml"/><Relationship Id="rId9" Type="http://schemas.openxmlformats.org/officeDocument/2006/relationships/hyperlink" Target="https://titck.gov.tr/storage/Archive/2019/news/ffebd110-9c02-4283-b8b6-653c8d082e18.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3576</Words>
  <Characters>20387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dell</cp:lastModifiedBy>
  <cp:revision>3</cp:revision>
  <dcterms:created xsi:type="dcterms:W3CDTF">2021-12-31T13:20:00Z</dcterms:created>
  <dcterms:modified xsi:type="dcterms:W3CDTF">2022-01-04T01:35:00Z</dcterms:modified>
</cp:coreProperties>
</file>