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0A91" w14:textId="07D2D480" w:rsidR="0021728A" w:rsidRDefault="002F3953"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Therapeutic</w:t>
      </w:r>
      <w:r w:rsidR="00132ECA">
        <w:rPr>
          <w:rFonts w:asciiTheme="majorBidi" w:hAnsiTheme="majorBidi" w:cstheme="majorBidi"/>
          <w:b/>
          <w:bCs/>
          <w:sz w:val="30"/>
          <w:szCs w:val="30"/>
        </w:rPr>
        <w:t xml:space="preserve"> Brief</w:t>
      </w:r>
    </w:p>
    <w:p w14:paraId="0F6B49ED" w14:textId="49BC6299" w:rsidR="00DE0176" w:rsidRPr="00FB3AAB" w:rsidRDefault="0021728A"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C3014D">
        <w:rPr>
          <w:rFonts w:asciiTheme="majorBidi" w:hAnsiTheme="majorBidi" w:cstheme="majorBidi"/>
          <w:b/>
          <w:bCs/>
          <w:sz w:val="30"/>
          <w:szCs w:val="30"/>
        </w:rPr>
        <w:t xml:space="preserve">Difference in </w:t>
      </w:r>
      <w:r w:rsidR="008B5E04">
        <w:rPr>
          <w:rFonts w:asciiTheme="majorBidi" w:hAnsiTheme="majorBidi" w:cstheme="majorBidi"/>
          <w:b/>
          <w:bCs/>
          <w:sz w:val="30"/>
          <w:szCs w:val="30"/>
        </w:rPr>
        <w:t xml:space="preserve">the </w:t>
      </w:r>
      <w:r w:rsidR="00C3014D">
        <w:rPr>
          <w:rFonts w:asciiTheme="majorBidi" w:hAnsiTheme="majorBidi" w:cstheme="majorBidi"/>
          <w:b/>
          <w:bCs/>
          <w:sz w:val="30"/>
          <w:szCs w:val="30"/>
        </w:rPr>
        <w:t xml:space="preserve">effectiveness of </w:t>
      </w:r>
      <w:r w:rsidR="009A750D" w:rsidRPr="00FB3AAB">
        <w:rPr>
          <w:rFonts w:asciiTheme="majorBidi" w:hAnsiTheme="majorBidi" w:cstheme="majorBidi"/>
          <w:b/>
          <w:bCs/>
          <w:sz w:val="30"/>
          <w:szCs w:val="30"/>
        </w:rPr>
        <w:t>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w:t>
      </w:r>
    </w:p>
    <w:p w14:paraId="21FFB622" w14:textId="77777777" w:rsidR="00DE0176" w:rsidRPr="008F60CC" w:rsidRDefault="00DE0176" w:rsidP="00AD5452">
      <w:pPr>
        <w:bidi w:val="0"/>
        <w:spacing w:line="24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14:paraId="69FAF032" w14:textId="7E992E30" w:rsidR="00E96811" w:rsidRPr="008F60CC" w:rsidRDefault="002F3953" w:rsidP="00AD5452">
      <w:pPr>
        <w:spacing w:line="240" w:lineRule="auto"/>
        <w:jc w:val="right"/>
        <w:rPr>
          <w:rFonts w:asciiTheme="majorBidi" w:hAnsiTheme="majorBidi" w:cstheme="majorBidi"/>
        </w:rPr>
      </w:pPr>
      <w:r>
        <w:rPr>
          <w:rFonts w:asciiTheme="majorBidi" w:hAnsiTheme="majorBidi" w:cstheme="majorBidi"/>
        </w:rPr>
        <w:t>ORCHID</w:t>
      </w:r>
      <w:r w:rsidR="00E96811" w:rsidRPr="008F60CC">
        <w:rPr>
          <w:rFonts w:asciiTheme="majorBidi" w:hAnsiTheme="majorBidi" w:cstheme="majorBidi"/>
        </w:rPr>
        <w:t>: 0000-0002-4340-2830</w:t>
      </w:r>
    </w:p>
    <w:p w14:paraId="5ADD90B2"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Phone: +989188811447 - +98 44 3223 4897</w:t>
      </w:r>
    </w:p>
    <w:p w14:paraId="0104D10A"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Fax: +98 44 322 290 59</w:t>
      </w:r>
    </w:p>
    <w:p w14:paraId="30D40DFA"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Postal code: 571478334</w:t>
      </w:r>
    </w:p>
    <w:p w14:paraId="52290324" w14:textId="08272D55" w:rsidR="00E96811" w:rsidRPr="008F60CC" w:rsidRDefault="00E96811" w:rsidP="00AD5452">
      <w:pPr>
        <w:bidi w:val="0"/>
        <w:spacing w:line="240" w:lineRule="auto"/>
        <w:jc w:val="both"/>
        <w:rPr>
          <w:rFonts w:asciiTheme="majorBidi" w:hAnsiTheme="majorBidi" w:cstheme="majorBidi"/>
        </w:rPr>
      </w:pPr>
      <w:r w:rsidRPr="008F60CC">
        <w:rPr>
          <w:rFonts w:asciiTheme="majorBidi" w:hAnsiTheme="majorBidi" w:cstheme="majorBidi"/>
        </w:rPr>
        <w:t xml:space="preserve">Email: </w:t>
      </w:r>
      <w:hyperlink r:id="rId7" w:history="1">
        <w:r w:rsidR="00CA7974" w:rsidRPr="008F60CC">
          <w:rPr>
            <w:rStyle w:val="a3"/>
            <w:rFonts w:asciiTheme="majorBidi" w:hAnsiTheme="majorBidi" w:cstheme="majorBidi"/>
          </w:rPr>
          <w:t>hushyarazari@hotmail.com</w:t>
        </w:r>
      </w:hyperlink>
    </w:p>
    <w:p w14:paraId="0A6A60D3" w14:textId="0C0DE29E" w:rsidR="00CA7974" w:rsidRPr="008F60CC" w:rsidRDefault="00CA7974" w:rsidP="00AD5452">
      <w:pPr>
        <w:bidi w:val="0"/>
        <w:spacing w:line="24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Urmia, Iran (Postal Code:571478334)</w:t>
      </w:r>
    </w:p>
    <w:p w14:paraId="2E112744" w14:textId="77777777" w:rsidR="00E96811" w:rsidRDefault="00E96811" w:rsidP="00AD5452">
      <w:pPr>
        <w:bidi w:val="0"/>
        <w:spacing w:line="240" w:lineRule="auto"/>
        <w:rPr>
          <w:rFonts w:asciiTheme="majorBidi" w:hAnsiTheme="majorBidi" w:cstheme="majorBidi"/>
          <w:b/>
          <w:bCs/>
        </w:rPr>
      </w:pPr>
    </w:p>
    <w:p w14:paraId="2BF395DB" w14:textId="78582F56" w:rsidR="00434918" w:rsidRPr="000D0071" w:rsidRDefault="001E17AC" w:rsidP="002F3953">
      <w:pPr>
        <w:bidi w:val="0"/>
        <w:spacing w:line="240" w:lineRule="auto"/>
        <w:jc w:val="both"/>
        <w:rPr>
          <w:rFonts w:asciiTheme="majorBidi" w:hAnsiTheme="majorBidi" w:cstheme="majorBidi"/>
          <w:b/>
          <w:bCs/>
          <w:sz w:val="24"/>
          <w:szCs w:val="24"/>
        </w:rPr>
      </w:pPr>
      <w:r w:rsidRPr="000D0071">
        <w:rPr>
          <w:rFonts w:asciiTheme="majorBidi" w:hAnsiTheme="majorBidi" w:cstheme="majorBidi"/>
          <w:b/>
          <w:bCs/>
          <w:sz w:val="24"/>
          <w:szCs w:val="24"/>
        </w:rPr>
        <w:t>Abstract</w:t>
      </w:r>
    </w:p>
    <w:p w14:paraId="3AC8C37B" w14:textId="4BFBF275" w:rsidR="00E47C13" w:rsidRPr="000D0071" w:rsidRDefault="00AC2D4D"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Deep brain stimulation (DBS) is </w:t>
      </w:r>
      <w:r w:rsidR="00284603" w:rsidRPr="000D0071">
        <w:rPr>
          <w:rFonts w:asciiTheme="majorBidi" w:hAnsiTheme="majorBidi" w:cstheme="majorBidi"/>
          <w:sz w:val="24"/>
          <w:szCs w:val="24"/>
        </w:rPr>
        <w:t>considered</w:t>
      </w:r>
      <w:r w:rsidRPr="000D0071">
        <w:rPr>
          <w:rFonts w:asciiTheme="majorBidi" w:hAnsiTheme="majorBidi" w:cstheme="majorBidi"/>
          <w:sz w:val="24"/>
          <w:szCs w:val="24"/>
        </w:rPr>
        <w:t xml:space="preserve"> a viable therapeutic </w:t>
      </w:r>
      <w:r w:rsidR="00284603" w:rsidRPr="000D0071">
        <w:rPr>
          <w:rFonts w:asciiTheme="majorBidi" w:hAnsiTheme="majorBidi" w:cstheme="majorBidi"/>
          <w:sz w:val="24"/>
          <w:szCs w:val="24"/>
        </w:rPr>
        <w:t>strategy</w:t>
      </w:r>
      <w:r w:rsidRPr="000D0071">
        <w:rPr>
          <w:rFonts w:asciiTheme="majorBidi" w:hAnsiTheme="majorBidi" w:cstheme="majorBidi"/>
          <w:sz w:val="24"/>
          <w:szCs w:val="24"/>
        </w:rPr>
        <w:t xml:space="preserve"> for</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Parkinson's disease (PD). </w:t>
      </w:r>
      <w:r w:rsidR="002F3953">
        <w:rPr>
          <w:rFonts w:asciiTheme="majorBidi" w:hAnsiTheme="majorBidi" w:cstheme="majorBidi"/>
          <w:sz w:val="24"/>
          <w:szCs w:val="24"/>
        </w:rPr>
        <w:t>The subthalamic</w:t>
      </w:r>
      <w:r w:rsidRPr="000D0071">
        <w:rPr>
          <w:rFonts w:asciiTheme="majorBidi" w:hAnsiTheme="majorBidi" w:cstheme="majorBidi"/>
          <w:sz w:val="24"/>
          <w:szCs w:val="24"/>
        </w:rPr>
        <w:t xml:space="preserve"> nucleus</w:t>
      </w:r>
      <w:r w:rsidR="00EA589A" w:rsidRPr="000D0071">
        <w:rPr>
          <w:rFonts w:asciiTheme="majorBidi" w:hAnsiTheme="majorBidi" w:cstheme="majorBidi"/>
          <w:sz w:val="24"/>
          <w:szCs w:val="24"/>
        </w:rPr>
        <w:t xml:space="preserve"> </w:t>
      </w:r>
      <w:r w:rsidRPr="000D0071">
        <w:rPr>
          <w:rFonts w:asciiTheme="majorBidi" w:hAnsiTheme="majorBidi" w:cs="Times New Roman"/>
          <w:sz w:val="24"/>
          <w:szCs w:val="24"/>
        </w:rPr>
        <w:t>(</w:t>
      </w:r>
      <w:r w:rsidR="00284603" w:rsidRPr="000D0071">
        <w:rPr>
          <w:rFonts w:asciiTheme="majorBidi" w:hAnsiTheme="majorBidi" w:cstheme="majorBidi"/>
          <w:sz w:val="24"/>
          <w:szCs w:val="24"/>
        </w:rPr>
        <w:t>STN) and globus pallidus (GPi)</w:t>
      </w:r>
      <w:r w:rsidR="00284603" w:rsidRPr="000D0071">
        <w:rPr>
          <w:rFonts w:asciiTheme="majorBidi" w:hAnsiTheme="majorBidi" w:cs="Times New Roman"/>
          <w:sz w:val="24"/>
          <w:szCs w:val="24"/>
        </w:rPr>
        <w:t xml:space="preserve"> </w:t>
      </w:r>
      <w:r w:rsidR="00284603" w:rsidRPr="000D0071">
        <w:rPr>
          <w:rFonts w:asciiTheme="majorBidi" w:hAnsiTheme="majorBidi" w:cstheme="majorBidi"/>
          <w:sz w:val="24"/>
          <w:szCs w:val="24"/>
        </w:rPr>
        <w:t xml:space="preserve">are the two most common sites for DBS. </w:t>
      </w:r>
      <w:r w:rsidRPr="000D0071">
        <w:rPr>
          <w:rFonts w:asciiTheme="majorBidi" w:hAnsiTheme="majorBidi" w:cstheme="majorBidi"/>
          <w:sz w:val="24"/>
          <w:szCs w:val="24"/>
        </w:rPr>
        <w:t xml:space="preserve">Studies </w:t>
      </w:r>
      <w:r w:rsidR="002F3953">
        <w:rPr>
          <w:rFonts w:asciiTheme="majorBidi" w:hAnsiTheme="majorBidi" w:cstheme="majorBidi"/>
          <w:sz w:val="24"/>
          <w:szCs w:val="24"/>
        </w:rPr>
        <w:t>that</w:t>
      </w:r>
      <w:r w:rsidRPr="000D0071">
        <w:rPr>
          <w:rFonts w:asciiTheme="majorBidi" w:hAnsiTheme="majorBidi" w:cstheme="majorBidi"/>
          <w:sz w:val="24"/>
          <w:szCs w:val="24"/>
        </w:rPr>
        <w:t xml:space="preserve"> evaluated the Unified Parkinson's Disease Rating Scale (UPDRS) III were</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selected </w:t>
      </w:r>
      <w:r w:rsidR="00B8268A" w:rsidRPr="000D0071">
        <w:rPr>
          <w:rFonts w:asciiTheme="majorBidi" w:hAnsiTheme="majorBidi" w:cstheme="majorBidi"/>
          <w:sz w:val="24"/>
          <w:szCs w:val="24"/>
        </w:rPr>
        <w:t>if they</w:t>
      </w:r>
      <w:r w:rsidR="002F3953">
        <w:rPr>
          <w:rFonts w:asciiTheme="majorBidi" w:hAnsiTheme="majorBidi" w:cstheme="majorBidi"/>
          <w:sz w:val="24"/>
          <w:szCs w:val="24"/>
        </w:rPr>
        <w:t xml:space="preserve"> </w:t>
      </w:r>
      <w:r w:rsidRPr="000D0071">
        <w:rPr>
          <w:rFonts w:asciiTheme="majorBidi" w:hAnsiTheme="majorBidi" w:cstheme="majorBidi"/>
          <w:sz w:val="24"/>
          <w:szCs w:val="24"/>
        </w:rPr>
        <w:t>me</w:t>
      </w:r>
      <w:r w:rsidR="00B8268A" w:rsidRPr="000D0071">
        <w:rPr>
          <w:rFonts w:asciiTheme="majorBidi" w:hAnsiTheme="majorBidi" w:cstheme="majorBidi"/>
          <w:sz w:val="24"/>
          <w:szCs w:val="24"/>
        </w:rPr>
        <w:t>t</w:t>
      </w:r>
      <w:r w:rsidRPr="000D0071">
        <w:rPr>
          <w:rFonts w:asciiTheme="majorBidi" w:hAnsiTheme="majorBidi" w:cstheme="majorBidi"/>
          <w:sz w:val="24"/>
          <w:szCs w:val="24"/>
        </w:rPr>
        <w:t xml:space="preserve"> the following criteria: (1) had at least three months </w:t>
      </w:r>
      <w:r w:rsidR="002F3953">
        <w:rPr>
          <w:rFonts w:asciiTheme="majorBidi" w:hAnsiTheme="majorBidi" w:cstheme="majorBidi"/>
          <w:sz w:val="24"/>
          <w:szCs w:val="24"/>
        </w:rPr>
        <w:t xml:space="preserve">of </w:t>
      </w:r>
      <w:r w:rsidRPr="000D0071">
        <w:rPr>
          <w:rFonts w:asciiTheme="majorBidi" w:hAnsiTheme="majorBidi" w:cstheme="majorBidi"/>
          <w:sz w:val="24"/>
          <w:szCs w:val="24"/>
        </w:rPr>
        <w:t xml:space="preserve">follow-up </w:t>
      </w:r>
      <w:r w:rsidR="002F3953">
        <w:rPr>
          <w:rFonts w:asciiTheme="majorBidi" w:hAnsiTheme="majorBidi" w:cstheme="majorBidi"/>
          <w:sz w:val="24"/>
          <w:szCs w:val="24"/>
        </w:rPr>
        <w:t>periods</w:t>
      </w:r>
      <w:r w:rsidRPr="000D0071">
        <w:rPr>
          <w:rFonts w:asciiTheme="majorBidi" w:hAnsiTheme="majorBidi" w:cstheme="majorBidi"/>
          <w:sz w:val="24"/>
          <w:szCs w:val="24"/>
        </w:rPr>
        <w:t>; (2</w:t>
      </w:r>
      <w:r w:rsidRPr="000D0071">
        <w:rPr>
          <w:rFonts w:asciiTheme="majorBidi" w:hAnsiTheme="majorBidi" w:cs="Times New Roman"/>
          <w:sz w:val="24"/>
          <w:szCs w:val="24"/>
        </w:rPr>
        <w:t>)</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compared both GPi and STN DBS; (</w:t>
      </w:r>
      <w:proofErr w:type="gramStart"/>
      <w:r w:rsidRPr="000D0071">
        <w:rPr>
          <w:rFonts w:asciiTheme="majorBidi" w:hAnsiTheme="majorBidi" w:cstheme="majorBidi"/>
          <w:sz w:val="24"/>
          <w:szCs w:val="24"/>
        </w:rPr>
        <w:t>3)</w:t>
      </w:r>
      <w:r w:rsidR="00B8268A" w:rsidRPr="000D0071">
        <w:rPr>
          <w:rFonts w:asciiTheme="majorBidi" w:hAnsiTheme="majorBidi" w:cstheme="majorBidi"/>
          <w:sz w:val="24"/>
          <w:szCs w:val="24"/>
        </w:rPr>
        <w:t>had</w:t>
      </w:r>
      <w:proofErr w:type="gramEnd"/>
      <w:r w:rsidR="00B8268A" w:rsidRPr="000D0071">
        <w:rPr>
          <w:rFonts w:asciiTheme="majorBidi" w:hAnsiTheme="majorBidi" w:cstheme="majorBidi"/>
          <w:sz w:val="24"/>
          <w:szCs w:val="24"/>
        </w:rPr>
        <w:t xml:space="preserve"> </w:t>
      </w:r>
      <w:r w:rsidRPr="000D0071">
        <w:rPr>
          <w:rFonts w:asciiTheme="majorBidi" w:hAnsiTheme="majorBidi" w:cstheme="majorBidi"/>
          <w:sz w:val="24"/>
          <w:szCs w:val="24"/>
        </w:rPr>
        <w:t>at least five participants in each group; (4)</w:t>
      </w:r>
      <w:r w:rsidR="00B8268A" w:rsidRPr="000D0071">
        <w:rPr>
          <w:rFonts w:asciiTheme="majorBidi" w:hAnsiTheme="majorBidi" w:cstheme="majorBidi"/>
          <w:sz w:val="24"/>
          <w:szCs w:val="24"/>
        </w:rPr>
        <w:t xml:space="preserve">were </w:t>
      </w:r>
      <w:r w:rsidRPr="000D0071">
        <w:rPr>
          <w:rFonts w:asciiTheme="majorBidi" w:hAnsiTheme="majorBidi" w:cstheme="majorBidi"/>
          <w:sz w:val="24"/>
          <w:szCs w:val="24"/>
        </w:rPr>
        <w:t>conducted</w:t>
      </w:r>
      <w:r w:rsidR="00EA589A" w:rsidRPr="000D0071">
        <w:rPr>
          <w:rFonts w:asciiTheme="majorBidi" w:hAnsiTheme="majorBidi" w:cstheme="majorBidi"/>
          <w:sz w:val="24"/>
          <w:szCs w:val="24"/>
        </w:rPr>
        <w:t xml:space="preserve"> </w:t>
      </w:r>
      <w:r w:rsidR="009B4DA1" w:rsidRPr="000D0071">
        <w:rPr>
          <w:rFonts w:asciiTheme="majorBidi" w:hAnsiTheme="majorBidi" w:cstheme="majorBidi"/>
          <w:sz w:val="24"/>
          <w:szCs w:val="24"/>
        </w:rPr>
        <w:t>after 2010</w:t>
      </w:r>
      <w:r w:rsidRPr="000D0071">
        <w:rPr>
          <w:rFonts w:asciiTheme="majorBidi" w:hAnsiTheme="majorBidi" w:cstheme="majorBidi"/>
          <w:sz w:val="24"/>
          <w:szCs w:val="24"/>
        </w:rPr>
        <w:t xml:space="preserve">. </w:t>
      </w:r>
      <w:r w:rsidR="002F3953">
        <w:rPr>
          <w:rFonts w:asciiTheme="majorBidi" w:hAnsiTheme="majorBidi" w:cstheme="majorBidi"/>
          <w:sz w:val="24"/>
          <w:szCs w:val="24"/>
        </w:rPr>
        <w:t>The majority</w:t>
      </w:r>
      <w:r w:rsidRPr="000D0071">
        <w:rPr>
          <w:rFonts w:asciiTheme="majorBidi" w:hAnsiTheme="majorBidi" w:cstheme="majorBidi"/>
          <w:sz w:val="24"/>
          <w:szCs w:val="24"/>
        </w:rPr>
        <w:t xml:space="preserve"> of studies reported no statistically</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significant between-group difference for improvements in UPDRS ш scores.</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Although there were some</w:t>
      </w:r>
      <w:r w:rsidR="009B4DA1" w:rsidRPr="000D0071">
        <w:rPr>
          <w:rFonts w:asciiTheme="majorBidi" w:hAnsiTheme="majorBidi" w:cstheme="majorBidi"/>
          <w:sz w:val="24"/>
          <w:szCs w:val="24"/>
        </w:rPr>
        <w:t xml:space="preserve"> promising</w:t>
      </w:r>
      <w:r w:rsidR="00E47C13" w:rsidRPr="000D0071">
        <w:rPr>
          <w:rFonts w:asciiTheme="majorBidi" w:hAnsiTheme="majorBidi" w:cstheme="majorBidi"/>
          <w:sz w:val="24"/>
          <w:szCs w:val="24"/>
        </w:rPr>
        <w:t xml:space="preserve"> results </w:t>
      </w:r>
      <w:r w:rsidR="00B8268A" w:rsidRPr="000D0071">
        <w:rPr>
          <w:rFonts w:asciiTheme="majorBidi" w:hAnsiTheme="majorBidi" w:cstheme="majorBidi"/>
          <w:sz w:val="24"/>
          <w:szCs w:val="24"/>
        </w:rPr>
        <w:t>regarding</w:t>
      </w:r>
      <w:r w:rsidR="00E47C13" w:rsidRPr="000D0071">
        <w:rPr>
          <w:rFonts w:asciiTheme="majorBidi" w:hAnsiTheme="majorBidi" w:cstheme="majorBidi"/>
          <w:sz w:val="24"/>
          <w:szCs w:val="24"/>
        </w:rPr>
        <w:t xml:space="preserve"> action tremor, rigidity, and</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urinary symptoms, which indicated that STN</w:t>
      </w:r>
      <w:r w:rsidR="00B8268A" w:rsidRPr="000D0071">
        <w:rPr>
          <w:rFonts w:asciiTheme="majorBidi" w:hAnsiTheme="majorBidi" w:cstheme="majorBidi"/>
          <w:sz w:val="24"/>
          <w:szCs w:val="24"/>
        </w:rPr>
        <w:t xml:space="preserve"> DBS might be a better choice; </w:t>
      </w:r>
      <w:r w:rsidR="002F3953">
        <w:rPr>
          <w:rFonts w:asciiTheme="majorBidi" w:hAnsiTheme="majorBidi" w:cstheme="majorBidi"/>
          <w:sz w:val="24"/>
          <w:szCs w:val="24"/>
        </w:rPr>
        <w:t>however</w:t>
      </w:r>
      <w:r w:rsidR="00B8268A" w:rsidRPr="000D0071">
        <w:rPr>
          <w:rFonts w:asciiTheme="majorBidi" w:hAnsiTheme="majorBidi" w:cstheme="majorBidi"/>
          <w:sz w:val="24"/>
          <w:szCs w:val="24"/>
        </w:rPr>
        <w:t>,</w:t>
      </w:r>
      <w:r w:rsidR="00E47C13" w:rsidRPr="000D0071">
        <w:rPr>
          <w:rFonts w:asciiTheme="majorBidi" w:hAnsiTheme="majorBidi" w:cstheme="majorBidi"/>
          <w:sz w:val="24"/>
          <w:szCs w:val="24"/>
        </w:rPr>
        <w:t xml:space="preserve"> regarding the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adverse effects, GPi seemed better; but it cannot be concluded that one target is superior</w:t>
      </w:r>
      <w:r w:rsidR="00E47C13" w:rsidRPr="000D0071">
        <w:rPr>
          <w:rFonts w:asciiTheme="majorBidi" w:hAnsiTheme="majorBidi" w:cs="Times New Roman"/>
          <w:sz w:val="24"/>
          <w:szCs w:val="24"/>
          <w:rtl/>
        </w:rPr>
        <w:t>.</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Other larger randomized clinical trials with longer follow-up periods and control groups are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needed to decide which target is more efficient for stimulation and imposes fewer adverse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effects on the patients.</w:t>
      </w:r>
    </w:p>
    <w:p w14:paraId="4300261E" w14:textId="77777777" w:rsidR="004156D0" w:rsidRPr="000D0071" w:rsidRDefault="004156D0" w:rsidP="00AD5452">
      <w:pPr>
        <w:bidi w:val="0"/>
        <w:spacing w:line="240" w:lineRule="auto"/>
        <w:jc w:val="both"/>
        <w:rPr>
          <w:rFonts w:asciiTheme="majorBidi" w:hAnsiTheme="majorBidi" w:cstheme="majorBidi"/>
          <w:sz w:val="24"/>
          <w:szCs w:val="24"/>
        </w:rPr>
      </w:pPr>
      <w:r w:rsidRPr="000D0071">
        <w:rPr>
          <w:rFonts w:asciiTheme="majorBidi" w:hAnsiTheme="majorBidi" w:cstheme="majorBidi"/>
          <w:b/>
          <w:bCs/>
          <w:sz w:val="24"/>
          <w:szCs w:val="24"/>
        </w:rPr>
        <w:t>Keywords:</w:t>
      </w:r>
      <w:r w:rsidRPr="000D0071">
        <w:rPr>
          <w:rFonts w:asciiTheme="majorBidi" w:hAnsiTheme="majorBidi" w:cstheme="majorBidi"/>
          <w:sz w:val="24"/>
          <w:szCs w:val="24"/>
        </w:rPr>
        <w:t xml:space="preserve"> deep brain stimulation, globus pallidus, Parkinson</w:t>
      </w:r>
      <w:r w:rsidR="00F564E3" w:rsidRPr="000D0071">
        <w:rPr>
          <w:rFonts w:asciiTheme="majorBidi" w:hAnsiTheme="majorBidi" w:cstheme="majorBidi"/>
          <w:sz w:val="24"/>
          <w:szCs w:val="24"/>
        </w:rPr>
        <w:t>'</w:t>
      </w:r>
      <w:r w:rsidRPr="000D0071">
        <w:rPr>
          <w:rFonts w:asciiTheme="majorBidi" w:hAnsiTheme="majorBidi" w:cstheme="majorBidi"/>
          <w:sz w:val="24"/>
          <w:szCs w:val="24"/>
        </w:rPr>
        <w:t>s disease</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subthalamic nucleus</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UPDRS</w:t>
      </w:r>
    </w:p>
    <w:p w14:paraId="550B0941" w14:textId="77777777" w:rsidR="008B5E04" w:rsidRDefault="008B5E04" w:rsidP="00AD5452">
      <w:pPr>
        <w:bidi w:val="0"/>
        <w:spacing w:line="240" w:lineRule="auto"/>
        <w:jc w:val="both"/>
        <w:rPr>
          <w:rFonts w:asciiTheme="majorBidi" w:hAnsiTheme="majorBidi" w:cstheme="majorBidi"/>
          <w:b/>
          <w:bCs/>
          <w:sz w:val="24"/>
          <w:szCs w:val="24"/>
        </w:rPr>
      </w:pPr>
    </w:p>
    <w:p w14:paraId="77C31DF8" w14:textId="3F986943" w:rsidR="008F60CC" w:rsidRPr="000D0071" w:rsidRDefault="000D0071" w:rsidP="008B5E04">
      <w:pPr>
        <w:bidi w:val="0"/>
        <w:spacing w:line="240" w:lineRule="auto"/>
        <w:jc w:val="both"/>
        <w:rPr>
          <w:rFonts w:asciiTheme="majorBidi" w:hAnsiTheme="majorBidi" w:cstheme="majorBidi"/>
          <w:b/>
          <w:bCs/>
          <w:sz w:val="24"/>
          <w:szCs w:val="24"/>
        </w:rPr>
      </w:pPr>
      <w:r>
        <w:rPr>
          <w:rFonts w:asciiTheme="majorBidi" w:hAnsiTheme="majorBidi" w:cstheme="majorBidi"/>
          <w:b/>
          <w:bCs/>
          <w:sz w:val="24"/>
          <w:szCs w:val="24"/>
        </w:rPr>
        <w:t>Main Text</w:t>
      </w:r>
    </w:p>
    <w:p w14:paraId="1361A177" w14:textId="294568CD" w:rsidR="0047102E" w:rsidRPr="000D0071" w:rsidRDefault="00E47C13"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Parkinson's disease is the most common movem</w:t>
      </w:r>
      <w:r w:rsidR="00A81099" w:rsidRPr="000D0071">
        <w:rPr>
          <w:rFonts w:asciiTheme="majorBidi" w:hAnsiTheme="majorBidi" w:cstheme="majorBidi"/>
          <w:sz w:val="24"/>
          <w:szCs w:val="24"/>
        </w:rPr>
        <w:t xml:space="preserve">ent disorder, the second common </w:t>
      </w:r>
      <w:r w:rsidRPr="000D0071">
        <w:rPr>
          <w:rFonts w:asciiTheme="majorBidi" w:hAnsiTheme="majorBidi" w:cstheme="majorBidi"/>
          <w:sz w:val="24"/>
          <w:szCs w:val="24"/>
        </w:rPr>
        <w:t>progressive, disabling, and neurodegenerative disease, which is</w:t>
      </w:r>
      <w:r w:rsidR="00A81099" w:rsidRPr="000D0071">
        <w:rPr>
          <w:rFonts w:asciiTheme="majorBidi" w:hAnsiTheme="majorBidi" w:cstheme="majorBidi"/>
          <w:sz w:val="24"/>
          <w:szCs w:val="24"/>
        </w:rPr>
        <w:t xml:space="preserve"> expected to be as prevalent as </w:t>
      </w:r>
      <w:r w:rsidRPr="000D0071">
        <w:rPr>
          <w:rFonts w:asciiTheme="majorBidi" w:hAnsiTheme="majorBidi" w:cs="Times New Roman"/>
          <w:sz w:val="24"/>
          <w:szCs w:val="24"/>
          <w:rtl/>
        </w:rPr>
        <w:t>12.9</w:t>
      </w:r>
      <w:r w:rsidR="00134161" w:rsidRPr="000D0071">
        <w:rPr>
          <w:rFonts w:asciiTheme="majorBidi" w:hAnsiTheme="majorBidi" w:cstheme="majorBidi"/>
          <w:sz w:val="24"/>
          <w:szCs w:val="24"/>
        </w:rPr>
        <w:t xml:space="preserve">million cases by 2040 </w: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 </w:instrTex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EN.CITE.DATA </w:instrText>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end"/>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separate"/>
      </w:r>
      <w:r w:rsidR="00134161" w:rsidRPr="000D0071">
        <w:rPr>
          <w:rFonts w:asciiTheme="majorBidi" w:hAnsiTheme="majorBidi" w:cstheme="majorBidi"/>
          <w:noProof/>
          <w:sz w:val="24"/>
          <w:szCs w:val="24"/>
        </w:rPr>
        <w:t>[</w:t>
      </w:r>
      <w:hyperlink w:anchor="_ENREF_1" w:tooltip="Blauwendraat, 2020 #624" w:history="1">
        <w:r w:rsidR="00A9207F" w:rsidRPr="000D0071">
          <w:rPr>
            <w:rFonts w:asciiTheme="majorBidi" w:hAnsiTheme="majorBidi" w:cstheme="majorBidi"/>
            <w:noProof/>
            <w:sz w:val="24"/>
            <w:szCs w:val="24"/>
          </w:rPr>
          <w:t>1-4</w:t>
        </w:r>
      </w:hyperlink>
      <w:r w:rsidR="00134161" w:rsidRPr="000D0071">
        <w:rPr>
          <w:rFonts w:asciiTheme="majorBidi" w:hAnsiTheme="majorBidi" w:cstheme="majorBidi"/>
          <w:noProof/>
          <w:sz w:val="24"/>
          <w:szCs w:val="24"/>
        </w:rPr>
        <w:t>]</w:t>
      </w:r>
      <w:r w:rsidR="00134161" w:rsidRPr="000D0071">
        <w:rPr>
          <w:rFonts w:asciiTheme="majorBidi" w:hAnsiTheme="majorBidi" w:cstheme="majorBidi"/>
          <w:sz w:val="24"/>
          <w:szCs w:val="24"/>
        </w:rPr>
        <w:fldChar w:fldCharType="end"/>
      </w:r>
      <w:r w:rsidR="00474DF5" w:rsidRPr="000D0071">
        <w:rPr>
          <w:rFonts w:asciiTheme="majorBidi" w:hAnsiTheme="majorBidi" w:cstheme="majorBidi"/>
          <w:sz w:val="24"/>
          <w:szCs w:val="24"/>
        </w:rPr>
        <w:t>.</w:t>
      </w:r>
      <w:r w:rsidR="00132ECA" w:rsidRPr="000D0071">
        <w:rPr>
          <w:rFonts w:asciiTheme="majorBidi" w:hAnsiTheme="majorBidi" w:cstheme="majorBidi"/>
          <w:sz w:val="24"/>
          <w:szCs w:val="24"/>
        </w:rPr>
        <w:t xml:space="preserve"> </w:t>
      </w:r>
      <w:r w:rsidRPr="000D0071">
        <w:rPr>
          <w:rFonts w:asciiTheme="majorBidi" w:hAnsiTheme="majorBidi" w:cstheme="majorBidi"/>
          <w:sz w:val="24"/>
          <w:szCs w:val="24"/>
        </w:rPr>
        <w:t>Parkinson's disease is characterized by slow movemen</w:t>
      </w:r>
      <w:r w:rsidR="00474DF5" w:rsidRPr="000D0071">
        <w:rPr>
          <w:rFonts w:asciiTheme="majorBidi" w:hAnsiTheme="majorBidi" w:cstheme="majorBidi"/>
          <w:sz w:val="24"/>
          <w:szCs w:val="24"/>
        </w:rPr>
        <w:t xml:space="preserve">ts, rigidity, and low amplitude </w:t>
      </w:r>
      <w:r w:rsidRPr="000D0071">
        <w:rPr>
          <w:rFonts w:asciiTheme="majorBidi" w:hAnsiTheme="majorBidi" w:cstheme="majorBidi"/>
          <w:sz w:val="24"/>
          <w:szCs w:val="24"/>
        </w:rPr>
        <w:t>movements without the previous automaticity. Levodopa, a dopamine precursor, was develope</w:t>
      </w:r>
      <w:r w:rsidR="00B36A77" w:rsidRPr="000D0071">
        <w:rPr>
          <w:rFonts w:asciiTheme="majorBidi" w:hAnsiTheme="majorBidi" w:cstheme="majorBidi"/>
          <w:sz w:val="24"/>
          <w:szCs w:val="24"/>
        </w:rPr>
        <w:t>d for the first time in 1911</w:t>
      </w:r>
      <w:r w:rsidR="00B36A7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&lt;EndNote&gt;&lt;Cite&gt;&lt;Author&gt;Tambasco&lt;/Author&gt;&lt;Year&gt;2018&lt;/Year&gt;&lt;RecNum&gt;634&lt;/RecNum&gt;&lt;DisplayText&gt;[5]&lt;/DisplayText&gt;&lt;record&gt;&lt;rec-number&gt;634&lt;/rec-number&gt;&lt;foreign-keys&gt;&lt;key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5" w:tooltip="Tambasco, 2018 #634" w:history="1">
        <w:r w:rsidR="00A9207F" w:rsidRPr="000D0071">
          <w:rPr>
            <w:rFonts w:asciiTheme="majorBidi" w:hAnsiTheme="majorBidi" w:cstheme="majorBidi"/>
            <w:noProof/>
            <w:sz w:val="24"/>
            <w:szCs w:val="24"/>
          </w:rPr>
          <w:t>5</w:t>
        </w:r>
      </w:hyperlink>
      <w:r w:rsidR="00A9207F" w:rsidRPr="000D0071">
        <w:rPr>
          <w:rFonts w:asciiTheme="majorBidi" w:hAnsiTheme="majorBidi" w:cstheme="majorBidi"/>
          <w:noProof/>
          <w:sz w:val="24"/>
          <w:szCs w:val="24"/>
        </w:rPr>
        <w:t>]</w:t>
      </w:r>
      <w:r w:rsidR="00B36A77" w:rsidRPr="000D0071">
        <w:rPr>
          <w:rFonts w:asciiTheme="majorBidi" w:hAnsiTheme="majorBidi" w:cstheme="majorBidi"/>
          <w:sz w:val="24"/>
          <w:szCs w:val="24"/>
        </w:rPr>
        <w:fldChar w:fldCharType="end"/>
      </w:r>
      <w:r w:rsidRPr="000D0071">
        <w:rPr>
          <w:rFonts w:asciiTheme="majorBidi" w:hAnsiTheme="majorBidi" w:cstheme="majorBidi"/>
          <w:sz w:val="24"/>
          <w:szCs w:val="24"/>
        </w:rPr>
        <w:t>. It has been used as an efficacious drug for PD</w:t>
      </w:r>
      <w:r w:rsidR="00132ECA" w:rsidRPr="000D0071">
        <w:rPr>
          <w:rFonts w:asciiTheme="majorBidi" w:hAnsiTheme="majorBidi" w:cstheme="majorBidi"/>
          <w:sz w:val="24"/>
          <w:szCs w:val="24"/>
        </w:rPr>
        <w:t xml:space="preserve"> </w:t>
      </w:r>
      <w:r w:rsidRPr="000D0071">
        <w:rPr>
          <w:rFonts w:asciiTheme="majorBidi" w:hAnsiTheme="majorBidi" w:cstheme="majorBidi"/>
          <w:sz w:val="24"/>
          <w:szCs w:val="24"/>
        </w:rPr>
        <w:t>treatment for over 50 years, but it has been shown that its e</w:t>
      </w:r>
      <w:r w:rsidR="008F60CC" w:rsidRPr="000D0071">
        <w:rPr>
          <w:rFonts w:asciiTheme="majorBidi" w:hAnsiTheme="majorBidi" w:cstheme="majorBidi"/>
          <w:sz w:val="24"/>
          <w:szCs w:val="24"/>
        </w:rPr>
        <w:t xml:space="preserve">fficacy declines as the disease </w:t>
      </w:r>
      <w:r w:rsidR="00AF0D47" w:rsidRPr="000D0071">
        <w:rPr>
          <w:rFonts w:asciiTheme="majorBidi" w:hAnsiTheme="majorBidi" w:cstheme="majorBidi"/>
          <w:sz w:val="24"/>
          <w:szCs w:val="24"/>
        </w:rPr>
        <w:t xml:space="preserve">progresses </w:t>
      </w:r>
      <w:r w:rsidR="00AF0D4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&lt;EndNote&gt;&lt;Cite&gt;&lt;Author&gt;de Bie&lt;/Author&gt;&lt;Year&gt;2020&lt;/Year&gt;&lt;RecNum&gt;635&lt;/RecNum&gt;&lt;DisplayText&gt;[6, 7]&lt;/DisplayText&gt;&lt;record&gt;&lt;rec-number&gt;635&lt;/rec-number&gt;&lt;foreign-keys&gt;&lt;key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6" w:tooltip="de Bie, 2020 #635" w:history="1">
        <w:r w:rsidR="00A9207F" w:rsidRPr="000D0071">
          <w:rPr>
            <w:rFonts w:asciiTheme="majorBidi" w:hAnsiTheme="majorBidi" w:cstheme="majorBidi"/>
            <w:noProof/>
            <w:sz w:val="24"/>
            <w:szCs w:val="24"/>
          </w:rPr>
          <w:t>6</w:t>
        </w:r>
      </w:hyperlink>
      <w:r w:rsidR="00A9207F" w:rsidRPr="000D0071">
        <w:rPr>
          <w:rFonts w:asciiTheme="majorBidi" w:hAnsiTheme="majorBidi" w:cstheme="majorBidi"/>
          <w:noProof/>
          <w:sz w:val="24"/>
          <w:szCs w:val="24"/>
        </w:rPr>
        <w:t xml:space="preserve">, </w:t>
      </w:r>
      <w:hyperlink w:anchor="_ENREF_7" w:tooltip="Cushnie-Sparrow, 2018 #636" w:history="1">
        <w:r w:rsidR="00A9207F" w:rsidRPr="000D0071">
          <w:rPr>
            <w:rFonts w:asciiTheme="majorBidi" w:hAnsiTheme="majorBidi" w:cstheme="majorBidi"/>
            <w:noProof/>
            <w:sz w:val="24"/>
            <w:szCs w:val="24"/>
          </w:rPr>
          <w:t>7</w:t>
        </w:r>
      </w:hyperlink>
      <w:r w:rsidR="00A9207F" w:rsidRPr="000D0071">
        <w:rPr>
          <w:rFonts w:asciiTheme="majorBidi" w:hAnsiTheme="majorBidi" w:cstheme="majorBidi"/>
          <w:noProof/>
          <w:sz w:val="24"/>
          <w:szCs w:val="24"/>
        </w:rPr>
        <w:t>]</w:t>
      </w:r>
      <w:r w:rsidR="00AF0D47" w:rsidRPr="000D0071">
        <w:rPr>
          <w:rFonts w:asciiTheme="majorBidi" w:hAnsiTheme="majorBidi" w:cstheme="majorBidi"/>
          <w:sz w:val="24"/>
          <w:szCs w:val="24"/>
        </w:rPr>
        <w:fldChar w:fldCharType="end"/>
      </w:r>
      <w:r w:rsidRPr="000D0071">
        <w:rPr>
          <w:rFonts w:asciiTheme="majorBidi" w:hAnsiTheme="majorBidi" w:cstheme="majorBidi"/>
          <w:sz w:val="24"/>
          <w:szCs w:val="24"/>
        </w:rPr>
        <w:t>. Surgical treatment of movement disorders s</w:t>
      </w:r>
      <w:r w:rsidR="008F60CC" w:rsidRPr="000D0071">
        <w:rPr>
          <w:rFonts w:asciiTheme="majorBidi" w:hAnsiTheme="majorBidi" w:cstheme="majorBidi"/>
          <w:sz w:val="24"/>
          <w:szCs w:val="24"/>
        </w:rPr>
        <w:t xml:space="preserve">tarted in 1987 by targeting the </w:t>
      </w:r>
      <w:r w:rsidRPr="000D0071">
        <w:rPr>
          <w:rFonts w:asciiTheme="majorBidi" w:hAnsiTheme="majorBidi" w:cstheme="majorBidi"/>
          <w:sz w:val="24"/>
          <w:szCs w:val="24"/>
        </w:rPr>
        <w:t xml:space="preserve">ventral intermediate </w:t>
      </w:r>
      <w:r w:rsidR="006B2032" w:rsidRPr="000D0071">
        <w:rPr>
          <w:rFonts w:asciiTheme="majorBidi" w:hAnsiTheme="majorBidi" w:cstheme="majorBidi"/>
          <w:sz w:val="24"/>
          <w:szCs w:val="24"/>
        </w:rPr>
        <w:t xml:space="preserve">nucleus of the thalamus </w:t>
      </w:r>
      <w:r w:rsidR="006B2032"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&lt;EndNote&gt;&lt;Cite&gt;&lt;Author&gt;Chen&lt;/Author&gt;&lt;Year&gt;2020&lt;/Year&gt;&lt;RecNum&gt;637&lt;/RecNum&gt;&lt;DisplayText&gt;[8, 9]&lt;/DisplayText&gt;&lt;record&gt;&lt;rec-number&gt;637&lt;/rec-number&gt;&lt;foreign-keys&gt;&lt;key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Louis&lt;/author&gt;&lt;/authors&gt;&lt;/contributors&gt;&lt;titles&gt;&lt;title&gt;Intraoperative micro</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8" w:tooltip="Chen, 2020 #637" w:history="1">
        <w:r w:rsidR="00A9207F" w:rsidRPr="000D0071">
          <w:rPr>
            <w:rFonts w:asciiTheme="majorBidi" w:hAnsiTheme="majorBidi" w:cstheme="majorBidi"/>
            <w:noProof/>
            <w:sz w:val="24"/>
            <w:szCs w:val="24"/>
          </w:rPr>
          <w:t>8</w:t>
        </w:r>
      </w:hyperlink>
      <w:r w:rsidR="00A9207F" w:rsidRPr="000D0071">
        <w:rPr>
          <w:rFonts w:asciiTheme="majorBidi" w:hAnsiTheme="majorBidi" w:cstheme="majorBidi"/>
          <w:noProof/>
          <w:sz w:val="24"/>
          <w:szCs w:val="24"/>
        </w:rPr>
        <w:t xml:space="preserve">, </w:t>
      </w:r>
      <w:hyperlink w:anchor="_ENREF_9" w:tooltip="Pollak, 2002 #638" w:history="1">
        <w:r w:rsidR="00A9207F" w:rsidRPr="000D0071">
          <w:rPr>
            <w:rFonts w:asciiTheme="majorBidi" w:hAnsiTheme="majorBidi" w:cstheme="majorBidi"/>
            <w:noProof/>
            <w:sz w:val="24"/>
            <w:szCs w:val="24"/>
          </w:rPr>
          <w:t>9</w:t>
        </w:r>
      </w:hyperlink>
      <w:r w:rsidR="00A9207F" w:rsidRPr="000D0071">
        <w:rPr>
          <w:rFonts w:asciiTheme="majorBidi" w:hAnsiTheme="majorBidi" w:cstheme="majorBidi"/>
          <w:noProof/>
          <w:sz w:val="24"/>
          <w:szCs w:val="24"/>
        </w:rPr>
        <w:t>]</w:t>
      </w:r>
      <w:r w:rsidR="006B2032" w:rsidRPr="000D0071">
        <w:rPr>
          <w:rFonts w:asciiTheme="majorBidi" w:hAnsiTheme="majorBidi" w:cstheme="majorBidi"/>
          <w:sz w:val="24"/>
          <w:szCs w:val="24"/>
        </w:rPr>
        <w:fldChar w:fldCharType="end"/>
      </w:r>
      <w:r w:rsidR="008F60CC" w:rsidRPr="000D0071">
        <w:rPr>
          <w:rFonts w:asciiTheme="majorBidi" w:hAnsiTheme="majorBidi" w:cstheme="majorBidi"/>
          <w:sz w:val="24"/>
          <w:szCs w:val="24"/>
        </w:rPr>
        <w:t xml:space="preserve"> by the DBS technique. DBS is a </w:t>
      </w:r>
      <w:r w:rsidRPr="000D0071">
        <w:rPr>
          <w:rFonts w:asciiTheme="majorBidi" w:hAnsiTheme="majorBidi" w:cstheme="majorBidi"/>
          <w:sz w:val="24"/>
          <w:szCs w:val="24"/>
        </w:rPr>
        <w:t>common and effective surgical treatment option that al</w:t>
      </w:r>
      <w:r w:rsidR="008F60CC" w:rsidRPr="000D0071">
        <w:rPr>
          <w:rFonts w:asciiTheme="majorBidi" w:hAnsiTheme="majorBidi" w:cstheme="majorBidi"/>
          <w:sz w:val="24"/>
          <w:szCs w:val="24"/>
        </w:rPr>
        <w:t xml:space="preserve">leviates motor symptoms. It was </w:t>
      </w:r>
      <w:r w:rsidRPr="000D0071">
        <w:rPr>
          <w:rFonts w:asciiTheme="majorBidi" w:hAnsiTheme="majorBidi" w:cstheme="majorBidi"/>
          <w:sz w:val="24"/>
          <w:szCs w:val="24"/>
        </w:rPr>
        <w:t>introduced about three decades ago and is recently performe</w:t>
      </w:r>
      <w:r w:rsidR="008F60CC" w:rsidRPr="000D0071">
        <w:rPr>
          <w:rFonts w:asciiTheme="majorBidi" w:hAnsiTheme="majorBidi" w:cstheme="majorBidi"/>
          <w:sz w:val="24"/>
          <w:szCs w:val="24"/>
        </w:rPr>
        <w:t xml:space="preserve">d on several new targets in the </w:t>
      </w:r>
      <w:r w:rsidRPr="000D0071">
        <w:rPr>
          <w:rFonts w:asciiTheme="majorBidi" w:hAnsiTheme="majorBidi" w:cstheme="majorBidi"/>
          <w:sz w:val="24"/>
          <w:szCs w:val="24"/>
        </w:rPr>
        <w:t xml:space="preserve">brain, including the </w:t>
      </w:r>
      <w:r w:rsidRPr="000D0071">
        <w:rPr>
          <w:rFonts w:asciiTheme="majorBidi" w:hAnsiTheme="majorBidi" w:cstheme="majorBidi"/>
          <w:sz w:val="24"/>
          <w:szCs w:val="24"/>
        </w:rPr>
        <w:lastRenderedPageBreak/>
        <w:t>Subthalamic nucleus (STN) and Globus</w:t>
      </w:r>
      <w:r w:rsidR="00E34988" w:rsidRPr="000D0071">
        <w:rPr>
          <w:rFonts w:asciiTheme="majorBidi" w:hAnsiTheme="majorBidi" w:cstheme="majorBidi"/>
          <w:sz w:val="24"/>
          <w:szCs w:val="24"/>
        </w:rPr>
        <w:t xml:space="preserve"> Pallidus internus (GPi) </w:t>
      </w:r>
      <w:r w:rsidR="00E34988"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 </w:instrText>
      </w:r>
      <w:r w:rsidR="00A9207F"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EN.CITE.DATA </w:instrText>
      </w:r>
      <w:r w:rsidR="00A9207F" w:rsidRPr="000D0071">
        <w:rPr>
          <w:rFonts w:asciiTheme="majorBidi" w:hAnsiTheme="majorBidi" w:cstheme="majorBidi"/>
          <w:sz w:val="24"/>
          <w:szCs w:val="24"/>
        </w:rPr>
      </w:r>
      <w:r w:rsidR="00A9207F" w:rsidRPr="000D0071">
        <w:rPr>
          <w:rFonts w:asciiTheme="majorBidi" w:hAnsiTheme="majorBidi" w:cstheme="majorBidi"/>
          <w:sz w:val="24"/>
          <w:szCs w:val="24"/>
        </w:rPr>
        <w:fldChar w:fldCharType="end"/>
      </w:r>
      <w:r w:rsidR="00E34988" w:rsidRPr="000D0071">
        <w:rPr>
          <w:rFonts w:asciiTheme="majorBidi" w:hAnsiTheme="majorBidi" w:cstheme="majorBidi"/>
          <w:sz w:val="24"/>
          <w:szCs w:val="24"/>
        </w:rPr>
      </w:r>
      <w:r w:rsidR="00E34988"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0" w:tooltip="Cernera, 2020 #639" w:history="1">
        <w:r w:rsidR="00A9207F" w:rsidRPr="000D0071">
          <w:rPr>
            <w:rFonts w:asciiTheme="majorBidi" w:hAnsiTheme="majorBidi" w:cstheme="majorBidi"/>
            <w:noProof/>
            <w:sz w:val="24"/>
            <w:szCs w:val="24"/>
          </w:rPr>
          <w:t>10-12</w:t>
        </w:r>
      </w:hyperlink>
      <w:r w:rsidR="00A9207F" w:rsidRPr="000D0071">
        <w:rPr>
          <w:rFonts w:asciiTheme="majorBidi" w:hAnsiTheme="majorBidi" w:cstheme="majorBidi"/>
          <w:noProof/>
          <w:sz w:val="24"/>
          <w:szCs w:val="24"/>
        </w:rPr>
        <w:t>]</w:t>
      </w:r>
      <w:r w:rsidR="00E34988" w:rsidRPr="000D0071">
        <w:rPr>
          <w:rFonts w:asciiTheme="majorBidi" w:hAnsiTheme="majorBidi" w:cstheme="majorBidi"/>
          <w:sz w:val="24"/>
          <w:szCs w:val="24"/>
        </w:rPr>
        <w:fldChar w:fldCharType="end"/>
      </w:r>
      <w:r w:rsidRPr="000D0071">
        <w:rPr>
          <w:rFonts w:asciiTheme="majorBidi" w:hAnsiTheme="majorBidi" w:cstheme="majorBidi"/>
          <w:sz w:val="24"/>
          <w:szCs w:val="24"/>
        </w:rPr>
        <w:t>.</w:t>
      </w:r>
      <w:r w:rsidR="00F1535F" w:rsidRPr="000D0071">
        <w:rPr>
          <w:rFonts w:asciiTheme="majorBidi" w:hAnsiTheme="majorBidi" w:cstheme="majorBidi"/>
          <w:sz w:val="24"/>
          <w:szCs w:val="24"/>
        </w:rPr>
        <w:t xml:space="preserve"> The efficacy of these two targets </w:t>
      </w:r>
      <w:r w:rsidR="002F3953">
        <w:rPr>
          <w:rFonts w:asciiTheme="majorBidi" w:hAnsiTheme="majorBidi" w:cstheme="majorBidi"/>
          <w:sz w:val="24"/>
          <w:szCs w:val="24"/>
        </w:rPr>
        <w:t>has</w:t>
      </w:r>
      <w:r w:rsidR="00F1535F" w:rsidRPr="000D0071">
        <w:rPr>
          <w:rFonts w:asciiTheme="majorBidi" w:hAnsiTheme="majorBidi" w:cstheme="majorBidi"/>
          <w:sz w:val="24"/>
          <w:szCs w:val="24"/>
        </w:rPr>
        <w:t xml:space="preserve"> been different according to studies.</w:t>
      </w:r>
    </w:p>
    <w:p w14:paraId="237C1B23" w14:textId="6F18390B" w:rsidR="00A81099" w:rsidRPr="000D0071" w:rsidRDefault="00A81099"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Odekerken et al. demonstrated that the change in UPDRS score during the off</w:t>
      </w:r>
      <w:r w:rsidR="009A0E74" w:rsidRPr="000D0071">
        <w:rPr>
          <w:rFonts w:asciiTheme="majorBidi" w:hAnsiTheme="majorBidi" w:cstheme="majorBidi"/>
          <w:sz w:val="24"/>
          <w:szCs w:val="24"/>
        </w:rPr>
        <w:t xml:space="preserve"> drug </w:t>
      </w:r>
      <w:r w:rsidRPr="000D0071">
        <w:rPr>
          <w:rFonts w:asciiTheme="majorBidi" w:hAnsiTheme="majorBidi" w:cstheme="majorBidi"/>
          <w:sz w:val="24"/>
          <w:szCs w:val="24"/>
        </w:rPr>
        <w:t>phase was lower in the GPi group than in the STN group, and during the on-phase, dyskinesia was less in the GPi group compared to the STN group. In both phase</w:t>
      </w:r>
      <w:r w:rsidR="009A0E74" w:rsidRPr="000D0071">
        <w:rPr>
          <w:rFonts w:asciiTheme="majorBidi" w:hAnsiTheme="majorBidi" w:cstheme="majorBidi"/>
          <w:sz w:val="24"/>
          <w:szCs w:val="24"/>
        </w:rPr>
        <w:t>s</w:t>
      </w:r>
      <w:r w:rsidRPr="000D0071">
        <w:rPr>
          <w:rFonts w:asciiTheme="majorBidi" w:hAnsiTheme="majorBidi" w:cstheme="majorBidi"/>
          <w:sz w:val="24"/>
          <w:szCs w:val="24"/>
        </w:rPr>
        <w:t>, the reduction in time was similar, but it was significant only in the off-phase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0.02)</w:t>
      </w:r>
      <w:r w:rsidR="008B5E04">
        <w:rPr>
          <w:rFonts w:asciiTheme="majorBidi" w:hAnsiTheme="majorBidi" w:cstheme="majorBidi"/>
          <w:sz w:val="24"/>
          <w:szCs w:val="24"/>
        </w:rPr>
        <w:t xml:space="preserve">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&lt;EndNote&gt;&lt;Cite&gt;&lt;Author&gt;Odekerken&lt;/Author&gt;&lt;Year&gt;2013&lt;/Year&gt;&lt;RecNum&gt;650&lt;/RecNum&gt;&lt;DisplayText&gt;[13]&lt;/DisplayText&gt;&lt;record&gt;&lt;rec-number&gt;650&lt;/rec-number&gt;&lt;foreign-keys&gt;&lt;key app="EN" db-id="rewfwt2w8r5sdvev9v0xsda92ff2twsr5ees"&gt;650&lt;/key&gt;&lt;/foreign-keys&gt;&lt;ref-type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Troche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showed there was a significant improvement in UPDRS score </w:t>
      </w:r>
      <w:r w:rsidR="002F3953">
        <w:rPr>
          <w:rFonts w:asciiTheme="majorBidi" w:hAnsiTheme="majorBidi" w:cstheme="majorBidi"/>
          <w:sz w:val="24"/>
          <w:szCs w:val="24"/>
        </w:rPr>
        <w:t>in</w:t>
      </w:r>
      <w:r w:rsidRPr="000D0071">
        <w:rPr>
          <w:rFonts w:asciiTheme="majorBidi" w:hAnsiTheme="majorBidi" w:cstheme="majorBidi"/>
          <w:sz w:val="24"/>
          <w:szCs w:val="24"/>
        </w:rPr>
        <w:t xml:space="preserve"> </w:t>
      </w:r>
      <w:r w:rsidR="002F3953">
        <w:rPr>
          <w:rFonts w:asciiTheme="majorBidi" w:hAnsiTheme="majorBidi" w:cstheme="majorBidi"/>
          <w:sz w:val="24"/>
          <w:szCs w:val="24"/>
        </w:rPr>
        <w:t xml:space="preserve">the </w:t>
      </w:r>
      <w:r w:rsidRPr="000D0071">
        <w:rPr>
          <w:rFonts w:asciiTheme="majorBidi" w:hAnsiTheme="majorBidi" w:cstheme="majorBidi"/>
          <w:sz w:val="24"/>
          <w:szCs w:val="24"/>
        </w:rPr>
        <w:t>off-medication state before and after sur</w:t>
      </w:r>
      <w:r w:rsidR="003F32C1" w:rsidRPr="000D0071">
        <w:rPr>
          <w:rFonts w:asciiTheme="majorBidi" w:hAnsiTheme="majorBidi" w:cstheme="majorBidi"/>
          <w:sz w:val="24"/>
          <w:szCs w:val="24"/>
        </w:rPr>
        <w:t>gery for both groups (</w:t>
      </w:r>
      <w:r w:rsidR="003F32C1" w:rsidRPr="002F3953">
        <w:rPr>
          <w:rFonts w:asciiTheme="majorBidi" w:hAnsiTheme="majorBidi" w:cstheme="majorBidi"/>
          <w:i/>
          <w:iCs/>
          <w:sz w:val="24"/>
          <w:szCs w:val="24"/>
        </w:rPr>
        <w:t>p</w:t>
      </w:r>
      <w:r w:rsidR="003F32C1" w:rsidRPr="000D0071">
        <w:rPr>
          <w:rFonts w:asciiTheme="majorBidi" w:hAnsiTheme="majorBidi" w:cstheme="majorBidi"/>
          <w:sz w:val="24"/>
          <w:szCs w:val="24"/>
        </w:rPr>
        <w:t xml:space="preserve"> &lt; .001)</w:t>
      </w:r>
      <w:r w:rsidR="008B5E04">
        <w:rPr>
          <w:rFonts w:asciiTheme="majorBidi" w:hAnsiTheme="majorBidi" w:cstheme="majorBidi"/>
          <w:sz w:val="24"/>
          <w:szCs w:val="24"/>
        </w:rPr>
        <w:t xml:space="preserve"> </w:t>
      </w:r>
      <w:r w:rsidRPr="000D0071">
        <w:rPr>
          <w:rFonts w:asciiTheme="majorBidi" w:hAnsiTheme="majorBidi" w:cs="Times New Roman"/>
          <w:sz w:val="24"/>
          <w:szCs w:val="24"/>
          <w:rtl/>
        </w:rPr>
        <w:t xml:space="preserve"> </w:t>
      </w:r>
      <w:r w:rsidRPr="000D0071">
        <w:rPr>
          <w:rFonts w:asciiTheme="majorBidi" w:hAnsiTheme="majorBidi" w:cs="Times New Roman"/>
          <w:sz w:val="24"/>
          <w:szCs w:val="24"/>
          <w:rtl/>
        </w:rPr>
        <w:fldChar w:fldCharType="begin"/>
      </w:r>
      <w:r w:rsidR="00A9207F" w:rsidRPr="000D0071">
        <w:rPr>
          <w:rFonts w:asciiTheme="majorBidi" w:hAnsiTheme="majorBidi" w:cs="Times New Roman"/>
          <w:sz w:val="24"/>
          <w:szCs w:val="24"/>
          <w:rtl/>
        </w:rPr>
        <w:instrText xml:space="preserve"> </w:instrText>
      </w:r>
      <w:r w:rsidR="00A9207F" w:rsidRPr="000D0071">
        <w:rPr>
          <w:rFonts w:asciiTheme="majorBidi" w:hAnsiTheme="majorBidi" w:cs="Times New Roman"/>
          <w:sz w:val="24"/>
          <w:szCs w:val="24"/>
        </w:rPr>
        <w:instrText>ADDIN EN.CITE &lt;EndNote&gt;&lt;Cite&gt;&lt;Author&gt;Troche&lt;/Author&gt;&lt;Year&gt;2014&lt;/Year&gt;&lt;RecNum&gt;649&lt;/RecNum&gt;&lt;DisplayText&gt;[14]&lt;/DisplayText&gt;&lt;record&gt;&lt;rec-number&gt;649&lt;/rec-number&gt;&lt;foreign-keys&gt;&lt;key app="EN" db-id="rewfwt2w8r5sdvev9v0xsda92ff2twsr5ees"&gt;649&lt;/key&gt;&lt;/foreign-keys</w:instrText>
      </w:r>
      <w:r w:rsidR="00A9207F" w:rsidRPr="000D0071">
        <w:rPr>
          <w:rFonts w:asciiTheme="majorBidi" w:hAnsiTheme="majorBidi" w:cs="Times New Roman"/>
          <w:sz w:val="24"/>
          <w:szCs w:val="24"/>
          <w:rtl/>
        </w:rPr>
        <w:instrText>&gt;&lt;</w:instrText>
      </w:r>
      <w:r w:rsidR="00A9207F" w:rsidRPr="000D0071">
        <w:rPr>
          <w:rFonts w:asciiTheme="majorBidi" w:hAnsiTheme="majorBidi" w:cs="Times New Roman"/>
          <w:sz w:val="24"/>
          <w:szCs w:val="24"/>
        </w:rPr>
        <w:instrText>ref-type name="Journal Article"&gt;17&lt;/ref-type&gt;&lt;contributors&gt;&lt;authors&gt;&lt;author&gt;Troche, Michelle S&lt;/author&gt;&lt;author&gt;Brandimore, Alexandra E&lt;/author&gt;&lt;author&gt;Foote, Kelly D&lt;/author&gt;&lt;author&gt;Morishita, Takashi&lt;/author&gt;&lt;author&gt;Chen, Dennis&lt;/author&gt;&lt;author&gt;Hegland</w:instrText>
      </w:r>
      <w:r w:rsidR="00A9207F" w:rsidRPr="000D0071">
        <w:rPr>
          <w:rFonts w:asciiTheme="majorBidi" w:hAnsiTheme="majorBidi" w:cs="Times New Roman"/>
          <w:sz w:val="24"/>
          <w:szCs w:val="24"/>
          <w:rtl/>
        </w:rPr>
        <w:instrText xml:space="preserve">, </w:instrText>
      </w:r>
      <w:r w:rsidR="00A9207F" w:rsidRPr="000D0071">
        <w:rPr>
          <w:rFonts w:asciiTheme="majorBidi" w:hAnsiTheme="majorBidi" w:cs="Times New Roman"/>
          <w:sz w:val="24"/>
          <w:szCs w:val="24"/>
        </w:rPr>
        <w:instrText>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w:instrText>
      </w:r>
      <w:r w:rsidR="00A9207F" w:rsidRPr="000D0071">
        <w:rPr>
          <w:rFonts w:asciiTheme="majorBidi" w:hAnsiTheme="majorBidi" w:cs="Times New Roman"/>
          <w:sz w:val="24"/>
          <w:szCs w:val="24"/>
          <w:rtl/>
        </w:rPr>
        <w:instrText>&gt;</w:instrText>
      </w:r>
      <w:r w:rsidRPr="000D0071">
        <w:rPr>
          <w:rFonts w:asciiTheme="majorBidi" w:hAnsiTheme="majorBidi" w:cs="Times New Roman"/>
          <w:sz w:val="24"/>
          <w:szCs w:val="24"/>
          <w:rtl/>
        </w:rPr>
        <w:fldChar w:fldCharType="separate"/>
      </w:r>
      <w:r w:rsidR="00A9207F" w:rsidRPr="000D0071">
        <w:rPr>
          <w:rFonts w:asciiTheme="majorBidi" w:hAnsiTheme="majorBidi" w:cs="Times New Roman"/>
          <w:noProof/>
          <w:sz w:val="24"/>
          <w:szCs w:val="24"/>
          <w:rtl/>
        </w:rPr>
        <w:t>[</w:t>
      </w:r>
      <w:hyperlink w:anchor="_ENREF_14" w:tooltip="Troche, 2014 #649" w:history="1">
        <w:r w:rsidR="00A9207F" w:rsidRPr="000D0071">
          <w:rPr>
            <w:rFonts w:asciiTheme="majorBidi" w:hAnsiTheme="majorBidi" w:cs="Times New Roman"/>
            <w:noProof/>
            <w:sz w:val="24"/>
            <w:szCs w:val="24"/>
            <w:rtl/>
          </w:rPr>
          <w:t>14</w:t>
        </w:r>
      </w:hyperlink>
      <w:r w:rsidR="00A9207F" w:rsidRPr="000D0071">
        <w:rPr>
          <w:rFonts w:asciiTheme="majorBidi" w:hAnsiTheme="majorBidi" w:cs="Times New Roman"/>
          <w:noProof/>
          <w:sz w:val="24"/>
          <w:szCs w:val="24"/>
          <w:rtl/>
        </w:rPr>
        <w:t>]</w:t>
      </w:r>
      <w:r w:rsidRPr="000D0071">
        <w:rPr>
          <w:rFonts w:asciiTheme="majorBidi" w:hAnsiTheme="majorBidi" w:cs="Times New Roman"/>
          <w:sz w:val="24"/>
          <w:szCs w:val="24"/>
          <w:rtl/>
        </w:rPr>
        <w:fldChar w:fldCharType="end"/>
      </w:r>
      <w:r w:rsidR="003F32C1" w:rsidRPr="000D0071">
        <w:rPr>
          <w:rFonts w:asciiTheme="majorBidi" w:hAnsiTheme="majorBidi" w:cs="Times New Roman"/>
          <w:sz w:val="24"/>
          <w:szCs w:val="24"/>
        </w:rPr>
        <w:t xml:space="preserve">. </w:t>
      </w:r>
      <w:r w:rsidRPr="000D0071">
        <w:rPr>
          <w:rFonts w:asciiTheme="majorBidi" w:hAnsiTheme="majorBidi" w:cstheme="majorBidi"/>
          <w:sz w:val="24"/>
          <w:szCs w:val="24"/>
        </w:rPr>
        <w:t>In another study conducted by Odekerken et al., more improvements were reported the off-drug phase UPDRS-ME score after three years in the STN group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0.04</w:t>
      </w:r>
      <w:r w:rsidRPr="000D0071">
        <w:rPr>
          <w:sz w:val="24"/>
          <w:szCs w:val="24"/>
        </w:rPr>
        <w:t xml:space="preserve"> </w:t>
      </w:r>
      <w:r w:rsidRPr="000D0071">
        <w:rPr>
          <w:rFonts w:asciiTheme="majorBidi" w:hAnsiTheme="majorBidi" w:cstheme="majorBidi"/>
          <w:sz w:val="24"/>
          <w:szCs w:val="24"/>
        </w:rPr>
        <w:t>while no between-group differences were shown in the on-drug phase</w:t>
      </w:r>
      <w:r w:rsidR="008B5E04">
        <w:rPr>
          <w:rFonts w:asciiTheme="majorBidi" w:hAnsiTheme="majorBidi" w:cstheme="majorBidi"/>
          <w:sz w:val="24"/>
          <w:szCs w:val="24"/>
        </w:rPr>
        <w:t xml:space="preserve">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&lt;EndNote&gt;&lt;Cite&gt;&lt;Author&gt;Odekerken&lt;/Author&gt;&lt;Year&gt;2016&lt;/Year&gt;&lt;RecNum&gt;651&lt;/RecNum&gt;&lt;DisplayText&gt;[15]&lt;/DisplayText&gt;&lt;record&gt;&lt;rec-number&gt;651&lt;/rec-number&gt;&lt;foreign-keys&gt;&lt;key app="EN" db-id="rewfwt2w8r5sdvev9v0xsda92ff2twsr5ees"&gt;651&lt;/key&gt;&lt;/foreign-keys&gt;&lt;ref-type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5" w:tooltip="Odekerken, 2016 #651" w:history="1">
        <w:r w:rsidR="00A9207F" w:rsidRPr="000D0071">
          <w:rPr>
            <w:rFonts w:asciiTheme="majorBidi" w:hAnsiTheme="majorBidi" w:cstheme="majorBidi"/>
            <w:noProof/>
            <w:sz w:val="24"/>
            <w:szCs w:val="24"/>
          </w:rPr>
          <w:t>15</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In the study of Gong et al., four months after DBS, all patients experienced improvement (≥</w:t>
      </w:r>
      <w:r w:rsidR="002F3953">
        <w:rPr>
          <w:rFonts w:asciiTheme="majorBidi" w:hAnsiTheme="majorBidi" w:cstheme="majorBidi"/>
          <w:sz w:val="24"/>
          <w:szCs w:val="24"/>
        </w:rPr>
        <w:t xml:space="preserve"> </w:t>
      </w:r>
      <w:r w:rsidRPr="000D0071">
        <w:rPr>
          <w:rFonts w:asciiTheme="majorBidi" w:hAnsiTheme="majorBidi" w:cstheme="majorBidi"/>
          <w:sz w:val="24"/>
          <w:szCs w:val="24"/>
        </w:rPr>
        <w:t>30% ) in UPDRS score in off-period, and pain symptoms improvement rate was 79±27% and</w:t>
      </w:r>
      <w:r w:rsidR="002F3953">
        <w:rPr>
          <w:rFonts w:asciiTheme="majorBidi" w:hAnsiTheme="majorBidi" w:cstheme="majorBidi"/>
          <w:sz w:val="24"/>
          <w:szCs w:val="24"/>
        </w:rPr>
        <w:t xml:space="preserve"> </w:t>
      </w:r>
      <w:r w:rsidR="009A0E74" w:rsidRPr="000D0071">
        <w:rPr>
          <w:rFonts w:asciiTheme="majorBidi" w:hAnsiTheme="majorBidi" w:cs="Times New Roman"/>
          <w:sz w:val="24"/>
          <w:szCs w:val="24"/>
          <w:rtl/>
        </w:rPr>
        <w:t>75%±</w:t>
      </w:r>
      <w:r w:rsidR="002F3953">
        <w:rPr>
          <w:rFonts w:asciiTheme="majorBidi" w:hAnsiTheme="majorBidi" w:cs="Times New Roman" w:hint="cs"/>
          <w:sz w:val="24"/>
          <w:szCs w:val="24"/>
          <w:rtl/>
        </w:rPr>
        <w:t xml:space="preserve"> </w:t>
      </w:r>
      <w:r w:rsidR="009A0E74" w:rsidRPr="000D0071">
        <w:rPr>
          <w:rFonts w:asciiTheme="majorBidi" w:hAnsiTheme="majorBidi" w:cs="Times New Roman"/>
          <w:sz w:val="24"/>
          <w:szCs w:val="24"/>
          <w:rtl/>
        </w:rPr>
        <w:t>27%</w:t>
      </w:r>
      <w:r w:rsidR="009A0E74" w:rsidRPr="000D0071">
        <w:rPr>
          <w:rFonts w:asciiTheme="majorBidi" w:hAnsiTheme="majorBidi" w:cs="Times New Roman"/>
          <w:sz w:val="24"/>
          <w:szCs w:val="24"/>
        </w:rPr>
        <w:t xml:space="preserve"> </w:t>
      </w:r>
      <w:r w:rsidR="009A0E74" w:rsidRPr="000D0071">
        <w:rPr>
          <w:rFonts w:asciiTheme="majorBidi" w:hAnsiTheme="majorBidi" w:cstheme="majorBidi"/>
          <w:sz w:val="24"/>
          <w:szCs w:val="24"/>
        </w:rPr>
        <w:t xml:space="preserve">in STN and </w:t>
      </w:r>
      <w:proofErr w:type="spellStart"/>
      <w:r w:rsidR="009A0E74" w:rsidRPr="000D0071">
        <w:rPr>
          <w:rFonts w:asciiTheme="majorBidi" w:hAnsiTheme="majorBidi" w:cstheme="majorBidi"/>
          <w:sz w:val="24"/>
          <w:szCs w:val="24"/>
        </w:rPr>
        <w:t>GPi</w:t>
      </w:r>
      <w:proofErr w:type="spellEnd"/>
      <w:r w:rsidR="009A0E74" w:rsidRPr="000D0071">
        <w:rPr>
          <w:rFonts w:asciiTheme="majorBidi" w:hAnsiTheme="majorBidi" w:cstheme="majorBidi"/>
          <w:sz w:val="24"/>
          <w:szCs w:val="24"/>
        </w:rPr>
        <w:t xml:space="preserve"> groups, respectively</w:t>
      </w:r>
      <w:r w:rsidR="008B5E04">
        <w:rPr>
          <w:rFonts w:asciiTheme="majorBidi" w:hAnsiTheme="majorBidi" w:cstheme="majorBidi"/>
          <w:sz w:val="24"/>
          <w:szCs w:val="24"/>
        </w:rPr>
        <w:t xml:space="preserve"> </w:t>
      </w:r>
      <w:r w:rsidR="009A0E74" w:rsidRPr="000D0071">
        <w:rPr>
          <w:rFonts w:asciiTheme="majorBidi" w:hAnsiTheme="majorBidi" w:cstheme="majorBidi"/>
          <w:sz w:val="24"/>
          <w:szCs w:val="24"/>
        </w:rPr>
        <w:fldChar w:fldCharType="begin"/>
      </w:r>
      <w:r w:rsidR="009A0E74" w:rsidRPr="000D0071">
        <w:rPr>
          <w:rFonts w:asciiTheme="majorBidi" w:hAnsiTheme="majorBidi" w:cstheme="majorBidi"/>
          <w:sz w:val="24"/>
          <w:szCs w:val="24"/>
        </w:rPr>
        <w:instrText xml:space="preserve"> ADDIN EN.CITE &lt;EndNote&gt;&lt;Cite&gt;&lt;Author&gt;Gong&lt;/Author&gt;&lt;Year&gt;2020&lt;/Year&gt;&lt;RecNum&gt;652&lt;/RecNum&gt;&lt;DisplayText&gt;[16]&lt;/DisplayText&gt;&lt;record&gt;&lt;rec-number&gt;652&lt;/rec-number&gt;&lt;foreign-keys&gt;&lt;key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9A0E74" w:rsidRPr="000D0071">
        <w:rPr>
          <w:rFonts w:asciiTheme="majorBidi" w:hAnsiTheme="majorBidi" w:cstheme="majorBidi"/>
          <w:sz w:val="24"/>
          <w:szCs w:val="24"/>
        </w:rPr>
        <w:fldChar w:fldCharType="separate"/>
      </w:r>
      <w:r w:rsidR="009A0E74" w:rsidRPr="000D0071">
        <w:rPr>
          <w:rFonts w:asciiTheme="majorBidi" w:hAnsiTheme="majorBidi" w:cstheme="majorBidi"/>
          <w:noProof/>
          <w:sz w:val="24"/>
          <w:szCs w:val="24"/>
        </w:rPr>
        <w:t>[</w:t>
      </w:r>
      <w:hyperlink w:anchor="_ENREF_16" w:tooltip="Gong, 2020 #652" w:history="1">
        <w:r w:rsidR="009A0E74" w:rsidRPr="000D0071">
          <w:rPr>
            <w:rFonts w:asciiTheme="majorBidi" w:hAnsiTheme="majorBidi" w:cstheme="majorBidi"/>
            <w:noProof/>
            <w:sz w:val="24"/>
            <w:szCs w:val="24"/>
          </w:rPr>
          <w:t>16</w:t>
        </w:r>
      </w:hyperlink>
      <w:r w:rsidR="009A0E74" w:rsidRPr="000D0071">
        <w:rPr>
          <w:rFonts w:asciiTheme="majorBidi" w:hAnsiTheme="majorBidi" w:cstheme="majorBidi"/>
          <w:noProof/>
          <w:sz w:val="24"/>
          <w:szCs w:val="24"/>
        </w:rPr>
        <w:t>]</w:t>
      </w:r>
      <w:r w:rsidR="009A0E74" w:rsidRPr="000D0071">
        <w:rPr>
          <w:rFonts w:asciiTheme="majorBidi" w:hAnsiTheme="majorBidi" w:cstheme="majorBidi"/>
          <w:sz w:val="24"/>
          <w:szCs w:val="24"/>
        </w:rPr>
        <w:fldChar w:fldCharType="end"/>
      </w:r>
      <w:r w:rsidR="009A0E74"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Fan et al. demonstrated that in the </w:t>
      </w:r>
      <w:r w:rsidR="002F3953">
        <w:rPr>
          <w:rFonts w:asciiTheme="majorBidi" w:hAnsiTheme="majorBidi" w:cstheme="majorBidi"/>
          <w:sz w:val="24"/>
          <w:szCs w:val="24"/>
        </w:rPr>
        <w:t>drug off</w:t>
      </w:r>
      <w:r w:rsidRPr="000D0071">
        <w:rPr>
          <w:rFonts w:asciiTheme="majorBidi" w:hAnsiTheme="majorBidi" w:cstheme="majorBidi"/>
          <w:sz w:val="24"/>
          <w:szCs w:val="24"/>
        </w:rPr>
        <w:t>-phase, the mean improvement of UPDRS was 41.50% and 43.56% in STN and GPi groups, respectively, with no significant difference between the group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0.609</w:t>
      </w:r>
      <w:r w:rsidRPr="000D0071">
        <w:rPr>
          <w:rFonts w:asciiTheme="majorBidi" w:hAnsiTheme="majorBidi" w:cs="Times New Roman"/>
          <w:sz w:val="24"/>
          <w:szCs w:val="24"/>
        </w:rPr>
        <w:t>).</w:t>
      </w:r>
      <w:r w:rsidRPr="000D0071">
        <w:rPr>
          <w:rFonts w:asciiTheme="majorBidi" w:hAnsiTheme="majorBidi" w:cstheme="majorBidi"/>
          <w:sz w:val="24"/>
          <w:szCs w:val="24"/>
        </w:rPr>
        <w:t xml:space="preserve"> Additionally, GPi DBS had direct anti-dyskinesia effects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&lt;EndNote&gt;&lt;Cite&gt;&lt;Author&gt;Fan&lt;/Author&gt;&lt;Year&gt;2020&lt;/Year&gt;&lt;RecNum&gt;653&lt;/RecNum&gt;&lt;DisplayText&gt;[17]&lt;/DisplayText&gt;&lt;record&gt;&lt;rec-number&gt;653&lt;/rec-number&gt;&lt;foreign-keys&gt;&lt;key app="EN" db-id="rewfwt2w8r5sdvev9v0xsda92ff2twsr5ees"&gt;653&lt;/key&gt;&lt;/foreign-keys&gt;&lt;ref-type name="Journal Article"&gt;17&lt;/ref-type&gt;&lt;contributors&gt;&lt;authors&gt;&lt;author&gt;Fan, Shi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Ying&lt;/author&gt;&lt;author&gt;Wang, Kai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Lei&lt;/author&gt;&lt;author&gt;Wang, Qiao&lt;/author&gt;&lt;author&gt;Michitomo, Shimabukuro&lt;/author&gt;&lt;author&gt;Zhang, Jian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7" w:tooltip="Fan, 2020 #653" w:history="1">
        <w:r w:rsidR="00A9207F" w:rsidRPr="000D0071">
          <w:rPr>
            <w:rFonts w:asciiTheme="majorBidi" w:hAnsiTheme="majorBidi" w:cstheme="majorBidi"/>
            <w:noProof/>
            <w:sz w:val="24"/>
            <w:szCs w:val="24"/>
          </w:rPr>
          <w:t>17</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Wong et al. proved that STN DBS was related to a statistically significant decrease in bradykinesia and rigidity after six months compared with </w:t>
      </w:r>
      <w:proofErr w:type="spellStart"/>
      <w:r w:rsidRPr="000D0071">
        <w:rPr>
          <w:rFonts w:asciiTheme="majorBidi" w:hAnsiTheme="majorBidi" w:cstheme="majorBidi"/>
          <w:sz w:val="24"/>
          <w:szCs w:val="24"/>
        </w:rPr>
        <w:t>GPi</w:t>
      </w:r>
      <w:proofErr w:type="spellEnd"/>
      <w:r w:rsidRPr="000D0071">
        <w:rPr>
          <w:rFonts w:asciiTheme="majorBidi" w:hAnsiTheme="majorBidi" w:cstheme="majorBidi"/>
          <w:sz w:val="24"/>
          <w:szCs w:val="24"/>
        </w:rPr>
        <w:t xml:space="preserve"> DBS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&lt;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0.001 and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0.025, respectively). However, there was no significant </w:t>
      </w:r>
      <w:r w:rsidR="002F3953">
        <w:rPr>
          <w:rFonts w:asciiTheme="majorBidi" w:hAnsiTheme="majorBidi" w:cstheme="majorBidi"/>
          <w:sz w:val="24"/>
          <w:szCs w:val="24"/>
        </w:rPr>
        <w:t>between-group</w:t>
      </w:r>
      <w:r w:rsidRPr="000D0071">
        <w:rPr>
          <w:rFonts w:asciiTheme="majorBidi" w:hAnsiTheme="majorBidi" w:cstheme="majorBidi"/>
          <w:sz w:val="24"/>
          <w:szCs w:val="24"/>
        </w:rPr>
        <w:t xml:space="preserve"> difference in terms of tremor outcomes.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&lt;EndNote&gt;&lt;Cite&gt;&lt;Author&gt;Wong&lt;/Author&gt;&lt;Year&gt;2020&lt;/Year&gt;&lt;RecNum&gt;654&lt;/RecNum&gt;&lt;DisplayText&gt;[18]&lt;/DisplayText&gt;&lt;record&gt;&lt;rec-number&gt;654&lt;/rec-number&gt;&lt;foreign-keys&gt;&lt;key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8" w:tooltip="Wong, 2020 #654" w:history="1">
        <w:r w:rsidR="00A9207F" w:rsidRPr="000D0071">
          <w:rPr>
            <w:rFonts w:asciiTheme="majorBidi" w:hAnsiTheme="majorBidi" w:cstheme="majorBidi"/>
            <w:noProof/>
            <w:sz w:val="24"/>
            <w:szCs w:val="24"/>
          </w:rPr>
          <w:t>18</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Celiker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reported </w:t>
      </w:r>
      <w:r w:rsidR="002F3953">
        <w:rPr>
          <w:rFonts w:asciiTheme="majorBidi" w:hAnsiTheme="majorBidi" w:cstheme="majorBidi"/>
          <w:sz w:val="24"/>
          <w:szCs w:val="24"/>
        </w:rPr>
        <w:t xml:space="preserve">that </w:t>
      </w:r>
      <w:r w:rsidRPr="000D0071">
        <w:rPr>
          <w:rFonts w:asciiTheme="majorBidi" w:hAnsiTheme="majorBidi" w:cstheme="majorBidi"/>
          <w:sz w:val="24"/>
          <w:szCs w:val="24"/>
        </w:rPr>
        <w:t xml:space="preserve">on-phase UPDRS motor scores were significantly declined in both STN and </w:t>
      </w:r>
      <w:proofErr w:type="spellStart"/>
      <w:r w:rsidRPr="000D0071">
        <w:rPr>
          <w:rFonts w:asciiTheme="majorBidi" w:hAnsiTheme="majorBidi" w:cstheme="majorBidi"/>
          <w:sz w:val="24"/>
          <w:szCs w:val="24"/>
        </w:rPr>
        <w:t>GPi</w:t>
      </w:r>
      <w:proofErr w:type="spellEnd"/>
      <w:r w:rsidRPr="000D0071">
        <w:rPr>
          <w:rFonts w:asciiTheme="majorBidi" w:hAnsiTheme="majorBidi" w:cstheme="majorBidi"/>
          <w:sz w:val="24"/>
          <w:szCs w:val="24"/>
        </w:rPr>
        <w:t xml:space="preserve"> groups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&lt;</w:t>
      </w:r>
      <w:r w:rsidR="002F3953">
        <w:rPr>
          <w:rFonts w:asciiTheme="majorBidi" w:hAnsiTheme="majorBidi" w:cstheme="majorBidi"/>
          <w:sz w:val="24"/>
          <w:szCs w:val="24"/>
        </w:rPr>
        <w:t xml:space="preserve"> </w:t>
      </w:r>
      <w:r w:rsidRPr="000D0071">
        <w:rPr>
          <w:rFonts w:asciiTheme="majorBidi" w:hAnsiTheme="majorBidi" w:cstheme="majorBidi"/>
          <w:sz w:val="24"/>
          <w:szCs w:val="24"/>
        </w:rPr>
        <w:t>0.05), while STN DBS was better in improving bladder symptoms. In addition</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both groups had fewer sleep problems after the surgery [31].</w:t>
      </w:r>
      <w:r w:rsidRPr="000D0071">
        <w:rPr>
          <w:rFonts w:asciiTheme="majorBidi" w:eastAsia="HelveticaNeue" w:hAnsiTheme="majorBidi" w:cstheme="majorBidi"/>
          <w:sz w:val="24"/>
          <w:szCs w:val="24"/>
          <w:lang w:bidi="ar-SA"/>
        </w:rPr>
        <w:t xml:space="preserve"> Okun et al. investigated the</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effect of unilateral and staged bilateral STN and GPI DBS. They found that </w:t>
      </w:r>
      <w:r w:rsidR="002F3953">
        <w:rPr>
          <w:rFonts w:asciiTheme="majorBidi" w:eastAsia="HelveticaNeue" w:hAnsiTheme="majorBidi" w:cstheme="majorBidi"/>
          <w:sz w:val="24"/>
          <w:szCs w:val="24"/>
          <w:lang w:bidi="ar-SA"/>
        </w:rPr>
        <w:t>off-phase</w:t>
      </w:r>
      <w:r w:rsidRPr="000D0071">
        <w:rPr>
          <w:rFonts w:asciiTheme="majorBidi" w:eastAsia="HelveticaNeue" w:hAnsiTheme="majorBidi" w:cstheme="majorBidi"/>
          <w:sz w:val="24"/>
          <w:szCs w:val="24"/>
          <w:lang w:bidi="ar-SA"/>
        </w:rPr>
        <w:t xml:space="preserve"> UPDRS</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motor scores, in both unilateral and staged bilateral modes, improved significantly after four</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and 12 months </w:t>
      </w:r>
      <w:r w:rsidR="002F3953">
        <w:rPr>
          <w:rFonts w:asciiTheme="majorBidi" w:eastAsia="HelveticaNeue" w:hAnsiTheme="majorBidi" w:cstheme="majorBidi"/>
          <w:sz w:val="24"/>
          <w:szCs w:val="24"/>
          <w:lang w:bidi="ar-SA"/>
        </w:rPr>
        <w:t xml:space="preserve">of </w:t>
      </w:r>
      <w:r w:rsidRPr="000D0071">
        <w:rPr>
          <w:rFonts w:asciiTheme="majorBidi" w:eastAsia="HelveticaNeue" w:hAnsiTheme="majorBidi" w:cstheme="majorBidi"/>
          <w:sz w:val="24"/>
          <w:szCs w:val="24"/>
          <w:lang w:bidi="ar-SA"/>
        </w:rPr>
        <w:t xml:space="preserve">follow-up </w:t>
      </w:r>
      <w:r w:rsidRPr="000D0071">
        <w:rPr>
          <w:rFonts w:asciiTheme="majorBidi" w:eastAsia="HelveticaNeue" w:hAnsiTheme="majorBidi" w:cstheme="majorBidi"/>
          <w:sz w:val="24"/>
          <w:szCs w:val="24"/>
          <w:lang w:bidi="ar-SA"/>
        </w:rPr>
        <w:fldChar w:fldCharType="begin"/>
      </w:r>
      <w:r w:rsidR="00A9207F" w:rsidRPr="000D0071">
        <w:rPr>
          <w:rFonts w:asciiTheme="majorBidi" w:eastAsia="HelveticaNeue" w:hAnsiTheme="majorBidi" w:cstheme="majorBidi"/>
          <w:sz w:val="24"/>
          <w:szCs w:val="24"/>
          <w:lang w:bidi="ar-SA"/>
        </w:rPr>
        <w:instrText xml:space="preserve"> ADDIN EN.CITE &lt;EndNote&gt;&lt;Cite&gt;&lt;Author&gt;Okun&lt;/Author&gt;&lt;Year&gt;2014&lt;/Year&gt;&lt;RecNum&gt;656&lt;/RecNum&gt;&lt;DisplayText&gt;[19]&lt;/DisplayText&gt;&lt;record&gt;&lt;rec-number&gt;656&lt;/rec-number&gt;&lt;foreign-keys&gt;&lt;key app="EN" db-id="rewfwt2w8r5sdvev9v0xsda92ff2twsr5ees"&gt;656&lt;/key&gt;&lt;/foreign-keys&gt;&lt;ref-type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eastAsia="HelveticaNeue" w:hAnsiTheme="majorBidi" w:cstheme="majorBidi"/>
          <w:sz w:val="24"/>
          <w:szCs w:val="24"/>
          <w:lang w:bidi="ar-SA"/>
        </w:rPr>
        <w:fldChar w:fldCharType="separate"/>
      </w:r>
      <w:r w:rsidR="00A9207F" w:rsidRPr="000D0071">
        <w:rPr>
          <w:rFonts w:asciiTheme="majorBidi" w:eastAsia="HelveticaNeue" w:hAnsiTheme="majorBidi" w:cstheme="majorBidi"/>
          <w:noProof/>
          <w:sz w:val="24"/>
          <w:szCs w:val="24"/>
          <w:lang w:bidi="ar-SA"/>
        </w:rPr>
        <w:t>[</w:t>
      </w:r>
      <w:hyperlink w:anchor="_ENREF_19" w:tooltip="Okun, 2014 #656" w:history="1">
        <w:r w:rsidR="00A9207F" w:rsidRPr="000D0071">
          <w:rPr>
            <w:rFonts w:asciiTheme="majorBidi" w:eastAsia="HelveticaNeue" w:hAnsiTheme="majorBidi" w:cstheme="majorBidi"/>
            <w:noProof/>
            <w:sz w:val="24"/>
            <w:szCs w:val="24"/>
            <w:lang w:bidi="ar-SA"/>
          </w:rPr>
          <w:t>19</w:t>
        </w:r>
      </w:hyperlink>
      <w:r w:rsidR="00A9207F" w:rsidRPr="000D0071">
        <w:rPr>
          <w:rFonts w:asciiTheme="majorBidi" w:eastAsia="HelveticaNeue" w:hAnsiTheme="majorBidi" w:cstheme="majorBidi"/>
          <w:noProof/>
          <w:sz w:val="24"/>
          <w:szCs w:val="24"/>
          <w:lang w:bidi="ar-SA"/>
        </w:rPr>
        <w:t>]</w:t>
      </w:r>
      <w:r w:rsidRPr="000D0071">
        <w:rPr>
          <w:rFonts w:asciiTheme="majorBidi" w:eastAsia="HelveticaNeue" w:hAnsiTheme="majorBidi" w:cstheme="majorBidi"/>
          <w:sz w:val="24"/>
          <w:szCs w:val="24"/>
          <w:lang w:bidi="ar-SA"/>
        </w:rPr>
        <w:fldChar w:fldCharType="end"/>
      </w:r>
      <w:r w:rsidRPr="000D0071">
        <w:rPr>
          <w:rFonts w:asciiTheme="majorBidi" w:eastAsia="HelveticaNeue" w:hAnsiTheme="majorBidi" w:cstheme="majorBidi"/>
          <w:sz w:val="24"/>
          <w:szCs w:val="24"/>
          <w:lang w:bidi="ar-SA"/>
        </w:rPr>
        <w:t xml:space="preserve">. </w:t>
      </w:r>
      <w:r w:rsidRPr="000D0071">
        <w:rPr>
          <w:rFonts w:asciiTheme="majorBidi" w:hAnsiTheme="majorBidi" w:cstheme="majorBidi"/>
          <w:sz w:val="24"/>
          <w:szCs w:val="24"/>
        </w:rPr>
        <w:t>Odekerken et al. reported no statistically significant difference between groups in terms of adverse events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&gt;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0.05)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Troche et al. showed that </w:t>
      </w:r>
      <w:r w:rsidRPr="000D0071">
        <w:rPr>
          <w:rFonts w:asciiTheme="majorBidi" w:hAnsiTheme="majorBidi" w:cstheme="majorBidi"/>
          <w:sz w:val="24"/>
          <w:szCs w:val="24"/>
          <w:lang w:bidi="ar-SA"/>
        </w:rPr>
        <w:t xml:space="preserve">mean penetration-aspiration (PA) scores did not change significantly for participants who received GPi surgery </w:t>
      </w:r>
      <w:proofErr w:type="gramStart"/>
      <w:r w:rsidRPr="000D0071">
        <w:rPr>
          <w:rFonts w:asciiTheme="majorBidi" w:hAnsiTheme="majorBidi" w:cstheme="majorBidi"/>
          <w:sz w:val="24"/>
          <w:szCs w:val="24"/>
          <w:lang w:bidi="ar-SA"/>
        </w:rPr>
        <w:t xml:space="preserve">( </w:t>
      </w:r>
      <w:r w:rsidRPr="000D0071">
        <w:rPr>
          <w:rFonts w:asciiTheme="majorBidi" w:hAnsiTheme="majorBidi" w:cstheme="majorBidi"/>
          <w:i/>
          <w:iCs/>
          <w:sz w:val="24"/>
          <w:szCs w:val="24"/>
          <w:lang w:bidi="ar-SA"/>
        </w:rPr>
        <w:t>p</w:t>
      </w:r>
      <w:proofErr w:type="gramEnd"/>
      <w:r w:rsidRPr="000D0071">
        <w:rPr>
          <w:rFonts w:asciiTheme="majorBidi" w:hAnsiTheme="majorBidi" w:cstheme="majorBidi"/>
          <w:i/>
          <w:iCs/>
          <w:sz w:val="24"/>
          <w:szCs w:val="24"/>
          <w:lang w:bidi="ar-SA"/>
        </w:rPr>
        <w:t xml:space="preserve"> </w:t>
      </w:r>
      <w:r w:rsidRPr="000D0071">
        <w:rPr>
          <w:rFonts w:asciiTheme="majorBidi" w:hAnsiTheme="majorBidi" w:cstheme="majorBidi"/>
          <w:sz w:val="24"/>
          <w:szCs w:val="24"/>
          <w:lang w:bidi="ar-SA"/>
        </w:rPr>
        <w:t xml:space="preserve">= .857) but significantly worsened for participants who received STN DBS ( </w:t>
      </w:r>
      <w:r w:rsidRPr="000D0071">
        <w:rPr>
          <w:rFonts w:asciiTheme="majorBidi" w:hAnsiTheme="majorBidi" w:cstheme="majorBidi"/>
          <w:i/>
          <w:iCs/>
          <w:sz w:val="24"/>
          <w:szCs w:val="24"/>
          <w:lang w:bidi="ar-SA"/>
        </w:rPr>
        <w:t xml:space="preserve">p </w:t>
      </w:r>
      <w:r w:rsidRPr="000D0071">
        <w:rPr>
          <w:rFonts w:asciiTheme="majorBidi" w:hAnsiTheme="majorBidi" w:cstheme="majorBidi"/>
          <w:sz w:val="24"/>
          <w:szCs w:val="24"/>
          <w:lang w:bidi="ar-SA"/>
        </w:rPr>
        <w:t>= .007) and</w:t>
      </w:r>
      <w:r w:rsidRPr="000D0071">
        <w:rPr>
          <w:rFonts w:asciiTheme="majorBidi" w:hAnsiTheme="majorBidi" w:cstheme="majorBidi"/>
          <w:sz w:val="24"/>
          <w:szCs w:val="24"/>
        </w:rPr>
        <w:t xml:space="preserve"> </w:t>
      </w:r>
      <w:r w:rsidRPr="000D0071">
        <w:rPr>
          <w:rFonts w:asciiTheme="majorBidi" w:hAnsiTheme="majorBidi" w:cstheme="majorBidi"/>
          <w:sz w:val="24"/>
          <w:szCs w:val="24"/>
          <w:lang w:bidi="ar-SA"/>
        </w:rPr>
        <w:t xml:space="preserve">STN DBS </w:t>
      </w:r>
      <w:r w:rsidR="002F3953">
        <w:rPr>
          <w:rFonts w:asciiTheme="majorBidi" w:hAnsiTheme="majorBidi" w:cstheme="majorBidi"/>
          <w:sz w:val="24"/>
          <w:szCs w:val="24"/>
          <w:lang w:bidi="ar-SA"/>
        </w:rPr>
        <w:t>has</w:t>
      </w:r>
      <w:r w:rsidRPr="000D0071">
        <w:rPr>
          <w:rFonts w:asciiTheme="majorBidi" w:hAnsiTheme="majorBidi" w:cstheme="majorBidi"/>
          <w:sz w:val="24"/>
          <w:szCs w:val="24"/>
          <w:lang w:bidi="ar-SA"/>
        </w:rPr>
        <w:t xml:space="preserve"> an adverse effect on swallowing function. In contrast, unilateral GPi DBS does not have this deleterious effect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4" w:tooltip="Troche, 2014 #649" w:history="1">
        <w:r w:rsidR="00A9207F" w:rsidRPr="000D0071">
          <w:rPr>
            <w:rFonts w:asciiTheme="majorBidi" w:hAnsiTheme="majorBidi" w:cstheme="majorBidi"/>
            <w:noProof/>
            <w:sz w:val="24"/>
            <w:szCs w:val="24"/>
            <w:lang w:bidi="ar-SA"/>
          </w:rPr>
          <w:t>14</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Fifty percent of patients in the STN group in the study of Fan et al. had dyskinesia caused by stimulation. In ten of these patients, the direct anti-dyskinesia effect of STN DBS was also noticed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Ying&lt;/author&gt;&lt;author&gt;Wang, Kai</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Lei&lt;/author&gt;&lt;author&gt;Wang, Qiao&lt;/author&gt;&lt;author&gt;Michitomo, Shimabukuro&lt;/author&gt;&lt;author&gt;Zhang, Jian</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7" w:tooltip="Fan, 2020 #653" w:history="1">
        <w:r w:rsidR="00A9207F" w:rsidRPr="000D0071">
          <w:rPr>
            <w:rFonts w:asciiTheme="majorBidi" w:hAnsiTheme="majorBidi" w:cstheme="majorBidi"/>
            <w:noProof/>
            <w:sz w:val="24"/>
            <w:szCs w:val="24"/>
            <w:lang w:bidi="ar-SA"/>
          </w:rPr>
          <w:t>17</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Okun et al. reported only minor mood and apathy effects which were not significant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9" w:tooltip="Okun, 2014 #656" w:history="1">
        <w:r w:rsidR="00A9207F" w:rsidRPr="000D0071">
          <w:rPr>
            <w:rFonts w:asciiTheme="majorBidi" w:hAnsiTheme="majorBidi" w:cstheme="majorBidi"/>
            <w:noProof/>
            <w:sz w:val="24"/>
            <w:szCs w:val="24"/>
            <w:lang w:bidi="ar-SA"/>
          </w:rPr>
          <w:t>19</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In another study carried out by Odekerken et al., no significant differences were reported in terms of adverse events for the two groups; only minor events were reported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5" w:tooltip="Odekerken, 2016 #651" w:history="1">
        <w:r w:rsidR="00A9207F" w:rsidRPr="000D0071">
          <w:rPr>
            <w:rFonts w:asciiTheme="majorBidi" w:hAnsiTheme="majorBidi" w:cstheme="majorBidi"/>
            <w:noProof/>
            <w:sz w:val="24"/>
            <w:szCs w:val="24"/>
            <w:lang w:bidi="ar-SA"/>
          </w:rPr>
          <w:t>15</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Wong et al. found that the most common adverse events were problems with DBS lead hardware and hemorrhage, which were minor and controlled easily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8" w:tooltip="Wong, 2020 #654" w:history="1">
        <w:r w:rsidR="00A9207F" w:rsidRPr="000D0071">
          <w:rPr>
            <w:rFonts w:asciiTheme="majorBidi" w:hAnsiTheme="majorBidi" w:cstheme="majorBidi"/>
            <w:noProof/>
            <w:sz w:val="24"/>
            <w:szCs w:val="24"/>
            <w:lang w:bidi="ar-SA"/>
          </w:rPr>
          <w:t>18</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t>
      </w:r>
    </w:p>
    <w:p w14:paraId="6B29DD70" w14:textId="77777777" w:rsidR="00A81099" w:rsidRPr="000D0071" w:rsidRDefault="00A81099" w:rsidP="00AD5452">
      <w:pPr>
        <w:bidi w:val="0"/>
        <w:spacing w:line="240" w:lineRule="auto"/>
        <w:jc w:val="both"/>
        <w:rPr>
          <w:rFonts w:asciiTheme="majorBidi" w:hAnsiTheme="majorBidi" w:cstheme="majorBidi"/>
          <w:b/>
          <w:bCs/>
          <w:sz w:val="24"/>
          <w:szCs w:val="24"/>
          <w:lang w:bidi="ar-SA"/>
        </w:rPr>
      </w:pPr>
      <w:r w:rsidRPr="000D0071">
        <w:rPr>
          <w:rFonts w:asciiTheme="majorBidi" w:hAnsiTheme="majorBidi" w:cstheme="majorBidi"/>
          <w:b/>
          <w:bCs/>
          <w:sz w:val="24"/>
          <w:szCs w:val="24"/>
          <w:lang w:bidi="ar-SA"/>
        </w:rPr>
        <w:t>Conclusion</w:t>
      </w:r>
    </w:p>
    <w:p w14:paraId="4020F5B8" w14:textId="5D32E70B" w:rsidR="00A81099" w:rsidRPr="000D0071" w:rsidRDefault="009A0E74" w:rsidP="00AD5452">
      <w:pPr>
        <w:bidi w:val="0"/>
        <w:spacing w:line="240" w:lineRule="auto"/>
        <w:jc w:val="both"/>
        <w:rPr>
          <w:rFonts w:asciiTheme="majorBidi" w:hAnsiTheme="majorBidi" w:cstheme="majorBidi"/>
          <w:sz w:val="24"/>
          <w:szCs w:val="24"/>
          <w:lang w:bidi="ar-SA"/>
        </w:rPr>
      </w:pPr>
      <w:r w:rsidRPr="000D0071">
        <w:rPr>
          <w:rFonts w:asciiTheme="majorBidi" w:hAnsiTheme="majorBidi" w:cstheme="majorBidi"/>
          <w:sz w:val="24"/>
          <w:szCs w:val="24"/>
          <w:lang w:bidi="ar-SA"/>
        </w:rPr>
        <w:t>A</w:t>
      </w:r>
      <w:r w:rsidR="00A81099" w:rsidRPr="000D0071">
        <w:rPr>
          <w:rFonts w:asciiTheme="majorBidi" w:hAnsiTheme="majorBidi" w:cstheme="majorBidi"/>
          <w:sz w:val="24"/>
          <w:szCs w:val="24"/>
          <w:lang w:bidi="ar-SA"/>
        </w:rPr>
        <w:t>lthough STN was better in terms of improving action</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tremor, and GPi was relat</w:t>
      </w:r>
      <w:r w:rsidRPr="000D0071">
        <w:rPr>
          <w:rFonts w:asciiTheme="majorBidi" w:hAnsiTheme="majorBidi" w:cstheme="majorBidi"/>
          <w:sz w:val="24"/>
          <w:szCs w:val="24"/>
          <w:lang w:bidi="ar-SA"/>
        </w:rPr>
        <w:t xml:space="preserve">ed to </w:t>
      </w:r>
      <w:r w:rsidR="002F3953">
        <w:rPr>
          <w:rFonts w:asciiTheme="majorBidi" w:hAnsiTheme="majorBidi" w:cstheme="majorBidi"/>
          <w:sz w:val="24"/>
          <w:szCs w:val="24"/>
          <w:lang w:bidi="ar-SA"/>
        </w:rPr>
        <w:t>fewer</w:t>
      </w:r>
      <w:r w:rsidRPr="000D0071">
        <w:rPr>
          <w:rFonts w:asciiTheme="majorBidi" w:hAnsiTheme="majorBidi" w:cstheme="majorBidi"/>
          <w:sz w:val="24"/>
          <w:szCs w:val="24"/>
          <w:lang w:bidi="ar-SA"/>
        </w:rPr>
        <w:t xml:space="preserve"> adverse events</w:t>
      </w:r>
      <w:r w:rsidR="00A81099" w:rsidRPr="000D0071">
        <w:rPr>
          <w:rFonts w:asciiTheme="majorBidi" w:hAnsiTheme="majorBidi" w:cstheme="majorBidi"/>
          <w:sz w:val="24"/>
          <w:szCs w:val="24"/>
          <w:lang w:bidi="ar-SA"/>
        </w:rPr>
        <w:t>, it cannot prove the superiority of any</w:t>
      </w:r>
      <w:r w:rsidR="002F3953">
        <w:rPr>
          <w:rFonts w:asciiTheme="majorBidi" w:hAnsiTheme="majorBidi" w:cstheme="majorBidi"/>
          <w:sz w:val="24"/>
          <w:szCs w:val="24"/>
          <w:lang w:bidi="ar-SA"/>
        </w:rPr>
        <w:t xml:space="preserve"> </w:t>
      </w:r>
      <w:r w:rsidR="00A81099" w:rsidRPr="000D0071">
        <w:rPr>
          <w:rFonts w:asciiTheme="majorBidi" w:hAnsiTheme="majorBidi" w:cstheme="majorBidi"/>
          <w:sz w:val="24"/>
          <w:szCs w:val="24"/>
          <w:lang w:bidi="ar-SA"/>
        </w:rPr>
        <w:t xml:space="preserve">of the two targets. </w:t>
      </w:r>
      <w:r w:rsidR="002F3953">
        <w:rPr>
          <w:rFonts w:asciiTheme="majorBidi" w:hAnsiTheme="majorBidi" w:cstheme="majorBidi"/>
          <w:sz w:val="24"/>
          <w:szCs w:val="24"/>
          <w:lang w:bidi="ar-SA"/>
        </w:rPr>
        <w:t>More</w:t>
      </w:r>
      <w:r w:rsidR="00A81099" w:rsidRPr="000D0071">
        <w:rPr>
          <w:rFonts w:asciiTheme="majorBidi" w:hAnsiTheme="majorBidi" w:cstheme="majorBidi"/>
          <w:sz w:val="24"/>
          <w:szCs w:val="24"/>
          <w:lang w:bidi="ar-SA"/>
        </w:rPr>
        <w:t xml:space="preserve"> and more clinical trials with large sample </w:t>
      </w:r>
      <w:r w:rsidR="002F3953">
        <w:rPr>
          <w:rFonts w:asciiTheme="majorBidi" w:hAnsiTheme="majorBidi" w:cstheme="majorBidi"/>
          <w:sz w:val="24"/>
          <w:szCs w:val="24"/>
          <w:lang w:bidi="ar-SA"/>
        </w:rPr>
        <w:t>sizes</w:t>
      </w:r>
      <w:r w:rsidR="00A81099" w:rsidRPr="000D0071">
        <w:rPr>
          <w:rFonts w:asciiTheme="majorBidi" w:hAnsiTheme="majorBidi" w:cstheme="majorBidi"/>
          <w:sz w:val="24"/>
          <w:szCs w:val="24"/>
          <w:lang w:bidi="ar-SA"/>
        </w:rPr>
        <w:t>, longer follow-up</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periods</w:t>
      </w:r>
      <w:r w:rsidR="002F3953">
        <w:rPr>
          <w:rFonts w:asciiTheme="majorBidi" w:hAnsiTheme="majorBidi" w:cstheme="majorBidi"/>
          <w:sz w:val="24"/>
          <w:szCs w:val="24"/>
          <w:lang w:bidi="ar-SA"/>
        </w:rPr>
        <w:t>,</w:t>
      </w:r>
      <w:r w:rsidR="00A81099" w:rsidRPr="000D0071">
        <w:rPr>
          <w:rFonts w:asciiTheme="majorBidi" w:hAnsiTheme="majorBidi" w:cstheme="majorBidi"/>
          <w:sz w:val="24"/>
          <w:szCs w:val="24"/>
          <w:lang w:bidi="ar-SA"/>
        </w:rPr>
        <w:t xml:space="preserve"> and more specific outcome assessments are needed to conclude which target is definitely better.</w:t>
      </w:r>
    </w:p>
    <w:p w14:paraId="4B7F5A33" w14:textId="77777777" w:rsidR="00A81099"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sectPr w:rsidR="00A81099" w:rsidRPr="000D0071" w:rsidSect="00A81099">
          <w:footerReference w:type="default" r:id="rId8"/>
          <w:pgSz w:w="11906" w:h="16838"/>
          <w:pgMar w:top="1440" w:right="1440" w:bottom="1440" w:left="1440" w:header="709" w:footer="709" w:gutter="0"/>
          <w:lnNumType w:countBy="1" w:restart="continuous"/>
          <w:cols w:space="708"/>
          <w:rtlGutter/>
          <w:docGrid w:linePitch="360"/>
        </w:sectPr>
      </w:pPr>
    </w:p>
    <w:p w14:paraId="6FB445DE" w14:textId="77777777" w:rsidR="00A81099" w:rsidRPr="000D0071" w:rsidRDefault="00A81099" w:rsidP="00AD5452">
      <w:pPr>
        <w:pStyle w:val="a5"/>
        <w:keepNext/>
        <w:bidi w:val="0"/>
        <w:rPr>
          <w:sz w:val="24"/>
          <w:szCs w:val="24"/>
        </w:rPr>
      </w:pPr>
      <w:r w:rsidRPr="000D0071">
        <w:rPr>
          <w:sz w:val="24"/>
          <w:szCs w:val="24"/>
        </w:rPr>
        <w:lastRenderedPageBreak/>
        <w:t xml:space="preserve">Table </w:t>
      </w:r>
      <w:proofErr w:type="gramStart"/>
      <w:r w:rsidRPr="000D0071">
        <w:rPr>
          <w:sz w:val="24"/>
          <w:szCs w:val="24"/>
        </w:rPr>
        <w:t xml:space="preserve">1  </w:t>
      </w:r>
      <w:r w:rsidR="003F32C1" w:rsidRPr="000D0071">
        <w:rPr>
          <w:sz w:val="24"/>
          <w:szCs w:val="24"/>
        </w:rPr>
        <w:t>Main</w:t>
      </w:r>
      <w:proofErr w:type="gramEnd"/>
      <w:r w:rsidR="003F32C1" w:rsidRPr="000D0071">
        <w:rPr>
          <w:sz w:val="24"/>
          <w:szCs w:val="24"/>
        </w:rPr>
        <w:t xml:space="preserve"> characteristics of studies</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A81099" w:rsidRPr="000D0071" w14:paraId="3C5615E0" w14:textId="77777777" w:rsidTr="007C16A0">
        <w:tc>
          <w:tcPr>
            <w:tcW w:w="392" w:type="dxa"/>
          </w:tcPr>
          <w:p w14:paraId="71E952B3" w14:textId="77777777" w:rsidR="00A81099" w:rsidRPr="000D0071" w:rsidRDefault="00A81099" w:rsidP="00AD5452">
            <w:pPr>
              <w:bidi w:val="0"/>
              <w:jc w:val="both"/>
              <w:rPr>
                <w:rFonts w:asciiTheme="majorBidi" w:hAnsiTheme="majorBidi" w:cstheme="majorBidi"/>
                <w:sz w:val="24"/>
                <w:szCs w:val="24"/>
                <w:lang w:bidi="fa-IR"/>
              </w:rPr>
            </w:pPr>
          </w:p>
        </w:tc>
        <w:tc>
          <w:tcPr>
            <w:tcW w:w="1559" w:type="dxa"/>
          </w:tcPr>
          <w:p w14:paraId="1F16A36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reference</w:t>
            </w:r>
          </w:p>
        </w:tc>
        <w:tc>
          <w:tcPr>
            <w:tcW w:w="992" w:type="dxa"/>
          </w:tcPr>
          <w:p w14:paraId="4286679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target</w:t>
            </w:r>
          </w:p>
        </w:tc>
        <w:tc>
          <w:tcPr>
            <w:tcW w:w="1276" w:type="dxa"/>
          </w:tcPr>
          <w:p w14:paraId="39405A1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age</w:t>
            </w:r>
          </w:p>
        </w:tc>
        <w:tc>
          <w:tcPr>
            <w:tcW w:w="1418" w:type="dxa"/>
          </w:tcPr>
          <w:p w14:paraId="74CD804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Sample size</w:t>
            </w:r>
          </w:p>
        </w:tc>
        <w:tc>
          <w:tcPr>
            <w:tcW w:w="1842" w:type="dxa"/>
          </w:tcPr>
          <w:p w14:paraId="0ABEB55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on-period- baseline</w:t>
            </w:r>
          </w:p>
        </w:tc>
        <w:tc>
          <w:tcPr>
            <w:tcW w:w="1560" w:type="dxa"/>
          </w:tcPr>
          <w:p w14:paraId="513F1E7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off-period- baseline</w:t>
            </w:r>
          </w:p>
        </w:tc>
        <w:tc>
          <w:tcPr>
            <w:tcW w:w="1701" w:type="dxa"/>
          </w:tcPr>
          <w:p w14:paraId="7D80E25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Follow up period</w:t>
            </w:r>
          </w:p>
          <w:p w14:paraId="54773FE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(month)</w:t>
            </w:r>
          </w:p>
        </w:tc>
        <w:tc>
          <w:tcPr>
            <w:tcW w:w="1701" w:type="dxa"/>
          </w:tcPr>
          <w:p w14:paraId="7DDA575A" w14:textId="77777777" w:rsidR="00A81099" w:rsidRPr="000D0071" w:rsidRDefault="0078178C"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Location</w:t>
            </w:r>
          </w:p>
        </w:tc>
      </w:tr>
      <w:tr w:rsidR="00A81099" w:rsidRPr="000D0071" w14:paraId="6B72FDA9" w14:textId="77777777" w:rsidTr="007C16A0">
        <w:tc>
          <w:tcPr>
            <w:tcW w:w="392" w:type="dxa"/>
          </w:tcPr>
          <w:p w14:paraId="4D9207B8"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1</w:t>
            </w:r>
          </w:p>
        </w:tc>
        <w:tc>
          <w:tcPr>
            <w:tcW w:w="1559" w:type="dxa"/>
          </w:tcPr>
          <w:p w14:paraId="763EF36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680CED9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304A49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742ACE54"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fa-IR"/>
              </w:rPr>
              <w:t>59·1±</w:t>
            </w:r>
            <w:r w:rsidRPr="000D0071">
              <w:rPr>
                <w:rFonts w:asciiTheme="majorBidi" w:hAnsiTheme="majorBidi" w:cstheme="majorBidi"/>
                <w:sz w:val="24"/>
                <w:szCs w:val="24"/>
                <w:lang w:bidi="ku-Arab-IQ"/>
              </w:rPr>
              <w:t xml:space="preserve"> 7.8</w:t>
            </w:r>
          </w:p>
          <w:p w14:paraId="293A636E"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60.9</w:t>
            </w:r>
            <w:r w:rsidRPr="000D0071">
              <w:rPr>
                <w:rFonts w:asciiTheme="majorBidi" w:hAnsiTheme="majorBidi" w:cstheme="majorBidi"/>
                <w:sz w:val="24"/>
                <w:szCs w:val="24"/>
                <w:lang w:bidi="fa-IR"/>
              </w:rPr>
              <w:t>±</w:t>
            </w:r>
            <w:r w:rsidRPr="000D0071">
              <w:rPr>
                <w:rFonts w:asciiTheme="majorBidi" w:hAnsiTheme="majorBidi" w:cstheme="majorBidi"/>
                <w:sz w:val="24"/>
                <w:szCs w:val="24"/>
                <w:lang w:bidi="ku-Arab-IQ"/>
              </w:rPr>
              <w:t xml:space="preserve"> 7.6</w:t>
            </w:r>
          </w:p>
        </w:tc>
        <w:tc>
          <w:tcPr>
            <w:tcW w:w="1418" w:type="dxa"/>
          </w:tcPr>
          <w:p w14:paraId="400530A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w:t>
            </w:r>
          </w:p>
          <w:p w14:paraId="222756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w:t>
            </w:r>
          </w:p>
        </w:tc>
        <w:tc>
          <w:tcPr>
            <w:tcW w:w="1842" w:type="dxa"/>
          </w:tcPr>
          <w:p w14:paraId="5A38ABF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16±8</w:t>
            </w:r>
          </w:p>
          <w:p w14:paraId="4B29175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17±9.9</w:t>
            </w:r>
          </w:p>
        </w:tc>
        <w:tc>
          <w:tcPr>
            <w:tcW w:w="1560" w:type="dxa"/>
          </w:tcPr>
          <w:p w14:paraId="02722A5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43.8±13.5</w:t>
            </w:r>
          </w:p>
          <w:p w14:paraId="70CE55F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44.4±15.5</w:t>
            </w:r>
          </w:p>
        </w:tc>
        <w:tc>
          <w:tcPr>
            <w:tcW w:w="1701" w:type="dxa"/>
          </w:tcPr>
          <w:p w14:paraId="36C4DE3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14:paraId="398CD92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14:paraId="47EA8F61" w14:textId="77777777" w:rsidTr="007C16A0">
        <w:tc>
          <w:tcPr>
            <w:tcW w:w="392" w:type="dxa"/>
          </w:tcPr>
          <w:p w14:paraId="357A367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w:t>
            </w:r>
          </w:p>
        </w:tc>
        <w:tc>
          <w:tcPr>
            <w:tcW w:w="1559" w:type="dxa"/>
          </w:tcPr>
          <w:p w14:paraId="2C87D5E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Troche</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4" w:tooltip="Troche, 2014 #649" w:history="1">
              <w:r w:rsidR="00A9207F" w:rsidRPr="000D0071">
                <w:rPr>
                  <w:rFonts w:asciiTheme="majorBidi" w:hAnsiTheme="majorBidi" w:cstheme="majorBidi"/>
                  <w:noProof/>
                  <w:sz w:val="24"/>
                  <w:szCs w:val="24"/>
                </w:rPr>
                <w:t>14</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2270AD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ED7ABD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2E8AAA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64.26±8.79</w:t>
            </w:r>
          </w:p>
          <w:p w14:paraId="02E6B39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66.5±7.02</w:t>
            </w:r>
          </w:p>
        </w:tc>
        <w:tc>
          <w:tcPr>
            <w:tcW w:w="1418" w:type="dxa"/>
          </w:tcPr>
          <w:p w14:paraId="6783635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19</w:t>
            </w:r>
          </w:p>
          <w:p w14:paraId="3686099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tc>
        <w:tc>
          <w:tcPr>
            <w:tcW w:w="1842" w:type="dxa"/>
          </w:tcPr>
          <w:p w14:paraId="4F2BF88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23.13±6.73</w:t>
            </w:r>
          </w:p>
          <w:p w14:paraId="64E9E56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23.43±10.64</w:t>
            </w:r>
          </w:p>
        </w:tc>
        <w:tc>
          <w:tcPr>
            <w:tcW w:w="1560" w:type="dxa"/>
          </w:tcPr>
          <w:p w14:paraId="7C12672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39.89±11.06</w:t>
            </w:r>
          </w:p>
          <w:p w14:paraId="690C08A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35.93±8.98</w:t>
            </w:r>
          </w:p>
        </w:tc>
        <w:tc>
          <w:tcPr>
            <w:tcW w:w="1701" w:type="dxa"/>
          </w:tcPr>
          <w:p w14:paraId="0DB3CAA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6 </w:t>
            </w:r>
          </w:p>
        </w:tc>
        <w:tc>
          <w:tcPr>
            <w:tcW w:w="1701" w:type="dxa"/>
          </w:tcPr>
          <w:p w14:paraId="45722B0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34457327" w14:textId="77777777" w:rsidTr="007C16A0">
        <w:tc>
          <w:tcPr>
            <w:tcW w:w="392" w:type="dxa"/>
          </w:tcPr>
          <w:p w14:paraId="0C8B472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w:t>
            </w:r>
          </w:p>
        </w:tc>
        <w:tc>
          <w:tcPr>
            <w:tcW w:w="1559" w:type="dxa"/>
          </w:tcPr>
          <w:p w14:paraId="563608A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5" w:tooltip="Odekerken, 2016 #651" w:history="1">
              <w:r w:rsidR="00A9207F" w:rsidRPr="000D0071">
                <w:rPr>
                  <w:rFonts w:asciiTheme="majorBidi" w:hAnsiTheme="majorBidi" w:cstheme="majorBidi"/>
                  <w:noProof/>
                  <w:sz w:val="24"/>
                  <w:szCs w:val="24"/>
                </w:rPr>
                <w:t>15</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1F7965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424F31A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733036A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59.1±7.8</w:t>
            </w:r>
          </w:p>
          <w:p w14:paraId="1BAE330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60.9±7.6</w:t>
            </w:r>
          </w:p>
        </w:tc>
        <w:tc>
          <w:tcPr>
            <w:tcW w:w="1418" w:type="dxa"/>
          </w:tcPr>
          <w:p w14:paraId="04E7BB5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490B4D8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w:t>
            </w:r>
          </w:p>
        </w:tc>
        <w:tc>
          <w:tcPr>
            <w:tcW w:w="1842" w:type="dxa"/>
          </w:tcPr>
          <w:p w14:paraId="51AAFC9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27A98CB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2E8924F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w:t>
            </w:r>
          </w:p>
        </w:tc>
        <w:tc>
          <w:tcPr>
            <w:tcW w:w="1701" w:type="dxa"/>
          </w:tcPr>
          <w:p w14:paraId="5E5C370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701" w:type="dxa"/>
          </w:tcPr>
          <w:p w14:paraId="12B7E7D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14:paraId="47E16476" w14:textId="77777777" w:rsidTr="007C16A0">
        <w:tc>
          <w:tcPr>
            <w:tcW w:w="392" w:type="dxa"/>
          </w:tcPr>
          <w:p w14:paraId="675F6F6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w:t>
            </w:r>
          </w:p>
        </w:tc>
        <w:tc>
          <w:tcPr>
            <w:tcW w:w="1559" w:type="dxa"/>
          </w:tcPr>
          <w:p w14:paraId="534223F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Gong</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&lt;EndNote&gt;&lt;Cite&gt;&lt;Author&gt;Gong&lt;/Author&gt;&lt;Year&gt;2020&lt;/Year&gt;&lt;RecNum&gt;317&lt;/RecNum&gt;&lt;DisplayText&gt;[16]&lt;/DisplayText&gt;&lt;record&gt;&lt;rec-number&gt;317&lt;/rec-number&gt;&lt;foreign-keys&gt;&lt;key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6" w:tooltip="Gong, 2020 #652" w:history="1">
              <w:r w:rsidR="00A9207F" w:rsidRPr="000D0071">
                <w:rPr>
                  <w:rFonts w:asciiTheme="majorBidi" w:hAnsiTheme="majorBidi" w:cstheme="majorBidi"/>
                  <w:noProof/>
                  <w:sz w:val="24"/>
                  <w:szCs w:val="24"/>
                </w:rPr>
                <w:t>16</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2B6A177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20120EB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6FCA381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63.2±9.1</w:t>
            </w:r>
          </w:p>
          <w:p w14:paraId="3BD6FFD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62.3±10.4</w:t>
            </w:r>
          </w:p>
        </w:tc>
        <w:tc>
          <w:tcPr>
            <w:tcW w:w="1418" w:type="dxa"/>
          </w:tcPr>
          <w:p w14:paraId="422165D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28</w:t>
            </w:r>
          </w:p>
          <w:p w14:paraId="164C022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842" w:type="dxa"/>
          </w:tcPr>
          <w:p w14:paraId="7CFB7C5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26.2±7.5</w:t>
            </w:r>
          </w:p>
          <w:p w14:paraId="56DDFE3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29.0±10.0</w:t>
            </w:r>
          </w:p>
        </w:tc>
        <w:tc>
          <w:tcPr>
            <w:tcW w:w="1560" w:type="dxa"/>
          </w:tcPr>
          <w:p w14:paraId="1D6E00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701" w:type="dxa"/>
          </w:tcPr>
          <w:p w14:paraId="201A33D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4 </w:t>
            </w:r>
          </w:p>
        </w:tc>
        <w:tc>
          <w:tcPr>
            <w:tcW w:w="1701" w:type="dxa"/>
          </w:tcPr>
          <w:p w14:paraId="2843B0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61011278" w14:textId="77777777" w:rsidTr="007C16A0">
        <w:tc>
          <w:tcPr>
            <w:tcW w:w="392" w:type="dxa"/>
          </w:tcPr>
          <w:p w14:paraId="2CD7D61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w:t>
            </w:r>
          </w:p>
        </w:tc>
        <w:tc>
          <w:tcPr>
            <w:tcW w:w="1559" w:type="dxa"/>
          </w:tcPr>
          <w:p w14:paraId="6F3DE8C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Fan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Ying&lt;/author&gt;&lt;author&gt;Wang, Kai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Lei&lt;/author&gt;&lt;author&gt;Wang, Qiao&lt;/author&gt;&lt;author&gt;Michitomo, Shimabukuro&lt;/author&gt;&lt;author&gt;Zhang, Jian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7" w:tooltip="Fan, 2020 #653" w:history="1">
              <w:r w:rsidR="00A9207F" w:rsidRPr="000D0071">
                <w:rPr>
                  <w:rFonts w:asciiTheme="majorBidi" w:hAnsiTheme="majorBidi" w:cstheme="majorBidi"/>
                  <w:noProof/>
                  <w:sz w:val="24"/>
                  <w:szCs w:val="24"/>
                </w:rPr>
                <w:t>17</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351911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1DC5615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383528D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60.43±8.44</w:t>
            </w:r>
          </w:p>
          <w:p w14:paraId="6A6D9EB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59.65±9.11</w:t>
            </w:r>
          </w:p>
        </w:tc>
        <w:tc>
          <w:tcPr>
            <w:tcW w:w="1418" w:type="dxa"/>
          </w:tcPr>
          <w:p w14:paraId="0A6DE88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w:t>
            </w:r>
          </w:p>
          <w:p w14:paraId="357E896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w:t>
            </w:r>
          </w:p>
        </w:tc>
        <w:tc>
          <w:tcPr>
            <w:tcW w:w="1842" w:type="dxa"/>
          </w:tcPr>
          <w:p w14:paraId="52698EF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369E076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50.68±15.36</w:t>
            </w:r>
          </w:p>
          <w:p w14:paraId="678DB47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47.85±14.95</w:t>
            </w:r>
          </w:p>
        </w:tc>
        <w:tc>
          <w:tcPr>
            <w:tcW w:w="1701" w:type="dxa"/>
          </w:tcPr>
          <w:p w14:paraId="4250CA6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18.26±8.38 and </w:t>
            </w:r>
          </w:p>
          <w:p w14:paraId="307128A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21.60±8.79</w:t>
            </w:r>
          </w:p>
          <w:p w14:paraId="00319611" w14:textId="77777777" w:rsidR="00A81099" w:rsidRPr="000D0071" w:rsidRDefault="00A81099" w:rsidP="00AD5452">
            <w:pPr>
              <w:bidi w:val="0"/>
              <w:jc w:val="both"/>
              <w:rPr>
                <w:rFonts w:asciiTheme="majorBidi" w:hAnsiTheme="majorBidi" w:cstheme="majorBidi"/>
                <w:sz w:val="24"/>
                <w:szCs w:val="24"/>
                <w:lang w:bidi="fa-IR"/>
              </w:rPr>
            </w:pPr>
          </w:p>
        </w:tc>
        <w:tc>
          <w:tcPr>
            <w:tcW w:w="1701" w:type="dxa"/>
          </w:tcPr>
          <w:p w14:paraId="0956C64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1EB62832" w14:textId="77777777" w:rsidTr="007C16A0">
        <w:tc>
          <w:tcPr>
            <w:tcW w:w="392" w:type="dxa"/>
          </w:tcPr>
          <w:p w14:paraId="012E5FCD" w14:textId="77777777"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559" w:type="dxa"/>
          </w:tcPr>
          <w:p w14:paraId="6B1DFA56" w14:textId="77777777"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Celiker</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&lt;EndNote&gt;&lt;Cite&gt;&lt;Author&gt;Celiker&lt;/Author&gt;&lt;Year&gt;2019&lt;/Year&gt;&lt;RecNum&gt;320&lt;/RecNum&gt;&lt;DisplayText&gt;[20]&lt;/DisplayText&gt;&lt;record&gt;&lt;rec-number&gt;320&lt;/rec-number&gt;&lt;foreign-keys&gt;&lt;key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20" w:tooltip="Celiker, 2019 #320" w:history="1">
              <w:r w:rsidR="00A9207F" w:rsidRPr="000D0071">
                <w:rPr>
                  <w:rFonts w:asciiTheme="majorBidi" w:hAnsiTheme="majorBidi" w:cstheme="majorBidi"/>
                  <w:noProof/>
                  <w:sz w:val="24"/>
                  <w:szCs w:val="24"/>
                </w:rPr>
                <w:t>20</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8199E4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09DA7B9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DC4095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54±4.51</w:t>
            </w:r>
          </w:p>
          <w:p w14:paraId="04A69B3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56.16±9.6</w:t>
            </w:r>
          </w:p>
        </w:tc>
        <w:tc>
          <w:tcPr>
            <w:tcW w:w="1418" w:type="dxa"/>
          </w:tcPr>
          <w:p w14:paraId="069D02D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p w14:paraId="5083C47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842" w:type="dxa"/>
          </w:tcPr>
          <w:p w14:paraId="6A1587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22.50±6.65</w:t>
            </w:r>
          </w:p>
          <w:p w14:paraId="57005F3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22.16±6.55</w:t>
            </w:r>
          </w:p>
        </w:tc>
        <w:tc>
          <w:tcPr>
            <w:tcW w:w="1560" w:type="dxa"/>
          </w:tcPr>
          <w:p w14:paraId="445177E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49.00±13.57</w:t>
            </w:r>
          </w:p>
          <w:p w14:paraId="0471B83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47.00±14.01</w:t>
            </w:r>
          </w:p>
        </w:tc>
        <w:tc>
          <w:tcPr>
            <w:tcW w:w="1701" w:type="dxa"/>
          </w:tcPr>
          <w:p w14:paraId="19B564B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24 </w:t>
            </w:r>
          </w:p>
        </w:tc>
        <w:tc>
          <w:tcPr>
            <w:tcW w:w="1701" w:type="dxa"/>
          </w:tcPr>
          <w:p w14:paraId="5EE5533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0A8E9A69" w14:textId="77777777" w:rsidTr="007C16A0">
        <w:tc>
          <w:tcPr>
            <w:tcW w:w="392" w:type="dxa"/>
          </w:tcPr>
          <w:p w14:paraId="4D30B70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7</w:t>
            </w:r>
          </w:p>
        </w:tc>
        <w:tc>
          <w:tcPr>
            <w:tcW w:w="1559" w:type="dxa"/>
          </w:tcPr>
          <w:p w14:paraId="60E9FE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Okun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9" w:tooltip="Okun, 2014 #656" w:history="1">
              <w:r w:rsidR="00A9207F" w:rsidRPr="000D0071">
                <w:rPr>
                  <w:rFonts w:asciiTheme="majorBidi" w:hAnsiTheme="majorBidi" w:cstheme="majorBidi"/>
                  <w:noProof/>
                  <w:sz w:val="24"/>
                  <w:szCs w:val="24"/>
                </w:rPr>
                <w:t>19</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0BDFE87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27E604B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3E4F67A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60.1±5.5</w:t>
            </w:r>
          </w:p>
          <w:p w14:paraId="07491C1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58.0±10.7</w:t>
            </w:r>
          </w:p>
        </w:tc>
        <w:tc>
          <w:tcPr>
            <w:tcW w:w="1418" w:type="dxa"/>
          </w:tcPr>
          <w:p w14:paraId="1AC823D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p w14:paraId="0B145F8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w:t>
            </w:r>
          </w:p>
        </w:tc>
        <w:tc>
          <w:tcPr>
            <w:tcW w:w="1842" w:type="dxa"/>
          </w:tcPr>
          <w:p w14:paraId="27A279A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20.8±8.68</w:t>
            </w:r>
          </w:p>
          <w:p w14:paraId="1F21651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21.3±7.56</w:t>
            </w:r>
          </w:p>
        </w:tc>
        <w:tc>
          <w:tcPr>
            <w:tcW w:w="1560" w:type="dxa"/>
          </w:tcPr>
          <w:p w14:paraId="5F30EFE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40.5±11.2</w:t>
            </w:r>
          </w:p>
          <w:p w14:paraId="736FB5F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41.2±9.32</w:t>
            </w:r>
          </w:p>
        </w:tc>
        <w:tc>
          <w:tcPr>
            <w:tcW w:w="1701" w:type="dxa"/>
          </w:tcPr>
          <w:p w14:paraId="1FA406F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p w14:paraId="72ACFE56" w14:textId="77777777" w:rsidR="00A81099" w:rsidRPr="000D0071" w:rsidRDefault="00A81099" w:rsidP="00AD5452">
            <w:pPr>
              <w:bidi w:val="0"/>
              <w:jc w:val="both"/>
              <w:rPr>
                <w:rFonts w:asciiTheme="majorBidi" w:hAnsiTheme="majorBidi" w:cstheme="majorBidi"/>
                <w:sz w:val="24"/>
                <w:szCs w:val="24"/>
                <w:lang w:bidi="fa-IR"/>
              </w:rPr>
            </w:pPr>
          </w:p>
        </w:tc>
        <w:tc>
          <w:tcPr>
            <w:tcW w:w="1701" w:type="dxa"/>
          </w:tcPr>
          <w:p w14:paraId="71A60EB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r w:rsidR="00A81099" w:rsidRPr="000D0071" w14:paraId="37778562" w14:textId="77777777" w:rsidTr="007C16A0">
        <w:tc>
          <w:tcPr>
            <w:tcW w:w="392" w:type="dxa"/>
          </w:tcPr>
          <w:p w14:paraId="1BC6563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8</w:t>
            </w:r>
          </w:p>
        </w:tc>
        <w:tc>
          <w:tcPr>
            <w:tcW w:w="1559" w:type="dxa"/>
          </w:tcPr>
          <w:p w14:paraId="22E6F61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Wong</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8" w:tooltip="Wong, 2020 #654" w:history="1">
              <w:r w:rsidR="00A9207F" w:rsidRPr="000D0071">
                <w:rPr>
                  <w:rFonts w:asciiTheme="majorBidi" w:hAnsiTheme="majorBidi" w:cstheme="majorBidi"/>
                  <w:noProof/>
                  <w:sz w:val="24"/>
                  <w:szCs w:val="24"/>
                </w:rPr>
                <w:t>18</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117BB65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20EBCE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A711A6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63±8.12</w:t>
            </w:r>
          </w:p>
          <w:p w14:paraId="000F5F6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61±10.33</w:t>
            </w:r>
          </w:p>
        </w:tc>
        <w:tc>
          <w:tcPr>
            <w:tcW w:w="1418" w:type="dxa"/>
          </w:tcPr>
          <w:p w14:paraId="68CCA94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31</w:t>
            </w:r>
          </w:p>
          <w:p w14:paraId="0E87942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57</w:t>
            </w:r>
          </w:p>
        </w:tc>
        <w:tc>
          <w:tcPr>
            <w:tcW w:w="1842" w:type="dxa"/>
          </w:tcPr>
          <w:p w14:paraId="024AEDC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0F91278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47.32±11.79</w:t>
            </w:r>
          </w:p>
          <w:p w14:paraId="4EA5B13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44.12±10.45</w:t>
            </w:r>
          </w:p>
        </w:tc>
        <w:tc>
          <w:tcPr>
            <w:tcW w:w="1701" w:type="dxa"/>
          </w:tcPr>
          <w:p w14:paraId="458CA00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14:paraId="3EE377C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bl>
    <w:p w14:paraId="7F44C3E2" w14:textId="1E9E1B97" w:rsidR="008F60CC"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Data </w:t>
      </w:r>
      <w:r w:rsidR="007A10C7" w:rsidRPr="000D0071">
        <w:rPr>
          <w:rFonts w:asciiTheme="majorBidi" w:hAnsiTheme="majorBidi" w:cstheme="majorBidi"/>
          <w:sz w:val="24"/>
          <w:szCs w:val="24"/>
        </w:rPr>
        <w:t xml:space="preserve">presented </w:t>
      </w:r>
      <w:r w:rsidRPr="000D0071">
        <w:rPr>
          <w:rFonts w:asciiTheme="majorBidi" w:hAnsiTheme="majorBidi" w:cstheme="majorBidi"/>
          <w:sz w:val="24"/>
          <w:szCs w:val="24"/>
        </w:rPr>
        <w:t xml:space="preserve">as </w:t>
      </w:r>
      <w:proofErr w:type="spellStart"/>
      <w:r w:rsidRPr="000D0071">
        <w:rPr>
          <w:rFonts w:asciiTheme="majorBidi" w:hAnsiTheme="majorBidi" w:cstheme="majorBidi"/>
          <w:sz w:val="24"/>
          <w:szCs w:val="24"/>
        </w:rPr>
        <w:t>Mean±SD</w:t>
      </w:r>
      <w:proofErr w:type="spellEnd"/>
    </w:p>
    <w:p w14:paraId="0C1BB9A7"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1EADFB96"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13995AA6"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7D374BC5"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4D62D0FB"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2F8164E"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sectPr w:rsidR="008F60CC" w:rsidRPr="000D0071" w:rsidSect="008F60CC">
          <w:pgSz w:w="16838" w:h="11906" w:orient="landscape"/>
          <w:pgMar w:top="1440" w:right="1440" w:bottom="1440" w:left="1440" w:header="709" w:footer="709" w:gutter="0"/>
          <w:lnNumType w:countBy="1" w:restart="continuous"/>
          <w:cols w:space="708"/>
          <w:rtlGutter/>
          <w:docGrid w:linePitch="360"/>
        </w:sectPr>
      </w:pPr>
    </w:p>
    <w:p w14:paraId="627CA878"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357E047"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b/>
          <w:bCs/>
          <w:sz w:val="24"/>
          <w:szCs w:val="24"/>
        </w:rPr>
        <w:t>DECLARATIONS</w:t>
      </w:r>
    </w:p>
    <w:p w14:paraId="3D43F815"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Acknowledgments</w:t>
      </w:r>
    </w:p>
    <w:p w14:paraId="739113DE"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 xml:space="preserve">The author would like to express his gratitude to the Clinical Research Development Unit of Imam Khomeini Hospital, Urmia University of Medical Sciences, for English editing, especially Dr. </w:t>
      </w:r>
      <w:proofErr w:type="spellStart"/>
      <w:r w:rsidRPr="000D0071">
        <w:rPr>
          <w:rFonts w:asciiTheme="majorBidi" w:hAnsiTheme="majorBidi" w:cstheme="majorBidi"/>
          <w:sz w:val="24"/>
          <w:szCs w:val="24"/>
        </w:rPr>
        <w:t>Nazila</w:t>
      </w:r>
      <w:proofErr w:type="spellEnd"/>
      <w:r w:rsidRPr="000D0071">
        <w:rPr>
          <w:rFonts w:asciiTheme="majorBidi" w:hAnsiTheme="majorBidi" w:cstheme="majorBidi"/>
          <w:sz w:val="24"/>
          <w:szCs w:val="24"/>
        </w:rPr>
        <w:t xml:space="preserve"> Farrokh </w:t>
      </w:r>
      <w:proofErr w:type="spellStart"/>
      <w:r w:rsidRPr="000D0071">
        <w:rPr>
          <w:rFonts w:asciiTheme="majorBidi" w:hAnsiTheme="majorBidi" w:cstheme="majorBidi"/>
          <w:sz w:val="24"/>
          <w:szCs w:val="24"/>
        </w:rPr>
        <w:t>Eslamloo</w:t>
      </w:r>
      <w:proofErr w:type="spellEnd"/>
      <w:r w:rsidR="007311FA" w:rsidRPr="000D0071">
        <w:rPr>
          <w:rFonts w:asciiTheme="majorBidi" w:hAnsiTheme="majorBidi" w:cstheme="majorBidi"/>
          <w:sz w:val="24"/>
          <w:szCs w:val="24"/>
        </w:rPr>
        <w:t>.</w:t>
      </w:r>
    </w:p>
    <w:p w14:paraId="1FB42E7A"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Authors’ contributions</w:t>
      </w:r>
    </w:p>
    <w:p w14:paraId="5E67B77D"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The author contributed solely to the article</w:t>
      </w:r>
    </w:p>
    <w:p w14:paraId="4BF726F4"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Availability of data and materials</w:t>
      </w:r>
      <w:r w:rsidRPr="000D0071">
        <w:rPr>
          <w:rFonts w:asciiTheme="majorBidi" w:hAnsiTheme="majorBidi" w:cs="Times New Roman"/>
          <w:b/>
          <w:bCs/>
          <w:sz w:val="24"/>
          <w:szCs w:val="24"/>
          <w:rtl/>
        </w:rPr>
        <w:t xml:space="preserve"> </w:t>
      </w:r>
    </w:p>
    <w:p w14:paraId="639E31BC"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Not applicable</w:t>
      </w:r>
    </w:p>
    <w:p w14:paraId="46E6E3FF"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Financial support and sponsorship</w:t>
      </w:r>
    </w:p>
    <w:p w14:paraId="22C57A4A"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None</w:t>
      </w:r>
    </w:p>
    <w:p w14:paraId="0CF13BC2"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Conflicts of interest</w:t>
      </w:r>
    </w:p>
    <w:p w14:paraId="1D8E30E9"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Single author - None</w:t>
      </w:r>
    </w:p>
    <w:p w14:paraId="72F70D4B"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Ethical approval and consent to participate</w:t>
      </w:r>
    </w:p>
    <w:p w14:paraId="0AC5EE5C" w14:textId="77777777" w:rsidR="00870BD8" w:rsidRPr="000D0071" w:rsidRDefault="00870BD8"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Not applicable.</w:t>
      </w:r>
    </w:p>
    <w:p w14:paraId="6655F97D" w14:textId="77777777" w:rsidR="00A22302" w:rsidRDefault="00A22302" w:rsidP="00AD5452">
      <w:pPr>
        <w:bidi w:val="0"/>
        <w:spacing w:line="240" w:lineRule="auto"/>
        <w:jc w:val="both"/>
        <w:rPr>
          <w:rFonts w:asciiTheme="majorBidi" w:hAnsiTheme="majorBidi" w:cstheme="majorBidi"/>
        </w:rPr>
      </w:pPr>
    </w:p>
    <w:p w14:paraId="1AC9BBB4" w14:textId="77777777" w:rsidR="00134161" w:rsidRPr="00AB6C58" w:rsidRDefault="00A51AE3" w:rsidP="00AD5452">
      <w:pPr>
        <w:bidi w:val="0"/>
        <w:spacing w:line="240" w:lineRule="auto"/>
        <w:jc w:val="both"/>
        <w:rPr>
          <w:rFonts w:asciiTheme="majorBidi" w:hAnsiTheme="majorBidi" w:cstheme="majorBidi"/>
          <w:b/>
          <w:bCs/>
        </w:rPr>
      </w:pPr>
      <w:r w:rsidRPr="00710C7F">
        <w:rPr>
          <w:rFonts w:asciiTheme="majorBidi" w:hAnsiTheme="majorBidi" w:cstheme="majorBidi"/>
          <w:b/>
          <w:bCs/>
        </w:rPr>
        <w:t>References</w:t>
      </w:r>
    </w:p>
    <w:p w14:paraId="4832AE4C" w14:textId="77777777" w:rsidR="00134161" w:rsidRDefault="00134161" w:rsidP="00AD5452">
      <w:pPr>
        <w:tabs>
          <w:tab w:val="left" w:pos="3256"/>
        </w:tabs>
        <w:bidi w:val="0"/>
        <w:spacing w:line="240" w:lineRule="auto"/>
        <w:rPr>
          <w:rFonts w:asciiTheme="majorBidi" w:hAnsiTheme="majorBidi" w:cstheme="majorBidi"/>
        </w:rPr>
      </w:pPr>
    </w:p>
    <w:p w14:paraId="5B558581" w14:textId="77777777" w:rsidR="00A9207F" w:rsidRPr="00A9207F" w:rsidRDefault="00134161" w:rsidP="00AD5452">
      <w:pPr>
        <w:bidi w:val="0"/>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0" w:name="_ENREF_1"/>
      <w:r w:rsidR="00A9207F" w:rsidRPr="00A9207F">
        <w:rPr>
          <w:rFonts w:ascii="Calibri" w:hAnsi="Calibri" w:cstheme="majorBidi"/>
          <w:noProof/>
        </w:rPr>
        <w:t>1.</w:t>
      </w:r>
      <w:r w:rsidR="00A9207F" w:rsidRPr="00A9207F">
        <w:rPr>
          <w:rFonts w:ascii="Calibri" w:hAnsi="Calibri" w:cstheme="majorBidi"/>
          <w:noProof/>
        </w:rPr>
        <w:tab/>
        <w:t>Blauwendraat C, Nalls MA, Singleton AB. The genetic architecture of Parkinson's disease. The Lancet Neurology. 2020;19(2):170-8.</w:t>
      </w:r>
      <w:bookmarkEnd w:id="0"/>
    </w:p>
    <w:p w14:paraId="7AEF9547" w14:textId="77777777" w:rsidR="00A9207F" w:rsidRPr="00A9207F" w:rsidRDefault="00A9207F" w:rsidP="00AD5452">
      <w:pPr>
        <w:bidi w:val="0"/>
        <w:spacing w:after="0" w:line="240" w:lineRule="auto"/>
        <w:rPr>
          <w:rFonts w:ascii="Calibri" w:hAnsi="Calibri" w:cstheme="majorBidi"/>
          <w:noProof/>
        </w:rPr>
      </w:pPr>
      <w:bookmarkStart w:id="1" w:name="_ENREF_2"/>
      <w:r w:rsidRPr="00A9207F">
        <w:rPr>
          <w:rFonts w:ascii="Calibri" w:hAnsi="Calibri" w:cstheme="majorBidi"/>
          <w:noProof/>
        </w:rPr>
        <w:t>2.</w:t>
      </w:r>
      <w:r w:rsidRPr="00A9207F">
        <w:rPr>
          <w:rFonts w:ascii="Calibri" w:hAnsi="Calibri" w:cstheme="majorBidi"/>
          <w:noProof/>
        </w:rPr>
        <w:tab/>
        <w:t>Raza C, Anjum R. Parkinson's disease: Mechanisms, translational models and management strategies. Life sciences. 2019;226:77-90.</w:t>
      </w:r>
      <w:bookmarkEnd w:id="1"/>
    </w:p>
    <w:p w14:paraId="543EC8D1" w14:textId="77777777" w:rsidR="00A9207F" w:rsidRPr="00A9207F" w:rsidRDefault="00A9207F" w:rsidP="00AD5452">
      <w:pPr>
        <w:bidi w:val="0"/>
        <w:spacing w:after="0" w:line="240" w:lineRule="auto"/>
        <w:rPr>
          <w:rFonts w:ascii="Calibri" w:hAnsi="Calibri" w:cstheme="majorBidi"/>
          <w:noProof/>
        </w:rPr>
      </w:pPr>
      <w:bookmarkStart w:id="2" w:name="_ENREF_3"/>
      <w:r w:rsidRPr="00A9207F">
        <w:rPr>
          <w:rFonts w:ascii="Calibri" w:hAnsi="Calibri" w:cstheme="majorBidi"/>
          <w:noProof/>
        </w:rPr>
        <w:t>3.</w:t>
      </w:r>
      <w:r w:rsidRPr="00A9207F">
        <w:rPr>
          <w:rFonts w:ascii="Calibri" w:hAnsi="Calibri" w:cstheme="majorBidi"/>
          <w:noProof/>
        </w:rPr>
        <w:tab/>
        <w:t>Tysnes O-B, Storstein A. Epidemiology of Parkinson’s disease. Journal of neural transmission. 2017;124(8):901-5.</w:t>
      </w:r>
      <w:bookmarkEnd w:id="2"/>
    </w:p>
    <w:p w14:paraId="07AAD5DE" w14:textId="77777777" w:rsidR="00A9207F" w:rsidRPr="00A9207F" w:rsidRDefault="00A9207F" w:rsidP="00AD5452">
      <w:pPr>
        <w:bidi w:val="0"/>
        <w:spacing w:after="0" w:line="240" w:lineRule="auto"/>
        <w:rPr>
          <w:rFonts w:ascii="Calibri" w:hAnsi="Calibri" w:cstheme="majorBidi"/>
          <w:noProof/>
        </w:rPr>
      </w:pPr>
      <w:bookmarkStart w:id="3" w:name="_ENREF_4"/>
      <w:r w:rsidRPr="00A9207F">
        <w:rPr>
          <w:rFonts w:ascii="Calibri" w:hAnsi="Calibri" w:cstheme="majorBidi"/>
          <w:noProof/>
        </w:rPr>
        <w:t>4.</w:t>
      </w:r>
      <w:r w:rsidRPr="00A9207F">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3"/>
    </w:p>
    <w:p w14:paraId="3FDB5441" w14:textId="77777777" w:rsidR="00A9207F" w:rsidRPr="00A9207F" w:rsidRDefault="00A9207F" w:rsidP="00AD5452">
      <w:pPr>
        <w:bidi w:val="0"/>
        <w:spacing w:after="0" w:line="240" w:lineRule="auto"/>
        <w:rPr>
          <w:rFonts w:ascii="Calibri" w:hAnsi="Calibri" w:cstheme="majorBidi"/>
          <w:noProof/>
        </w:rPr>
      </w:pPr>
      <w:bookmarkStart w:id="4" w:name="_ENREF_5"/>
      <w:r w:rsidRPr="00A9207F">
        <w:rPr>
          <w:rFonts w:ascii="Calibri" w:hAnsi="Calibri" w:cstheme="majorBidi"/>
          <w:noProof/>
        </w:rPr>
        <w:t>5.</w:t>
      </w:r>
      <w:r w:rsidRPr="00A9207F">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4"/>
    </w:p>
    <w:p w14:paraId="5C3C1AB4" w14:textId="77777777" w:rsidR="00A9207F" w:rsidRPr="00A9207F" w:rsidRDefault="00A9207F" w:rsidP="00AD5452">
      <w:pPr>
        <w:bidi w:val="0"/>
        <w:spacing w:after="0" w:line="240" w:lineRule="auto"/>
        <w:rPr>
          <w:rFonts w:ascii="Calibri" w:hAnsi="Calibri" w:cstheme="majorBidi"/>
          <w:noProof/>
        </w:rPr>
      </w:pPr>
      <w:bookmarkStart w:id="5" w:name="_ENREF_6"/>
      <w:r w:rsidRPr="00A9207F">
        <w:rPr>
          <w:rFonts w:ascii="Calibri" w:hAnsi="Calibri" w:cstheme="majorBidi"/>
          <w:noProof/>
        </w:rPr>
        <w:t>6.</w:t>
      </w:r>
      <w:r w:rsidRPr="00A9207F">
        <w:rPr>
          <w:rFonts w:ascii="Calibri" w:hAnsi="Calibri" w:cstheme="majorBidi"/>
          <w:noProof/>
        </w:rPr>
        <w:tab/>
        <w:t>de Bie RM, Clarke CE, Espay AJ, Fox SH, Lang AE. Initiation of pharmacological therapy in Parkinson's disease: when, why, and how. The Lancet Neurology. 2020;19(5):452-61.</w:t>
      </w:r>
      <w:bookmarkEnd w:id="5"/>
    </w:p>
    <w:p w14:paraId="08D9441C" w14:textId="77777777" w:rsidR="00A9207F" w:rsidRPr="00A9207F" w:rsidRDefault="00A9207F" w:rsidP="00AD5452">
      <w:pPr>
        <w:bidi w:val="0"/>
        <w:spacing w:after="0" w:line="240" w:lineRule="auto"/>
        <w:rPr>
          <w:rFonts w:ascii="Calibri" w:hAnsi="Calibri" w:cstheme="majorBidi"/>
          <w:noProof/>
        </w:rPr>
      </w:pPr>
      <w:bookmarkStart w:id="6" w:name="_ENREF_7"/>
      <w:r w:rsidRPr="00A9207F">
        <w:rPr>
          <w:rFonts w:ascii="Calibri" w:hAnsi="Calibri" w:cstheme="majorBidi"/>
          <w:noProof/>
        </w:rPr>
        <w:t>7.</w:t>
      </w:r>
      <w:r w:rsidRPr="00A9207F">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6"/>
    </w:p>
    <w:p w14:paraId="12169C0C" w14:textId="5E9296D0" w:rsidR="00A9207F" w:rsidRPr="00A9207F" w:rsidRDefault="00A9207F" w:rsidP="00AD5452">
      <w:pPr>
        <w:bidi w:val="0"/>
        <w:spacing w:after="0" w:line="240" w:lineRule="auto"/>
        <w:rPr>
          <w:rFonts w:ascii="Calibri" w:hAnsi="Calibri" w:cstheme="majorBidi"/>
          <w:noProof/>
        </w:rPr>
      </w:pPr>
      <w:bookmarkStart w:id="7" w:name="_ENREF_8"/>
      <w:r w:rsidRPr="00A9207F">
        <w:rPr>
          <w:rFonts w:ascii="Calibri" w:hAnsi="Calibri" w:cstheme="majorBidi"/>
          <w:noProof/>
        </w:rPr>
        <w:t>8.</w:t>
      </w:r>
      <w:r w:rsidRPr="00A9207F">
        <w:rPr>
          <w:rFonts w:ascii="Calibri" w:hAnsi="Calibri" w:cstheme="majorBidi"/>
          <w:noProof/>
        </w:rPr>
        <w:tab/>
        <w:t xml:space="preserve">Chen J-F, Cunha RA. The belated US FDA approval of the adenosine A 2A receptor antagonist istradefylline for </w:t>
      </w:r>
      <w:r w:rsidR="002F3953">
        <w:rPr>
          <w:rFonts w:ascii="Calibri" w:hAnsi="Calibri" w:cstheme="majorBidi"/>
          <w:noProof/>
        </w:rPr>
        <w:t xml:space="preserve">the </w:t>
      </w:r>
      <w:r w:rsidRPr="00A9207F">
        <w:rPr>
          <w:rFonts w:ascii="Calibri" w:hAnsi="Calibri" w:cstheme="majorBidi"/>
          <w:noProof/>
        </w:rPr>
        <w:t>treatment of Parkinson’s disease. Purinergic signalling. 2020:1-8.</w:t>
      </w:r>
      <w:bookmarkEnd w:id="7"/>
    </w:p>
    <w:p w14:paraId="086D42D8" w14:textId="77777777" w:rsidR="00A9207F" w:rsidRPr="00A9207F" w:rsidRDefault="00A9207F" w:rsidP="00AD5452">
      <w:pPr>
        <w:bidi w:val="0"/>
        <w:spacing w:after="0" w:line="240" w:lineRule="auto"/>
        <w:rPr>
          <w:rFonts w:ascii="Calibri" w:hAnsi="Calibri" w:cstheme="majorBidi"/>
          <w:noProof/>
        </w:rPr>
      </w:pPr>
      <w:bookmarkStart w:id="8" w:name="_ENREF_9"/>
      <w:r w:rsidRPr="00A9207F">
        <w:rPr>
          <w:rFonts w:ascii="Calibri" w:hAnsi="Calibri" w:cstheme="majorBidi"/>
          <w:noProof/>
        </w:rPr>
        <w:lastRenderedPageBreak/>
        <w:t>9.</w:t>
      </w:r>
      <w:r w:rsidRPr="00A9207F">
        <w:rPr>
          <w:rFonts w:ascii="Calibri" w:hAnsi="Calibri" w:cstheme="majorBidi"/>
          <w:noProof/>
        </w:rPr>
        <w:tab/>
        <w:t>Pollak P, Krack P, Fraix V, Mendes A, Moro E, Chabardes S, et al. Intraoperative micro‐and macrostimulation of the subthalamic nucleus in Parkinson's disease. Movement disorders: official journal of the Movement Disorder Society. 2002;17(S3):S155-S61.</w:t>
      </w:r>
      <w:bookmarkEnd w:id="8"/>
    </w:p>
    <w:p w14:paraId="62A9FAB6" w14:textId="77777777" w:rsidR="00A9207F" w:rsidRPr="00A9207F" w:rsidRDefault="00A9207F" w:rsidP="00AD5452">
      <w:pPr>
        <w:bidi w:val="0"/>
        <w:spacing w:after="0" w:line="240" w:lineRule="auto"/>
        <w:rPr>
          <w:rFonts w:ascii="Calibri" w:hAnsi="Calibri" w:cstheme="majorBidi"/>
          <w:noProof/>
        </w:rPr>
      </w:pPr>
      <w:bookmarkStart w:id="9" w:name="_ENREF_10"/>
      <w:r w:rsidRPr="00A9207F">
        <w:rPr>
          <w:rFonts w:ascii="Calibri" w:hAnsi="Calibri" w:cstheme="majorBidi"/>
          <w:noProof/>
        </w:rPr>
        <w:t>10.</w:t>
      </w:r>
      <w:r w:rsidRPr="00A9207F">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9"/>
    </w:p>
    <w:p w14:paraId="2E03F255" w14:textId="77777777" w:rsidR="00A9207F" w:rsidRPr="00A9207F" w:rsidRDefault="00A9207F" w:rsidP="00AD5452">
      <w:pPr>
        <w:bidi w:val="0"/>
        <w:spacing w:after="0" w:line="240" w:lineRule="auto"/>
        <w:rPr>
          <w:rFonts w:ascii="Calibri" w:hAnsi="Calibri" w:cstheme="majorBidi"/>
          <w:noProof/>
        </w:rPr>
      </w:pPr>
      <w:bookmarkStart w:id="10" w:name="_ENREF_11"/>
      <w:r w:rsidRPr="00A9207F">
        <w:rPr>
          <w:rFonts w:ascii="Calibri" w:hAnsi="Calibri" w:cstheme="majorBidi"/>
          <w:noProof/>
        </w:rPr>
        <w:t>11.</w:t>
      </w:r>
      <w:r w:rsidRPr="00A9207F">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0"/>
    </w:p>
    <w:p w14:paraId="68747507" w14:textId="77777777" w:rsidR="00A9207F" w:rsidRPr="00A9207F" w:rsidRDefault="00A9207F" w:rsidP="00AD5452">
      <w:pPr>
        <w:bidi w:val="0"/>
        <w:spacing w:after="0" w:line="240" w:lineRule="auto"/>
        <w:rPr>
          <w:rFonts w:ascii="Calibri" w:hAnsi="Calibri" w:cstheme="majorBidi"/>
          <w:noProof/>
        </w:rPr>
      </w:pPr>
      <w:bookmarkStart w:id="11" w:name="_ENREF_12"/>
      <w:r w:rsidRPr="00A9207F">
        <w:rPr>
          <w:rFonts w:ascii="Calibri" w:hAnsi="Calibri" w:cstheme="majorBidi"/>
          <w:noProof/>
        </w:rPr>
        <w:t>12.</w:t>
      </w:r>
      <w:r w:rsidRPr="00A9207F">
        <w:rPr>
          <w:rFonts w:ascii="Calibri" w:hAnsi="Calibri" w:cstheme="majorBidi"/>
          <w:noProof/>
        </w:rPr>
        <w:tab/>
        <w:t>Pillon B, Ardouin C, Damier P, Krack P, Houeto J-L, Klinger H, et al. Neuropsychological changes between “off” and “on” STN or GPi stimulation in Parkinson’s disease. Neurology. 2000;55(3):411-8.</w:t>
      </w:r>
      <w:bookmarkEnd w:id="11"/>
    </w:p>
    <w:p w14:paraId="56BA78B0" w14:textId="77777777" w:rsidR="00A9207F" w:rsidRPr="00A9207F" w:rsidRDefault="00A9207F" w:rsidP="00AD5452">
      <w:pPr>
        <w:bidi w:val="0"/>
        <w:spacing w:after="0" w:line="240" w:lineRule="auto"/>
        <w:rPr>
          <w:rFonts w:ascii="Calibri" w:hAnsi="Calibri" w:cstheme="majorBidi"/>
          <w:noProof/>
        </w:rPr>
      </w:pPr>
      <w:bookmarkStart w:id="12" w:name="_ENREF_13"/>
      <w:r w:rsidRPr="00A9207F">
        <w:rPr>
          <w:rFonts w:ascii="Calibri" w:hAnsi="Calibri" w:cstheme="majorBidi"/>
          <w:noProof/>
        </w:rPr>
        <w:t>13.</w:t>
      </w:r>
      <w:r w:rsidRPr="00A9207F">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12"/>
    </w:p>
    <w:p w14:paraId="4AB4EE66" w14:textId="77777777" w:rsidR="00A9207F" w:rsidRPr="00A9207F" w:rsidRDefault="00A9207F" w:rsidP="00AD5452">
      <w:pPr>
        <w:bidi w:val="0"/>
        <w:spacing w:after="0" w:line="240" w:lineRule="auto"/>
        <w:rPr>
          <w:rFonts w:ascii="Calibri" w:hAnsi="Calibri" w:cstheme="majorBidi"/>
          <w:noProof/>
        </w:rPr>
      </w:pPr>
      <w:bookmarkStart w:id="13" w:name="_ENREF_14"/>
      <w:r w:rsidRPr="00A9207F">
        <w:rPr>
          <w:rFonts w:ascii="Calibri" w:hAnsi="Calibri" w:cstheme="majorBidi"/>
          <w:noProof/>
        </w:rPr>
        <w:t>14.</w:t>
      </w:r>
      <w:r w:rsidRPr="00A9207F">
        <w:rPr>
          <w:rFonts w:ascii="Calibri" w:hAnsi="Calibri" w:cstheme="majorBidi"/>
          <w:noProof/>
        </w:rPr>
        <w:tab/>
        <w:t>Troche MS, Brandimore AE, Foote KD, Morishita T, Chen D, Hegland KW, et al. Swallowing outcomes following unilateral STN vs. GPi surgery: a retrospective analysis. Dysphagia. 2014;29(4):425-31.</w:t>
      </w:r>
      <w:bookmarkEnd w:id="13"/>
    </w:p>
    <w:p w14:paraId="1A2A9F91" w14:textId="77777777" w:rsidR="00A9207F" w:rsidRPr="00A9207F" w:rsidRDefault="00A9207F" w:rsidP="00AD5452">
      <w:pPr>
        <w:bidi w:val="0"/>
        <w:spacing w:after="0" w:line="240" w:lineRule="auto"/>
        <w:rPr>
          <w:rFonts w:ascii="Calibri" w:hAnsi="Calibri" w:cstheme="majorBidi"/>
          <w:noProof/>
        </w:rPr>
      </w:pPr>
      <w:bookmarkStart w:id="14" w:name="_ENREF_15"/>
      <w:r w:rsidRPr="00A9207F">
        <w:rPr>
          <w:rFonts w:ascii="Calibri" w:hAnsi="Calibri" w:cstheme="majorBidi"/>
          <w:noProof/>
        </w:rPr>
        <w:t>15.</w:t>
      </w:r>
      <w:r w:rsidRPr="00A9207F">
        <w:rPr>
          <w:rFonts w:ascii="Calibri" w:hAnsi="Calibri" w:cstheme="majorBidi"/>
          <w:noProof/>
        </w:rPr>
        <w:tab/>
        <w:t>Odekerken VJ, Boel JA, Schmand BA, de Haan RJ, Figee M, van den Munckhof P, et al. GPi vs STN deep brain stimulation for Parkinson disease: three-year follow-up. Neurology. 2016;86(8):755-61.</w:t>
      </w:r>
      <w:bookmarkEnd w:id="14"/>
    </w:p>
    <w:p w14:paraId="70382F5A" w14:textId="77777777" w:rsidR="00A9207F" w:rsidRPr="00A9207F" w:rsidRDefault="00A9207F" w:rsidP="00AD5452">
      <w:pPr>
        <w:bidi w:val="0"/>
        <w:spacing w:after="0" w:line="240" w:lineRule="auto"/>
        <w:rPr>
          <w:rFonts w:ascii="Calibri" w:hAnsi="Calibri" w:cstheme="majorBidi"/>
          <w:noProof/>
        </w:rPr>
      </w:pPr>
      <w:bookmarkStart w:id="15" w:name="_ENREF_16"/>
      <w:r w:rsidRPr="00A9207F">
        <w:rPr>
          <w:rFonts w:ascii="Calibri" w:hAnsi="Calibri" w:cstheme="majorBidi"/>
          <w:noProof/>
        </w:rPr>
        <w:t>16.</w:t>
      </w:r>
      <w:r w:rsidRPr="00A9207F">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15"/>
    </w:p>
    <w:p w14:paraId="367D79F2" w14:textId="77777777" w:rsidR="00A9207F" w:rsidRPr="00A9207F" w:rsidRDefault="00A9207F" w:rsidP="00AD5452">
      <w:pPr>
        <w:bidi w:val="0"/>
        <w:spacing w:after="0" w:line="240" w:lineRule="auto"/>
        <w:rPr>
          <w:rFonts w:ascii="Calibri" w:hAnsi="Calibri" w:cstheme="majorBidi"/>
          <w:noProof/>
        </w:rPr>
      </w:pPr>
      <w:bookmarkStart w:id="16" w:name="_ENREF_17"/>
      <w:r w:rsidRPr="00A9207F">
        <w:rPr>
          <w:rFonts w:ascii="Calibri" w:hAnsi="Calibri" w:cstheme="majorBidi"/>
          <w:noProof/>
        </w:rPr>
        <w:t>17.</w:t>
      </w:r>
      <w:r w:rsidRPr="00A9207F">
        <w:rPr>
          <w:rFonts w:ascii="Calibri" w:hAnsi="Calibri" w:cstheme="majorBidi"/>
          <w:noProof/>
        </w:rPr>
        <w:tab/>
        <w:t>Fan SY, Wang KL, Hu W, Eisinger RS, Han A, Han CL, et al. Pallidal versus subthalamic nucleus deep brain stimulation for levodopa‐induced dyskinesia. Annals of clinical and translational neurology. 2020;7(1):59-68.</w:t>
      </w:r>
      <w:bookmarkEnd w:id="16"/>
    </w:p>
    <w:p w14:paraId="06BC0246" w14:textId="77777777" w:rsidR="00A9207F" w:rsidRPr="00A9207F" w:rsidRDefault="00A9207F" w:rsidP="00AD5452">
      <w:pPr>
        <w:bidi w:val="0"/>
        <w:spacing w:after="0" w:line="240" w:lineRule="auto"/>
        <w:rPr>
          <w:rFonts w:ascii="Calibri" w:hAnsi="Calibri" w:cstheme="majorBidi"/>
          <w:noProof/>
        </w:rPr>
      </w:pPr>
      <w:bookmarkStart w:id="17" w:name="_ENREF_18"/>
      <w:r w:rsidRPr="00A9207F">
        <w:rPr>
          <w:rFonts w:ascii="Calibri" w:hAnsi="Calibri" w:cstheme="majorBidi"/>
          <w:noProof/>
        </w:rPr>
        <w:t>18.</w:t>
      </w:r>
      <w:r w:rsidRPr="00A9207F">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17"/>
    </w:p>
    <w:p w14:paraId="75AFE43C" w14:textId="77777777" w:rsidR="00A9207F" w:rsidRPr="00A9207F" w:rsidRDefault="00A9207F" w:rsidP="00AD5452">
      <w:pPr>
        <w:bidi w:val="0"/>
        <w:spacing w:after="0" w:line="240" w:lineRule="auto"/>
        <w:rPr>
          <w:rFonts w:ascii="Calibri" w:hAnsi="Calibri" w:cstheme="majorBidi"/>
          <w:noProof/>
        </w:rPr>
      </w:pPr>
      <w:bookmarkStart w:id="18" w:name="_ENREF_19"/>
      <w:r w:rsidRPr="00A9207F">
        <w:rPr>
          <w:rFonts w:ascii="Calibri" w:hAnsi="Calibri" w:cstheme="majorBidi"/>
          <w:noProof/>
        </w:rPr>
        <w:t>19.</w:t>
      </w:r>
      <w:r w:rsidRPr="00A9207F">
        <w:rPr>
          <w:rFonts w:ascii="Calibri" w:hAnsi="Calibri" w:cstheme="majorBidi"/>
          <w:noProof/>
        </w:rPr>
        <w:tab/>
        <w:t>Okun MS, Wu SS, Fayad S, Ward H, Bowers D, Rosado C, et al. Acute and chronic mood and apathy outcomes from a randomized study of unilateral STN and GPi DBS. PLoS One. 2014;9(12):e114140.</w:t>
      </w:r>
      <w:bookmarkEnd w:id="18"/>
    </w:p>
    <w:p w14:paraId="77D3C376" w14:textId="77777777" w:rsidR="00A9207F" w:rsidRPr="00A9207F" w:rsidRDefault="00A9207F" w:rsidP="00AD5452">
      <w:pPr>
        <w:bidi w:val="0"/>
        <w:spacing w:line="240" w:lineRule="auto"/>
        <w:rPr>
          <w:rFonts w:ascii="Calibri" w:hAnsi="Calibri" w:cstheme="majorBidi"/>
          <w:noProof/>
        </w:rPr>
      </w:pPr>
      <w:bookmarkStart w:id="19" w:name="_ENREF_20"/>
      <w:r w:rsidRPr="00A9207F">
        <w:rPr>
          <w:rFonts w:ascii="Calibri" w:hAnsi="Calibri" w:cstheme="majorBidi"/>
          <w:noProof/>
        </w:rPr>
        <w:t>20.</w:t>
      </w:r>
      <w:r w:rsidRPr="00A9207F">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19"/>
    </w:p>
    <w:p w14:paraId="11FE74D7" w14:textId="77777777" w:rsidR="00A9207F" w:rsidRDefault="00A9207F" w:rsidP="00AD5452">
      <w:pPr>
        <w:bidi w:val="0"/>
        <w:spacing w:line="240" w:lineRule="auto"/>
        <w:rPr>
          <w:rFonts w:ascii="Calibri" w:hAnsi="Calibri" w:cstheme="majorBidi"/>
          <w:noProof/>
        </w:rPr>
      </w:pPr>
    </w:p>
    <w:p w14:paraId="69D51007" w14:textId="77777777" w:rsidR="006F12B8" w:rsidRPr="006F12B8" w:rsidRDefault="00134161" w:rsidP="00AD5452">
      <w:pPr>
        <w:tabs>
          <w:tab w:val="left" w:pos="3256"/>
        </w:tabs>
        <w:bidi w:val="0"/>
        <w:spacing w:line="240" w:lineRule="auto"/>
        <w:rPr>
          <w:rFonts w:asciiTheme="majorBidi" w:hAnsiTheme="majorBidi" w:cstheme="majorBidi"/>
        </w:rPr>
      </w:pPr>
      <w:r>
        <w:rPr>
          <w:rFonts w:asciiTheme="majorBidi" w:hAnsiTheme="majorBidi" w:cstheme="majorBidi"/>
        </w:rPr>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FC58" w14:textId="77777777" w:rsidR="00FD16D4" w:rsidRDefault="00FD16D4" w:rsidP="00B3797A">
      <w:pPr>
        <w:spacing w:after="0" w:line="240" w:lineRule="auto"/>
      </w:pPr>
      <w:r>
        <w:separator/>
      </w:r>
    </w:p>
  </w:endnote>
  <w:endnote w:type="continuationSeparator" w:id="0">
    <w:p w14:paraId="456F0229" w14:textId="77777777" w:rsidR="00FD16D4" w:rsidRDefault="00FD16D4"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8451942"/>
      <w:docPartObj>
        <w:docPartGallery w:val="Page Numbers (Bottom of Page)"/>
        <w:docPartUnique/>
      </w:docPartObj>
    </w:sdtPr>
    <w:sdtEndPr>
      <w:rPr>
        <w:noProof/>
      </w:rPr>
    </w:sdtEndPr>
    <w:sdtContent>
      <w:p w14:paraId="29FB9D2D" w14:textId="77777777" w:rsidR="004E2F64" w:rsidRDefault="004E2F64">
        <w:pPr>
          <w:pStyle w:val="a9"/>
          <w:jc w:val="center"/>
        </w:pPr>
        <w:r>
          <w:fldChar w:fldCharType="begin"/>
        </w:r>
        <w:r>
          <w:instrText xml:space="preserve"> PAGE   \* MERGEFORMAT </w:instrText>
        </w:r>
        <w:r>
          <w:fldChar w:fldCharType="separate"/>
        </w:r>
        <w:r w:rsidR="000D0071">
          <w:rPr>
            <w:noProof/>
            <w:rtl/>
          </w:rPr>
          <w:t>2</w:t>
        </w:r>
        <w:r>
          <w:rPr>
            <w:noProof/>
          </w:rPr>
          <w:fldChar w:fldCharType="end"/>
        </w:r>
      </w:p>
    </w:sdtContent>
  </w:sdt>
  <w:p w14:paraId="34C98431" w14:textId="77777777" w:rsidR="004E2F64" w:rsidRDefault="004E2F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860F" w14:textId="77777777" w:rsidR="00FD16D4" w:rsidRDefault="00FD16D4" w:rsidP="00B3797A">
      <w:pPr>
        <w:spacing w:after="0" w:line="240" w:lineRule="auto"/>
      </w:pPr>
      <w:r>
        <w:separator/>
      </w:r>
    </w:p>
  </w:footnote>
  <w:footnote w:type="continuationSeparator" w:id="0">
    <w:p w14:paraId="07C24448" w14:textId="77777777" w:rsidR="00FD16D4" w:rsidRDefault="00FD16D4" w:rsidP="00B3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70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1&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wfwt2w8r5sdvev9v0xsda92ff2twsr5ees&quot;&gt;My EndNote Library&lt;record-ids&gt;&lt;item&gt;314&lt;/item&gt;&lt;item&gt;315&lt;/item&gt;&lt;item&gt;317&lt;/item&gt;&lt;item&gt;318&lt;/item&gt;&lt;item&gt;320&lt;/item&gt;&lt;item&gt;322&lt;/item&gt;&lt;item&gt;323&lt;/item&gt;&lt;item&gt;324&lt;/item&gt;&lt;item&gt;624&lt;/item&gt;&lt;item&gt;625&lt;/item&gt;&lt;item&gt;626&lt;/item&gt;&lt;item&gt;627&lt;/item&gt;&lt;item&gt;634&lt;/item&gt;&lt;item&gt;635&lt;/item&gt;&lt;item&gt;636&lt;/item&gt;&lt;item&gt;637&lt;/item&gt;&lt;item&gt;638&lt;/item&gt;&lt;item&gt;639&lt;/item&gt;&lt;item&gt;640&lt;/item&gt;&lt;item&gt;641&lt;/item&gt;&lt;item&gt;649&lt;/item&gt;&lt;item&gt;650&lt;/item&gt;&lt;item&gt;651&lt;/item&gt;&lt;item&gt;652&lt;/item&gt;&lt;item&gt;653&lt;/item&gt;&lt;item&gt;654&lt;/item&gt;&lt;item&gt;656&lt;/item&gt;&lt;/record-ids&gt;&lt;/item&gt;&lt;/Libraries&gt;"/>
  </w:docVars>
  <w:rsids>
    <w:rsidRoot w:val="00EA28E8"/>
    <w:rsid w:val="00003448"/>
    <w:rsid w:val="000061F1"/>
    <w:rsid w:val="000133CF"/>
    <w:rsid w:val="00015F94"/>
    <w:rsid w:val="00016A3A"/>
    <w:rsid w:val="000352D2"/>
    <w:rsid w:val="0003601D"/>
    <w:rsid w:val="00036DFC"/>
    <w:rsid w:val="00042F06"/>
    <w:rsid w:val="000536E6"/>
    <w:rsid w:val="00056ECB"/>
    <w:rsid w:val="000736C2"/>
    <w:rsid w:val="000737ED"/>
    <w:rsid w:val="00083028"/>
    <w:rsid w:val="0008419E"/>
    <w:rsid w:val="0008795B"/>
    <w:rsid w:val="000931A8"/>
    <w:rsid w:val="00096532"/>
    <w:rsid w:val="000B041B"/>
    <w:rsid w:val="000B4661"/>
    <w:rsid w:val="000D0071"/>
    <w:rsid w:val="000D00FA"/>
    <w:rsid w:val="000D0648"/>
    <w:rsid w:val="000D3EA8"/>
    <w:rsid w:val="000D5F1B"/>
    <w:rsid w:val="000F3CB8"/>
    <w:rsid w:val="000F5B51"/>
    <w:rsid w:val="0011003C"/>
    <w:rsid w:val="00111BF1"/>
    <w:rsid w:val="00116842"/>
    <w:rsid w:val="00117A71"/>
    <w:rsid w:val="0013078F"/>
    <w:rsid w:val="00132ECA"/>
    <w:rsid w:val="00134161"/>
    <w:rsid w:val="00136868"/>
    <w:rsid w:val="0013739D"/>
    <w:rsid w:val="00143176"/>
    <w:rsid w:val="00146069"/>
    <w:rsid w:val="00146EAE"/>
    <w:rsid w:val="00152C52"/>
    <w:rsid w:val="00155882"/>
    <w:rsid w:val="0016323E"/>
    <w:rsid w:val="00164268"/>
    <w:rsid w:val="0017246B"/>
    <w:rsid w:val="00175691"/>
    <w:rsid w:val="00192059"/>
    <w:rsid w:val="001A48C4"/>
    <w:rsid w:val="001B0F8F"/>
    <w:rsid w:val="001B119B"/>
    <w:rsid w:val="001B4294"/>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4687"/>
    <w:rsid w:val="00257F58"/>
    <w:rsid w:val="00270E44"/>
    <w:rsid w:val="0027316C"/>
    <w:rsid w:val="00273CEE"/>
    <w:rsid w:val="002752DC"/>
    <w:rsid w:val="00282744"/>
    <w:rsid w:val="00284603"/>
    <w:rsid w:val="002853EF"/>
    <w:rsid w:val="002864D4"/>
    <w:rsid w:val="00287F46"/>
    <w:rsid w:val="002A0AA0"/>
    <w:rsid w:val="002A1F65"/>
    <w:rsid w:val="002A4A44"/>
    <w:rsid w:val="002C28D3"/>
    <w:rsid w:val="002C3984"/>
    <w:rsid w:val="002C79F0"/>
    <w:rsid w:val="002D18B3"/>
    <w:rsid w:val="002D1E8A"/>
    <w:rsid w:val="002D5533"/>
    <w:rsid w:val="002E2114"/>
    <w:rsid w:val="002F0F0A"/>
    <w:rsid w:val="002F3953"/>
    <w:rsid w:val="003019D9"/>
    <w:rsid w:val="0030499C"/>
    <w:rsid w:val="003130D9"/>
    <w:rsid w:val="0031383E"/>
    <w:rsid w:val="003156C0"/>
    <w:rsid w:val="00317972"/>
    <w:rsid w:val="003223A1"/>
    <w:rsid w:val="0032786C"/>
    <w:rsid w:val="003300DF"/>
    <w:rsid w:val="0033017F"/>
    <w:rsid w:val="00336BC0"/>
    <w:rsid w:val="0033785F"/>
    <w:rsid w:val="00347877"/>
    <w:rsid w:val="00347949"/>
    <w:rsid w:val="003514DD"/>
    <w:rsid w:val="00352646"/>
    <w:rsid w:val="00366D00"/>
    <w:rsid w:val="003846AE"/>
    <w:rsid w:val="003871AB"/>
    <w:rsid w:val="00387443"/>
    <w:rsid w:val="0039186D"/>
    <w:rsid w:val="00393BD2"/>
    <w:rsid w:val="00397279"/>
    <w:rsid w:val="003A5018"/>
    <w:rsid w:val="003B4BA3"/>
    <w:rsid w:val="003B5838"/>
    <w:rsid w:val="003C261C"/>
    <w:rsid w:val="003C66D6"/>
    <w:rsid w:val="003D0400"/>
    <w:rsid w:val="003D2DAC"/>
    <w:rsid w:val="003E70D4"/>
    <w:rsid w:val="003F32C1"/>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E2F64"/>
    <w:rsid w:val="004F1EA1"/>
    <w:rsid w:val="00501955"/>
    <w:rsid w:val="005040D5"/>
    <w:rsid w:val="005063E0"/>
    <w:rsid w:val="00510EA0"/>
    <w:rsid w:val="00511C27"/>
    <w:rsid w:val="005128ED"/>
    <w:rsid w:val="00513D66"/>
    <w:rsid w:val="00514B07"/>
    <w:rsid w:val="00523D30"/>
    <w:rsid w:val="00532552"/>
    <w:rsid w:val="005440B9"/>
    <w:rsid w:val="0054707C"/>
    <w:rsid w:val="005542F3"/>
    <w:rsid w:val="00556030"/>
    <w:rsid w:val="005621D1"/>
    <w:rsid w:val="0056558D"/>
    <w:rsid w:val="00567229"/>
    <w:rsid w:val="005729E6"/>
    <w:rsid w:val="00573AD1"/>
    <w:rsid w:val="005745AA"/>
    <w:rsid w:val="005755C0"/>
    <w:rsid w:val="00595E0C"/>
    <w:rsid w:val="0059629A"/>
    <w:rsid w:val="0059747E"/>
    <w:rsid w:val="005A61E8"/>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311FA"/>
    <w:rsid w:val="00745C04"/>
    <w:rsid w:val="00751CB8"/>
    <w:rsid w:val="00752CAF"/>
    <w:rsid w:val="00753581"/>
    <w:rsid w:val="0075553D"/>
    <w:rsid w:val="00757817"/>
    <w:rsid w:val="00757A88"/>
    <w:rsid w:val="007629E9"/>
    <w:rsid w:val="00762EE7"/>
    <w:rsid w:val="007748F0"/>
    <w:rsid w:val="00775608"/>
    <w:rsid w:val="0078178C"/>
    <w:rsid w:val="00784CB6"/>
    <w:rsid w:val="007A10C7"/>
    <w:rsid w:val="007B0537"/>
    <w:rsid w:val="007B45F2"/>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70BD8"/>
    <w:rsid w:val="00883F38"/>
    <w:rsid w:val="00892C7E"/>
    <w:rsid w:val="008969CD"/>
    <w:rsid w:val="008A1267"/>
    <w:rsid w:val="008A17A2"/>
    <w:rsid w:val="008A3218"/>
    <w:rsid w:val="008A67A7"/>
    <w:rsid w:val="008B4595"/>
    <w:rsid w:val="008B595A"/>
    <w:rsid w:val="008B5E04"/>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0E74"/>
    <w:rsid w:val="009A5596"/>
    <w:rsid w:val="009A750D"/>
    <w:rsid w:val="009A7AC5"/>
    <w:rsid w:val="009B21F7"/>
    <w:rsid w:val="009B4DA1"/>
    <w:rsid w:val="009C55C1"/>
    <w:rsid w:val="009D38F7"/>
    <w:rsid w:val="009E2B46"/>
    <w:rsid w:val="009F1645"/>
    <w:rsid w:val="009F3936"/>
    <w:rsid w:val="009F6A5A"/>
    <w:rsid w:val="00A01821"/>
    <w:rsid w:val="00A048D5"/>
    <w:rsid w:val="00A11156"/>
    <w:rsid w:val="00A13E20"/>
    <w:rsid w:val="00A1457A"/>
    <w:rsid w:val="00A15179"/>
    <w:rsid w:val="00A169F8"/>
    <w:rsid w:val="00A2000D"/>
    <w:rsid w:val="00A22302"/>
    <w:rsid w:val="00A22AE7"/>
    <w:rsid w:val="00A254F3"/>
    <w:rsid w:val="00A314D8"/>
    <w:rsid w:val="00A323A8"/>
    <w:rsid w:val="00A42FFC"/>
    <w:rsid w:val="00A47487"/>
    <w:rsid w:val="00A4762C"/>
    <w:rsid w:val="00A506A9"/>
    <w:rsid w:val="00A51AE3"/>
    <w:rsid w:val="00A51E82"/>
    <w:rsid w:val="00A542C2"/>
    <w:rsid w:val="00A64F05"/>
    <w:rsid w:val="00A672FA"/>
    <w:rsid w:val="00A7438E"/>
    <w:rsid w:val="00A81099"/>
    <w:rsid w:val="00A821DE"/>
    <w:rsid w:val="00A86631"/>
    <w:rsid w:val="00A90934"/>
    <w:rsid w:val="00A9207F"/>
    <w:rsid w:val="00A92165"/>
    <w:rsid w:val="00AA18C0"/>
    <w:rsid w:val="00AA3008"/>
    <w:rsid w:val="00AA6266"/>
    <w:rsid w:val="00AB5935"/>
    <w:rsid w:val="00AB6C58"/>
    <w:rsid w:val="00AC2D4D"/>
    <w:rsid w:val="00AC72C2"/>
    <w:rsid w:val="00AD3DC5"/>
    <w:rsid w:val="00AD4E68"/>
    <w:rsid w:val="00AD5452"/>
    <w:rsid w:val="00AE53A8"/>
    <w:rsid w:val="00AF0D47"/>
    <w:rsid w:val="00AF22F6"/>
    <w:rsid w:val="00AF32F8"/>
    <w:rsid w:val="00AF441A"/>
    <w:rsid w:val="00B04714"/>
    <w:rsid w:val="00B06DC9"/>
    <w:rsid w:val="00B16F80"/>
    <w:rsid w:val="00B2448C"/>
    <w:rsid w:val="00B366A5"/>
    <w:rsid w:val="00B36A77"/>
    <w:rsid w:val="00B3797A"/>
    <w:rsid w:val="00B423E3"/>
    <w:rsid w:val="00B45853"/>
    <w:rsid w:val="00B45CC7"/>
    <w:rsid w:val="00B60815"/>
    <w:rsid w:val="00B620BC"/>
    <w:rsid w:val="00B62253"/>
    <w:rsid w:val="00B63C2B"/>
    <w:rsid w:val="00B66370"/>
    <w:rsid w:val="00B71C4C"/>
    <w:rsid w:val="00B80B01"/>
    <w:rsid w:val="00B80B4E"/>
    <w:rsid w:val="00B8268A"/>
    <w:rsid w:val="00B82B18"/>
    <w:rsid w:val="00B9291A"/>
    <w:rsid w:val="00B9357F"/>
    <w:rsid w:val="00BC18E6"/>
    <w:rsid w:val="00BC352D"/>
    <w:rsid w:val="00BC5090"/>
    <w:rsid w:val="00BD2FDA"/>
    <w:rsid w:val="00BD6E29"/>
    <w:rsid w:val="00BE5F25"/>
    <w:rsid w:val="00BE6E0C"/>
    <w:rsid w:val="00BE7A95"/>
    <w:rsid w:val="00BF19A6"/>
    <w:rsid w:val="00BF1E03"/>
    <w:rsid w:val="00C03701"/>
    <w:rsid w:val="00C04069"/>
    <w:rsid w:val="00C16EB4"/>
    <w:rsid w:val="00C258A6"/>
    <w:rsid w:val="00C25CCF"/>
    <w:rsid w:val="00C3014D"/>
    <w:rsid w:val="00C3082A"/>
    <w:rsid w:val="00C32067"/>
    <w:rsid w:val="00C33EB8"/>
    <w:rsid w:val="00C358FE"/>
    <w:rsid w:val="00C4145E"/>
    <w:rsid w:val="00C519B3"/>
    <w:rsid w:val="00C5694F"/>
    <w:rsid w:val="00C56DDD"/>
    <w:rsid w:val="00C61A11"/>
    <w:rsid w:val="00C67D77"/>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70059"/>
    <w:rsid w:val="00E71598"/>
    <w:rsid w:val="00E71D42"/>
    <w:rsid w:val="00E7751C"/>
    <w:rsid w:val="00E83948"/>
    <w:rsid w:val="00E9208E"/>
    <w:rsid w:val="00E94492"/>
    <w:rsid w:val="00E96811"/>
    <w:rsid w:val="00E96DAC"/>
    <w:rsid w:val="00E97216"/>
    <w:rsid w:val="00EA28E8"/>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535F"/>
    <w:rsid w:val="00F17F2B"/>
    <w:rsid w:val="00F21496"/>
    <w:rsid w:val="00F226A5"/>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A25CA"/>
    <w:rsid w:val="00FA7741"/>
    <w:rsid w:val="00FB05A4"/>
    <w:rsid w:val="00FB14F2"/>
    <w:rsid w:val="00FB3AAB"/>
    <w:rsid w:val="00FB4AD5"/>
    <w:rsid w:val="00FD16D4"/>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A316"/>
  <w15:docId w15:val="{1D5DF0E2-58D2-4A27-880F-302A7E33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0BB"/>
    <w:rPr>
      <w:color w:val="0000FF" w:themeColor="hyperlink"/>
      <w:u w:val="single"/>
    </w:rPr>
  </w:style>
  <w:style w:type="paragraph" w:styleId="a4">
    <w:name w:val="List Paragraph"/>
    <w:basedOn w:val="a"/>
    <w:uiPriority w:val="34"/>
    <w:qFormat/>
    <w:rsid w:val="00E45D61"/>
    <w:pPr>
      <w:bidi w:val="0"/>
      <w:ind w:left="720"/>
      <w:contextualSpacing/>
    </w:pPr>
    <w:rPr>
      <w:lang w:bidi="ar-SA"/>
    </w:rPr>
  </w:style>
  <w:style w:type="paragraph" w:styleId="a5">
    <w:name w:val="caption"/>
    <w:basedOn w:val="a"/>
    <w:next w:val="a"/>
    <w:uiPriority w:val="35"/>
    <w:unhideWhenUsed/>
    <w:qFormat/>
    <w:rsid w:val="00E45D61"/>
    <w:pPr>
      <w:spacing w:line="240" w:lineRule="auto"/>
    </w:pPr>
    <w:rPr>
      <w:b/>
      <w:bCs/>
      <w:color w:val="4F81BD" w:themeColor="accent1"/>
      <w:sz w:val="18"/>
      <w:szCs w:val="18"/>
    </w:rPr>
  </w:style>
  <w:style w:type="table" w:styleId="a6">
    <w:name w:val="Table Grid"/>
    <w:basedOn w:val="a1"/>
    <w:uiPriority w:val="59"/>
    <w:rsid w:val="00B3797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797A"/>
    <w:pPr>
      <w:tabs>
        <w:tab w:val="center" w:pos="4680"/>
        <w:tab w:val="right" w:pos="9360"/>
      </w:tabs>
      <w:spacing w:after="0" w:line="240" w:lineRule="auto"/>
    </w:pPr>
  </w:style>
  <w:style w:type="character" w:customStyle="1" w:styleId="a8">
    <w:name w:val="页眉 字符"/>
    <w:basedOn w:val="a0"/>
    <w:link w:val="a7"/>
    <w:uiPriority w:val="99"/>
    <w:rsid w:val="00B3797A"/>
  </w:style>
  <w:style w:type="paragraph" w:styleId="a9">
    <w:name w:val="footer"/>
    <w:basedOn w:val="a"/>
    <w:link w:val="aa"/>
    <w:uiPriority w:val="99"/>
    <w:unhideWhenUsed/>
    <w:rsid w:val="00B3797A"/>
    <w:pPr>
      <w:tabs>
        <w:tab w:val="center" w:pos="4680"/>
        <w:tab w:val="right" w:pos="9360"/>
      </w:tabs>
      <w:spacing w:after="0" w:line="240" w:lineRule="auto"/>
    </w:pPr>
  </w:style>
  <w:style w:type="character" w:customStyle="1" w:styleId="aa">
    <w:name w:val="页脚 字符"/>
    <w:basedOn w:val="a0"/>
    <w:link w:val="a9"/>
    <w:uiPriority w:val="99"/>
    <w:rsid w:val="00B3797A"/>
  </w:style>
  <w:style w:type="table" w:styleId="ab">
    <w:name w:val="Light Shading"/>
    <w:basedOn w:val="a1"/>
    <w:uiPriority w:val="60"/>
    <w:rsid w:val="00D443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Shading 2 Accent 5"/>
    <w:basedOn w:val="a1"/>
    <w:uiPriority w:val="64"/>
    <w:rsid w:val="00D443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Balloon Text"/>
    <w:basedOn w:val="a"/>
    <w:link w:val="ad"/>
    <w:uiPriority w:val="99"/>
    <w:semiHidden/>
    <w:unhideWhenUsed/>
    <w:rsid w:val="00F564E3"/>
    <w:pPr>
      <w:spacing w:after="0" w:line="240" w:lineRule="auto"/>
    </w:pPr>
    <w:rPr>
      <w:rFonts w:ascii="Tahoma" w:hAnsi="Tahoma" w:cs="Tahoma"/>
      <w:sz w:val="16"/>
      <w:szCs w:val="16"/>
    </w:rPr>
  </w:style>
  <w:style w:type="character" w:customStyle="1" w:styleId="ad">
    <w:name w:val="批注框文本 字符"/>
    <w:basedOn w:val="a0"/>
    <w:link w:val="ac"/>
    <w:uiPriority w:val="99"/>
    <w:semiHidden/>
    <w:rsid w:val="00F564E3"/>
    <w:rPr>
      <w:rFonts w:ascii="Tahoma" w:hAnsi="Tahoma" w:cs="Tahoma"/>
      <w:sz w:val="16"/>
      <w:szCs w:val="16"/>
    </w:rPr>
  </w:style>
  <w:style w:type="paragraph" w:customStyle="1" w:styleId="mb15">
    <w:name w:val="mb15"/>
    <w:basedOn w:val="a"/>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a0"/>
    <w:rsid w:val="00096532"/>
  </w:style>
  <w:style w:type="character" w:customStyle="1" w:styleId="css-1vwsgcv">
    <w:name w:val="css-1vwsgcv"/>
    <w:basedOn w:val="a0"/>
    <w:rsid w:val="00096532"/>
  </w:style>
  <w:style w:type="character" w:customStyle="1" w:styleId="css-1rwqwr9">
    <w:name w:val="css-1rwqwr9"/>
    <w:basedOn w:val="a0"/>
    <w:rsid w:val="00096532"/>
  </w:style>
  <w:style w:type="table" w:customStyle="1" w:styleId="TableGrid1">
    <w:name w:val="Table Grid1"/>
    <w:basedOn w:val="a1"/>
    <w:next w:val="a6"/>
    <w:uiPriority w:val="59"/>
    <w:rsid w:val="006F12B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shyaraz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dell</cp:lastModifiedBy>
  <cp:revision>3</cp:revision>
  <dcterms:created xsi:type="dcterms:W3CDTF">2022-04-21T00:41:00Z</dcterms:created>
  <dcterms:modified xsi:type="dcterms:W3CDTF">2022-04-21T02:39:00Z</dcterms:modified>
</cp:coreProperties>
</file>