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31FF9" w14:textId="77777777" w:rsidR="005E3BBD" w:rsidRDefault="00F27C27">
      <w:pPr>
        <w:spacing w:line="240" w:lineRule="auto"/>
        <w:rPr>
          <w:rFonts w:ascii="Calibri" w:eastAsia="Calibri" w:hAnsi="Calibri" w:cs="Calibri"/>
          <w:b/>
          <w:sz w:val="24"/>
          <w:szCs w:val="24"/>
        </w:rPr>
      </w:pPr>
      <w:r>
        <w:rPr>
          <w:rFonts w:ascii="Calibri" w:eastAsia="Calibri" w:hAnsi="Calibri" w:cs="Calibri"/>
          <w:b/>
          <w:sz w:val="24"/>
          <w:szCs w:val="24"/>
        </w:rPr>
        <w:t>A mouse model of naturally occurring age-related cognitive impairment</w:t>
      </w:r>
    </w:p>
    <w:p w14:paraId="455E7C5B" w14:textId="77777777" w:rsidR="005E3BBD" w:rsidRDefault="005E3BBD">
      <w:pPr>
        <w:spacing w:line="240" w:lineRule="auto"/>
        <w:rPr>
          <w:rFonts w:ascii="Calibri" w:eastAsia="Calibri" w:hAnsi="Calibri" w:cs="Calibri"/>
          <w:sz w:val="24"/>
          <w:szCs w:val="24"/>
        </w:rPr>
      </w:pPr>
    </w:p>
    <w:p w14:paraId="54D59449" w14:textId="1904FA0D" w:rsidR="005E3BBD" w:rsidRDefault="00F27C27">
      <w:pPr>
        <w:spacing w:line="240" w:lineRule="auto"/>
        <w:rPr>
          <w:rFonts w:ascii="Calibri" w:eastAsia="Calibri" w:hAnsi="Calibri" w:cs="Calibri"/>
          <w:sz w:val="24"/>
          <w:szCs w:val="24"/>
          <w:vertAlign w:val="superscript"/>
        </w:rPr>
      </w:pPr>
      <w:r>
        <w:rPr>
          <w:rFonts w:ascii="Calibri" w:eastAsia="Calibri" w:hAnsi="Calibri" w:cs="Calibri"/>
          <w:sz w:val="24"/>
          <w:szCs w:val="24"/>
        </w:rPr>
        <w:t>Sara Daneshjoo</w:t>
      </w:r>
      <w:r>
        <w:rPr>
          <w:rFonts w:ascii="Calibri" w:eastAsia="Calibri" w:hAnsi="Calibri" w:cs="Calibri"/>
          <w:sz w:val="24"/>
          <w:szCs w:val="24"/>
          <w:vertAlign w:val="superscript"/>
        </w:rPr>
        <w:t>1</w:t>
      </w:r>
      <w:r>
        <w:rPr>
          <w:rFonts w:ascii="Calibri" w:eastAsia="Calibri" w:hAnsi="Calibri" w:cs="Calibri"/>
          <w:sz w:val="24"/>
          <w:szCs w:val="24"/>
        </w:rPr>
        <w:t>, Juliana Moreno</w:t>
      </w:r>
      <w:r>
        <w:rPr>
          <w:rFonts w:ascii="Calibri" w:eastAsia="Calibri" w:hAnsi="Calibri" w:cs="Calibri"/>
          <w:sz w:val="24"/>
          <w:szCs w:val="24"/>
          <w:vertAlign w:val="superscript"/>
        </w:rPr>
        <w:t>1</w:t>
      </w:r>
      <w:r>
        <w:rPr>
          <w:rFonts w:ascii="Calibri" w:eastAsia="Calibri" w:hAnsi="Calibri" w:cs="Calibri"/>
          <w:sz w:val="24"/>
          <w:szCs w:val="24"/>
        </w:rPr>
        <w:t>, Manuela Rosenfeld</w:t>
      </w:r>
      <w:r>
        <w:rPr>
          <w:rFonts w:ascii="Calibri" w:eastAsia="Calibri" w:hAnsi="Calibri" w:cs="Calibri"/>
          <w:sz w:val="24"/>
          <w:szCs w:val="24"/>
          <w:vertAlign w:val="superscript"/>
        </w:rPr>
        <w:t>1</w:t>
      </w:r>
      <w:r>
        <w:rPr>
          <w:rFonts w:ascii="Calibri" w:eastAsia="Calibri" w:hAnsi="Calibri" w:cs="Calibri"/>
          <w:sz w:val="24"/>
          <w:szCs w:val="24"/>
        </w:rPr>
        <w:t xml:space="preserve">, </w:t>
      </w:r>
      <w:proofErr w:type="spellStart"/>
      <w:r w:rsidR="00D476EF">
        <w:rPr>
          <w:rFonts w:ascii="Calibri" w:eastAsia="Calibri" w:hAnsi="Calibri" w:cs="Calibri"/>
          <w:sz w:val="24"/>
          <w:szCs w:val="24"/>
        </w:rPr>
        <w:t>Joo</w:t>
      </w:r>
      <w:proofErr w:type="spellEnd"/>
      <w:r w:rsidR="00D476EF">
        <w:rPr>
          <w:rFonts w:ascii="Calibri" w:eastAsia="Calibri" w:hAnsi="Calibri" w:cs="Calibri"/>
          <w:sz w:val="24"/>
          <w:szCs w:val="24"/>
        </w:rPr>
        <w:t xml:space="preserve"> Young</w:t>
      </w:r>
      <w:bookmarkStart w:id="0" w:name="_GoBack"/>
      <w:bookmarkEnd w:id="0"/>
      <w:r>
        <w:rPr>
          <w:rFonts w:ascii="Calibri" w:eastAsia="Calibri" w:hAnsi="Calibri" w:cs="Calibri"/>
          <w:sz w:val="24"/>
          <w:szCs w:val="24"/>
        </w:rPr>
        <w:t xml:space="preserve"> Park</w:t>
      </w:r>
      <w:r>
        <w:rPr>
          <w:rFonts w:ascii="Calibri" w:eastAsia="Calibri" w:hAnsi="Calibri" w:cs="Calibri"/>
          <w:sz w:val="24"/>
          <w:szCs w:val="24"/>
          <w:vertAlign w:val="superscript"/>
        </w:rPr>
        <w:t>1</w:t>
      </w:r>
      <w:r>
        <w:rPr>
          <w:rFonts w:ascii="Calibri" w:eastAsia="Calibri" w:hAnsi="Calibri" w:cs="Calibri"/>
          <w:sz w:val="24"/>
          <w:szCs w:val="24"/>
        </w:rPr>
        <w:t>, Martin Darvas</w:t>
      </w:r>
      <w:r>
        <w:rPr>
          <w:rFonts w:ascii="Calibri" w:eastAsia="Calibri" w:hAnsi="Calibri" w:cs="Calibri"/>
          <w:sz w:val="24"/>
          <w:szCs w:val="24"/>
          <w:vertAlign w:val="superscript"/>
        </w:rPr>
        <w:t>2</w:t>
      </w:r>
      <w:r>
        <w:rPr>
          <w:rFonts w:ascii="Calibri" w:eastAsia="Calibri" w:hAnsi="Calibri" w:cs="Calibri"/>
          <w:sz w:val="24"/>
          <w:szCs w:val="24"/>
        </w:rPr>
        <w:t>, Warren Ladiges</w:t>
      </w:r>
      <w:r>
        <w:rPr>
          <w:rFonts w:ascii="Calibri" w:eastAsia="Calibri" w:hAnsi="Calibri" w:cs="Calibri"/>
          <w:sz w:val="24"/>
          <w:szCs w:val="24"/>
          <w:vertAlign w:val="superscript"/>
        </w:rPr>
        <w:t>1*</w:t>
      </w:r>
    </w:p>
    <w:p w14:paraId="20A69D92" w14:textId="77777777" w:rsidR="005E3BBD" w:rsidRDefault="005E3BBD">
      <w:pPr>
        <w:spacing w:line="240" w:lineRule="auto"/>
        <w:rPr>
          <w:rFonts w:ascii="Calibri" w:eastAsia="Calibri" w:hAnsi="Calibri" w:cs="Calibri"/>
          <w:sz w:val="24"/>
          <w:szCs w:val="24"/>
        </w:rPr>
      </w:pPr>
    </w:p>
    <w:p w14:paraId="32F7B6D7" w14:textId="77777777" w:rsidR="005E3BBD" w:rsidRDefault="00F27C27">
      <w:pPr>
        <w:spacing w:line="240" w:lineRule="auto"/>
        <w:rPr>
          <w:rFonts w:ascii="Calibri" w:eastAsia="Calibri" w:hAnsi="Calibri" w:cs="Calibri"/>
          <w:sz w:val="24"/>
          <w:szCs w:val="24"/>
        </w:rPr>
      </w:pPr>
      <w:r>
        <w:rPr>
          <w:rFonts w:ascii="Calibri" w:eastAsia="Calibri" w:hAnsi="Calibri" w:cs="Calibri"/>
          <w:sz w:val="24"/>
          <w:szCs w:val="24"/>
          <w:vertAlign w:val="superscript"/>
        </w:rPr>
        <w:t>1</w:t>
      </w:r>
      <w:r>
        <w:rPr>
          <w:rFonts w:ascii="Calibri" w:eastAsia="Calibri" w:hAnsi="Calibri" w:cs="Calibri"/>
          <w:sz w:val="24"/>
          <w:szCs w:val="24"/>
        </w:rPr>
        <w:t>Department of Comparative Medicine, School of Medicine, University of Washington, Seattle, WA</w:t>
      </w:r>
    </w:p>
    <w:p w14:paraId="642E36E9" w14:textId="77777777" w:rsidR="005E3BBD" w:rsidRDefault="00F27C27">
      <w:pPr>
        <w:spacing w:line="240" w:lineRule="auto"/>
        <w:rPr>
          <w:rFonts w:ascii="Calibri" w:eastAsia="Calibri" w:hAnsi="Calibri" w:cs="Calibri"/>
          <w:sz w:val="24"/>
          <w:szCs w:val="24"/>
        </w:rPr>
      </w:pPr>
      <w:r>
        <w:rPr>
          <w:rFonts w:ascii="Calibri" w:eastAsia="Calibri" w:hAnsi="Calibri" w:cs="Calibri"/>
          <w:sz w:val="24"/>
          <w:szCs w:val="24"/>
          <w:vertAlign w:val="superscript"/>
        </w:rPr>
        <w:t>2</w:t>
      </w:r>
      <w:r>
        <w:rPr>
          <w:rFonts w:ascii="Calibri" w:eastAsia="Calibri" w:hAnsi="Calibri" w:cs="Calibri"/>
          <w:sz w:val="24"/>
          <w:szCs w:val="24"/>
        </w:rPr>
        <w:t>Department of Laboratory Medicine and Pathology, School of Medicine, University of Washington, Seattle, WA</w:t>
      </w:r>
    </w:p>
    <w:p w14:paraId="5BFD7C8F" w14:textId="77777777" w:rsidR="005E3BBD" w:rsidRDefault="005E3BBD">
      <w:pPr>
        <w:spacing w:line="240" w:lineRule="auto"/>
        <w:rPr>
          <w:rFonts w:ascii="Calibri" w:eastAsia="Calibri" w:hAnsi="Calibri" w:cs="Calibri"/>
          <w:sz w:val="24"/>
          <w:szCs w:val="24"/>
        </w:rPr>
      </w:pPr>
    </w:p>
    <w:p w14:paraId="26A053B7" w14:textId="7D82123D" w:rsidR="005E3BBD" w:rsidRDefault="00F27C27">
      <w:pPr>
        <w:spacing w:line="240" w:lineRule="auto"/>
        <w:rPr>
          <w:rFonts w:ascii="Calibri" w:eastAsia="Calibri" w:hAnsi="Calibri" w:cs="Calibri"/>
          <w:b/>
          <w:sz w:val="24"/>
          <w:szCs w:val="24"/>
        </w:rPr>
      </w:pPr>
      <w:r>
        <w:rPr>
          <w:rFonts w:ascii="Calibri" w:eastAsia="Calibri" w:hAnsi="Calibri" w:cs="Calibri"/>
          <w:b/>
          <w:sz w:val="24"/>
          <w:szCs w:val="24"/>
        </w:rPr>
        <w:t>Abstract</w:t>
      </w:r>
    </w:p>
    <w:p w14:paraId="02029CAF" w14:textId="77777777" w:rsidR="00CD2F3A" w:rsidRDefault="00CD2F3A">
      <w:pPr>
        <w:spacing w:line="240" w:lineRule="auto"/>
        <w:rPr>
          <w:rFonts w:ascii="Calibri" w:eastAsia="Calibri" w:hAnsi="Calibri" w:cs="Calibri"/>
          <w:b/>
          <w:sz w:val="24"/>
          <w:szCs w:val="24"/>
        </w:rPr>
      </w:pPr>
    </w:p>
    <w:p w14:paraId="71985F04" w14:textId="7DDDD60D" w:rsidR="00CD2F3A" w:rsidRDefault="00CD2F3A" w:rsidP="00CD2F3A">
      <w:pPr>
        <w:spacing w:line="240" w:lineRule="auto"/>
        <w:rPr>
          <w:rFonts w:ascii="Calibri" w:eastAsia="Calibri" w:hAnsi="Calibri" w:cs="Calibri"/>
          <w:sz w:val="24"/>
          <w:szCs w:val="24"/>
        </w:rPr>
      </w:pPr>
      <w:r>
        <w:rPr>
          <w:rFonts w:ascii="Calibri" w:eastAsia="Calibri" w:hAnsi="Calibri" w:cs="Calibri"/>
          <w:sz w:val="24"/>
          <w:szCs w:val="24"/>
        </w:rPr>
        <w:t>Age-related cognitive impairment (ARCI) is a neurological condition that affects millions of older people, but little is known about increased risk for developing more severe neurodegeneration and dementia.</w:t>
      </w:r>
      <w:r w:rsidR="00740F78">
        <w:rPr>
          <w:rFonts w:ascii="Calibri" w:eastAsia="Calibri" w:hAnsi="Calibri" w:cs="Calibri"/>
          <w:sz w:val="24"/>
          <w:szCs w:val="24"/>
        </w:rPr>
        <w:t xml:space="preserve"> Preclinical research is needed to understand mechanisms of the impairment and the neuropathology associated with it.  We have characterized</w:t>
      </w:r>
      <w:r w:rsidR="0036407C">
        <w:rPr>
          <w:rFonts w:ascii="Calibri" w:eastAsia="Calibri" w:hAnsi="Calibri" w:cs="Calibri"/>
          <w:sz w:val="24"/>
          <w:szCs w:val="24"/>
        </w:rPr>
        <w:t xml:space="preserve"> a model of naturally occurring ARCI in the C57BL/6J mouse strain that shows an age-dependent development of cognitive impairment</w:t>
      </w:r>
      <w:r w:rsidR="004175C0">
        <w:rPr>
          <w:rFonts w:ascii="Calibri" w:eastAsia="Calibri" w:hAnsi="Calibri" w:cs="Calibri"/>
          <w:sz w:val="24"/>
          <w:szCs w:val="24"/>
        </w:rPr>
        <w:t xml:space="preserve">. As in people, some mice have little cognitive impairment while </w:t>
      </w:r>
      <w:r w:rsidR="006363B3">
        <w:rPr>
          <w:rFonts w:ascii="Calibri" w:eastAsia="Calibri" w:hAnsi="Calibri" w:cs="Calibri"/>
          <w:sz w:val="24"/>
          <w:szCs w:val="24"/>
        </w:rPr>
        <w:t>others</w:t>
      </w:r>
      <w:r w:rsidR="004175C0">
        <w:rPr>
          <w:rFonts w:ascii="Calibri" w:eastAsia="Calibri" w:hAnsi="Calibri" w:cs="Calibri"/>
          <w:sz w:val="24"/>
          <w:szCs w:val="24"/>
        </w:rPr>
        <w:t xml:space="preserve"> have more severe cognitive impairment. Therefore, mice can be </w:t>
      </w:r>
      <w:r w:rsidR="00BA5416">
        <w:rPr>
          <w:rFonts w:ascii="Calibri" w:eastAsia="Calibri" w:hAnsi="Calibri" w:cs="Calibri"/>
          <w:sz w:val="24"/>
          <w:szCs w:val="24"/>
        </w:rPr>
        <w:t>categorized</w:t>
      </w:r>
      <w:r w:rsidR="004175C0">
        <w:rPr>
          <w:rFonts w:ascii="Calibri" w:eastAsia="Calibri" w:hAnsi="Calibri" w:cs="Calibri"/>
          <w:sz w:val="24"/>
          <w:szCs w:val="24"/>
        </w:rPr>
        <w:t xml:space="preserve"> </w:t>
      </w:r>
      <w:r w:rsidR="00BA5416">
        <w:rPr>
          <w:rFonts w:ascii="Calibri" w:eastAsia="Calibri" w:hAnsi="Calibri" w:cs="Calibri"/>
          <w:sz w:val="24"/>
          <w:szCs w:val="24"/>
        </w:rPr>
        <w:t>as</w:t>
      </w:r>
      <w:r w:rsidR="004175C0">
        <w:rPr>
          <w:rFonts w:ascii="Calibri" w:eastAsia="Calibri" w:hAnsi="Calibri" w:cs="Calibri"/>
          <w:sz w:val="24"/>
          <w:szCs w:val="24"/>
        </w:rPr>
        <w:t xml:space="preserve"> resistant </w:t>
      </w:r>
      <w:r w:rsidR="00BA5416">
        <w:rPr>
          <w:rFonts w:ascii="Calibri" w:eastAsia="Calibri" w:hAnsi="Calibri" w:cs="Calibri"/>
          <w:sz w:val="24"/>
          <w:szCs w:val="24"/>
        </w:rPr>
        <w:t xml:space="preserve">or susceptible and the two groups can be studied for behavioral and neuropathology differences. Preliminary observations show </w:t>
      </w:r>
      <w:r w:rsidR="00F92F0F">
        <w:rPr>
          <w:rFonts w:ascii="Calibri" w:eastAsia="Calibri" w:hAnsi="Calibri" w:cs="Calibri"/>
          <w:sz w:val="24"/>
          <w:szCs w:val="24"/>
        </w:rPr>
        <w:t xml:space="preserve">no difference in strength and agility test scores between </w:t>
      </w:r>
      <w:r w:rsidR="00BA5416">
        <w:rPr>
          <w:rFonts w:ascii="Calibri" w:eastAsia="Calibri" w:hAnsi="Calibri" w:cs="Calibri"/>
          <w:sz w:val="24"/>
          <w:szCs w:val="24"/>
        </w:rPr>
        <w:t xml:space="preserve">ARCI resistant </w:t>
      </w:r>
      <w:r w:rsidR="00F92F0F">
        <w:rPr>
          <w:rFonts w:ascii="Calibri" w:eastAsia="Calibri" w:hAnsi="Calibri" w:cs="Calibri"/>
          <w:sz w:val="24"/>
          <w:szCs w:val="24"/>
        </w:rPr>
        <w:t xml:space="preserve">and susceptible </w:t>
      </w:r>
      <w:r w:rsidR="00BA5416">
        <w:rPr>
          <w:rFonts w:ascii="Calibri" w:eastAsia="Calibri" w:hAnsi="Calibri" w:cs="Calibri"/>
          <w:sz w:val="24"/>
          <w:szCs w:val="24"/>
        </w:rPr>
        <w:t>mice</w:t>
      </w:r>
      <w:r w:rsidR="00D31E2F">
        <w:rPr>
          <w:rFonts w:ascii="Calibri" w:eastAsia="Calibri" w:hAnsi="Calibri" w:cs="Calibri"/>
          <w:sz w:val="24"/>
          <w:szCs w:val="24"/>
        </w:rPr>
        <w:t xml:space="preserve"> of either sex</w:t>
      </w:r>
      <w:r w:rsidR="00F92F0F">
        <w:rPr>
          <w:rFonts w:ascii="Calibri" w:eastAsia="Calibri" w:hAnsi="Calibri" w:cs="Calibri"/>
          <w:sz w:val="24"/>
          <w:szCs w:val="24"/>
        </w:rPr>
        <w:t xml:space="preserve"> suggesting the cognitive impairment in ARCI susceptible mice is not accompanied by impairment in daily living activities, similar to ARCI in humans.</w:t>
      </w:r>
      <w:r w:rsidR="006858D5">
        <w:rPr>
          <w:rFonts w:ascii="Calibri" w:eastAsia="Calibri" w:hAnsi="Calibri" w:cs="Calibri"/>
          <w:sz w:val="24"/>
          <w:szCs w:val="24"/>
        </w:rPr>
        <w:t xml:space="preserve"> The hippocampal area of the brain from ARCI susceptible mice shows evidence of </w:t>
      </w:r>
      <w:r w:rsidR="006363B3">
        <w:rPr>
          <w:rFonts w:ascii="Calibri" w:eastAsia="Calibri" w:hAnsi="Calibri" w:cs="Calibri"/>
          <w:sz w:val="24"/>
          <w:szCs w:val="24"/>
        </w:rPr>
        <w:t>an increase in the inflammatory cytokine MCP-1</w:t>
      </w:r>
      <w:r w:rsidR="00770B20">
        <w:rPr>
          <w:rFonts w:ascii="Calibri" w:eastAsia="Calibri" w:hAnsi="Calibri" w:cs="Calibri"/>
          <w:sz w:val="24"/>
          <w:szCs w:val="24"/>
        </w:rPr>
        <w:t xml:space="preserve"> compared to ARCI resistant mice</w:t>
      </w:r>
      <w:r w:rsidR="006363B3">
        <w:rPr>
          <w:rFonts w:ascii="Calibri" w:eastAsia="Calibri" w:hAnsi="Calibri" w:cs="Calibri"/>
          <w:sz w:val="24"/>
          <w:szCs w:val="24"/>
        </w:rPr>
        <w:t xml:space="preserve">, suggesting inflammation may be associated with </w:t>
      </w:r>
      <w:r w:rsidR="00770B20">
        <w:rPr>
          <w:rFonts w:ascii="Calibri" w:eastAsia="Calibri" w:hAnsi="Calibri" w:cs="Calibri"/>
          <w:sz w:val="24"/>
          <w:szCs w:val="24"/>
        </w:rPr>
        <w:t>ARCI.</w:t>
      </w:r>
      <w:r w:rsidR="006363B3">
        <w:rPr>
          <w:rFonts w:ascii="Calibri" w:eastAsia="Calibri" w:hAnsi="Calibri" w:cs="Calibri"/>
          <w:sz w:val="24"/>
          <w:szCs w:val="24"/>
        </w:rPr>
        <w:t xml:space="preserve">  </w:t>
      </w:r>
      <w:r w:rsidR="00770B20">
        <w:rPr>
          <w:rFonts w:ascii="Calibri" w:eastAsia="Calibri" w:hAnsi="Calibri" w:cs="Calibri"/>
          <w:sz w:val="24"/>
          <w:szCs w:val="24"/>
        </w:rPr>
        <w:t>T</w:t>
      </w:r>
      <w:r w:rsidR="002B396D">
        <w:rPr>
          <w:rFonts w:ascii="Calibri" w:eastAsia="Calibri" w:hAnsi="Calibri" w:cs="Calibri"/>
          <w:sz w:val="24"/>
          <w:szCs w:val="24"/>
        </w:rPr>
        <w:t>he</w:t>
      </w:r>
      <w:r w:rsidR="00CE5BC5">
        <w:rPr>
          <w:rFonts w:ascii="Calibri" w:eastAsia="Calibri" w:hAnsi="Calibri" w:cs="Calibri"/>
          <w:sz w:val="24"/>
          <w:szCs w:val="24"/>
        </w:rPr>
        <w:t xml:space="preserve">se </w:t>
      </w:r>
      <w:r w:rsidR="00160538">
        <w:rPr>
          <w:rFonts w:ascii="Calibri" w:eastAsia="Calibri" w:hAnsi="Calibri" w:cs="Calibri"/>
          <w:sz w:val="24"/>
          <w:szCs w:val="24"/>
        </w:rPr>
        <w:t xml:space="preserve">preliminary </w:t>
      </w:r>
      <w:r w:rsidR="00CE5BC5">
        <w:rPr>
          <w:rFonts w:ascii="Calibri" w:eastAsia="Calibri" w:hAnsi="Calibri" w:cs="Calibri"/>
          <w:sz w:val="24"/>
          <w:szCs w:val="24"/>
        </w:rPr>
        <w:t xml:space="preserve">observations suggest </w:t>
      </w:r>
      <w:r w:rsidR="002B396D">
        <w:rPr>
          <w:rFonts w:ascii="Calibri" w:eastAsia="Calibri" w:hAnsi="Calibri" w:cs="Calibri"/>
          <w:sz w:val="24"/>
          <w:szCs w:val="24"/>
        </w:rPr>
        <w:t>t</w:t>
      </w:r>
      <w:r w:rsidR="00770B20">
        <w:rPr>
          <w:rFonts w:ascii="Calibri" w:eastAsia="Calibri" w:hAnsi="Calibri" w:cs="Calibri"/>
          <w:sz w:val="24"/>
          <w:szCs w:val="24"/>
        </w:rPr>
        <w:t>h</w:t>
      </w:r>
      <w:r w:rsidR="00CE5BC5">
        <w:rPr>
          <w:rFonts w:ascii="Calibri" w:eastAsia="Calibri" w:hAnsi="Calibri" w:cs="Calibri"/>
          <w:sz w:val="24"/>
          <w:szCs w:val="24"/>
        </w:rPr>
        <w:t>at ARCI in</w:t>
      </w:r>
      <w:r w:rsidR="00770B20">
        <w:rPr>
          <w:rFonts w:ascii="Calibri" w:eastAsia="Calibri" w:hAnsi="Calibri" w:cs="Calibri"/>
          <w:sz w:val="24"/>
          <w:szCs w:val="24"/>
        </w:rPr>
        <w:t xml:space="preserve"> C57BL/6</w:t>
      </w:r>
      <w:r w:rsidR="001B64A6">
        <w:rPr>
          <w:rFonts w:ascii="Calibri" w:eastAsia="Calibri" w:hAnsi="Calibri" w:cs="Calibri"/>
          <w:sz w:val="24"/>
          <w:szCs w:val="24"/>
        </w:rPr>
        <w:t>J</w:t>
      </w:r>
      <w:r w:rsidR="00770B20">
        <w:rPr>
          <w:rFonts w:ascii="Calibri" w:eastAsia="Calibri" w:hAnsi="Calibri" w:cs="Calibri"/>
          <w:sz w:val="24"/>
          <w:szCs w:val="24"/>
        </w:rPr>
        <w:t xml:space="preserve"> </w:t>
      </w:r>
      <w:r w:rsidR="00CE5BC5">
        <w:rPr>
          <w:rFonts w:ascii="Calibri" w:eastAsia="Calibri" w:hAnsi="Calibri" w:cs="Calibri"/>
          <w:sz w:val="24"/>
          <w:szCs w:val="24"/>
        </w:rPr>
        <w:t>mice</w:t>
      </w:r>
      <w:r w:rsidR="002B396D">
        <w:rPr>
          <w:rFonts w:ascii="Calibri" w:eastAsia="Calibri" w:hAnsi="Calibri" w:cs="Calibri"/>
          <w:sz w:val="24"/>
          <w:szCs w:val="24"/>
        </w:rPr>
        <w:t xml:space="preserve"> </w:t>
      </w:r>
      <w:r w:rsidR="00160538">
        <w:rPr>
          <w:rFonts w:ascii="Calibri" w:eastAsia="Calibri" w:hAnsi="Calibri" w:cs="Calibri"/>
          <w:sz w:val="24"/>
          <w:szCs w:val="24"/>
        </w:rPr>
        <w:t>c</w:t>
      </w:r>
      <w:r w:rsidR="00CE5BC5">
        <w:rPr>
          <w:rFonts w:ascii="Calibri" w:eastAsia="Calibri" w:hAnsi="Calibri" w:cs="Calibri"/>
          <w:sz w:val="24"/>
          <w:szCs w:val="24"/>
        </w:rPr>
        <w:t>ould be a</w:t>
      </w:r>
      <w:r w:rsidR="00770B20">
        <w:rPr>
          <w:rFonts w:ascii="Calibri" w:eastAsia="Calibri" w:hAnsi="Calibri" w:cs="Calibri"/>
          <w:sz w:val="24"/>
          <w:szCs w:val="24"/>
        </w:rPr>
        <w:t xml:space="preserve"> high impact mod</w:t>
      </w:r>
      <w:r w:rsidR="00CE5BC5">
        <w:rPr>
          <w:rFonts w:ascii="Calibri" w:eastAsia="Calibri" w:hAnsi="Calibri" w:cs="Calibri"/>
          <w:sz w:val="24"/>
          <w:szCs w:val="24"/>
        </w:rPr>
        <w:t>el</w:t>
      </w:r>
      <w:r w:rsidR="00F92F0F">
        <w:rPr>
          <w:rFonts w:ascii="Calibri" w:eastAsia="Calibri" w:hAnsi="Calibri" w:cs="Calibri"/>
          <w:sz w:val="24"/>
          <w:szCs w:val="24"/>
        </w:rPr>
        <w:t xml:space="preserve"> </w:t>
      </w:r>
      <w:r w:rsidR="008E2658">
        <w:rPr>
          <w:rFonts w:ascii="Calibri" w:eastAsia="Calibri" w:hAnsi="Calibri" w:cs="Calibri"/>
          <w:sz w:val="24"/>
          <w:szCs w:val="24"/>
        </w:rPr>
        <w:t xml:space="preserve">to study how resilience to brain aging may predict resilience to dementia associated with Alzheimer’s disease and other </w:t>
      </w:r>
      <w:r w:rsidR="005A6A75">
        <w:rPr>
          <w:rFonts w:ascii="Calibri" w:eastAsia="Calibri" w:hAnsi="Calibri" w:cs="Calibri"/>
          <w:sz w:val="24"/>
          <w:szCs w:val="24"/>
        </w:rPr>
        <w:t>age-</w:t>
      </w:r>
      <w:r w:rsidR="008E2658">
        <w:rPr>
          <w:rFonts w:ascii="Calibri" w:eastAsia="Calibri" w:hAnsi="Calibri" w:cs="Calibri"/>
          <w:sz w:val="24"/>
          <w:szCs w:val="24"/>
        </w:rPr>
        <w:t xml:space="preserve">related neurological </w:t>
      </w:r>
      <w:r w:rsidR="005A6A75">
        <w:rPr>
          <w:rFonts w:ascii="Calibri" w:eastAsia="Calibri" w:hAnsi="Calibri" w:cs="Calibri"/>
          <w:sz w:val="24"/>
          <w:szCs w:val="24"/>
        </w:rPr>
        <w:t>conditions</w:t>
      </w:r>
      <w:r w:rsidR="008E2658">
        <w:rPr>
          <w:rFonts w:ascii="Calibri" w:eastAsia="Calibri" w:hAnsi="Calibri" w:cs="Calibri"/>
          <w:sz w:val="24"/>
          <w:szCs w:val="24"/>
        </w:rPr>
        <w:t>.</w:t>
      </w:r>
      <w:r w:rsidR="00BA5416">
        <w:rPr>
          <w:rFonts w:ascii="Calibri" w:eastAsia="Calibri" w:hAnsi="Calibri" w:cs="Calibri"/>
          <w:sz w:val="24"/>
          <w:szCs w:val="24"/>
        </w:rPr>
        <w:t xml:space="preserve"> </w:t>
      </w:r>
    </w:p>
    <w:p w14:paraId="43B3015F" w14:textId="45487C58" w:rsidR="00740F78" w:rsidRDefault="00740F78" w:rsidP="00CD2F3A">
      <w:pPr>
        <w:spacing w:line="240" w:lineRule="auto"/>
        <w:rPr>
          <w:rFonts w:ascii="Calibri" w:eastAsia="Calibri" w:hAnsi="Calibri" w:cs="Calibri"/>
          <w:sz w:val="24"/>
          <w:szCs w:val="24"/>
        </w:rPr>
      </w:pPr>
    </w:p>
    <w:p w14:paraId="2877B876" w14:textId="39602EC0" w:rsidR="0036407C" w:rsidRDefault="00E76470" w:rsidP="00CD2F3A">
      <w:pPr>
        <w:spacing w:line="240" w:lineRule="auto"/>
        <w:rPr>
          <w:rFonts w:ascii="Calibri" w:eastAsia="Calibri" w:hAnsi="Calibri" w:cs="Calibri"/>
          <w:sz w:val="24"/>
          <w:szCs w:val="24"/>
        </w:rPr>
      </w:pPr>
      <w:r w:rsidRPr="001B64A6">
        <w:rPr>
          <w:rFonts w:ascii="Calibri" w:eastAsia="Calibri" w:hAnsi="Calibri" w:cs="Calibri"/>
          <w:b/>
          <w:bCs/>
          <w:sz w:val="24"/>
          <w:szCs w:val="24"/>
        </w:rPr>
        <w:t>Key words.</w:t>
      </w:r>
      <w:r>
        <w:rPr>
          <w:rFonts w:ascii="Calibri" w:eastAsia="Calibri" w:hAnsi="Calibri" w:cs="Calibri"/>
          <w:sz w:val="24"/>
          <w:szCs w:val="24"/>
        </w:rPr>
        <w:t xml:space="preserve"> Age-related cognitive impairment, C57BL/6J mouse, </w:t>
      </w:r>
      <w:r w:rsidR="001B64A6">
        <w:rPr>
          <w:rFonts w:ascii="Calibri" w:eastAsia="Calibri" w:hAnsi="Calibri" w:cs="Calibri"/>
          <w:sz w:val="24"/>
          <w:szCs w:val="24"/>
        </w:rPr>
        <w:t>B</w:t>
      </w:r>
      <w:r>
        <w:rPr>
          <w:rFonts w:ascii="Calibri" w:eastAsia="Calibri" w:hAnsi="Calibri" w:cs="Calibri"/>
          <w:sz w:val="24"/>
          <w:szCs w:val="24"/>
        </w:rPr>
        <w:t xml:space="preserve">rain aging, </w:t>
      </w:r>
      <w:r w:rsidR="001B64A6">
        <w:rPr>
          <w:rFonts w:ascii="Calibri" w:eastAsia="Calibri" w:hAnsi="Calibri" w:cs="Calibri"/>
          <w:sz w:val="24"/>
          <w:szCs w:val="24"/>
        </w:rPr>
        <w:t>Cognitive resilience</w:t>
      </w:r>
    </w:p>
    <w:p w14:paraId="39EE488D" w14:textId="05622A09" w:rsidR="001B64A6" w:rsidRDefault="001B64A6" w:rsidP="00CD2F3A">
      <w:pPr>
        <w:spacing w:line="240" w:lineRule="auto"/>
        <w:rPr>
          <w:rFonts w:ascii="Calibri" w:eastAsia="Calibri" w:hAnsi="Calibri" w:cs="Calibri"/>
          <w:sz w:val="24"/>
          <w:szCs w:val="24"/>
        </w:rPr>
      </w:pPr>
    </w:p>
    <w:p w14:paraId="21F34276" w14:textId="0B04E417" w:rsidR="001B64A6" w:rsidRDefault="001B64A6" w:rsidP="00CD2F3A">
      <w:pPr>
        <w:spacing w:line="240" w:lineRule="auto"/>
        <w:rPr>
          <w:rFonts w:ascii="Calibri" w:eastAsia="Calibri" w:hAnsi="Calibri" w:cs="Calibri"/>
          <w:sz w:val="24"/>
          <w:szCs w:val="24"/>
        </w:rPr>
      </w:pPr>
      <w:r>
        <w:rPr>
          <w:rFonts w:ascii="Calibri" w:eastAsia="Calibri" w:hAnsi="Calibri" w:cs="Calibri"/>
          <w:b/>
          <w:bCs/>
          <w:sz w:val="24"/>
          <w:szCs w:val="24"/>
        </w:rPr>
        <w:t>*</w:t>
      </w:r>
      <w:r w:rsidRPr="001B64A6">
        <w:rPr>
          <w:rFonts w:ascii="Calibri" w:eastAsia="Calibri" w:hAnsi="Calibri" w:cs="Calibri"/>
          <w:b/>
          <w:bCs/>
          <w:sz w:val="24"/>
          <w:szCs w:val="24"/>
        </w:rPr>
        <w:t>Correspondence.</w:t>
      </w:r>
      <w:r>
        <w:rPr>
          <w:rFonts w:ascii="Calibri" w:eastAsia="Calibri" w:hAnsi="Calibri" w:cs="Calibri"/>
          <w:sz w:val="24"/>
          <w:szCs w:val="24"/>
        </w:rPr>
        <w:t xml:space="preserve"> Warren Ladiges, wladiges@uw.edu</w:t>
      </w:r>
    </w:p>
    <w:p w14:paraId="52379C1B" w14:textId="77777777" w:rsidR="005E3BBD" w:rsidRDefault="005E3BBD">
      <w:pPr>
        <w:spacing w:line="240" w:lineRule="auto"/>
        <w:rPr>
          <w:rFonts w:ascii="Calibri" w:eastAsia="Calibri" w:hAnsi="Calibri" w:cs="Calibri"/>
          <w:sz w:val="24"/>
          <w:szCs w:val="24"/>
        </w:rPr>
      </w:pPr>
    </w:p>
    <w:p w14:paraId="3A6C96E5" w14:textId="77777777" w:rsidR="005E3BBD" w:rsidRDefault="005E3BBD">
      <w:pPr>
        <w:spacing w:line="240" w:lineRule="auto"/>
        <w:rPr>
          <w:rFonts w:ascii="Calibri" w:eastAsia="Calibri" w:hAnsi="Calibri" w:cs="Calibri"/>
          <w:sz w:val="24"/>
          <w:szCs w:val="24"/>
        </w:rPr>
      </w:pPr>
    </w:p>
    <w:p w14:paraId="72E595EC" w14:textId="77777777" w:rsidR="005E3BBD" w:rsidRDefault="005E3BBD">
      <w:pPr>
        <w:spacing w:line="240" w:lineRule="auto"/>
        <w:rPr>
          <w:rFonts w:ascii="Calibri" w:eastAsia="Calibri" w:hAnsi="Calibri" w:cs="Calibri"/>
          <w:sz w:val="24"/>
          <w:szCs w:val="24"/>
        </w:rPr>
      </w:pPr>
    </w:p>
    <w:p w14:paraId="6CB56A8E" w14:textId="77777777" w:rsidR="005E3BBD" w:rsidRDefault="005E3BBD">
      <w:pPr>
        <w:spacing w:line="240" w:lineRule="auto"/>
        <w:rPr>
          <w:rFonts w:ascii="Calibri" w:eastAsia="Calibri" w:hAnsi="Calibri" w:cs="Calibri"/>
          <w:sz w:val="24"/>
          <w:szCs w:val="24"/>
        </w:rPr>
      </w:pPr>
    </w:p>
    <w:p w14:paraId="06C5B21D" w14:textId="77777777" w:rsidR="005E3BBD" w:rsidRDefault="005E3BBD">
      <w:pPr>
        <w:spacing w:line="240" w:lineRule="auto"/>
        <w:rPr>
          <w:rFonts w:ascii="Calibri" w:eastAsia="Calibri" w:hAnsi="Calibri" w:cs="Calibri"/>
          <w:sz w:val="24"/>
          <w:szCs w:val="24"/>
        </w:rPr>
      </w:pPr>
    </w:p>
    <w:p w14:paraId="694EC4FF" w14:textId="77777777" w:rsidR="005E3BBD" w:rsidRDefault="005E3BBD">
      <w:pPr>
        <w:spacing w:line="240" w:lineRule="auto"/>
        <w:rPr>
          <w:rFonts w:ascii="Calibri" w:eastAsia="Calibri" w:hAnsi="Calibri" w:cs="Calibri"/>
          <w:sz w:val="24"/>
          <w:szCs w:val="24"/>
        </w:rPr>
      </w:pPr>
    </w:p>
    <w:p w14:paraId="0DE848E6" w14:textId="77777777" w:rsidR="005E3BBD" w:rsidRDefault="005E3BBD">
      <w:pPr>
        <w:spacing w:line="240" w:lineRule="auto"/>
        <w:rPr>
          <w:rFonts w:ascii="Calibri" w:eastAsia="Calibri" w:hAnsi="Calibri" w:cs="Calibri"/>
          <w:sz w:val="24"/>
          <w:szCs w:val="24"/>
        </w:rPr>
      </w:pPr>
    </w:p>
    <w:p w14:paraId="2341665D" w14:textId="77777777" w:rsidR="005E3BBD" w:rsidRDefault="005E3BBD">
      <w:pPr>
        <w:spacing w:line="240" w:lineRule="auto"/>
        <w:rPr>
          <w:rFonts w:ascii="Calibri" w:eastAsia="Calibri" w:hAnsi="Calibri" w:cs="Calibri"/>
          <w:sz w:val="24"/>
          <w:szCs w:val="24"/>
        </w:rPr>
      </w:pPr>
    </w:p>
    <w:p w14:paraId="1F00CA37" w14:textId="77777777" w:rsidR="005E3BBD" w:rsidRDefault="005E3BBD">
      <w:pPr>
        <w:spacing w:line="240" w:lineRule="auto"/>
        <w:rPr>
          <w:rFonts w:ascii="Calibri" w:eastAsia="Calibri" w:hAnsi="Calibri" w:cs="Calibri"/>
          <w:sz w:val="24"/>
          <w:szCs w:val="24"/>
        </w:rPr>
      </w:pPr>
    </w:p>
    <w:p w14:paraId="7C5A5DF1" w14:textId="77777777" w:rsidR="005E3BBD" w:rsidRDefault="005E3BBD">
      <w:pPr>
        <w:spacing w:line="240" w:lineRule="auto"/>
        <w:rPr>
          <w:rFonts w:ascii="Calibri" w:eastAsia="Calibri" w:hAnsi="Calibri" w:cs="Calibri"/>
          <w:sz w:val="24"/>
          <w:szCs w:val="24"/>
        </w:rPr>
      </w:pPr>
    </w:p>
    <w:p w14:paraId="31D2EF12" w14:textId="77777777" w:rsidR="005E3BBD" w:rsidRDefault="005E3BBD">
      <w:pPr>
        <w:spacing w:line="240" w:lineRule="auto"/>
        <w:rPr>
          <w:rFonts w:ascii="Calibri" w:eastAsia="Calibri" w:hAnsi="Calibri" w:cs="Calibri"/>
          <w:sz w:val="24"/>
          <w:szCs w:val="24"/>
        </w:rPr>
      </w:pPr>
    </w:p>
    <w:p w14:paraId="042A5D95" w14:textId="77777777" w:rsidR="005E3BBD" w:rsidRDefault="005E3BBD">
      <w:pPr>
        <w:spacing w:line="240" w:lineRule="auto"/>
        <w:rPr>
          <w:rFonts w:ascii="Calibri" w:eastAsia="Calibri" w:hAnsi="Calibri" w:cs="Calibri"/>
          <w:sz w:val="24"/>
          <w:szCs w:val="24"/>
        </w:rPr>
      </w:pPr>
    </w:p>
    <w:p w14:paraId="6854E103" w14:textId="77777777" w:rsidR="005E3BBD" w:rsidRDefault="005E3BBD">
      <w:pPr>
        <w:spacing w:line="240" w:lineRule="auto"/>
        <w:rPr>
          <w:rFonts w:ascii="Calibri" w:eastAsia="Calibri" w:hAnsi="Calibri" w:cs="Calibri"/>
          <w:sz w:val="24"/>
          <w:szCs w:val="24"/>
        </w:rPr>
      </w:pPr>
    </w:p>
    <w:p w14:paraId="6C6CE263" w14:textId="5631F0AA" w:rsidR="005E3BBD" w:rsidRDefault="00F27C27">
      <w:p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Cognitive decline with increasing age is a common aspect of growing old </w:t>
      </w:r>
      <w:r w:rsidR="00BD49C0">
        <w:rPr>
          <w:rFonts w:ascii="Calibri" w:eastAsia="Calibri" w:hAnsi="Calibri" w:cs="Calibri"/>
          <w:sz w:val="24"/>
          <w:szCs w:val="24"/>
        </w:rPr>
        <w:t>[1]</w:t>
      </w:r>
      <w:r>
        <w:rPr>
          <w:rFonts w:ascii="Calibri" w:eastAsia="Calibri" w:hAnsi="Calibri" w:cs="Calibri"/>
          <w:sz w:val="24"/>
          <w:szCs w:val="24"/>
        </w:rPr>
        <w:t>. It is a generic umbrella for all aspects of cognitive dysfunction ranging from memory lapses associated with typical aging to prodromal stages of neurodegenerative diseases such as Alzheimer’s disease</w:t>
      </w:r>
      <w:r>
        <w:rPr>
          <w:rFonts w:ascii="Calibri" w:eastAsia="Calibri" w:hAnsi="Calibri" w:cs="Calibri"/>
          <w:color w:val="333333"/>
          <w:sz w:val="24"/>
          <w:szCs w:val="24"/>
        </w:rPr>
        <w:t xml:space="preserve"> (AD). </w:t>
      </w:r>
      <w:r>
        <w:rPr>
          <w:rFonts w:ascii="Calibri" w:eastAsia="Calibri" w:hAnsi="Calibri" w:cs="Calibri"/>
          <w:sz w:val="24"/>
          <w:szCs w:val="24"/>
        </w:rPr>
        <w:t xml:space="preserve">Dementia is the term used for more severe cognitive impairment where patients experience memory loss as well as difficulties in maintaining independence in normal living activities </w:t>
      </w:r>
      <w:r w:rsidR="00BD49C0">
        <w:rPr>
          <w:rFonts w:ascii="Calibri" w:eastAsia="Calibri" w:hAnsi="Calibri" w:cs="Calibri"/>
          <w:sz w:val="24"/>
          <w:szCs w:val="24"/>
        </w:rPr>
        <w:t>[2]</w:t>
      </w:r>
      <w:r>
        <w:rPr>
          <w:rFonts w:ascii="Calibri" w:eastAsia="Calibri" w:hAnsi="Calibri" w:cs="Calibri"/>
          <w:sz w:val="24"/>
          <w:szCs w:val="24"/>
        </w:rPr>
        <w:t xml:space="preserve">. Mild cognitive impairment is often used to describe a prodromal stage between cognitive impairment related to aging and dementia </w:t>
      </w:r>
      <w:r w:rsidR="00BD49C0">
        <w:rPr>
          <w:rFonts w:ascii="Calibri" w:eastAsia="Calibri" w:hAnsi="Calibri" w:cs="Calibri"/>
          <w:sz w:val="24"/>
          <w:szCs w:val="24"/>
        </w:rPr>
        <w:t>[3]</w:t>
      </w:r>
      <w:r>
        <w:rPr>
          <w:rFonts w:ascii="Calibri" w:eastAsia="Calibri" w:hAnsi="Calibri" w:cs="Calibri"/>
          <w:sz w:val="24"/>
          <w:szCs w:val="24"/>
        </w:rPr>
        <w:t>. Age-related cognitive impairment (ARCI), which falls under the umbrella of cognitive decline, is an extremely common condition that affects millions of older people, but little is known about how these people may be at increased risk for developing more severe neurodegeneration and dementia.</w:t>
      </w:r>
    </w:p>
    <w:p w14:paraId="2835EAC6" w14:textId="77777777" w:rsidR="005E3BBD" w:rsidRDefault="005E3BBD">
      <w:pPr>
        <w:spacing w:line="240" w:lineRule="auto"/>
        <w:rPr>
          <w:rFonts w:ascii="Calibri" w:eastAsia="Calibri" w:hAnsi="Calibri" w:cs="Calibri"/>
          <w:sz w:val="24"/>
          <w:szCs w:val="24"/>
        </w:rPr>
      </w:pPr>
    </w:p>
    <w:p w14:paraId="377C7CAE" w14:textId="77777777" w:rsidR="005E3BBD" w:rsidRDefault="00F27C27">
      <w:pPr>
        <w:spacing w:line="240" w:lineRule="auto"/>
        <w:rPr>
          <w:rFonts w:ascii="Calibri" w:eastAsia="Calibri" w:hAnsi="Calibri" w:cs="Calibri"/>
          <w:sz w:val="24"/>
          <w:szCs w:val="24"/>
        </w:rPr>
      </w:pPr>
      <w:r>
        <w:rPr>
          <w:rFonts w:ascii="Calibri" w:eastAsia="Calibri" w:hAnsi="Calibri" w:cs="Calibri"/>
          <w:sz w:val="24"/>
          <w:szCs w:val="24"/>
        </w:rPr>
        <w:t xml:space="preserve">We have characterized a mouse model of naturally occurring ARCI that will provide the opportunity to investigate cellular, molecular and transcriptomic aspects of cognitive impairment without the presence of disease factors such as AD. Mice do not get AD naturally, so the mouse brain is not cluttered with amyloid plaques or tau fibrillary tangles. The purpose of this short note is to describe the model.      </w:t>
      </w:r>
    </w:p>
    <w:p w14:paraId="3DC7F561" w14:textId="77777777" w:rsidR="005E3BBD" w:rsidRDefault="005E3BBD">
      <w:pPr>
        <w:spacing w:line="240" w:lineRule="auto"/>
        <w:rPr>
          <w:rFonts w:ascii="Calibri" w:eastAsia="Calibri" w:hAnsi="Calibri" w:cs="Calibri"/>
          <w:sz w:val="24"/>
          <w:szCs w:val="24"/>
        </w:rPr>
      </w:pPr>
    </w:p>
    <w:p w14:paraId="3B1D5FBB" w14:textId="57F7ECBD" w:rsidR="005E3BBD" w:rsidRDefault="00F27C27">
      <w:pPr>
        <w:spacing w:line="240" w:lineRule="auto"/>
        <w:rPr>
          <w:rFonts w:ascii="Calibri" w:eastAsia="Calibri" w:hAnsi="Calibri" w:cs="Calibri"/>
          <w:sz w:val="24"/>
          <w:szCs w:val="24"/>
        </w:rPr>
      </w:pPr>
      <w:r>
        <w:rPr>
          <w:rFonts w:ascii="Calibri" w:eastAsia="Calibri" w:hAnsi="Calibri" w:cs="Calibri"/>
          <w:sz w:val="24"/>
          <w:szCs w:val="24"/>
        </w:rPr>
        <w:t xml:space="preserve">C57BL/6 mice are used extensively in aging research. In order to determine if cognitive impairment was age-dependent in this strain, mice were obtained from the NIA Aged Rodent Colony (Charles River) at ages 4, 12, 20, and 28 months. They were acclimated for three weeks and subsequently tested for cognition using the radial water tread maze </w:t>
      </w:r>
      <w:r w:rsidR="00BD49C0">
        <w:rPr>
          <w:rFonts w:ascii="Calibri" w:eastAsia="Calibri" w:hAnsi="Calibri" w:cs="Calibri"/>
          <w:sz w:val="24"/>
          <w:szCs w:val="24"/>
        </w:rPr>
        <w:t>[4]</w:t>
      </w:r>
      <w:r>
        <w:rPr>
          <w:rFonts w:ascii="Calibri" w:eastAsia="Calibri" w:hAnsi="Calibri" w:cs="Calibri"/>
          <w:sz w:val="24"/>
          <w:szCs w:val="24"/>
        </w:rPr>
        <w:t xml:space="preserve">. Figure 1 clearly shows 28-month-old mice performed poorly, whereas 4-month-old mice showed superior performance and were not cognitively impaired. The 12- and 20-month-old mice were in the middle with 20-month-old mice trending toward more cognitive impairment than 12-month-old mice.    </w:t>
      </w:r>
    </w:p>
    <w:p w14:paraId="70EE6C70" w14:textId="77777777" w:rsidR="005E3BBD" w:rsidRDefault="005E3BBD">
      <w:pPr>
        <w:rPr>
          <w:rFonts w:ascii="Calibri" w:eastAsia="Calibri" w:hAnsi="Calibri" w:cs="Calibri"/>
        </w:rPr>
      </w:pPr>
    </w:p>
    <w:p w14:paraId="05C2E6EC" w14:textId="77777777" w:rsidR="005E3BBD" w:rsidRDefault="00F27C27">
      <w:pPr>
        <w:rPr>
          <w:rFonts w:ascii="Calibri" w:eastAsia="Calibri" w:hAnsi="Calibri" w:cs="Calibri"/>
        </w:rPr>
      </w:pPr>
      <w:r>
        <w:rPr>
          <w:noProof/>
          <w:lang w:val="en-US"/>
        </w:rPr>
        <w:drawing>
          <wp:anchor distT="0" distB="0" distL="114300" distR="114300" simplePos="0" relativeHeight="251658240" behindDoc="0" locked="0" layoutInCell="1" hidden="0" allowOverlap="1" wp14:anchorId="6AA8A676" wp14:editId="2478FF0B">
            <wp:simplePos x="0" y="0"/>
            <wp:positionH relativeFrom="column">
              <wp:posOffset>1014730</wp:posOffset>
            </wp:positionH>
            <wp:positionV relativeFrom="paragraph">
              <wp:posOffset>3810</wp:posOffset>
            </wp:positionV>
            <wp:extent cx="3798570" cy="2393950"/>
            <wp:effectExtent l="0" t="0" r="11430" b="6350"/>
            <wp:wrapSquare wrapText="bothSides" distT="0" distB="0" distL="114300" distR="1143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V relativeFrom="margin">
              <wp14:pctHeight>0</wp14:pctHeight>
            </wp14:sizeRelV>
          </wp:anchor>
        </w:drawing>
      </w:r>
    </w:p>
    <w:p w14:paraId="2121A44F" w14:textId="77777777" w:rsidR="005E3BBD" w:rsidRDefault="005E3BBD">
      <w:pPr>
        <w:rPr>
          <w:rFonts w:ascii="Calibri" w:eastAsia="Calibri" w:hAnsi="Calibri" w:cs="Calibri"/>
        </w:rPr>
      </w:pPr>
    </w:p>
    <w:p w14:paraId="22A9237F" w14:textId="77777777" w:rsidR="005E3BBD" w:rsidRDefault="005E3BBD">
      <w:pPr>
        <w:rPr>
          <w:rFonts w:ascii="Calibri" w:eastAsia="Calibri" w:hAnsi="Calibri" w:cs="Calibri"/>
        </w:rPr>
      </w:pPr>
    </w:p>
    <w:p w14:paraId="4DC38CD6" w14:textId="77777777" w:rsidR="005E3BBD" w:rsidRDefault="005E3BBD">
      <w:pPr>
        <w:rPr>
          <w:rFonts w:ascii="Calibri" w:eastAsia="Calibri" w:hAnsi="Calibri" w:cs="Calibri"/>
        </w:rPr>
      </w:pPr>
    </w:p>
    <w:p w14:paraId="61FED571" w14:textId="77777777" w:rsidR="005E3BBD" w:rsidRDefault="005E3BBD">
      <w:pPr>
        <w:rPr>
          <w:rFonts w:ascii="Calibri" w:eastAsia="Calibri" w:hAnsi="Calibri" w:cs="Calibri"/>
        </w:rPr>
      </w:pPr>
    </w:p>
    <w:p w14:paraId="084F38E1" w14:textId="77777777" w:rsidR="005E3BBD" w:rsidRDefault="005E3BBD">
      <w:pPr>
        <w:rPr>
          <w:rFonts w:ascii="Calibri" w:eastAsia="Calibri" w:hAnsi="Calibri" w:cs="Calibri"/>
        </w:rPr>
      </w:pPr>
    </w:p>
    <w:p w14:paraId="6245C7A2" w14:textId="77777777" w:rsidR="005E3BBD" w:rsidRDefault="005E3BBD">
      <w:pPr>
        <w:rPr>
          <w:rFonts w:ascii="Calibri" w:eastAsia="Calibri" w:hAnsi="Calibri" w:cs="Calibri"/>
        </w:rPr>
      </w:pPr>
    </w:p>
    <w:p w14:paraId="2A087F06" w14:textId="77777777" w:rsidR="005E3BBD" w:rsidRDefault="005E3BBD">
      <w:pPr>
        <w:rPr>
          <w:rFonts w:ascii="Calibri" w:eastAsia="Calibri" w:hAnsi="Calibri" w:cs="Calibri"/>
        </w:rPr>
      </w:pPr>
    </w:p>
    <w:p w14:paraId="22FDD59C" w14:textId="77777777" w:rsidR="005E3BBD" w:rsidRDefault="005E3BBD">
      <w:pPr>
        <w:rPr>
          <w:rFonts w:ascii="Calibri" w:eastAsia="Calibri" w:hAnsi="Calibri" w:cs="Calibri"/>
        </w:rPr>
      </w:pPr>
    </w:p>
    <w:p w14:paraId="7EF87FA2" w14:textId="77777777" w:rsidR="005E3BBD" w:rsidRDefault="005E3BBD">
      <w:pPr>
        <w:spacing w:line="240" w:lineRule="auto"/>
        <w:ind w:firstLine="720"/>
        <w:rPr>
          <w:rFonts w:ascii="Calibri" w:eastAsia="Calibri" w:hAnsi="Calibri" w:cs="Calibri"/>
          <w:sz w:val="24"/>
          <w:szCs w:val="24"/>
        </w:rPr>
      </w:pPr>
    </w:p>
    <w:p w14:paraId="1E457260" w14:textId="77777777" w:rsidR="005E3BBD" w:rsidRDefault="005E3BBD">
      <w:pPr>
        <w:spacing w:line="240" w:lineRule="auto"/>
        <w:ind w:firstLine="720"/>
        <w:rPr>
          <w:rFonts w:ascii="Calibri" w:eastAsia="Calibri" w:hAnsi="Calibri" w:cs="Calibri"/>
          <w:sz w:val="24"/>
          <w:szCs w:val="24"/>
        </w:rPr>
      </w:pPr>
    </w:p>
    <w:p w14:paraId="69417E8D" w14:textId="77777777" w:rsidR="005E3BBD" w:rsidRDefault="005E3BBD">
      <w:pPr>
        <w:spacing w:line="240" w:lineRule="auto"/>
        <w:ind w:firstLine="720"/>
        <w:rPr>
          <w:rFonts w:ascii="Calibri" w:eastAsia="Calibri" w:hAnsi="Calibri" w:cs="Calibri"/>
          <w:sz w:val="24"/>
          <w:szCs w:val="24"/>
        </w:rPr>
      </w:pPr>
    </w:p>
    <w:p w14:paraId="10A0D179" w14:textId="77777777" w:rsidR="005E3BBD" w:rsidRDefault="005E3BBD">
      <w:pPr>
        <w:rPr>
          <w:rFonts w:ascii="Calibri" w:eastAsia="Calibri" w:hAnsi="Calibri" w:cs="Calibri"/>
          <w:sz w:val="18"/>
          <w:szCs w:val="18"/>
        </w:rPr>
      </w:pPr>
    </w:p>
    <w:p w14:paraId="0490D82A" w14:textId="77777777" w:rsidR="005E3BBD" w:rsidRDefault="00F27C27">
      <w:pPr>
        <w:rPr>
          <w:rFonts w:ascii="Calibri" w:eastAsia="Calibri" w:hAnsi="Calibri" w:cs="Calibri"/>
        </w:rPr>
      </w:pPr>
      <w:r>
        <w:rPr>
          <w:rFonts w:ascii="Calibri" w:eastAsia="Calibri" w:hAnsi="Calibri" w:cs="Calibri"/>
          <w:b/>
        </w:rPr>
        <w:t>Figure 1.</w:t>
      </w:r>
      <w:r>
        <w:rPr>
          <w:rFonts w:ascii="Calibri" w:eastAsia="Calibri" w:hAnsi="Calibri" w:cs="Calibri"/>
        </w:rPr>
        <w:t xml:space="preserve"> Cognitive impairment in C57BL/6 mice develops in an age-dependent manner as determined by the radial water tread maze. </w:t>
      </w:r>
    </w:p>
    <w:p w14:paraId="43C1887E" w14:textId="77777777" w:rsidR="005E3BBD" w:rsidRDefault="005E3BBD">
      <w:pPr>
        <w:spacing w:line="240" w:lineRule="auto"/>
        <w:rPr>
          <w:rFonts w:ascii="Calibri" w:eastAsia="Calibri" w:hAnsi="Calibri" w:cs="Calibri"/>
          <w:sz w:val="24"/>
          <w:szCs w:val="24"/>
        </w:rPr>
      </w:pPr>
    </w:p>
    <w:p w14:paraId="729E1D51" w14:textId="362101AA" w:rsidR="005E3BBD" w:rsidRDefault="00F27C27">
      <w:pPr>
        <w:spacing w:line="240" w:lineRule="auto"/>
        <w:rPr>
          <w:rFonts w:ascii="Calibri" w:eastAsia="Calibri" w:hAnsi="Calibri" w:cs="Calibri"/>
          <w:color w:val="333333"/>
          <w:sz w:val="24"/>
          <w:szCs w:val="24"/>
        </w:rPr>
      </w:pPr>
      <w:r>
        <w:rPr>
          <w:rFonts w:ascii="Calibri" w:eastAsia="Calibri" w:hAnsi="Calibri" w:cs="Calibri"/>
          <w:color w:val="333333"/>
          <w:sz w:val="24"/>
          <w:szCs w:val="24"/>
        </w:rPr>
        <w:t xml:space="preserve">We next obtained 20-month-old C57BL6 mice, 20 males and 20 females, from the NIA Aged Rodent Colony to assess the variability of ARCI using a spatial navigation learning task </w:t>
      </w:r>
      <w:r w:rsidR="00BD49C0">
        <w:rPr>
          <w:rFonts w:ascii="Calibri" w:eastAsia="Calibri" w:hAnsi="Calibri" w:cs="Calibri"/>
          <w:color w:val="333333"/>
          <w:sz w:val="24"/>
          <w:szCs w:val="24"/>
        </w:rPr>
        <w:t>[5]</w:t>
      </w:r>
      <w:r>
        <w:rPr>
          <w:rFonts w:ascii="Calibri" w:eastAsia="Calibri" w:hAnsi="Calibri" w:cs="Calibri"/>
          <w:color w:val="333333"/>
          <w:sz w:val="24"/>
          <w:szCs w:val="24"/>
        </w:rPr>
        <w:t xml:space="preserve">. </w:t>
      </w:r>
    </w:p>
    <w:p w14:paraId="36D79A92" w14:textId="56BB46FB" w:rsidR="005E3BBD" w:rsidRDefault="00190848">
      <w:pPr>
        <w:spacing w:line="240" w:lineRule="auto"/>
        <w:rPr>
          <w:rFonts w:ascii="Calibri" w:eastAsia="Calibri" w:hAnsi="Calibri" w:cs="Calibri"/>
          <w:color w:val="333333"/>
          <w:sz w:val="24"/>
          <w:szCs w:val="24"/>
        </w:rPr>
      </w:pPr>
      <w:r>
        <w:rPr>
          <w:noProof/>
          <w:lang w:val="en-US"/>
        </w:rPr>
        <w:lastRenderedPageBreak/>
        <w:drawing>
          <wp:anchor distT="114300" distB="114300" distL="114300" distR="114300" simplePos="0" relativeHeight="251659264" behindDoc="0" locked="0" layoutInCell="1" hidden="0" allowOverlap="1" wp14:anchorId="1A367A9B" wp14:editId="3011B85D">
            <wp:simplePos x="0" y="0"/>
            <wp:positionH relativeFrom="column">
              <wp:posOffset>1261110</wp:posOffset>
            </wp:positionH>
            <wp:positionV relativeFrom="paragraph">
              <wp:posOffset>1443355</wp:posOffset>
            </wp:positionV>
            <wp:extent cx="3639820" cy="2230755"/>
            <wp:effectExtent l="19050" t="19050" r="17780" b="17145"/>
            <wp:wrapTopAndBottom distT="114300" distB="11430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639820" cy="2230755"/>
                    </a:xfrm>
                    <a:prstGeom prst="rect">
                      <a:avLst/>
                    </a:prstGeom>
                    <a:ln w="12700">
                      <a:solidFill>
                        <a:srgbClr val="000000"/>
                      </a:solidFill>
                      <a:prstDash val="solid"/>
                    </a:ln>
                  </pic:spPr>
                </pic:pic>
              </a:graphicData>
            </a:graphic>
            <wp14:sizeRelV relativeFrom="margin">
              <wp14:pctHeight>0</wp14:pctHeight>
            </wp14:sizeRelV>
          </wp:anchor>
        </w:drawing>
      </w:r>
      <w:r w:rsidR="00F27C27">
        <w:rPr>
          <w:rFonts w:ascii="Calibri" w:eastAsia="Calibri" w:hAnsi="Calibri" w:cs="Calibri"/>
          <w:color w:val="333333"/>
          <w:sz w:val="24"/>
          <w:szCs w:val="24"/>
        </w:rPr>
        <w:t>This is a one-day assessment procedure that measures escape times from an isolated box-like bin into an open hole among 7 closed holes. After finding the median slope value across the number of mice in each cohort, a threshold value was set so that mice that escaped more quickly after 4 trials could be distinguished from mice that were slow to escape. This was done by plotting the raw data of each mouse (</w:t>
      </w:r>
      <w:r w:rsidR="0079417F">
        <w:rPr>
          <w:rFonts w:ascii="Calibri" w:eastAsia="Calibri" w:hAnsi="Calibri" w:cs="Calibri"/>
          <w:color w:val="333333"/>
          <w:sz w:val="24"/>
          <w:szCs w:val="24"/>
        </w:rPr>
        <w:t>F</w:t>
      </w:r>
      <w:r w:rsidR="00F27C27">
        <w:rPr>
          <w:rFonts w:ascii="Calibri" w:eastAsia="Calibri" w:hAnsi="Calibri" w:cs="Calibri"/>
          <w:color w:val="333333"/>
          <w:sz w:val="24"/>
          <w:szCs w:val="24"/>
        </w:rPr>
        <w:t>igure 2) on a logarithmic scale and determining the R</w:t>
      </w:r>
      <w:r w:rsidR="00F27C27">
        <w:rPr>
          <w:rFonts w:ascii="Calibri" w:eastAsia="Calibri" w:hAnsi="Calibri" w:cs="Calibri"/>
          <w:color w:val="333333"/>
          <w:sz w:val="24"/>
          <w:szCs w:val="24"/>
          <w:vertAlign w:val="superscript"/>
        </w:rPr>
        <w:t>2</w:t>
      </w:r>
      <w:r w:rsidR="00F27C27">
        <w:rPr>
          <w:rFonts w:ascii="Calibri" w:eastAsia="Calibri" w:hAnsi="Calibri" w:cs="Calibri"/>
          <w:color w:val="333333"/>
          <w:sz w:val="24"/>
          <w:szCs w:val="24"/>
        </w:rPr>
        <w:t xml:space="preserve"> value and slope using a trendline thus allowing placement into an ARCI susceptible group and an ARCI resistant group. The R</w:t>
      </w:r>
      <w:r w:rsidR="00F27C27">
        <w:rPr>
          <w:rFonts w:ascii="Calibri" w:eastAsia="Calibri" w:hAnsi="Calibri" w:cs="Calibri"/>
          <w:color w:val="333333"/>
          <w:sz w:val="24"/>
          <w:szCs w:val="24"/>
          <w:vertAlign w:val="superscript"/>
        </w:rPr>
        <w:t>2</w:t>
      </w:r>
      <w:r w:rsidR="00F27C27">
        <w:rPr>
          <w:rFonts w:ascii="Calibri" w:eastAsia="Calibri" w:hAnsi="Calibri" w:cs="Calibri"/>
          <w:color w:val="333333"/>
          <w:sz w:val="24"/>
          <w:szCs w:val="24"/>
        </w:rPr>
        <w:t xml:space="preserve"> value was used to further separate fast learners. </w:t>
      </w:r>
    </w:p>
    <w:p w14:paraId="0851AD7B" w14:textId="77777777" w:rsidR="005E3BBD" w:rsidRDefault="005E3BBD">
      <w:pPr>
        <w:spacing w:line="240" w:lineRule="auto"/>
        <w:rPr>
          <w:rFonts w:ascii="Calibri" w:eastAsia="Calibri" w:hAnsi="Calibri" w:cs="Calibri"/>
          <w:sz w:val="24"/>
          <w:szCs w:val="24"/>
        </w:rPr>
      </w:pPr>
    </w:p>
    <w:p w14:paraId="40790460" w14:textId="77777777" w:rsidR="005E3BBD" w:rsidRDefault="00F27C27">
      <w:pPr>
        <w:widowControl w:val="0"/>
        <w:spacing w:line="240" w:lineRule="auto"/>
        <w:ind w:right="166"/>
        <w:rPr>
          <w:rFonts w:ascii="Calibri" w:eastAsia="Calibri" w:hAnsi="Calibri" w:cs="Calibri"/>
        </w:rPr>
      </w:pPr>
      <w:r>
        <w:rPr>
          <w:rFonts w:ascii="Calibri" w:eastAsia="Calibri" w:hAnsi="Calibri" w:cs="Calibri"/>
          <w:b/>
        </w:rPr>
        <w:t>Figure 2.</w:t>
      </w:r>
      <w:r>
        <w:rPr>
          <w:rFonts w:ascii="Calibri" w:eastAsia="Calibri" w:hAnsi="Calibri" w:cs="Calibri"/>
        </w:rPr>
        <w:t xml:space="preserve"> Regression analysis of escape times by 20-month-old C57BL/6 mice in a spatial navigation learning task. It can be seen that mice at this age can be stratified into a slow escape group and a fast escape group providing the rationale to designate these groups as susceptible and resistant, respectively, to ARCI. </w:t>
      </w:r>
    </w:p>
    <w:p w14:paraId="7DA9B5A8" w14:textId="77777777" w:rsidR="005E3BBD" w:rsidRDefault="005E3BBD">
      <w:pPr>
        <w:widowControl w:val="0"/>
        <w:spacing w:line="240" w:lineRule="auto"/>
        <w:ind w:right="166"/>
        <w:rPr>
          <w:rFonts w:ascii="Calibri" w:eastAsia="Calibri" w:hAnsi="Calibri" w:cs="Calibri"/>
          <w:sz w:val="20"/>
          <w:szCs w:val="20"/>
        </w:rPr>
      </w:pPr>
    </w:p>
    <w:p w14:paraId="72AAE59D" w14:textId="011D1C0F" w:rsidR="005E3BBD" w:rsidRDefault="00D31E2F">
      <w:pPr>
        <w:widowControl w:val="0"/>
        <w:spacing w:line="240" w:lineRule="auto"/>
        <w:ind w:right="166"/>
        <w:rPr>
          <w:rFonts w:ascii="Calibri" w:eastAsia="Calibri" w:hAnsi="Calibri" w:cs="Calibri"/>
          <w:sz w:val="24"/>
          <w:szCs w:val="24"/>
        </w:rPr>
      </w:pPr>
      <w:r>
        <w:rPr>
          <w:noProof/>
          <w:lang w:val="en-US"/>
        </w:rPr>
        <w:drawing>
          <wp:anchor distT="114300" distB="114300" distL="114300" distR="114300" simplePos="0" relativeHeight="251663360" behindDoc="0" locked="0" layoutInCell="1" hidden="0" allowOverlap="1" wp14:anchorId="6CDA051E" wp14:editId="510DC7F8">
            <wp:simplePos x="0" y="0"/>
            <wp:positionH relativeFrom="column">
              <wp:posOffset>277495</wp:posOffset>
            </wp:positionH>
            <wp:positionV relativeFrom="paragraph">
              <wp:posOffset>1497965</wp:posOffset>
            </wp:positionV>
            <wp:extent cx="6014720" cy="1825625"/>
            <wp:effectExtent l="12700" t="12700" r="12700" b="12700"/>
            <wp:wrapTopAndBottom distT="114300" distB="114300"/>
            <wp:docPr id="1" name="image2.png" descr="Chart, bar ch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png" descr="Chart, bar chart&#10;&#10;Description automatically generated"/>
                    <pic:cNvPicPr preferRelativeResize="0"/>
                  </pic:nvPicPr>
                  <pic:blipFill>
                    <a:blip r:embed="rId8"/>
                    <a:srcRect/>
                    <a:stretch>
                      <a:fillRect/>
                    </a:stretch>
                  </pic:blipFill>
                  <pic:spPr>
                    <a:xfrm>
                      <a:off x="0" y="0"/>
                      <a:ext cx="6014720" cy="1825625"/>
                    </a:xfrm>
                    <a:prstGeom prst="rect">
                      <a:avLst/>
                    </a:prstGeom>
                    <a:ln w="12700">
                      <a:solidFill>
                        <a:srgbClr val="000000"/>
                      </a:solidFill>
                      <a:prstDash val="solid"/>
                    </a:ln>
                  </pic:spPr>
                </pic:pic>
              </a:graphicData>
            </a:graphic>
          </wp:anchor>
        </w:drawing>
      </w:r>
      <w:r w:rsidR="00F27C27">
        <w:rPr>
          <w:rFonts w:ascii="Calibri" w:eastAsia="Calibri" w:hAnsi="Calibri" w:cs="Calibri"/>
          <w:sz w:val="24"/>
          <w:szCs w:val="24"/>
        </w:rPr>
        <w:t xml:space="preserve">In order to determine if ARCI susceptible mice at this age had any age-related physical challenges, agility and strength tests were performed. As can be seen in Figure 3, there were no differences in performance in strength or agility between the two groups </w:t>
      </w:r>
      <w:r w:rsidR="005F10CF">
        <w:rPr>
          <w:rFonts w:ascii="Calibri" w:eastAsia="Calibri" w:hAnsi="Calibri" w:cs="Calibri"/>
          <w:sz w:val="24"/>
          <w:szCs w:val="24"/>
        </w:rPr>
        <w:t xml:space="preserve">of males or females </w:t>
      </w:r>
      <w:r w:rsidR="00F27C27">
        <w:rPr>
          <w:rFonts w:ascii="Calibri" w:eastAsia="Calibri" w:hAnsi="Calibri" w:cs="Calibri"/>
          <w:sz w:val="24"/>
          <w:szCs w:val="24"/>
        </w:rPr>
        <w:t xml:space="preserve">suggesting ARCI susceptible mice were fully capable of performing basic living tasks requiring mobility for eating, drinking and grooming. </w:t>
      </w:r>
      <w:r w:rsidR="005F10CF">
        <w:rPr>
          <w:rFonts w:ascii="Calibri" w:eastAsia="Calibri" w:hAnsi="Calibri" w:cs="Calibri"/>
          <w:sz w:val="24"/>
          <w:szCs w:val="24"/>
        </w:rPr>
        <w:t xml:space="preserve">Interestingly, </w:t>
      </w:r>
      <w:r w:rsidR="00BC3E8E">
        <w:rPr>
          <w:rFonts w:ascii="Calibri" w:eastAsia="Calibri" w:hAnsi="Calibri" w:cs="Calibri"/>
          <w:sz w:val="24"/>
          <w:szCs w:val="24"/>
        </w:rPr>
        <w:t xml:space="preserve">susceptible females performed better than susceptible males in the grip strength test but not the rotarod test, while resistant males performed better than resistant females in the rotarod test but not the grip strength test. </w:t>
      </w:r>
      <w:r w:rsidR="00F27C27">
        <w:rPr>
          <w:rFonts w:ascii="Calibri" w:eastAsia="Calibri" w:hAnsi="Calibri" w:cs="Calibri"/>
          <w:sz w:val="24"/>
          <w:szCs w:val="24"/>
        </w:rPr>
        <w:t xml:space="preserve"> </w:t>
      </w:r>
    </w:p>
    <w:p w14:paraId="710E54A1" w14:textId="7B297995" w:rsidR="005E3BBD" w:rsidRDefault="00F27C27">
      <w:pPr>
        <w:widowControl w:val="0"/>
        <w:spacing w:line="240" w:lineRule="auto"/>
        <w:ind w:right="166"/>
        <w:rPr>
          <w:rFonts w:ascii="Calibri" w:eastAsia="Calibri" w:hAnsi="Calibri" w:cs="Calibri"/>
        </w:rPr>
      </w:pPr>
      <w:r>
        <w:rPr>
          <w:rFonts w:ascii="Calibri" w:eastAsia="Calibri" w:hAnsi="Calibri" w:cs="Calibri"/>
          <w:b/>
        </w:rPr>
        <w:lastRenderedPageBreak/>
        <w:t>Figure 3.</w:t>
      </w:r>
      <w:r>
        <w:rPr>
          <w:rFonts w:ascii="Calibri" w:eastAsia="Calibri" w:hAnsi="Calibri" w:cs="Calibri"/>
        </w:rPr>
        <w:t xml:space="preserve"> Grip strength and rotarod tests showed no significant difference in performance between ARCI resistant and ARCI susceptible mice </w:t>
      </w:r>
      <w:r w:rsidR="00160538">
        <w:rPr>
          <w:rFonts w:ascii="Calibri" w:eastAsia="Calibri" w:hAnsi="Calibri" w:cs="Calibri"/>
        </w:rPr>
        <w:t>in either males or females</w:t>
      </w:r>
      <w:r>
        <w:rPr>
          <w:rFonts w:ascii="Calibri" w:eastAsia="Calibri" w:hAnsi="Calibri" w:cs="Calibri"/>
        </w:rPr>
        <w:t xml:space="preserve">.   </w:t>
      </w:r>
    </w:p>
    <w:p w14:paraId="4DD19B53" w14:textId="77777777" w:rsidR="005E3BBD" w:rsidRDefault="005E3BBD">
      <w:pPr>
        <w:widowControl w:val="0"/>
        <w:spacing w:line="240" w:lineRule="auto"/>
        <w:ind w:right="166"/>
        <w:rPr>
          <w:rFonts w:ascii="Calibri" w:eastAsia="Calibri" w:hAnsi="Calibri" w:cs="Calibri"/>
          <w:sz w:val="20"/>
          <w:szCs w:val="20"/>
        </w:rPr>
      </w:pPr>
    </w:p>
    <w:p w14:paraId="7D409C49" w14:textId="385BB317" w:rsidR="005E3BBD" w:rsidRDefault="006A4B31">
      <w:pPr>
        <w:widowControl w:val="0"/>
        <w:spacing w:line="240" w:lineRule="auto"/>
        <w:ind w:right="166"/>
        <w:rPr>
          <w:rFonts w:ascii="Calibri" w:eastAsia="Calibri" w:hAnsi="Calibri" w:cs="Calibri"/>
          <w:sz w:val="24"/>
          <w:szCs w:val="24"/>
        </w:rPr>
      </w:pPr>
      <w:r>
        <w:rPr>
          <w:noProof/>
          <w:lang w:val="en-US"/>
        </w:rPr>
        <w:drawing>
          <wp:anchor distT="114300" distB="114300" distL="114300" distR="114300" simplePos="0" relativeHeight="251661312" behindDoc="0" locked="0" layoutInCell="1" hidden="0" allowOverlap="1" wp14:anchorId="7CB3BA81" wp14:editId="77D970E8">
            <wp:simplePos x="0" y="0"/>
            <wp:positionH relativeFrom="column">
              <wp:posOffset>790575</wp:posOffset>
            </wp:positionH>
            <wp:positionV relativeFrom="paragraph">
              <wp:posOffset>1287780</wp:posOffset>
            </wp:positionV>
            <wp:extent cx="4610100" cy="2092325"/>
            <wp:effectExtent l="12700" t="12700" r="12700" b="12700"/>
            <wp:wrapTopAndBottom distT="114300" distB="11430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610100" cy="2092325"/>
                    </a:xfrm>
                    <a:prstGeom prst="rect">
                      <a:avLst/>
                    </a:prstGeom>
                    <a:ln w="12700">
                      <a:solidFill>
                        <a:srgbClr val="000000"/>
                      </a:solidFill>
                      <a:prstDash val="solid"/>
                    </a:ln>
                  </pic:spPr>
                </pic:pic>
              </a:graphicData>
            </a:graphic>
          </wp:anchor>
        </w:drawing>
      </w:r>
      <w:r w:rsidR="00F27C27">
        <w:rPr>
          <w:rFonts w:ascii="Calibri" w:eastAsia="Calibri" w:hAnsi="Calibri" w:cs="Calibri"/>
          <w:sz w:val="24"/>
          <w:szCs w:val="24"/>
        </w:rPr>
        <w:t xml:space="preserve">It was then of interest to see if there were any molecular differences in the brains of ARCI resistant and ARCI susceptible mice. MCP-1 is a prototype inflammatory cytokine associated with aging </w:t>
      </w:r>
      <w:r w:rsidR="00BD49C0">
        <w:rPr>
          <w:rFonts w:ascii="Calibri" w:eastAsia="Calibri" w:hAnsi="Calibri" w:cs="Calibri"/>
          <w:sz w:val="24"/>
          <w:szCs w:val="24"/>
        </w:rPr>
        <w:t>[6]</w:t>
      </w:r>
      <w:r w:rsidR="00F27C27">
        <w:rPr>
          <w:rFonts w:ascii="Calibri" w:eastAsia="Calibri" w:hAnsi="Calibri" w:cs="Calibri"/>
          <w:sz w:val="24"/>
          <w:szCs w:val="24"/>
        </w:rPr>
        <w:t xml:space="preserve">. We used immunohistochemistry and Qu-Path digital imaging </w:t>
      </w:r>
      <w:r w:rsidR="00BD49C0">
        <w:rPr>
          <w:rFonts w:ascii="Calibri" w:eastAsia="Calibri" w:hAnsi="Calibri" w:cs="Calibri"/>
          <w:sz w:val="24"/>
          <w:szCs w:val="24"/>
        </w:rPr>
        <w:t>[7]</w:t>
      </w:r>
      <w:r w:rsidR="00F27C27">
        <w:rPr>
          <w:rFonts w:ascii="Calibri" w:eastAsia="Calibri" w:hAnsi="Calibri" w:cs="Calibri"/>
          <w:sz w:val="24"/>
          <w:szCs w:val="24"/>
        </w:rPr>
        <w:t xml:space="preserve"> to show that staining intensity for MCP-1 was less in the hippocampus of ARCI-resistant mice compared to ARCI susceptible mice (Figure 4) suggesting that inflammation may be associated with cognitive impairment in these mice.</w:t>
      </w:r>
    </w:p>
    <w:p w14:paraId="32B89442" w14:textId="7BBBAEFF" w:rsidR="005E3BBD" w:rsidRDefault="005E3BBD">
      <w:pPr>
        <w:widowControl w:val="0"/>
        <w:spacing w:line="240" w:lineRule="auto"/>
        <w:ind w:right="166"/>
        <w:rPr>
          <w:rFonts w:ascii="Calibri" w:eastAsia="Calibri" w:hAnsi="Calibri" w:cs="Calibri"/>
          <w:sz w:val="24"/>
          <w:szCs w:val="24"/>
        </w:rPr>
      </w:pPr>
    </w:p>
    <w:p w14:paraId="6E1C65A4" w14:textId="77777777" w:rsidR="005E3BBD" w:rsidRDefault="00F27C27">
      <w:pPr>
        <w:widowControl w:val="0"/>
        <w:spacing w:line="240" w:lineRule="auto"/>
        <w:ind w:right="166"/>
        <w:rPr>
          <w:rFonts w:ascii="Calibri" w:eastAsia="Calibri" w:hAnsi="Calibri" w:cs="Calibri"/>
        </w:rPr>
      </w:pPr>
      <w:r>
        <w:rPr>
          <w:rFonts w:ascii="Calibri" w:eastAsia="Calibri" w:hAnsi="Calibri" w:cs="Calibri"/>
          <w:b/>
        </w:rPr>
        <w:t>Figure 4.</w:t>
      </w:r>
      <w:r>
        <w:rPr>
          <w:rFonts w:ascii="Calibri" w:eastAsia="Calibri" w:hAnsi="Calibri" w:cs="Calibri"/>
        </w:rPr>
        <w:t xml:space="preserve"> Staining intensities for MCP-1 were determined by immunohistochemistry and Qu-Path digital imaging. The heat map shows more intense staining in the brain of an ARCI susceptible mouse compared to the brain from an ARCI resistant mouse. </w:t>
      </w:r>
    </w:p>
    <w:p w14:paraId="52743139" w14:textId="77777777" w:rsidR="005E3BBD" w:rsidRDefault="005E3BBD">
      <w:pPr>
        <w:widowControl w:val="0"/>
        <w:spacing w:line="240" w:lineRule="auto"/>
        <w:ind w:right="166"/>
        <w:rPr>
          <w:rFonts w:ascii="Calibri" w:eastAsia="Calibri" w:hAnsi="Calibri" w:cs="Calibri"/>
          <w:sz w:val="24"/>
          <w:szCs w:val="24"/>
        </w:rPr>
      </w:pPr>
    </w:p>
    <w:p w14:paraId="4E91403B" w14:textId="5EC35D5A" w:rsidR="005E3BBD" w:rsidRDefault="00F27C27">
      <w:pPr>
        <w:widowControl w:val="0"/>
        <w:spacing w:line="240" w:lineRule="auto"/>
        <w:ind w:right="166"/>
        <w:rPr>
          <w:rFonts w:ascii="Calibri" w:eastAsia="Calibri" w:hAnsi="Calibri" w:cs="Calibri"/>
          <w:sz w:val="24"/>
          <w:szCs w:val="24"/>
        </w:rPr>
      </w:pPr>
      <w:r>
        <w:rPr>
          <w:rFonts w:ascii="Calibri" w:eastAsia="Calibri" w:hAnsi="Calibri" w:cs="Calibri"/>
          <w:sz w:val="24"/>
          <w:szCs w:val="24"/>
        </w:rPr>
        <w:t xml:space="preserve">In conclusion, we have presented preliminary observations in aging C57BL/6 mice of both sexes that describe a naturally occurring model of ARCI. This is a potentially high impact translational model to study brain aging and how mice resistant to ARCI might be more resistant to developing AD, or other neurodegenerative diseases. There is also the opportunity to explore, in exquisite detail not possible in people, mechanistic aspects involved in determining resistance or susceptibility, thus providing insight into possible therapeutic targets for preventing or slowing the development of ARCI and decreasing the risk of developing more severe neurodegenerative diseases. We already have preliminary evidence that inflammation, a process of aging, may be associated with impairment of cognition in this model, and that mice that are resistant to ARCI have less inflammation based on less MCP-1 expression. Therefore, the C57BL/6 ARCI mouse model would be ideal to study strategies for targeting inflammation in a therapeutic precision manner.  ARCI resistant mice could also be used to determine resistance factors to AD by challenge with an AAV vector system linked with Aβ 42 and mutant tau in a model we have previously described </w:t>
      </w:r>
      <w:r w:rsidR="00BD49C0">
        <w:rPr>
          <w:rFonts w:ascii="Calibri" w:eastAsia="Calibri" w:hAnsi="Calibri" w:cs="Calibri"/>
          <w:sz w:val="24"/>
          <w:szCs w:val="24"/>
        </w:rPr>
        <w:t>[8]</w:t>
      </w:r>
      <w:r>
        <w:rPr>
          <w:rFonts w:ascii="Calibri" w:eastAsia="Calibri" w:hAnsi="Calibri" w:cs="Calibri"/>
          <w:sz w:val="24"/>
          <w:szCs w:val="24"/>
        </w:rPr>
        <w:t xml:space="preserve">.   </w:t>
      </w:r>
    </w:p>
    <w:p w14:paraId="355A002F" w14:textId="77777777" w:rsidR="005E3BBD" w:rsidRDefault="005E3BBD">
      <w:pPr>
        <w:widowControl w:val="0"/>
        <w:spacing w:line="240" w:lineRule="auto"/>
        <w:ind w:right="166"/>
        <w:rPr>
          <w:rFonts w:ascii="Calibri" w:eastAsia="Calibri" w:hAnsi="Calibri" w:cs="Calibri"/>
          <w:sz w:val="24"/>
          <w:szCs w:val="24"/>
        </w:rPr>
      </w:pPr>
    </w:p>
    <w:p w14:paraId="5DCC2E53" w14:textId="7D1A0742" w:rsidR="002F744F" w:rsidRPr="002F744F" w:rsidRDefault="002F744F">
      <w:pPr>
        <w:widowControl w:val="0"/>
        <w:spacing w:line="240" w:lineRule="auto"/>
        <w:ind w:right="166"/>
        <w:rPr>
          <w:rFonts w:ascii="Calibri" w:eastAsia="Calibri" w:hAnsi="Calibri" w:cs="Calibri"/>
          <w:b/>
          <w:sz w:val="24"/>
          <w:szCs w:val="24"/>
        </w:rPr>
      </w:pPr>
      <w:r>
        <w:rPr>
          <w:rFonts w:ascii="Calibri" w:eastAsia="Calibri" w:hAnsi="Calibri" w:cs="Calibri"/>
          <w:b/>
          <w:sz w:val="24"/>
          <w:szCs w:val="24"/>
        </w:rPr>
        <w:t>Acknowledgments</w:t>
      </w:r>
    </w:p>
    <w:p w14:paraId="1A90BBEA" w14:textId="57848357" w:rsidR="002F744F" w:rsidRPr="002F744F" w:rsidRDefault="002F744F">
      <w:pPr>
        <w:widowControl w:val="0"/>
        <w:spacing w:line="240" w:lineRule="auto"/>
        <w:ind w:right="166"/>
        <w:rPr>
          <w:rFonts w:ascii="Calibri" w:eastAsia="Calibri" w:hAnsi="Calibri" w:cs="Calibri"/>
          <w:bCs/>
          <w:sz w:val="24"/>
          <w:szCs w:val="24"/>
        </w:rPr>
      </w:pPr>
      <w:r w:rsidRPr="002F744F">
        <w:rPr>
          <w:rFonts w:ascii="Calibri" w:eastAsia="Calibri" w:hAnsi="Calibri" w:cs="Calibri"/>
          <w:bCs/>
          <w:sz w:val="24"/>
          <w:szCs w:val="24"/>
        </w:rPr>
        <w:t xml:space="preserve">Supported by </w:t>
      </w:r>
      <w:r>
        <w:rPr>
          <w:rFonts w:ascii="Calibri" w:eastAsia="Calibri" w:hAnsi="Calibri" w:cs="Calibri"/>
          <w:bCs/>
          <w:sz w:val="24"/>
          <w:szCs w:val="24"/>
        </w:rPr>
        <w:t xml:space="preserve">NIH grants </w:t>
      </w:r>
      <w:r w:rsidRPr="002F744F">
        <w:rPr>
          <w:rFonts w:ascii="Calibri" w:hAnsi="Calibri" w:cs="Calibri"/>
          <w:bCs/>
          <w:sz w:val="24"/>
          <w:szCs w:val="24"/>
        </w:rPr>
        <w:t>R01 AG067193, Ladiges</w:t>
      </w:r>
      <w:r>
        <w:rPr>
          <w:rFonts w:ascii="Calibri" w:hAnsi="Calibri" w:cs="Calibri"/>
          <w:bCs/>
          <w:sz w:val="24"/>
          <w:szCs w:val="24"/>
        </w:rPr>
        <w:t xml:space="preserve"> and Darvas </w:t>
      </w:r>
      <w:r w:rsidRPr="002F744F">
        <w:rPr>
          <w:rFonts w:ascii="Calibri" w:hAnsi="Calibri" w:cs="Calibri"/>
          <w:bCs/>
          <w:sz w:val="24"/>
          <w:szCs w:val="24"/>
        </w:rPr>
        <w:t>(</w:t>
      </w:r>
      <w:r>
        <w:rPr>
          <w:rFonts w:ascii="Calibri" w:hAnsi="Calibri" w:cs="Calibri"/>
          <w:bCs/>
          <w:sz w:val="24"/>
          <w:szCs w:val="24"/>
        </w:rPr>
        <w:t>co-</w:t>
      </w:r>
      <w:r w:rsidRPr="002F744F">
        <w:rPr>
          <w:rFonts w:ascii="Calibri" w:hAnsi="Calibri" w:cs="Calibri"/>
          <w:bCs/>
          <w:sz w:val="24"/>
          <w:szCs w:val="24"/>
        </w:rPr>
        <w:t>PI</w:t>
      </w:r>
      <w:r>
        <w:rPr>
          <w:rFonts w:ascii="Calibri" w:hAnsi="Calibri" w:cs="Calibri"/>
          <w:bCs/>
          <w:sz w:val="24"/>
          <w:szCs w:val="24"/>
        </w:rPr>
        <w:t>’s</w:t>
      </w:r>
      <w:r w:rsidRPr="002F744F">
        <w:rPr>
          <w:rFonts w:ascii="Calibri" w:hAnsi="Calibri" w:cs="Calibri"/>
          <w:bCs/>
          <w:sz w:val="24"/>
          <w:szCs w:val="24"/>
        </w:rPr>
        <w:t>)</w:t>
      </w:r>
      <w:r>
        <w:rPr>
          <w:rFonts w:ascii="Calibri" w:hAnsi="Calibri" w:cs="Calibri"/>
          <w:bCs/>
          <w:sz w:val="24"/>
          <w:szCs w:val="24"/>
        </w:rPr>
        <w:t xml:space="preserve"> and </w:t>
      </w:r>
      <w:r w:rsidRPr="002F744F">
        <w:rPr>
          <w:rFonts w:ascii="Calibri" w:hAnsi="Calibri" w:cs="Calibri"/>
          <w:bCs/>
          <w:sz w:val="24"/>
          <w:szCs w:val="24"/>
        </w:rPr>
        <w:t xml:space="preserve">R01 AG057381, </w:t>
      </w:r>
      <w:r w:rsidRPr="002F744F">
        <w:rPr>
          <w:rFonts w:ascii="Calibri" w:eastAsiaTheme="minorHAnsi" w:hAnsi="Calibri" w:cs="Calibri"/>
          <w:bCs/>
          <w:sz w:val="24"/>
          <w:szCs w:val="24"/>
        </w:rPr>
        <w:t>Ladiges (PI)</w:t>
      </w:r>
      <w:r w:rsidRPr="002F744F">
        <w:rPr>
          <w:rFonts w:ascii="Calibri" w:hAnsi="Calibri" w:cs="Calibri"/>
          <w:bCs/>
          <w:sz w:val="24"/>
          <w:szCs w:val="24"/>
        </w:rPr>
        <w:t>,</w:t>
      </w:r>
    </w:p>
    <w:p w14:paraId="16586192" w14:textId="77777777" w:rsidR="002F744F" w:rsidRDefault="002F744F">
      <w:pPr>
        <w:widowControl w:val="0"/>
        <w:spacing w:line="240" w:lineRule="auto"/>
        <w:ind w:right="166"/>
        <w:rPr>
          <w:rFonts w:ascii="Calibri" w:eastAsia="Calibri" w:hAnsi="Calibri" w:cs="Calibri"/>
          <w:b/>
          <w:sz w:val="24"/>
          <w:szCs w:val="24"/>
        </w:rPr>
      </w:pPr>
    </w:p>
    <w:p w14:paraId="3A89FB14" w14:textId="09AC0BBE" w:rsidR="005E3BBD" w:rsidRPr="002F744F" w:rsidRDefault="00F27C27">
      <w:pPr>
        <w:widowControl w:val="0"/>
        <w:spacing w:line="240" w:lineRule="auto"/>
        <w:ind w:right="166"/>
        <w:rPr>
          <w:rFonts w:ascii="Calibri" w:eastAsia="Calibri" w:hAnsi="Calibri" w:cs="Calibri"/>
          <w:b/>
          <w:sz w:val="24"/>
          <w:szCs w:val="24"/>
        </w:rPr>
      </w:pPr>
      <w:r>
        <w:rPr>
          <w:rFonts w:ascii="Calibri" w:eastAsia="Calibri" w:hAnsi="Calibri" w:cs="Calibri"/>
          <w:b/>
          <w:sz w:val="24"/>
          <w:szCs w:val="24"/>
        </w:rPr>
        <w:lastRenderedPageBreak/>
        <w:t>References</w:t>
      </w:r>
    </w:p>
    <w:p w14:paraId="5A71FA51" w14:textId="77777777" w:rsidR="005E3BBD" w:rsidRPr="00A822F2" w:rsidRDefault="00F27C27">
      <w:pPr>
        <w:numPr>
          <w:ilvl w:val="0"/>
          <w:numId w:val="1"/>
        </w:numPr>
        <w:spacing w:line="240" w:lineRule="auto"/>
        <w:rPr>
          <w:rFonts w:ascii="Calibri" w:eastAsia="Calibri" w:hAnsi="Calibri" w:cs="Calibri"/>
          <w:sz w:val="24"/>
          <w:szCs w:val="24"/>
        </w:rPr>
      </w:pPr>
      <w:proofErr w:type="spellStart"/>
      <w:r w:rsidRPr="00A822F2">
        <w:rPr>
          <w:rFonts w:ascii="Calibri" w:eastAsia="Calibri" w:hAnsi="Calibri" w:cs="Calibri"/>
          <w:sz w:val="24"/>
          <w:szCs w:val="24"/>
          <w:highlight w:val="white"/>
        </w:rPr>
        <w:t>Jeste</w:t>
      </w:r>
      <w:proofErr w:type="spellEnd"/>
      <w:r w:rsidRPr="00A822F2">
        <w:rPr>
          <w:rFonts w:ascii="Calibri" w:eastAsia="Calibri" w:hAnsi="Calibri" w:cs="Calibri"/>
          <w:sz w:val="24"/>
          <w:szCs w:val="24"/>
          <w:highlight w:val="white"/>
        </w:rPr>
        <w:t xml:space="preserve">, </w:t>
      </w:r>
      <w:proofErr w:type="spellStart"/>
      <w:r w:rsidRPr="00A822F2">
        <w:rPr>
          <w:rFonts w:ascii="Calibri" w:eastAsia="Calibri" w:hAnsi="Calibri" w:cs="Calibri"/>
          <w:sz w:val="24"/>
          <w:szCs w:val="24"/>
          <w:highlight w:val="white"/>
        </w:rPr>
        <w:t>Savla</w:t>
      </w:r>
      <w:proofErr w:type="spellEnd"/>
      <w:r w:rsidRPr="00A822F2">
        <w:rPr>
          <w:rFonts w:ascii="Calibri" w:eastAsia="Calibri" w:hAnsi="Calibri" w:cs="Calibri"/>
          <w:sz w:val="24"/>
          <w:szCs w:val="24"/>
          <w:highlight w:val="white"/>
        </w:rPr>
        <w:t xml:space="preserve">, G. N., Thompson, W. K., </w:t>
      </w:r>
      <w:proofErr w:type="spellStart"/>
      <w:r w:rsidRPr="00A822F2">
        <w:rPr>
          <w:rFonts w:ascii="Calibri" w:eastAsia="Calibri" w:hAnsi="Calibri" w:cs="Calibri"/>
          <w:sz w:val="24"/>
          <w:szCs w:val="24"/>
          <w:highlight w:val="white"/>
        </w:rPr>
        <w:t>Vahia</w:t>
      </w:r>
      <w:proofErr w:type="spellEnd"/>
      <w:r w:rsidRPr="00A822F2">
        <w:rPr>
          <w:rFonts w:ascii="Calibri" w:eastAsia="Calibri" w:hAnsi="Calibri" w:cs="Calibri"/>
          <w:sz w:val="24"/>
          <w:szCs w:val="24"/>
          <w:highlight w:val="white"/>
        </w:rPr>
        <w:t xml:space="preserve">, I. V., Glorioso, D. K., Martin, A. S., Palmer, B. W., Rock, D., Golshan, S., Kraemer, H. C., &amp; Depp, C. A. (2013). Association Between Older Age and More Successful Aging: Critical Role of Resilience and Depression. </w:t>
      </w:r>
      <w:r w:rsidRPr="00A822F2">
        <w:rPr>
          <w:rFonts w:ascii="Calibri" w:eastAsia="Calibri" w:hAnsi="Calibri" w:cs="Calibri"/>
          <w:i/>
          <w:sz w:val="24"/>
          <w:szCs w:val="24"/>
          <w:highlight w:val="white"/>
        </w:rPr>
        <w:t>The American Journal of Psychiatry</w:t>
      </w:r>
      <w:r w:rsidRPr="00A822F2">
        <w:rPr>
          <w:rFonts w:ascii="Calibri" w:eastAsia="Calibri" w:hAnsi="Calibri" w:cs="Calibri"/>
          <w:sz w:val="24"/>
          <w:szCs w:val="24"/>
          <w:highlight w:val="white"/>
        </w:rPr>
        <w:t xml:space="preserve">, </w:t>
      </w:r>
      <w:r w:rsidRPr="00A822F2">
        <w:rPr>
          <w:rFonts w:ascii="Calibri" w:eastAsia="Calibri" w:hAnsi="Calibri" w:cs="Calibri"/>
          <w:i/>
          <w:sz w:val="24"/>
          <w:szCs w:val="24"/>
          <w:highlight w:val="white"/>
        </w:rPr>
        <w:t>170</w:t>
      </w:r>
      <w:r w:rsidRPr="00A822F2">
        <w:rPr>
          <w:rFonts w:ascii="Calibri" w:eastAsia="Calibri" w:hAnsi="Calibri" w:cs="Calibri"/>
          <w:sz w:val="24"/>
          <w:szCs w:val="24"/>
          <w:highlight w:val="white"/>
        </w:rPr>
        <w:t>(2), 188–196. https://doi.org/10.1176/appi.ajp.2012.12030386</w:t>
      </w:r>
    </w:p>
    <w:p w14:paraId="1F9E599A" w14:textId="3F8769EB" w:rsidR="00A822F2" w:rsidRPr="00A822F2" w:rsidRDefault="00F27C27" w:rsidP="0019381F">
      <w:pPr>
        <w:widowControl w:val="0"/>
        <w:numPr>
          <w:ilvl w:val="0"/>
          <w:numId w:val="1"/>
        </w:numPr>
        <w:spacing w:line="240" w:lineRule="auto"/>
        <w:ind w:right="166"/>
        <w:rPr>
          <w:rFonts w:ascii="Calibri" w:eastAsia="Calibri" w:hAnsi="Calibri" w:cs="Calibri"/>
          <w:sz w:val="24"/>
          <w:szCs w:val="24"/>
        </w:rPr>
      </w:pPr>
      <w:r w:rsidRPr="00A822F2">
        <w:rPr>
          <w:rFonts w:ascii="Calibri" w:eastAsia="Calibri" w:hAnsi="Calibri" w:cs="Calibri"/>
          <w:sz w:val="24"/>
          <w:szCs w:val="24"/>
          <w:highlight w:val="white"/>
        </w:rPr>
        <w:t>Kolanowski, Boltz, M., Galik, E., Gitlin, L. N., Kales, H. C., Resnick, B., Van Haitsma, K. S., Knehans, A., Sutterlin, J. E., Sefcik, J. S., Liu, W., Petrovsky, D. V., Massimo, L., Gilmore-</w:t>
      </w:r>
      <w:proofErr w:type="spellStart"/>
      <w:r w:rsidRPr="00A822F2">
        <w:rPr>
          <w:rFonts w:ascii="Calibri" w:eastAsia="Calibri" w:hAnsi="Calibri" w:cs="Calibri"/>
          <w:sz w:val="24"/>
          <w:szCs w:val="24"/>
          <w:highlight w:val="white"/>
        </w:rPr>
        <w:t>Bykovskyi</w:t>
      </w:r>
      <w:proofErr w:type="spellEnd"/>
      <w:r w:rsidRPr="00A822F2">
        <w:rPr>
          <w:rFonts w:ascii="Calibri" w:eastAsia="Calibri" w:hAnsi="Calibri" w:cs="Calibri"/>
          <w:sz w:val="24"/>
          <w:szCs w:val="24"/>
          <w:highlight w:val="white"/>
        </w:rPr>
        <w:t xml:space="preserve">, A., MacAndrew, M., Brewster, G., Nalls, V., </w:t>
      </w:r>
      <w:proofErr w:type="spellStart"/>
      <w:r w:rsidRPr="00A822F2">
        <w:rPr>
          <w:rFonts w:ascii="Calibri" w:eastAsia="Calibri" w:hAnsi="Calibri" w:cs="Calibri"/>
          <w:sz w:val="24"/>
          <w:szCs w:val="24"/>
          <w:highlight w:val="white"/>
        </w:rPr>
        <w:t>Jao</w:t>
      </w:r>
      <w:proofErr w:type="spellEnd"/>
      <w:r w:rsidRPr="00A822F2">
        <w:rPr>
          <w:rFonts w:ascii="Calibri" w:eastAsia="Calibri" w:hAnsi="Calibri" w:cs="Calibri"/>
          <w:sz w:val="24"/>
          <w:szCs w:val="24"/>
          <w:highlight w:val="white"/>
        </w:rPr>
        <w:t xml:space="preserve">, Y.-L., </w:t>
      </w:r>
      <w:proofErr w:type="spellStart"/>
      <w:r w:rsidRPr="00A822F2">
        <w:rPr>
          <w:rFonts w:ascii="Calibri" w:eastAsia="Calibri" w:hAnsi="Calibri" w:cs="Calibri"/>
          <w:sz w:val="24"/>
          <w:szCs w:val="24"/>
          <w:highlight w:val="white"/>
        </w:rPr>
        <w:t>Duffort</w:t>
      </w:r>
      <w:proofErr w:type="spellEnd"/>
      <w:r w:rsidRPr="00A822F2">
        <w:rPr>
          <w:rFonts w:ascii="Calibri" w:eastAsia="Calibri" w:hAnsi="Calibri" w:cs="Calibri"/>
          <w:sz w:val="24"/>
          <w:szCs w:val="24"/>
          <w:highlight w:val="white"/>
        </w:rPr>
        <w:t xml:space="preserve">, N., &amp; </w:t>
      </w:r>
      <w:proofErr w:type="spellStart"/>
      <w:r w:rsidRPr="00A822F2">
        <w:rPr>
          <w:rFonts w:ascii="Calibri" w:eastAsia="Calibri" w:hAnsi="Calibri" w:cs="Calibri"/>
          <w:sz w:val="24"/>
          <w:szCs w:val="24"/>
          <w:highlight w:val="white"/>
        </w:rPr>
        <w:t>Scerpella</w:t>
      </w:r>
      <w:proofErr w:type="spellEnd"/>
      <w:r w:rsidRPr="00A822F2">
        <w:rPr>
          <w:rFonts w:ascii="Calibri" w:eastAsia="Calibri" w:hAnsi="Calibri" w:cs="Calibri"/>
          <w:sz w:val="24"/>
          <w:szCs w:val="24"/>
          <w:highlight w:val="white"/>
        </w:rPr>
        <w:t xml:space="preserve">, D. (2017). Determinants of behavioral and psychological symptoms of dementia: A scoping review of the evidence. </w:t>
      </w:r>
      <w:r w:rsidRPr="00A822F2">
        <w:rPr>
          <w:rFonts w:ascii="Calibri" w:eastAsia="Calibri" w:hAnsi="Calibri" w:cs="Calibri"/>
          <w:i/>
          <w:sz w:val="24"/>
          <w:szCs w:val="24"/>
          <w:highlight w:val="white"/>
        </w:rPr>
        <w:t>Nursing Outlook</w:t>
      </w:r>
      <w:r w:rsidRPr="00A822F2">
        <w:rPr>
          <w:rFonts w:ascii="Calibri" w:eastAsia="Calibri" w:hAnsi="Calibri" w:cs="Calibri"/>
          <w:sz w:val="24"/>
          <w:szCs w:val="24"/>
          <w:highlight w:val="white"/>
        </w:rPr>
        <w:t xml:space="preserve">, </w:t>
      </w:r>
      <w:r w:rsidRPr="00A822F2">
        <w:rPr>
          <w:rFonts w:ascii="Calibri" w:eastAsia="Calibri" w:hAnsi="Calibri" w:cs="Calibri"/>
          <w:i/>
          <w:sz w:val="24"/>
          <w:szCs w:val="24"/>
          <w:highlight w:val="white"/>
        </w:rPr>
        <w:t>65</w:t>
      </w:r>
      <w:r w:rsidRPr="00A822F2">
        <w:rPr>
          <w:rFonts w:ascii="Calibri" w:eastAsia="Calibri" w:hAnsi="Calibri" w:cs="Calibri"/>
          <w:sz w:val="24"/>
          <w:szCs w:val="24"/>
          <w:highlight w:val="white"/>
        </w:rPr>
        <w:t xml:space="preserve">(5), 515–529. </w:t>
      </w:r>
    </w:p>
    <w:p w14:paraId="4423D6D2" w14:textId="07229270" w:rsidR="005E3BBD" w:rsidRPr="00A822F2" w:rsidRDefault="00F27C27" w:rsidP="00A822F2">
      <w:pPr>
        <w:widowControl w:val="0"/>
        <w:numPr>
          <w:ilvl w:val="0"/>
          <w:numId w:val="1"/>
        </w:numPr>
        <w:spacing w:line="240" w:lineRule="auto"/>
        <w:ind w:right="166"/>
        <w:rPr>
          <w:rFonts w:ascii="Calibri" w:eastAsia="Calibri" w:hAnsi="Calibri" w:cs="Calibri"/>
          <w:sz w:val="24"/>
          <w:szCs w:val="24"/>
          <w:highlight w:val="white"/>
        </w:rPr>
      </w:pPr>
      <w:r w:rsidRPr="00A822F2">
        <w:rPr>
          <w:rFonts w:ascii="Calibri" w:eastAsia="Calibri" w:hAnsi="Calibri" w:cs="Calibri"/>
          <w:sz w:val="24"/>
          <w:szCs w:val="24"/>
          <w:highlight w:val="white"/>
        </w:rPr>
        <w:t xml:space="preserve">Petersen. (2011). Mild Cognitive Impairment. </w:t>
      </w:r>
      <w:r w:rsidRPr="00A822F2">
        <w:rPr>
          <w:rFonts w:ascii="Calibri" w:eastAsia="Calibri" w:hAnsi="Calibri" w:cs="Calibri"/>
          <w:i/>
          <w:sz w:val="24"/>
          <w:szCs w:val="24"/>
          <w:highlight w:val="white"/>
        </w:rPr>
        <w:t>The New England Journal of Medicine</w:t>
      </w:r>
      <w:r w:rsidRPr="00A822F2">
        <w:rPr>
          <w:rFonts w:ascii="Calibri" w:eastAsia="Calibri" w:hAnsi="Calibri" w:cs="Calibri"/>
          <w:sz w:val="24"/>
          <w:szCs w:val="24"/>
          <w:highlight w:val="white"/>
        </w:rPr>
        <w:t xml:space="preserve">, </w:t>
      </w:r>
      <w:r w:rsidRPr="00A822F2">
        <w:rPr>
          <w:rFonts w:ascii="Calibri" w:eastAsia="Calibri" w:hAnsi="Calibri" w:cs="Calibri"/>
          <w:i/>
          <w:sz w:val="24"/>
          <w:szCs w:val="24"/>
          <w:highlight w:val="white"/>
        </w:rPr>
        <w:t>364</w:t>
      </w:r>
      <w:r w:rsidRPr="00A822F2">
        <w:rPr>
          <w:rFonts w:ascii="Calibri" w:eastAsia="Calibri" w:hAnsi="Calibri" w:cs="Calibri"/>
          <w:sz w:val="24"/>
          <w:szCs w:val="24"/>
          <w:highlight w:val="white"/>
        </w:rPr>
        <w:t>(23), 2227–2234. https://doi.org/10.1056/NEJMcp0910237</w:t>
      </w:r>
    </w:p>
    <w:p w14:paraId="47D34285" w14:textId="6C53C198" w:rsidR="006A4B31" w:rsidRPr="00A822F2" w:rsidRDefault="00F0500B" w:rsidP="00A822F2">
      <w:pPr>
        <w:pStyle w:val="ListParagraph"/>
        <w:numPr>
          <w:ilvl w:val="0"/>
          <w:numId w:val="1"/>
        </w:numPr>
        <w:spacing w:line="240" w:lineRule="auto"/>
        <w:rPr>
          <w:rFonts w:ascii="Calibri" w:eastAsia="Times New Roman" w:hAnsi="Calibri" w:cs="Calibri"/>
          <w:sz w:val="24"/>
          <w:szCs w:val="24"/>
        </w:rPr>
      </w:pPr>
      <w:proofErr w:type="spellStart"/>
      <w:r w:rsidRPr="00A822F2">
        <w:rPr>
          <w:rFonts w:ascii="Calibri" w:eastAsia="Times New Roman" w:hAnsi="Calibri" w:cs="Calibri"/>
          <w:bCs/>
          <w:sz w:val="24"/>
          <w:szCs w:val="24"/>
        </w:rPr>
        <w:t>Pettan</w:t>
      </w:r>
      <w:proofErr w:type="spellEnd"/>
      <w:r w:rsidRPr="00A822F2">
        <w:rPr>
          <w:rFonts w:ascii="Calibri" w:eastAsia="Times New Roman" w:hAnsi="Calibri" w:cs="Calibri"/>
          <w:bCs/>
          <w:sz w:val="24"/>
          <w:szCs w:val="24"/>
        </w:rPr>
        <w:t>-Brewer C</w:t>
      </w:r>
      <w:r w:rsidRPr="00A822F2">
        <w:rPr>
          <w:rFonts w:ascii="Calibri" w:eastAsia="Times New Roman" w:hAnsi="Calibri" w:cs="Calibri"/>
          <w:sz w:val="24"/>
          <w:szCs w:val="24"/>
        </w:rPr>
        <w:t xml:space="preserve">, Touch DV, Wiley JC, Hopkins HC, Rabinovitch PS, Ladiges WC. </w:t>
      </w:r>
      <w:hyperlink r:id="rId10" w:history="1">
        <w:r w:rsidRPr="00A822F2">
          <w:rPr>
            <w:rFonts w:ascii="Calibri" w:eastAsia="Times New Roman" w:hAnsi="Calibri" w:cs="Calibri"/>
            <w:sz w:val="24"/>
            <w:szCs w:val="24"/>
          </w:rPr>
          <w:t>A novel radial water tread maze tracks age-related cognitive decline in mice.</w:t>
        </w:r>
      </w:hyperlink>
      <w:r w:rsidRPr="00A822F2">
        <w:rPr>
          <w:rFonts w:ascii="Calibri" w:eastAsia="Times New Roman" w:hAnsi="Calibri" w:cs="Calibri"/>
          <w:sz w:val="24"/>
          <w:szCs w:val="24"/>
        </w:rPr>
        <w:t xml:space="preserve"> </w:t>
      </w:r>
      <w:proofErr w:type="spellStart"/>
      <w:r w:rsidRPr="00A822F2">
        <w:rPr>
          <w:rFonts w:ascii="Calibri" w:eastAsia="Times New Roman" w:hAnsi="Calibri" w:cs="Calibri"/>
          <w:sz w:val="24"/>
          <w:szCs w:val="24"/>
        </w:rPr>
        <w:t>Pathobiol</w:t>
      </w:r>
      <w:proofErr w:type="spellEnd"/>
      <w:r w:rsidRPr="00A822F2">
        <w:rPr>
          <w:rFonts w:ascii="Calibri" w:eastAsia="Times New Roman" w:hAnsi="Calibri" w:cs="Calibri"/>
          <w:sz w:val="24"/>
          <w:szCs w:val="24"/>
        </w:rPr>
        <w:t xml:space="preserve"> Aging Age </w:t>
      </w:r>
      <w:proofErr w:type="spellStart"/>
      <w:r w:rsidRPr="00A822F2">
        <w:rPr>
          <w:rFonts w:ascii="Calibri" w:eastAsia="Times New Roman" w:hAnsi="Calibri" w:cs="Calibri"/>
          <w:sz w:val="24"/>
          <w:szCs w:val="24"/>
        </w:rPr>
        <w:t>Relat</w:t>
      </w:r>
      <w:proofErr w:type="spellEnd"/>
      <w:r w:rsidRPr="00A822F2">
        <w:rPr>
          <w:rFonts w:ascii="Calibri" w:eastAsia="Times New Roman" w:hAnsi="Calibri" w:cs="Calibri"/>
          <w:sz w:val="24"/>
          <w:szCs w:val="24"/>
        </w:rPr>
        <w:t xml:space="preserve"> Dis. 2013 Oct 4;3.</w:t>
      </w:r>
    </w:p>
    <w:p w14:paraId="6C5020B4" w14:textId="2CE1FDB1" w:rsidR="006A4B31" w:rsidRPr="00A822F2" w:rsidRDefault="006A4B31" w:rsidP="00A822F2">
      <w:pPr>
        <w:pStyle w:val="ListParagraph"/>
        <w:numPr>
          <w:ilvl w:val="0"/>
          <w:numId w:val="1"/>
        </w:numPr>
        <w:spacing w:line="240" w:lineRule="auto"/>
        <w:rPr>
          <w:rFonts w:ascii="Calibri" w:eastAsia="Times New Roman" w:hAnsi="Calibri" w:cs="Calibri"/>
          <w:sz w:val="24"/>
          <w:szCs w:val="24"/>
        </w:rPr>
      </w:pPr>
      <w:r w:rsidRPr="00A822F2">
        <w:rPr>
          <w:rFonts w:ascii="Calibri" w:eastAsia="Times New Roman" w:hAnsi="Calibri" w:cs="Calibri"/>
          <w:sz w:val="24"/>
          <w:szCs w:val="24"/>
        </w:rPr>
        <w:t xml:space="preserve">Darvas M, Mukherjee K, Lee A, Ladiges W. </w:t>
      </w:r>
      <w:hyperlink r:id="rId11" w:history="1">
        <w:r w:rsidRPr="00A822F2">
          <w:rPr>
            <w:rFonts w:ascii="Calibri" w:eastAsia="Times New Roman" w:hAnsi="Calibri" w:cs="Calibri"/>
            <w:sz w:val="24"/>
            <w:szCs w:val="24"/>
            <w:shd w:val="clear" w:color="auto" w:fill="FFFFFF"/>
          </w:rPr>
          <w:t>A Novel One-Day Learning Procedure for Mice.</w:t>
        </w:r>
      </w:hyperlink>
      <w:r w:rsidRPr="00A822F2">
        <w:rPr>
          <w:rFonts w:ascii="Calibri" w:eastAsia="Times New Roman" w:hAnsi="Calibri" w:cs="Calibri"/>
          <w:sz w:val="24"/>
          <w:szCs w:val="24"/>
        </w:rPr>
        <w:t xml:space="preserve"> </w:t>
      </w:r>
      <w:proofErr w:type="spellStart"/>
      <w:r w:rsidRPr="00A822F2">
        <w:rPr>
          <w:rFonts w:ascii="Calibri" w:eastAsia="Times New Roman" w:hAnsi="Calibri" w:cs="Calibri"/>
          <w:sz w:val="24"/>
          <w:szCs w:val="24"/>
        </w:rPr>
        <w:t>Curr</w:t>
      </w:r>
      <w:proofErr w:type="spellEnd"/>
      <w:r w:rsidRPr="00A822F2">
        <w:rPr>
          <w:rFonts w:ascii="Calibri" w:eastAsia="Times New Roman" w:hAnsi="Calibri" w:cs="Calibri"/>
          <w:sz w:val="24"/>
          <w:szCs w:val="24"/>
        </w:rPr>
        <w:t xml:space="preserve"> </w:t>
      </w:r>
      <w:proofErr w:type="spellStart"/>
      <w:r w:rsidRPr="00A822F2">
        <w:rPr>
          <w:rFonts w:ascii="Calibri" w:eastAsia="Times New Roman" w:hAnsi="Calibri" w:cs="Calibri"/>
          <w:sz w:val="24"/>
          <w:szCs w:val="24"/>
        </w:rPr>
        <w:t>Protoc</w:t>
      </w:r>
      <w:proofErr w:type="spellEnd"/>
      <w:r w:rsidRPr="00A822F2">
        <w:rPr>
          <w:rFonts w:ascii="Calibri" w:eastAsia="Times New Roman" w:hAnsi="Calibri" w:cs="Calibri"/>
          <w:sz w:val="24"/>
          <w:szCs w:val="24"/>
        </w:rPr>
        <w:t xml:space="preserve"> Mouse Biol. 2020 Mar;10(1):e68. </w:t>
      </w:r>
      <w:proofErr w:type="spellStart"/>
      <w:r w:rsidRPr="00A822F2">
        <w:rPr>
          <w:rFonts w:ascii="Calibri" w:eastAsia="Times New Roman" w:hAnsi="Calibri" w:cs="Calibri"/>
          <w:sz w:val="24"/>
          <w:szCs w:val="24"/>
        </w:rPr>
        <w:t>doi</w:t>
      </w:r>
      <w:proofErr w:type="spellEnd"/>
      <w:r w:rsidRPr="00A822F2">
        <w:rPr>
          <w:rFonts w:ascii="Calibri" w:eastAsia="Times New Roman" w:hAnsi="Calibri" w:cs="Calibri"/>
          <w:sz w:val="24"/>
          <w:szCs w:val="24"/>
        </w:rPr>
        <w:t>: 10.1002/cpmo.68.PMID: 32096920</w:t>
      </w:r>
    </w:p>
    <w:p w14:paraId="5419095E" w14:textId="358C1182" w:rsidR="006A4B31" w:rsidRPr="00A822F2" w:rsidRDefault="00F0500B" w:rsidP="00A822F2">
      <w:pPr>
        <w:pStyle w:val="ListParagraph"/>
        <w:numPr>
          <w:ilvl w:val="0"/>
          <w:numId w:val="1"/>
        </w:numPr>
        <w:shd w:val="clear" w:color="auto" w:fill="FFFFFF"/>
        <w:spacing w:line="240" w:lineRule="auto"/>
        <w:rPr>
          <w:rFonts w:ascii="Calibri" w:eastAsia="Times New Roman" w:hAnsi="Calibri" w:cs="Calibri"/>
          <w:sz w:val="24"/>
          <w:szCs w:val="24"/>
          <w:lang w:val="en-US"/>
        </w:rPr>
      </w:pPr>
      <w:r w:rsidRPr="00A822F2">
        <w:rPr>
          <w:rFonts w:ascii="Calibri" w:eastAsia="Times New Roman" w:hAnsi="Calibri" w:cs="Calibri"/>
          <w:sz w:val="24"/>
          <w:szCs w:val="24"/>
          <w:lang w:val="en-US"/>
        </w:rPr>
        <w:t xml:space="preserve">Yousefzadeh MJ, Schafer MJ, Noren Hooten N, Atkinson EJ, Evans MK, Baker DJ, Quarles EK, Robbins PD, Ladiges WC, </w:t>
      </w:r>
      <w:proofErr w:type="spellStart"/>
      <w:r w:rsidRPr="00A822F2">
        <w:rPr>
          <w:rFonts w:ascii="Calibri" w:eastAsia="Times New Roman" w:hAnsi="Calibri" w:cs="Calibri"/>
          <w:sz w:val="24"/>
          <w:szCs w:val="24"/>
          <w:lang w:val="en-US"/>
        </w:rPr>
        <w:t>LeBrasseur</w:t>
      </w:r>
      <w:proofErr w:type="spellEnd"/>
      <w:r w:rsidRPr="00A822F2">
        <w:rPr>
          <w:rFonts w:ascii="Calibri" w:eastAsia="Times New Roman" w:hAnsi="Calibri" w:cs="Calibri"/>
          <w:sz w:val="24"/>
          <w:szCs w:val="24"/>
          <w:lang w:val="en-US"/>
        </w:rPr>
        <w:t xml:space="preserve"> NK, </w:t>
      </w:r>
      <w:proofErr w:type="spellStart"/>
      <w:r w:rsidRPr="00A822F2">
        <w:rPr>
          <w:rFonts w:ascii="Calibri" w:eastAsia="Times New Roman" w:hAnsi="Calibri" w:cs="Calibri"/>
          <w:sz w:val="24"/>
          <w:szCs w:val="24"/>
          <w:lang w:val="en-US"/>
        </w:rPr>
        <w:t>Niedernhofer</w:t>
      </w:r>
      <w:proofErr w:type="spellEnd"/>
      <w:r w:rsidRPr="00A822F2">
        <w:rPr>
          <w:rFonts w:ascii="Calibri" w:eastAsia="Times New Roman" w:hAnsi="Calibri" w:cs="Calibri"/>
          <w:sz w:val="24"/>
          <w:szCs w:val="24"/>
          <w:lang w:val="en-US"/>
        </w:rPr>
        <w:t xml:space="preserve"> LJ. </w:t>
      </w:r>
      <w:hyperlink r:id="rId12" w:history="1">
        <w:r w:rsidRPr="00A822F2">
          <w:rPr>
            <w:rFonts w:ascii="Calibri" w:eastAsia="Times New Roman" w:hAnsi="Calibri" w:cs="Calibri"/>
            <w:sz w:val="24"/>
            <w:szCs w:val="24"/>
            <w:shd w:val="clear" w:color="auto" w:fill="FFFFFF"/>
            <w:lang w:val="en-US"/>
          </w:rPr>
          <w:t>Circulating levels of monocyte chemoattractant protein-1 as a potential measure of biological age in mice and frailty in humans.</w:t>
        </w:r>
      </w:hyperlink>
      <w:r w:rsidR="00A822F2" w:rsidRPr="00A822F2">
        <w:rPr>
          <w:rFonts w:ascii="Calibri" w:eastAsia="Times New Roman" w:hAnsi="Calibri" w:cs="Calibri"/>
          <w:sz w:val="24"/>
          <w:szCs w:val="24"/>
          <w:lang w:val="en-US"/>
        </w:rPr>
        <w:t xml:space="preserve"> </w:t>
      </w:r>
      <w:r w:rsidRPr="00A822F2">
        <w:rPr>
          <w:rFonts w:ascii="Calibri" w:eastAsia="Times New Roman" w:hAnsi="Calibri" w:cs="Calibri"/>
          <w:sz w:val="24"/>
          <w:szCs w:val="24"/>
          <w:lang w:val="en-US"/>
        </w:rPr>
        <w:t>Aging Cell. 2018 Apr;17(2</w:t>
      </w:r>
      <w:proofErr w:type="gramStart"/>
      <w:r w:rsidRPr="00A822F2">
        <w:rPr>
          <w:rFonts w:ascii="Calibri" w:eastAsia="Times New Roman" w:hAnsi="Calibri" w:cs="Calibri"/>
          <w:sz w:val="24"/>
          <w:szCs w:val="24"/>
          <w:lang w:val="en-US"/>
        </w:rPr>
        <w:t>):e</w:t>
      </w:r>
      <w:proofErr w:type="gramEnd"/>
      <w:r w:rsidRPr="00A822F2">
        <w:rPr>
          <w:rFonts w:ascii="Calibri" w:eastAsia="Times New Roman" w:hAnsi="Calibri" w:cs="Calibri"/>
          <w:sz w:val="24"/>
          <w:szCs w:val="24"/>
          <w:lang w:val="en-US"/>
        </w:rPr>
        <w:t xml:space="preserve">12706. </w:t>
      </w:r>
      <w:proofErr w:type="spellStart"/>
      <w:r w:rsidRPr="00A822F2">
        <w:rPr>
          <w:rFonts w:ascii="Calibri" w:eastAsia="Times New Roman" w:hAnsi="Calibri" w:cs="Calibri"/>
          <w:sz w:val="24"/>
          <w:szCs w:val="24"/>
          <w:lang w:val="en-US"/>
        </w:rPr>
        <w:t>doi</w:t>
      </w:r>
      <w:proofErr w:type="spellEnd"/>
      <w:r w:rsidRPr="00A822F2">
        <w:rPr>
          <w:rFonts w:ascii="Calibri" w:eastAsia="Times New Roman" w:hAnsi="Calibri" w:cs="Calibri"/>
          <w:sz w:val="24"/>
          <w:szCs w:val="24"/>
          <w:lang w:val="en-US"/>
        </w:rPr>
        <w:t xml:space="preserve">: 10.1111/acel.12706. </w:t>
      </w:r>
      <w:proofErr w:type="spellStart"/>
      <w:r w:rsidRPr="00A822F2">
        <w:rPr>
          <w:rFonts w:ascii="Calibri" w:eastAsia="Times New Roman" w:hAnsi="Calibri" w:cs="Calibri"/>
          <w:sz w:val="24"/>
          <w:szCs w:val="24"/>
          <w:lang w:val="en-US"/>
        </w:rPr>
        <w:t>Epub</w:t>
      </w:r>
      <w:proofErr w:type="spellEnd"/>
      <w:r w:rsidRPr="00A822F2">
        <w:rPr>
          <w:rFonts w:ascii="Calibri" w:eastAsia="Times New Roman" w:hAnsi="Calibri" w:cs="Calibri"/>
          <w:sz w:val="24"/>
          <w:szCs w:val="24"/>
          <w:lang w:val="en-US"/>
        </w:rPr>
        <w:t xml:space="preserve"> 2017 Dec </w:t>
      </w:r>
      <w:proofErr w:type="gramStart"/>
      <w:r w:rsidRPr="00A822F2">
        <w:rPr>
          <w:rFonts w:ascii="Calibri" w:eastAsia="Times New Roman" w:hAnsi="Calibri" w:cs="Calibri"/>
          <w:sz w:val="24"/>
          <w:szCs w:val="24"/>
          <w:lang w:val="en-US"/>
        </w:rPr>
        <w:t>31.PMID</w:t>
      </w:r>
      <w:proofErr w:type="gramEnd"/>
      <w:r w:rsidRPr="00A822F2">
        <w:rPr>
          <w:rFonts w:ascii="Calibri" w:eastAsia="Times New Roman" w:hAnsi="Calibri" w:cs="Calibri"/>
          <w:sz w:val="24"/>
          <w:szCs w:val="24"/>
          <w:lang w:val="en-US"/>
        </w:rPr>
        <w:t>: 29290100</w:t>
      </w:r>
    </w:p>
    <w:p w14:paraId="2ABB3338" w14:textId="0B2954B3" w:rsidR="005E3BBD" w:rsidRPr="00A822F2" w:rsidRDefault="00A822F2" w:rsidP="00A822F2">
      <w:pPr>
        <w:pStyle w:val="ListParagraph"/>
        <w:numPr>
          <w:ilvl w:val="0"/>
          <w:numId w:val="1"/>
        </w:numPr>
        <w:shd w:val="clear" w:color="auto" w:fill="FFFFFF"/>
        <w:spacing w:line="240" w:lineRule="auto"/>
        <w:rPr>
          <w:rFonts w:ascii="Calibri" w:eastAsia="Times New Roman" w:hAnsi="Calibri" w:cs="Calibri"/>
          <w:sz w:val="24"/>
          <w:szCs w:val="24"/>
          <w:lang w:val="en-US"/>
        </w:rPr>
      </w:pPr>
      <w:r w:rsidRPr="00A822F2">
        <w:rPr>
          <w:rFonts w:ascii="Calibri" w:eastAsia="Times New Roman" w:hAnsi="Calibri" w:cs="Calibri"/>
          <w:sz w:val="24"/>
          <w:szCs w:val="24"/>
          <w:lang w:val="en-US"/>
        </w:rPr>
        <w:t xml:space="preserve">Lee A, Jiang Z, Zhu L, Ladiges W. </w:t>
      </w:r>
      <w:hyperlink r:id="rId13" w:history="1">
        <w:proofErr w:type="spellStart"/>
        <w:r w:rsidRPr="00A822F2">
          <w:rPr>
            <w:rFonts w:ascii="Calibri" w:eastAsia="Times New Roman" w:hAnsi="Calibri" w:cs="Calibri"/>
            <w:sz w:val="24"/>
            <w:szCs w:val="24"/>
            <w:shd w:val="clear" w:color="auto" w:fill="FFFFFF"/>
            <w:lang w:val="en-US"/>
          </w:rPr>
          <w:t>QuPath</w:t>
        </w:r>
        <w:proofErr w:type="spellEnd"/>
        <w:r w:rsidRPr="00A822F2">
          <w:rPr>
            <w:rFonts w:ascii="Calibri" w:eastAsia="Times New Roman" w:hAnsi="Calibri" w:cs="Calibri"/>
            <w:sz w:val="24"/>
            <w:szCs w:val="24"/>
            <w:shd w:val="clear" w:color="auto" w:fill="FFFFFF"/>
            <w:lang w:val="en-US"/>
          </w:rPr>
          <w:t xml:space="preserve">. A new digital imaging tool for </w:t>
        </w:r>
        <w:proofErr w:type="spellStart"/>
        <w:r w:rsidRPr="00A822F2">
          <w:rPr>
            <w:rFonts w:ascii="Calibri" w:eastAsia="Times New Roman" w:hAnsi="Calibri" w:cs="Calibri"/>
            <w:sz w:val="24"/>
            <w:szCs w:val="24"/>
            <w:shd w:val="clear" w:color="auto" w:fill="FFFFFF"/>
            <w:lang w:val="en-US"/>
          </w:rPr>
          <w:t>geropathology</w:t>
        </w:r>
        <w:proofErr w:type="spellEnd"/>
        <w:r w:rsidRPr="00A822F2">
          <w:rPr>
            <w:rFonts w:ascii="Calibri" w:eastAsia="Times New Roman" w:hAnsi="Calibri" w:cs="Calibri"/>
            <w:sz w:val="24"/>
            <w:szCs w:val="24"/>
            <w:shd w:val="clear" w:color="auto" w:fill="FFFFFF"/>
            <w:lang w:val="en-US"/>
          </w:rPr>
          <w:t>.</w:t>
        </w:r>
      </w:hyperlink>
      <w:r w:rsidRPr="00A822F2">
        <w:rPr>
          <w:rFonts w:ascii="Calibri" w:eastAsia="Times New Roman" w:hAnsi="Calibri" w:cs="Calibri"/>
          <w:sz w:val="24"/>
          <w:szCs w:val="24"/>
          <w:lang w:val="en-US"/>
        </w:rPr>
        <w:t xml:space="preserve"> Aging </w:t>
      </w:r>
      <w:proofErr w:type="spellStart"/>
      <w:r w:rsidRPr="00A822F2">
        <w:rPr>
          <w:rFonts w:ascii="Calibri" w:eastAsia="Times New Roman" w:hAnsi="Calibri" w:cs="Calibri"/>
          <w:sz w:val="24"/>
          <w:szCs w:val="24"/>
          <w:lang w:val="en-US"/>
        </w:rPr>
        <w:t>Pathobiol</w:t>
      </w:r>
      <w:proofErr w:type="spellEnd"/>
      <w:r w:rsidRPr="00A822F2">
        <w:rPr>
          <w:rFonts w:ascii="Calibri" w:eastAsia="Times New Roman" w:hAnsi="Calibri" w:cs="Calibri"/>
          <w:sz w:val="24"/>
          <w:szCs w:val="24"/>
          <w:lang w:val="en-US"/>
        </w:rPr>
        <w:t xml:space="preserve"> </w:t>
      </w:r>
      <w:proofErr w:type="spellStart"/>
      <w:r w:rsidRPr="00A822F2">
        <w:rPr>
          <w:rFonts w:ascii="Calibri" w:eastAsia="Times New Roman" w:hAnsi="Calibri" w:cs="Calibri"/>
          <w:sz w:val="24"/>
          <w:szCs w:val="24"/>
          <w:lang w:val="en-US"/>
        </w:rPr>
        <w:t>Ther</w:t>
      </w:r>
      <w:proofErr w:type="spellEnd"/>
      <w:r w:rsidRPr="00A822F2">
        <w:rPr>
          <w:rFonts w:ascii="Calibri" w:eastAsia="Times New Roman" w:hAnsi="Calibri" w:cs="Calibri"/>
          <w:sz w:val="24"/>
          <w:szCs w:val="24"/>
          <w:lang w:val="en-US"/>
        </w:rPr>
        <w:t xml:space="preserve">. 2020 Jun 29;2(2):114-116. </w:t>
      </w:r>
      <w:proofErr w:type="spellStart"/>
      <w:r w:rsidRPr="00A822F2">
        <w:rPr>
          <w:rFonts w:ascii="Calibri" w:eastAsia="Times New Roman" w:hAnsi="Calibri" w:cs="Calibri"/>
          <w:sz w:val="24"/>
          <w:szCs w:val="24"/>
          <w:lang w:val="en-US"/>
        </w:rPr>
        <w:t>doi</w:t>
      </w:r>
      <w:proofErr w:type="spellEnd"/>
      <w:r w:rsidRPr="00A822F2">
        <w:rPr>
          <w:rFonts w:ascii="Calibri" w:eastAsia="Times New Roman" w:hAnsi="Calibri" w:cs="Calibri"/>
          <w:sz w:val="24"/>
          <w:szCs w:val="24"/>
          <w:lang w:val="en-US"/>
        </w:rPr>
        <w:t>: 10.31491/apt.2020.06.024.PMID: 35083445</w:t>
      </w:r>
    </w:p>
    <w:p w14:paraId="4DAB4F2F" w14:textId="2517B8FC" w:rsidR="00F0500B" w:rsidRPr="00A822F2" w:rsidRDefault="00F0500B" w:rsidP="00A822F2">
      <w:pPr>
        <w:pStyle w:val="ListParagraph"/>
        <w:numPr>
          <w:ilvl w:val="0"/>
          <w:numId w:val="1"/>
        </w:numPr>
        <w:spacing w:line="240" w:lineRule="auto"/>
        <w:rPr>
          <w:rFonts w:ascii="Calibri" w:eastAsia="Times New Roman" w:hAnsi="Calibri" w:cs="Calibri"/>
          <w:sz w:val="24"/>
          <w:szCs w:val="24"/>
        </w:rPr>
      </w:pPr>
      <w:r w:rsidRPr="00A822F2">
        <w:rPr>
          <w:rFonts w:ascii="Calibri" w:eastAsia="Times New Roman" w:hAnsi="Calibri" w:cs="Calibri"/>
          <w:sz w:val="24"/>
          <w:szCs w:val="24"/>
        </w:rPr>
        <w:t xml:space="preserve">Darvas M, Keene D, Ladiges W. </w:t>
      </w:r>
      <w:hyperlink r:id="rId14" w:history="1">
        <w:r w:rsidRPr="00A822F2">
          <w:rPr>
            <w:rFonts w:ascii="Calibri" w:eastAsia="Times New Roman" w:hAnsi="Calibri" w:cs="Calibri"/>
            <w:sz w:val="24"/>
            <w:szCs w:val="24"/>
          </w:rPr>
          <w:t xml:space="preserve">A </w:t>
        </w:r>
        <w:proofErr w:type="spellStart"/>
        <w:r w:rsidRPr="00A822F2">
          <w:rPr>
            <w:rFonts w:ascii="Calibri" w:eastAsia="Times New Roman" w:hAnsi="Calibri" w:cs="Calibri"/>
            <w:sz w:val="24"/>
            <w:szCs w:val="24"/>
          </w:rPr>
          <w:t>geroscience</w:t>
        </w:r>
        <w:proofErr w:type="spellEnd"/>
        <w:r w:rsidRPr="00A822F2">
          <w:rPr>
            <w:rFonts w:ascii="Calibri" w:eastAsia="Times New Roman" w:hAnsi="Calibri" w:cs="Calibri"/>
            <w:sz w:val="24"/>
            <w:szCs w:val="24"/>
          </w:rPr>
          <w:t xml:space="preserve"> mouse model for Alzheimer's disease.</w:t>
        </w:r>
      </w:hyperlink>
      <w:r w:rsidRPr="00A822F2">
        <w:rPr>
          <w:rFonts w:ascii="Calibri" w:eastAsia="Times New Roman" w:hAnsi="Calibri" w:cs="Calibri"/>
          <w:sz w:val="24"/>
          <w:szCs w:val="24"/>
        </w:rPr>
        <w:t xml:space="preserve"> </w:t>
      </w:r>
      <w:proofErr w:type="spellStart"/>
      <w:r w:rsidRPr="00A822F2">
        <w:rPr>
          <w:rFonts w:ascii="Calibri" w:eastAsia="Times New Roman" w:hAnsi="Calibri" w:cs="Calibri"/>
          <w:sz w:val="24"/>
          <w:szCs w:val="24"/>
        </w:rPr>
        <w:t>Pathobiol</w:t>
      </w:r>
      <w:proofErr w:type="spellEnd"/>
      <w:r w:rsidRPr="00A822F2">
        <w:rPr>
          <w:rFonts w:ascii="Calibri" w:eastAsia="Times New Roman" w:hAnsi="Calibri" w:cs="Calibri"/>
          <w:sz w:val="24"/>
          <w:szCs w:val="24"/>
        </w:rPr>
        <w:t xml:space="preserve"> Aging Age </w:t>
      </w:r>
      <w:proofErr w:type="spellStart"/>
      <w:r w:rsidRPr="00A822F2">
        <w:rPr>
          <w:rFonts w:ascii="Calibri" w:eastAsia="Times New Roman" w:hAnsi="Calibri" w:cs="Calibri"/>
          <w:sz w:val="24"/>
          <w:szCs w:val="24"/>
        </w:rPr>
        <w:t>Relat</w:t>
      </w:r>
      <w:proofErr w:type="spellEnd"/>
      <w:r w:rsidRPr="00A822F2">
        <w:rPr>
          <w:rFonts w:ascii="Calibri" w:eastAsia="Times New Roman" w:hAnsi="Calibri" w:cs="Calibri"/>
          <w:sz w:val="24"/>
          <w:szCs w:val="24"/>
        </w:rPr>
        <w:t xml:space="preserve"> Dis. 2019 May 14;9(1):1616994. </w:t>
      </w:r>
      <w:proofErr w:type="spellStart"/>
      <w:r w:rsidRPr="00A822F2">
        <w:rPr>
          <w:rFonts w:ascii="Calibri" w:eastAsia="Times New Roman" w:hAnsi="Calibri" w:cs="Calibri"/>
          <w:sz w:val="24"/>
          <w:szCs w:val="24"/>
        </w:rPr>
        <w:t>doi</w:t>
      </w:r>
      <w:proofErr w:type="spellEnd"/>
      <w:r w:rsidRPr="00A822F2">
        <w:rPr>
          <w:rFonts w:ascii="Calibri" w:eastAsia="Times New Roman" w:hAnsi="Calibri" w:cs="Calibri"/>
          <w:sz w:val="24"/>
          <w:szCs w:val="24"/>
        </w:rPr>
        <w:t xml:space="preserve">: 10.1080/20010001.2019.1616994. </w:t>
      </w:r>
      <w:proofErr w:type="spellStart"/>
      <w:r w:rsidRPr="00A822F2">
        <w:rPr>
          <w:rFonts w:ascii="Calibri" w:eastAsia="Times New Roman" w:hAnsi="Calibri" w:cs="Calibri"/>
          <w:sz w:val="24"/>
          <w:szCs w:val="24"/>
        </w:rPr>
        <w:t>eCollection</w:t>
      </w:r>
      <w:proofErr w:type="spellEnd"/>
      <w:r w:rsidRPr="00A822F2">
        <w:rPr>
          <w:rFonts w:ascii="Calibri" w:eastAsia="Times New Roman" w:hAnsi="Calibri" w:cs="Calibri"/>
          <w:sz w:val="24"/>
          <w:szCs w:val="24"/>
        </w:rPr>
        <w:t xml:space="preserve"> 2019. </w:t>
      </w:r>
    </w:p>
    <w:p w14:paraId="2A107D99" w14:textId="4009AD91" w:rsidR="006A4B31" w:rsidRDefault="006A4B31">
      <w:pPr>
        <w:widowControl w:val="0"/>
        <w:spacing w:line="240" w:lineRule="auto"/>
        <w:ind w:right="166"/>
        <w:rPr>
          <w:rFonts w:ascii="Calibri" w:eastAsia="Calibri" w:hAnsi="Calibri" w:cs="Calibri"/>
          <w:sz w:val="24"/>
          <w:szCs w:val="24"/>
        </w:rPr>
      </w:pPr>
    </w:p>
    <w:sectPr w:rsidR="006A4B31">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561C55"/>
    <w:multiLevelType w:val="multilevel"/>
    <w:tmpl w:val="44CE1F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BD"/>
    <w:rsid w:val="00030996"/>
    <w:rsid w:val="00160538"/>
    <w:rsid w:val="00190848"/>
    <w:rsid w:val="001B64A6"/>
    <w:rsid w:val="00255FBF"/>
    <w:rsid w:val="002B396D"/>
    <w:rsid w:val="002F744F"/>
    <w:rsid w:val="0036407C"/>
    <w:rsid w:val="004175C0"/>
    <w:rsid w:val="005A6A75"/>
    <w:rsid w:val="005E3BBD"/>
    <w:rsid w:val="005F10CF"/>
    <w:rsid w:val="006259C2"/>
    <w:rsid w:val="006363B3"/>
    <w:rsid w:val="006858D5"/>
    <w:rsid w:val="006A4B31"/>
    <w:rsid w:val="006B1AF7"/>
    <w:rsid w:val="00740F78"/>
    <w:rsid w:val="00770B20"/>
    <w:rsid w:val="0079417F"/>
    <w:rsid w:val="008102BA"/>
    <w:rsid w:val="008E2658"/>
    <w:rsid w:val="00A272E8"/>
    <w:rsid w:val="00A61500"/>
    <w:rsid w:val="00A822F2"/>
    <w:rsid w:val="00BA5416"/>
    <w:rsid w:val="00BC3E8E"/>
    <w:rsid w:val="00BD49C0"/>
    <w:rsid w:val="00CD2F3A"/>
    <w:rsid w:val="00CE5BC5"/>
    <w:rsid w:val="00D31E2F"/>
    <w:rsid w:val="00D476EF"/>
    <w:rsid w:val="00E67F43"/>
    <w:rsid w:val="00E76470"/>
    <w:rsid w:val="00F0500B"/>
    <w:rsid w:val="00F27C27"/>
    <w:rsid w:val="00F92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C3246"/>
  <w15:docId w15:val="{A66573AB-294C-4859-8136-F8986D10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165626"/>
    <w:pPr>
      <w:ind w:left="720"/>
      <w:contextualSpacing/>
    </w:pPr>
  </w:style>
  <w:style w:type="paragraph" w:styleId="BodyText">
    <w:name w:val="Body Text"/>
    <w:basedOn w:val="Normal"/>
    <w:link w:val="BodyTextChar"/>
    <w:rsid w:val="006A4B31"/>
    <w:pPr>
      <w:autoSpaceDE w:val="0"/>
      <w:autoSpaceDN w:val="0"/>
      <w:spacing w:after="120" w:line="240" w:lineRule="auto"/>
    </w:pPr>
    <w:rPr>
      <w:rFonts w:eastAsia="MS Mincho" w:cs="Times"/>
      <w:bCs/>
      <w:sz w:val="24"/>
      <w:szCs w:val="24"/>
      <w:lang w:val="en-US"/>
    </w:rPr>
  </w:style>
  <w:style w:type="character" w:customStyle="1" w:styleId="BodyTextChar">
    <w:name w:val="Body Text Char"/>
    <w:basedOn w:val="DefaultParagraphFont"/>
    <w:link w:val="BodyText"/>
    <w:rsid w:val="006A4B31"/>
    <w:rPr>
      <w:rFonts w:eastAsia="MS Mincho" w:cs="Times"/>
      <w:bCs/>
      <w:sz w:val="24"/>
      <w:szCs w:val="24"/>
      <w:lang w:val="en-US"/>
    </w:rPr>
  </w:style>
  <w:style w:type="character" w:styleId="Hyperlink">
    <w:name w:val="Hyperlink"/>
    <w:basedOn w:val="DefaultParagraphFont"/>
    <w:uiPriority w:val="99"/>
    <w:unhideWhenUsed/>
    <w:rsid w:val="00A822F2"/>
    <w:rPr>
      <w:color w:val="0000FF" w:themeColor="hyperlink"/>
      <w:u w:val="single"/>
    </w:rPr>
  </w:style>
  <w:style w:type="character" w:customStyle="1" w:styleId="UnresolvedMention">
    <w:name w:val="Unresolved Mention"/>
    <w:basedOn w:val="DefaultParagraphFont"/>
    <w:uiPriority w:val="99"/>
    <w:semiHidden/>
    <w:unhideWhenUsed/>
    <w:rsid w:val="00A82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006526">
      <w:bodyDiv w:val="1"/>
      <w:marLeft w:val="0"/>
      <w:marRight w:val="0"/>
      <w:marTop w:val="0"/>
      <w:marBottom w:val="0"/>
      <w:divBdr>
        <w:top w:val="none" w:sz="0" w:space="0" w:color="auto"/>
        <w:left w:val="none" w:sz="0" w:space="0" w:color="auto"/>
        <w:bottom w:val="none" w:sz="0" w:space="0" w:color="auto"/>
        <w:right w:val="none" w:sz="0" w:space="0" w:color="auto"/>
      </w:divBdr>
      <w:divsChild>
        <w:div w:id="1843740788">
          <w:marLeft w:val="0"/>
          <w:marRight w:val="0"/>
          <w:marTop w:val="0"/>
          <w:marBottom w:val="0"/>
          <w:divBdr>
            <w:top w:val="none" w:sz="0" w:space="0" w:color="auto"/>
            <w:left w:val="none" w:sz="0" w:space="0" w:color="auto"/>
            <w:bottom w:val="none" w:sz="0" w:space="0" w:color="auto"/>
            <w:right w:val="none" w:sz="0" w:space="0" w:color="auto"/>
          </w:divBdr>
        </w:div>
      </w:divsChild>
    </w:div>
    <w:div w:id="2001232844">
      <w:bodyDiv w:val="1"/>
      <w:marLeft w:val="0"/>
      <w:marRight w:val="0"/>
      <w:marTop w:val="0"/>
      <w:marBottom w:val="0"/>
      <w:divBdr>
        <w:top w:val="none" w:sz="0" w:space="0" w:color="auto"/>
        <w:left w:val="none" w:sz="0" w:space="0" w:color="auto"/>
        <w:bottom w:val="none" w:sz="0" w:space="0" w:color="auto"/>
        <w:right w:val="none" w:sz="0" w:space="0" w:color="auto"/>
      </w:divBdr>
      <w:divsChild>
        <w:div w:id="21101580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ubmed.ncbi.nlm.nih.gov/35083445/"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pubmed.ncbi.nlm.nih.gov/292901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hyperlink" Target="https://pubmed.ncbi.nlm.nih.gov/320969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cbi.nlm.nih.gov/pubmed/24106580"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ncbi.nlm.nih.gov/pubmed/31143415"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4 months</c:v>
                </c:pt>
              </c:strCache>
            </c:strRef>
          </c:tx>
          <c:spPr>
            <a:ln w="28575" cap="rnd">
              <a:solidFill>
                <a:schemeClr val="accent1"/>
              </a:solidFill>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strRef>
              <c:f>Sheet1!$A$2:$A$6</c:f>
              <c:strCache>
                <c:ptCount val="5"/>
                <c:pt idx="0">
                  <c:v>Trial 1</c:v>
                </c:pt>
                <c:pt idx="1">
                  <c:v>Trial 2</c:v>
                </c:pt>
                <c:pt idx="2">
                  <c:v>Trial 3</c:v>
                </c:pt>
                <c:pt idx="3">
                  <c:v>Trial 4</c:v>
                </c:pt>
                <c:pt idx="4">
                  <c:v>Trial 5</c:v>
                </c:pt>
              </c:strCache>
            </c:strRef>
          </c:cat>
          <c:val>
            <c:numRef>
              <c:f>Sheet1!$B$2:$B$6</c:f>
              <c:numCache>
                <c:formatCode>General</c:formatCode>
                <c:ptCount val="5"/>
                <c:pt idx="0">
                  <c:v>115</c:v>
                </c:pt>
                <c:pt idx="1">
                  <c:v>70</c:v>
                </c:pt>
                <c:pt idx="2">
                  <c:v>60</c:v>
                </c:pt>
                <c:pt idx="3">
                  <c:v>30</c:v>
                </c:pt>
                <c:pt idx="4">
                  <c:v>25</c:v>
                </c:pt>
              </c:numCache>
            </c:numRef>
          </c:val>
          <c:smooth val="0"/>
          <c:extLst>
            <c:ext xmlns:c16="http://schemas.microsoft.com/office/drawing/2014/chart" uri="{C3380CC4-5D6E-409C-BE32-E72D297353CC}">
              <c16:uniqueId val="{00000000-547D-4313-9469-EDF491272C47}"/>
            </c:ext>
          </c:extLst>
        </c:ser>
        <c:ser>
          <c:idx val="1"/>
          <c:order val="1"/>
          <c:tx>
            <c:strRef>
              <c:f>Sheet1!$C$1</c:f>
              <c:strCache>
                <c:ptCount val="1"/>
                <c:pt idx="0">
                  <c:v>12 months</c:v>
                </c:pt>
              </c:strCache>
            </c:strRef>
          </c:tx>
          <c:spPr>
            <a:ln w="28575" cap="rnd">
              <a:solidFill>
                <a:schemeClr val="accent2"/>
              </a:solidFill>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strRef>
              <c:f>Sheet1!$A$2:$A$6</c:f>
              <c:strCache>
                <c:ptCount val="5"/>
                <c:pt idx="0">
                  <c:v>Trial 1</c:v>
                </c:pt>
                <c:pt idx="1">
                  <c:v>Trial 2</c:v>
                </c:pt>
                <c:pt idx="2">
                  <c:v>Trial 3</c:v>
                </c:pt>
                <c:pt idx="3">
                  <c:v>Trial 4</c:v>
                </c:pt>
                <c:pt idx="4">
                  <c:v>Trial 5</c:v>
                </c:pt>
              </c:strCache>
            </c:strRef>
          </c:cat>
          <c:val>
            <c:numRef>
              <c:f>Sheet1!$C$2:$C$6</c:f>
              <c:numCache>
                <c:formatCode>General</c:formatCode>
                <c:ptCount val="5"/>
                <c:pt idx="0">
                  <c:v>110</c:v>
                </c:pt>
                <c:pt idx="1">
                  <c:v>80</c:v>
                </c:pt>
                <c:pt idx="2">
                  <c:v>70</c:v>
                </c:pt>
                <c:pt idx="3">
                  <c:v>65</c:v>
                </c:pt>
                <c:pt idx="4">
                  <c:v>55</c:v>
                </c:pt>
              </c:numCache>
            </c:numRef>
          </c:val>
          <c:smooth val="0"/>
          <c:extLst>
            <c:ext xmlns:c16="http://schemas.microsoft.com/office/drawing/2014/chart" uri="{C3380CC4-5D6E-409C-BE32-E72D297353CC}">
              <c16:uniqueId val="{00000001-547D-4313-9469-EDF491272C47}"/>
            </c:ext>
          </c:extLst>
        </c:ser>
        <c:ser>
          <c:idx val="2"/>
          <c:order val="2"/>
          <c:tx>
            <c:strRef>
              <c:f>Sheet1!$D$1</c:f>
              <c:strCache>
                <c:ptCount val="1"/>
                <c:pt idx="0">
                  <c:v>20 months</c:v>
                </c:pt>
              </c:strCache>
            </c:strRef>
          </c:tx>
          <c:spPr>
            <a:ln w="28575" cap="rnd">
              <a:solidFill>
                <a:schemeClr val="accent3"/>
              </a:solidFill>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strRef>
              <c:f>Sheet1!$A$2:$A$6</c:f>
              <c:strCache>
                <c:ptCount val="5"/>
                <c:pt idx="0">
                  <c:v>Trial 1</c:v>
                </c:pt>
                <c:pt idx="1">
                  <c:v>Trial 2</c:v>
                </c:pt>
                <c:pt idx="2">
                  <c:v>Trial 3</c:v>
                </c:pt>
                <c:pt idx="3">
                  <c:v>Trial 4</c:v>
                </c:pt>
                <c:pt idx="4">
                  <c:v>Trial 5</c:v>
                </c:pt>
              </c:strCache>
            </c:strRef>
          </c:cat>
          <c:val>
            <c:numRef>
              <c:f>Sheet1!$D$2:$D$6</c:f>
              <c:numCache>
                <c:formatCode>General</c:formatCode>
                <c:ptCount val="5"/>
                <c:pt idx="0">
                  <c:v>120</c:v>
                </c:pt>
                <c:pt idx="1">
                  <c:v>85</c:v>
                </c:pt>
                <c:pt idx="2">
                  <c:v>100</c:v>
                </c:pt>
                <c:pt idx="3">
                  <c:v>70</c:v>
                </c:pt>
                <c:pt idx="4">
                  <c:v>67</c:v>
                </c:pt>
              </c:numCache>
            </c:numRef>
          </c:val>
          <c:smooth val="0"/>
          <c:extLst>
            <c:ext xmlns:c16="http://schemas.microsoft.com/office/drawing/2014/chart" uri="{C3380CC4-5D6E-409C-BE32-E72D297353CC}">
              <c16:uniqueId val="{00000002-547D-4313-9469-EDF491272C47}"/>
            </c:ext>
          </c:extLst>
        </c:ser>
        <c:ser>
          <c:idx val="3"/>
          <c:order val="3"/>
          <c:tx>
            <c:strRef>
              <c:f>Sheet1!$E$1</c:f>
              <c:strCache>
                <c:ptCount val="1"/>
                <c:pt idx="0">
                  <c:v>28 months</c:v>
                </c:pt>
              </c:strCache>
            </c:strRef>
          </c:tx>
          <c:spPr>
            <a:ln w="28575" cap="rnd">
              <a:solidFill>
                <a:schemeClr val="accent4"/>
              </a:solidFill>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strRef>
              <c:f>Sheet1!$A$2:$A$6</c:f>
              <c:strCache>
                <c:ptCount val="5"/>
                <c:pt idx="0">
                  <c:v>Trial 1</c:v>
                </c:pt>
                <c:pt idx="1">
                  <c:v>Trial 2</c:v>
                </c:pt>
                <c:pt idx="2">
                  <c:v>Trial 3</c:v>
                </c:pt>
                <c:pt idx="3">
                  <c:v>Trial 4</c:v>
                </c:pt>
                <c:pt idx="4">
                  <c:v>Trial 5</c:v>
                </c:pt>
              </c:strCache>
            </c:strRef>
          </c:cat>
          <c:val>
            <c:numRef>
              <c:f>Sheet1!$E$2:$E$6</c:f>
              <c:numCache>
                <c:formatCode>General</c:formatCode>
                <c:ptCount val="5"/>
                <c:pt idx="0">
                  <c:v>150</c:v>
                </c:pt>
                <c:pt idx="1">
                  <c:v>135</c:v>
                </c:pt>
                <c:pt idx="2">
                  <c:v>118</c:v>
                </c:pt>
                <c:pt idx="3">
                  <c:v>105</c:v>
                </c:pt>
                <c:pt idx="4">
                  <c:v>110</c:v>
                </c:pt>
              </c:numCache>
            </c:numRef>
          </c:val>
          <c:smooth val="0"/>
          <c:extLst>
            <c:ext xmlns:c16="http://schemas.microsoft.com/office/drawing/2014/chart" uri="{C3380CC4-5D6E-409C-BE32-E72D297353CC}">
              <c16:uniqueId val="{00000004-547D-4313-9469-EDF491272C47}"/>
            </c:ext>
          </c:extLst>
        </c:ser>
        <c:dLbls>
          <c:showLegendKey val="0"/>
          <c:showVal val="0"/>
          <c:showCatName val="0"/>
          <c:showSerName val="0"/>
          <c:showPercent val="0"/>
          <c:showBubbleSize val="0"/>
        </c:dLbls>
        <c:smooth val="0"/>
        <c:axId val="2045321503"/>
        <c:axId val="2045327743"/>
      </c:lineChart>
      <c:catAx>
        <c:axId val="204532150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atin typeface="+mj-lt"/>
                  </a:rPr>
                  <a:t>C57BL/6</a:t>
                </a:r>
                <a:r>
                  <a:rPr lang="en-US" baseline="0">
                    <a:latin typeface="+mj-lt"/>
                  </a:rPr>
                  <a:t> mice</a:t>
                </a:r>
                <a:endParaRPr lang="en-US">
                  <a:latin typeface="+mj-lt"/>
                </a:endParaRPr>
              </a:p>
            </c:rich>
          </c:tx>
          <c:layout>
            <c:manualLayout>
              <c:xMode val="edge"/>
              <c:yMode val="edge"/>
              <c:x val="0.4316536817716074"/>
              <c:y val="5.1331137876940491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2045327743"/>
        <c:crosses val="autoZero"/>
        <c:auto val="1"/>
        <c:lblAlgn val="ctr"/>
        <c:lblOffset val="100"/>
        <c:noMultiLvlLbl val="0"/>
      </c:catAx>
      <c:valAx>
        <c:axId val="2045327743"/>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latin typeface="+mj-lt"/>
                  </a:rPr>
                  <a:t>Seconds</a:t>
                </a:r>
              </a:p>
            </c:rich>
          </c:tx>
          <c:layout>
            <c:manualLayout>
              <c:xMode val="edge"/>
              <c:yMode val="edge"/>
              <c:x val="3.2239155920281357E-2"/>
              <c:y val="0.2565257852175135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j-lt"/>
                <a:ea typeface="+mn-ea"/>
                <a:cs typeface="+mn-cs"/>
              </a:defRPr>
            </a:pPr>
            <a:endParaRPr lang="en-US"/>
          </a:p>
        </c:txPr>
        <c:crossAx val="2045321503"/>
        <c:crosses val="autoZero"/>
        <c:crossBetween val="between"/>
      </c:valAx>
      <c:spPr>
        <a:noFill/>
        <a:ln>
          <a:noFill/>
        </a:ln>
        <a:effectLst/>
      </c:spPr>
    </c:plotArea>
    <c:legend>
      <c:legendPos val="b"/>
      <c:layout>
        <c:manualLayout>
          <c:xMode val="edge"/>
          <c:yMode val="edge"/>
          <c:x val="9.565652337590197E-2"/>
          <c:y val="0.77643350947179357"/>
          <c:w val="0.85419302527003582"/>
          <c:h val="0.18844838029198605"/>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j-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12700"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7V0zMxnHmuHMM6oKZPWREkCenQ==">AMUW2mXta0uT+QsqHd8jYeHUrSEOdFi17qDTXQboJP2em7VhMbu0oJ+jhy0mw1zJLvdlJJerqKNwZ6tC2CwFMxBmDlDn9gFpjGfReqhuvgRhPGXgjltnyMI=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Ladiges</dc:creator>
  <cp:lastModifiedBy>Sara Daneshjoo</cp:lastModifiedBy>
  <cp:revision>2</cp:revision>
  <dcterms:created xsi:type="dcterms:W3CDTF">2022-06-24T23:10:00Z</dcterms:created>
  <dcterms:modified xsi:type="dcterms:W3CDTF">2022-06-24T23:10:00Z</dcterms:modified>
</cp:coreProperties>
</file>