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02" w:hanging="1102" w:hangingChars="392"/>
        <w:jc w:val="center"/>
        <w:rPr>
          <w:rFonts w:ascii="Times New Roman" w:hAnsi="Times New Roman" w:cs="Times New Roman"/>
          <w:b/>
          <w:bCs/>
          <w:color w:val="000000" w:themeColor="text1"/>
          <w:sz w:val="28"/>
          <w:szCs w:val="28"/>
        </w:rPr>
      </w:pPr>
      <w:bookmarkStart w:id="0" w:name="OLE_LINK2"/>
      <w:r>
        <w:rPr>
          <w:rFonts w:ascii="Times New Roman" w:hAnsi="Times New Roman" w:cs="Times New Roman"/>
          <w:b/>
          <w:bCs/>
          <w:color w:val="000000" w:themeColor="text1"/>
          <w:sz w:val="28"/>
          <w:szCs w:val="28"/>
        </w:rPr>
        <w:t xml:space="preserve">Elderly </w:t>
      </w:r>
      <w:r>
        <w:rPr>
          <w:rFonts w:hint="eastAsia" w:ascii="Times New Roman" w:hAnsi="Times New Roman" w:cs="Times New Roman"/>
          <w:b/>
          <w:bCs/>
          <w:color w:val="000000" w:themeColor="text1"/>
          <w:sz w:val="28"/>
          <w:szCs w:val="28"/>
        </w:rPr>
        <w:t>o</w:t>
      </w:r>
      <w:r>
        <w:rPr>
          <w:rFonts w:ascii="Times New Roman" w:hAnsi="Times New Roman" w:cs="Times New Roman"/>
          <w:b/>
          <w:bCs/>
          <w:color w:val="000000" w:themeColor="text1"/>
          <w:sz w:val="28"/>
          <w:szCs w:val="28"/>
        </w:rPr>
        <w:t xml:space="preserve">nset </w:t>
      </w:r>
      <w:r>
        <w:rPr>
          <w:rFonts w:hint="eastAsia" w:ascii="Times New Roman" w:hAnsi="Times New Roman" w:cs="Times New Roman"/>
          <w:b/>
          <w:bCs/>
          <w:color w:val="000000" w:themeColor="text1"/>
          <w:sz w:val="28"/>
          <w:szCs w:val="28"/>
        </w:rPr>
        <w:t>m</w:t>
      </w:r>
      <w:r>
        <w:rPr>
          <w:rFonts w:ascii="Times New Roman" w:hAnsi="Times New Roman" w:cs="Times New Roman"/>
          <w:b/>
          <w:bCs/>
          <w:color w:val="000000" w:themeColor="text1"/>
          <w:sz w:val="28"/>
          <w:szCs w:val="28"/>
        </w:rPr>
        <w:t>ale MELAS</w:t>
      </w:r>
      <w:r>
        <w:rPr>
          <w:rFonts w:hint="eastAsia"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A </w:t>
      </w:r>
      <w:r>
        <w:rPr>
          <w:rFonts w:hint="eastAsia" w:ascii="Times New Roman" w:hAnsi="Times New Roman" w:cs="Times New Roman"/>
          <w:b/>
          <w:bCs/>
          <w:color w:val="000000" w:themeColor="text1"/>
          <w:sz w:val="28"/>
          <w:szCs w:val="28"/>
        </w:rPr>
        <w:t>c</w:t>
      </w:r>
      <w:r>
        <w:rPr>
          <w:rFonts w:ascii="Times New Roman" w:hAnsi="Times New Roman" w:cs="Times New Roman"/>
          <w:b/>
          <w:bCs/>
          <w:color w:val="000000" w:themeColor="text1"/>
          <w:sz w:val="28"/>
          <w:szCs w:val="28"/>
        </w:rPr>
        <w:t xml:space="preserve">ase </w:t>
      </w:r>
      <w:r>
        <w:rPr>
          <w:rFonts w:hint="eastAsia" w:ascii="Times New Roman" w:hAnsi="Times New Roman" w:cs="Times New Roman"/>
          <w:b/>
          <w:bCs/>
          <w:color w:val="000000" w:themeColor="text1"/>
          <w:sz w:val="28"/>
          <w:szCs w:val="28"/>
        </w:rPr>
        <w:t>re</w:t>
      </w:r>
      <w:r>
        <w:rPr>
          <w:rFonts w:ascii="Times New Roman" w:hAnsi="Times New Roman" w:cs="Times New Roman"/>
          <w:b/>
          <w:bCs/>
          <w:color w:val="000000" w:themeColor="text1"/>
          <w:sz w:val="28"/>
          <w:szCs w:val="28"/>
        </w:rPr>
        <w:t>port</w:t>
      </w:r>
      <w:r>
        <w:rPr>
          <w:rFonts w:hint="eastAsia" w:ascii="Times New Roman" w:hAnsi="Times New Roman" w:cs="Times New Roman"/>
          <w:b/>
          <w:bCs/>
          <w:color w:val="000000" w:themeColor="text1"/>
          <w:sz w:val="28"/>
          <w:szCs w:val="28"/>
        </w:rPr>
        <w:t xml:space="preserve"> and mini-review</w:t>
      </w:r>
      <w:bookmarkEnd w:id="0"/>
    </w:p>
    <w:p>
      <w:pPr>
        <w:spacing w:line="360" w:lineRule="auto"/>
        <w:jc w:val="left"/>
        <w:rPr>
          <w:rFonts w:hint="default" w:ascii="Times New Roman" w:hAnsi="Times New Roman" w:cs="Times New Roman" w:eastAsiaTheme="minorEastAsia"/>
          <w:color w:val="000000" w:themeColor="text1"/>
          <w:sz w:val="24"/>
          <w:szCs w:val="24"/>
          <w:lang w:eastAsia="zh-CN"/>
        </w:rPr>
      </w:pPr>
      <w:r>
        <w:rPr>
          <w:rFonts w:hint="default" w:ascii="Times New Roman" w:hAnsi="Times New Roman" w:cs="Times New Roman"/>
          <w:color w:val="000000" w:themeColor="text1"/>
          <w:sz w:val="24"/>
          <w:szCs w:val="24"/>
        </w:rPr>
        <w:t>Sheng-Peng Diao</w:t>
      </w: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kern w:val="0"/>
          <w:sz w:val="24"/>
          <w:szCs w:val="24"/>
        </w:rPr>
        <w:t>, Song-Fa Chen</w:t>
      </w: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sz w:val="24"/>
          <w:szCs w:val="24"/>
        </w:rPr>
        <w:t>, Ai-Qun Liu</w:t>
      </w: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kern w:val="0"/>
          <w:sz w:val="24"/>
          <w:szCs w:val="24"/>
          <w:vertAlign w:val="superscript"/>
        </w:rPr>
        <w:t xml:space="preserve"> </w:t>
      </w:r>
      <w:r>
        <w:rPr>
          <w:rFonts w:hint="default" w:ascii="Times New Roman" w:hAnsi="Times New Roman" w:cs="Times New Roman"/>
          <w:color w:val="000000" w:themeColor="text1"/>
          <w:sz w:val="24"/>
          <w:szCs w:val="24"/>
        </w:rPr>
        <w:t>Zhi-Hua Zhou</w:t>
      </w: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sz w:val="24"/>
          <w:szCs w:val="24"/>
        </w:rPr>
        <w:t>, Zhong-Xing Peng</w:t>
      </w: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sz w:val="24"/>
          <w:szCs w:val="24"/>
        </w:rPr>
        <w:t>, Ming-Fan Hong</w:t>
      </w:r>
      <w:r>
        <w:rPr>
          <w:rFonts w:hint="default" w:ascii="Times New Roman" w:hAnsi="Times New Roman" w:cs="Times New Roman"/>
          <w:color w:val="000000" w:themeColor="text1"/>
          <w:sz w:val="24"/>
          <w:szCs w:val="24"/>
          <w:vertAlign w:val="superscript"/>
          <w:lang w:val="en-US" w:eastAsia="zh-CN"/>
        </w:rPr>
        <w:t>a</w:t>
      </w:r>
    </w:p>
    <w:p>
      <w:pPr>
        <w:spacing w:line="360" w:lineRule="auto"/>
        <w:rPr>
          <w:rFonts w:hint="eastAsia" w:ascii="Times New Roman" w:hAnsi="Times New Roman" w:cs="Times New Roman" w:eastAsiaTheme="minorEastAsia"/>
          <w:color w:val="000000" w:themeColor="text1"/>
          <w:sz w:val="24"/>
          <w:szCs w:val="24"/>
          <w:lang w:val="en-US" w:eastAsia="zh-CN"/>
        </w:rPr>
      </w:pPr>
      <w:r>
        <w:rPr>
          <w:rFonts w:hint="default" w:ascii="Times New Roman" w:hAnsi="Times New Roman" w:cs="Times New Roman"/>
          <w:color w:val="000000" w:themeColor="text1"/>
          <w:sz w:val="24"/>
          <w:szCs w:val="24"/>
          <w:vertAlign w:val="superscript"/>
          <w:lang w:val="en-US" w:eastAsia="zh-CN"/>
        </w:rPr>
        <w:t>a</w:t>
      </w:r>
      <w:r>
        <w:rPr>
          <w:rFonts w:hint="default" w:ascii="Times New Roman" w:hAnsi="Times New Roman" w:cs="Times New Roman"/>
          <w:color w:val="000000" w:themeColor="text1"/>
          <w:sz w:val="24"/>
          <w:szCs w:val="24"/>
        </w:rPr>
        <w:t xml:space="preserve"> Department of Neurology, College of C</w:t>
      </w:r>
      <w:bookmarkStart w:id="3" w:name="_GoBack"/>
      <w:bookmarkEnd w:id="3"/>
      <w:r>
        <w:rPr>
          <w:rFonts w:hint="default" w:ascii="Times New Roman" w:hAnsi="Times New Roman" w:cs="Times New Roman"/>
          <w:color w:val="000000" w:themeColor="text1"/>
          <w:sz w:val="24"/>
          <w:szCs w:val="24"/>
        </w:rPr>
        <w:t>linical Medicine, the First Affiliated Hospital, Guangdong Pharmaceutical University, Guangzhou, Guangdong, China</w:t>
      </w:r>
      <w:r>
        <w:rPr>
          <w:rFonts w:hint="eastAsia" w:ascii="Times New Roman" w:hAnsi="Times New Roman" w:cs="Times New Roman"/>
          <w:color w:val="000000" w:themeColor="text1"/>
          <w:sz w:val="24"/>
          <w:szCs w:val="24"/>
          <w:lang w:val="en-US" w:eastAsia="zh-CN"/>
        </w:rPr>
        <w:t>.</w:t>
      </w:r>
    </w:p>
    <w:p>
      <w:pPr>
        <w:spacing w:line="360" w:lineRule="auto"/>
        <w:rPr>
          <w:rFonts w:hint="default" w:ascii="Times New Roman" w:hAnsi="Times New Roman" w:cs="Times New Roman"/>
          <w:b/>
          <w:bCs/>
          <w:color w:val="000000" w:themeColor="text1"/>
          <w:sz w:val="24"/>
          <w:szCs w:val="24"/>
        </w:rPr>
      </w:pPr>
      <w:r>
        <w:rPr>
          <w:rFonts w:hint="default" w:ascii="Times New Roman" w:hAnsi="Times New Roman" w:cs="Times New Roman"/>
          <w:color w:val="000000" w:themeColor="text1"/>
          <w:sz w:val="24"/>
          <w:szCs w:val="24"/>
        </w:rPr>
        <w:t xml:space="preserve">Address correspondence to Ming-Fan Hong, PhD, Department of Neurology, School of Clinical Medicine, the First Affiliated Hospital of Guangdong Pharmaceutical University, 19 NonglinxiaRoad, 510080, Guangzhou, China.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"mailto:hongmingfan9001@163.com" </w:instrText>
      </w:r>
      <w:r>
        <w:rPr>
          <w:rFonts w:hint="default" w:ascii="Times New Roman" w:hAnsi="Times New Roman" w:cs="Times New Roman"/>
          <w:sz w:val="24"/>
          <w:szCs w:val="24"/>
        </w:rPr>
        <w:fldChar w:fldCharType="separate"/>
      </w:r>
      <w:r>
        <w:rPr>
          <w:rStyle w:val="6"/>
          <w:rFonts w:hint="default" w:ascii="Times New Roman" w:hAnsi="Times New Roman" w:cs="Times New Roman"/>
          <w:color w:val="000000" w:themeColor="text1"/>
          <w:sz w:val="24"/>
          <w:szCs w:val="24"/>
        </w:rPr>
        <w:t>hongmingfan9001@163.com</w:t>
      </w:r>
      <w:r>
        <w:rPr>
          <w:rStyle w:val="6"/>
          <w:rFonts w:hint="default" w:ascii="Times New Roman" w:hAnsi="Times New Roman" w:cs="Times New Roman"/>
          <w:color w:val="000000" w:themeColor="text1"/>
          <w:sz w:val="24"/>
          <w:szCs w:val="24"/>
        </w:rPr>
        <w:fldChar w:fldCharType="end"/>
      </w:r>
      <w:r>
        <w:rPr>
          <w:rFonts w:hint="default" w:ascii="Times New Roman" w:hAnsi="Times New Roman" w:cs="Times New Roman"/>
          <w:color w:val="000000" w:themeColor="text1"/>
          <w:sz w:val="24"/>
          <w:szCs w:val="24"/>
        </w:rPr>
        <w:t>. Tel: +86 020 61337324.</w:t>
      </w:r>
    </w:p>
    <w:p>
      <w:pPr>
        <w:spacing w:line="360" w:lineRule="auto"/>
        <w:rPr>
          <w:rFonts w:hint="default" w:ascii="Times New Roman" w:hAnsi="Times New Roman" w:cs="Times New Roman"/>
          <w:b/>
          <w:color w:val="000000" w:themeColor="text1"/>
          <w:kern w:val="0"/>
          <w:sz w:val="24"/>
          <w:szCs w:val="24"/>
        </w:rPr>
      </w:pPr>
      <w:r>
        <w:rPr>
          <w:rFonts w:hint="default" w:ascii="Times New Roman" w:hAnsi="Times New Roman" w:cs="Times New Roman"/>
          <w:b/>
          <w:color w:val="000000" w:themeColor="text1"/>
          <w:kern w:val="0"/>
          <w:sz w:val="24"/>
          <w:szCs w:val="24"/>
        </w:rPr>
        <w:t>Abstract</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b/>
          <w:bCs/>
          <w:color w:val="000000" w:themeColor="text1"/>
          <w:kern w:val="0"/>
          <w:sz w:val="24"/>
          <w:szCs w:val="24"/>
        </w:rPr>
        <w:t xml:space="preserve">Background: </w:t>
      </w:r>
      <w:r>
        <w:rPr>
          <w:rFonts w:hint="default" w:ascii="Times New Roman" w:hAnsi="Times New Roman" w:cs="Times New Roman"/>
          <w:color w:val="000000" w:themeColor="text1"/>
          <w:kern w:val="0"/>
          <w:sz w:val="24"/>
          <w:szCs w:val="24"/>
        </w:rPr>
        <w:t>Mitochondrial encephalomyopathy with lactic acidosis and stroke-like episodes (MELAS) is the most common mitochondrial disease</w:t>
      </w:r>
      <w:r>
        <w:rPr>
          <w:rFonts w:hint="default" w:ascii="Times New Roman" w:hAnsi="Times New Roman" w:cs="Times New Roman"/>
          <w:color w:val="000000" w:themeColor="text1"/>
          <w:sz w:val="24"/>
          <w:szCs w:val="24"/>
        </w:rPr>
        <w:t>. MELAS in the elderly onset is rarely seen.</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b/>
          <w:bCs/>
          <w:color w:val="000000" w:themeColor="text1"/>
          <w:sz w:val="24"/>
          <w:szCs w:val="24"/>
        </w:rPr>
        <w:t xml:space="preserve">Case presentation: </w:t>
      </w:r>
      <w:r>
        <w:rPr>
          <w:rFonts w:hint="default" w:ascii="Times New Roman" w:hAnsi="Times New Roman" w:cs="Times New Roman"/>
          <w:color w:val="000000" w:themeColor="text1"/>
          <w:sz w:val="24"/>
          <w:szCs w:val="24"/>
        </w:rPr>
        <w:t>We herein describe the case of a 61-year-old male MELAS patient. He had experienced acute migraine-like headaches as the first symptoms. Laboratory data showed elevated lactate and creatine kinase levels. Brain Magnetic Resonance Imaging (</w:t>
      </w:r>
      <w:r>
        <w:rPr>
          <w:rFonts w:hint="default" w:ascii="Times New Roman" w:hAnsi="Times New Roman" w:cs="Times New Roman"/>
          <w:color w:val="000000" w:themeColor="text1"/>
          <w:kern w:val="0"/>
          <w:sz w:val="24"/>
          <w:szCs w:val="24"/>
        </w:rPr>
        <w:t xml:space="preserve">MRI) showed a high signal intensity lesion in the left </w:t>
      </w:r>
      <w:r>
        <w:rPr>
          <w:rFonts w:hint="default" w:ascii="Times New Roman" w:hAnsi="Times New Roman" w:cs="Times New Roman"/>
          <w:color w:val="000000" w:themeColor="text1"/>
          <w:sz w:val="24"/>
          <w:szCs w:val="24"/>
        </w:rPr>
        <w:t xml:space="preserve">occipital-temporal-parietal lobe on diffusion-weighted imaging (DWI). Magnetic Resonance angiography (MRA) revealed reversible vasoconstriction of the </w:t>
      </w:r>
      <w:r>
        <w:rPr>
          <w:rFonts w:hint="default" w:ascii="Times New Roman" w:hAnsi="Times New Roman" w:cs="Times New Roman"/>
          <w:color w:val="000000" w:themeColor="text1"/>
          <w:kern w:val="0"/>
          <w:sz w:val="24"/>
          <w:szCs w:val="24"/>
        </w:rPr>
        <w:t>middle cerebral arteries and bilateral superficial temporal arteries</w:t>
      </w:r>
      <w:r>
        <w:rPr>
          <w:rFonts w:hint="default" w:ascii="Times New Roman" w:hAnsi="Times New Roman" w:cs="Times New Roman"/>
          <w:color w:val="000000" w:themeColor="text1"/>
          <w:sz w:val="24"/>
          <w:szCs w:val="24"/>
        </w:rPr>
        <w:t xml:space="preserve">. Muscle biopsy suggests minor muscle damage. A genetic study revealed a mitochondrial DNA A3243G point mutation. </w:t>
      </w:r>
    </w:p>
    <w:p>
      <w:pPr>
        <w:spacing w:line="360" w:lineRule="auto"/>
        <w:rPr>
          <w:rFonts w:hint="default" w:ascii="Times New Roman" w:hAnsi="Times New Roman" w:cs="Times New Roman"/>
          <w:b/>
          <w:color w:val="000000" w:themeColor="text1"/>
          <w:kern w:val="0"/>
          <w:sz w:val="24"/>
          <w:szCs w:val="24"/>
        </w:rPr>
      </w:pPr>
      <w:r>
        <w:rPr>
          <w:rFonts w:hint="default" w:ascii="Times New Roman" w:hAnsi="Times New Roman" w:cs="Times New Roman"/>
          <w:b/>
          <w:bCs/>
          <w:color w:val="000000" w:themeColor="text1"/>
          <w:sz w:val="24"/>
          <w:szCs w:val="24"/>
        </w:rPr>
        <w:t xml:space="preserve">Conclusions: </w:t>
      </w:r>
      <w:r>
        <w:rPr>
          <w:rFonts w:hint="default" w:ascii="Times New Roman" w:hAnsi="Times New Roman" w:cs="Times New Roman"/>
          <w:color w:val="000000" w:themeColor="text1"/>
          <w:sz w:val="24"/>
          <w:szCs w:val="24"/>
        </w:rPr>
        <w:t>MELAS should be considered in elderly stroke-like attack patients with multi-lobe DWI high signal without corresponding responsible cerebrovascular disease. Elderly MELAS patients may show less severe muscle damage.</w:t>
      </w:r>
    </w:p>
    <w:p>
      <w:pPr>
        <w:spacing w:line="360" w:lineRule="auto"/>
        <w:rPr>
          <w:rFonts w:hint="default" w:ascii="Times New Roman" w:hAnsi="Times New Roman" w:cs="Times New Roman"/>
          <w:b/>
          <w:color w:val="000000" w:themeColor="text1"/>
          <w:kern w:val="0"/>
          <w:sz w:val="24"/>
          <w:szCs w:val="24"/>
        </w:rPr>
      </w:pPr>
      <w:r>
        <w:rPr>
          <w:rFonts w:hint="default" w:ascii="Times New Roman" w:hAnsi="Times New Roman" w:cs="Times New Roman"/>
          <w:b/>
          <w:color w:val="000000" w:themeColor="text1"/>
          <w:kern w:val="0"/>
          <w:sz w:val="24"/>
          <w:szCs w:val="24"/>
        </w:rPr>
        <w:t xml:space="preserve">Keywords: </w:t>
      </w:r>
      <w:r>
        <w:rPr>
          <w:rFonts w:hint="default" w:ascii="Times New Roman" w:hAnsi="Times New Roman" w:cs="Times New Roman"/>
          <w:color w:val="000000" w:themeColor="text1"/>
          <w:sz w:val="24"/>
          <w:szCs w:val="24"/>
        </w:rPr>
        <w:t xml:space="preserve">MELAS, Stroke-like Episodes, Magnetic resonance angiography (MRA), Migraine </w:t>
      </w:r>
    </w:p>
    <w:p>
      <w:pPr>
        <w:autoSpaceDE w:val="0"/>
        <w:autoSpaceDN w:val="0"/>
        <w:adjustRightInd w:val="0"/>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b/>
          <w:color w:val="000000" w:themeColor="text1"/>
          <w:kern w:val="0"/>
          <w:sz w:val="24"/>
          <w:szCs w:val="24"/>
        </w:rPr>
        <w:t>1. Background</w:t>
      </w:r>
      <w:r>
        <w:rPr>
          <w:rFonts w:hint="default" w:ascii="Times New Roman" w:hAnsi="Times New Roman" w:cs="Times New Roman"/>
          <w:bCs/>
          <w:color w:val="000000" w:themeColor="text1"/>
          <w:sz w:val="24"/>
          <w:szCs w:val="24"/>
        </w:rPr>
        <w:t xml:space="preserve"> </w:t>
      </w:r>
    </w:p>
    <w:p>
      <w:pPr>
        <w:autoSpaceDE w:val="0"/>
        <w:autoSpaceDN w:val="0"/>
        <w:adjustRightInd w:val="0"/>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0"/>
          <w:sz w:val="24"/>
          <w:szCs w:val="24"/>
        </w:rPr>
        <w:t>Mitochondrial encephalomyopathy with lactic acidosis and stroke-like episodes (MELAS) is the most common mitochondrial disease</w:t>
      </w:r>
      <w:r>
        <w:rPr>
          <w:rFonts w:hint="default" w:ascii="Times New Roman" w:hAnsi="Times New Roman" w:cs="Times New Roman"/>
          <w:color w:val="000000" w:themeColor="text1"/>
          <w:sz w:val="24"/>
          <w:szCs w:val="24"/>
        </w:rPr>
        <w:t>. Most of the patients are affected due to matrilineal inheritance, and a few are sporadic [1]</w:t>
      </w:r>
      <w:r>
        <w:rPr>
          <w:rFonts w:hint="default" w:ascii="Times New Roman" w:hAnsi="Times New Roman" w:cs="Times New Roman"/>
          <w:b/>
          <w:bCs/>
          <w:i/>
          <w:iCs/>
          <w:color w:val="000000" w:themeColor="text1"/>
          <w:sz w:val="24"/>
          <w:szCs w:val="24"/>
        </w:rPr>
        <w:t>.</w:t>
      </w:r>
      <w:r>
        <w:rPr>
          <w:rFonts w:hint="default" w:ascii="Times New Roman" w:hAnsi="Times New Roman" w:cs="Times New Roman"/>
          <w:color w:val="000000" w:themeColor="text1"/>
          <w:sz w:val="24"/>
          <w:szCs w:val="24"/>
        </w:rPr>
        <w:t xml:space="preserve"> MELAS is typically characterized by stroke-like episodes and hyperelastic acidemia. Still, only about half of the patients show typical clinical manifestations, with significant heterogeneity in genetics and clinical manifestations [2-3], which leads to difficulty in the diagnosis and even misdiagnosis. </w:t>
      </w:r>
    </w:p>
    <w:p>
      <w:pPr>
        <w:autoSpaceDE w:val="0"/>
        <w:autoSpaceDN w:val="0"/>
        <w:adjustRightInd w:val="0"/>
        <w:spacing w:line="360" w:lineRule="auto"/>
        <w:ind w:firstLine="240" w:firstLineChars="1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Only 1% to 6% of patients develop the disease after 40 years of age [4]</w:t>
      </w:r>
      <w:r>
        <w:rPr>
          <w:rFonts w:hint="default" w:ascii="Times New Roman" w:hAnsi="Times New Roman" w:cs="Times New Roman"/>
          <w:color w:val="000000" w:themeColor="text1"/>
          <w:kern w:val="0"/>
          <w:sz w:val="24"/>
          <w:szCs w:val="24"/>
        </w:rPr>
        <w:t xml:space="preserve">. </w:t>
      </w:r>
      <w:r>
        <w:rPr>
          <w:rFonts w:hint="default" w:ascii="Times New Roman" w:hAnsi="Times New Roman" w:cs="Times New Roman"/>
          <w:color w:val="000000" w:themeColor="text1"/>
          <w:sz w:val="24"/>
          <w:szCs w:val="24"/>
        </w:rPr>
        <w:t xml:space="preserve">It is even rarely seen in patients after 60 years of age. Only a few cases have been reported, </w:t>
      </w:r>
      <w:bookmarkStart w:id="1" w:name="_Hlk97665556"/>
      <w:r>
        <w:rPr>
          <w:rFonts w:hint="default" w:ascii="Times New Roman" w:hAnsi="Times New Roman" w:cs="Times New Roman"/>
          <w:color w:val="000000" w:themeColor="text1"/>
          <w:sz w:val="24"/>
          <w:szCs w:val="24"/>
        </w:rPr>
        <w:t>all female cases</w:t>
      </w:r>
      <w:bookmarkEnd w:id="1"/>
      <w:r>
        <w:rPr>
          <w:rFonts w:hint="default" w:ascii="Times New Roman" w:hAnsi="Times New Roman" w:cs="Times New Roman"/>
          <w:color w:val="000000" w:themeColor="text1"/>
          <w:sz w:val="24"/>
          <w:szCs w:val="24"/>
        </w:rPr>
        <w:t xml:space="preserve"> [5-7]. We herein describe the case of a 61-year-old male, MELAS. His particular clinical and imaging features help us understand the clinical manifestations of MELAS in the elderly and make an accurate diagnosis.</w:t>
      </w:r>
    </w:p>
    <w:p>
      <w:pPr>
        <w:autoSpaceDE w:val="0"/>
        <w:autoSpaceDN w:val="0"/>
        <w:adjustRightInd w:val="0"/>
        <w:spacing w:line="360" w:lineRule="auto"/>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2. Case Presentation</w:t>
      </w:r>
    </w:p>
    <w:p>
      <w:pPr>
        <w:autoSpaceDE w:val="0"/>
        <w:autoSpaceDN w:val="0"/>
        <w:adjustRightInd w:val="0"/>
        <w:spacing w:line="360" w:lineRule="auto"/>
        <w:ind w:firstLine="240" w:firstLineChars="100"/>
        <w:rPr>
          <w:rFonts w:hint="default" w:ascii="Times New Roman" w:hAnsi="Times New Roman" w:cs="Times New Roman"/>
          <w:b/>
          <w:bCs/>
          <w:color w:val="000000" w:themeColor="text1"/>
          <w:sz w:val="24"/>
          <w:szCs w:val="24"/>
        </w:rPr>
      </w:pPr>
      <w:bookmarkStart w:id="2" w:name="OLE_LINK1"/>
      <w:r>
        <w:rPr>
          <w:rFonts w:hint="default" w:ascii="Times New Roman" w:hAnsi="Times New Roman" w:eastAsia="微软雅黑" w:cs="Times New Roman"/>
          <w:b/>
          <w:bCs/>
          <w:color w:val="000000" w:themeColor="text1"/>
          <w:kern w:val="0"/>
          <w:sz w:val="24"/>
          <w:szCs w:val="24"/>
        </w:rPr>
        <w:t>2.1 First attack</w:t>
      </w:r>
    </w:p>
    <w:bookmarkEnd w:id="2"/>
    <w:p>
      <w:pPr>
        <w:autoSpaceDE w:val="0"/>
        <w:autoSpaceDN w:val="0"/>
        <w:adjustRightInd w:val="0"/>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A previously healthy 61-year-old male patient presented with sudden onset left-sided migraine-like headache and developed right-sided migraine-like headache two days later</w:t>
      </w:r>
      <w:r>
        <w:rPr>
          <w:rFonts w:hint="default" w:ascii="Times New Roman" w:hAnsi="Times New Roman" w:cs="Times New Roman"/>
          <w:color w:val="000000" w:themeColor="text1"/>
          <w:kern w:val="0"/>
          <w:sz w:val="24"/>
          <w:szCs w:val="24"/>
        </w:rPr>
        <w:t xml:space="preserve">. He was admitted to a local hospital for treatment soon. The results of the brain CT scan (no image obtained) showed acute cerebral infarction of the left occipital-parietal lobe, and he was diagnosed with acute ischemic cerebral infarction. He was then treated with aspirin, statins, and other drugs. However, he had weakness in his right limb and could not walk seven days after onset. He subsequently showed emotional irritability and hallucinations eight days after onset. </w:t>
      </w:r>
    </w:p>
    <w:p>
      <w:pPr>
        <w:spacing w:line="360" w:lineRule="auto"/>
        <w:ind w:firstLine="240" w:firstLineChars="1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kern w:val="0"/>
          <w:sz w:val="24"/>
          <w:szCs w:val="24"/>
        </w:rPr>
        <w:t xml:space="preserve">The patient was admitted to our hospital 11 days after onset. </w:t>
      </w:r>
      <w:r>
        <w:rPr>
          <w:rFonts w:hint="default" w:ascii="Times New Roman" w:hAnsi="Times New Roman" w:cs="Times New Roman"/>
          <w:color w:val="000000" w:themeColor="text1"/>
          <w:sz w:val="24"/>
          <w:szCs w:val="24"/>
        </w:rPr>
        <w:t>On physical examination, his blood pressure was 112/69mmHg, had lethargy, lag in response, with slow speaking, and had right homonymous hemianopia, with a slight wrinkle on the right frontal, a slight nasolabial groove on the right, and his mouth was skewed to the left with a tongue extending into the middle. The patient was given grade 1 for right upper extremity strength, a grade 3 for right lower extremity strength, and a grade 5 for left extremity strength, with reduced tendon reflex of the limbs. The pathological sign was negative. He scored 10 points according to the United States National Institutes of Health stroke scale (NIHSS) [8].</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Clinical chemistry analysis showed 6.6 mmol/L for fasting blood glucose, 6.1% for glycated hemoglobin, 448 U/L for creatine kinase, 42.1 mg/L for high sensitivity C-reactive protein, and 3.3mmol/L for arterial blood lactic acid 12 days after onset. The results of routine hematological tests, homocysteine, blood lipids, four coagulation tests, erythrocyte sedimentation rate, antinuclear antibodies, anti-cardiolipin antibodies, anti-neutrophil antibodies, protein C, and protein S were all within the normal range. Cerebrospinal fluid (CSF) assay results showed a value of 4.13 mmol/L for lactic acid, and no visible abnormal signs were observed by routine biochemistry.</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kern w:val="0"/>
          <w:sz w:val="24"/>
          <w:szCs w:val="24"/>
        </w:rPr>
        <w:t xml:space="preserve">The first </w:t>
      </w:r>
      <w:r>
        <w:rPr>
          <w:rFonts w:hint="default" w:ascii="Times New Roman" w:hAnsi="Times New Roman" w:cs="Times New Roman"/>
          <w:color w:val="000000" w:themeColor="text1"/>
          <w:sz w:val="24"/>
          <w:szCs w:val="24"/>
        </w:rPr>
        <w:t>Magnetic Resonance Imaging (</w:t>
      </w:r>
      <w:r>
        <w:rPr>
          <w:rFonts w:hint="default" w:ascii="Times New Roman" w:hAnsi="Times New Roman" w:cs="Times New Roman"/>
          <w:color w:val="000000" w:themeColor="text1"/>
          <w:kern w:val="0"/>
          <w:sz w:val="24"/>
          <w:szCs w:val="24"/>
        </w:rPr>
        <w:t xml:space="preserve">MRI) examination was performed 12 days after onset (Fig.1 A), diffusion-weighted imaging (DWI) showed a </w:t>
      </w:r>
      <w:r>
        <w:rPr>
          <w:rFonts w:hint="default" w:ascii="Times New Roman" w:hAnsi="Times New Roman" w:cs="Times New Roman"/>
          <w:color w:val="000000" w:themeColor="text1"/>
          <w:sz w:val="24"/>
          <w:szCs w:val="24"/>
        </w:rPr>
        <w:t>high signal intensity</w:t>
      </w:r>
      <w:r>
        <w:rPr>
          <w:rFonts w:hint="default" w:ascii="Times New Roman" w:hAnsi="Times New Roman" w:cs="Times New Roman"/>
          <w:color w:val="000000" w:themeColor="text1"/>
          <w:kern w:val="0"/>
          <w:sz w:val="24"/>
          <w:szCs w:val="24"/>
        </w:rPr>
        <w:t xml:space="preserve"> (Fig.1 A-3). </w:t>
      </w:r>
      <w:r>
        <w:rPr>
          <w:rFonts w:hint="default" w:ascii="Times New Roman" w:hAnsi="Times New Roman" w:cs="Times New Roman"/>
          <w:color w:val="000000" w:themeColor="text1"/>
          <w:sz w:val="24"/>
          <w:szCs w:val="24"/>
        </w:rPr>
        <w:t>Magnetic Resonance</w:t>
      </w:r>
      <w:r>
        <w:rPr>
          <w:rFonts w:hint="default" w:ascii="Times New Roman" w:hAnsi="Times New Roman" w:cs="Times New Roman"/>
          <w:color w:val="000000" w:themeColor="text1"/>
          <w:kern w:val="0"/>
          <w:sz w:val="24"/>
          <w:szCs w:val="24"/>
        </w:rPr>
        <w:t xml:space="preserve"> </w:t>
      </w:r>
      <w:r>
        <w:rPr>
          <w:rFonts w:hint="default" w:ascii="Times New Roman" w:hAnsi="Times New Roman" w:cs="Times New Roman"/>
          <w:color w:val="000000" w:themeColor="text1"/>
          <w:sz w:val="24"/>
          <w:szCs w:val="24"/>
        </w:rPr>
        <w:t>angiography</w:t>
      </w:r>
      <w:r>
        <w:rPr>
          <w:rFonts w:hint="default" w:ascii="Times New Roman" w:hAnsi="Times New Roman" w:cs="Times New Roman"/>
          <w:color w:val="000000" w:themeColor="text1"/>
          <w:kern w:val="0"/>
          <w:sz w:val="24"/>
          <w:szCs w:val="24"/>
        </w:rPr>
        <w:t xml:space="preserve"> (MRA) showed dilation of the left middle cerebral artery, posterior cerebral artery, and bilateral superficial temporal arteries (Fig.2 A). Arterial spin labeling (ASL) showed hyperperfusion in the left occipital-temporal-parietal focal areas (Fig.2 D). Magnetic resonance spectroscopy (MRS) showed a double inverted lactate peak at 1.33ppm (Fig.2 F).</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hint="eastAsia" w:ascii="Times New Roman" w:hAnsi="Times New Roman" w:cs="Times New Roman"/>
          <w:color w:val="000000" w:themeColor="text1"/>
          <w:shd w:val="clear" w:color="auto" w:fill="FFFFFF"/>
        </w:rPr>
        <w:drawing>
          <wp:inline distT="0" distB="0" distL="114300" distR="114300">
            <wp:extent cx="5271770" cy="4507230"/>
            <wp:effectExtent l="0" t="0" r="11430"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1770" cy="4507230"/>
                    </a:xfrm>
                    <a:prstGeom prst="rect">
                      <a:avLst/>
                    </a:prstGeom>
                  </pic:spPr>
                </pic:pic>
              </a:graphicData>
            </a:graphic>
          </wp:inline>
        </w:drawing>
      </w:r>
    </w:p>
    <w:p>
      <w:pPr>
        <w:numPr>
          <w:ilvl w:val="0"/>
          <w:numId w:val="1"/>
        </w:numPr>
        <w:autoSpaceDE w:val="0"/>
        <w:autoSpaceDN w:val="0"/>
        <w:adjustRightInd w:val="0"/>
        <w:ind w:firstLine="420" w:firstLineChars="200"/>
        <w:rPr>
          <w:rFonts w:ascii="Times New Roman" w:hAnsi="Times New Roman" w:cs="Times New Roman"/>
          <w:kern w:val="0"/>
          <w:sz w:val="21"/>
          <w:szCs w:val="21"/>
        </w:rPr>
      </w:pPr>
      <w:r>
        <w:rPr>
          <w:rFonts w:ascii="Times New Roman" w:hAnsi="Times New Roman" w:cs="Times New Roman"/>
          <w:kern w:val="0"/>
          <w:sz w:val="21"/>
          <w:szCs w:val="21"/>
        </w:rPr>
        <w:t>M</w:t>
      </w:r>
      <w:r>
        <w:rPr>
          <w:rFonts w:ascii="Times New Roman" w:hAnsi="Times New Roman" w:cs="Times New Roman"/>
          <w:kern w:val="0"/>
          <w:sz w:val="21"/>
          <w:szCs w:val="21"/>
        </w:rPr>
        <w:t>RI images</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 xml:space="preserve">performed </w:t>
      </w:r>
      <w:r>
        <w:rPr>
          <w:rFonts w:hint="eastAsia" w:ascii="Times New Roman" w:hAnsi="Times New Roman" w:cs="Times New Roman"/>
          <w:kern w:val="0"/>
          <w:sz w:val="21"/>
          <w:szCs w:val="21"/>
        </w:rPr>
        <w:t xml:space="preserve">on </w:t>
      </w:r>
      <w:r>
        <w:rPr>
          <w:rFonts w:ascii="Times New Roman" w:hAnsi="Times New Roman" w:cs="Times New Roman"/>
          <w:kern w:val="0"/>
          <w:sz w:val="21"/>
          <w:szCs w:val="21"/>
        </w:rPr>
        <w:t>the F</w:t>
      </w:r>
      <w:r>
        <w:rPr>
          <w:rFonts w:hint="eastAsia" w:ascii="Times New Roman" w:hAnsi="Times New Roman" w:cs="Times New Roman"/>
          <w:kern w:val="0"/>
          <w:sz w:val="21"/>
          <w:szCs w:val="21"/>
        </w:rPr>
        <w:t>irst</w:t>
      </w:r>
      <w:r>
        <w:rPr>
          <w:rFonts w:ascii="Times New Roman" w:hAnsi="Times New Roman" w:cs="Times New Roman"/>
          <w:kern w:val="0"/>
          <w:sz w:val="21"/>
          <w:szCs w:val="21"/>
        </w:rPr>
        <w:t xml:space="preserve"> attack (</w:t>
      </w:r>
      <w:r>
        <w:rPr>
          <w:rFonts w:ascii="Times New Roman" w:hAnsi="Times New Roman" w:cs="Times New Roman"/>
          <w:color w:val="000000" w:themeColor="text1"/>
          <w:kern w:val="0"/>
          <w:sz w:val="21"/>
          <w:szCs w:val="21"/>
        </w:rPr>
        <w:t>12 days after onset</w:t>
      </w:r>
      <w:r>
        <w:rPr>
          <w:rFonts w:ascii="Times New Roman" w:hAnsi="Times New Roman" w:cs="Times New Roman"/>
          <w:kern w:val="0"/>
          <w:sz w:val="21"/>
          <w:szCs w:val="21"/>
        </w:rPr>
        <w:t>) showed</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 xml:space="preserve">high signal intensity in </w:t>
      </w:r>
      <w:r>
        <w:rPr>
          <w:rFonts w:ascii="Times New Roman" w:hAnsi="Times New Roman" w:cs="Times New Roman"/>
          <w:sz w:val="21"/>
          <w:szCs w:val="21"/>
        </w:rPr>
        <w:t>occipital-temporal-parietal lobe hyperextension on</w:t>
      </w:r>
      <w:r>
        <w:rPr>
          <w:rFonts w:hint="eastAsia" w:ascii="Times New Roman" w:hAnsi="Times New Roman" w:cs="Times New Roman"/>
          <w:sz w:val="21"/>
          <w:szCs w:val="21"/>
        </w:rPr>
        <w:t xml:space="preserve"> </w:t>
      </w:r>
      <w:r>
        <w:rPr>
          <w:rFonts w:ascii="Times New Roman" w:hAnsi="Times New Roman" w:cs="Times New Roman"/>
          <w:sz w:val="21"/>
          <w:szCs w:val="21"/>
        </w:rPr>
        <w:t>T</w:t>
      </w:r>
      <w:r>
        <w:rPr>
          <w:rFonts w:ascii="Times New Roman" w:hAnsi="Times New Roman" w:cs="Times New Roman"/>
          <w:kern w:val="0"/>
          <w:sz w:val="21"/>
          <w:szCs w:val="21"/>
        </w:rPr>
        <w:t>2-weighted</w:t>
      </w:r>
      <w:r>
        <w:rPr>
          <w:rFonts w:hint="eastAsia" w:ascii="Times New Roman" w:hAnsi="Times New Roman" w:cs="Times New Roman"/>
          <w:kern w:val="0"/>
          <w:sz w:val="21"/>
          <w:szCs w:val="21"/>
        </w:rPr>
        <w:t>, F</w:t>
      </w:r>
      <w:r>
        <w:rPr>
          <w:rFonts w:ascii="Times New Roman" w:hAnsi="Times New Roman" w:cs="Times New Roman"/>
          <w:kern w:val="0"/>
          <w:sz w:val="21"/>
          <w:szCs w:val="21"/>
        </w:rPr>
        <w:t>L</w:t>
      </w:r>
      <w:r>
        <w:rPr>
          <w:rFonts w:hint="eastAsia" w:ascii="Times New Roman" w:hAnsi="Times New Roman" w:cs="Times New Roman"/>
          <w:kern w:val="0"/>
          <w:sz w:val="21"/>
          <w:szCs w:val="21"/>
        </w:rPr>
        <w:t>AIR</w:t>
      </w:r>
      <w:r>
        <w:rPr>
          <w:rFonts w:ascii="Times New Roman" w:hAnsi="Times New Roman" w:cs="Times New Roman"/>
          <w:kern w:val="0"/>
          <w:sz w:val="21"/>
          <w:szCs w:val="21"/>
        </w:rPr>
        <w:t>,</w:t>
      </w:r>
      <w:r>
        <w:rPr>
          <w:rFonts w:hint="eastAsia" w:ascii="Times New Roman" w:hAnsi="Times New Roman" w:cs="Times New Roman"/>
          <w:kern w:val="0"/>
          <w:sz w:val="21"/>
          <w:szCs w:val="21"/>
        </w:rPr>
        <w:t xml:space="preserve"> and DWI</w:t>
      </w:r>
      <w:r>
        <w:rPr>
          <w:rFonts w:ascii="Times New Roman" w:hAnsi="Times New Roman" w:cs="Times New Roman"/>
          <w:kern w:val="0"/>
          <w:sz w:val="21"/>
          <w:szCs w:val="21"/>
        </w:rPr>
        <w:t>. (B) MRI images performed on the remission (</w:t>
      </w:r>
      <w:r>
        <w:rPr>
          <w:rFonts w:ascii="Times New Roman" w:hAnsi="Times New Roman" w:cs="Times New Roman"/>
          <w:color w:val="000000" w:themeColor="text1"/>
          <w:kern w:val="0"/>
          <w:sz w:val="21"/>
          <w:szCs w:val="21"/>
        </w:rPr>
        <w:t>27 days after the first onset</w:t>
      </w:r>
      <w:r>
        <w:rPr>
          <w:rFonts w:ascii="Times New Roman" w:hAnsi="Times New Roman" w:cs="Times New Roman"/>
          <w:kern w:val="0"/>
          <w:sz w:val="21"/>
          <w:szCs w:val="21"/>
        </w:rPr>
        <w:t xml:space="preserve">) </w:t>
      </w:r>
      <w:r>
        <w:rPr>
          <w:rFonts w:ascii="Times New Roman" w:hAnsi="Times New Roman" w:cs="Times New Roman"/>
          <w:sz w:val="21"/>
          <w:szCs w:val="21"/>
        </w:rPr>
        <w:t>showed that the high signal intensity of DWI, FLAIR and T2WI of the left occipital-temporal-parietal lobe was reduced. Still, the</w:t>
      </w:r>
      <w:r>
        <w:rPr>
          <w:rFonts w:ascii="Times New Roman" w:hAnsi="Times New Roman" w:cs="Times New Roman"/>
          <w:kern w:val="0"/>
          <w:sz w:val="21"/>
          <w:szCs w:val="21"/>
        </w:rPr>
        <w:t xml:space="preserve"> focus of </w:t>
      </w:r>
      <w:r>
        <w:rPr>
          <w:rFonts w:hint="eastAsia" w:ascii="Times New Roman" w:hAnsi="Times New Roman" w:cs="Times New Roman"/>
          <w:kern w:val="0"/>
          <w:sz w:val="21"/>
          <w:szCs w:val="21"/>
        </w:rPr>
        <w:t xml:space="preserve">the </w:t>
      </w:r>
      <w:r>
        <w:rPr>
          <w:rFonts w:ascii="Times New Roman" w:hAnsi="Times New Roman" w:cs="Times New Roman"/>
          <w:kern w:val="0"/>
          <w:sz w:val="21"/>
          <w:szCs w:val="21"/>
        </w:rPr>
        <w:t>temporal lobe is enlarged (arrow)</w:t>
      </w:r>
      <w:r>
        <w:rPr>
          <w:rFonts w:hint="eastAsia" w:ascii="Times New Roman" w:hAnsi="Times New Roman" w:cs="Times New Roman"/>
          <w:kern w:val="0"/>
          <w:sz w:val="21"/>
          <w:szCs w:val="21"/>
        </w:rPr>
        <w:t>.</w:t>
      </w:r>
      <w:r>
        <w:rPr>
          <w:rFonts w:ascii="Times New Roman" w:hAnsi="Times New Roman" w:cs="Times New Roman"/>
          <w:kern w:val="0"/>
          <w:sz w:val="21"/>
          <w:szCs w:val="21"/>
        </w:rPr>
        <w:t xml:space="preserve"> (C) MRI images performed on the recurrence (</w:t>
      </w:r>
      <w:r>
        <w:rPr>
          <w:rFonts w:ascii="Times New Roman" w:hAnsi="Times New Roman" w:cs="Times New Roman"/>
          <w:color w:val="000000" w:themeColor="text1"/>
          <w:sz w:val="21"/>
          <w:szCs w:val="21"/>
        </w:rPr>
        <w:t>68 days from the first onset</w:t>
      </w:r>
      <w:r>
        <w:rPr>
          <w:rFonts w:ascii="Times New Roman" w:hAnsi="Times New Roman" w:cs="Times New Roman"/>
          <w:kern w:val="0"/>
          <w:sz w:val="21"/>
          <w:szCs w:val="21"/>
        </w:rPr>
        <w:t xml:space="preserve">) showed </w:t>
      </w:r>
      <w:r>
        <w:rPr>
          <w:rFonts w:hint="eastAsia" w:ascii="Times New Roman" w:hAnsi="Times New Roman" w:cs="Times New Roman"/>
          <w:kern w:val="0"/>
          <w:sz w:val="21"/>
          <w:szCs w:val="21"/>
        </w:rPr>
        <w:t xml:space="preserve">new </w:t>
      </w:r>
      <w:r>
        <w:rPr>
          <w:rFonts w:ascii="Times New Roman" w:hAnsi="Times New Roman" w:cs="Times New Roman"/>
          <w:kern w:val="0"/>
          <w:sz w:val="21"/>
          <w:szCs w:val="21"/>
        </w:rPr>
        <w:t xml:space="preserve">high signal intensity in the </w:t>
      </w:r>
      <w:r>
        <w:rPr>
          <w:rFonts w:hint="eastAsia" w:ascii="Times New Roman" w:hAnsi="Times New Roman" w:cs="Times New Roman"/>
          <w:kern w:val="0"/>
          <w:sz w:val="21"/>
          <w:szCs w:val="21"/>
        </w:rPr>
        <w:t>right</w:t>
      </w:r>
      <w:r>
        <w:rPr>
          <w:rFonts w:ascii="Times New Roman" w:hAnsi="Times New Roman" w:cs="Times New Roman"/>
          <w:kern w:val="0"/>
          <w:sz w:val="21"/>
          <w:szCs w:val="21"/>
        </w:rPr>
        <w:t xml:space="preserve"> </w:t>
      </w:r>
      <w:r>
        <w:rPr>
          <w:rFonts w:ascii="Times New Roman" w:hAnsi="Times New Roman" w:cs="Times New Roman"/>
          <w:sz w:val="21"/>
          <w:szCs w:val="21"/>
        </w:rPr>
        <w:t>occipital-temporal-parietal</w:t>
      </w:r>
      <w:r>
        <w:rPr>
          <w:rFonts w:ascii="Times New Roman" w:hAnsi="Times New Roman" w:cs="Times New Roman"/>
          <w:kern w:val="0"/>
          <w:sz w:val="21"/>
          <w:szCs w:val="21"/>
        </w:rPr>
        <w:t xml:space="preserve"> lobe </w:t>
      </w:r>
      <w:r>
        <w:rPr>
          <w:rFonts w:ascii="Times New Roman" w:hAnsi="Times New Roman" w:cs="Times New Roman"/>
          <w:sz w:val="21"/>
          <w:szCs w:val="21"/>
        </w:rPr>
        <w:t>hyperextension</w:t>
      </w:r>
      <w:r>
        <w:rPr>
          <w:rFonts w:ascii="Times New Roman" w:hAnsi="Times New Roman" w:cs="Times New Roman"/>
          <w:kern w:val="0"/>
          <w:sz w:val="21"/>
          <w:szCs w:val="21"/>
        </w:rPr>
        <w:t xml:space="preserve"> on</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T2-weighted</w:t>
      </w:r>
      <w:r>
        <w:rPr>
          <w:rFonts w:hint="eastAsia" w:ascii="Times New Roman" w:hAnsi="Times New Roman" w:cs="Times New Roman"/>
          <w:kern w:val="0"/>
          <w:sz w:val="21"/>
          <w:szCs w:val="21"/>
        </w:rPr>
        <w:t>, FLAIR</w:t>
      </w:r>
      <w:r>
        <w:rPr>
          <w:rFonts w:ascii="Times New Roman" w:hAnsi="Times New Roman" w:cs="Times New Roman"/>
          <w:kern w:val="0"/>
          <w:sz w:val="21"/>
          <w:szCs w:val="21"/>
        </w:rPr>
        <w:t>,</w:t>
      </w:r>
      <w:r>
        <w:rPr>
          <w:rFonts w:hint="eastAsia" w:ascii="Times New Roman" w:hAnsi="Times New Roman" w:cs="Times New Roman"/>
          <w:kern w:val="0"/>
          <w:sz w:val="21"/>
          <w:szCs w:val="21"/>
        </w:rPr>
        <w:t xml:space="preserve"> and DWI</w:t>
      </w:r>
      <w:r>
        <w:rPr>
          <w:rFonts w:ascii="Times New Roman" w:hAnsi="Times New Roman" w:cs="Times New Roman"/>
          <w:kern w:val="0"/>
          <w:sz w:val="21"/>
          <w:szCs w:val="21"/>
        </w:rPr>
        <w:t>.</w:t>
      </w:r>
    </w:p>
    <w:p>
      <w:pPr>
        <w:numPr>
          <w:ilvl w:val="0"/>
          <w:numId w:val="0"/>
        </w:numPr>
        <w:autoSpaceDE w:val="0"/>
        <w:autoSpaceDN w:val="0"/>
        <w:adjustRightInd w:val="0"/>
        <w:rPr>
          <w:rFonts w:ascii="Times New Roman" w:hAnsi="Times New Roman" w:cs="Times New Roman"/>
          <w:b w:val="0"/>
          <w:bCs w:val="0"/>
          <w:kern w:val="0"/>
          <w:sz w:val="24"/>
          <w:szCs w:val="24"/>
        </w:rPr>
      </w:pPr>
      <w:r>
        <w:rPr>
          <w:rFonts w:hint="eastAsia" w:ascii="Times New Roman" w:hAnsi="Times New Roman" w:cs="Times New Roman"/>
          <w:kern w:val="0"/>
          <w:sz w:val="24"/>
          <w:szCs w:val="24"/>
          <w:lang w:val="en-US" w:eastAsia="zh-CN"/>
        </w:rPr>
        <w:t xml:space="preserve">                     </w:t>
      </w:r>
      <w:r>
        <w:rPr>
          <w:rFonts w:ascii="Times New Roman" w:hAnsi="Times New Roman" w:cs="Times New Roman"/>
          <w:b/>
          <w:bCs/>
          <w:kern w:val="0"/>
          <w:sz w:val="24"/>
          <w:szCs w:val="24"/>
        </w:rPr>
        <w:t>Fig</w:t>
      </w:r>
      <w:r>
        <w:rPr>
          <w:rFonts w:hint="eastAsia" w:ascii="Times New Roman" w:hAnsi="Times New Roman" w:cs="Times New Roman"/>
          <w:b/>
          <w:bCs/>
          <w:kern w:val="0"/>
          <w:sz w:val="24"/>
          <w:szCs w:val="24"/>
          <w:lang w:val="en-US" w:eastAsia="zh-CN"/>
        </w:rPr>
        <w:t xml:space="preserve">ure </w:t>
      </w:r>
      <w:r>
        <w:rPr>
          <w:rFonts w:ascii="Times New Roman" w:hAnsi="Times New Roman" w:cs="Times New Roman"/>
          <w:b/>
          <w:bCs/>
          <w:kern w:val="0"/>
          <w:sz w:val="24"/>
          <w:szCs w:val="24"/>
        </w:rPr>
        <w:t>1</w:t>
      </w:r>
      <w:r>
        <w:rPr>
          <w:rFonts w:hint="eastAsia" w:ascii="Times New Roman" w:hAnsi="Times New Roman" w:cs="Times New Roman"/>
          <w:b/>
          <w:bCs/>
          <w:kern w:val="0"/>
          <w:sz w:val="24"/>
          <w:szCs w:val="24"/>
          <w:lang w:val="en-US" w:eastAsia="zh-CN"/>
        </w:rPr>
        <w:t>.</w:t>
      </w:r>
      <w:r>
        <w:rPr>
          <w:rFonts w:ascii="Times New Roman" w:hAnsi="Times New Roman" w:cs="Times New Roman"/>
          <w:b/>
          <w:bCs/>
          <w:kern w:val="0"/>
          <w:sz w:val="24"/>
          <w:szCs w:val="24"/>
        </w:rPr>
        <w:t xml:space="preserve"> </w:t>
      </w:r>
      <w:r>
        <w:rPr>
          <w:rFonts w:ascii="Times New Roman" w:hAnsi="Times New Roman" w:cs="Times New Roman"/>
          <w:b w:val="0"/>
          <w:bCs w:val="0"/>
          <w:kern w:val="0"/>
          <w:sz w:val="24"/>
          <w:szCs w:val="24"/>
        </w:rPr>
        <w:t>MRI images</w:t>
      </w:r>
      <w:r>
        <w:rPr>
          <w:rFonts w:hint="eastAsia"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of the patient. </w:t>
      </w:r>
    </w:p>
    <w:p>
      <w:pPr>
        <w:autoSpaceDE w:val="0"/>
        <w:autoSpaceDN w:val="0"/>
        <w:adjustRightInd w:val="0"/>
        <w:ind w:left="420" w:hanging="420" w:hangingChars="200"/>
        <w:jc w:val="left"/>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drawing>
          <wp:inline distT="0" distB="0" distL="114300" distR="114300">
            <wp:extent cx="5274310" cy="4853305"/>
            <wp:effectExtent l="0" t="0" r="8890" b="1079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74310" cy="4853305"/>
                    </a:xfrm>
                    <a:prstGeom prst="rect">
                      <a:avLst/>
                    </a:prstGeom>
                  </pic:spPr>
                </pic:pic>
              </a:graphicData>
            </a:graphic>
          </wp:inline>
        </w:drawing>
      </w:r>
    </w:p>
    <w:p>
      <w:pPr>
        <w:autoSpaceDE w:val="0"/>
        <w:autoSpaceDN w:val="0"/>
        <w:adjustRightInd w:val="0"/>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D, F)</w:t>
      </w:r>
      <w:r>
        <w:rPr>
          <w:rFonts w:hint="eastAsia" w:ascii="Times New Roman" w:hAnsi="Times New Roman" w:cs="Times New Roman"/>
          <w:color w:val="000000" w:themeColor="text1"/>
          <w:szCs w:val="21"/>
          <w:lang w:val="en-US" w:eastAsia="zh-CN"/>
        </w:rPr>
        <w:t xml:space="preserve"> </w:t>
      </w:r>
      <w:r>
        <w:rPr>
          <w:rFonts w:ascii="Times New Roman" w:hAnsi="Times New Roman" w:cs="Times New Roman"/>
          <w:color w:val="000000" w:themeColor="text1"/>
          <w:szCs w:val="21"/>
        </w:rPr>
        <w:t>MRA, ASL, and MRS images of the first onset</w:t>
      </w:r>
      <w:r>
        <w:rPr>
          <w:rFonts w:hint="eastAsia" w:ascii="Times New Roman" w:hAnsi="Times New Roman" w:cs="Times New Roman"/>
          <w:color w:val="000000" w:themeColor="text1"/>
          <w:szCs w:val="21"/>
        </w:rPr>
        <w:t>,</w:t>
      </w:r>
      <w:r>
        <w:rPr>
          <w:rFonts w:ascii="Times New Roman" w:hAnsi="Times New Roman" w:cs="Times New Roman"/>
          <w:color w:val="000000" w:themeColor="text1"/>
          <w:szCs w:val="21"/>
        </w:rPr>
        <w:t xml:space="preserve"> 12 days after onset; (B)</w:t>
      </w:r>
      <w:r>
        <w:rPr>
          <w:rFonts w:hint="eastAsia" w:ascii="Times New Roman" w:hAnsi="Times New Roman" w:cs="Times New Roman"/>
          <w:color w:val="000000" w:themeColor="text1"/>
          <w:szCs w:val="21"/>
          <w:lang w:val="en-US" w:eastAsia="zh-CN"/>
        </w:rPr>
        <w:t xml:space="preserve"> </w:t>
      </w:r>
      <w:r>
        <w:rPr>
          <w:rFonts w:ascii="Times New Roman" w:hAnsi="Times New Roman" w:cs="Times New Roman"/>
          <w:color w:val="000000" w:themeColor="text1"/>
          <w:szCs w:val="21"/>
        </w:rPr>
        <w:t>MRA image of remission period, 27 days after onset; (C, E)</w:t>
      </w:r>
      <w:r>
        <w:rPr>
          <w:rFonts w:hint="eastAsia" w:ascii="Times New Roman" w:hAnsi="Times New Roman" w:cs="Times New Roman"/>
          <w:color w:val="000000" w:themeColor="text1"/>
          <w:szCs w:val="21"/>
          <w:lang w:val="en-US" w:eastAsia="zh-CN"/>
        </w:rPr>
        <w:t xml:space="preserve"> </w:t>
      </w:r>
      <w:r>
        <w:rPr>
          <w:rFonts w:ascii="Times New Roman" w:hAnsi="Times New Roman" w:cs="Times New Roman"/>
          <w:color w:val="000000" w:themeColor="text1"/>
          <w:szCs w:val="21"/>
        </w:rPr>
        <w:t>MRA and ASL images of recurrence period, 68 days after onset; (G)</w:t>
      </w:r>
      <w:r>
        <w:rPr>
          <w:rFonts w:hint="eastAsia" w:ascii="Times New Roman" w:hAnsi="Times New Roman" w:cs="Times New Roman"/>
          <w:color w:val="000000" w:themeColor="text1"/>
          <w:szCs w:val="21"/>
          <w:lang w:val="en-US" w:eastAsia="zh-CN"/>
        </w:rPr>
        <w:t xml:space="preserve"> </w:t>
      </w:r>
      <w:r>
        <w:rPr>
          <w:rFonts w:ascii="Times New Roman" w:hAnsi="Times New Roman" w:cs="Times New Roman"/>
          <w:color w:val="000000" w:themeColor="text1"/>
          <w:szCs w:val="21"/>
        </w:rPr>
        <w:t xml:space="preserve">Gene detection . </w:t>
      </w:r>
      <w:r>
        <w:rPr>
          <w:rFonts w:hint="eastAsia" w:ascii="Times New Roman" w:hAnsi="Times New Roman" w:cs="Times New Roman"/>
          <w:color w:val="000000" w:themeColor="text1"/>
          <w:szCs w:val="21"/>
          <w:lang w:val="en-US" w:eastAsia="zh-CN"/>
        </w:rPr>
        <w:t>(</w:t>
      </w:r>
      <w:r>
        <w:rPr>
          <w:rFonts w:ascii="Times New Roman" w:hAnsi="Times New Roman" w:cs="Times New Roman"/>
          <w:color w:val="000000" w:themeColor="text1"/>
          <w:szCs w:val="21"/>
        </w:rPr>
        <w:t>A</w:t>
      </w:r>
      <w:r>
        <w:rPr>
          <w:rFonts w:hint="eastAsia" w:ascii="Times New Roman" w:hAnsi="Times New Roman" w:cs="Times New Roman"/>
          <w:color w:val="000000" w:themeColor="text1"/>
          <w:szCs w:val="21"/>
          <w:lang w:val="en-US" w:eastAsia="zh-CN"/>
        </w:rPr>
        <w:t xml:space="preserve">) </w:t>
      </w:r>
      <w:r>
        <w:rPr>
          <w:rFonts w:ascii="Times New Roman" w:hAnsi="Times New Roman" w:cs="Times New Roman"/>
          <w:color w:val="000000" w:themeColor="text1"/>
          <w:kern w:val="0"/>
          <w:szCs w:val="21"/>
        </w:rPr>
        <w:t>MRA showed dilation of the left middle cerebral artery (</w:t>
      </w:r>
      <w:r>
        <w:rPr>
          <w:rFonts w:ascii="Times New Roman" w:hAnsi="Times New Roman" w:eastAsia="AdvGulliv-R" w:cs="Times New Roman"/>
          <w:color w:val="000000" w:themeColor="text1"/>
          <w:kern w:val="0"/>
          <w:szCs w:val="21"/>
        </w:rPr>
        <w:t>long-tail arrow</w:t>
      </w:r>
      <w:r>
        <w:rPr>
          <w:rFonts w:ascii="Times New Roman" w:hAnsi="Times New Roman" w:cs="Times New Roman"/>
          <w:color w:val="000000" w:themeColor="text1"/>
          <w:kern w:val="0"/>
          <w:szCs w:val="21"/>
        </w:rPr>
        <w:t>), with apparent dilation of bilateral superficial temporal arteries (</w:t>
      </w:r>
      <w:r>
        <w:rPr>
          <w:rFonts w:ascii="Times New Roman" w:hAnsi="Times New Roman" w:cs="Times New Roman"/>
          <w:kern w:val="0"/>
          <w:szCs w:val="21"/>
        </w:rPr>
        <w:t>l</w:t>
      </w:r>
      <w:r>
        <w:rPr>
          <w:rFonts w:ascii="Times New Roman" w:hAnsi="Times New Roman" w:eastAsia="AdvGulliv-R" w:cs="Times New Roman"/>
          <w:kern w:val="0"/>
          <w:szCs w:val="21"/>
        </w:rPr>
        <w:t>o</w:t>
      </w:r>
      <w:r>
        <w:rPr>
          <w:rFonts w:ascii="Times New Roman" w:hAnsi="Times New Roman" w:eastAsia="AdvGulliv-R" w:cs="Times New Roman"/>
          <w:color w:val="000000" w:themeColor="text1"/>
          <w:kern w:val="0"/>
          <w:szCs w:val="21"/>
        </w:rPr>
        <w:t>ng dotted arrow</w:t>
      </w:r>
      <w:r>
        <w:rPr>
          <w:rFonts w:ascii="Times New Roman" w:hAnsi="Times New Roman" w:cs="Times New Roman"/>
          <w:color w:val="000000" w:themeColor="text1"/>
          <w:kern w:val="0"/>
          <w:szCs w:val="21"/>
        </w:rPr>
        <w:t>)</w:t>
      </w:r>
      <w:r>
        <w:rPr>
          <w:rFonts w:ascii="Times New Roman" w:hAnsi="Times New Roman" w:eastAsia="AdvGulliv-R" w:cs="Times New Roman"/>
          <w:color w:val="000000" w:themeColor="text1"/>
          <w:kern w:val="0"/>
          <w:szCs w:val="21"/>
        </w:rPr>
        <w:t xml:space="preserve">. </w:t>
      </w:r>
      <w:r>
        <w:rPr>
          <w:rFonts w:hint="eastAsia" w:ascii="Times New Roman" w:hAnsi="Times New Roman" w:eastAsia="AdvGulliv-R" w:cs="Times New Roman"/>
          <w:color w:val="000000" w:themeColor="text1"/>
          <w:kern w:val="0"/>
          <w:szCs w:val="21"/>
          <w:lang w:val="en-US" w:eastAsia="zh-CN"/>
        </w:rPr>
        <w:t>(</w:t>
      </w:r>
      <w:r>
        <w:rPr>
          <w:rFonts w:ascii="Times New Roman" w:hAnsi="Times New Roman" w:eastAsia="AdvGulliv-R" w:cs="Times New Roman"/>
          <w:color w:val="000000" w:themeColor="text1"/>
          <w:kern w:val="0"/>
          <w:szCs w:val="21"/>
        </w:rPr>
        <w:t>B</w:t>
      </w:r>
      <w:r>
        <w:rPr>
          <w:rFonts w:hint="eastAsia" w:ascii="Times New Roman" w:hAnsi="Times New Roman" w:eastAsia="AdvGulliv-R" w:cs="Times New Roman"/>
          <w:color w:val="000000" w:themeColor="text1"/>
          <w:kern w:val="0"/>
          <w:szCs w:val="21"/>
          <w:lang w:val="en-US" w:eastAsia="zh-CN"/>
        </w:rPr>
        <w:t xml:space="preserve">) </w:t>
      </w:r>
      <w:r>
        <w:rPr>
          <w:rFonts w:ascii="Times New Roman" w:hAnsi="Times New Roman" w:cs="Times New Roman"/>
          <w:color w:val="000000" w:themeColor="text1"/>
          <w:kern w:val="0"/>
          <w:szCs w:val="21"/>
        </w:rPr>
        <w:t>MRA showed that the bilateral superficial temporal arteries</w:t>
      </w:r>
      <w:r>
        <w:rPr>
          <w:rFonts w:hint="eastAsia"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 xml:space="preserve">were retracted. </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C</w:t>
      </w:r>
      <w:r>
        <w:rPr>
          <w:rFonts w:hint="eastAsia" w:ascii="Times New Roman" w:hAnsi="Times New Roman" w:cs="Times New Roman"/>
          <w:color w:val="000000" w:themeColor="text1"/>
          <w:kern w:val="0"/>
          <w:szCs w:val="21"/>
          <w:lang w:val="en-US" w:eastAsia="zh-CN"/>
        </w:rPr>
        <w:t xml:space="preserve">) </w:t>
      </w:r>
      <w:r>
        <w:rPr>
          <w:rFonts w:ascii="Times New Roman" w:hAnsi="Times New Roman" w:cs="Times New Roman"/>
          <w:color w:val="000000" w:themeColor="text1"/>
          <w:kern w:val="0"/>
          <w:szCs w:val="21"/>
        </w:rPr>
        <w:t xml:space="preserve">MRA showed that the left middle cerebral artery was appeared normal, and the right middle cerebral artery was dilated. </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D</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 xml:space="preserve"> ASL showed hyperperfusion in the left occipital-temporal-parietal focal areas. </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E</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 xml:space="preserve"> ASL showed hyperperfusion in the right occipital-temporal-parietal focal regions. </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F</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 xml:space="preserve"> MRS showed a double inverted lactate peak at 1.33ppm (</w:t>
      </w:r>
      <w:r>
        <w:rPr>
          <w:rFonts w:ascii="Times New Roman" w:hAnsi="Times New Roman" w:eastAsia="AdvGulliv-R" w:cs="Times New Roman"/>
          <w:color w:val="000000" w:themeColor="text1"/>
          <w:kern w:val="0"/>
          <w:szCs w:val="21"/>
        </w:rPr>
        <w:t>short dotted arrow</w:t>
      </w:r>
      <w:r>
        <w:rPr>
          <w:rFonts w:ascii="Times New Roman" w:hAnsi="Times New Roman" w:cs="Times New Roman"/>
          <w:color w:val="000000" w:themeColor="text1"/>
          <w:kern w:val="0"/>
          <w:szCs w:val="21"/>
        </w:rPr>
        <w:t xml:space="preserve">). </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G</w:t>
      </w:r>
      <w:r>
        <w:rPr>
          <w:rFonts w:hint="eastAsia" w:ascii="Times New Roman" w:hAnsi="Times New Roman" w:cs="Times New Roman"/>
          <w:color w:val="000000" w:themeColor="text1"/>
          <w:kern w:val="0"/>
          <w:szCs w:val="21"/>
          <w:lang w:val="en-US" w:eastAsia="zh-CN"/>
        </w:rPr>
        <w:t>)</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szCs w:val="21"/>
        </w:rPr>
        <w:t>Genotypic detection analysis showed mitochondrial mutation (m.3243A &gt;G).</w:t>
      </w:r>
    </w:p>
    <w:p>
      <w:pPr>
        <w:autoSpaceDE w:val="0"/>
        <w:autoSpaceDN w:val="0"/>
        <w:adjustRightInd w:val="0"/>
        <w:ind w:firstLine="2168" w:firstLineChars="900"/>
        <w:rPr>
          <w:rFonts w:hint="default" w:ascii="Times New Roman" w:hAnsi="Times New Roman" w:cs="Times New Roman"/>
          <w:b w:val="0"/>
          <w:bCs w:val="0"/>
          <w:kern w:val="0"/>
          <w:sz w:val="24"/>
          <w:szCs w:val="24"/>
        </w:rPr>
      </w:pPr>
      <w:r>
        <w:rPr>
          <w:rFonts w:ascii="Times New Roman" w:hAnsi="Times New Roman" w:cs="Times New Roman"/>
          <w:b/>
          <w:bCs/>
          <w:kern w:val="0"/>
          <w:sz w:val="24"/>
          <w:szCs w:val="24"/>
        </w:rPr>
        <w:t>Fig</w:t>
      </w:r>
      <w:r>
        <w:rPr>
          <w:rFonts w:hint="eastAsia" w:ascii="Times New Roman" w:hAnsi="Times New Roman" w:cs="Times New Roman"/>
          <w:b/>
          <w:bCs/>
          <w:kern w:val="0"/>
          <w:sz w:val="24"/>
          <w:szCs w:val="24"/>
          <w:lang w:val="en-US" w:eastAsia="zh-CN"/>
        </w:rPr>
        <w:t>ure 2.</w:t>
      </w:r>
      <w:r>
        <w:rPr>
          <w:rFonts w:ascii="Times New Roman" w:hAnsi="Times New Roman" w:cs="Times New Roman"/>
          <w:kern w:val="0"/>
          <w:sz w:val="24"/>
          <w:szCs w:val="24"/>
        </w:rPr>
        <w:t xml:space="preserve"> MRI images</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of the patient. </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Electroencephalogram (EEG) monitoring showed several high amplitudes and sharp slow wave activities in the left and right hemispheres, alternating during waking and sleeping. Muscle biopsy of this patient (Fig.3): Modified gomori trichrome（MGT） staining was negative, succinate dehydrogenase（SDH）/ c oxidase（COX） double staining showed a blue fiber, no positive result of blood vessel wall strength, no obvious abnormality of muscle fiber under the electron microscope [9].</w:t>
      </w:r>
      <w:r>
        <w:rPr>
          <w:rFonts w:hint="default" w:ascii="Times New Roman" w:hAnsi="Times New Roman" w:cs="Times New Roman"/>
          <w:color w:val="000000" w:themeColor="text1"/>
          <w:sz w:val="24"/>
          <w:szCs w:val="24"/>
          <w:vertAlign w:val="superscript"/>
        </w:rPr>
        <w:t xml:space="preserve"> </w:t>
      </w:r>
      <w:r>
        <w:rPr>
          <w:rFonts w:hint="default" w:ascii="Times New Roman" w:hAnsi="Times New Roman" w:cs="Times New Roman"/>
          <w:color w:val="000000" w:themeColor="text1"/>
          <w:sz w:val="24"/>
          <w:szCs w:val="24"/>
        </w:rPr>
        <w:t>Next, 3ml of peripheral venous blood of the patients was drawn for genotypic detection analysis</w:t>
      </w:r>
      <w:r>
        <w:rPr>
          <w:rFonts w:hint="default" w:ascii="Times New Roman" w:hAnsi="Times New Roman" w:cs="Times New Roman"/>
          <w:color w:val="000000" w:themeColor="text1"/>
          <w:kern w:val="0"/>
          <w:sz w:val="24"/>
          <w:szCs w:val="24"/>
        </w:rPr>
        <w:t xml:space="preserve">, and the results suggested </w:t>
      </w:r>
      <w:r>
        <w:rPr>
          <w:rFonts w:hint="default" w:ascii="Times New Roman" w:hAnsi="Times New Roman" w:cs="Times New Roman"/>
          <w:color w:val="000000" w:themeColor="text1"/>
          <w:sz w:val="24"/>
          <w:szCs w:val="24"/>
        </w:rPr>
        <w:t xml:space="preserve">mitochondrial 3243A＞G mutation </w:t>
      </w:r>
      <w:r>
        <w:rPr>
          <w:rFonts w:hint="default" w:ascii="Times New Roman" w:hAnsi="Times New Roman" w:cs="Times New Roman"/>
          <w:color w:val="000000" w:themeColor="text1"/>
          <w:kern w:val="0"/>
          <w:sz w:val="24"/>
          <w:szCs w:val="24"/>
        </w:rPr>
        <w:t>(Fig.2 G)</w:t>
      </w:r>
      <w:r>
        <w:rPr>
          <w:rFonts w:hint="default" w:ascii="Times New Roman" w:hAnsi="Times New Roman" w:cs="Times New Roman"/>
          <w:color w:val="000000" w:themeColor="text1"/>
          <w:sz w:val="24"/>
          <w:szCs w:val="24"/>
        </w:rPr>
        <w:t xml:space="preserve">, which </w:t>
      </w:r>
      <w:r>
        <w:rPr>
          <w:rFonts w:hint="default" w:ascii="Times New Roman" w:hAnsi="Times New Roman" w:cs="Times New Roman"/>
          <w:color w:val="000000" w:themeColor="text1"/>
          <w:kern w:val="0"/>
          <w:sz w:val="24"/>
          <w:szCs w:val="24"/>
        </w:rPr>
        <w:t>was a pathogenic mutation</w:t>
      </w:r>
      <w:r>
        <w:rPr>
          <w:rFonts w:hint="default" w:ascii="Times New Roman" w:hAnsi="Times New Roman" w:cs="Times New Roman"/>
          <w:b/>
          <w:bCs/>
          <w:color w:val="000000" w:themeColor="text1"/>
          <w:kern w:val="0"/>
          <w:sz w:val="24"/>
          <w:szCs w:val="24"/>
          <w:vertAlign w:val="superscript"/>
        </w:rPr>
        <w:t>2</w:t>
      </w:r>
      <w:r>
        <w:rPr>
          <w:rFonts w:hint="default" w:ascii="Times New Roman" w:hAnsi="Times New Roman" w:cs="Times New Roman"/>
          <w:color w:val="000000" w:themeColor="text1"/>
          <w:kern w:val="0"/>
          <w:sz w:val="24"/>
          <w:szCs w:val="24"/>
        </w:rPr>
        <w:t>.</w:t>
      </w:r>
    </w:p>
    <w:p>
      <w:pPr>
        <w:autoSpaceDE w:val="0"/>
        <w:autoSpaceDN w:val="0"/>
        <w:adjustRightInd w:val="0"/>
        <w:jc w:val="left"/>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drawing>
          <wp:inline distT="0" distB="0" distL="114300" distR="114300">
            <wp:extent cx="5269865" cy="4234180"/>
            <wp:effectExtent l="0" t="0" r="635" b="762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5269865" cy="4234180"/>
                    </a:xfrm>
                    <a:prstGeom prst="rect">
                      <a:avLst/>
                    </a:prstGeom>
                  </pic:spPr>
                </pic:pic>
              </a:graphicData>
            </a:graphic>
          </wp:inline>
        </w:drawing>
      </w:r>
    </w:p>
    <w:p>
      <w:pPr>
        <w:autoSpaceDE w:val="0"/>
        <w:autoSpaceDN w:val="0"/>
        <w:adjustRightInd w:val="0"/>
        <w:spacing w:line="276" w:lineRule="auto"/>
        <w:ind w:firstLine="420" w:firstLineChars="200"/>
        <w:rPr>
          <w:rFonts w:ascii="Times New Roman" w:hAnsi="Times New Roman" w:cs="Times New Roman"/>
          <w:color w:val="FF0000"/>
          <w:kern w:val="0"/>
          <w:sz w:val="21"/>
          <w:szCs w:val="21"/>
        </w:rPr>
      </w:pPr>
      <w:r>
        <w:rPr>
          <w:rFonts w:ascii="Times New Roman" w:hAnsi="Times New Roman" w:eastAsia="宋体" w:cs="Times New Roman"/>
          <w:kern w:val="0"/>
          <w:sz w:val="21"/>
          <w:szCs w:val="21"/>
        </w:rPr>
        <w:t>(A) M</w:t>
      </w:r>
      <w:r>
        <w:rPr>
          <w:rFonts w:hint="eastAsia" w:ascii="Times New Roman" w:hAnsi="Times New Roman" w:eastAsia="宋体" w:cs="Times New Roman"/>
          <w:kern w:val="0"/>
          <w:sz w:val="21"/>
          <w:szCs w:val="21"/>
        </w:rPr>
        <w:t>GT</w:t>
      </w:r>
      <w:r>
        <w:rPr>
          <w:rFonts w:ascii="Times New Roman" w:hAnsi="Times New Roman" w:eastAsia="宋体" w:cs="Times New Roman"/>
          <w:kern w:val="0"/>
          <w:sz w:val="21"/>
          <w:szCs w:val="21"/>
        </w:rPr>
        <w:t xml:space="preserve"> staining showed no broken red fiber; </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B</w:t>
      </w:r>
      <w:r>
        <w:rPr>
          <w:rFonts w:hint="eastAsia" w:ascii="Times New Roman" w:hAnsi="Times New Roman" w:eastAsia="宋体" w:cs="Times New Roman"/>
          <w:kern w:val="0"/>
          <w:sz w:val="21"/>
          <w:szCs w:val="21"/>
        </w:rPr>
        <w:t>) COX staining showed</w:t>
      </w:r>
      <w:r>
        <w:rPr>
          <w:rFonts w:ascii="Times New Roman" w:hAnsi="Times New Roman" w:eastAsia="宋体" w:cs="Times New Roman"/>
          <w:kern w:val="0"/>
          <w:sz w:val="21"/>
          <w:szCs w:val="21"/>
        </w:rPr>
        <w:t xml:space="preserve"> no significant decrease in myofibrillase activity;</w:t>
      </w:r>
      <w:r>
        <w:rPr>
          <w:rFonts w:hint="eastAsia" w:ascii="Times New Roman" w:hAnsi="Times New Roman" w:eastAsia="宋体" w:cs="Times New Roman"/>
          <w:kern w:val="0"/>
          <w:sz w:val="21"/>
          <w:szCs w:val="21"/>
        </w:rPr>
        <w:t xml:space="preserve"> (</w:t>
      </w:r>
      <w:r>
        <w:rPr>
          <w:rFonts w:ascii="Times New Roman" w:hAnsi="Times New Roman" w:eastAsia="宋体" w:cs="Times New Roman"/>
          <w:kern w:val="0"/>
          <w:sz w:val="21"/>
          <w:szCs w:val="21"/>
        </w:rPr>
        <w:t>C</w:t>
      </w:r>
      <w:r>
        <w:rPr>
          <w:rFonts w:hint="eastAsia" w:ascii="Times New Roman" w:hAnsi="Times New Roman" w:eastAsia="宋体" w:cs="Times New Roman"/>
          <w:kern w:val="0"/>
          <w:sz w:val="21"/>
          <w:szCs w:val="21"/>
        </w:rPr>
        <w:t xml:space="preserve">) </w:t>
      </w:r>
      <w:r>
        <w:rPr>
          <w:rFonts w:ascii="Times New Roman" w:hAnsi="Times New Roman" w:eastAsia="宋体" w:cs="Times New Roman"/>
          <w:kern w:val="0"/>
          <w:sz w:val="21"/>
          <w:szCs w:val="21"/>
        </w:rPr>
        <w:t>SDH / C</w:t>
      </w:r>
      <w:r>
        <w:rPr>
          <w:rFonts w:hint="eastAsia" w:ascii="Times New Roman" w:hAnsi="Times New Roman" w:eastAsia="宋体" w:cs="Times New Roman"/>
          <w:kern w:val="0"/>
          <w:sz w:val="21"/>
          <w:szCs w:val="21"/>
        </w:rPr>
        <w:t>OX</w:t>
      </w:r>
      <w:r>
        <w:rPr>
          <w:rFonts w:ascii="Times New Roman" w:hAnsi="Times New Roman" w:eastAsia="宋体" w:cs="Times New Roman"/>
          <w:kern w:val="0"/>
          <w:sz w:val="21"/>
          <w:szCs w:val="21"/>
        </w:rPr>
        <w:t xml:space="preserve"> double staining: see 1 blue fiber;</w:t>
      </w:r>
      <w:r>
        <w:rPr>
          <w:rFonts w:hint="eastAsia" w:ascii="Times New Roman" w:hAnsi="Times New Roman" w:eastAsia="宋体" w:cs="Times New Roman"/>
          <w:kern w:val="0"/>
          <w:sz w:val="21"/>
          <w:szCs w:val="21"/>
        </w:rPr>
        <w:t xml:space="preserve"> (</w:t>
      </w:r>
      <w:r>
        <w:rPr>
          <w:rFonts w:ascii="Times New Roman" w:hAnsi="Times New Roman" w:eastAsia="宋体" w:cs="Times New Roman"/>
          <w:kern w:val="0"/>
          <w:sz w:val="21"/>
          <w:szCs w:val="21"/>
        </w:rPr>
        <w:t>D</w:t>
      </w:r>
      <w:r>
        <w:rPr>
          <w:rFonts w:hint="eastAsia" w:ascii="Times New Roman" w:hAnsi="Times New Roman" w:eastAsia="宋体" w:cs="Times New Roman"/>
          <w:kern w:val="0"/>
          <w:sz w:val="21"/>
          <w:szCs w:val="21"/>
        </w:rPr>
        <w:t xml:space="preserve">) </w:t>
      </w:r>
      <w:r>
        <w:rPr>
          <w:rFonts w:ascii="Times New Roman" w:hAnsi="Times New Roman" w:eastAsia="宋体" w:cs="Times New Roman"/>
          <w:kern w:val="0"/>
          <w:sz w:val="21"/>
          <w:szCs w:val="21"/>
        </w:rPr>
        <w:t xml:space="preserve">Under the electron microscope, the basic arrangement of myofibrils was regular, the sarcolemma was shrunk, and no special ultrastructural and pathological changes were found. </w:t>
      </w:r>
      <w:r>
        <w:rPr>
          <w:rFonts w:ascii="Times New Roman" w:hAnsi="Times New Roman" w:cs="Times New Roman"/>
          <w:kern w:val="0"/>
          <w:sz w:val="21"/>
          <w:szCs w:val="21"/>
        </w:rPr>
        <w:t xml:space="preserve">Scale </w:t>
      </w:r>
      <w:r>
        <w:rPr>
          <w:rFonts w:ascii="Times New Roman" w:hAnsi="Times New Roman" w:cs="Times New Roman"/>
          <w:color w:val="000000" w:themeColor="text1"/>
          <w:kern w:val="0"/>
          <w:sz w:val="21"/>
          <w:szCs w:val="21"/>
        </w:rPr>
        <w:t>bars: 100</w:t>
      </w:r>
      <w:r>
        <w:rPr>
          <w:rFonts w:ascii="Times New Roman" w:hAnsi="Times New Roman" w:eastAsia="AdvOT8608a8d1+03" w:cs="Times New Roman"/>
          <w:color w:val="000000" w:themeColor="text1"/>
          <w:kern w:val="0"/>
          <w:sz w:val="21"/>
          <w:szCs w:val="21"/>
        </w:rPr>
        <w:t>μ</w:t>
      </w:r>
      <w:r>
        <w:rPr>
          <w:rFonts w:ascii="Times New Roman" w:hAnsi="Times New Roman" w:cs="Times New Roman"/>
          <w:color w:val="000000" w:themeColor="text1"/>
          <w:kern w:val="0"/>
          <w:sz w:val="21"/>
          <w:szCs w:val="21"/>
        </w:rPr>
        <w:t>m (A),(B)</w:t>
      </w:r>
      <w:r>
        <w:rPr>
          <w:rFonts w:hint="eastAsia" w:ascii="Times New Roman" w:hAnsi="Times New Roman" w:cs="Times New Roman"/>
          <w:color w:val="000000" w:themeColor="text1"/>
          <w:kern w:val="0"/>
          <w:sz w:val="21"/>
          <w:szCs w:val="21"/>
        </w:rPr>
        <w:t>and</w:t>
      </w:r>
      <w:r>
        <w:rPr>
          <w:rFonts w:ascii="Times New Roman" w:hAnsi="Times New Roman" w:cs="Times New Roman"/>
          <w:color w:val="000000" w:themeColor="text1"/>
          <w:kern w:val="0"/>
          <w:sz w:val="21"/>
          <w:szCs w:val="21"/>
        </w:rPr>
        <w:t>(C);</w:t>
      </w:r>
      <w:r>
        <w:rPr>
          <w:rFonts w:hint="eastAsia" w:ascii="Times New Roman" w:hAnsi="Times New Roman" w:cs="Times New Roman"/>
          <w:color w:val="000000" w:themeColor="text1"/>
          <w:kern w:val="0"/>
          <w:sz w:val="21"/>
          <w:szCs w:val="21"/>
        </w:rPr>
        <w:t xml:space="preserve"> </w:t>
      </w:r>
      <w:r>
        <w:rPr>
          <w:rFonts w:ascii="Times New Roman" w:hAnsi="Times New Roman" w:cs="Times New Roman"/>
          <w:color w:val="000000" w:themeColor="text1"/>
          <w:kern w:val="0"/>
          <w:sz w:val="21"/>
          <w:szCs w:val="21"/>
        </w:rPr>
        <w:t>5</w:t>
      </w:r>
      <w:r>
        <w:rPr>
          <w:rFonts w:ascii="Times New Roman" w:hAnsi="Times New Roman" w:eastAsia="AdvOT8608a8d1+03" w:cs="Times New Roman"/>
          <w:color w:val="000000" w:themeColor="text1"/>
          <w:kern w:val="0"/>
          <w:sz w:val="21"/>
          <w:szCs w:val="21"/>
        </w:rPr>
        <w:t>μ</w:t>
      </w:r>
      <w:r>
        <w:rPr>
          <w:rFonts w:ascii="Times New Roman" w:hAnsi="Times New Roman" w:cs="Times New Roman"/>
          <w:color w:val="000000" w:themeColor="text1"/>
          <w:kern w:val="0"/>
          <w:sz w:val="21"/>
          <w:szCs w:val="21"/>
        </w:rPr>
        <w:t>m(D)</w:t>
      </w:r>
      <w:r>
        <w:rPr>
          <w:rFonts w:hint="eastAsia" w:ascii="Times New Roman" w:hAnsi="Times New Roman" w:cs="Times New Roman"/>
          <w:color w:val="000000" w:themeColor="text1"/>
          <w:kern w:val="0"/>
          <w:sz w:val="21"/>
          <w:szCs w:val="21"/>
        </w:rPr>
        <w:t>.</w:t>
      </w:r>
    </w:p>
    <w:p>
      <w:pPr>
        <w:autoSpaceDE w:val="0"/>
        <w:autoSpaceDN w:val="0"/>
        <w:adjustRightInd w:val="0"/>
        <w:jc w:val="left"/>
        <w:rPr>
          <w:rFonts w:hint="eastAsia" w:ascii="Times New Roman" w:hAnsi="Times New Roman" w:eastAsia="宋体" w:cs="Times New Roman"/>
          <w:color w:val="000000" w:themeColor="text1"/>
          <w:kern w:val="0"/>
          <w:szCs w:val="21"/>
          <w:lang w:val="en-US" w:eastAsia="zh-CN"/>
        </w:rPr>
      </w:pPr>
      <w:r>
        <w:rPr>
          <w:rFonts w:hint="eastAsia" w:ascii="Times New Roman" w:hAnsi="Times New Roman" w:cs="Times New Roman"/>
          <w:color w:val="000000" w:themeColor="text1"/>
          <w:kern w:val="0"/>
          <w:szCs w:val="21"/>
          <w:lang w:val="en-US" w:eastAsia="zh-CN"/>
        </w:rPr>
        <w:t xml:space="preserve">                          </w:t>
      </w:r>
      <w:r>
        <w:rPr>
          <w:rFonts w:hint="eastAsia" w:ascii="Times New Roman" w:hAnsi="Times New Roman" w:eastAsia="宋体" w:cs="Times New Roman"/>
          <w:b/>
          <w:bCs/>
          <w:kern w:val="0"/>
          <w:sz w:val="24"/>
          <w:szCs w:val="24"/>
        </w:rPr>
        <w:t>Fig</w:t>
      </w:r>
      <w:r>
        <w:rPr>
          <w:rFonts w:hint="eastAsia" w:ascii="Times New Roman" w:hAnsi="Times New Roman" w:eastAsia="宋体" w:cs="Times New Roman"/>
          <w:b/>
          <w:bCs/>
          <w:kern w:val="0"/>
          <w:sz w:val="24"/>
          <w:szCs w:val="24"/>
          <w:lang w:val="en-US" w:eastAsia="zh-CN"/>
        </w:rPr>
        <w:t xml:space="preserve">ure </w:t>
      </w:r>
      <w:r>
        <w:rPr>
          <w:rFonts w:ascii="Times New Roman" w:hAnsi="Times New Roman" w:eastAsia="宋体" w:cs="Times New Roman"/>
          <w:b/>
          <w:bCs/>
          <w:kern w:val="0"/>
          <w:sz w:val="24"/>
          <w:szCs w:val="24"/>
        </w:rPr>
        <w:t>3</w:t>
      </w:r>
      <w:r>
        <w:rPr>
          <w:rFonts w:hint="eastAsia" w:ascii="Times New Roman" w:hAnsi="Times New Roman" w:eastAsia="宋体" w:cs="Times New Roman"/>
          <w:b/>
          <w:bCs/>
          <w:kern w:val="0"/>
          <w:sz w:val="24"/>
          <w:szCs w:val="24"/>
          <w:lang w:val="en-US" w:eastAsia="zh-CN"/>
        </w:rPr>
        <w:t>.</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Muscle biopsy</w:t>
      </w:r>
      <w:r>
        <w:rPr>
          <w:rFonts w:hint="eastAsia" w:ascii="Times New Roman" w:hAnsi="Times New Roman" w:eastAsia="宋体" w:cs="Times New Roman"/>
          <w:kern w:val="0"/>
          <w:sz w:val="24"/>
          <w:szCs w:val="24"/>
          <w:lang w:val="en-US" w:eastAsia="zh-CN"/>
        </w:rPr>
        <w:t>.</w:t>
      </w:r>
    </w:p>
    <w:p>
      <w:pPr>
        <w:spacing w:line="360" w:lineRule="auto"/>
        <w:rPr>
          <w:rFonts w:hint="default" w:ascii="Times New Roman" w:hAnsi="Times New Roman" w:cs="Times New Roman"/>
          <w:b/>
          <w:bCs/>
          <w:color w:val="000000" w:themeColor="text1"/>
          <w:kern w:val="0"/>
          <w:sz w:val="24"/>
          <w:szCs w:val="24"/>
        </w:rPr>
      </w:pPr>
      <w:r>
        <w:rPr>
          <w:rFonts w:hint="default" w:ascii="Times New Roman" w:hAnsi="Times New Roman" w:eastAsia="微软雅黑" w:cs="Times New Roman"/>
          <w:b/>
          <w:bCs/>
          <w:color w:val="000000" w:themeColor="text1"/>
          <w:kern w:val="0"/>
          <w:sz w:val="24"/>
          <w:szCs w:val="24"/>
        </w:rPr>
        <w:t>2.2 Remission</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kern w:val="0"/>
          <w:sz w:val="24"/>
          <w:szCs w:val="24"/>
        </w:rPr>
        <w:t xml:space="preserve">The patient was diagnosed with MELAS by gene testing. After an initial treatment (Adenosine triphosphate disodium 60mg/day, coenzyme Q10 30mg/day, and L-arginine 20mg/day), the patient's condition showed significant improvement and he could live independently. The second MRI examination was performed 27 days after the first onset; DWI </w:t>
      </w:r>
      <w:r>
        <w:rPr>
          <w:rFonts w:hint="default" w:ascii="Times New Roman" w:hAnsi="Times New Roman" w:cs="Times New Roman"/>
          <w:color w:val="000000" w:themeColor="text1"/>
          <w:sz w:val="24"/>
          <w:szCs w:val="24"/>
        </w:rPr>
        <w:t>showed the high signal intensity of the left occipital-temporal-parietal lobe was reduced</w:t>
      </w:r>
      <w:r>
        <w:rPr>
          <w:rFonts w:hint="default" w:ascii="Times New Roman" w:hAnsi="Times New Roman" w:cs="Times New Roman"/>
          <w:color w:val="000000" w:themeColor="text1"/>
          <w:kern w:val="0"/>
          <w:sz w:val="24"/>
          <w:szCs w:val="24"/>
        </w:rPr>
        <w:t xml:space="preserve"> (Fig.1 B); The MRA showed the bilateral superficial</w:t>
      </w:r>
      <w:r>
        <w:rPr>
          <w:rFonts w:hint="default" w:ascii="Times New Roman" w:hAnsi="Times New Roman" w:cs="Times New Roman"/>
          <w:color w:val="000000" w:themeColor="text1"/>
          <w:sz w:val="24"/>
          <w:szCs w:val="24"/>
        </w:rPr>
        <w:t xml:space="preserve"> temporal arteries</w:t>
      </w:r>
      <w:r>
        <w:rPr>
          <w:rFonts w:hint="default" w:ascii="Times New Roman" w:hAnsi="Times New Roman" w:cs="Times New Roman"/>
          <w:color w:val="000000" w:themeColor="text1"/>
          <w:kern w:val="0"/>
          <w:sz w:val="24"/>
          <w:szCs w:val="24"/>
        </w:rPr>
        <w:t xml:space="preserve"> were retracted (Fig.2 B).</w:t>
      </w:r>
    </w:p>
    <w:p>
      <w:pPr>
        <w:spacing w:line="360" w:lineRule="auto"/>
        <w:rPr>
          <w:rFonts w:hint="default" w:ascii="Times New Roman" w:hAnsi="Times New Roman" w:eastAsia="微软雅黑" w:cs="Times New Roman"/>
          <w:b/>
          <w:bCs/>
          <w:color w:val="000000" w:themeColor="text1"/>
          <w:kern w:val="0"/>
          <w:sz w:val="24"/>
          <w:szCs w:val="24"/>
        </w:rPr>
      </w:pPr>
      <w:r>
        <w:rPr>
          <w:rFonts w:hint="default" w:ascii="Times New Roman" w:hAnsi="Times New Roman" w:eastAsia="微软雅黑" w:cs="Times New Roman"/>
          <w:b/>
          <w:bCs/>
          <w:color w:val="000000" w:themeColor="text1"/>
          <w:kern w:val="0"/>
          <w:sz w:val="24"/>
          <w:szCs w:val="24"/>
        </w:rPr>
        <w:t>2.3 Recurrence</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 xml:space="preserve">However, the patient relapsed 68 days from the first onset. The patient’s left limb demonstrated twitch, his limbs were weak, and he was soon unable to walk. </w:t>
      </w:r>
      <w:r>
        <w:rPr>
          <w:rFonts w:hint="default" w:ascii="Times New Roman" w:hAnsi="Times New Roman" w:cs="Times New Roman"/>
          <w:color w:val="000000" w:themeColor="text1"/>
          <w:kern w:val="0"/>
          <w:sz w:val="24"/>
          <w:szCs w:val="24"/>
        </w:rPr>
        <w:t xml:space="preserve">The third MRI examination was performed 68 days from the first onset. DWI showed a </w:t>
      </w:r>
      <w:r>
        <w:rPr>
          <w:rFonts w:hint="default" w:ascii="Times New Roman" w:hAnsi="Times New Roman" w:cs="Times New Roman"/>
          <w:color w:val="000000" w:themeColor="text1"/>
          <w:sz w:val="24"/>
          <w:szCs w:val="24"/>
        </w:rPr>
        <w:t>high signal intensity</w:t>
      </w:r>
      <w:r>
        <w:rPr>
          <w:rFonts w:hint="default" w:ascii="Times New Roman" w:hAnsi="Times New Roman" w:cs="Times New Roman"/>
          <w:color w:val="000000" w:themeColor="text1"/>
          <w:kern w:val="0"/>
          <w:sz w:val="24"/>
          <w:szCs w:val="24"/>
        </w:rPr>
        <w:t xml:space="preserve"> (Fig.1 C), and ASL showed hyperperfusion in the right occipital-temporal-parietal focus areas (Fig.2 E). MRA showed that the left middle cerebral artery appeared normal, and the right middle cerebral artery was dilated (Fig.2 C). After treatment with lamotrigine(50mg/day), coenzyme Q10(30mg/day), and L-arginine(20mg/day), his limb convulsion did not recur; limb muscle strength weakness was improved, but he developed dementia, and his life needs family care.</w:t>
      </w:r>
    </w:p>
    <w:p>
      <w:pPr>
        <w:spacing w:line="360" w:lineRule="auto"/>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 xml:space="preserve">3. </w:t>
      </w:r>
      <w:r>
        <w:rPr>
          <w:rFonts w:hint="default" w:ascii="Times New Roman" w:hAnsi="Times New Roman" w:cs="Times New Roman"/>
          <w:b/>
          <w:color w:val="000000" w:themeColor="text1"/>
          <w:kern w:val="0"/>
          <w:sz w:val="24"/>
          <w:szCs w:val="24"/>
        </w:rPr>
        <w:t>Discussion and Conclusions</w:t>
      </w:r>
    </w:p>
    <w:p>
      <w:pPr>
        <w:spacing w:line="360" w:lineRule="auto"/>
        <w:ind w:firstLine="240" w:firstLineChars="1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MELAS is the most common clinical form of mitochondrial encephalomyopathy, with stroke-like episodes and hyperelastic acidemia as the primary clinical features, first reported by Pavlakis et al. in 1984 [10]. MELAS is common in adolescents and rarely seen in the elderly. Some scholars believe that MELAS with onset in over 50-year-old patients is seldom seen and has atypical clinical manifestations [11], making it difficult to be diagnosed. We have inadequate knowledge of this disease in the elderly.</w:t>
      </w:r>
      <w:r>
        <w:rPr>
          <w:rFonts w:hint="default" w:ascii="Times New Roman" w:hAnsi="Times New Roman" w:cs="Times New Roman"/>
          <w:color w:val="000000" w:themeColor="text1"/>
          <w:sz w:val="24"/>
          <w:szCs w:val="24"/>
          <w:vertAlign w:val="superscript"/>
        </w:rPr>
        <w:t xml:space="preserve"> </w:t>
      </w:r>
      <w:r>
        <w:rPr>
          <w:rFonts w:hint="default" w:ascii="Times New Roman" w:hAnsi="Times New Roman" w:cs="Times New Roman"/>
          <w:color w:val="000000" w:themeColor="text1"/>
          <w:sz w:val="24"/>
          <w:szCs w:val="24"/>
        </w:rPr>
        <w:t>Only a few cases of older women were reported [5-7]</w:t>
      </w:r>
      <w:r>
        <w:rPr>
          <w:rFonts w:hint="default" w:ascii="Times New Roman" w:hAnsi="Times New Roman" w:cs="Times New Roman"/>
          <w:color w:val="000000" w:themeColor="text1"/>
          <w:kern w:val="0"/>
          <w:sz w:val="24"/>
          <w:szCs w:val="24"/>
        </w:rPr>
        <w:t xml:space="preserve">. </w:t>
      </w:r>
      <w:r>
        <w:rPr>
          <w:rFonts w:hint="default" w:ascii="Times New Roman" w:hAnsi="Times New Roman" w:cs="Times New Roman"/>
          <w:color w:val="000000" w:themeColor="text1"/>
          <w:sz w:val="24"/>
          <w:szCs w:val="24"/>
        </w:rPr>
        <w:t>No cases of MELAS male patients over 60 years old have been reported. We herein describe the case of a 61-year-old male, MELAS.</w:t>
      </w:r>
    </w:p>
    <w:p>
      <w:pPr>
        <w:spacing w:line="360" w:lineRule="auto"/>
        <w:ind w:firstLine="240" w:firstLineChars="1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This older man had experienced acute migraine-like headaches as the first symptoms. The </w:t>
      </w:r>
      <w:r>
        <w:rPr>
          <w:rFonts w:hint="default" w:ascii="Times New Roman" w:hAnsi="Times New Roman" w:cs="Times New Roman"/>
          <w:color w:val="000000" w:themeColor="text1"/>
          <w:kern w:val="0"/>
          <w:sz w:val="24"/>
          <w:szCs w:val="24"/>
        </w:rPr>
        <w:t xml:space="preserve">CT scan of the local hospital showed low-density lesions of the left occipital-parietal lobe. This patient is easily misdiagnosed as ischemic cerebrovascular disease. </w:t>
      </w:r>
      <w:r>
        <w:rPr>
          <w:rFonts w:hint="default" w:ascii="Times New Roman" w:hAnsi="Times New Roman" w:cs="Times New Roman"/>
          <w:color w:val="000000" w:themeColor="text1"/>
          <w:sz w:val="24"/>
          <w:szCs w:val="24"/>
        </w:rPr>
        <w:t xml:space="preserve">Brain </w:t>
      </w:r>
      <w:r>
        <w:rPr>
          <w:rFonts w:hint="default" w:ascii="Times New Roman" w:hAnsi="Times New Roman" w:cs="Times New Roman"/>
          <w:color w:val="000000" w:themeColor="text1"/>
          <w:kern w:val="0"/>
          <w:sz w:val="24"/>
          <w:szCs w:val="24"/>
        </w:rPr>
        <w:t xml:space="preserve">MRI showed a hyperintense lesion in the left </w:t>
      </w:r>
      <w:r>
        <w:rPr>
          <w:rFonts w:hint="default" w:ascii="Times New Roman" w:hAnsi="Times New Roman" w:cs="Times New Roman"/>
          <w:color w:val="000000" w:themeColor="text1"/>
          <w:sz w:val="24"/>
          <w:szCs w:val="24"/>
        </w:rPr>
        <w:t>occipital-temporal-parietal lobe on diffusion-weighted imaging (DWI) in our hospital. However, MRA did not suggest stenosis or occlusion of the corresponding cerebral responsible vessels. At this time, we need to suspect the diagnosis of ischemic cerebral infarction, and other diseases such as MELAS need to be considered. Then, laboratory data showed elevated lactate and creatine kinase levels. A genetic study revealed a mitochondrial DNA A3243G point mutation. The patient got the clinically diagnostic criteria and was confirmed MELAS [12].</w:t>
      </w:r>
    </w:p>
    <w:p>
      <w:pPr>
        <w:spacing w:line="360" w:lineRule="auto"/>
        <w:ind w:firstLine="240" w:firstLineChars="1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 xml:space="preserve">This case has some essential and specific MRA imaging features. MRA revealed reversible vasoconstriction of the </w:t>
      </w:r>
      <w:r>
        <w:rPr>
          <w:rFonts w:hint="default" w:ascii="Times New Roman" w:hAnsi="Times New Roman" w:cs="Times New Roman"/>
          <w:color w:val="000000" w:themeColor="text1"/>
          <w:kern w:val="0"/>
          <w:sz w:val="24"/>
          <w:szCs w:val="24"/>
        </w:rPr>
        <w:t>middle cerebral arteries and bilateral superficial temporal arteries</w:t>
      </w:r>
      <w:r>
        <w:rPr>
          <w:rFonts w:hint="default" w:ascii="Times New Roman" w:hAnsi="Times New Roman" w:cs="Times New Roman"/>
          <w:color w:val="000000" w:themeColor="text1"/>
          <w:sz w:val="24"/>
          <w:szCs w:val="24"/>
        </w:rPr>
        <w:t xml:space="preserve">. In patients presenting with the acute stage of MELAS, the accumulation of lactate in the lesion results in local arterial dilatation. With disease progression, some blood vessels suffer from chronic damage of the vessel wall, episodic spasm, and hyperplasia of the intima. The angiogram showed the normalization progression and blood vasculature reduction [13]. </w:t>
      </w:r>
      <w:r>
        <w:rPr>
          <w:rFonts w:hint="default" w:ascii="Times New Roman" w:hAnsi="Times New Roman" w:cs="Times New Roman"/>
          <w:color w:val="000000" w:themeColor="text1"/>
          <w:kern w:val="0"/>
          <w:sz w:val="24"/>
          <w:szCs w:val="24"/>
        </w:rPr>
        <w:t>The focus area's cerebral blood vessels were dilated during the first attack and recurrence stages and retracted at remission. There was no such vascular change during acute ischemic stroke. MRA can detect cerebrovascular imaging characteristics of MELAS and help diagnose and evaluate the MELAS.</w:t>
      </w:r>
    </w:p>
    <w:p>
      <w:pPr>
        <w:spacing w:line="360" w:lineRule="auto"/>
        <w:ind w:firstLine="360" w:firstLineChars="15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The patient had experienced acute migraine-like headaches as the first symptoms</w:t>
      </w:r>
      <w:r>
        <w:rPr>
          <w:rFonts w:hint="default" w:ascii="Times New Roman" w:hAnsi="Times New Roman" w:cs="Times New Roman"/>
          <w:color w:val="000000" w:themeColor="text1"/>
          <w:kern w:val="0"/>
          <w:sz w:val="24"/>
          <w:szCs w:val="24"/>
        </w:rPr>
        <w:t xml:space="preserve">. MRA indicated apparent dilation of bilateral superficial temporal arteries in the acute phase. After treatment, the headache has been gradually disappeared. Subsequent MRA showed that the bilateral superficial temporal arteries were slowly retracted and appeared normal. According to the theory of the vascular origin of migraine </w:t>
      </w:r>
      <w:r>
        <w:rPr>
          <w:rFonts w:hint="default" w:ascii="Times New Roman" w:hAnsi="Times New Roman" w:cs="Times New Roman"/>
          <w:color w:val="000000" w:themeColor="text1"/>
          <w:sz w:val="24"/>
          <w:szCs w:val="24"/>
        </w:rPr>
        <w:t>[14]</w:t>
      </w:r>
      <w:r>
        <w:rPr>
          <w:rFonts w:hint="default" w:ascii="Times New Roman" w:hAnsi="Times New Roman" w:cs="Times New Roman"/>
          <w:color w:val="000000" w:themeColor="text1"/>
          <w:kern w:val="0"/>
          <w:sz w:val="24"/>
          <w:szCs w:val="24"/>
        </w:rPr>
        <w:t xml:space="preserve">, it is thought that the superficial temporal artery could dilate in the acute stage of migraine and that the flow of blood could increase, progressing to a migraine attack </w:t>
      </w:r>
      <w:r>
        <w:rPr>
          <w:rFonts w:hint="default" w:ascii="Times New Roman" w:hAnsi="Times New Roman" w:cs="Times New Roman"/>
          <w:color w:val="000000" w:themeColor="text1"/>
          <w:sz w:val="24"/>
          <w:szCs w:val="24"/>
        </w:rPr>
        <w:t>[15]</w:t>
      </w:r>
      <w:r>
        <w:rPr>
          <w:rFonts w:hint="default" w:ascii="Times New Roman" w:hAnsi="Times New Roman" w:cs="Times New Roman"/>
          <w:color w:val="000000" w:themeColor="text1"/>
          <w:kern w:val="0"/>
          <w:sz w:val="24"/>
          <w:szCs w:val="24"/>
        </w:rPr>
        <w:t xml:space="preserve">. In recent years, mitochondrial dysfunction has proven to play an essential role in the pathogenesis of migraine </w:t>
      </w:r>
      <w:r>
        <w:rPr>
          <w:rFonts w:hint="default" w:ascii="Times New Roman" w:hAnsi="Times New Roman" w:cs="Times New Roman"/>
          <w:color w:val="000000" w:themeColor="text1"/>
          <w:sz w:val="24"/>
          <w:szCs w:val="24"/>
        </w:rPr>
        <w:t>[16]</w:t>
      </w:r>
      <w:r>
        <w:rPr>
          <w:rFonts w:hint="default" w:ascii="Times New Roman" w:hAnsi="Times New Roman" w:cs="Times New Roman"/>
          <w:color w:val="000000" w:themeColor="text1"/>
          <w:kern w:val="0"/>
          <w:sz w:val="24"/>
          <w:szCs w:val="24"/>
        </w:rPr>
        <w:t xml:space="preserve">. The patient was </w:t>
      </w:r>
      <w:r>
        <w:rPr>
          <w:rFonts w:hint="default" w:ascii="Times New Roman" w:hAnsi="Times New Roman" w:cs="Times New Roman"/>
          <w:color w:val="000000" w:themeColor="text1"/>
          <w:sz w:val="24"/>
          <w:szCs w:val="24"/>
        </w:rPr>
        <w:t>revealed a mitochondrial DNA A3243G point mutation</w:t>
      </w:r>
      <w:r>
        <w:rPr>
          <w:rFonts w:hint="default" w:ascii="Times New Roman" w:hAnsi="Times New Roman" w:cs="Times New Roman"/>
          <w:color w:val="000000" w:themeColor="text1"/>
          <w:kern w:val="0"/>
          <w:sz w:val="24"/>
          <w:szCs w:val="24"/>
        </w:rPr>
        <w:t xml:space="preserve">. </w:t>
      </w:r>
      <w:r>
        <w:rPr>
          <w:rFonts w:hint="default" w:ascii="Times New Roman" w:hAnsi="Times New Roman" w:cs="Times New Roman"/>
          <w:color w:val="000000" w:themeColor="text1"/>
          <w:sz w:val="24"/>
          <w:szCs w:val="24"/>
        </w:rPr>
        <w:t>The findings of this case support mitochondrial dysfunction as the pathogenesis of migraine.</w:t>
      </w:r>
    </w:p>
    <w:p>
      <w:pPr>
        <w:spacing w:line="360" w:lineRule="auto"/>
        <w:ind w:firstLine="480" w:firstLineChars="200"/>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sz w:val="24"/>
          <w:szCs w:val="24"/>
        </w:rPr>
        <w:t>Myopathic symptoms are also the manifestations of MELAS, mainly including myasthenia, myalgia, exercise intolerance [17]. The patient underwent a muscle biopsy. MGT staining was negative; SDH / COX double staining showed a blue fiber. There was no positive result of blood vessel wall strength, no obvious abnormality of muscle fiber under the electron microscope. Muscle biopsy suggests minor muscle damage. It is easy to result in missed diagnosis and delayed treatment. But there was a limited correlation between muscle biopsies and MELAS diagnosis [18]. If the muscle biopsy is normal, this does not rule out the mitochondrial disease [19]. Gene detection plays a vital role in diagnosing MELAS when muscle biopsy fails to diagnose it, and it is the gold standard for diagnosing MELAS [20]</w:t>
      </w:r>
      <w:r>
        <w:rPr>
          <w:rFonts w:hint="default" w:ascii="Times New Roman" w:hAnsi="Times New Roman" w:cs="Times New Roman"/>
          <w:color w:val="000000" w:themeColor="text1"/>
          <w:kern w:val="0"/>
          <w:sz w:val="24"/>
          <w:szCs w:val="24"/>
        </w:rPr>
        <w:t>.</w:t>
      </w:r>
      <w:r>
        <w:rPr>
          <w:rFonts w:hint="default" w:ascii="Times New Roman" w:hAnsi="Times New Roman" w:cs="Times New Roman"/>
          <w:color w:val="000000" w:themeColor="text1"/>
          <w:sz w:val="24"/>
          <w:szCs w:val="24"/>
        </w:rPr>
        <w:t xml:space="preserve"> </w:t>
      </w:r>
    </w:p>
    <w:p>
      <w:pPr>
        <w:autoSpaceDE w:val="0"/>
        <w:autoSpaceDN w:val="0"/>
        <w:adjustRightInd w:val="0"/>
        <w:spacing w:line="360" w:lineRule="auto"/>
        <w:ind w:firstLine="480" w:firstLineChars="2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In conclusion, this paper is the first report on elderly male MELAS patients. Elderly MELAS patients may show less severe muscle damage. The close relationship between superficial temporal artery dilation and migraine-like attacks supports mitochondrial dysfunction caused by mitochondrial gene mutations as one of the pathogenesis of migraine attacks.</w:t>
      </w:r>
    </w:p>
    <w:p>
      <w:pPr>
        <w:autoSpaceDE w:val="0"/>
        <w:autoSpaceDN w:val="0"/>
        <w:adjustRightInd w:val="0"/>
        <w:spacing w:line="360" w:lineRule="auto"/>
        <w:rPr>
          <w:rFonts w:hint="default" w:ascii="Times New Roman" w:hAnsi="Times New Roman" w:cs="Times New Roman"/>
          <w:color w:val="000000" w:themeColor="text1"/>
          <w:sz w:val="24"/>
          <w:szCs w:val="24"/>
        </w:rPr>
      </w:pPr>
    </w:p>
    <w:p>
      <w:pPr>
        <w:spacing w:line="360" w:lineRule="auto"/>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sz w:val="24"/>
          <w:szCs w:val="24"/>
        </w:rPr>
        <w:t>Declarations:</w:t>
      </w:r>
    </w:p>
    <w:p>
      <w:pPr>
        <w:autoSpaceDE w:val="0"/>
        <w:autoSpaceDN w:val="0"/>
        <w:adjustRightInd w:val="0"/>
        <w:spacing w:line="360" w:lineRule="auto"/>
        <w:jc w:val="left"/>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Ethics approval and consent to participate</w:t>
      </w:r>
    </w:p>
    <w:p>
      <w:pPr>
        <w:autoSpaceDE w:val="0"/>
        <w:autoSpaceDN w:val="0"/>
        <w:adjustRightInd w:val="0"/>
        <w:spacing w:line="360" w:lineRule="auto"/>
        <w:jc w:val="both"/>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kern w:val="0"/>
          <w:sz w:val="24"/>
          <w:szCs w:val="24"/>
        </w:rPr>
        <w:t>This study was approved by the Ethics Committee of the First Affiliated Hospital, Guangdong Pharmaceutical University. This enrolled patient provided written, informed consent to be included in the study. All methods were performed in accordance with the relevant guidelines and regulations.</w:t>
      </w:r>
    </w:p>
    <w:p>
      <w:pPr>
        <w:autoSpaceDE w:val="0"/>
        <w:autoSpaceDN w:val="0"/>
        <w:adjustRightInd w:val="0"/>
        <w:spacing w:line="360" w:lineRule="auto"/>
        <w:jc w:val="left"/>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Consent for publication</w:t>
      </w:r>
    </w:p>
    <w:p>
      <w:pPr>
        <w:autoSpaceDE w:val="0"/>
        <w:autoSpaceDN w:val="0"/>
        <w:adjustRightInd w:val="0"/>
        <w:spacing w:line="360" w:lineRule="auto"/>
        <w:jc w:val="both"/>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kern w:val="0"/>
          <w:sz w:val="24"/>
          <w:szCs w:val="24"/>
          <w:lang w:val="en-US" w:eastAsia="zh-CN"/>
        </w:rPr>
        <w:t>The authors have obtained the patient’</w:t>
      </w:r>
      <w:r>
        <w:rPr>
          <w:rFonts w:hint="default" w:ascii="Times New Roman" w:hAnsi="Times New Roman" w:cs="Times New Roman"/>
          <w:color w:val="000000" w:themeColor="text1"/>
          <w:kern w:val="0"/>
          <w:sz w:val="24"/>
          <w:szCs w:val="24"/>
          <w:lang w:val="en-US" w:eastAsia="zh-CN"/>
        </w:rPr>
        <w:t xml:space="preserve">s written informed consent for print and electronic </w:t>
      </w:r>
      <w:r>
        <w:rPr>
          <w:rFonts w:hint="default" w:ascii="Times New Roman" w:hAnsi="Times New Roman" w:cs="Times New Roman"/>
          <w:color w:val="000000" w:themeColor="text1"/>
          <w:kern w:val="0"/>
          <w:sz w:val="24"/>
          <w:szCs w:val="24"/>
          <w:lang w:val="en-US" w:eastAsia="zh-CN"/>
        </w:rPr>
        <w:t>publication of this case report</w:t>
      </w:r>
      <w:r>
        <w:rPr>
          <w:rFonts w:hint="default" w:ascii="Times New Roman" w:hAnsi="Times New Roman" w:cs="Times New Roman"/>
          <w:color w:val="000000" w:themeColor="text1"/>
          <w:kern w:val="0"/>
          <w:sz w:val="24"/>
          <w:szCs w:val="24"/>
        </w:rPr>
        <w:t>.</w:t>
      </w:r>
    </w:p>
    <w:p>
      <w:pPr>
        <w:autoSpaceDE w:val="0"/>
        <w:autoSpaceDN w:val="0"/>
        <w:adjustRightInd w:val="0"/>
        <w:spacing w:line="360" w:lineRule="auto"/>
        <w:jc w:val="left"/>
        <w:rPr>
          <w:rFonts w:hint="default" w:ascii="Times New Roman" w:hAnsi="Times New Roman" w:cs="Times New Roman"/>
          <w:b/>
          <w:color w:val="000000" w:themeColor="text1"/>
          <w:kern w:val="0"/>
          <w:sz w:val="24"/>
          <w:szCs w:val="24"/>
        </w:rPr>
      </w:pPr>
      <w:r>
        <w:rPr>
          <w:rFonts w:hint="default" w:ascii="Times New Roman" w:hAnsi="Times New Roman" w:cs="Times New Roman"/>
          <w:b/>
          <w:color w:val="000000" w:themeColor="text1"/>
          <w:kern w:val="0"/>
          <w:sz w:val="24"/>
          <w:szCs w:val="24"/>
        </w:rPr>
        <w:t>Availability of Data and Materials</w:t>
      </w:r>
    </w:p>
    <w:p>
      <w:pPr>
        <w:autoSpaceDE w:val="0"/>
        <w:autoSpaceDN w:val="0"/>
        <w:adjustRightInd w:val="0"/>
        <w:spacing w:line="360" w:lineRule="auto"/>
        <w:rPr>
          <w:rFonts w:hint="default" w:ascii="Times New Roman" w:hAnsi="Times New Roman" w:cs="Times New Roman"/>
          <w:color w:val="000000" w:themeColor="text1"/>
          <w:kern w:val="0"/>
          <w:sz w:val="24"/>
          <w:szCs w:val="24"/>
        </w:rPr>
      </w:pPr>
      <w:r>
        <w:rPr>
          <w:rFonts w:hint="default" w:ascii="Times New Roman" w:hAnsi="Times New Roman" w:cs="Times New Roman"/>
          <w:color w:val="000000" w:themeColor="text1"/>
          <w:kern w:val="0"/>
          <w:sz w:val="24"/>
          <w:szCs w:val="24"/>
        </w:rPr>
        <w:t xml:space="preserve">The datasets generated and/or analysed during the current study are not publicly available due to privacy or ethical restrictions. But are available from the corresponding author on reasonable request. </w:t>
      </w:r>
    </w:p>
    <w:p>
      <w:pPr>
        <w:autoSpaceDE w:val="0"/>
        <w:autoSpaceDN w:val="0"/>
        <w:adjustRightInd w:val="0"/>
        <w:spacing w:line="360" w:lineRule="auto"/>
        <w:jc w:val="left"/>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Competing interests</w:t>
      </w:r>
    </w:p>
    <w:p>
      <w:pPr>
        <w:autoSpaceDE w:val="0"/>
        <w:autoSpaceDN w:val="0"/>
        <w:adjustRightInd w:val="0"/>
        <w:spacing w:line="360" w:lineRule="auto"/>
        <w:jc w:val="left"/>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The authors declare that they have no competing interests.</w:t>
      </w:r>
    </w:p>
    <w:p>
      <w:pPr>
        <w:autoSpaceDE w:val="0"/>
        <w:autoSpaceDN w:val="0"/>
        <w:adjustRightInd w:val="0"/>
        <w:spacing w:line="360" w:lineRule="auto"/>
        <w:jc w:val="left"/>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Funding</w:t>
      </w:r>
    </w:p>
    <w:p>
      <w:pPr>
        <w:autoSpaceDE w:val="0"/>
        <w:autoSpaceDN w:val="0"/>
        <w:adjustRightInd w:val="0"/>
        <w:spacing w:line="360" w:lineRule="auto"/>
        <w:jc w:val="left"/>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Not applicable.</w:t>
      </w:r>
    </w:p>
    <w:p>
      <w:pPr>
        <w:autoSpaceDE w:val="0"/>
        <w:autoSpaceDN w:val="0"/>
        <w:adjustRightInd w:val="0"/>
        <w:spacing w:line="360" w:lineRule="auto"/>
        <w:jc w:val="left"/>
        <w:rPr>
          <w:rFonts w:hint="default" w:ascii="Times New Roman" w:hAnsi="Times New Roman" w:cs="Times New Roman"/>
          <w:b/>
          <w:bCs/>
          <w:color w:val="000000" w:themeColor="text1"/>
          <w:sz w:val="24"/>
          <w:szCs w:val="24"/>
        </w:rPr>
      </w:pPr>
      <w:r>
        <w:rPr>
          <w:rFonts w:hint="default" w:ascii="Times New Roman" w:hAnsi="Times New Roman" w:cs="Times New Roman"/>
          <w:b/>
          <w:bCs/>
          <w:color w:val="000000" w:themeColor="text1"/>
          <w:sz w:val="24"/>
          <w:szCs w:val="24"/>
        </w:rPr>
        <w:t>Author’s contributions</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MF H and ZX P contributed to the conception of the study. ZH Z, AQ L and SF C contributed significantly to analysis and manuscript preparation. SP D performed the data analyses and wrote the manuscript.</w:t>
      </w:r>
    </w:p>
    <w:p>
      <w:pPr>
        <w:autoSpaceDE w:val="0"/>
        <w:autoSpaceDN w:val="0"/>
        <w:adjustRightInd w:val="0"/>
        <w:spacing w:line="360" w:lineRule="auto"/>
        <w:jc w:val="left"/>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Acknowledgements</w:t>
      </w:r>
    </w:p>
    <w:p>
      <w:pPr>
        <w:autoSpaceDE w:val="0"/>
        <w:autoSpaceDN w:val="0"/>
        <w:adjustRightInd w:val="0"/>
        <w:spacing w:line="360" w:lineRule="auto"/>
        <w:jc w:val="left"/>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We would like to acknowledge the subject who participated in this study.</w:t>
      </w:r>
    </w:p>
    <w:p>
      <w:pPr>
        <w:autoSpaceDE w:val="0"/>
        <w:autoSpaceDN w:val="0"/>
        <w:adjustRightInd w:val="0"/>
        <w:rPr>
          <w:rFonts w:ascii="Times New Roman" w:hAnsi="Times New Roman" w:eastAsia="AdvGulliv-R" w:cs="Times New Roman"/>
          <w:color w:val="000000" w:themeColor="text1"/>
          <w:kern w:val="0"/>
          <w:sz w:val="24"/>
          <w:szCs w:val="24"/>
        </w:rPr>
      </w:pPr>
    </w:p>
    <w:p>
      <w:pPr>
        <w:autoSpaceDE w:val="0"/>
        <w:autoSpaceDN w:val="0"/>
        <w:adjustRightInd w:val="0"/>
        <w:jc w:val="left"/>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t>References</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1. </w:t>
      </w:r>
      <w:r>
        <w:rPr>
          <w:rFonts w:ascii="Times New Roman" w:hAnsi="Times New Roman" w:cs="Times New Roman"/>
          <w:color w:val="000000" w:themeColor="text1"/>
          <w:shd w:val="clear" w:color="auto" w:fill="FFFFFF"/>
        </w:rPr>
        <w:t xml:space="preserve">Chinnery PF, Turnbull DM. Epidemiology and treatment of mitochondrial disorders. Am J Med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Genet. 2001 Spring;106(1):94-101.</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 xml:space="preserve">2. </w:t>
      </w:r>
      <w:r>
        <w:rPr>
          <w:rFonts w:ascii="Times New Roman" w:hAnsi="Times New Roman" w:cs="Times New Roman"/>
          <w:color w:val="000000" w:themeColor="text1"/>
          <w:shd w:val="clear" w:color="auto" w:fill="FFFFFF"/>
        </w:rPr>
        <w:t>Kaufmann P, Engelstad K, Wei Y, et al. Protean phenotypic features of the A3243G mitochondrial DNA mutation. Arch Neurol. 2009 Jan;66(1):85-91.</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3. </w:t>
      </w:r>
      <w:r>
        <w:rPr>
          <w:rFonts w:ascii="Times New Roman" w:hAnsi="Times New Roman" w:cs="Times New Roman"/>
          <w:color w:val="000000" w:themeColor="text1"/>
          <w:shd w:val="clear" w:color="auto" w:fill="FFFFFF"/>
        </w:rPr>
        <w:t xml:space="preserve">Mancuso M, Orsucci D, Angelini C, et al. The m.3243A&gt;G mitochondrial DNA mutation and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related phenotypes. A matter of gender? J Neurol. 2014 Mar;261(3):504-10.</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4. </w:t>
      </w:r>
      <w:r>
        <w:rPr>
          <w:rFonts w:ascii="Times New Roman" w:hAnsi="Times New Roman" w:cs="Times New Roman"/>
          <w:color w:val="000000" w:themeColor="text1"/>
          <w:shd w:val="clear" w:color="auto" w:fill="FFFFFF"/>
        </w:rPr>
        <w:t xml:space="preserve">El-Hattab AW, Adesina AM, Jones J, et al. MELAS syndrome: Clinical manifestations, </w:t>
      </w:r>
    </w:p>
    <w:p>
      <w:pPr>
        <w:autoSpaceDE w:val="0"/>
        <w:autoSpaceDN w:val="0"/>
        <w:adjustRightInd w:val="0"/>
        <w:ind w:firstLine="210" w:firstLine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pathogenesis, and treatment options. Mol Genet Metab. 2015 Sep-Oct;116(1-2):4-12. </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5. </w:t>
      </w:r>
      <w:r>
        <w:rPr>
          <w:rFonts w:ascii="Times New Roman" w:hAnsi="Times New Roman" w:cs="Times New Roman"/>
          <w:color w:val="000000" w:themeColor="text1"/>
          <w:shd w:val="clear" w:color="auto" w:fill="FFFFFF"/>
        </w:rPr>
        <w:t xml:space="preserve">Sinnecker T, Andelova M, Mayr M, et al. Diagnosis of adult-onset MELAS syndrome in a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63-year-old patient with suspected recurrent strokes - a case report. BMC Neurol. 2019 May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8;19(1):91.</w:t>
      </w:r>
    </w:p>
    <w:p>
      <w:pPr>
        <w:autoSpaceDE w:val="0"/>
        <w:autoSpaceDN w:val="0"/>
        <w:adjustRightInd w:val="0"/>
        <w:ind w:left="210" w:hanging="210" w:hangingChars="100"/>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6. </w:t>
      </w:r>
      <w:r>
        <w:rPr>
          <w:rFonts w:ascii="Times New Roman" w:hAnsi="Times New Roman" w:cs="Times New Roman"/>
          <w:color w:val="000000" w:themeColor="text1"/>
          <w:shd w:val="clear" w:color="auto" w:fill="FFFFFF"/>
        </w:rPr>
        <w:t>Aurangzeb S, Vale T, Tofaris G, et al. Mitochondrial encephalomyopathy with lactic acidosis and stroke-like episodes (MELAS) in the older adult. Pract Neurol. 2014 Dec;14(6):432-6.</w:t>
      </w:r>
    </w:p>
    <w:p>
      <w:pPr>
        <w:autoSpaceDE w:val="0"/>
        <w:autoSpaceDN w:val="0"/>
        <w:adjustRightInd w:val="0"/>
        <w:ind w:left="210" w:hanging="210" w:hangingChars="100"/>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7. </w:t>
      </w:r>
      <w:r>
        <w:rPr>
          <w:rFonts w:ascii="Times New Roman" w:hAnsi="Times New Roman" w:cs="Times New Roman"/>
          <w:color w:val="000000" w:themeColor="text1"/>
          <w:shd w:val="clear" w:color="auto" w:fill="FFFFFF"/>
        </w:rPr>
        <w:t>Mukai M, Nagata E, Mizuma A, et al. Adult-onset Mitochondrial Myopathy, Encephalopathy, Lactic Acidosis, and Stroke (MELAS)-like Encephalopathy Diagnosed Based on the Complete Sequencing of Mitochondrial DNA Extracted from Biopsied Muscle without any Myopathic Changes. Intern Med. 2017;56(1):95-99. </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8. Kwah LK, Diong J. National Institutes of Health Stroke Scale (NIHSS)[J]. Journal of Physiotherapy. 2014; 60:61.</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9. Van Adel BA, Tarnopolsky MA. Metabolic Myopathies: Update 2009[J]. Journal of Clinical Neuromuscular Disease. 2009; 10:97-121.</w:t>
      </w:r>
    </w:p>
    <w:p>
      <w:pPr>
        <w:autoSpaceDE w:val="0"/>
        <w:autoSpaceDN w:val="0"/>
        <w:adjustRightInd w:val="0"/>
        <w:ind w:left="21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10. </w:t>
      </w:r>
      <w:r>
        <w:rPr>
          <w:rFonts w:ascii="Times New Roman" w:hAnsi="Times New Roman" w:cs="Times New Roman"/>
          <w:color w:val="000000" w:themeColor="text1"/>
          <w:shd w:val="clear" w:color="auto" w:fill="FFFFFF"/>
        </w:rPr>
        <w:t>Pavlakis SG, Phillips PC, DiMauro S, et al. Mitochondrial myopathy, encephalopathy, lactic acidosis, and strokelike episodes: a distinctive clinical syndrome. Ann Neurol. 1984 Oct;16(4): 481-8. </w:t>
      </w:r>
    </w:p>
    <w:p>
      <w:pPr>
        <w:autoSpaceDE w:val="0"/>
        <w:autoSpaceDN w:val="0"/>
        <w:adjustRightInd w:val="0"/>
        <w:ind w:left="210" w:hanging="210" w:hangingChars="100"/>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 xml:space="preserve">11. </w:t>
      </w:r>
      <w:r>
        <w:rPr>
          <w:rFonts w:ascii="Times New Roman" w:hAnsi="Times New Roman" w:cs="Times New Roman"/>
          <w:color w:val="000000" w:themeColor="text1"/>
          <w:shd w:val="clear" w:color="auto" w:fill="FFFFFF"/>
        </w:rPr>
        <w:t>Hirano M, Pavlakis SG. Mitochondrial myopathy, encephalopathy, lactic acidosis, and stroke-like episodes (MELAS): current concepts. J Child Neurol. 1994 Jan;9(1):4-13.</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12. </w:t>
      </w:r>
      <w:r>
        <w:rPr>
          <w:rFonts w:ascii="Times New Roman" w:hAnsi="Times New Roman" w:cs="Times New Roman"/>
          <w:color w:val="000000" w:themeColor="text1"/>
          <w:shd w:val="clear" w:color="auto" w:fill="FFFFFF"/>
        </w:rPr>
        <w:t xml:space="preserve">Iizuka T, Sakai F, Suzuki N, et al. Neuronal hyperexcitability in stroke-like episodes of </w:t>
      </w:r>
    </w:p>
    <w:p>
      <w:pPr>
        <w:autoSpaceDE w:val="0"/>
        <w:autoSpaceDN w:val="0"/>
        <w:adjustRightInd w:val="0"/>
        <w:ind w:firstLine="210" w:firstLine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MELAS syndrome. Neurology. 2002 Sep 24;59(6):816-24. </w:t>
      </w:r>
    </w:p>
    <w:p>
      <w:pPr>
        <w:autoSpaceDE w:val="0"/>
        <w:autoSpaceDN w:val="0"/>
        <w:adjustRightInd w:val="0"/>
        <w:ind w:left="210" w:hanging="210" w:hangingChars="100"/>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13.</w:t>
      </w:r>
      <w:r>
        <w:rPr>
          <w:rFonts w:ascii="Times New Roman" w:hAnsi="Times New Roman" w:cs="Times New Roman"/>
          <w:color w:val="000000" w:themeColor="text1"/>
          <w:shd w:val="clear" w:color="auto" w:fill="FFFFFF"/>
        </w:rPr>
        <w:t xml:space="preserve"> Ikawa M, Yoneda M, Muramatsu T, et al. Detection of preclinically latent hyperperfusion due to stroke-like episodes by arterial spin-labeling perfusion MRI in MELAS patients. Mitochondrion. 2013 Nov;13(6):676-80. </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14. </w:t>
      </w:r>
      <w:r>
        <w:rPr>
          <w:rFonts w:ascii="Times New Roman" w:hAnsi="Times New Roman" w:cs="Times New Roman"/>
          <w:color w:val="000000" w:themeColor="text1"/>
          <w:kern w:val="0"/>
        </w:rPr>
        <w:t>Ho TW, Edvinsson L, Goadsby PJ. CGRP and its receptors provide new insights into migraine pathophysiology. Nat. Rev. Neurol. 2010; 6: 573-582</w:t>
      </w:r>
    </w:p>
    <w:p>
      <w:pPr>
        <w:autoSpaceDE w:val="0"/>
        <w:autoSpaceDN w:val="0"/>
        <w:adjustRightInd w:val="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15. Cutrer FM. Pathophysiology of migraine. Seminars in neurology. 2010; 30:120-130.</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16. Dong X, Guan X, Chen K, et al. Abnormal mitochondrial dynamics and impaired mitochondrial biogenesis in trigeminal ganglion neurons in a rat model of migraine. Neuroscience letters. 2017; 636:127-133.</w:t>
      </w:r>
    </w:p>
    <w:p>
      <w:pPr>
        <w:autoSpaceDE w:val="0"/>
        <w:autoSpaceDN w:val="0"/>
        <w:adjustRightInd w:val="0"/>
        <w:ind w:left="210" w:hanging="210" w:hangingChars="10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17. Adel BV, Tarnopolsky MA. Metabolic Myopathies: Update 2009[J]. Journal of Clinical Neuromuscular Disease, 2009,10(3):97-121.</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18.</w:t>
      </w:r>
      <w:r>
        <w:rPr>
          <w:rFonts w:ascii="Times New Roman" w:hAnsi="Times New Roman" w:cs="Times New Roman"/>
          <w:color w:val="000000" w:themeColor="text1"/>
          <w:shd w:val="clear" w:color="auto" w:fill="FFFFFF"/>
        </w:rPr>
        <w:t xml:space="preserve"> Baek MS, Kim SH, Lee YM. The Usefulness of Muscle Biopsy in Initial Diagnostic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Evaluation of Mitochondrial Encephalomyopathy, Lactic Acidosis, and Stroke-Like</w:t>
      </w:r>
    </w:p>
    <w:p>
      <w:pPr>
        <w:autoSpaceDE w:val="0"/>
        <w:autoSpaceDN w:val="0"/>
        <w:adjustRightInd w:val="0"/>
        <w:ind w:left="420" w:leftChars="100" w:hanging="210" w:hangingChars="100"/>
        <w:jc w:val="left"/>
        <w:rPr>
          <w:rFonts w:ascii="Times New Roman" w:hAnsi="Times New Roman" w:cs="Times New Roman"/>
          <w:color w:val="000000" w:themeColor="text1"/>
          <w:kern w:val="0"/>
          <w:szCs w:val="21"/>
        </w:rPr>
      </w:pPr>
      <w:r>
        <w:rPr>
          <w:rFonts w:ascii="Times New Roman" w:hAnsi="Times New Roman" w:cs="Times New Roman"/>
          <w:color w:val="000000" w:themeColor="text1"/>
          <w:shd w:val="clear" w:color="auto" w:fill="FFFFFF"/>
        </w:rPr>
        <w:t>Episodes. Yonsei Med J. 2019 Jan;60(1):98-105.</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19. </w:t>
      </w:r>
      <w:r>
        <w:rPr>
          <w:rFonts w:ascii="Times New Roman" w:hAnsi="Times New Roman" w:cs="Times New Roman"/>
          <w:color w:val="000000" w:themeColor="text1"/>
          <w:shd w:val="clear" w:color="auto" w:fill="FFFFFF"/>
        </w:rPr>
        <w:t xml:space="preserve">Lorenzoni PJ, Werneck LC, Kay CS, et al. When should MELAS (Mitochondrial myopathy, </w:t>
      </w:r>
    </w:p>
    <w:p>
      <w:pPr>
        <w:autoSpaceDE w:val="0"/>
        <w:autoSpaceDN w:val="0"/>
        <w:adjustRightInd w:val="0"/>
        <w:ind w:left="420" w:leftChars="100" w:hanging="210" w:hanging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Encephalopathy, Lactic Acidosis, and Stroke-like episodes) be the diagnosis? Arq </w:t>
      </w:r>
    </w:p>
    <w:p>
      <w:pPr>
        <w:autoSpaceDE w:val="0"/>
        <w:autoSpaceDN w:val="0"/>
        <w:adjustRightInd w:val="0"/>
        <w:ind w:firstLine="210" w:firstLineChars="1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Neuropsiquiatr. 2015 Nov;73(11):959-67.</w:t>
      </w:r>
    </w:p>
    <w:p>
      <w:pPr>
        <w:autoSpaceDE w:val="0"/>
        <w:autoSpaceDN w:val="0"/>
        <w:adjustRightInd w:val="0"/>
        <w:ind w:left="420" w:hanging="420" w:hangingChars="200"/>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kern w:val="0"/>
          <w:szCs w:val="21"/>
        </w:rPr>
        <w:t xml:space="preserve">20. </w:t>
      </w:r>
      <w:r>
        <w:rPr>
          <w:rFonts w:ascii="Times New Roman" w:hAnsi="Times New Roman" w:cs="Times New Roman"/>
          <w:color w:val="000000" w:themeColor="text1"/>
          <w:shd w:val="clear" w:color="auto" w:fill="FFFFFF"/>
        </w:rPr>
        <w:t xml:space="preserve">Finsterer J. Genetic Data Are a Prerequisite for Interpreting Clinical and Muscle Biopsy </w:t>
      </w:r>
    </w:p>
    <w:p>
      <w:pPr>
        <w:autoSpaceDE w:val="0"/>
        <w:autoSpaceDN w:val="0"/>
        <w:adjustRightInd w:val="0"/>
        <w:ind w:left="420" w:leftChars="100" w:hanging="210" w:hangingChars="100"/>
        <w:jc w:val="left"/>
        <w:rPr>
          <w:rFonts w:ascii="Times New Roman" w:hAnsi="Times New Roman" w:cs="Times New Roman"/>
          <w:color w:val="000000" w:themeColor="text1"/>
          <w:kern w:val="0"/>
          <w:szCs w:val="21"/>
        </w:rPr>
      </w:pPr>
      <w:r>
        <w:rPr>
          <w:rFonts w:ascii="Times New Roman" w:hAnsi="Times New Roman" w:cs="Times New Roman"/>
          <w:color w:val="000000" w:themeColor="text1"/>
          <w:shd w:val="clear" w:color="auto" w:fill="FFFFFF"/>
        </w:rPr>
        <w:t>Findings in MELAS. Yonsei Med J. 2019 Apr;60(4):399-400.</w:t>
      </w:r>
    </w:p>
    <w:p>
      <w:pPr>
        <w:autoSpaceDE w:val="0"/>
        <w:autoSpaceDN w:val="0"/>
        <w:adjustRightInd w:val="0"/>
        <w:ind w:left="420" w:hanging="420" w:hangingChars="200"/>
        <w:jc w:val="left"/>
        <w:rPr>
          <w:rFonts w:ascii="Times New Roman" w:hAnsi="Times New Roman" w:cs="Times New Roman"/>
          <w:color w:val="000000" w:themeColor="text1"/>
          <w:kern w:val="0"/>
          <w:szCs w:val="21"/>
        </w:rPr>
      </w:pPr>
    </w:p>
    <w:p>
      <w:pPr>
        <w:autoSpaceDE w:val="0"/>
        <w:autoSpaceDN w:val="0"/>
        <w:adjustRightInd w:val="0"/>
        <w:ind w:left="420" w:hanging="420" w:hangingChars="200"/>
        <w:jc w:val="left"/>
        <w:rPr>
          <w:rFonts w:ascii="Times New Roman" w:hAnsi="Times New Roman" w:cs="Times New Roman"/>
          <w:color w:val="000000" w:themeColor="text1"/>
          <w:kern w:val="0"/>
          <w:szCs w:val="21"/>
        </w:rPr>
      </w:pPr>
    </w:p>
    <w:p>
      <w:pPr>
        <w:autoSpaceDE w:val="0"/>
        <w:autoSpaceDN w:val="0"/>
        <w:adjustRightInd w:val="0"/>
        <w:ind w:left="420" w:hanging="420" w:hangingChars="200"/>
        <w:jc w:val="left"/>
        <w:rPr>
          <w:rFonts w:ascii="Times New Roman" w:hAnsi="Times New Roman" w:cs="Times New Roman"/>
          <w:color w:val="000000" w:themeColor="text1"/>
          <w:kern w:val="0"/>
          <w:szCs w:val="21"/>
        </w:rPr>
      </w:pPr>
    </w:p>
    <w:p>
      <w:pPr>
        <w:autoSpaceDE w:val="0"/>
        <w:autoSpaceDN w:val="0"/>
        <w:adjustRightInd w:val="0"/>
        <w:ind w:left="420" w:hanging="420" w:hangingChars="200"/>
        <w:jc w:val="left"/>
        <w:rPr>
          <w:rFonts w:ascii="Times New Roman" w:hAnsi="Times New Roman" w:cs="Times New Roman"/>
          <w:color w:val="000000" w:themeColor="text1"/>
          <w:kern w:val="0"/>
          <w:szCs w:val="21"/>
        </w:rPr>
      </w:pPr>
    </w:p>
    <w:p>
      <w:pPr>
        <w:autoSpaceDE w:val="0"/>
        <w:autoSpaceDN w:val="0"/>
        <w:adjustRightInd w:val="0"/>
        <w:ind w:left="210" w:hanging="210" w:hangingChars="100"/>
        <w:rPr>
          <w:rFonts w:ascii="Times New Roman" w:hAnsi="Times New Roman" w:cs="Times New Roman"/>
          <w:color w:val="000000" w:themeColor="text1"/>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dvGulliv-R">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dvOT8608a8d1+03">
    <w:altName w:val="等线"/>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23A37F"/>
    <w:multiLevelType w:val="singleLevel"/>
    <w:tmpl w:val="7123A37F"/>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ExOTRkMTJmZjJlM2Q0MWQzMjEzZGM5N2RjNGIyZmQifQ=="/>
  </w:docVars>
  <w:rsids>
    <w:rsidRoot w:val="008259F5"/>
    <w:rsid w:val="00000467"/>
    <w:rsid w:val="000014C8"/>
    <w:rsid w:val="00001D5A"/>
    <w:rsid w:val="00002418"/>
    <w:rsid w:val="00003564"/>
    <w:rsid w:val="00004C7A"/>
    <w:rsid w:val="00006849"/>
    <w:rsid w:val="0001284D"/>
    <w:rsid w:val="000153F1"/>
    <w:rsid w:val="00015C7B"/>
    <w:rsid w:val="00016B1D"/>
    <w:rsid w:val="00016FF7"/>
    <w:rsid w:val="000179F7"/>
    <w:rsid w:val="000206A5"/>
    <w:rsid w:val="00021027"/>
    <w:rsid w:val="00022A7A"/>
    <w:rsid w:val="00031796"/>
    <w:rsid w:val="000357AF"/>
    <w:rsid w:val="00035C8C"/>
    <w:rsid w:val="00035FD0"/>
    <w:rsid w:val="0003715C"/>
    <w:rsid w:val="00040B9D"/>
    <w:rsid w:val="000419B8"/>
    <w:rsid w:val="000431AE"/>
    <w:rsid w:val="00043F15"/>
    <w:rsid w:val="00044AB8"/>
    <w:rsid w:val="00045BDD"/>
    <w:rsid w:val="00050255"/>
    <w:rsid w:val="00050822"/>
    <w:rsid w:val="0005294A"/>
    <w:rsid w:val="00055D8E"/>
    <w:rsid w:val="0005608F"/>
    <w:rsid w:val="0005772B"/>
    <w:rsid w:val="00057F67"/>
    <w:rsid w:val="00062668"/>
    <w:rsid w:val="000650C0"/>
    <w:rsid w:val="00065484"/>
    <w:rsid w:val="00065C08"/>
    <w:rsid w:val="000710F2"/>
    <w:rsid w:val="0007670C"/>
    <w:rsid w:val="00080E5C"/>
    <w:rsid w:val="00085717"/>
    <w:rsid w:val="000861F4"/>
    <w:rsid w:val="00093B2E"/>
    <w:rsid w:val="00094449"/>
    <w:rsid w:val="00094A3C"/>
    <w:rsid w:val="000A1105"/>
    <w:rsid w:val="000A2F10"/>
    <w:rsid w:val="000A45FA"/>
    <w:rsid w:val="000A6578"/>
    <w:rsid w:val="000A7C40"/>
    <w:rsid w:val="000B1391"/>
    <w:rsid w:val="000B4419"/>
    <w:rsid w:val="000C1AC7"/>
    <w:rsid w:val="000C488C"/>
    <w:rsid w:val="000C5BD3"/>
    <w:rsid w:val="000C6E7D"/>
    <w:rsid w:val="000D02C3"/>
    <w:rsid w:val="000E014D"/>
    <w:rsid w:val="000E215C"/>
    <w:rsid w:val="000E54C8"/>
    <w:rsid w:val="000E5FC3"/>
    <w:rsid w:val="000E641F"/>
    <w:rsid w:val="000F51CD"/>
    <w:rsid w:val="000F56CC"/>
    <w:rsid w:val="00102090"/>
    <w:rsid w:val="001053E4"/>
    <w:rsid w:val="001104EA"/>
    <w:rsid w:val="00110F4B"/>
    <w:rsid w:val="00112784"/>
    <w:rsid w:val="00115D56"/>
    <w:rsid w:val="001203A7"/>
    <w:rsid w:val="00121396"/>
    <w:rsid w:val="0012218C"/>
    <w:rsid w:val="00124FB9"/>
    <w:rsid w:val="00126076"/>
    <w:rsid w:val="00130637"/>
    <w:rsid w:val="00131C3E"/>
    <w:rsid w:val="0013552D"/>
    <w:rsid w:val="00140810"/>
    <w:rsid w:val="00147602"/>
    <w:rsid w:val="0015362E"/>
    <w:rsid w:val="0015369B"/>
    <w:rsid w:val="00154BEC"/>
    <w:rsid w:val="00154F9F"/>
    <w:rsid w:val="00155B58"/>
    <w:rsid w:val="00157B3E"/>
    <w:rsid w:val="001607EC"/>
    <w:rsid w:val="00160D01"/>
    <w:rsid w:val="00161D0D"/>
    <w:rsid w:val="0017735E"/>
    <w:rsid w:val="001816A0"/>
    <w:rsid w:val="0018745E"/>
    <w:rsid w:val="00196EDD"/>
    <w:rsid w:val="001971AD"/>
    <w:rsid w:val="001A02D6"/>
    <w:rsid w:val="001A2881"/>
    <w:rsid w:val="001A303F"/>
    <w:rsid w:val="001B1FCC"/>
    <w:rsid w:val="001B3969"/>
    <w:rsid w:val="001C5B83"/>
    <w:rsid w:val="001C6B01"/>
    <w:rsid w:val="001D0B6E"/>
    <w:rsid w:val="001D14E9"/>
    <w:rsid w:val="001D2E95"/>
    <w:rsid w:val="001D3D04"/>
    <w:rsid w:val="001D546C"/>
    <w:rsid w:val="001D5C34"/>
    <w:rsid w:val="001E0E50"/>
    <w:rsid w:val="001E3C19"/>
    <w:rsid w:val="001E6DFA"/>
    <w:rsid w:val="001E77EA"/>
    <w:rsid w:val="001E7CDA"/>
    <w:rsid w:val="001F007D"/>
    <w:rsid w:val="00200197"/>
    <w:rsid w:val="00201147"/>
    <w:rsid w:val="00206575"/>
    <w:rsid w:val="00207822"/>
    <w:rsid w:val="00211BD4"/>
    <w:rsid w:val="00212309"/>
    <w:rsid w:val="00212758"/>
    <w:rsid w:val="002131B9"/>
    <w:rsid w:val="00214833"/>
    <w:rsid w:val="0021541E"/>
    <w:rsid w:val="0021612D"/>
    <w:rsid w:val="00217DF5"/>
    <w:rsid w:val="002203C2"/>
    <w:rsid w:val="00224929"/>
    <w:rsid w:val="00227D22"/>
    <w:rsid w:val="00232DF9"/>
    <w:rsid w:val="00236807"/>
    <w:rsid w:val="00240E95"/>
    <w:rsid w:val="002442D8"/>
    <w:rsid w:val="00244680"/>
    <w:rsid w:val="00244A72"/>
    <w:rsid w:val="00244CF1"/>
    <w:rsid w:val="00246824"/>
    <w:rsid w:val="00246841"/>
    <w:rsid w:val="00247A10"/>
    <w:rsid w:val="002510B6"/>
    <w:rsid w:val="00252DE6"/>
    <w:rsid w:val="002558FD"/>
    <w:rsid w:val="00261EFA"/>
    <w:rsid w:val="002637B4"/>
    <w:rsid w:val="0026437C"/>
    <w:rsid w:val="002664BB"/>
    <w:rsid w:val="00266A69"/>
    <w:rsid w:val="00266A7B"/>
    <w:rsid w:val="00266C71"/>
    <w:rsid w:val="00266D7C"/>
    <w:rsid w:val="002707EA"/>
    <w:rsid w:val="0027332F"/>
    <w:rsid w:val="00273B46"/>
    <w:rsid w:val="00292869"/>
    <w:rsid w:val="002951C8"/>
    <w:rsid w:val="0029546D"/>
    <w:rsid w:val="002961EF"/>
    <w:rsid w:val="002A354D"/>
    <w:rsid w:val="002A3ADB"/>
    <w:rsid w:val="002B125C"/>
    <w:rsid w:val="002B209E"/>
    <w:rsid w:val="002D1E93"/>
    <w:rsid w:val="002D229C"/>
    <w:rsid w:val="002D3D20"/>
    <w:rsid w:val="002D77BC"/>
    <w:rsid w:val="002E2635"/>
    <w:rsid w:val="002E3BA5"/>
    <w:rsid w:val="002E4D7B"/>
    <w:rsid w:val="002E72C3"/>
    <w:rsid w:val="002E7BA6"/>
    <w:rsid w:val="002F1E85"/>
    <w:rsid w:val="002F4CA9"/>
    <w:rsid w:val="002F4EFD"/>
    <w:rsid w:val="0030249A"/>
    <w:rsid w:val="00304772"/>
    <w:rsid w:val="00306915"/>
    <w:rsid w:val="00311513"/>
    <w:rsid w:val="00314652"/>
    <w:rsid w:val="00314AC4"/>
    <w:rsid w:val="003168F9"/>
    <w:rsid w:val="00322F92"/>
    <w:rsid w:val="00323F9F"/>
    <w:rsid w:val="003266A4"/>
    <w:rsid w:val="003312DE"/>
    <w:rsid w:val="00331602"/>
    <w:rsid w:val="00331CA5"/>
    <w:rsid w:val="00334515"/>
    <w:rsid w:val="00336252"/>
    <w:rsid w:val="00337CC9"/>
    <w:rsid w:val="003428D8"/>
    <w:rsid w:val="00355840"/>
    <w:rsid w:val="00355B85"/>
    <w:rsid w:val="00363D2B"/>
    <w:rsid w:val="00363E7B"/>
    <w:rsid w:val="0036463E"/>
    <w:rsid w:val="00365A17"/>
    <w:rsid w:val="003668D7"/>
    <w:rsid w:val="00366EC7"/>
    <w:rsid w:val="00367661"/>
    <w:rsid w:val="0037009F"/>
    <w:rsid w:val="00370363"/>
    <w:rsid w:val="00371C25"/>
    <w:rsid w:val="00374920"/>
    <w:rsid w:val="00376043"/>
    <w:rsid w:val="00381BCE"/>
    <w:rsid w:val="00384D59"/>
    <w:rsid w:val="00386FB6"/>
    <w:rsid w:val="00392556"/>
    <w:rsid w:val="003949A2"/>
    <w:rsid w:val="003A3746"/>
    <w:rsid w:val="003A3DC4"/>
    <w:rsid w:val="003B01B6"/>
    <w:rsid w:val="003B382C"/>
    <w:rsid w:val="003B434E"/>
    <w:rsid w:val="003C11BA"/>
    <w:rsid w:val="003C1820"/>
    <w:rsid w:val="003C2B10"/>
    <w:rsid w:val="003C5066"/>
    <w:rsid w:val="003C5E13"/>
    <w:rsid w:val="003D3034"/>
    <w:rsid w:val="003D56C7"/>
    <w:rsid w:val="003E0EAA"/>
    <w:rsid w:val="003E14F7"/>
    <w:rsid w:val="003E385F"/>
    <w:rsid w:val="003F26E2"/>
    <w:rsid w:val="003F4D86"/>
    <w:rsid w:val="003F6216"/>
    <w:rsid w:val="003F689D"/>
    <w:rsid w:val="003F73E7"/>
    <w:rsid w:val="0040060E"/>
    <w:rsid w:val="004054AF"/>
    <w:rsid w:val="0040657B"/>
    <w:rsid w:val="004074E1"/>
    <w:rsid w:val="004107E9"/>
    <w:rsid w:val="00411AA6"/>
    <w:rsid w:val="00413328"/>
    <w:rsid w:val="00416CC0"/>
    <w:rsid w:val="00420306"/>
    <w:rsid w:val="00420A4D"/>
    <w:rsid w:val="00421825"/>
    <w:rsid w:val="004226C8"/>
    <w:rsid w:val="00423810"/>
    <w:rsid w:val="00424587"/>
    <w:rsid w:val="00425D8E"/>
    <w:rsid w:val="00425F75"/>
    <w:rsid w:val="004265C0"/>
    <w:rsid w:val="00432792"/>
    <w:rsid w:val="004344DC"/>
    <w:rsid w:val="004421A6"/>
    <w:rsid w:val="00442EC7"/>
    <w:rsid w:val="00443962"/>
    <w:rsid w:val="00445A5F"/>
    <w:rsid w:val="0044674D"/>
    <w:rsid w:val="00447F75"/>
    <w:rsid w:val="00450C15"/>
    <w:rsid w:val="00452516"/>
    <w:rsid w:val="004528CC"/>
    <w:rsid w:val="00454C99"/>
    <w:rsid w:val="00457B09"/>
    <w:rsid w:val="00457E12"/>
    <w:rsid w:val="0046080C"/>
    <w:rsid w:val="00462989"/>
    <w:rsid w:val="0046449A"/>
    <w:rsid w:val="00470D6D"/>
    <w:rsid w:val="00471F8C"/>
    <w:rsid w:val="00472013"/>
    <w:rsid w:val="00472759"/>
    <w:rsid w:val="00473310"/>
    <w:rsid w:val="00477AF0"/>
    <w:rsid w:val="00483197"/>
    <w:rsid w:val="00485507"/>
    <w:rsid w:val="00486212"/>
    <w:rsid w:val="004868AB"/>
    <w:rsid w:val="004921D2"/>
    <w:rsid w:val="004A03B7"/>
    <w:rsid w:val="004A199F"/>
    <w:rsid w:val="004A2B42"/>
    <w:rsid w:val="004A4A8A"/>
    <w:rsid w:val="004A629B"/>
    <w:rsid w:val="004B2EA7"/>
    <w:rsid w:val="004D099B"/>
    <w:rsid w:val="004D1861"/>
    <w:rsid w:val="004D2624"/>
    <w:rsid w:val="004D2798"/>
    <w:rsid w:val="004D4FB1"/>
    <w:rsid w:val="004D6376"/>
    <w:rsid w:val="004D6FF1"/>
    <w:rsid w:val="004E0737"/>
    <w:rsid w:val="004E0AEB"/>
    <w:rsid w:val="004F000F"/>
    <w:rsid w:val="004F01C6"/>
    <w:rsid w:val="004F070F"/>
    <w:rsid w:val="004F0765"/>
    <w:rsid w:val="004F1605"/>
    <w:rsid w:val="004F1710"/>
    <w:rsid w:val="004F1B29"/>
    <w:rsid w:val="004F2E68"/>
    <w:rsid w:val="004F7A6C"/>
    <w:rsid w:val="00500F8A"/>
    <w:rsid w:val="0050599F"/>
    <w:rsid w:val="00516EF2"/>
    <w:rsid w:val="00523773"/>
    <w:rsid w:val="005265DF"/>
    <w:rsid w:val="005274C7"/>
    <w:rsid w:val="00531874"/>
    <w:rsid w:val="0054086E"/>
    <w:rsid w:val="00544CD6"/>
    <w:rsid w:val="00544E95"/>
    <w:rsid w:val="005476E1"/>
    <w:rsid w:val="005519AB"/>
    <w:rsid w:val="005564AA"/>
    <w:rsid w:val="00571957"/>
    <w:rsid w:val="00572075"/>
    <w:rsid w:val="00575199"/>
    <w:rsid w:val="005851DE"/>
    <w:rsid w:val="00595391"/>
    <w:rsid w:val="00596F7E"/>
    <w:rsid w:val="005A0A91"/>
    <w:rsid w:val="005A3032"/>
    <w:rsid w:val="005A6491"/>
    <w:rsid w:val="005A783F"/>
    <w:rsid w:val="005B0387"/>
    <w:rsid w:val="005B2CCB"/>
    <w:rsid w:val="005B5A2F"/>
    <w:rsid w:val="005B6B40"/>
    <w:rsid w:val="005B7B3B"/>
    <w:rsid w:val="005C02FB"/>
    <w:rsid w:val="005C0CD1"/>
    <w:rsid w:val="005C19AB"/>
    <w:rsid w:val="005C1A9B"/>
    <w:rsid w:val="005C64B9"/>
    <w:rsid w:val="005C6D90"/>
    <w:rsid w:val="005D4CA5"/>
    <w:rsid w:val="005D79CD"/>
    <w:rsid w:val="005E002D"/>
    <w:rsid w:val="005E54B2"/>
    <w:rsid w:val="005E7E60"/>
    <w:rsid w:val="005F01E8"/>
    <w:rsid w:val="005F0745"/>
    <w:rsid w:val="005F292D"/>
    <w:rsid w:val="005F4DA7"/>
    <w:rsid w:val="005F6040"/>
    <w:rsid w:val="005F6EAE"/>
    <w:rsid w:val="0060124C"/>
    <w:rsid w:val="00602664"/>
    <w:rsid w:val="00602B5A"/>
    <w:rsid w:val="006125FB"/>
    <w:rsid w:val="006141B7"/>
    <w:rsid w:val="00614410"/>
    <w:rsid w:val="006179F0"/>
    <w:rsid w:val="00621394"/>
    <w:rsid w:val="0062362D"/>
    <w:rsid w:val="00623862"/>
    <w:rsid w:val="00624EC9"/>
    <w:rsid w:val="006331C7"/>
    <w:rsid w:val="0063447B"/>
    <w:rsid w:val="00634C32"/>
    <w:rsid w:val="006400C0"/>
    <w:rsid w:val="00641DAD"/>
    <w:rsid w:val="00646EF1"/>
    <w:rsid w:val="00650176"/>
    <w:rsid w:val="00654C0E"/>
    <w:rsid w:val="006600D7"/>
    <w:rsid w:val="006606CC"/>
    <w:rsid w:val="0066271E"/>
    <w:rsid w:val="00662D20"/>
    <w:rsid w:val="00662E36"/>
    <w:rsid w:val="00662FDF"/>
    <w:rsid w:val="006670C7"/>
    <w:rsid w:val="00671AF6"/>
    <w:rsid w:val="006728BC"/>
    <w:rsid w:val="0068002E"/>
    <w:rsid w:val="00682EBC"/>
    <w:rsid w:val="00685414"/>
    <w:rsid w:val="006926B7"/>
    <w:rsid w:val="006A243D"/>
    <w:rsid w:val="006A4552"/>
    <w:rsid w:val="006B0092"/>
    <w:rsid w:val="006B3517"/>
    <w:rsid w:val="006C4805"/>
    <w:rsid w:val="006C4D9A"/>
    <w:rsid w:val="006D05B4"/>
    <w:rsid w:val="006D060A"/>
    <w:rsid w:val="006D24C1"/>
    <w:rsid w:val="006D71E5"/>
    <w:rsid w:val="006D747C"/>
    <w:rsid w:val="006D7B22"/>
    <w:rsid w:val="006E0FEE"/>
    <w:rsid w:val="006E14C8"/>
    <w:rsid w:val="006E2E3C"/>
    <w:rsid w:val="006E4184"/>
    <w:rsid w:val="006F4D3C"/>
    <w:rsid w:val="006F5D2D"/>
    <w:rsid w:val="00701D7B"/>
    <w:rsid w:val="00702CD2"/>
    <w:rsid w:val="00707A45"/>
    <w:rsid w:val="00712650"/>
    <w:rsid w:val="007129BD"/>
    <w:rsid w:val="0071341B"/>
    <w:rsid w:val="0071778E"/>
    <w:rsid w:val="00720432"/>
    <w:rsid w:val="007251FB"/>
    <w:rsid w:val="00727385"/>
    <w:rsid w:val="00732A07"/>
    <w:rsid w:val="007332A6"/>
    <w:rsid w:val="00736406"/>
    <w:rsid w:val="00747106"/>
    <w:rsid w:val="00747CBC"/>
    <w:rsid w:val="00754396"/>
    <w:rsid w:val="00756679"/>
    <w:rsid w:val="00757919"/>
    <w:rsid w:val="00760E64"/>
    <w:rsid w:val="0076383D"/>
    <w:rsid w:val="00764D65"/>
    <w:rsid w:val="007650A4"/>
    <w:rsid w:val="007665C3"/>
    <w:rsid w:val="007678FF"/>
    <w:rsid w:val="00767B9D"/>
    <w:rsid w:val="00772B23"/>
    <w:rsid w:val="0077570E"/>
    <w:rsid w:val="00775910"/>
    <w:rsid w:val="00776DAD"/>
    <w:rsid w:val="00776DBA"/>
    <w:rsid w:val="00777B62"/>
    <w:rsid w:val="00782EAB"/>
    <w:rsid w:val="00782EFD"/>
    <w:rsid w:val="00782F3F"/>
    <w:rsid w:val="00785CCE"/>
    <w:rsid w:val="00795ADB"/>
    <w:rsid w:val="007963E5"/>
    <w:rsid w:val="007A1288"/>
    <w:rsid w:val="007A1934"/>
    <w:rsid w:val="007A34A6"/>
    <w:rsid w:val="007A35AB"/>
    <w:rsid w:val="007A3828"/>
    <w:rsid w:val="007A59B6"/>
    <w:rsid w:val="007A6B48"/>
    <w:rsid w:val="007B26C3"/>
    <w:rsid w:val="007B5990"/>
    <w:rsid w:val="007C454E"/>
    <w:rsid w:val="007C6026"/>
    <w:rsid w:val="007D00D5"/>
    <w:rsid w:val="007D02DE"/>
    <w:rsid w:val="007D518A"/>
    <w:rsid w:val="007D6419"/>
    <w:rsid w:val="007E2ED6"/>
    <w:rsid w:val="007E2F6A"/>
    <w:rsid w:val="007F3318"/>
    <w:rsid w:val="007F5029"/>
    <w:rsid w:val="007F6718"/>
    <w:rsid w:val="008024FA"/>
    <w:rsid w:val="008056E0"/>
    <w:rsid w:val="00806848"/>
    <w:rsid w:val="00807BBD"/>
    <w:rsid w:val="0081085A"/>
    <w:rsid w:val="008108A0"/>
    <w:rsid w:val="008147CF"/>
    <w:rsid w:val="00815DE5"/>
    <w:rsid w:val="00815E07"/>
    <w:rsid w:val="00816505"/>
    <w:rsid w:val="0082078D"/>
    <w:rsid w:val="00821542"/>
    <w:rsid w:val="008257B2"/>
    <w:rsid w:val="008259F5"/>
    <w:rsid w:val="00831BAC"/>
    <w:rsid w:val="0083468B"/>
    <w:rsid w:val="0083631E"/>
    <w:rsid w:val="00836C5A"/>
    <w:rsid w:val="00836E48"/>
    <w:rsid w:val="008379F0"/>
    <w:rsid w:val="008408F0"/>
    <w:rsid w:val="00851A18"/>
    <w:rsid w:val="0085598C"/>
    <w:rsid w:val="00857681"/>
    <w:rsid w:val="008616E9"/>
    <w:rsid w:val="00863962"/>
    <w:rsid w:val="008649AC"/>
    <w:rsid w:val="008760FE"/>
    <w:rsid w:val="0087799C"/>
    <w:rsid w:val="008803BB"/>
    <w:rsid w:val="0088068B"/>
    <w:rsid w:val="0088626D"/>
    <w:rsid w:val="00887CB7"/>
    <w:rsid w:val="00890804"/>
    <w:rsid w:val="00893BA5"/>
    <w:rsid w:val="00894AC3"/>
    <w:rsid w:val="008A1F5F"/>
    <w:rsid w:val="008A66C9"/>
    <w:rsid w:val="008A714F"/>
    <w:rsid w:val="008B06D3"/>
    <w:rsid w:val="008B16B1"/>
    <w:rsid w:val="008B41E9"/>
    <w:rsid w:val="008B43AC"/>
    <w:rsid w:val="008B60D3"/>
    <w:rsid w:val="008B6B04"/>
    <w:rsid w:val="008C3C25"/>
    <w:rsid w:val="008C6F25"/>
    <w:rsid w:val="008C76DB"/>
    <w:rsid w:val="008D1E4F"/>
    <w:rsid w:val="008D34EA"/>
    <w:rsid w:val="008D417F"/>
    <w:rsid w:val="008D4A1A"/>
    <w:rsid w:val="008D609B"/>
    <w:rsid w:val="008E0E14"/>
    <w:rsid w:val="008E6291"/>
    <w:rsid w:val="008F3326"/>
    <w:rsid w:val="008F3D79"/>
    <w:rsid w:val="008F65A2"/>
    <w:rsid w:val="00900782"/>
    <w:rsid w:val="00902E5D"/>
    <w:rsid w:val="00903417"/>
    <w:rsid w:val="00904BA3"/>
    <w:rsid w:val="0091068A"/>
    <w:rsid w:val="0091084D"/>
    <w:rsid w:val="009138BA"/>
    <w:rsid w:val="00915AC7"/>
    <w:rsid w:val="00915AF3"/>
    <w:rsid w:val="0092010D"/>
    <w:rsid w:val="00920E0D"/>
    <w:rsid w:val="009277CD"/>
    <w:rsid w:val="00927972"/>
    <w:rsid w:val="0093158A"/>
    <w:rsid w:val="00936D2E"/>
    <w:rsid w:val="00951C5F"/>
    <w:rsid w:val="0095561A"/>
    <w:rsid w:val="0095561B"/>
    <w:rsid w:val="0096212F"/>
    <w:rsid w:val="009661CD"/>
    <w:rsid w:val="00967C4E"/>
    <w:rsid w:val="009771B5"/>
    <w:rsid w:val="00982E80"/>
    <w:rsid w:val="0098375A"/>
    <w:rsid w:val="00984524"/>
    <w:rsid w:val="00987D11"/>
    <w:rsid w:val="00987E3E"/>
    <w:rsid w:val="009954BD"/>
    <w:rsid w:val="009A139A"/>
    <w:rsid w:val="009A1DC3"/>
    <w:rsid w:val="009A2156"/>
    <w:rsid w:val="009A392E"/>
    <w:rsid w:val="009A5726"/>
    <w:rsid w:val="009B0B2F"/>
    <w:rsid w:val="009B0E6B"/>
    <w:rsid w:val="009B11A7"/>
    <w:rsid w:val="009B1532"/>
    <w:rsid w:val="009B2932"/>
    <w:rsid w:val="009B2942"/>
    <w:rsid w:val="009B6A49"/>
    <w:rsid w:val="009B6E1D"/>
    <w:rsid w:val="009B7608"/>
    <w:rsid w:val="009C11CE"/>
    <w:rsid w:val="009C4159"/>
    <w:rsid w:val="009D0506"/>
    <w:rsid w:val="009D056E"/>
    <w:rsid w:val="009D0580"/>
    <w:rsid w:val="009D2C5D"/>
    <w:rsid w:val="009E1188"/>
    <w:rsid w:val="009E3503"/>
    <w:rsid w:val="009E77B8"/>
    <w:rsid w:val="009F555D"/>
    <w:rsid w:val="009F6D7E"/>
    <w:rsid w:val="009F7B6C"/>
    <w:rsid w:val="009F7E48"/>
    <w:rsid w:val="00A0743E"/>
    <w:rsid w:val="00A10861"/>
    <w:rsid w:val="00A14843"/>
    <w:rsid w:val="00A1611C"/>
    <w:rsid w:val="00A219DD"/>
    <w:rsid w:val="00A21CAE"/>
    <w:rsid w:val="00A21FB3"/>
    <w:rsid w:val="00A21FBD"/>
    <w:rsid w:val="00A22237"/>
    <w:rsid w:val="00A23158"/>
    <w:rsid w:val="00A238CE"/>
    <w:rsid w:val="00A241B4"/>
    <w:rsid w:val="00A26963"/>
    <w:rsid w:val="00A26A17"/>
    <w:rsid w:val="00A31AF9"/>
    <w:rsid w:val="00A35C7C"/>
    <w:rsid w:val="00A451D0"/>
    <w:rsid w:val="00A46F28"/>
    <w:rsid w:val="00A50ED0"/>
    <w:rsid w:val="00A5219D"/>
    <w:rsid w:val="00A578C3"/>
    <w:rsid w:val="00A63AC4"/>
    <w:rsid w:val="00A63E0B"/>
    <w:rsid w:val="00A640F6"/>
    <w:rsid w:val="00A711A2"/>
    <w:rsid w:val="00A72C26"/>
    <w:rsid w:val="00A8630D"/>
    <w:rsid w:val="00A90229"/>
    <w:rsid w:val="00A92497"/>
    <w:rsid w:val="00A93634"/>
    <w:rsid w:val="00A93FB6"/>
    <w:rsid w:val="00A94FCD"/>
    <w:rsid w:val="00AA0732"/>
    <w:rsid w:val="00AA21CE"/>
    <w:rsid w:val="00AA3612"/>
    <w:rsid w:val="00AA4128"/>
    <w:rsid w:val="00AA5B1B"/>
    <w:rsid w:val="00AA6E6D"/>
    <w:rsid w:val="00AB2AD8"/>
    <w:rsid w:val="00AB5034"/>
    <w:rsid w:val="00AB77C8"/>
    <w:rsid w:val="00AC1010"/>
    <w:rsid w:val="00AC2251"/>
    <w:rsid w:val="00AD1904"/>
    <w:rsid w:val="00AD2980"/>
    <w:rsid w:val="00AD3B57"/>
    <w:rsid w:val="00AD4E57"/>
    <w:rsid w:val="00AD53E5"/>
    <w:rsid w:val="00AE061C"/>
    <w:rsid w:val="00AE140B"/>
    <w:rsid w:val="00AE7963"/>
    <w:rsid w:val="00AF1E24"/>
    <w:rsid w:val="00AF62E1"/>
    <w:rsid w:val="00B00FE5"/>
    <w:rsid w:val="00B037DE"/>
    <w:rsid w:val="00B0489E"/>
    <w:rsid w:val="00B04F43"/>
    <w:rsid w:val="00B058C0"/>
    <w:rsid w:val="00B06C92"/>
    <w:rsid w:val="00B070A4"/>
    <w:rsid w:val="00B07A80"/>
    <w:rsid w:val="00B104C4"/>
    <w:rsid w:val="00B11651"/>
    <w:rsid w:val="00B13A65"/>
    <w:rsid w:val="00B17367"/>
    <w:rsid w:val="00B17A0F"/>
    <w:rsid w:val="00B2116B"/>
    <w:rsid w:val="00B2685D"/>
    <w:rsid w:val="00B27FD7"/>
    <w:rsid w:val="00B31B06"/>
    <w:rsid w:val="00B35643"/>
    <w:rsid w:val="00B42843"/>
    <w:rsid w:val="00B44F32"/>
    <w:rsid w:val="00B455E4"/>
    <w:rsid w:val="00B46D0C"/>
    <w:rsid w:val="00B47959"/>
    <w:rsid w:val="00B547CE"/>
    <w:rsid w:val="00B55FFC"/>
    <w:rsid w:val="00B56F2B"/>
    <w:rsid w:val="00B62198"/>
    <w:rsid w:val="00B67120"/>
    <w:rsid w:val="00B7219D"/>
    <w:rsid w:val="00B741D3"/>
    <w:rsid w:val="00B854D3"/>
    <w:rsid w:val="00B86A1D"/>
    <w:rsid w:val="00B877CE"/>
    <w:rsid w:val="00B903C1"/>
    <w:rsid w:val="00B90E5E"/>
    <w:rsid w:val="00B93891"/>
    <w:rsid w:val="00BA2605"/>
    <w:rsid w:val="00BA398B"/>
    <w:rsid w:val="00BA3B62"/>
    <w:rsid w:val="00BA7B67"/>
    <w:rsid w:val="00BB2837"/>
    <w:rsid w:val="00BB4455"/>
    <w:rsid w:val="00BB5F08"/>
    <w:rsid w:val="00BB7014"/>
    <w:rsid w:val="00BC005C"/>
    <w:rsid w:val="00BC02D8"/>
    <w:rsid w:val="00BC09E9"/>
    <w:rsid w:val="00BC0BE3"/>
    <w:rsid w:val="00BC1D3D"/>
    <w:rsid w:val="00BC464C"/>
    <w:rsid w:val="00BD23F2"/>
    <w:rsid w:val="00BD5FD9"/>
    <w:rsid w:val="00BD69E8"/>
    <w:rsid w:val="00BE3059"/>
    <w:rsid w:val="00BE35FF"/>
    <w:rsid w:val="00BE662D"/>
    <w:rsid w:val="00BF299C"/>
    <w:rsid w:val="00BF375A"/>
    <w:rsid w:val="00BF48FF"/>
    <w:rsid w:val="00BF6AA9"/>
    <w:rsid w:val="00BF7ED1"/>
    <w:rsid w:val="00C02835"/>
    <w:rsid w:val="00C07586"/>
    <w:rsid w:val="00C1438F"/>
    <w:rsid w:val="00C24883"/>
    <w:rsid w:val="00C252AC"/>
    <w:rsid w:val="00C30459"/>
    <w:rsid w:val="00C37217"/>
    <w:rsid w:val="00C40C8C"/>
    <w:rsid w:val="00C415B9"/>
    <w:rsid w:val="00C43994"/>
    <w:rsid w:val="00C44445"/>
    <w:rsid w:val="00C444EB"/>
    <w:rsid w:val="00C44EA0"/>
    <w:rsid w:val="00C45468"/>
    <w:rsid w:val="00C47425"/>
    <w:rsid w:val="00C50C1A"/>
    <w:rsid w:val="00C56ADE"/>
    <w:rsid w:val="00C571E3"/>
    <w:rsid w:val="00C5785E"/>
    <w:rsid w:val="00C60131"/>
    <w:rsid w:val="00C66C07"/>
    <w:rsid w:val="00C66F31"/>
    <w:rsid w:val="00C6729E"/>
    <w:rsid w:val="00C70650"/>
    <w:rsid w:val="00C71DE0"/>
    <w:rsid w:val="00C71ECC"/>
    <w:rsid w:val="00C73C0B"/>
    <w:rsid w:val="00C84F8C"/>
    <w:rsid w:val="00C850E3"/>
    <w:rsid w:val="00C87BEE"/>
    <w:rsid w:val="00C9245E"/>
    <w:rsid w:val="00C92B91"/>
    <w:rsid w:val="00C96777"/>
    <w:rsid w:val="00C96B25"/>
    <w:rsid w:val="00CA0EC1"/>
    <w:rsid w:val="00CA10DD"/>
    <w:rsid w:val="00CA627B"/>
    <w:rsid w:val="00CA70B5"/>
    <w:rsid w:val="00CA753A"/>
    <w:rsid w:val="00CB0D08"/>
    <w:rsid w:val="00CB1426"/>
    <w:rsid w:val="00CB54D1"/>
    <w:rsid w:val="00CB755F"/>
    <w:rsid w:val="00CC7886"/>
    <w:rsid w:val="00CD4FCD"/>
    <w:rsid w:val="00CD7474"/>
    <w:rsid w:val="00CE08C4"/>
    <w:rsid w:val="00CE0B08"/>
    <w:rsid w:val="00CE1DF6"/>
    <w:rsid w:val="00CE37A4"/>
    <w:rsid w:val="00CF6CF1"/>
    <w:rsid w:val="00CF7C45"/>
    <w:rsid w:val="00D03742"/>
    <w:rsid w:val="00D060F8"/>
    <w:rsid w:val="00D07FEE"/>
    <w:rsid w:val="00D1320D"/>
    <w:rsid w:val="00D13256"/>
    <w:rsid w:val="00D140F5"/>
    <w:rsid w:val="00D146FF"/>
    <w:rsid w:val="00D15678"/>
    <w:rsid w:val="00D15C04"/>
    <w:rsid w:val="00D17A35"/>
    <w:rsid w:val="00D261FF"/>
    <w:rsid w:val="00D266FB"/>
    <w:rsid w:val="00D2751F"/>
    <w:rsid w:val="00D323B8"/>
    <w:rsid w:val="00D324EF"/>
    <w:rsid w:val="00D36EC7"/>
    <w:rsid w:val="00D37381"/>
    <w:rsid w:val="00D37D3F"/>
    <w:rsid w:val="00D421EF"/>
    <w:rsid w:val="00D43B23"/>
    <w:rsid w:val="00D4427A"/>
    <w:rsid w:val="00D47CEA"/>
    <w:rsid w:val="00D517C1"/>
    <w:rsid w:val="00D52986"/>
    <w:rsid w:val="00D55AFF"/>
    <w:rsid w:val="00D57CC3"/>
    <w:rsid w:val="00D60003"/>
    <w:rsid w:val="00D61401"/>
    <w:rsid w:val="00D63841"/>
    <w:rsid w:val="00D63986"/>
    <w:rsid w:val="00D66545"/>
    <w:rsid w:val="00D7293F"/>
    <w:rsid w:val="00D736E4"/>
    <w:rsid w:val="00D81F1F"/>
    <w:rsid w:val="00D82C1D"/>
    <w:rsid w:val="00D84D72"/>
    <w:rsid w:val="00D90F5B"/>
    <w:rsid w:val="00D922E9"/>
    <w:rsid w:val="00D9441C"/>
    <w:rsid w:val="00D975A3"/>
    <w:rsid w:val="00DA04B6"/>
    <w:rsid w:val="00DA0E7D"/>
    <w:rsid w:val="00DA512F"/>
    <w:rsid w:val="00DB08BF"/>
    <w:rsid w:val="00DB2D7F"/>
    <w:rsid w:val="00DB3B8D"/>
    <w:rsid w:val="00DB4B50"/>
    <w:rsid w:val="00DB5369"/>
    <w:rsid w:val="00DB5B66"/>
    <w:rsid w:val="00DC0391"/>
    <w:rsid w:val="00DC0D3D"/>
    <w:rsid w:val="00DD07BE"/>
    <w:rsid w:val="00DD177C"/>
    <w:rsid w:val="00DD4934"/>
    <w:rsid w:val="00DD56ED"/>
    <w:rsid w:val="00DD6184"/>
    <w:rsid w:val="00DD6706"/>
    <w:rsid w:val="00DD753E"/>
    <w:rsid w:val="00DE008C"/>
    <w:rsid w:val="00DE29DE"/>
    <w:rsid w:val="00DE60FF"/>
    <w:rsid w:val="00DE6DFC"/>
    <w:rsid w:val="00DF0F04"/>
    <w:rsid w:val="00DF1B9A"/>
    <w:rsid w:val="00DF2038"/>
    <w:rsid w:val="00DF222F"/>
    <w:rsid w:val="00DF31D8"/>
    <w:rsid w:val="00DF568C"/>
    <w:rsid w:val="00E0221F"/>
    <w:rsid w:val="00E0365F"/>
    <w:rsid w:val="00E055CE"/>
    <w:rsid w:val="00E155BB"/>
    <w:rsid w:val="00E16580"/>
    <w:rsid w:val="00E23658"/>
    <w:rsid w:val="00E25543"/>
    <w:rsid w:val="00E279A0"/>
    <w:rsid w:val="00E3124F"/>
    <w:rsid w:val="00E32183"/>
    <w:rsid w:val="00E34345"/>
    <w:rsid w:val="00E344B1"/>
    <w:rsid w:val="00E34D04"/>
    <w:rsid w:val="00E36575"/>
    <w:rsid w:val="00E428BB"/>
    <w:rsid w:val="00E428FD"/>
    <w:rsid w:val="00E42DA9"/>
    <w:rsid w:val="00E43AD7"/>
    <w:rsid w:val="00E43E05"/>
    <w:rsid w:val="00E446C1"/>
    <w:rsid w:val="00E44961"/>
    <w:rsid w:val="00E46EFC"/>
    <w:rsid w:val="00E57EC3"/>
    <w:rsid w:val="00E6199C"/>
    <w:rsid w:val="00E62F8E"/>
    <w:rsid w:val="00E65E14"/>
    <w:rsid w:val="00E676B4"/>
    <w:rsid w:val="00E67788"/>
    <w:rsid w:val="00E7101E"/>
    <w:rsid w:val="00E71C0C"/>
    <w:rsid w:val="00E724D8"/>
    <w:rsid w:val="00E754EF"/>
    <w:rsid w:val="00E825D4"/>
    <w:rsid w:val="00E82A02"/>
    <w:rsid w:val="00E82DDB"/>
    <w:rsid w:val="00E86F9E"/>
    <w:rsid w:val="00E8731D"/>
    <w:rsid w:val="00E879B1"/>
    <w:rsid w:val="00E90712"/>
    <w:rsid w:val="00E914F1"/>
    <w:rsid w:val="00E94169"/>
    <w:rsid w:val="00E94443"/>
    <w:rsid w:val="00E9453C"/>
    <w:rsid w:val="00E94790"/>
    <w:rsid w:val="00E96ACA"/>
    <w:rsid w:val="00E96C55"/>
    <w:rsid w:val="00EA1A3A"/>
    <w:rsid w:val="00EA259A"/>
    <w:rsid w:val="00EA2952"/>
    <w:rsid w:val="00EA3C85"/>
    <w:rsid w:val="00EA79D2"/>
    <w:rsid w:val="00EB2B0E"/>
    <w:rsid w:val="00EB67C0"/>
    <w:rsid w:val="00EC19DA"/>
    <w:rsid w:val="00EC517E"/>
    <w:rsid w:val="00EC71C2"/>
    <w:rsid w:val="00ED175C"/>
    <w:rsid w:val="00ED23D6"/>
    <w:rsid w:val="00ED2D08"/>
    <w:rsid w:val="00ED2F45"/>
    <w:rsid w:val="00ED4590"/>
    <w:rsid w:val="00ED6715"/>
    <w:rsid w:val="00EE0111"/>
    <w:rsid w:val="00EE2B1D"/>
    <w:rsid w:val="00EE62ED"/>
    <w:rsid w:val="00EF27CD"/>
    <w:rsid w:val="00EF3441"/>
    <w:rsid w:val="00EF37EA"/>
    <w:rsid w:val="00EF5858"/>
    <w:rsid w:val="00EF5D28"/>
    <w:rsid w:val="00F01289"/>
    <w:rsid w:val="00F01AE6"/>
    <w:rsid w:val="00F04994"/>
    <w:rsid w:val="00F059C9"/>
    <w:rsid w:val="00F05CF7"/>
    <w:rsid w:val="00F071B3"/>
    <w:rsid w:val="00F11B1E"/>
    <w:rsid w:val="00F168F5"/>
    <w:rsid w:val="00F200AA"/>
    <w:rsid w:val="00F23B50"/>
    <w:rsid w:val="00F27BD8"/>
    <w:rsid w:val="00F318AE"/>
    <w:rsid w:val="00F32A8C"/>
    <w:rsid w:val="00F34657"/>
    <w:rsid w:val="00F35E11"/>
    <w:rsid w:val="00F36678"/>
    <w:rsid w:val="00F40DFA"/>
    <w:rsid w:val="00F46DE6"/>
    <w:rsid w:val="00F514EB"/>
    <w:rsid w:val="00F529D0"/>
    <w:rsid w:val="00F52C10"/>
    <w:rsid w:val="00F606E0"/>
    <w:rsid w:val="00F60C08"/>
    <w:rsid w:val="00F6115D"/>
    <w:rsid w:val="00F615D6"/>
    <w:rsid w:val="00F62CAC"/>
    <w:rsid w:val="00F637D2"/>
    <w:rsid w:val="00F7077F"/>
    <w:rsid w:val="00F70CEC"/>
    <w:rsid w:val="00F7139E"/>
    <w:rsid w:val="00F76A6A"/>
    <w:rsid w:val="00F778BF"/>
    <w:rsid w:val="00F77B7F"/>
    <w:rsid w:val="00F77E7B"/>
    <w:rsid w:val="00F80405"/>
    <w:rsid w:val="00F813A6"/>
    <w:rsid w:val="00F91BAF"/>
    <w:rsid w:val="00F93012"/>
    <w:rsid w:val="00F96194"/>
    <w:rsid w:val="00F96657"/>
    <w:rsid w:val="00F97A26"/>
    <w:rsid w:val="00FA0004"/>
    <w:rsid w:val="00FA1273"/>
    <w:rsid w:val="00FA3273"/>
    <w:rsid w:val="00FA5804"/>
    <w:rsid w:val="00FB1142"/>
    <w:rsid w:val="00FB12C9"/>
    <w:rsid w:val="00FB3070"/>
    <w:rsid w:val="00FB3B16"/>
    <w:rsid w:val="00FB6C0E"/>
    <w:rsid w:val="00FC0959"/>
    <w:rsid w:val="00FC1D5F"/>
    <w:rsid w:val="00FC5093"/>
    <w:rsid w:val="00FC5FD2"/>
    <w:rsid w:val="00FC60D7"/>
    <w:rsid w:val="00FD1079"/>
    <w:rsid w:val="00FD2B1B"/>
    <w:rsid w:val="00FD6C63"/>
    <w:rsid w:val="00FE0A19"/>
    <w:rsid w:val="00FE2BF8"/>
    <w:rsid w:val="00FE6392"/>
    <w:rsid w:val="00FE72EF"/>
    <w:rsid w:val="00FE77B1"/>
    <w:rsid w:val="00FF19DF"/>
    <w:rsid w:val="00FF35A6"/>
    <w:rsid w:val="00FF4EAF"/>
    <w:rsid w:val="00FF61DD"/>
    <w:rsid w:val="00FF6385"/>
    <w:rsid w:val="00FF7B6E"/>
    <w:rsid w:val="0632115E"/>
    <w:rsid w:val="0BB45CFB"/>
    <w:rsid w:val="0E8A435E"/>
    <w:rsid w:val="100E49C7"/>
    <w:rsid w:val="11A820A4"/>
    <w:rsid w:val="12D41537"/>
    <w:rsid w:val="1CAE64BA"/>
    <w:rsid w:val="1ED03FCC"/>
    <w:rsid w:val="252C1513"/>
    <w:rsid w:val="2BA37CE0"/>
    <w:rsid w:val="2C4C5578"/>
    <w:rsid w:val="2F67607D"/>
    <w:rsid w:val="30927E1C"/>
    <w:rsid w:val="32D945B6"/>
    <w:rsid w:val="4A442959"/>
    <w:rsid w:val="4AB76927"/>
    <w:rsid w:val="4F922CE4"/>
    <w:rsid w:val="596F2DF3"/>
    <w:rsid w:val="5B9227A8"/>
    <w:rsid w:val="5FAF3EBE"/>
    <w:rsid w:val="67184229"/>
    <w:rsid w:val="67FF3831"/>
    <w:rsid w:val="69A72AB7"/>
    <w:rsid w:val="6AD37532"/>
    <w:rsid w:val="770E56D6"/>
    <w:rsid w:val="7DE6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jlqj4b"/>
    <w:basedOn w:val="5"/>
    <w:qFormat/>
    <w:uiPriority w:val="0"/>
  </w:style>
  <w:style w:type="character" w:customStyle="1" w:styleId="11">
    <w:name w:val="element-citation"/>
    <w:basedOn w:val="5"/>
    <w:qFormat/>
    <w:uiPriority w:val="0"/>
  </w:style>
  <w:style w:type="character" w:customStyle="1" w:styleId="12">
    <w:name w:val="ref-journal"/>
    <w:basedOn w:val="5"/>
    <w:qFormat/>
    <w:uiPriority w:val="0"/>
  </w:style>
  <w:style w:type="character" w:customStyle="1" w:styleId="13">
    <w:name w:val="ref-vol"/>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A209-D83E-46B3-A39E-1A25FE71E08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2650</Words>
  <Characters>15632</Characters>
  <Lines>134</Lines>
  <Paragraphs>37</Paragraphs>
  <TotalTime>0</TotalTime>
  <ScaleCrop>false</ScaleCrop>
  <LinksUpToDate>false</LinksUpToDate>
  <CharactersWithSpaces>18259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2020-05-24T03:06:00Z</dcterms:created>
  <dc:creator>China</dc:creator>
  <cp:lastModifiedBy>神雕</cp:lastModifiedBy>
  <dcterms:modified xsi:type="dcterms:W3CDTF">2022-08-13T08:50:07Z</dcterms:modified>
  <cp:revision>381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34F7B68DC10A4B8A99D44AA2E8D2D1E3</vt:lpwstr>
  </property>
</Properties>
</file>