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80" w:lineRule="auto"/>
        <w:jc w:val="center"/>
        <w:rPr>
          <w:rFonts w:ascii="Helvetica" w:hAnsi="Helvetica"/>
        </w:rPr>
      </w:pPr>
      <w:r>
        <w:rPr>
          <w:rFonts w:ascii="Helvetica" w:hAnsi="Helvetica"/>
        </w:rPr>
        <w:t>Targeting metabolism through exercise and nutrition to rejuvenate an aging immune system</w:t>
      </w:r>
    </w:p>
    <w:p>
      <w:pPr>
        <w:spacing w:after="0" w:line="480" w:lineRule="auto"/>
        <w:jc w:val="left"/>
        <w:rPr>
          <w:rFonts w:ascii="Helvetica" w:hAnsi="Helvetica"/>
          <w:vertAlign w:val="superscript"/>
        </w:rPr>
      </w:pPr>
      <w:r>
        <w:rPr>
          <w:rFonts w:ascii="Helvetica" w:hAnsi="Helvetica"/>
        </w:rPr>
        <w:t>Brandt D. Pence</w:t>
      </w:r>
      <w:r>
        <w:rPr>
          <w:rFonts w:ascii="Helvetica" w:hAnsi="Helvetica"/>
          <w:vertAlign w:val="superscript"/>
        </w:rPr>
        <w:t>a,*</w:t>
      </w:r>
    </w:p>
    <w:p>
      <w:pPr>
        <w:spacing w:after="0" w:line="480" w:lineRule="auto"/>
        <w:jc w:val="left"/>
        <w:rPr>
          <w:rFonts w:ascii="Helvetica" w:hAnsi="Helvetica"/>
          <w:vertAlign w:val="superscript"/>
        </w:rPr>
      </w:pPr>
    </w:p>
    <w:p>
      <w:pPr>
        <w:spacing w:after="0" w:line="480" w:lineRule="auto"/>
        <w:rPr>
          <w:rFonts w:ascii="Helvetica" w:hAnsi="Helvetica"/>
        </w:rPr>
      </w:pPr>
      <w:r>
        <w:rPr>
          <w:rFonts w:ascii="Helvetica" w:hAnsi="Helvetica"/>
          <w:vertAlign w:val="superscript"/>
        </w:rPr>
        <w:t>a</w:t>
      </w:r>
      <w:r>
        <w:rPr>
          <w:rFonts w:ascii="Helvetica" w:hAnsi="Helvetica"/>
        </w:rPr>
        <w:t xml:space="preserve"> College of Health Sciences, University of Memphis, Memphis, TN, USA</w:t>
      </w:r>
    </w:p>
    <w:p>
      <w:pPr>
        <w:spacing w:after="0" w:line="480" w:lineRule="auto"/>
        <w:rPr>
          <w:rFonts w:ascii="Helvetica" w:hAnsi="Helvetica"/>
        </w:rPr>
      </w:pPr>
    </w:p>
    <w:p>
      <w:pPr>
        <w:spacing w:after="0" w:line="480" w:lineRule="auto"/>
        <w:rPr>
          <w:rFonts w:ascii="Helvetica" w:hAnsi="Helvetica"/>
        </w:rPr>
      </w:pPr>
      <w:r>
        <w:rPr>
          <w:rFonts w:ascii="Helvetica" w:hAnsi="Helvetica"/>
        </w:rPr>
        <w:t>* Corresponding author: Brandt Pence</w:t>
      </w:r>
    </w:p>
    <w:p>
      <w:pPr>
        <w:spacing w:after="0" w:line="480" w:lineRule="auto"/>
        <w:rPr>
          <w:rFonts w:ascii="Helvetica" w:hAnsi="Helvetica"/>
        </w:rPr>
      </w:pPr>
      <w:r>
        <w:rPr>
          <w:rFonts w:ascii="Helvetica" w:hAnsi="Helvetica"/>
        </w:rPr>
        <w:t>Mailing Address: 304 Elma Roane Fieldhouse, 495 Zach H Curlin St, Memphis, TN 38152, USA</w:t>
      </w:r>
    </w:p>
    <w:p>
      <w:pPr>
        <w:spacing w:after="0" w:line="480" w:lineRule="auto"/>
        <w:rPr>
          <w:rFonts w:ascii="Helvetica" w:hAnsi="Helvetica"/>
        </w:rPr>
      </w:pPr>
      <w:r>
        <w:rPr>
          <w:rFonts w:ascii="Helvetica" w:hAnsi="Helvetica"/>
        </w:rPr>
        <w:t xml:space="preserve">Email: </w:t>
      </w:r>
      <w:r>
        <w:fldChar w:fldCharType="begin"/>
      </w:r>
      <w:r>
        <w:instrText xml:space="preserve"> HYPERLINK "mailto:bdpence@memphis.edu" </w:instrText>
      </w:r>
      <w:r>
        <w:fldChar w:fldCharType="separate"/>
      </w:r>
      <w:r>
        <w:rPr>
          <w:rStyle w:val="5"/>
          <w:rFonts w:ascii="Helvetica" w:hAnsi="Helvetica"/>
        </w:rPr>
        <w:t>bdpence@memphis.edu</w:t>
      </w:r>
      <w:r>
        <w:rPr>
          <w:rStyle w:val="5"/>
          <w:rFonts w:ascii="Helvetica" w:hAnsi="Helvetica"/>
        </w:rPr>
        <w:fldChar w:fldCharType="end"/>
      </w:r>
    </w:p>
    <w:p>
      <w:pPr>
        <w:rPr>
          <w:rFonts w:ascii="Helvetica" w:hAnsi="Helvetica"/>
          <w:b/>
          <w:bCs/>
        </w:rPr>
      </w:pPr>
    </w:p>
    <w:p>
      <w:pPr>
        <w:rPr>
          <w:rFonts w:ascii="Helvetica" w:hAnsi="Helvetica"/>
          <w:b/>
          <w:bCs/>
        </w:rPr>
      </w:pPr>
      <w:r>
        <w:rPr>
          <w:rFonts w:ascii="Helvetica" w:hAnsi="Helvetica"/>
          <w:b/>
          <w:bCs/>
        </w:rPr>
        <w:t>Abstract</w:t>
      </w:r>
    </w:p>
    <w:p>
      <w:pPr>
        <w:spacing w:after="0" w:line="480" w:lineRule="auto"/>
        <w:jc w:val="both"/>
        <w:rPr>
          <w:rFonts w:ascii="Helvetica" w:hAnsi="Helvetica"/>
        </w:rPr>
      </w:pPr>
      <w:r>
        <w:rPr>
          <w:rFonts w:ascii="Helvetica" w:hAnsi="Helvetica"/>
        </w:rPr>
        <w:t>Dysregulated metabolism is a hallmark of the aging process. Immune function is tightly controlled by cellular metabolism, and emerging evidence indicates that aged immune cells have alterations in metabolism that may promote aging-related disease. Lifestyle interventions including diet and exercise are potent strategies for targeting metabolic dysfunction in aging, but to date, only a few studies have examined the ability of exercise or diet to regulate immunometabolism, despite their well-known positive effects on healthspan and lifespan. Utilizing lifestyle modification as precision medicine to target age-related diseases through modulating immunometabolism is promising, but a great deal of work remains.</w:t>
      </w:r>
    </w:p>
    <w:p>
      <w:pPr>
        <w:spacing w:after="0" w:line="480" w:lineRule="auto"/>
        <w:jc w:val="both"/>
        <w:rPr>
          <w:rFonts w:ascii="Helvetica" w:hAnsi="Helvetica"/>
        </w:rPr>
      </w:pPr>
      <w:r>
        <w:rPr>
          <w:rFonts w:ascii="Helvetica" w:hAnsi="Helvetica"/>
          <w:b/>
          <w:bCs/>
        </w:rPr>
        <w:t>Keywords</w:t>
      </w:r>
      <w:r>
        <w:rPr>
          <w:rFonts w:hint="eastAsia" w:ascii="Helvetica" w:hAnsi="Helvetica" w:eastAsia="宋体"/>
          <w:b/>
          <w:bCs/>
          <w:lang w:val="en-US" w:eastAsia="zh-CN"/>
        </w:rPr>
        <w:t xml:space="preserve">: </w:t>
      </w:r>
      <w:r>
        <w:rPr>
          <w:rFonts w:ascii="Helvetica" w:hAnsi="Helvetica"/>
        </w:rPr>
        <w:t>Immunometabolism, exercise, diet, inflammaging, immunosenescence</w:t>
      </w:r>
    </w:p>
    <w:p>
      <w:pPr>
        <w:jc w:val="both"/>
        <w:rPr>
          <w:rFonts w:ascii="Helvetica" w:hAnsi="Helvetica"/>
        </w:rPr>
      </w:pPr>
      <w:bookmarkStart w:id="0" w:name="_GoBack"/>
      <w:bookmarkEnd w:id="0"/>
      <w:r>
        <w:rPr>
          <w:rFonts w:ascii="Helvetica" w:hAnsi="Helvetica"/>
        </w:rPr>
        <w:br w:type="page"/>
      </w:r>
    </w:p>
    <w:p>
      <w:pPr>
        <w:spacing w:after="0" w:line="480" w:lineRule="auto"/>
        <w:jc w:val="both"/>
        <w:rPr>
          <w:rFonts w:ascii="Helvetica" w:hAnsi="Helvetica"/>
        </w:rPr>
      </w:pPr>
      <w:r>
        <w:rPr>
          <w:rFonts w:ascii="Helvetica" w:hAnsi="Helvetica"/>
        </w:rPr>
        <w:t xml:space="preserve">Advancing age has long been associated with declining immunity, but the recent (and ongoing) COVID-19 pandemic has brought this to the attention of many outside the relatively small fields of biogerontology and geroscience. Aging impairs immune responses (broadly termed </w:t>
      </w:r>
      <w:r>
        <w:rPr>
          <w:rFonts w:ascii="Helvetica" w:hAnsi="Helvetica"/>
          <w:i/>
          <w:iCs/>
        </w:rPr>
        <w:t>immunosenescence</w:t>
      </w:r>
      <w:r>
        <w:rPr>
          <w:rFonts w:ascii="Helvetica" w:hAnsi="Helvetica"/>
        </w:rPr>
        <w:t xml:space="preserve">) and increases chronic inflammation (colloquially referred to as </w:t>
      </w:r>
      <w:r>
        <w:rPr>
          <w:rFonts w:ascii="Helvetica" w:hAnsi="Helvetica"/>
          <w:i/>
          <w:iCs/>
        </w:rPr>
        <w:t>inflammaging</w:t>
      </w:r>
      <w:r>
        <w:rPr>
          <w:rFonts w:ascii="Helvetica" w:hAnsi="Helvetica"/>
        </w:rPr>
        <w:t xml:space="preserve">) through a variety of mechanisms that have been reviewed in detail recently </w:t>
      </w:r>
      <w:r>
        <w:rPr>
          <w:rFonts w:ascii="Helvetica" w:hAnsi="Helvetica"/>
        </w:rPr>
        <w:fldChar w:fldCharType="begin" w:fldLock="1"/>
      </w:r>
      <w:r>
        <w:rPr>
          <w:rFonts w:ascii="Helvetica" w:hAnsi="Helvetica"/>
        </w:rPr>
        <w:instrText xml:space="preserve">ADDIN CSL_CITATION {"citationItems":[{"id":"ITEM-1","itemData":{"DOI":"10.1016/J.ARR.2021.101422","ISSN":"1568-1637","PMID":"34391943","abstract":"During aging the immune system (IS) undergoes remarkable changes that collectively are known as immunosenescence. It is a multifactorial and dynamic phenomenon that affects both natural and acquired immunity and plays a critical role in most chronic diseases in older people. For a long time, immunosenescence has been considered detrimental because it may lead to a low-grade, sterile chronic inflammation we proposed to call “inflammaging” and a progressive reduction in the ability to trigger effective antibody and cellular responses against infections and vaccinations. Recently, many scientists revised this negative meaning because it can be considered an essential adaptation/remodeling resulting from the lifelong immunological biography of single individuals from an evolutionary perspective. Inflammaging can be considered an adaptive process because it can trigger an anti-inflammatory response to counteract the age-related pro-inflammatory environment. Centenarians represent a valuable model to study the beneficial changes occurring in the IS with age. These extraordinary individuals reached the extreme limits of human life by slowing down the aging process and, in most cases, delaying, avoiding or surviving the major age-associated diseases. They indeed show a complex and heterogeneous phenotype determined by an improved ability to adapt and remodel in response to harmful stimuli. This review aims to point out the intimate relationship between immunosenescence and inflammaging and how these processes impact unsuccessful aging rather than longevity. We also describe the gut microbiota age-related changes as one of the significant triggers of inflammaging and the sex/gender differences in the immune system of the elderly, contributing to the sex/gender disparity in terms of epidemiology, pathophysiology, symptoms and severity of age-related diseases. Finally, we discuss how these phenomena could influence the susceptibility to COVID-19 infection.","author":[{"dropping-particle":"","family":"Santoro","given":"Aurelia","non-dropping-particle":"","parse-names":false,"suffix":""},{"dropping-particle":"","family":"Bientinesi","given":"Elisa","non-dropping-particle":"","parse-names":false,"suffix":""},{"dropping-particle":"","family":"Monti","given":"Daniela","non-dropping-particle":"","parse-names":false,"suffix":""}],"container-title":"Ageing Research Reviews","id":"ITEM-1","issued":{"date-parts":[["2021","11","1"]]},"page":"101422","publisher":"Elsevier","title":"Immunosenescence and inflammaging in the aging process: age-related diseases or longevity?","type":"article-journal","volume":"71"},"uris":["http://www.mendeley.com/documents/?uuid=6cf462e5-fab5-312f-b686-74d09b4da807"]}],"mendeley":{"formattedCitation":"&lt;span style=\"baseline\"&gt;[1]&lt;/span&gt;","plainTextFormattedCitation":"[1]","previouslyFormattedCitation":"&lt;span style=\"baseline\"&gt;[1]&lt;/span&gt;"},"properties":{"noteIndex":0},"schema":"https://github.com/citation-style-language/schema/raw/master/csl-citation.json"}</w:instrText>
      </w:r>
      <w:r>
        <w:rPr>
          <w:rFonts w:ascii="Helvetica" w:hAnsi="Helvetica"/>
        </w:rPr>
        <w:fldChar w:fldCharType="separate"/>
      </w:r>
      <w:r>
        <w:rPr>
          <w:rFonts w:ascii="Helvetica" w:hAnsi="Helvetica"/>
        </w:rPr>
        <w:t>[1]</w:t>
      </w:r>
      <w:r>
        <w:rPr>
          <w:rFonts w:ascii="Helvetica" w:hAnsi="Helvetica"/>
        </w:rPr>
        <w:fldChar w:fldCharType="end"/>
      </w:r>
      <w:r>
        <w:rPr>
          <w:rFonts w:ascii="Helvetica" w:hAnsi="Helvetica"/>
        </w:rPr>
        <w:t xml:space="preserve">. Various geroprotector drugs, especially mTOR inhibitors </w:t>
      </w:r>
      <w:r>
        <w:rPr>
          <w:rFonts w:ascii="Helvetica" w:hAnsi="Helvetica"/>
        </w:rPr>
        <w:fldChar w:fldCharType="begin" w:fldLock="1"/>
      </w:r>
      <w:r>
        <w:rPr>
          <w:rFonts w:ascii="Helvetica" w:hAnsi="Helvetica"/>
        </w:rPr>
        <w:instrText xml:space="preserve">ADDIN CSL_CITATION {"citationItems":[{"id":"ITEM-1","itemData":{"DOI":"10.1126/scitranslmed.3009892","ISSN":"19466242","PMID":"25540326","abstract":"Inhibition of the mammalian target of rapamycin (mTOR) pathway extends life span in all species studied to date, and in mice delays the onset of age-related diseases and comorbidities. However, it is unknown if mTOR inhibition affects aging or its consequences in humans. To begin to assess the effects of mTOR inhibition on human aging-related conditions, we evaluated whether the mTOR inhibitor RAD001 ameliorated immunosenescence (the decline in immune function during aging) in elderly volunteers, as assessed by their response to influenza vaccination. RAD001 enhanced the response to the influenza vaccine by about 20% at doses that were relatively well tolerated. RAD001 also reduced the percentage of CD4 and CD8 T lymphocytes expressing the programmed death-1 (PD-1) receptor, which inhibits T cell signaling and is more highly expressed with age. These results raise the possibility that mTOR inhibition may have beneficial effects on immunosenescence in the elderly.","author":[{"dropping-particle":"","family":"Mannick","given":"Joan B.","non-dropping-particle":"","parse-names":false,"suffix":""},{"dropping-particle":"","family":"Giudice","given":"Giuseppe","non-dropping-particle":"Del","parse-names":false,"suffix":""},{"dropping-particle":"","family":"Lattanzi","given":"Maria","non-dropping-particle":"","parse-names":false,"suffix":""},{"dropping-particle":"","family":"Valiante","given":"Nicholas M.","non-dropping-particle":"","parse-names":false,"suffix":""},{"dropping-particle":"","family":"Praestgaard","given":"Jens","non-dropping-particle":"","parse-names":false,"suffix":""},{"dropping-particle":"","family":"Huang","given":"Baisong","non-dropping-particle":"","parse-names":false,"suffix":""},{"dropping-particle":"","family":"Lonetto","given":"Michael A.","non-dropping-particle":"","parse-names":false,"suffix":""},{"dropping-particle":"","family":"Maecker","given":"Holden T.","non-dropping-particle":"","parse-names":false,"suffix":""},{"dropping-particle":"","family":"Kovarik","given":"John","non-dropping-particle":"","parse-names":false,"suffix":""},{"dropping-particle":"","family":"Carson","given":"Simon","non-dropping-particle":"","parse-names":false,"suffix":""},{"dropping-particle":"","family":"Glass","given":"David J.","non-dropping-particle":"","parse-names":false,"suffix":""},{"dropping-particle":"","family":"Klickstein","given":"Lloyd B.","non-dropping-particle":"","parse-names":false,"suffix":""}],"container-title":"Science Translational Medicine","id":"ITEM-1","issue":"268","issued":{"date-parts":[["2014"]]},"page":"268ra179","title":"mTOR inhibition improves immune function in the elderly","type":"article-journal","volume":"6"},"uris":["http://www.mendeley.com/documents/?uuid=0d74aa9d-d19a-48ce-ad38-3e8380f38720"]}],"mendeley":{"formattedCitation":"&lt;span style=\"baseline\"&gt;[2]&lt;/span&gt;","plainTextFormattedCitation":"[2]","previouslyFormattedCitation":"&lt;span style=\"baseline\"&gt;[2]&lt;/span&gt;"},"properties":{"noteIndex":0},"schema":"https://github.com/citation-style-language/schema/raw/master/csl-citation.json"}</w:instrText>
      </w:r>
      <w:r>
        <w:rPr>
          <w:rFonts w:ascii="Helvetica" w:hAnsi="Helvetica"/>
        </w:rPr>
        <w:fldChar w:fldCharType="separate"/>
      </w:r>
      <w:r>
        <w:rPr>
          <w:rFonts w:ascii="Helvetica" w:hAnsi="Helvetica"/>
        </w:rPr>
        <w:t>[2]</w:t>
      </w:r>
      <w:r>
        <w:rPr>
          <w:rFonts w:ascii="Helvetica" w:hAnsi="Helvetica"/>
        </w:rPr>
        <w:fldChar w:fldCharType="end"/>
      </w:r>
      <w:r>
        <w:rPr>
          <w:rFonts w:ascii="Helvetica" w:hAnsi="Helvetica"/>
        </w:rPr>
        <w:t xml:space="preserve">, have shown some promise in enhancing immunity in older adults. Nevertheless, well-validated therapeutic strategies for boosting immune responses during aging remain elusive. Lifestyle interventions such as physical exercise and dietary modification have received considerable attention as therapies to promote healthspan and lifespan, due in no small part to their multifaceted health benefits, low cost, and strong safety profile compared to many pharmaceuticals. To a large extent, these strategies are eustressors that affect cellular and systemic metabolism. Aging profoundly dysregulates human metabolism </w:t>
      </w:r>
      <w:r>
        <w:rPr>
          <w:rFonts w:ascii="Helvetica" w:hAnsi="Helvetica"/>
        </w:rPr>
        <w:fldChar w:fldCharType="begin" w:fldLock="1"/>
      </w:r>
      <w:r>
        <w:rPr>
          <w:rFonts w:ascii="Helvetica" w:hAnsi="Helvetica"/>
        </w:rPr>
        <w:instrText xml:space="preserve">ADDIN CSL_CITATION {"citationItems":[{"id":"ITEM-1","itemData":{"DOI":"10.1038/s41574-021-00626-7","ISSN":"1759-5037","PMID":"35145250","abstract":"Organismal ageing is accompanied by progressive loss of cellular function and systemic deterioration of multiple tissues, leading to impaired function and increased vulnerability to death. Mitochondria have become recognized not merely as being energy suppliers but also as having an essential role in the development of diseases associated with ageing, such as neurodegenerative and cardiovascular diseases. A growing body of evidence suggests that ageing and age-related diseases are tightly related to an energy supply and demand imbalance, which might be alleviated by a variety of interventions, including physical activity and calorie restriction, as well as naturally occurring molecules targeting conserved longevity pathways. Here, we review key historical advances and progress from the past few years in our understanding of the role of mitochondria in ageing and age-related metabolic diseases. We also highlight emerging scientific innovations using mitochondria-targeted therapeutic approaches. This Review discusses the role of mitochondria in metabolism and how mitochondria contribute to age-related metabolic diseases. This knowledge might guide us in designing therapies targeting metabolic disorders to extend human health span and lifespan.","author":[{"dropping-particle":"","family":"Amorim","given":"João A.","non-dropping-particle":"","parse-names":false,"suffix":""},{"dropping-particle":"","family":"Coppotelli","given":"Giuseppe","non-dropping-particle":"","parse-names":false,"suffix":""},{"dropping-particle":"","family":"Rolo","given":"Anabela P.","non-dropping-particle":"","parse-names":false,"suffix":""},{"dropping-particle":"","family":"Palmeira","given":"Carlos M.","non-dropping-particle":"","parse-names":false,"suffix":""},{"dropping-particle":"","family":"Ross","given":"Jaime M.","non-dropping-particle":"","parse-names":false,"suffix":""},{"dropping-particle":"","family":"Sinclair","given":"David A.","non-dropping-particle":"","parse-names":false,"suffix":""}],"container-title":"Nature Reviews Endocrinology 2022 18:4","id":"ITEM-1","issue":"4","issued":{"date-parts":[["2022","2","10"]]},"page":"243-258","publisher":"Nature Publishing Group","title":"Mitochondrial and metabolic dysfunction in ageing and age-related diseases","type":"article-journal","volume":"18"},"uris":["http://www.mendeley.com/documents/?uuid=abe0557b-3732-34e1-9c67-f597f0ed4740"]}],"mendeley":{"formattedCitation":"&lt;span style=\"baseline\"&gt;[3]&lt;/span&gt;","plainTextFormattedCitation":"[3]"},"properties":{"noteIndex":0},"schema":"https://github.com/citation-style-language/schema/raw/master/csl-citation.json"}</w:instrText>
      </w:r>
      <w:r>
        <w:rPr>
          <w:rFonts w:ascii="Helvetica" w:hAnsi="Helvetica"/>
        </w:rPr>
        <w:fldChar w:fldCharType="separate"/>
      </w:r>
      <w:r>
        <w:rPr>
          <w:rFonts w:ascii="Helvetica" w:hAnsi="Helvetica"/>
        </w:rPr>
        <w:t>[3]</w:t>
      </w:r>
      <w:r>
        <w:rPr>
          <w:rFonts w:ascii="Helvetica" w:hAnsi="Helvetica"/>
        </w:rPr>
        <w:fldChar w:fldCharType="end"/>
      </w:r>
      <w:r>
        <w:rPr>
          <w:rFonts w:ascii="Helvetica" w:hAnsi="Helvetica"/>
        </w:rPr>
        <w:t>, so many of the benefits of diet and exercise are likely to derive from their metabolic effects.</w:t>
      </w:r>
    </w:p>
    <w:p>
      <w:pPr>
        <w:spacing w:after="0" w:line="480" w:lineRule="auto"/>
        <w:jc w:val="both"/>
        <w:rPr>
          <w:rFonts w:ascii="Helvetica" w:hAnsi="Helvetica"/>
        </w:rPr>
      </w:pPr>
      <w:r>
        <w:rPr>
          <w:rFonts w:ascii="Helvetica" w:hAnsi="Helvetica"/>
        </w:rPr>
        <w:t xml:space="preserve">In recent years, it has become clear that cellular metabolic programs drive the phenotype and function of immune cells. While initial observations were made over half of a century ago </w:t>
      </w:r>
      <w:r>
        <w:rPr>
          <w:rFonts w:ascii="Helvetica" w:hAnsi="Helvetica"/>
        </w:rPr>
        <w:fldChar w:fldCharType="begin" w:fldLock="1"/>
      </w:r>
      <w:r>
        <w:rPr>
          <w:rFonts w:ascii="Helvetica" w:hAnsi="Helvetica"/>
        </w:rPr>
        <w:instrText xml:space="preserve">ADDIN CSL_CITATION {"citationItems":[{"id":"ITEM-1","itemData":{"DOI":"10.1038/nri.2016.70","ISBN":"1474-1741","ISSN":"14741741","PMID":"27396447","abstract":"In recent years a substantial number of findings have been made in the area of immunometabolism, by which we mean the changes in intracellular metabolic pathways in immune cells that alter their function. Here, we provide a brief refresher course on six of the major metabolic pathways involved (specifically, glycolysis, the tricarboxylic acid (TCA) cycle, the pentose phosphate pathway, fatty acid oxidation, fatty acid synthesis and amino acid metabolism), giving specific examples of how precise changes in the metabolites of these pathways shape the immune cell response. What is emerging is a complex interplay between metabolic reprogramming and immunity, which is providing an extra dimension to our understanding of the immune system in health and disease.","author":[{"dropping-particle":"","family":"O'Neill","given":"Luke A.J.","non-dropping-particle":"","parse-names":false,"suffix":""},{"dropping-particle":"","family":"Kishton","given":"Rigel J.","non-dropping-particle":"","parse-names":false,"suffix":""},{"dropping-particle":"","family":"Rathmell","given":"Jeff","non-dropping-particle":"","parse-names":false,"suffix":""}],"container-title":"Nature Reviews Immunology","id":"ITEM-1","issue":"9","issued":{"date-parts":[["2016"]]},"page":"553-565","title":"A guide to immunometabolism for immunologists","type":"article-journal","volume":"16"},"uris":["http://www.mendeley.com/documents/?uuid=7adb500d-920a-47d6-9efe-63e5e0beb39f"]}],"mendeley":{"formattedCitation":"&lt;span style=\"baseline\"&gt;[4]&lt;/span&gt;","plainTextFormattedCitation":"[4]","previouslyFormattedCitation":"&lt;span style=\"baseline\"&gt;[3]&lt;/span&gt;"},"properties":{"noteIndex":0},"schema":"https://github.com/citation-style-language/schema/raw/master/csl-citation.json"}</w:instrText>
      </w:r>
      <w:r>
        <w:rPr>
          <w:rFonts w:ascii="Helvetica" w:hAnsi="Helvetica"/>
        </w:rPr>
        <w:fldChar w:fldCharType="separate"/>
      </w:r>
      <w:r>
        <w:rPr>
          <w:rFonts w:ascii="Helvetica" w:hAnsi="Helvetica"/>
        </w:rPr>
        <w:t>[4]</w:t>
      </w:r>
      <w:r>
        <w:rPr>
          <w:rFonts w:ascii="Helvetica" w:hAnsi="Helvetica"/>
        </w:rPr>
        <w:fldChar w:fldCharType="end"/>
      </w:r>
      <w:r>
        <w:rPr>
          <w:rFonts w:ascii="Helvetica" w:hAnsi="Helvetica"/>
        </w:rPr>
        <w:t xml:space="preserve">, the rapid expansion in laboratories studying immune cell metabolism in the last two decades has led to an explosion in research in what is now termed </w:t>
      </w:r>
      <w:r>
        <w:rPr>
          <w:rFonts w:ascii="Helvetica" w:hAnsi="Helvetica"/>
          <w:i/>
          <w:iCs/>
        </w:rPr>
        <w:t>immunometabolism</w:t>
      </w:r>
      <w:r>
        <w:rPr>
          <w:rFonts w:ascii="Helvetica" w:hAnsi="Helvetica"/>
        </w:rPr>
        <w:t xml:space="preserve">. Immune cell metabolism is highly complicated and has been comprehensively reviewed elsewhere </w:t>
      </w:r>
      <w:r>
        <w:rPr>
          <w:rFonts w:ascii="Helvetica" w:hAnsi="Helvetica"/>
        </w:rPr>
        <w:fldChar w:fldCharType="begin" w:fldLock="1"/>
      </w:r>
      <w:r>
        <w:rPr>
          <w:rFonts w:ascii="Helvetica" w:hAnsi="Helvetica"/>
        </w:rPr>
        <w:instrText xml:space="preserve">ADDIN CSL_CITATION {"citationItems":[{"id":"ITEM-1","itemData":{"DOI":"10.1038/nri.2016.70","ISBN":"1474-1741","ISSN":"14741741","PMID":"27396447","abstract":"In recent years a substantial number of findings have been made in the area of immunometabolism, by which we mean the changes in intracellular metabolic pathways in immune cells that alter their function. Here, we provide a brief refresher course on six of the major metabolic pathways involved (specifically, glycolysis, the tricarboxylic acid (TCA) cycle, the pentose phosphate pathway, fatty acid oxidation, fatty acid synthesis and amino acid metabolism), giving specific examples of how precise changes in the metabolites of these pathways shape the immune cell response. What is emerging is a complex interplay between metabolic reprogramming and immunity, which is providing an extra dimension to our understanding of the immune system in health and disease.","author":[{"dropping-particle":"","family":"O'Neill","given":"Luke A.J.","non-dropping-particle":"","parse-names":false,"suffix":""},{"dropping-particle":"","family":"Kishton","given":"Rigel J.","non-dropping-particle":"","parse-names":false,"suffix":""},{"dropping-particle":"","family":"Rathmell","given":"Jeff","non-dropping-particle":"","parse-names":false,"suffix":""}],"container-title":"Nature Reviews Immunology","id":"ITEM-1","issue":"9","issued":{"date-parts":[["2016"]]},"page":"553-565","title":"A guide to immunometabolism for immunologists","type":"article-journal","volume":"16"},"uris":["http://www.mendeley.com/documents/?uuid=7adb500d-920a-47d6-9efe-63e5e0beb39f"]},{"id":"ITEM-2","itemData":{"DOI":"10.1111/imr.12858","ISSN":"1600065X","PMID":"32320073","abstract":"Immunometabolism has emerged as a major mechanism central to adaptive and innate immune regulation. From early observations that inflammatory cytokines were induced in obese adipose tissue and that these cytokines contributed to metabolic disease, it was clear that metabolism and the immunological state are inextricably linked. With a second research wave arising from studies in cancer metabolism to also study the intrinsic metabolic pathways of immune cells themselves and how those pathways influence cell fate and function, immunometabolism is a rapidly maturing area of research. Several key themes and goals drive the field. There is abundant evidence that metabolic pathways are closely tied to cell signaling and differentiation which leads different subsets of immune cells to adopt unique metabolic programs specific to their state and environment. In this way, metabolic signaling drives cell fate. It is also apparent that microenvironment greatly influences cell metabolism. Immune cells adopt programs specific for the tissues where they infiltrate and reside. Ultimately, a central goal of the field is to apply immunometabolism findings to the discovery of novel therapeutic strategies in a wide range of diseases, including cancer, autoimmunity, and metabolic syndrome. This review summarizes these facets of immunometabolism and highlights opportunities for clinical translation.","author":[{"dropping-particle":"","family":"Makowski","given":"Liza","non-dropping-particle":"","parse-names":false,"suffix":""},{"dropping-particle":"","family":"Chaib","given":"Mehdi","non-dropping-particle":"","parse-names":false,"suffix":""},{"dropping-particle":"","family":"Rathmell","given":"Jeffrey C.","non-dropping-particle":"","parse-names":false,"suffix":""}],"container-title":"Immunological Reviews","id":"ITEM-2","issue":"1","issued":{"date-parts":[["2020"]]},"page":"5-14","title":"Immunometabolism: From basic mechanisms to translation","type":"article-journal","volume":"295"},"uris":["http://www.mendeley.com/documents/?uuid=42e4ef9d-083f-4779-99e6-e92458c771bb"]}],"mendeley":{"formattedCitation":"&lt;span style=\"baseline\"&gt;[4,5]&lt;/span&gt;","plainTextFormattedCitation":"[4,5]","previouslyFormattedCitation":"&lt;span style=\"baseline\"&gt;[3,4]&lt;/span&gt;"},"properties":{"noteIndex":0},"schema":"https://github.com/citation-style-language/schema/raw/master/csl-citation.json"}</w:instrText>
      </w:r>
      <w:r>
        <w:rPr>
          <w:rFonts w:ascii="Helvetica" w:hAnsi="Helvetica"/>
        </w:rPr>
        <w:fldChar w:fldCharType="separate"/>
      </w:r>
      <w:r>
        <w:rPr>
          <w:rFonts w:ascii="Helvetica" w:hAnsi="Helvetica"/>
        </w:rPr>
        <w:t>[4,</w:t>
      </w:r>
      <w:r>
        <w:rPr>
          <w:rFonts w:hint="eastAsia" w:ascii="Helvetica" w:hAnsi="Helvetica" w:eastAsia="宋体"/>
          <w:lang w:val="en-US" w:eastAsia="zh-CN"/>
        </w:rPr>
        <w:t xml:space="preserve"> </w:t>
      </w:r>
      <w:r>
        <w:rPr>
          <w:rFonts w:ascii="Helvetica" w:hAnsi="Helvetica"/>
        </w:rPr>
        <w:t>5]</w:t>
      </w:r>
      <w:r>
        <w:rPr>
          <w:rFonts w:ascii="Helvetica" w:hAnsi="Helvetica"/>
        </w:rPr>
        <w:fldChar w:fldCharType="end"/>
      </w:r>
      <w:r>
        <w:rPr>
          <w:rFonts w:ascii="Helvetica" w:hAnsi="Helvetica"/>
        </w:rPr>
        <w:t xml:space="preserve">, but in general, pro-inflammatory activation of immune cells such as T cells and macrophages is associated with activation of glycolysis, the pentose phosphate pathway, and fatty acid synthesis, while anti-inflammatory and pro-memory responses are supported by fatty acid oxidation and mitochondrial metabolism. Dysregulation of immunometabolism is, by extension, associated with a host of chronic diseases including age-associated diseases such as cardiovascular disease and cancer </w:t>
      </w:r>
      <w:r>
        <w:rPr>
          <w:rFonts w:ascii="Helvetica" w:hAnsi="Helvetica"/>
        </w:rPr>
        <w:fldChar w:fldCharType="begin" w:fldLock="1"/>
      </w:r>
      <w:r>
        <w:rPr>
          <w:rFonts w:ascii="Helvetica" w:hAnsi="Helvetica"/>
        </w:rPr>
        <w:instrText xml:space="preserve">ADDIN CSL_CITATION {"citationItems":[{"id":"ITEM-1","itemData":{"DOI":"10.1111/imr.12858","ISSN":"1600065X","PMID":"32320073","abstract":"Immunometabolism has emerged as a major mechanism central to adaptive and innate immune regulation. From early observations that inflammatory cytokines were induced in obese adipose tissue and that these cytokines contributed to metabolic disease, it was clear that metabolism and the immunological state are inextricably linked. With a second research wave arising from studies in cancer metabolism to also study the intrinsic metabolic pathways of immune cells themselves and how those pathways influence cell fate and function, immunometabolism is a rapidly maturing area of research. Several key themes and goals drive the field. There is abundant evidence that metabolic pathways are closely tied to cell signaling and differentiation which leads different subsets of immune cells to adopt unique metabolic programs specific to their state and environment. In this way, metabolic signaling drives cell fate. It is also apparent that microenvironment greatly influences cell metabolism. Immune cells adopt programs specific for the tissues where they infiltrate and reside. Ultimately, a central goal of the field is to apply immunometabolism findings to the discovery of novel therapeutic strategies in a wide range of diseases, including cancer, autoimmunity, and metabolic syndrome. This review summarizes these facets of immunometabolism and highlights opportunities for clinical translation.","author":[{"dropping-particle":"","family":"Makowski","given":"Liza","non-dropping-particle":"","parse-names":false,"suffix":""},{"dropping-particle":"","family":"Chaib","given":"Mehdi","non-dropping-particle":"","parse-names":false,"suffix":""},{"dropping-particle":"","family":"Rathmell","given":"Jeffrey C.","non-dropping-particle":"","parse-names":false,"suffix":""}],"container-title":"Immunological Reviews","id":"ITEM-1","issue":"1","issued":{"date-parts":[["2020"]]},"page":"5-14","title":"Immunometabolism: From basic mechanisms to translation","type":"article-journal","volume":"295"},"uris":["http://www.mendeley.com/documents/?uuid=42e4ef9d-083f-4779-99e6-e92458c771bb"]}],"mendeley":{"formattedCitation":"&lt;span style=\"baseline\"&gt;[5]&lt;/span&gt;","plainTextFormattedCitation":"[5]","previouslyFormattedCitation":"&lt;span style=\"baseline\"&gt;[4]&lt;/span&gt;"},"properties":{"noteIndex":0},"schema":"https://github.com/citation-style-language/schema/raw/master/csl-citation.json"}</w:instrText>
      </w:r>
      <w:r>
        <w:rPr>
          <w:rFonts w:ascii="Helvetica" w:hAnsi="Helvetica"/>
        </w:rPr>
        <w:fldChar w:fldCharType="separate"/>
      </w:r>
      <w:r>
        <w:rPr>
          <w:rFonts w:ascii="Helvetica" w:hAnsi="Helvetica"/>
        </w:rPr>
        <w:t>[5]</w:t>
      </w:r>
      <w:r>
        <w:rPr>
          <w:rFonts w:ascii="Helvetica" w:hAnsi="Helvetica"/>
        </w:rPr>
        <w:fldChar w:fldCharType="end"/>
      </w:r>
      <w:r>
        <w:rPr>
          <w:rFonts w:ascii="Helvetica" w:hAnsi="Helvetica"/>
        </w:rPr>
        <w:t xml:space="preserve">. While immunometabolism is understudied in the context of aging, there has been some progress in this area in the last several years. In general, aged monocytes and macrophages have been observed to have reduced mitochondrial respiration and defective NAD+ metabolism, and this is associated with increased inflammation </w:t>
      </w:r>
      <w:r>
        <w:rPr>
          <w:rFonts w:ascii="Helvetica" w:hAnsi="Helvetica"/>
        </w:rPr>
        <w:fldChar w:fldCharType="begin" w:fldLock="1"/>
      </w:r>
      <w:r>
        <w:rPr>
          <w:rFonts w:ascii="Helvetica" w:hAnsi="Helvetica"/>
        </w:rPr>
        <w:instrText xml:space="preserve">ADDIN CSL_CITATION {"citationItems":[{"id":"ITEM-1","itemData":{"DOI":"10.20900/immunometab20200026","ISBN":"1901678431","ISSN":"2084-6835","PMID":"32774895","abstract":"Aging is a complex process that involves dysfunction on multiple levels, all of which seem to converge on inflammation. Macrophages are intimately involved in initiating and resolving inflammation, and their dysregulation with age is a primary contributor to inflammaging-a state of chronic, low-grade inflammation that develops during aging. Among the age-related changes that occur to macrophages are a heightened state of basal inflammation and diminished or hyperactive inflammatory responses, which seem to be driven by metabolic-dependent epigenetic changes. In this review article we provide a brief overview of mitochondrial functions and age-related changes that occur to macrophages, with an emphasis on how the inflammaging environment, senescence, and NAD decline can affect their metabolism, promote dysregulation, and contribute to inflammaging and age-related pathologies.","author":[{"dropping-particle":"","family":"Yarbro","given":"Johnathan R","non-dropping-particle":"","parse-names":false,"suffix":""},{"dropping-particle":"","family":"Emmons","given":"Russell S","non-dropping-particle":"","parse-names":false,"suffix":""},{"dropping-particle":"","family":"Pence","given":"Brandt D","non-dropping-particle":"","parse-names":false,"suffix":""}],"container-title":"Immunometabolism","id":"ITEM-1","issue":"3","issued":{"date-parts":[["2020"]]},"page":"e200026","title":"Macrophage Immunometabolism and Inflammaging: Roles of Mitochondrial Dysfunction, Cellular Senescence, CD38, and NAD","type":"article-journal","volume":"2"},"uris":["http://www.mendeley.com/documents/?uuid=0f877f01-8ded-4db3-9f92-2d4356b28fab"]}],"mendeley":{"formattedCitation":"&lt;span style=\"baseline\"&gt;[6]&lt;/span&gt;","plainTextFormattedCitation":"[6]","previouslyFormattedCitation":"&lt;span style=\"baseline\"&gt;[5]&lt;/span&gt;"},"properties":{"noteIndex":0},"schema":"https://github.com/citation-style-language/schema/raw/master/csl-citation.json"}</w:instrText>
      </w:r>
      <w:r>
        <w:rPr>
          <w:rFonts w:ascii="Helvetica" w:hAnsi="Helvetica"/>
        </w:rPr>
        <w:fldChar w:fldCharType="separate"/>
      </w:r>
      <w:r>
        <w:rPr>
          <w:rFonts w:ascii="Helvetica" w:hAnsi="Helvetica"/>
        </w:rPr>
        <w:t>[6]</w:t>
      </w:r>
      <w:r>
        <w:rPr>
          <w:rFonts w:ascii="Helvetica" w:hAnsi="Helvetica"/>
        </w:rPr>
        <w:fldChar w:fldCharType="end"/>
      </w:r>
      <w:r>
        <w:rPr>
          <w:rFonts w:ascii="Helvetica" w:hAnsi="Helvetica"/>
        </w:rPr>
        <w:t xml:space="preserve">. Conversely, aged T cells have increased mitochondrial respiration, likely due to increases in the proportions of memory cells, and aging also dysregulates metabolic reprogramming during activation in T cells </w:t>
      </w:r>
      <w:r>
        <w:rPr>
          <w:rFonts w:ascii="Helvetica" w:hAnsi="Helvetica"/>
        </w:rPr>
        <w:fldChar w:fldCharType="begin" w:fldLock="1"/>
      </w:r>
      <w:r>
        <w:rPr>
          <w:rFonts w:ascii="Helvetica" w:hAnsi="Helvetica"/>
        </w:rPr>
        <w:instrText xml:space="preserve">ADDIN CSL_CITATION {"citationItems":[{"id":"ITEM-1","itemData":{"DOI":"10.3389/FIMMU.2021.714742/XML/NLM","ISSN":"16643224","PMID":"34367184","abstract":"It is well known that aging is associated with dysregulated metabolism. This is seen both in terms of systemic metabolism, as well as at the cellular level with clear mitochondrial dysfunction. More recently, the importance of cellular metabolism in immune cells, or immunometabolism, has been highlighted as a major modifier of immune cell function. Indeed, T cell activation, differentiation, and effector function partly depend on alterations in metabolic pathways with different cell types and functionality favoring either glycolysis or oxidative phosphorylation. While immune system dysfunction with aging is well described, what remains less elucidated is how the integral networks that control immune cell metabolism are specifically affected by age. In recent years, this significant gap has been identified and work has begun to investigate the various ways immunometabolism could be impacted by both chronological age and age-associated symptoms, such as the systemic accumulation of senescent cells. Here, in this mini-review, we will examine immunometabolism with a focus on T cells, aging, and interventions, such as mTOR modulators and senolytics. This review also covers a timely perspective on how immunometabolism may be an ideal target for immunomodulation with aging.","author":[{"dropping-particle":"","family":"Martin","given":"Dominique E.","non-dropping-particle":"","parse-names":false,"suffix":""},{"dropping-particle":"","family":"Torrance","given":"Blake L.","non-dropping-particle":"","parse-names":false,"suffix":""},{"dropping-particle":"","family":"Haynes","given":"Laura","non-dropping-particle":"","parse-names":false,"suffix":""},{"dropping-particle":"","family":"Bartley","given":"Jenna M.","non-dropping-particle":"","parse-names":false,"suffix":""}],"container-title":"Frontiers in Immunology","id":"ITEM-1","issued":{"date-parts":[["2021","7","21"]]},"page":"2969","publisher":"Frontiers Media S.A.","title":"Targeting Aging: Lessons Learned From Immunometabolism and Cellular Senescence","type":"article-journal","volume":"12"},"uris":["http://www.mendeley.com/documents/?uuid=950d9aca-7355-3cff-a9c0-7decb61f2630"]}],"mendeley":{"formattedCitation":"&lt;span style=\"baseline\"&gt;[7]&lt;/span&gt;","plainTextFormattedCitation":"[7]","previouslyFormattedCitation":"&lt;span style=\"baseline\"&gt;[6]&lt;/span&gt;"},"properties":{"noteIndex":0},"schema":"https://github.com/citation-style-language/schema/raw/master/csl-citation.json"}</w:instrText>
      </w:r>
      <w:r>
        <w:rPr>
          <w:rFonts w:ascii="Helvetica" w:hAnsi="Helvetica"/>
        </w:rPr>
        <w:fldChar w:fldCharType="separate"/>
      </w:r>
      <w:r>
        <w:rPr>
          <w:rFonts w:ascii="Helvetica" w:hAnsi="Helvetica"/>
        </w:rPr>
        <w:t>[7]</w:t>
      </w:r>
      <w:r>
        <w:rPr>
          <w:rFonts w:ascii="Helvetica" w:hAnsi="Helvetica"/>
        </w:rPr>
        <w:fldChar w:fldCharType="end"/>
      </w:r>
      <w:r>
        <w:rPr>
          <w:rFonts w:ascii="Helvetica" w:hAnsi="Helvetica"/>
        </w:rPr>
        <w:t xml:space="preserve">. Strategies to normalize immunometabolism during aging may therefore have substantial utility as treatments for age-related chronic and infectious diseases. </w:t>
      </w:r>
    </w:p>
    <w:p>
      <w:pPr>
        <w:spacing w:after="0" w:line="480" w:lineRule="auto"/>
        <w:jc w:val="both"/>
        <w:rPr>
          <w:rFonts w:ascii="Helvetica" w:hAnsi="Helvetica"/>
        </w:rPr>
      </w:pPr>
      <w:r>
        <w:rPr>
          <w:rFonts w:ascii="Helvetica" w:hAnsi="Helvetica"/>
        </w:rPr>
        <w:t xml:space="preserve">In recent years, a variety of nutritional strategies have been popularized which have been shown to improve health- and/or lifespan, at least in model organisms. For the most part, these are based either on some form of short-term fasting (e.g., intermittent fasting, time-restricted feeding) or alterations in dietary macronutrient content. Low carbohydrate ketogenic diets (KDs) are the most prominent example of the latter, and dietary interventions currently have the best evidence supporting a dietary effect on immunometabolism. KD or supplementation with the ketone β-hydroxybutyrate suppresses inflammasome and monocyte activation during coronavirus infection in aged mice </w:t>
      </w:r>
      <w:r>
        <w:rPr>
          <w:rFonts w:ascii="Helvetica" w:hAnsi="Helvetica"/>
        </w:rPr>
        <w:fldChar w:fldCharType="begin" w:fldLock="1"/>
      </w:r>
      <w:r>
        <w:rPr>
          <w:rFonts w:ascii="Helvetica" w:hAnsi="Helvetica"/>
        </w:rPr>
        <w:instrText xml:space="preserve">ADDIN CSL_CITATION {"citationItems":[{"id":"ITEM-1","itemData":{"DOI":"10.7554/ELIFE.66522","ISSN":"2050084X","PMID":"34151773","abstract":"Increasing age is the strongest predictor of risk of COVID-19 severity and mortality. Immunometabolic switch from glycolysis to ketolysis protects against inflammatory damage and influenza infection in adults. To investigate how age compromises defense against coronavirus infection, and whether a pro-longevity ketogenic diet (KD) impacts immune surveillance, we developed an aging model of natural murine beta coronavirus (mCoV) infection with mouse hepatitis virus strain-A59 (MHV-A59). When inoculated intranasally, mCoV is pneumotropic and recapitulates several clinical hallmarks of COVID-19 infection. Aged mCoV-A59-infected mice have increased mortality and higher systemic inflammation in the heart, adipose tissue, and hypothalamus, including neutrophilia and loss of gd T cells in lungs. Activation of ketogenesis in aged mice expands tissue protective gd T cells, deactivates the NLRP3 inflammasome, and decreases pathogenic monocytes in lungs of infected aged mice. These data establish harnessing of the ketogenic immunometabolic checkpoint as a potential treatment against coronavirus infection in the aged.","author":[{"dropping-particle":"","family":"Ryu","given":"Seungjin","non-dropping-particle":"","parse-names":false,"suffix":""},{"dropping-particle":"","family":"Shchukina","given":"Irina","non-dropping-particle":"","parse-names":false,"suffix":""},{"dropping-particle":"","family":"Youm","given":"Yun Hee","non-dropping-particle":"","parse-names":false,"suffix":""},{"dropping-particle":"","family":"Qing","given":"Hua","non-dropping-particle":"","parse-names":false,"suffix":""},{"dropping-particle":"","family":"Hilliard","given":"Brandon","non-dropping-particle":"","parse-names":false,"suffix":""},{"dropping-particle":"","family":"Dlugos","given":"Tamara","non-dropping-particle":"","parse-names":false,"suffix":""},{"dropping-particle":"","family":"Zhang","given":"Xinbo","non-dropping-particle":"","parse-names":false,"suffix":""},{"dropping-particle":"","family":"Yasumoto","given":"Yuki","non-dropping-particle":"","parse-names":false,"suffix":""},{"dropping-particle":"","family":"Booth","given":"Carmen J.","non-dropping-particle":"","parse-names":false,"suffix":""},{"dropping-particle":"","family":"Fernández-Hernando","given":"Carlos","non-dropping-particle":"","parse-names":false,"suffix":""},{"dropping-particle":"","family":"Suárez","given":"Yajaira","non-dropping-particle":"","parse-names":false,"suffix":""},{"dropping-particle":"","family":"Khanna","given":"Kamal","non-dropping-particle":"","parse-names":false,"suffix":""},{"dropping-particle":"","family":"Horvath","given":"Tamas L.","non-dropping-particle":"","parse-names":false,"suffix":""},{"dropping-particle":"","family":"Dietrich","given":"Marcelo O.","non-dropping-particle":"","parse-names":false,"suffix":""},{"dropping-particle":"","family":"Artyomov","given":"Maxim","non-dropping-particle":"","parse-names":false,"suffix":""},{"dropping-particle":"","family":"Wang","given":"Andrew","non-dropping-particle":"","parse-names":false,"suffix":""},{"dropping-particle":"","family":"Dixit","given":"Vishwa Deep","non-dropping-particle":"","parse-names":false,"suffix":""}],"container-title":"eLife","id":"ITEM-1","issued":{"date-parts":[["2021","6","1"]]},"publisher":"eLife Sciences Publications Ltd","title":"Ketogenic diet restrains aging-induced exacerbation of coronavirus infection in mice","type":"article-journal","volume":"10"},"uris":["http://www.mendeley.com/documents/?uuid=6518e720-80e1-3b69-8eef-f911156d66a2"]}],"mendeley":{"formattedCitation":"&lt;span style=\"baseline\"&gt;[8]&lt;/span&gt;","plainTextFormattedCitation":"[8]","previouslyFormattedCitation":"&lt;span style=\"baseline\"&gt;[7]&lt;/span&gt;"},"properties":{"noteIndex":0},"schema":"https://github.com/citation-style-language/schema/raw/master/csl-citation.json"}</w:instrText>
      </w:r>
      <w:r>
        <w:rPr>
          <w:rFonts w:ascii="Helvetica" w:hAnsi="Helvetica"/>
        </w:rPr>
        <w:fldChar w:fldCharType="separate"/>
      </w:r>
      <w:r>
        <w:rPr>
          <w:rFonts w:ascii="Helvetica" w:hAnsi="Helvetica"/>
        </w:rPr>
        <w:t>[8]</w:t>
      </w:r>
      <w:r>
        <w:rPr>
          <w:rFonts w:ascii="Helvetica" w:hAnsi="Helvetica"/>
        </w:rPr>
        <w:fldChar w:fldCharType="end"/>
      </w:r>
      <w:r>
        <w:rPr>
          <w:rFonts w:ascii="Helvetica" w:hAnsi="Helvetica"/>
        </w:rPr>
        <w:t xml:space="preserve">, and there is a significant body of work indicating that ketones alter cellular metabolic pathways associated with inflammation, including by suppressing glycolytic activation </w:t>
      </w:r>
      <w:r>
        <w:rPr>
          <w:rFonts w:ascii="Helvetica" w:hAnsi="Helvetica"/>
        </w:rPr>
        <w:fldChar w:fldCharType="begin" w:fldLock="1"/>
      </w:r>
      <w:r>
        <w:rPr>
          <w:rFonts w:ascii="Helvetica" w:hAnsi="Helvetica"/>
        </w:rPr>
        <w:instrText xml:space="preserve">ADDIN CSL_CITATION {"citationItems":[{"id":"ITEM-1","itemData":{"DOI":"10.1016/J.MEDJ.2020.06.008","ISSN":"2666-6340","abstract":"Respiratory viral infections remain a scourge, with seasonal influenza infecting millions and killing many thousands annually and viral pandemics, such as COVID-19, recurring every decade. Age, cardiovascular disease, and diabetes mellitus are risk factors for severe disease and death from viral infection. Immunometabolic therapies for these populations hold promise to reduce the risks of death and disability. Such interventions have pleiotropic effects that might not only target the virus itself but also enhance supportive care to reduce cardiopulmonary complications, improve cognitive resilience, and facilitate functional recovery. Ketone bodies are endogenous metabolites that maintain cellular energy but also feature drug-like signaling activities that affect immune activity, metabolism, and epigenetics. Here, we provide an overview of ketone body biology relevant to respiratory viral infection, focusing on influenza A and severe acute respiratory syndrome (SARS)-CoV-2, and discuss the opportunities, risks, and research gaps in the study of exogenous ketone bodies as novel immunometabolic interventions in these diseases.","author":[{"dropping-particle":"","family":"Stubbs","given":"Brianna J.","non-dropping-particle":"","parse-names":false,"suffix":""},{"dropping-particle":"","family":"Koutnik","given":"Andrew P.","non-dropping-particle":"","parse-names":false,"suffix":""},{"dropping-particle":"","family":"Goldberg","given":"Emily L.","non-dropping-particle":"","parse-names":false,"suffix":""},{"dropping-particle":"","family":"Upadhyay","given":"Vaibhav","non-dropping-particle":"","parse-names":false,"suffix":""},{"dropping-particle":"","family":"Turnbaugh","given":"Peter J.","non-dropping-particle":"","parse-names":false,"suffix":""},{"dropping-particle":"","family":"Verdin","given":"Eric","non-dropping-particle":"","parse-names":false,"suffix":""},{"dropping-particle":"","family":"Newman","given":"John C.","non-dropping-particle":"","parse-names":false,"suffix":""}],"container-title":"Med","id":"ITEM-1","issue":"1","issued":{"date-parts":[["2020","12","18"]]},"page":"43-65","publisher":"Cell Press","title":"Investigating Ketone Bodies as Immunometabolic Countermeasures against Respiratory Viral Infections","type":"article-journal","volume":"1"},"uris":["http://www.mendeley.com/documents/?uuid=06a94c7a-f863-3215-a5dc-49795da0e2f1"]}],"mendeley":{"formattedCitation":"&lt;span style=\"baseline\"&gt;[9]&lt;/span&gt;","plainTextFormattedCitation":"[9]","previouslyFormattedCitation":"&lt;span style=\"baseline\"&gt;[8]&lt;/span&gt;"},"properties":{"noteIndex":0},"schema":"https://github.com/citation-style-language/schema/raw/master/csl-citation.json"}</w:instrText>
      </w:r>
      <w:r>
        <w:rPr>
          <w:rFonts w:ascii="Helvetica" w:hAnsi="Helvetica"/>
        </w:rPr>
        <w:fldChar w:fldCharType="separate"/>
      </w:r>
      <w:r>
        <w:rPr>
          <w:rFonts w:ascii="Helvetica" w:hAnsi="Helvetica"/>
        </w:rPr>
        <w:t>[9]</w:t>
      </w:r>
      <w:r>
        <w:rPr>
          <w:rFonts w:ascii="Helvetica" w:hAnsi="Helvetica"/>
        </w:rPr>
        <w:fldChar w:fldCharType="end"/>
      </w:r>
      <w:r>
        <w:rPr>
          <w:rFonts w:ascii="Helvetica" w:hAnsi="Helvetica"/>
        </w:rPr>
        <w:t xml:space="preserve">. In addition to KD, other dietary strategies including intermittent fasting and amino acid restriction have anti-inflammatory effects </w:t>
      </w:r>
      <w:r>
        <w:rPr>
          <w:rFonts w:ascii="Helvetica" w:hAnsi="Helvetica"/>
        </w:rPr>
        <w:fldChar w:fldCharType="begin" w:fldLock="1"/>
      </w:r>
      <w:r>
        <w:rPr>
          <w:rFonts w:ascii="Helvetica" w:hAnsi="Helvetica"/>
        </w:rPr>
        <w:instrText xml:space="preserve">ADDIN CSL_CITATION {"citationItems":[{"id":"ITEM-1","itemData":{"DOI":"10.1016/j.immuni.2020.08.012","abstract":"Over the past 10 years, the field of immunometabolism made great strides to unveil the crucial role of intra-cellular metabolism in regulating immune cell function. Emerging insights into how systemic inflammation and metabolism influence each other provide a critical additional dimension on the organismal level. Here, we discuss the concept of systemic immunometabolism and review the current understanding of the communication circuits that underlie the reciprocal impact of systemic inflammation and metabolism across organs in inflammatory and infectious diseases, as well as how these mechanisms apply to homeostasis. We present current challenges of systemic immunometabolic research, and in this context, highlight opportunities and put forward ideas to effectively explore organismal physiological complexity in both health and disease.","author":[{"dropping-particle":"","family":"Lercher","given":"Alexander","non-dropping-particle":"","parse-names":false,"suffix":""},{"dropping-particle":"","family":"Baazim","given":"Hatoon","non-dropping-particle":"","parse-names":false,"suffix":""},{"dropping-particle":"","family":"Bergthaler","given":"Andreas","non-dropping-particle":"","parse-names":false,"suffix":""}],"container-title":"Immunity","id":"ITEM-1","issued":{"date-parts":[["2020"]]},"page":"496-509","title":"Systemic Immunometabolism: Challenges and Opportunities","type":"article-journal","volume":"53"},"uris":["http://www.mendeley.com/documents/?uuid=a43b031a-29ee-35c5-aad3-ea77831d7e37"]}],"mendeley":{"formattedCitation":"&lt;span style=\"baseline\"&gt;[10]&lt;/span&gt;","plainTextFormattedCitation":"[10]","previouslyFormattedCitation":"&lt;span style=\"baseline\"&gt;[9]&lt;/span&gt;"},"properties":{"noteIndex":0},"schema":"https://github.com/citation-style-language/schema/raw/master/csl-citation.json"}</w:instrText>
      </w:r>
      <w:r>
        <w:rPr>
          <w:rFonts w:ascii="Helvetica" w:hAnsi="Helvetica"/>
        </w:rPr>
        <w:fldChar w:fldCharType="separate"/>
      </w:r>
      <w:r>
        <w:rPr>
          <w:rFonts w:ascii="Helvetica" w:hAnsi="Helvetica"/>
        </w:rPr>
        <w:t>[10]</w:t>
      </w:r>
      <w:r>
        <w:rPr>
          <w:rFonts w:ascii="Helvetica" w:hAnsi="Helvetica"/>
        </w:rPr>
        <w:fldChar w:fldCharType="end"/>
      </w:r>
      <w:r>
        <w:rPr>
          <w:rFonts w:ascii="Helvetica" w:hAnsi="Helvetica"/>
        </w:rPr>
        <w:t>, suggesting that dietary changes may be simple interventions that are efficacious in altering immunometabolism and capable of being used in a precision medicine context.</w:t>
      </w:r>
    </w:p>
    <w:p>
      <w:pPr>
        <w:spacing w:after="0" w:line="480" w:lineRule="auto"/>
        <w:jc w:val="both"/>
        <w:rPr>
          <w:rFonts w:ascii="Helvetica" w:hAnsi="Helvetica"/>
        </w:rPr>
      </w:pPr>
      <w:r>
        <w:rPr>
          <w:rFonts w:ascii="Helvetica" w:hAnsi="Helvetica"/>
        </w:rPr>
        <w:t xml:space="preserve">While physical exercise is well known as a driver of metabolic changes in skeletal muscle, heart, and other tissues, to date there is very little published research on its effects on immunometabolism. Long-term moderate aerobic exercise training is generally anti-inflammatory, at least when undertaken by individuals with low-grade inflammatory conditions (including aging) </w:t>
      </w:r>
      <w:r>
        <w:rPr>
          <w:rFonts w:ascii="Helvetica" w:hAnsi="Helvetica"/>
        </w:rPr>
        <w:fldChar w:fldCharType="begin" w:fldLock="1"/>
      </w:r>
      <w:r>
        <w:rPr>
          <w:rFonts w:ascii="Helvetica" w:hAnsi="Helvetica"/>
        </w:rPr>
        <w:instrText xml:space="preserve">ADDIN CSL_CITATION {"citationItems":[{"id":"ITEM-1","itemData":{"DOI":"10.1016/j.jshs.2019.12.003","ISSN":"22132961","PMID":"32928447","abstract":"Several decades of research in the area of exercise immunology have shown that the immune system is highly responsive to acute and chronic exercise training. Moderate exercise bouts enhance immunosurveillance and when repeated over time mediate multiple health benefits. Most of the studies prior to 2010 relied on a few targeted outcomes related to immune function. During the past decade, technologic advances have created opportunities for a multi-omics and systems biology approach to exercise immunology. This article provides an overview of metabolomics, lipidomics, and proteomics as they pertain to exercise immunology, with a focus on immunometabolism. This review also summarizes how the composition and diversity of the gut microbiota can be influenced by exercise, with applications to human health and immunity. Exercise-induced improvements in immune function may play a critical role in countering immunosenescence and the development of chronic diseases, and emerging omics technologies will more clearly define the underlying mechanisms. This review summarizes what is currently known regarding a multi-omics approach to exercise immunology and provides future directions for investigators.","author":[{"dropping-particle":"","family":"Nieman","given":"David C.","non-dropping-particle":"","parse-names":false,"suffix":""},{"dropping-particle":"","family":"Pence","given":"Brandt D.","non-dropping-particle":"","parse-names":false,"suffix":""}],"container-title":"Journal of Sport and Health Science","id":"ITEM-1","issue":"5","issued":{"date-parts":[["2020"]]},"page":"432-445","title":"Exercise immunology: Future directions","type":"article-journal","volume":"9"},"uris":["http://www.mendeley.com/documents/?uuid=328be429-9a42-394f-ab02-3d4d3df90845"]}],"mendeley":{"formattedCitation":"&lt;span style=\"baseline\"&gt;[11]&lt;/span&gt;","plainTextFormattedCitation":"[11]","previouslyFormattedCitation":"&lt;span style=\"baseline\"&gt;[10]&lt;/span&gt;"},"properties":{"noteIndex":0},"schema":"https://github.com/citation-style-language/schema/raw/master/csl-citation.json"}</w:instrText>
      </w:r>
      <w:r>
        <w:rPr>
          <w:rFonts w:ascii="Helvetica" w:hAnsi="Helvetica"/>
        </w:rPr>
        <w:fldChar w:fldCharType="separate"/>
      </w:r>
      <w:r>
        <w:rPr>
          <w:rFonts w:ascii="Helvetica" w:hAnsi="Helvetica"/>
        </w:rPr>
        <w:t>[11]</w:t>
      </w:r>
      <w:r>
        <w:rPr>
          <w:rFonts w:ascii="Helvetica" w:hAnsi="Helvetica"/>
        </w:rPr>
        <w:fldChar w:fldCharType="end"/>
      </w:r>
      <w:r>
        <w:rPr>
          <w:rFonts w:ascii="Helvetica" w:hAnsi="Helvetica"/>
        </w:rPr>
        <w:t xml:space="preserve">. So far, the limited attempts to characterize metabolism in circulating immune cells have found few changes pre- vs. post-exercise, whether this is interrogated after a single exercise bout </w:t>
      </w:r>
      <w:r>
        <w:rPr>
          <w:rFonts w:ascii="Helvetica" w:hAnsi="Helvetica"/>
        </w:rPr>
        <w:fldChar w:fldCharType="begin" w:fldLock="1"/>
      </w:r>
      <w:r>
        <w:rPr>
          <w:rFonts w:ascii="Helvetica" w:hAnsi="Helvetica"/>
        </w:rPr>
        <w:instrText xml:space="preserve">ADDIN CSL_CITATION {"citationItems":[{"id":"ITEM-1","itemData":{"DOI":"10.14814/PHY2.15147","ISSN":"2051-817X","PMID":"34889067","abstract":"Regular exercise is associated with changes in peripheral blood mononuclear cell (PBMC) proportions that have enhanced effector functions in young and old adults; however, the effects of acute exercise on PBMC nutrient sensors and metabolic function in active young adults is unknown. To fill this gap, activation status and nutrient-sensing mechanisms of PBMCs isolated from 21 healthy active adults (20–35 yr; 36.5 ± 6.3 V̇O2peak) were characterized before and after 30 min of moderate-to-vigorous cycling (65%–75% V̇O2peak). In addition, changes in PBMC mitochondrial respiratory function in response to exercise were assessed using high-resolution respirometry. There was an increase in the number of activated CD69+/CD4 (79% increase) and CD69+/CD8 (166% increase) T-cells in response to the acute bout of exercise, while the nutrient-sensing mechanisms remained unchanged. PBMC mitochondrial respiration did not increase on a cell-per-cell basis, however, mitochondrial oxidative capacity (OXPHOS) increased at the tissue level (18.6 pmol/(s*ml blood) versus 29.3 pmol/(s*ml blood); p &lt; 0.05) in response to acute exercise. Thus, this study shows that acute exercise preferentially mobilizes activated T-cells while concomitantly increasing PBMC mitochondrial oxidative capacity at the tissue level, rather than acutely changing mitochondrial oxidative capacity at the cellular level in young adults.","author":[{"dropping-particle":"","family":"Theall","given":"Bailey","non-dropping-particle":"","parse-names":false,"suffix":""},{"dropping-particle":"","family":"Stampley","given":"James","non-dropping-particle":"","parse-names":false,"suffix":""},{"dropping-particle":"","family":"Cho","given":"Eunhan","non-dropping-particle":"","parse-names":false,"suffix":""},{"dropping-particle":"","family":"Granger","given":"Joshua","non-dropping-particle":"","parse-names":false,"suffix":""},{"dropping-particle":"","family":"Johannsen","given":"Neil M.","non-dropping-particle":"","parse-names":false,"suffix":""},{"dropping-particle":"","family":"Irving","given":"Brian A.","non-dropping-particle":"","parse-names":false,"suffix":""},{"dropping-particle":"","family":"Spielmann","given":"Guillaume","non-dropping-particle":"","parse-names":false,"suffix":""}],"container-title":"Physiological reports","id":"ITEM-1","issue":"23","issued":{"date-parts":[["2021","12","1"]]},"publisher":"Physiol Rep","title":"Impact of acute exercise on peripheral blood mononuclear cells nutrient sensing and mitochondrial oxidative capacity in healthy young adults","type":"article-journal","volume":"9"},"uris":["http://www.mendeley.com/documents/?uuid=91c653f8-090c-34fd-b698-4f2cd386d8e4"]}],"mendeley":{"formattedCitation":"&lt;span style=\"baseline\"&gt;[12]&lt;/span&gt;","plainTextFormattedCitation":"[12]","previouslyFormattedCitation":"&lt;span style=\"baseline\"&gt;[11]&lt;/span&gt;"},"properties":{"noteIndex":0},"schema":"https://github.com/citation-style-language/schema/raw/master/csl-citation.json"}</w:instrText>
      </w:r>
      <w:r>
        <w:rPr>
          <w:rFonts w:ascii="Helvetica" w:hAnsi="Helvetica"/>
        </w:rPr>
        <w:fldChar w:fldCharType="separate"/>
      </w:r>
      <w:r>
        <w:rPr>
          <w:rFonts w:ascii="Helvetica" w:hAnsi="Helvetica"/>
        </w:rPr>
        <w:t>[12]</w:t>
      </w:r>
      <w:r>
        <w:rPr>
          <w:rFonts w:ascii="Helvetica" w:hAnsi="Helvetica"/>
        </w:rPr>
        <w:fldChar w:fldCharType="end"/>
      </w:r>
      <w:r>
        <w:rPr>
          <w:rFonts w:ascii="Helvetica" w:hAnsi="Helvetica"/>
        </w:rPr>
        <w:t xml:space="preserve"> or after a training intervention </w:t>
      </w:r>
      <w:r>
        <w:rPr>
          <w:rFonts w:ascii="Helvetica" w:hAnsi="Helvetica"/>
        </w:rPr>
        <w:fldChar w:fldCharType="begin" w:fldLock="1"/>
      </w:r>
      <w:r>
        <w:rPr>
          <w:rFonts w:ascii="Helvetica" w:hAnsi="Helvetica"/>
        </w:rPr>
        <w:instrText xml:space="preserve">ADDIN CSL_CITATION {"citationItems":[{"id":"ITEM-1","itemData":{"DOI":"10.1038/s41598-022-11458-4","ISBN":"0123456789","ISSN":"2045-2322","PMID":"35523821","abstract":"Rheumatoid arthritis (RA) T cells drive autoimmune features via metabolic reprogramming that reduces oxidative metabolism. Exercise training improves cardiorespiratory fitness (i.e., systemic oxidative metabolism) and thus may impact RA T cell oxidative metabolic function. In this pilot study of RA participants, we took advantage of heterogeneous responses to a high-intensity interval training (HIIT) exercise program to identify relationships between improvements in cardiorespiratory fitness with changes in peripheral T cell and skeletal muscle oxidative metabolism. In 12 previously sedentary persons with seropositive RA, maximal cardiopulmonary exercise tests, fasting blood, and vastus lateralis biopsies were obtained before and after 10&amp;nbsp;weeks of HIIT. Following HIIT, improvements in RA cardiorespiratory fitness were associated with changes in RA CD4 + T cell basal and maximal respiration and skeletal muscle carnitine acetyltransferase (CrAT) enzyme activity. Further, changes in CD4 + T cell respiration were associated with changes in naïve CD4 + CCR7 + CD45RA + T cells, muscle CrAT, and muscle medium-chain acylcarnitines and fat oxidation gene expression profiles. In summary, modulation of cardiorespiratory fitness and molecular markers of skeletal muscle oxidative metabolism during exercise training paralleled changes in T cell metabolism. Exercise training that improves RA cardiorespiratory fitness may therefore be valuable in managing pathologically related immune and muscle dysfunction. Trial registration: ClinicalTrials.gov, NCT02528344. Registered on 19 August 2015.","author":[{"dropping-particle":"","family":"Andonian","given":"Brian J.","non-dropping-particle":"","parse-names":false,"suffix":""},{"dropping-particle":"","family":"Koss","given":"Alec","non-dropping-particle":"","parse-names":false,"suffix":""},{"dropping-particle":"","family":"Koves","given":"Timothy R.","non-dropping-particle":"","parse-names":false,"suffix":""},{"dropping-particle":"","family":"Hauser","given":"Elizabeth R.","non-dropping-particle":"","parse-names":false,"suffix":""},{"dropping-particle":"","family":"Hubal","given":"Monica J.","non-dropping-particle":"","parse-names":false,"suffix":""},{"dropping-particle":"","family":"Pober","given":"David M.","non-dropping-particle":"","parse-names":false,"suffix":""},{"dropping-particle":"","family":"Lord","given":"Janet M.","non-dropping-particle":"","parse-names":false,"suffix":""},{"dropping-particle":"","family":"MacIver","given":"Nancie J.","non-dropping-particle":"","parse-names":false,"suffix":""},{"dropping-particle":"","family":"St Clair","given":"E. William","non-dropping-particle":"","parse-names":false,"suffix":""},{"dropping-particle":"","family":"Muoio","given":"Deborah M.","non-dropping-particle":"","parse-names":false,"suffix":""},{"dropping-particle":"","family":"Kraus","given":"William E.","non-dropping-particle":"","parse-names":false,"suffix":""},{"dropping-particle":"","family":"Bartlett","given":"David B.","non-dropping-particle":"","parse-names":false,"suffix":""},{"dropping-particle":"","family":"Huffman","given":"Kim M.","non-dropping-particle":"","parse-names":false,"suffix":""}],"container-title":"Scientific Reports 2022 12:1","id":"ITEM-1","issue":"1","issued":{"date-parts":[["2022","5","6"]]},"page":"1-13","publisher":"Nature Publishing Group","title":"Rheumatoid arthritis T cell and muscle oxidative metabolism associate with exercise-induced changes in cardiorespiratory fitness","type":"article-journal","volume":"12"},"uris":["http://www.mendeley.com/documents/?uuid=03402601-ea4f-35cf-b68a-ef25e10f5cd1"]},{"id":"ITEM-2","itemData":{"DOI":"10.1152/JAPPLPHYSIOL.00777.2018","ISSN":"1522-1601","PMID":"30571281","abstract":"Measurement of skeletal muscle mitochondrial respiration requires invasive biopsy to obtain a muscle sample. Peripheral blood mononuclear cell (PBMC) mitochondrial protein content appears to reflect training status in young men; however, no studies have investigated whether there are training-induced changes in PBMC mitochondrial respiration. Therefore, we determined whether PBMC mitochondrial respiration could be used as a marker of skeletal muscle mitochondrial respiration in young healthy men and whether PBMC mitochondrial respiration responds to short-term training. Skeletal muscle and PBMC samples from 10 healthy young (18 –35 yr) male participants were taken before and after a 2-wk high-intensity interval training protocol. High-resolution respirometry was used to determine mitochondrial respiration from muscle and PBMCs, and Western blotting and quantitative PCR were used to assess mitochondrial biogenesis in PBMCs. PBMC mitochondrial respiration was not correlated with muscle mitochondrial respiration at baseline (R 2 0.012– 0.364, P 0.05). While muscle mitochondrial respiration increased in response to training (32.1–61.5%, P 0.05), PBMC respiration was not affected by training. Consequently, PBMCs did not predict training effect on muscle mitochondrial respiration (R 2 0.024 – 0.283, P 0.05). Similarly, gene and protein markers of mitochondrial biogenesis did not increase in PBMCs following training. This suggests PBMC mitochondrial function does not reflect that of skeletal muscle and does not increase following short-term high-intensity training. PBMCs are therefore not a suitable biomarker for muscle mitochondrial function in young healthy men. It may be useful to study PBMC mitochondrial function as a biomarker of muscle mitochondrial function in pathological populations with different respiration capacities.","author":[{"dropping-particle":"","family":"Hedges","given":"C. P.","non-dropping-particle":"","parse-names":false,"suffix":""},{"dropping-particle":"","family":"Woodhead","given":"J. S.T.","non-dropping-particle":"","parse-names":false,"suffix":""},{"dropping-particle":"","family":"Wang","given":"H. W.","non-dropping-particle":"","parse-names":false,"suffix":""},{"dropping-particle":"","family":"Mitchell","given":"C. J.","non-dropping-particle":"","parse-names":false,"suffix":""},{"dropping-particle":"","family":"Cameron-Smith","given":"D.","non-dropping-particle":"","parse-names":false,"suffix":""},{"dropping-particle":"","family":"Hickey","given":"A. J.R.","non-dropping-particle":"","parse-names":false,"suffix":""},{"dropping-particle":"","family":"Merry","given":"T. L.","non-dropping-particle":"","parse-names":false,"suffix":""}],"container-title":"Journal of applied physiology (Bethesda, Md. : 1985)","id":"ITEM-2","issue":"2","issued":{"date-parts":[["2019","2","1"]]},"page":"454-461","publisher":"J Appl Physiol (1985)","title":"Peripheral blood mononuclear cells do not reflect skeletal muscle mitochondrial function or adaptation to high-intensity interval training in healthy young men","type":"article-journal","volume":"126"},"uris":["http://www.mendeley.com/documents/?uuid=93a28061-053b-3ffb-bf62-d8f1c88e5943"]}],"mendeley":{"formattedCitation":"&lt;span style=\"baseline\"&gt;[13,14]&lt;/span&gt;","plainTextFormattedCitation":"[13,14]","previouslyFormattedCitation":"&lt;span style=\"baseline\"&gt;[12,13]&lt;/span&gt;"},"properties":{"noteIndex":0},"schema":"https://github.com/citation-style-language/schema/raw/master/csl-citation.json"}</w:instrText>
      </w:r>
      <w:r>
        <w:rPr>
          <w:rFonts w:ascii="Helvetica" w:hAnsi="Helvetica"/>
        </w:rPr>
        <w:fldChar w:fldCharType="separate"/>
      </w:r>
      <w:r>
        <w:rPr>
          <w:rFonts w:ascii="Helvetica" w:hAnsi="Helvetica"/>
        </w:rPr>
        <w:t>[13,</w:t>
      </w:r>
      <w:r>
        <w:rPr>
          <w:rFonts w:hint="eastAsia" w:ascii="Helvetica" w:hAnsi="Helvetica" w:eastAsia="宋体"/>
          <w:lang w:val="en-US" w:eastAsia="zh-CN"/>
        </w:rPr>
        <w:t xml:space="preserve"> </w:t>
      </w:r>
      <w:r>
        <w:rPr>
          <w:rFonts w:ascii="Helvetica" w:hAnsi="Helvetica"/>
        </w:rPr>
        <w:t>14]</w:t>
      </w:r>
      <w:r>
        <w:rPr>
          <w:rFonts w:ascii="Helvetica" w:hAnsi="Helvetica"/>
        </w:rPr>
        <w:fldChar w:fldCharType="end"/>
      </w:r>
      <w:r>
        <w:rPr>
          <w:rFonts w:ascii="Helvetica" w:hAnsi="Helvetica"/>
        </w:rPr>
        <w:t xml:space="preserve">. However, exercise redistributes immune cells, thereby shifting their circulating proportions, and most exercise studies to date have examined heterogeneous peripheral blood mononuclear cell populations. This introduces a substantial likelihood of biasing results by measuring different cell populations before and after exercise. Some indirect evidence, primarily from gene expression studies, does suggest that exercise training could increase mitochondrial metabolism in circulating immune cells </w:t>
      </w:r>
      <w:r>
        <w:rPr>
          <w:rFonts w:ascii="Helvetica" w:hAnsi="Helvetica"/>
        </w:rPr>
        <w:fldChar w:fldCharType="begin" w:fldLock="1"/>
      </w:r>
      <w:r>
        <w:rPr>
          <w:rFonts w:ascii="Helvetica" w:hAnsi="Helvetica"/>
        </w:rPr>
        <w:instrText xml:space="preserve">ADDIN CSL_CITATION {"citationItems":[{"id":"ITEM-1","itemData":{"DOI":"10.1016/j.jshs.2019.12.003","ISSN":"22132961","PMID":"32928447","abstract":"Several decades of research in the area of exercise immunology have shown that the immune system is highly responsive to acute and chronic exercise training. Moderate exercise bouts enhance immunosurveillance and when repeated over time mediate multiple health benefits. Most of the studies prior to 2010 relied on a few targeted outcomes related to immune function. During the past decade, technologic advances have created opportunities for a multi-omics and systems biology approach to exercise immunology. This article provides an overview of metabolomics, lipidomics, and proteomics as they pertain to exercise immunology, with a focus on immunometabolism. This review also summarizes how the composition and diversity of the gut microbiota can be influenced by exercise, with applications to human health and immunity. Exercise-induced improvements in immune function may play a critical role in countering immunosenescence and the development of chronic diseases, and emerging omics technologies will more clearly define the underlying mechanisms. This review summarizes what is currently known regarding a multi-omics approach to exercise immunology and provides future directions for investigators.","author":[{"dropping-particle":"","family":"Nieman","given":"David C.","non-dropping-particle":"","parse-names":false,"suffix":""},{"dropping-particle":"","family":"Pence","given":"Brandt D.","non-dropping-particle":"","parse-names":false,"suffix":""}],"container-title":"Journal of Sport and Health Science","id":"ITEM-1","issue":"5","issued":{"date-parts":[["2020"]]},"page":"432-445","title":"Exercise immunology: Future directions","type":"article-journal","volume":"9"},"uris":["http://www.mendeley.com/documents/?uuid=328be429-9a42-394f-ab02-3d4d3df90845"]}],"mendeley":{"formattedCitation":"&lt;span style=\"baseline\"&gt;[11]&lt;/span&gt;","plainTextFormattedCitation":"[11]","previouslyFormattedCitation":"&lt;span style=\"baseline\"&gt;[10]&lt;/span&gt;"},"properties":{"noteIndex":0},"schema":"https://github.com/citation-style-language/schema/raw/master/csl-citation.json"}</w:instrText>
      </w:r>
      <w:r>
        <w:rPr>
          <w:rFonts w:ascii="Helvetica" w:hAnsi="Helvetica"/>
        </w:rPr>
        <w:fldChar w:fldCharType="separate"/>
      </w:r>
      <w:r>
        <w:rPr>
          <w:rFonts w:ascii="Helvetica" w:hAnsi="Helvetica"/>
        </w:rPr>
        <w:t>[11]</w:t>
      </w:r>
      <w:r>
        <w:rPr>
          <w:rFonts w:ascii="Helvetica" w:hAnsi="Helvetica"/>
        </w:rPr>
        <w:fldChar w:fldCharType="end"/>
      </w:r>
      <w:r>
        <w:rPr>
          <w:rFonts w:ascii="Helvetica" w:hAnsi="Helvetica"/>
        </w:rPr>
        <w:t>. So far, though, this has not been conclusively demonstrated directly, and it remains to be demonstrated that exercise-induced immunometabolic changes are linked to the anti-inflammatory effects of regular exercise training.</w:t>
      </w:r>
    </w:p>
    <w:p>
      <w:pPr>
        <w:spacing w:after="0" w:line="480" w:lineRule="auto"/>
        <w:jc w:val="both"/>
        <w:rPr>
          <w:rFonts w:ascii="Helvetica" w:hAnsi="Helvetica"/>
        </w:rPr>
      </w:pPr>
      <w:r>
        <w:rPr>
          <w:rFonts w:ascii="Helvetica" w:hAnsi="Helvetica"/>
        </w:rPr>
        <w:t xml:space="preserve">To summarize, aging results in a multifaceted decline of immune function that promotes (chronic and infectious) disease susceptibility and systemic inflammation. Metabolic reprogramming drives phenotypic and functional changes in immune cells, and there is now emerging evidence that aging alters immunometabolism in ways that may cause immunosenescence and inflammaging. As inexpensive and effective strategies to target metabolism, physical exercise and dietary interventions hold tremendous promise for ameliorating aging-related diseases through immunometabolic reprogramming. While there is some published support for this, especially in the context of dietary interventions, substantially more work is needed to demonstrate that exercise and/or diet can be used to target immunometabolism for precision medicine. </w:t>
      </w:r>
    </w:p>
    <w:p>
      <w:pPr>
        <w:spacing w:after="0" w:line="480" w:lineRule="auto"/>
        <w:jc w:val="both"/>
        <w:rPr>
          <w:rFonts w:hint="default" w:ascii="Helvetica" w:hAnsi="Helvetica" w:eastAsia="宋体"/>
          <w:b/>
          <w:bCs/>
          <w:lang w:val="en-US" w:eastAsia="zh-CN"/>
        </w:rPr>
      </w:pPr>
      <w:r>
        <w:rPr>
          <w:rFonts w:hint="eastAsia" w:ascii="Helvetica" w:hAnsi="Helvetica" w:eastAsia="宋体"/>
          <w:b/>
          <w:bCs/>
          <w:lang w:val="en-US" w:eastAsia="zh-CN"/>
        </w:rPr>
        <w:t>Declarations</w:t>
      </w:r>
    </w:p>
    <w:p>
      <w:pPr>
        <w:jc w:val="both"/>
        <w:rPr>
          <w:rFonts w:ascii="Helvetica" w:hAnsi="Helvetica"/>
          <w:b/>
          <w:bCs/>
        </w:rPr>
      </w:pPr>
      <w:r>
        <w:rPr>
          <w:rFonts w:ascii="Helvetica" w:hAnsi="Helvetica"/>
          <w:b/>
          <w:bCs/>
        </w:rPr>
        <w:t>Authors’ contributions</w:t>
      </w:r>
    </w:p>
    <w:p>
      <w:pPr>
        <w:spacing w:after="0" w:line="480" w:lineRule="auto"/>
        <w:jc w:val="both"/>
        <w:rPr>
          <w:rFonts w:ascii="Helvetica" w:hAnsi="Helvetica"/>
        </w:rPr>
      </w:pPr>
      <w:r>
        <w:rPr>
          <w:rFonts w:ascii="Helvetica" w:hAnsi="Helvetica"/>
        </w:rPr>
        <w:t>Brandt D. Pence developed the concept for the editorial and wrote the manuscript.</w:t>
      </w:r>
    </w:p>
    <w:p>
      <w:pPr>
        <w:spacing w:after="0" w:line="480" w:lineRule="auto"/>
        <w:jc w:val="both"/>
        <w:rPr>
          <w:rFonts w:ascii="Helvetica" w:hAnsi="Helvetica"/>
          <w:b/>
          <w:bCs/>
        </w:rPr>
      </w:pPr>
      <w:r>
        <w:rPr>
          <w:rFonts w:ascii="Helvetica" w:hAnsi="Helvetica"/>
          <w:b/>
          <w:bCs/>
        </w:rPr>
        <w:t>Availability of data and materials</w:t>
      </w:r>
    </w:p>
    <w:p>
      <w:pPr>
        <w:spacing w:after="0" w:line="480" w:lineRule="auto"/>
        <w:jc w:val="both"/>
        <w:rPr>
          <w:rFonts w:ascii="Helvetica" w:hAnsi="Helvetica"/>
        </w:rPr>
      </w:pPr>
      <w:r>
        <w:rPr>
          <w:rFonts w:ascii="Helvetica" w:hAnsi="Helvetica"/>
        </w:rPr>
        <w:t>Not applicable</w:t>
      </w:r>
      <w:r>
        <w:rPr>
          <w:rFonts w:hint="eastAsia" w:ascii="Helvetica" w:hAnsi="Helvetica" w:eastAsia="宋体"/>
          <w:lang w:val="en-US" w:eastAsia="zh-CN"/>
        </w:rPr>
        <w:t>.</w:t>
      </w:r>
    </w:p>
    <w:p>
      <w:pPr>
        <w:spacing w:after="0" w:line="480" w:lineRule="auto"/>
        <w:jc w:val="both"/>
        <w:rPr>
          <w:rFonts w:ascii="Helvetica" w:hAnsi="Helvetica"/>
          <w:b/>
          <w:bCs/>
        </w:rPr>
      </w:pPr>
      <w:r>
        <w:rPr>
          <w:rFonts w:ascii="Helvetica" w:hAnsi="Helvetica"/>
          <w:b/>
          <w:bCs/>
        </w:rPr>
        <w:t>Conflicts of interest</w:t>
      </w:r>
    </w:p>
    <w:p>
      <w:pPr>
        <w:spacing w:after="0" w:line="480" w:lineRule="auto"/>
        <w:jc w:val="both"/>
        <w:rPr>
          <w:rFonts w:ascii="Helvetica" w:hAnsi="Helvetica"/>
        </w:rPr>
      </w:pPr>
      <w:r>
        <w:rPr>
          <w:rFonts w:ascii="Helvetica" w:hAnsi="Helvetica"/>
        </w:rPr>
        <w:t xml:space="preserve">Brandt D. Pence is an Associate Editor of </w:t>
      </w:r>
      <w:r>
        <w:rPr>
          <w:rFonts w:ascii="Helvetica" w:hAnsi="Helvetica"/>
          <w:i/>
          <w:iCs/>
        </w:rPr>
        <w:t>Aging Pathobiology and Therapeutics</w:t>
      </w:r>
      <w:r>
        <w:rPr>
          <w:rFonts w:ascii="Helvetica" w:hAnsi="Helvetica"/>
        </w:rPr>
        <w:t>. He declares no other conflicts of interest and was not involved in the journal’s review or decisions related to this manuscript.</w:t>
      </w:r>
    </w:p>
    <w:p>
      <w:pPr>
        <w:spacing w:after="0" w:line="480" w:lineRule="auto"/>
        <w:jc w:val="both"/>
        <w:rPr>
          <w:rFonts w:ascii="Helvetica" w:hAnsi="Helvetica"/>
          <w:b/>
          <w:bCs/>
        </w:rPr>
      </w:pPr>
      <w:r>
        <w:rPr>
          <w:rFonts w:ascii="Helvetica" w:hAnsi="Helvetica"/>
          <w:b/>
          <w:bCs/>
        </w:rPr>
        <w:t>Ethical approval and consent to participate</w:t>
      </w:r>
    </w:p>
    <w:p>
      <w:pPr>
        <w:spacing w:after="0" w:line="480" w:lineRule="auto"/>
        <w:jc w:val="both"/>
        <w:rPr>
          <w:rFonts w:hint="eastAsia" w:ascii="Helvetica" w:hAnsi="Helvetica" w:eastAsia="宋体"/>
          <w:lang w:val="en-US" w:eastAsia="zh-CN"/>
        </w:rPr>
      </w:pPr>
      <w:r>
        <w:rPr>
          <w:rFonts w:ascii="Helvetica" w:hAnsi="Helvetica"/>
        </w:rPr>
        <w:t>Not applicable</w:t>
      </w:r>
      <w:r>
        <w:rPr>
          <w:rFonts w:hint="eastAsia" w:ascii="Helvetica" w:hAnsi="Helvetica" w:eastAsia="宋体"/>
          <w:lang w:val="en-US" w:eastAsia="zh-CN"/>
        </w:rPr>
        <w:t>.</w:t>
      </w:r>
    </w:p>
    <w:p>
      <w:pPr>
        <w:spacing w:after="0" w:line="480" w:lineRule="auto"/>
        <w:jc w:val="both"/>
        <w:rPr>
          <w:rFonts w:ascii="Helvetica" w:hAnsi="Helvetica"/>
        </w:rPr>
      </w:pPr>
    </w:p>
    <w:p>
      <w:pPr>
        <w:spacing w:after="0" w:line="480" w:lineRule="auto"/>
        <w:jc w:val="both"/>
        <w:rPr>
          <w:rFonts w:ascii="Helvetica" w:hAnsi="Helvetica"/>
          <w:b/>
          <w:bCs/>
        </w:rPr>
      </w:pPr>
      <w:r>
        <w:rPr>
          <w:rFonts w:ascii="Helvetica" w:hAnsi="Helvetica"/>
          <w:b/>
          <w:bCs/>
        </w:rPr>
        <w:t>References</w:t>
      </w:r>
    </w:p>
    <w:p>
      <w:pPr>
        <w:spacing w:after="0" w:line="480" w:lineRule="auto"/>
        <w:rPr>
          <w:rFonts w:ascii="Helvetica" w:hAnsi="Helvetica"/>
        </w:rPr>
      </w:pPr>
      <w:r>
        <w:rPr>
          <w:rFonts w:ascii="Helvetica" w:hAnsi="Helvetica"/>
        </w:rPr>
        <w:fldChar w:fldCharType="begin"/>
      </w:r>
      <w:r>
        <w:rPr>
          <w:rFonts w:ascii="Helvetica" w:hAnsi="Helvetica"/>
        </w:rPr>
        <w:instrText xml:space="preserve"> ADDIN EN.REFLIST </w:instrText>
      </w:r>
      <w:r>
        <w:rPr>
          <w:rFonts w:ascii="Helvetica" w:hAnsi="Helvetica"/>
        </w:rPr>
        <w:fldChar w:fldCharType="separate"/>
      </w:r>
      <w:r>
        <w:rPr>
          <w:rFonts w:ascii="Helvetica" w:hAnsi="Helvetica"/>
        </w:rPr>
        <w:t>1.</w:t>
      </w:r>
      <w:r>
        <w:rPr>
          <w:rFonts w:ascii="Helvetica" w:hAnsi="Helvetica"/>
        </w:rPr>
        <w:tab/>
      </w:r>
      <w:r>
        <w:rPr>
          <w:rFonts w:ascii="Helvetica" w:hAnsi="Helvetica"/>
        </w:rPr>
        <w:t xml:space="preserve">Santoro A, Bientinesi E, &amp; Monti D. Immunosenescence and inflammaging in the aging process: age-related diseases or longevity? </w:t>
      </w:r>
      <w:r>
        <w:rPr>
          <w:rFonts w:ascii="Helvetica" w:hAnsi="Helvetica"/>
          <w:i/>
          <w:iCs/>
        </w:rPr>
        <w:t>Ageing Res Rev</w:t>
      </w:r>
      <w:r>
        <w:rPr>
          <w:rFonts w:ascii="Helvetica" w:hAnsi="Helvetica"/>
        </w:rPr>
        <w:t xml:space="preserve">, 2021, 71: 101422. </w:t>
      </w:r>
      <w:r>
        <w:fldChar w:fldCharType="begin"/>
      </w:r>
      <w:r>
        <w:instrText xml:space="preserve"> HYPERLINK "https://doi.org/10.1016/j.arr.2021.101422" </w:instrText>
      </w:r>
      <w:r>
        <w:fldChar w:fldCharType="separate"/>
      </w:r>
      <w:r>
        <w:rPr>
          <w:rStyle w:val="5"/>
          <w:rFonts w:ascii="Helvetica" w:hAnsi="Helvetica"/>
        </w:rPr>
        <w:t>https://doi.org/10.1016/j.arr.2021.101422</w:t>
      </w:r>
      <w:r>
        <w:rPr>
          <w:rStyle w:val="5"/>
          <w:rFonts w:ascii="Helvetica" w:hAnsi="Helvetica"/>
        </w:rPr>
        <w:fldChar w:fldCharType="end"/>
      </w:r>
    </w:p>
    <w:p>
      <w:pPr>
        <w:spacing w:after="0" w:line="480" w:lineRule="auto"/>
        <w:rPr>
          <w:rFonts w:ascii="Helvetica" w:hAnsi="Helvetica"/>
        </w:rPr>
      </w:pPr>
      <w:r>
        <w:rPr>
          <w:rFonts w:ascii="Helvetica" w:hAnsi="Helvetica"/>
        </w:rPr>
        <w:t>2.</w:t>
      </w:r>
      <w:r>
        <w:rPr>
          <w:rFonts w:ascii="Helvetica" w:hAnsi="Helvetica"/>
        </w:rPr>
        <w:tab/>
      </w:r>
      <w:r>
        <w:rPr>
          <w:rFonts w:ascii="Helvetica" w:hAnsi="Helvetica"/>
        </w:rPr>
        <w:t>Mannick JB, Del Giudice G, Lattanzi M, Valiante NM, Praestgaard J, Huang B</w:t>
      </w:r>
      <w:r>
        <w:rPr>
          <w:rFonts w:hint="eastAsia" w:ascii="Helvetica" w:hAnsi="Helvetica" w:eastAsia="宋体"/>
          <w:lang w:val="en-US" w:eastAsia="zh-CN"/>
        </w:rPr>
        <w:t>,</w:t>
      </w:r>
      <w:r>
        <w:rPr>
          <w:rFonts w:ascii="Helvetica" w:hAnsi="Helvetica"/>
          <w:i/>
        </w:rPr>
        <w:t xml:space="preserve"> et al</w:t>
      </w:r>
      <w:r>
        <w:rPr>
          <w:rFonts w:ascii="Helvetica" w:hAnsi="Helvetica"/>
        </w:rPr>
        <w:t xml:space="preserve">. mTOR inhibition improves immune function in the elderly. </w:t>
      </w:r>
      <w:r>
        <w:rPr>
          <w:rFonts w:ascii="Helvetica" w:hAnsi="Helvetica"/>
          <w:i/>
          <w:iCs/>
        </w:rPr>
        <w:t>Sci Transl Med</w:t>
      </w:r>
      <w:r>
        <w:rPr>
          <w:rFonts w:ascii="Helvetica" w:hAnsi="Helvetica"/>
        </w:rPr>
        <w:t xml:space="preserve">, 2014, 6(268): 268ra179. </w:t>
      </w:r>
      <w:r>
        <w:fldChar w:fldCharType="begin"/>
      </w:r>
      <w:r>
        <w:instrText xml:space="preserve"> HYPERLINK "https://doi.org/10.1126/scitranslmed.3009892" </w:instrText>
      </w:r>
      <w:r>
        <w:fldChar w:fldCharType="separate"/>
      </w:r>
      <w:r>
        <w:rPr>
          <w:rStyle w:val="5"/>
          <w:rFonts w:ascii="Helvetica" w:hAnsi="Helvetica"/>
        </w:rPr>
        <w:t>https://doi.org/10.1126/scitranslmed.3009892</w:t>
      </w:r>
      <w:r>
        <w:rPr>
          <w:rStyle w:val="5"/>
          <w:rFonts w:ascii="Helvetica" w:hAnsi="Helvetica"/>
        </w:rPr>
        <w:fldChar w:fldCharType="end"/>
      </w:r>
    </w:p>
    <w:p>
      <w:pPr>
        <w:spacing w:after="0" w:line="480" w:lineRule="auto"/>
        <w:rPr>
          <w:rFonts w:ascii="Helvetica" w:hAnsi="Helvetica"/>
        </w:rPr>
      </w:pPr>
      <w:r>
        <w:rPr>
          <w:rFonts w:ascii="Helvetica" w:hAnsi="Helvetica"/>
        </w:rPr>
        <w:t>3.</w:t>
      </w:r>
      <w:r>
        <w:rPr>
          <w:rFonts w:ascii="Helvetica" w:hAnsi="Helvetica"/>
        </w:rPr>
        <w:tab/>
      </w:r>
      <w:r>
        <w:rPr>
          <w:rFonts w:ascii="Helvetica" w:hAnsi="Helvetica"/>
        </w:rPr>
        <w:t>Amorim JA, Coppotelli G, Rolo AP, Palmeira CM, Ross JM, &amp; Sinclair DA. Mitochondrial and metabolic dysfunction in ageing and age-related diseases.</w:t>
      </w:r>
      <w:r>
        <w:rPr>
          <w:rFonts w:ascii="Helvetica" w:hAnsi="Helvetica"/>
          <w:i/>
          <w:iCs/>
        </w:rPr>
        <w:t xml:space="preserve"> Nat Rev Endocrinol</w:t>
      </w:r>
      <w:r>
        <w:rPr>
          <w:rFonts w:ascii="Helvetica" w:hAnsi="Helvetica"/>
        </w:rPr>
        <w:t xml:space="preserve">, 2022, 18(4): 243-258. </w:t>
      </w:r>
      <w:r>
        <w:fldChar w:fldCharType="begin"/>
      </w:r>
      <w:r>
        <w:instrText xml:space="preserve"> HYPERLINK "https://doi.org/10.1038/s41574-021-00626-7" </w:instrText>
      </w:r>
      <w:r>
        <w:fldChar w:fldCharType="separate"/>
      </w:r>
      <w:r>
        <w:rPr>
          <w:rStyle w:val="5"/>
          <w:rFonts w:ascii="Helvetica" w:hAnsi="Helvetica"/>
        </w:rPr>
        <w:t>https://doi.org/10.1038/s41574-021-00626-7</w:t>
      </w:r>
      <w:r>
        <w:rPr>
          <w:rStyle w:val="5"/>
          <w:rFonts w:ascii="Helvetica" w:hAnsi="Helvetica"/>
        </w:rPr>
        <w:fldChar w:fldCharType="end"/>
      </w:r>
    </w:p>
    <w:p>
      <w:pPr>
        <w:spacing w:after="0" w:line="480" w:lineRule="auto"/>
        <w:rPr>
          <w:rFonts w:ascii="Helvetica" w:hAnsi="Helvetica"/>
        </w:rPr>
      </w:pPr>
      <w:r>
        <w:rPr>
          <w:rFonts w:ascii="Helvetica" w:hAnsi="Helvetica"/>
        </w:rPr>
        <w:t>4.</w:t>
      </w:r>
      <w:r>
        <w:rPr>
          <w:rFonts w:ascii="Helvetica" w:hAnsi="Helvetica"/>
        </w:rPr>
        <w:tab/>
      </w:r>
      <w:r>
        <w:rPr>
          <w:rFonts w:ascii="Helvetica" w:hAnsi="Helvetica"/>
        </w:rPr>
        <w:t xml:space="preserve">O'Neill LA, Kishton RJ, &amp; Rathmell J. A guide to immunometabolism for immunologists. </w:t>
      </w:r>
      <w:r>
        <w:rPr>
          <w:rFonts w:ascii="Helvetica" w:hAnsi="Helvetica"/>
          <w:i/>
          <w:iCs/>
        </w:rPr>
        <w:t>Nat Rev Immunol</w:t>
      </w:r>
      <w:r>
        <w:rPr>
          <w:rFonts w:ascii="Helvetica" w:hAnsi="Helvetica"/>
        </w:rPr>
        <w:t xml:space="preserve">, 2016, 16(9): 553-565. </w:t>
      </w:r>
      <w:r>
        <w:fldChar w:fldCharType="begin"/>
      </w:r>
      <w:r>
        <w:instrText xml:space="preserve"> HYPERLINK "https://doi.org/10.1038/nri.2016.70" </w:instrText>
      </w:r>
      <w:r>
        <w:fldChar w:fldCharType="separate"/>
      </w:r>
      <w:r>
        <w:rPr>
          <w:rStyle w:val="5"/>
          <w:rFonts w:ascii="Helvetica" w:hAnsi="Helvetica"/>
        </w:rPr>
        <w:t>https://doi.org/10.1038/nri.2016.70</w:t>
      </w:r>
      <w:r>
        <w:rPr>
          <w:rStyle w:val="5"/>
          <w:rFonts w:ascii="Helvetica" w:hAnsi="Helvetica"/>
        </w:rPr>
        <w:fldChar w:fldCharType="end"/>
      </w:r>
    </w:p>
    <w:p>
      <w:pPr>
        <w:spacing w:after="0" w:line="480" w:lineRule="auto"/>
        <w:rPr>
          <w:rFonts w:ascii="Helvetica" w:hAnsi="Helvetica"/>
        </w:rPr>
      </w:pPr>
      <w:r>
        <w:rPr>
          <w:rFonts w:ascii="Helvetica" w:hAnsi="Helvetica"/>
        </w:rPr>
        <w:t>5.</w:t>
      </w:r>
      <w:r>
        <w:rPr>
          <w:rFonts w:ascii="Helvetica" w:hAnsi="Helvetica"/>
        </w:rPr>
        <w:tab/>
      </w:r>
      <w:r>
        <w:rPr>
          <w:rFonts w:ascii="Helvetica" w:hAnsi="Helvetica"/>
        </w:rPr>
        <w:t xml:space="preserve">Makowski L, Chaib M, &amp; Rathmell JC. Immunometabolism: From basic mechanisms to translation. </w:t>
      </w:r>
      <w:r>
        <w:rPr>
          <w:rFonts w:ascii="Helvetica" w:hAnsi="Helvetica"/>
          <w:i/>
          <w:iCs/>
        </w:rPr>
        <w:t>Immunol Rev</w:t>
      </w:r>
      <w:r>
        <w:rPr>
          <w:rFonts w:ascii="Helvetica" w:hAnsi="Helvetica"/>
        </w:rPr>
        <w:t xml:space="preserve">, 2020, 295(1): 5-14. </w:t>
      </w:r>
      <w:r>
        <w:fldChar w:fldCharType="begin"/>
      </w:r>
      <w:r>
        <w:instrText xml:space="preserve"> HYPERLINK "https://doi.org/10.1111/imr.12858" </w:instrText>
      </w:r>
      <w:r>
        <w:fldChar w:fldCharType="separate"/>
      </w:r>
      <w:r>
        <w:rPr>
          <w:rStyle w:val="5"/>
          <w:rFonts w:ascii="Helvetica" w:hAnsi="Helvetica"/>
        </w:rPr>
        <w:t>https://doi.org/10.1111/imr.12858</w:t>
      </w:r>
      <w:r>
        <w:rPr>
          <w:rStyle w:val="5"/>
          <w:rFonts w:ascii="Helvetica" w:hAnsi="Helvetica"/>
        </w:rPr>
        <w:fldChar w:fldCharType="end"/>
      </w:r>
    </w:p>
    <w:p>
      <w:pPr>
        <w:spacing w:after="0" w:line="480" w:lineRule="auto"/>
        <w:rPr>
          <w:rFonts w:ascii="Helvetica" w:hAnsi="Helvetica"/>
        </w:rPr>
      </w:pPr>
      <w:r>
        <w:rPr>
          <w:rFonts w:ascii="Helvetica" w:hAnsi="Helvetica"/>
        </w:rPr>
        <w:t>6.</w:t>
      </w:r>
      <w:r>
        <w:rPr>
          <w:rFonts w:ascii="Helvetica" w:hAnsi="Helvetica"/>
        </w:rPr>
        <w:tab/>
      </w:r>
      <w:r>
        <w:rPr>
          <w:rFonts w:ascii="Helvetica" w:hAnsi="Helvetica"/>
        </w:rPr>
        <w:t xml:space="preserve">Yarbro JR, Emmons RS, &amp; Pence BD. Macrophage Immunometabolism and Inflammaging: Roles of Mitochondrial Dysfunction, Cellular Senescence, CD38, and NAD. </w:t>
      </w:r>
      <w:r>
        <w:rPr>
          <w:rFonts w:ascii="Helvetica" w:hAnsi="Helvetica"/>
          <w:i/>
          <w:iCs/>
        </w:rPr>
        <w:t>Immunometabolism</w:t>
      </w:r>
      <w:r>
        <w:rPr>
          <w:rFonts w:ascii="Helvetica" w:hAnsi="Helvetica"/>
        </w:rPr>
        <w:t xml:space="preserve">, 2020, 2(3): e200026. </w:t>
      </w:r>
      <w:r>
        <w:fldChar w:fldCharType="begin"/>
      </w:r>
      <w:r>
        <w:instrText xml:space="preserve"> HYPERLINK "https://doi.org/10.20900/immunometab20200026" </w:instrText>
      </w:r>
      <w:r>
        <w:fldChar w:fldCharType="separate"/>
      </w:r>
      <w:r>
        <w:rPr>
          <w:rStyle w:val="5"/>
          <w:rFonts w:ascii="Helvetica" w:hAnsi="Helvetica"/>
        </w:rPr>
        <w:t>https://doi.org/10.20900/immunometab20200026</w:t>
      </w:r>
      <w:r>
        <w:rPr>
          <w:rStyle w:val="5"/>
          <w:rFonts w:ascii="Helvetica" w:hAnsi="Helvetica"/>
        </w:rPr>
        <w:fldChar w:fldCharType="end"/>
      </w:r>
    </w:p>
    <w:p>
      <w:pPr>
        <w:spacing w:after="0" w:line="480" w:lineRule="auto"/>
        <w:rPr>
          <w:rFonts w:ascii="Helvetica" w:hAnsi="Helvetica"/>
        </w:rPr>
      </w:pPr>
      <w:r>
        <w:rPr>
          <w:rFonts w:ascii="Helvetica" w:hAnsi="Helvetica"/>
        </w:rPr>
        <w:t>7.</w:t>
      </w:r>
      <w:r>
        <w:rPr>
          <w:rFonts w:ascii="Helvetica" w:hAnsi="Helvetica"/>
        </w:rPr>
        <w:tab/>
      </w:r>
      <w:r>
        <w:rPr>
          <w:rFonts w:ascii="Helvetica" w:hAnsi="Helvetica"/>
        </w:rPr>
        <w:t xml:space="preserve">Martin DE, Torrance BL, Haynes L, &amp; Bartley JM. Targeting Aging: Lessons Learned From Immunometabolism and Cellular Senescence. </w:t>
      </w:r>
      <w:r>
        <w:rPr>
          <w:rFonts w:ascii="Helvetica" w:hAnsi="Helvetica"/>
          <w:i/>
          <w:iCs/>
        </w:rPr>
        <w:t>Front Immunol</w:t>
      </w:r>
      <w:r>
        <w:rPr>
          <w:rFonts w:ascii="Helvetica" w:hAnsi="Helvetica"/>
        </w:rPr>
        <w:t xml:space="preserve">, 2021, 12: 714742. </w:t>
      </w:r>
      <w:r>
        <w:fldChar w:fldCharType="begin"/>
      </w:r>
      <w:r>
        <w:instrText xml:space="preserve"> HYPERLINK "https://doi.org/10.3389/fimmu.2021.714742" </w:instrText>
      </w:r>
      <w:r>
        <w:fldChar w:fldCharType="separate"/>
      </w:r>
      <w:r>
        <w:rPr>
          <w:rStyle w:val="5"/>
          <w:rFonts w:ascii="Helvetica" w:hAnsi="Helvetica"/>
        </w:rPr>
        <w:t>https://doi.org/10.3389/fimmu.2021.714742</w:t>
      </w:r>
      <w:r>
        <w:rPr>
          <w:rStyle w:val="5"/>
          <w:rFonts w:ascii="Helvetica" w:hAnsi="Helvetica"/>
        </w:rPr>
        <w:fldChar w:fldCharType="end"/>
      </w:r>
    </w:p>
    <w:p>
      <w:pPr>
        <w:spacing w:after="0" w:line="480" w:lineRule="auto"/>
        <w:rPr>
          <w:rFonts w:ascii="Helvetica" w:hAnsi="Helvetica"/>
        </w:rPr>
      </w:pPr>
      <w:r>
        <w:rPr>
          <w:rFonts w:ascii="Helvetica" w:hAnsi="Helvetica"/>
        </w:rPr>
        <w:t>8.</w:t>
      </w:r>
      <w:r>
        <w:rPr>
          <w:rFonts w:ascii="Helvetica" w:hAnsi="Helvetica"/>
        </w:rPr>
        <w:tab/>
      </w:r>
      <w:r>
        <w:rPr>
          <w:rFonts w:ascii="Helvetica" w:hAnsi="Helvetica"/>
        </w:rPr>
        <w:t>Ryu S, Shchukina I, Youm YH, Qing H, Hilliard B, Dlugos T</w:t>
      </w:r>
      <w:r>
        <w:rPr>
          <w:rFonts w:hint="eastAsia" w:ascii="Helvetica" w:hAnsi="Helvetica" w:eastAsia="宋体"/>
          <w:lang w:val="en-US" w:eastAsia="zh-CN"/>
        </w:rPr>
        <w:t>,</w:t>
      </w:r>
      <w:r>
        <w:rPr>
          <w:rFonts w:ascii="Helvetica" w:hAnsi="Helvetica"/>
          <w:i/>
        </w:rPr>
        <w:t xml:space="preserve"> et al</w:t>
      </w:r>
      <w:r>
        <w:rPr>
          <w:rFonts w:ascii="Helvetica" w:hAnsi="Helvetica"/>
        </w:rPr>
        <w:t xml:space="preserve">. Ketogenic diet restrains aging-induced exacerbation of coronavirus infection in mice. </w:t>
      </w:r>
      <w:r>
        <w:rPr>
          <w:rFonts w:ascii="Helvetica" w:hAnsi="Helvetica"/>
          <w:i/>
          <w:iCs/>
        </w:rPr>
        <w:t>Elife</w:t>
      </w:r>
      <w:r>
        <w:rPr>
          <w:rFonts w:ascii="Helvetica" w:hAnsi="Helvetica"/>
        </w:rPr>
        <w:t>, 2021, 10</w:t>
      </w:r>
      <w:r>
        <w:fldChar w:fldCharType="begin"/>
      </w:r>
      <w:r>
        <w:instrText xml:space="preserve"> HYPERLINK "https://doi.org/10.7554/eLife.66522" </w:instrText>
      </w:r>
      <w:r>
        <w:fldChar w:fldCharType="separate"/>
      </w:r>
      <w:r>
        <w:rPr>
          <w:rStyle w:val="5"/>
          <w:rFonts w:ascii="Helvetica" w:hAnsi="Helvetica"/>
        </w:rPr>
        <w:t>https://doi.org/10.7554/eLife.66522</w:t>
      </w:r>
      <w:r>
        <w:rPr>
          <w:rStyle w:val="5"/>
          <w:rFonts w:ascii="Helvetica" w:hAnsi="Helvetica"/>
        </w:rPr>
        <w:fldChar w:fldCharType="end"/>
      </w:r>
    </w:p>
    <w:p>
      <w:pPr>
        <w:spacing w:after="0" w:line="480" w:lineRule="auto"/>
        <w:rPr>
          <w:rFonts w:ascii="Helvetica" w:hAnsi="Helvetica"/>
        </w:rPr>
      </w:pPr>
      <w:r>
        <w:rPr>
          <w:rFonts w:ascii="Helvetica" w:hAnsi="Helvetica"/>
        </w:rPr>
        <w:t>9.</w:t>
      </w:r>
      <w:r>
        <w:rPr>
          <w:rFonts w:ascii="Helvetica" w:hAnsi="Helvetica"/>
        </w:rPr>
        <w:tab/>
      </w:r>
      <w:r>
        <w:rPr>
          <w:rFonts w:ascii="Helvetica" w:hAnsi="Helvetica"/>
        </w:rPr>
        <w:t>Stubbs BJ, Koutnik AP, Goldberg EL, Upadhyay V, Turnbaugh PJ, Verdin E</w:t>
      </w:r>
      <w:r>
        <w:rPr>
          <w:rFonts w:hint="eastAsia" w:ascii="Helvetica" w:hAnsi="Helvetica" w:eastAsia="宋体"/>
          <w:lang w:val="en-US" w:eastAsia="zh-CN"/>
        </w:rPr>
        <w:t>,</w:t>
      </w:r>
      <w:r>
        <w:rPr>
          <w:rFonts w:ascii="Helvetica" w:hAnsi="Helvetica"/>
          <w:i/>
        </w:rPr>
        <w:t xml:space="preserve"> et al</w:t>
      </w:r>
      <w:r>
        <w:rPr>
          <w:rFonts w:ascii="Helvetica" w:hAnsi="Helvetica"/>
        </w:rPr>
        <w:t xml:space="preserve">. Investigating Ketone Bodies as Immunometabolic Countermeasures against Respiratory Viral Infections. </w:t>
      </w:r>
      <w:r>
        <w:rPr>
          <w:rFonts w:ascii="Helvetica" w:hAnsi="Helvetica"/>
          <w:i/>
          <w:iCs/>
        </w:rPr>
        <w:t>Med (N Y)</w:t>
      </w:r>
      <w:r>
        <w:rPr>
          <w:rFonts w:ascii="Helvetica" w:hAnsi="Helvetica"/>
        </w:rPr>
        <w:t xml:space="preserve">, 2020, 1(1): 43-65. </w:t>
      </w:r>
      <w:r>
        <w:fldChar w:fldCharType="begin"/>
      </w:r>
      <w:r>
        <w:instrText xml:space="preserve"> HYPERLINK "https://doi.org/10.1016/j.medj.2020.06.008" </w:instrText>
      </w:r>
      <w:r>
        <w:fldChar w:fldCharType="separate"/>
      </w:r>
      <w:r>
        <w:rPr>
          <w:rStyle w:val="5"/>
          <w:rFonts w:ascii="Helvetica" w:hAnsi="Helvetica"/>
        </w:rPr>
        <w:t>https://doi.org/10.1016/j.medj.2020.06.008</w:t>
      </w:r>
      <w:r>
        <w:rPr>
          <w:rStyle w:val="5"/>
          <w:rFonts w:ascii="Helvetica" w:hAnsi="Helvetica"/>
        </w:rPr>
        <w:fldChar w:fldCharType="end"/>
      </w:r>
    </w:p>
    <w:p>
      <w:pPr>
        <w:spacing w:after="0" w:line="480" w:lineRule="auto"/>
        <w:rPr>
          <w:rFonts w:ascii="Helvetica" w:hAnsi="Helvetica"/>
        </w:rPr>
      </w:pPr>
      <w:r>
        <w:rPr>
          <w:rFonts w:ascii="Helvetica" w:hAnsi="Helvetica"/>
        </w:rPr>
        <w:t>10.</w:t>
      </w:r>
      <w:r>
        <w:rPr>
          <w:rFonts w:ascii="Helvetica" w:hAnsi="Helvetica"/>
        </w:rPr>
        <w:tab/>
      </w:r>
      <w:r>
        <w:rPr>
          <w:rFonts w:ascii="Helvetica" w:hAnsi="Helvetica"/>
        </w:rPr>
        <w:t xml:space="preserve">Lercher A, Baazim H, &amp; Bergthaler A. Systemic Immunometabolism: Challenges and Opportunities. </w:t>
      </w:r>
      <w:r>
        <w:rPr>
          <w:rFonts w:ascii="Helvetica" w:hAnsi="Helvetica"/>
          <w:i/>
          <w:iCs/>
        </w:rPr>
        <w:t>Immunity</w:t>
      </w:r>
      <w:r>
        <w:rPr>
          <w:rFonts w:ascii="Helvetica" w:hAnsi="Helvetica"/>
        </w:rPr>
        <w:t xml:space="preserve">, 2020, 53(3): 496-509. </w:t>
      </w:r>
      <w:r>
        <w:fldChar w:fldCharType="begin"/>
      </w:r>
      <w:r>
        <w:instrText xml:space="preserve"> HYPERLINK "https://doi.org/10.1016/j.immuni.2020.08.012" </w:instrText>
      </w:r>
      <w:r>
        <w:fldChar w:fldCharType="separate"/>
      </w:r>
      <w:r>
        <w:rPr>
          <w:rStyle w:val="5"/>
          <w:rFonts w:ascii="Helvetica" w:hAnsi="Helvetica"/>
        </w:rPr>
        <w:t>https://doi.org/10.1016/j.immuni.2020.08.012</w:t>
      </w:r>
      <w:r>
        <w:rPr>
          <w:rStyle w:val="5"/>
          <w:rFonts w:ascii="Helvetica" w:hAnsi="Helvetica"/>
        </w:rPr>
        <w:fldChar w:fldCharType="end"/>
      </w:r>
    </w:p>
    <w:p>
      <w:pPr>
        <w:spacing w:after="0" w:line="480" w:lineRule="auto"/>
        <w:rPr>
          <w:rFonts w:ascii="Helvetica" w:hAnsi="Helvetica"/>
        </w:rPr>
      </w:pPr>
      <w:r>
        <w:rPr>
          <w:rFonts w:ascii="Helvetica" w:hAnsi="Helvetica"/>
        </w:rPr>
        <w:t>11.</w:t>
      </w:r>
      <w:r>
        <w:rPr>
          <w:rFonts w:ascii="Helvetica" w:hAnsi="Helvetica"/>
        </w:rPr>
        <w:tab/>
      </w:r>
      <w:r>
        <w:rPr>
          <w:rFonts w:ascii="Helvetica" w:hAnsi="Helvetica"/>
        </w:rPr>
        <w:t xml:space="preserve">Nieman DC, &amp; Pence BD. Exercise immunology: Future directions. J Sport Health Sci, 2020, 9(5): 432-445. </w:t>
      </w:r>
      <w:r>
        <w:fldChar w:fldCharType="begin"/>
      </w:r>
      <w:r>
        <w:instrText xml:space="preserve"> HYPERLINK "https://doi.org/10.1016/j.jshs.2019.12.003" </w:instrText>
      </w:r>
      <w:r>
        <w:fldChar w:fldCharType="separate"/>
      </w:r>
      <w:r>
        <w:rPr>
          <w:rStyle w:val="5"/>
          <w:rFonts w:ascii="Helvetica" w:hAnsi="Helvetica"/>
        </w:rPr>
        <w:t>https://doi.org/10.1016/j.jshs.2019.12.003</w:t>
      </w:r>
      <w:r>
        <w:rPr>
          <w:rStyle w:val="5"/>
          <w:rFonts w:ascii="Helvetica" w:hAnsi="Helvetica"/>
        </w:rPr>
        <w:fldChar w:fldCharType="end"/>
      </w:r>
    </w:p>
    <w:p>
      <w:pPr>
        <w:spacing w:after="0" w:line="480" w:lineRule="auto"/>
        <w:rPr>
          <w:rFonts w:ascii="Helvetica" w:hAnsi="Helvetica"/>
        </w:rPr>
      </w:pPr>
      <w:r>
        <w:rPr>
          <w:rFonts w:ascii="Helvetica" w:hAnsi="Helvetica"/>
        </w:rPr>
        <w:t>12.</w:t>
      </w:r>
      <w:r>
        <w:rPr>
          <w:rFonts w:ascii="Helvetica" w:hAnsi="Helvetica"/>
        </w:rPr>
        <w:tab/>
      </w:r>
      <w:r>
        <w:rPr>
          <w:rFonts w:ascii="Helvetica" w:hAnsi="Helvetica"/>
        </w:rPr>
        <w:t>Theall B, Stampley J, Cho E, Granger J, Johannsen NM, Irving BA</w:t>
      </w:r>
      <w:r>
        <w:rPr>
          <w:rFonts w:hint="eastAsia" w:ascii="Helvetica" w:hAnsi="Helvetica" w:eastAsia="宋体"/>
          <w:lang w:val="en-US" w:eastAsia="zh-CN"/>
        </w:rPr>
        <w:t>,</w:t>
      </w:r>
      <w:r>
        <w:rPr>
          <w:rFonts w:ascii="Helvetica" w:hAnsi="Helvetica"/>
          <w:i/>
        </w:rPr>
        <w:t xml:space="preserve"> et al</w:t>
      </w:r>
      <w:r>
        <w:rPr>
          <w:rFonts w:ascii="Helvetica" w:hAnsi="Helvetica"/>
        </w:rPr>
        <w:t xml:space="preserve">. Impact of acute exercise on peripheral blood mononuclear cells nutrient sensing and mitochondrial oxidative capacity in healthy young adults. </w:t>
      </w:r>
      <w:r>
        <w:rPr>
          <w:rFonts w:ascii="Helvetica" w:hAnsi="Helvetica"/>
          <w:i/>
          <w:iCs/>
        </w:rPr>
        <w:t>Physiol Rep</w:t>
      </w:r>
      <w:r>
        <w:rPr>
          <w:rFonts w:ascii="Helvetica" w:hAnsi="Helvetica"/>
        </w:rPr>
        <w:t xml:space="preserve">, 2021, 9(23): e15147. </w:t>
      </w:r>
      <w:r>
        <w:fldChar w:fldCharType="begin"/>
      </w:r>
      <w:r>
        <w:instrText xml:space="preserve"> HYPERLINK "https://doi.org/10.14814/phy2.15147" </w:instrText>
      </w:r>
      <w:r>
        <w:fldChar w:fldCharType="separate"/>
      </w:r>
      <w:r>
        <w:rPr>
          <w:rStyle w:val="5"/>
          <w:rFonts w:ascii="Helvetica" w:hAnsi="Helvetica"/>
        </w:rPr>
        <w:t>https://doi.org/10.14814/phy2.15147</w:t>
      </w:r>
      <w:r>
        <w:rPr>
          <w:rStyle w:val="5"/>
          <w:rFonts w:ascii="Helvetica" w:hAnsi="Helvetica"/>
        </w:rPr>
        <w:fldChar w:fldCharType="end"/>
      </w:r>
    </w:p>
    <w:p>
      <w:pPr>
        <w:spacing w:after="0" w:line="480" w:lineRule="auto"/>
        <w:rPr>
          <w:rFonts w:ascii="Helvetica" w:hAnsi="Helvetica"/>
        </w:rPr>
      </w:pPr>
      <w:r>
        <w:rPr>
          <w:rFonts w:ascii="Helvetica" w:hAnsi="Helvetica"/>
        </w:rPr>
        <w:t>13.</w:t>
      </w:r>
      <w:r>
        <w:rPr>
          <w:rFonts w:ascii="Helvetica" w:hAnsi="Helvetica"/>
        </w:rPr>
        <w:tab/>
      </w:r>
      <w:r>
        <w:rPr>
          <w:rFonts w:ascii="Helvetica" w:hAnsi="Helvetica"/>
        </w:rPr>
        <w:t>Andonian BJ, Koss A, Koves TR, Hauser ER, Hubal MJ, Pober DM</w:t>
      </w:r>
      <w:r>
        <w:rPr>
          <w:rFonts w:hint="eastAsia" w:ascii="Helvetica" w:hAnsi="Helvetica" w:eastAsia="宋体"/>
          <w:lang w:val="en-US" w:eastAsia="zh-CN"/>
        </w:rPr>
        <w:t>,</w:t>
      </w:r>
      <w:r>
        <w:rPr>
          <w:rFonts w:ascii="Helvetica" w:hAnsi="Helvetica"/>
          <w:i/>
        </w:rPr>
        <w:t xml:space="preserve"> et al</w:t>
      </w:r>
      <w:r>
        <w:rPr>
          <w:rFonts w:ascii="Helvetica" w:hAnsi="Helvetica"/>
        </w:rPr>
        <w:t xml:space="preserve">. Rheumatoid arthritis T cell and muscle oxidative metabolism associate with exercise-induced changes in cardiorespiratory fitness. </w:t>
      </w:r>
      <w:r>
        <w:rPr>
          <w:rFonts w:ascii="Helvetica" w:hAnsi="Helvetica"/>
          <w:i/>
          <w:iCs/>
        </w:rPr>
        <w:t>Sci Rep</w:t>
      </w:r>
      <w:r>
        <w:rPr>
          <w:rFonts w:ascii="Helvetica" w:hAnsi="Helvetica"/>
        </w:rPr>
        <w:t xml:space="preserve">, 2022, 12(1): 7450. </w:t>
      </w:r>
      <w:r>
        <w:fldChar w:fldCharType="begin"/>
      </w:r>
      <w:r>
        <w:instrText xml:space="preserve"> HYPERLINK "https://doi.org/10.1038/s41598-022-11458-4" </w:instrText>
      </w:r>
      <w:r>
        <w:fldChar w:fldCharType="separate"/>
      </w:r>
      <w:r>
        <w:rPr>
          <w:rStyle w:val="5"/>
          <w:rFonts w:ascii="Helvetica" w:hAnsi="Helvetica"/>
        </w:rPr>
        <w:t>https://doi.org/10.1038/s41598-022-11458-4</w:t>
      </w:r>
      <w:r>
        <w:rPr>
          <w:rStyle w:val="5"/>
          <w:rFonts w:ascii="Helvetica" w:hAnsi="Helvetica"/>
        </w:rPr>
        <w:fldChar w:fldCharType="end"/>
      </w:r>
    </w:p>
    <w:p>
      <w:pPr>
        <w:spacing w:after="0" w:line="480" w:lineRule="auto"/>
        <w:rPr>
          <w:rFonts w:ascii="Helvetica" w:hAnsi="Helvetica"/>
        </w:rPr>
      </w:pPr>
      <w:r>
        <w:rPr>
          <w:rFonts w:ascii="Helvetica" w:hAnsi="Helvetica"/>
        </w:rPr>
        <w:t>14.</w:t>
      </w:r>
      <w:r>
        <w:rPr>
          <w:rFonts w:ascii="Helvetica" w:hAnsi="Helvetica"/>
        </w:rPr>
        <w:tab/>
      </w:r>
      <w:r>
        <w:rPr>
          <w:rFonts w:ascii="Helvetica" w:hAnsi="Helvetica"/>
        </w:rPr>
        <w:t>Hedges CP, Woodhead JST, Wang HW, Mitchell CJ, Cameron-Smith D, Hickey AJR</w:t>
      </w:r>
      <w:r>
        <w:rPr>
          <w:rFonts w:ascii="Helvetica" w:hAnsi="Helvetica"/>
          <w:i/>
        </w:rPr>
        <w:t xml:space="preserve"> et al</w:t>
      </w:r>
      <w:r>
        <w:rPr>
          <w:rFonts w:ascii="Helvetica" w:hAnsi="Helvetica"/>
        </w:rPr>
        <w:t xml:space="preserve">. Peripheral blood mononuclear cells do not reflect skeletal muscle mitochondrial function or adaptation to high-intensity interval training in healthy young men. </w:t>
      </w:r>
      <w:r>
        <w:rPr>
          <w:rFonts w:ascii="Helvetica" w:hAnsi="Helvetica"/>
          <w:i/>
          <w:iCs/>
        </w:rPr>
        <w:t xml:space="preserve">J Appl Physiol </w:t>
      </w:r>
      <w:r>
        <w:rPr>
          <w:rFonts w:ascii="Helvetica" w:hAnsi="Helvetica"/>
        </w:rPr>
        <w:t xml:space="preserve">(1985), 2019, 126(2): 454-461. </w:t>
      </w:r>
      <w:r>
        <w:fldChar w:fldCharType="begin"/>
      </w:r>
      <w:r>
        <w:instrText xml:space="preserve"> HYPERLINK "https://doi.org/10.1152/japplphysiol.00777.2018" </w:instrText>
      </w:r>
      <w:r>
        <w:fldChar w:fldCharType="separate"/>
      </w:r>
      <w:r>
        <w:rPr>
          <w:rStyle w:val="5"/>
          <w:rFonts w:ascii="Helvetica" w:hAnsi="Helvetica"/>
        </w:rPr>
        <w:t>https://doi.org/10.1152/japplphysiol.00777.2018</w:t>
      </w:r>
      <w:r>
        <w:rPr>
          <w:rStyle w:val="5"/>
          <w:rFonts w:ascii="Helvetica" w:hAnsi="Helvetica"/>
        </w:rPr>
        <w:fldChar w:fldCharType="end"/>
      </w:r>
    </w:p>
    <w:p>
      <w:pPr>
        <w:spacing w:after="0" w:line="480" w:lineRule="auto"/>
        <w:jc w:val="both"/>
        <w:rPr>
          <w:rFonts w:ascii="Helvetica" w:hAnsi="Helvetica"/>
        </w:rPr>
      </w:pPr>
      <w:r>
        <w:rPr>
          <w:rFonts w:ascii="Helvetica" w:hAnsi="Helvetica"/>
        </w:rPr>
        <w:fldChar w:fldCharType="end"/>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s>
  <w:rsids>
    <w:rsidRoot w:val="0002706C"/>
    <w:rsid w:val="00011CF6"/>
    <w:rsid w:val="0002706C"/>
    <w:rsid w:val="000834BA"/>
    <w:rsid w:val="002164F0"/>
    <w:rsid w:val="00294B2E"/>
    <w:rsid w:val="00311549"/>
    <w:rsid w:val="00337888"/>
    <w:rsid w:val="003F6746"/>
    <w:rsid w:val="00415C43"/>
    <w:rsid w:val="004537D0"/>
    <w:rsid w:val="004679BC"/>
    <w:rsid w:val="004A6D5F"/>
    <w:rsid w:val="004B552A"/>
    <w:rsid w:val="00512E83"/>
    <w:rsid w:val="00556B44"/>
    <w:rsid w:val="00586292"/>
    <w:rsid w:val="00601C42"/>
    <w:rsid w:val="006677EE"/>
    <w:rsid w:val="00670367"/>
    <w:rsid w:val="007C2274"/>
    <w:rsid w:val="007D154B"/>
    <w:rsid w:val="007E0C3E"/>
    <w:rsid w:val="009A4325"/>
    <w:rsid w:val="00A64AAE"/>
    <w:rsid w:val="00A6519D"/>
    <w:rsid w:val="00A75002"/>
    <w:rsid w:val="00A77054"/>
    <w:rsid w:val="00BA69B5"/>
    <w:rsid w:val="00C45C78"/>
    <w:rsid w:val="00CB5EEF"/>
    <w:rsid w:val="00D14017"/>
    <w:rsid w:val="00D31E82"/>
    <w:rsid w:val="00D465CA"/>
    <w:rsid w:val="00DB7252"/>
    <w:rsid w:val="00E014A7"/>
    <w:rsid w:val="00EC4CFC"/>
    <w:rsid w:val="00EE27E3"/>
    <w:rsid w:val="00EE3D04"/>
    <w:rsid w:val="00EF71EF"/>
    <w:rsid w:val="00F01CF8"/>
    <w:rsid w:val="00F57A3B"/>
    <w:rsid w:val="00FD7305"/>
    <w:rsid w:val="00FF2A07"/>
    <w:rsid w:val="154D33D6"/>
    <w:rsid w:val="26445799"/>
    <w:rsid w:val="35D02767"/>
    <w:rsid w:val="3A2C401D"/>
    <w:rsid w:val="3C2B6A97"/>
    <w:rsid w:val="429D6440"/>
    <w:rsid w:val="54DC4C6B"/>
    <w:rsid w:val="5E015742"/>
    <w:rsid w:val="6695111E"/>
    <w:rsid w:val="68273FF7"/>
    <w:rsid w:val="6FC00FB9"/>
    <w:rsid w:val="7AAC0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3"/>
    <w:semiHidden/>
    <w:unhideWhenUsed/>
    <w:qFormat/>
    <w:uiPriority w:val="99"/>
    <w:rPr>
      <w:color w:val="954F72" w:themeColor="followedHyperlink"/>
      <w:u w:val="single"/>
      <w14:textFill>
        <w14:solidFill>
          <w14:schemeClr w14:val="folHlink"/>
        </w14:solidFill>
      </w14:textFill>
    </w:rPr>
  </w:style>
  <w:style w:type="character" w:styleId="5">
    <w:name w:val="Hyperlink"/>
    <w:basedOn w:val="3"/>
    <w:unhideWhenUsed/>
    <w:qFormat/>
    <w:uiPriority w:val="99"/>
    <w:rPr>
      <w:color w:val="0563C1" w:themeColor="hyperlink"/>
      <w:u w:val="single"/>
      <w14:textFill>
        <w14:solidFill>
          <w14:schemeClr w14:val="hlink"/>
        </w14:solidFill>
      </w14:textFill>
    </w:rPr>
  </w:style>
  <w:style w:type="paragraph" w:styleId="6">
    <w:name w:val="List Paragraph"/>
    <w:basedOn w:val="1"/>
    <w:qFormat/>
    <w:uiPriority w:val="34"/>
    <w:pPr>
      <w:ind w:left="720"/>
      <w:contextualSpacing/>
    </w:pPr>
  </w:style>
  <w:style w:type="character" w:customStyle="1" w:styleId="7">
    <w:name w:val="Unresolved Mention"/>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E09B5-FDEA-4D9C-8541-4202959593CD}">
  <ds:schemaRefs/>
</ds:datastoreItem>
</file>

<file path=docProps/app.xml><?xml version="1.0" encoding="utf-8"?>
<Properties xmlns="http://schemas.openxmlformats.org/officeDocument/2006/extended-properties" xmlns:vt="http://schemas.openxmlformats.org/officeDocument/2006/docPropsVTypes">
  <Template>Normal</Template>
  <Pages>6</Pages>
  <Words>1469</Words>
  <Characters>9458</Characters>
  <Lines>400</Lines>
  <Paragraphs>112</Paragraphs>
  <TotalTime>7</TotalTime>
  <ScaleCrop>false</ScaleCrop>
  <LinksUpToDate>false</LinksUpToDate>
  <CharactersWithSpaces>11423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2022-08-30T17:46:00Z</dcterms:created>
  <dc:creator>Brandt</dc:creator>
  <cp:lastModifiedBy>lala</cp:lastModifiedBy>
  <dcterms:modified xsi:type="dcterms:W3CDTF">2022-08-31T02:26:42Z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8EC8E6EB324E4A8794082B784110B70A</vt:lpwstr>
  </property>
  <property fmtid="{D5CDD505-2E9C-101B-9397-08002B2CF9AE}" pid="3" name="KSOProductBuildVer">
    <vt:lpwstr>2052-11.1.0.12313</vt:lpwstr>
  </property>
  <property fmtid="{D5CDD505-2E9C-101B-9397-08002B2CF9AE}" pid="4" name="Mendeley Citation Style_1">
    <vt:lpwstr>http://csl.mendeley.com/styles/490262041/vancouver-brackets-only-year-no-issue</vt:lpwstr>
  </property>
  <property fmtid="{D5CDD505-2E9C-101B-9397-08002B2CF9AE}" pid="5" name="Mendeley Document_1">
    <vt:lpwstr>True</vt:lpwstr>
  </property>
  <property fmtid="{D5CDD505-2E9C-101B-9397-08002B2CF9AE}" pid="6" name="Mendeley Recent Style Id 0_1">
    <vt:lpwstr>http://csl.mendeley.com/styles/490262041/vancouver-brackets-only-year-no-issue</vt:lpwstr>
  </property>
  <property fmtid="{D5CDD505-2E9C-101B-9397-08002B2CF9AE}" pid="7" name="Mendeley Recent Style Id 1_1">
    <vt:lpwstr>http://www.zotero.org/styles/national-library-of-medicine</vt:lpwstr>
  </property>
  <property fmtid="{D5CDD505-2E9C-101B-9397-08002B2CF9AE}" pid="8" name="Mendeley Recent Style Id 2_1">
    <vt:lpwstr>http://www.zotero.org/styles/national-library-of-medicine-brackets-no-et-al</vt:lpwstr>
  </property>
  <property fmtid="{D5CDD505-2E9C-101B-9397-08002B2CF9AE}" pid="9" name="Mendeley Recent Style Id 3_1">
    <vt:lpwstr>http://www.zotero.org/styles/nature</vt:lpwstr>
  </property>
  <property fmtid="{D5CDD505-2E9C-101B-9397-08002B2CF9AE}" pid="10" name="Mendeley Recent Style Id 4_1">
    <vt:lpwstr>http://www.zotero.org/styles/plos</vt:lpwstr>
  </property>
  <property fmtid="{D5CDD505-2E9C-101B-9397-08002B2CF9AE}" pid="11" name="Mendeley Recent Style Id 5_1">
    <vt:lpwstr>http://www.zotero.org/styles/springer-basic-author-date</vt:lpwstr>
  </property>
  <property fmtid="{D5CDD505-2E9C-101B-9397-08002B2CF9AE}" pid="12" name="Mendeley Recent Style Id 6_1">
    <vt:lpwstr>http://www.zotero.org/styles/taylor-and-francis-national-library-of-medicine</vt:lpwstr>
  </property>
  <property fmtid="{D5CDD505-2E9C-101B-9397-08002B2CF9AE}" pid="13" name="Mendeley Recent Style Id 7_1">
    <vt:lpwstr>http://www.zotero.org/styles/taylor-and-francis-vancouver-national-library-of-medicine</vt:lpwstr>
  </property>
  <property fmtid="{D5CDD505-2E9C-101B-9397-08002B2CF9AE}" pid="14" name="Mendeley Recent Style Id 8_1">
    <vt:lpwstr>http://www.zotero.org/styles/vancouver-brackets</vt:lpwstr>
  </property>
  <property fmtid="{D5CDD505-2E9C-101B-9397-08002B2CF9AE}" pid="15" name="Mendeley Recent Style Id 9_1">
    <vt:lpwstr>http://www.zotero.org/styles/vancouver-brackets-only-year-no-issue</vt:lpwstr>
  </property>
  <property fmtid="{D5CDD505-2E9C-101B-9397-08002B2CF9AE}" pid="16" name="Mendeley Recent Style Name 0_1">
    <vt:lpwstr>Aging Pathobiology &amp; Therapeutics</vt:lpwstr>
  </property>
  <property fmtid="{D5CDD505-2E9C-101B-9397-08002B2CF9AE}" pid="17" name="Mendeley Recent Style Name 1_1">
    <vt:lpwstr>National Library of Medicine</vt:lpwstr>
  </property>
  <property fmtid="{D5CDD505-2E9C-101B-9397-08002B2CF9AE}" pid="18" name="Mendeley Recent Style Name 2_1">
    <vt:lpwstr>National Library of Medicine (brackets, no "et al.")</vt:lpwstr>
  </property>
  <property fmtid="{D5CDD505-2E9C-101B-9397-08002B2CF9AE}" pid="19" name="Mendeley Recent Style Name 3_1">
    <vt:lpwstr>Nature</vt:lpwstr>
  </property>
  <property fmtid="{D5CDD505-2E9C-101B-9397-08002B2CF9AE}" pid="20" name="Mendeley Recent Style Name 4_1">
    <vt:lpwstr>Public Library of Science</vt:lpwstr>
  </property>
  <property fmtid="{D5CDD505-2E9C-101B-9397-08002B2CF9AE}" pid="21" name="Mendeley Recent Style Name 5_1">
    <vt:lpwstr>Springer - Basic (author-date)</vt:lpwstr>
  </property>
  <property fmtid="{D5CDD505-2E9C-101B-9397-08002B2CF9AE}" pid="22" name="Mendeley Recent Style Name 6_1">
    <vt:lpwstr>Taylor &amp; Francis - National Library of Medicine</vt:lpwstr>
  </property>
  <property fmtid="{D5CDD505-2E9C-101B-9397-08002B2CF9AE}" pid="23" name="Mendeley Recent Style Name 7_1">
    <vt:lpwstr>Taylor &amp; Francis - Vancouver/National Library of Medicine</vt:lpwstr>
  </property>
  <property fmtid="{D5CDD505-2E9C-101B-9397-08002B2CF9AE}" pid="24" name="Mendeley Recent Style Name 8_1">
    <vt:lpwstr>Vancouver (brackets)</vt:lpwstr>
  </property>
  <property fmtid="{D5CDD505-2E9C-101B-9397-08002B2CF9AE}" pid="25" name="Mendeley Recent Style Name 9_1">
    <vt:lpwstr>Vancouver (brackets, only year in date, no issue numbers)</vt:lpwstr>
  </property>
  <property fmtid="{D5CDD505-2E9C-101B-9397-08002B2CF9AE}" pid="26" name="Mendeley Unique User Id_1">
    <vt:lpwstr>e54e81d8-737d-3d65-b810-4b64be88430d</vt:lpwstr>
  </property>
</Properties>
</file>