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07AC" w14:textId="091062E1" w:rsidR="005C4D87" w:rsidRPr="00BD66CE" w:rsidRDefault="007635E1" w:rsidP="005C4D87">
      <w:pPr>
        <w:pStyle w:val="MDPI12title"/>
        <w:rPr>
          <w:rFonts w:ascii="Verdana" w:hAnsi="Verdana"/>
        </w:rPr>
      </w:pPr>
      <w:r w:rsidRPr="00BD66CE">
        <w:rPr>
          <w:rFonts w:ascii="Verdana" w:hAnsi="Verdana"/>
        </w:rPr>
        <w:t>P</w:t>
      </w:r>
      <w:r w:rsidR="004F769C" w:rsidRPr="00BD66CE">
        <w:rPr>
          <w:rFonts w:ascii="Verdana" w:hAnsi="Verdana"/>
        </w:rPr>
        <w:t xml:space="preserve">opulation </w:t>
      </w:r>
      <w:r w:rsidRPr="00BD66CE">
        <w:rPr>
          <w:rFonts w:ascii="Verdana" w:hAnsi="Verdana"/>
        </w:rPr>
        <w:t>A</w:t>
      </w:r>
      <w:r w:rsidR="004F769C" w:rsidRPr="00BD66CE">
        <w:rPr>
          <w:rFonts w:ascii="Verdana" w:hAnsi="Verdana"/>
        </w:rPr>
        <w:t xml:space="preserve">ging </w:t>
      </w:r>
      <w:r w:rsidRPr="00BD66CE">
        <w:rPr>
          <w:rFonts w:ascii="Verdana" w:hAnsi="Verdana"/>
        </w:rPr>
        <w:t>M</w:t>
      </w:r>
      <w:r w:rsidR="004F769C" w:rsidRPr="00BD66CE">
        <w:rPr>
          <w:rFonts w:ascii="Verdana" w:hAnsi="Verdana"/>
        </w:rPr>
        <w:t xml:space="preserve">anagement </w:t>
      </w:r>
      <w:r w:rsidRPr="00BD66CE">
        <w:rPr>
          <w:rFonts w:ascii="Verdana" w:hAnsi="Verdana"/>
        </w:rPr>
        <w:t>D</w:t>
      </w:r>
      <w:r w:rsidR="004F769C" w:rsidRPr="00BD66CE">
        <w:rPr>
          <w:rFonts w:ascii="Verdana" w:hAnsi="Verdana"/>
        </w:rPr>
        <w:t xml:space="preserve">uring the COVID-19 </w:t>
      </w:r>
      <w:r w:rsidRPr="00BD66CE">
        <w:rPr>
          <w:rFonts w:ascii="Verdana" w:hAnsi="Verdana"/>
        </w:rPr>
        <w:t>P</w:t>
      </w:r>
      <w:r w:rsidR="004F769C" w:rsidRPr="00BD66CE">
        <w:rPr>
          <w:rFonts w:ascii="Verdana" w:hAnsi="Verdana"/>
        </w:rPr>
        <w:t xml:space="preserve">andemic in </w:t>
      </w:r>
      <w:r w:rsidR="00203AB8" w:rsidRPr="00BD66CE">
        <w:rPr>
          <w:rFonts w:ascii="Verdana" w:hAnsi="Verdana"/>
        </w:rPr>
        <w:t xml:space="preserve">Selected </w:t>
      </w:r>
      <w:r w:rsidR="004F769C" w:rsidRPr="00BD66CE">
        <w:rPr>
          <w:rFonts w:ascii="Verdana" w:hAnsi="Verdana"/>
        </w:rPr>
        <w:t>Central America</w:t>
      </w:r>
      <w:r w:rsidR="00255DE2" w:rsidRPr="00BD66CE">
        <w:rPr>
          <w:rFonts w:ascii="Verdana" w:hAnsi="Verdana"/>
        </w:rPr>
        <w:t>n Countries</w:t>
      </w:r>
      <w:r w:rsidR="00781FD3" w:rsidRPr="00BD66CE">
        <w:rPr>
          <w:rFonts w:ascii="Verdana" w:hAnsi="Verdana"/>
        </w:rPr>
        <w:t xml:space="preserve">: </w:t>
      </w:r>
      <w:r w:rsidR="00255DE2" w:rsidRPr="00BD66CE">
        <w:rPr>
          <w:rFonts w:ascii="Verdana" w:hAnsi="Verdana"/>
        </w:rPr>
        <w:t>A</w:t>
      </w:r>
      <w:r w:rsidR="00781FD3" w:rsidRPr="00BD66CE">
        <w:rPr>
          <w:rFonts w:ascii="Verdana" w:hAnsi="Verdana"/>
        </w:rPr>
        <w:t xml:space="preserve"> </w:t>
      </w:r>
      <w:r w:rsidRPr="00BD66CE">
        <w:rPr>
          <w:rFonts w:ascii="Verdana" w:hAnsi="Verdana"/>
        </w:rPr>
        <w:t>L</w:t>
      </w:r>
      <w:r w:rsidR="00781FD3" w:rsidRPr="00BD66CE">
        <w:rPr>
          <w:rFonts w:ascii="Verdana" w:hAnsi="Verdana"/>
        </w:rPr>
        <w:t>egal-</w:t>
      </w:r>
      <w:r w:rsidRPr="00BD66CE">
        <w:rPr>
          <w:rFonts w:ascii="Verdana" w:hAnsi="Verdana"/>
        </w:rPr>
        <w:t>H</w:t>
      </w:r>
      <w:r w:rsidR="00781FD3" w:rsidRPr="00BD66CE">
        <w:rPr>
          <w:rFonts w:ascii="Verdana" w:hAnsi="Verdana"/>
        </w:rPr>
        <w:t xml:space="preserve">ealth </w:t>
      </w:r>
      <w:r w:rsidRPr="00BD66CE">
        <w:rPr>
          <w:rFonts w:ascii="Verdana" w:hAnsi="Verdana"/>
        </w:rPr>
        <w:t>A</w:t>
      </w:r>
      <w:r w:rsidR="00781FD3" w:rsidRPr="00BD66CE">
        <w:rPr>
          <w:rFonts w:ascii="Verdana" w:hAnsi="Verdana"/>
        </w:rPr>
        <w:t>nalysis</w:t>
      </w:r>
    </w:p>
    <w:p w14:paraId="58746D7B" w14:textId="54956866" w:rsidR="00B90AC8" w:rsidRPr="00BD66CE" w:rsidRDefault="004F769C" w:rsidP="00B90AC8">
      <w:pPr>
        <w:pStyle w:val="MDPI13authornames"/>
        <w:rPr>
          <w:rFonts w:ascii="Verdana" w:hAnsi="Verdana"/>
        </w:rPr>
      </w:pPr>
      <w:r w:rsidRPr="00BD66CE">
        <w:rPr>
          <w:rFonts w:ascii="Verdana" w:hAnsi="Verdana"/>
        </w:rPr>
        <w:t>Roberth Steven Gutiérrez-Murillo</w:t>
      </w:r>
      <w:r w:rsidR="005C4D87" w:rsidRPr="00BD66CE">
        <w:rPr>
          <w:rFonts w:ascii="Verdana" w:hAnsi="Verdana"/>
        </w:rPr>
        <w:t xml:space="preserve"> </w:t>
      </w:r>
      <w:r w:rsidR="005C4D87" w:rsidRPr="00BD66CE">
        <w:rPr>
          <w:rFonts w:ascii="Verdana" w:hAnsi="Verdana"/>
          <w:vertAlign w:val="superscript"/>
        </w:rPr>
        <w:t>1</w:t>
      </w:r>
      <w:r w:rsidR="00F162B4" w:rsidRPr="00BD66CE">
        <w:rPr>
          <w:rFonts w:ascii="Verdana" w:hAnsi="Verdana"/>
          <w:vertAlign w:val="superscript"/>
        </w:rPr>
        <w:t>*</w:t>
      </w:r>
      <w:r w:rsidR="005C4D87" w:rsidRPr="00BD66CE">
        <w:rPr>
          <w:rFonts w:ascii="Verdana" w:hAnsi="Verdana"/>
        </w:rPr>
        <w:t xml:space="preserve">, </w:t>
      </w:r>
      <w:r w:rsidR="00781FD3" w:rsidRPr="00BD66CE">
        <w:rPr>
          <w:rFonts w:ascii="Verdana" w:hAnsi="Verdana"/>
        </w:rPr>
        <w:t>Patrícia Krieger Grossi</w:t>
      </w:r>
      <w:r w:rsidR="005C4D87" w:rsidRPr="00BD66CE">
        <w:rPr>
          <w:rFonts w:ascii="Verdana" w:hAnsi="Verdana"/>
        </w:rPr>
        <w:t xml:space="preserve"> </w:t>
      </w:r>
      <w:r w:rsidR="005C4D87" w:rsidRPr="00BD66CE">
        <w:rPr>
          <w:rFonts w:ascii="Verdana" w:hAnsi="Verdana"/>
          <w:vertAlign w:val="superscript"/>
        </w:rPr>
        <w:t>2</w:t>
      </w:r>
      <w:r w:rsidR="00910A1F" w:rsidRPr="00BD66CE">
        <w:rPr>
          <w:rFonts w:ascii="Verdana" w:hAnsi="Verdana"/>
        </w:rPr>
        <w:t>, Ângelo</w:t>
      </w:r>
      <w:r w:rsidR="0028328C" w:rsidRPr="00BD66CE">
        <w:rPr>
          <w:rFonts w:ascii="Verdana" w:hAnsi="Verdana"/>
        </w:rPr>
        <w:t xml:space="preserve"> José Gonçalves Bós </w:t>
      </w:r>
      <w:r w:rsidR="00E06181" w:rsidRPr="00BD66CE">
        <w:rPr>
          <w:rFonts w:ascii="Verdana" w:hAnsi="Verdana"/>
          <w:vertAlign w:val="superscript"/>
        </w:rPr>
        <w:t>2</w:t>
      </w:r>
      <w:r w:rsidR="00203AB8" w:rsidRPr="00BD66CE">
        <w:rPr>
          <w:rFonts w:ascii="Verdana" w:hAnsi="Verdana"/>
          <w:vertAlign w:val="superscript"/>
        </w:rPr>
        <w:t>,3</w:t>
      </w:r>
      <w:r w:rsidR="00E06181" w:rsidRPr="00BD66CE">
        <w:rPr>
          <w:rFonts w:ascii="Verdana" w:hAnsi="Verdana"/>
        </w:rPr>
        <w:t>,</w:t>
      </w:r>
      <w:r w:rsidR="00E06181" w:rsidRPr="00BD66CE">
        <w:rPr>
          <w:rFonts w:ascii="Verdana" w:hAnsi="Verdana"/>
          <w:vertAlign w:val="superscript"/>
        </w:rPr>
        <w:t xml:space="preserve"> </w:t>
      </w:r>
      <w:r w:rsidR="00E06181" w:rsidRPr="00BD66CE">
        <w:rPr>
          <w:rFonts w:ascii="Verdana" w:hAnsi="Verdana"/>
        </w:rPr>
        <w:t xml:space="preserve">and </w:t>
      </w:r>
      <w:r w:rsidR="00014339" w:rsidRPr="00BD66CE">
        <w:rPr>
          <w:rFonts w:ascii="Verdana" w:hAnsi="Verdana"/>
        </w:rPr>
        <w:t>Denise</w:t>
      </w:r>
      <w:r w:rsidR="00203AB8" w:rsidRPr="00BD66CE">
        <w:rPr>
          <w:rFonts w:ascii="Verdana" w:hAnsi="Verdana"/>
        </w:rPr>
        <w:t xml:space="preserve"> Cantarelli Machado </w:t>
      </w:r>
      <w:r w:rsidR="00203AB8" w:rsidRPr="00BD66CE">
        <w:rPr>
          <w:rFonts w:ascii="Verdana" w:hAnsi="Verdana"/>
          <w:vertAlign w:val="superscript"/>
        </w:rPr>
        <w:t>2,3</w:t>
      </w:r>
    </w:p>
    <w:p w14:paraId="5C51C8CD" w14:textId="0C5F5898" w:rsidR="005C4D87" w:rsidRPr="00BD66CE" w:rsidRDefault="00B90AC8" w:rsidP="008B22E3">
      <w:pPr>
        <w:pStyle w:val="MDPI16affiliation"/>
        <w:rPr>
          <w:rFonts w:ascii="Verdana" w:hAnsi="Verdana"/>
        </w:rPr>
      </w:pPr>
      <w:r w:rsidRPr="00BD66CE">
        <w:rPr>
          <w:rFonts w:ascii="Verdana" w:hAnsi="Verdana"/>
          <w:vertAlign w:val="superscript"/>
        </w:rPr>
        <w:t>1</w:t>
      </w:r>
      <w:r w:rsidRPr="00BD66CE">
        <w:rPr>
          <w:rFonts w:ascii="Verdana" w:hAnsi="Verdana"/>
        </w:rPr>
        <w:t xml:space="preserve"> </w:t>
      </w:r>
      <w:r w:rsidR="0044249C" w:rsidRPr="00BD66CE">
        <w:rPr>
          <w:rFonts w:ascii="Verdana" w:hAnsi="Verdana"/>
        </w:rPr>
        <w:tab/>
      </w:r>
      <w:r w:rsidR="00330E53" w:rsidRPr="00BD66CE">
        <w:rPr>
          <w:rFonts w:ascii="Verdana" w:hAnsi="Verdana"/>
        </w:rPr>
        <w:t xml:space="preserve">School </w:t>
      </w:r>
      <w:r w:rsidR="005377BF" w:rsidRPr="00BD66CE">
        <w:rPr>
          <w:rFonts w:ascii="Verdana" w:hAnsi="Verdana"/>
        </w:rPr>
        <w:t>of Medicine. Doc</w:t>
      </w:r>
      <w:r w:rsidR="00B65228" w:rsidRPr="00BD66CE">
        <w:rPr>
          <w:rFonts w:ascii="Verdana" w:hAnsi="Verdana"/>
        </w:rPr>
        <w:t>toral</w:t>
      </w:r>
      <w:r w:rsidR="005377BF" w:rsidRPr="00BD66CE">
        <w:rPr>
          <w:rFonts w:ascii="Verdana" w:hAnsi="Verdana"/>
        </w:rPr>
        <w:t xml:space="preserve"> </w:t>
      </w:r>
      <w:r w:rsidR="00B65228" w:rsidRPr="00BD66CE">
        <w:rPr>
          <w:rFonts w:ascii="Verdana" w:hAnsi="Verdana"/>
        </w:rPr>
        <w:t>Student</w:t>
      </w:r>
      <w:r w:rsidR="005377BF" w:rsidRPr="00BD66CE">
        <w:rPr>
          <w:rFonts w:ascii="Verdana" w:hAnsi="Verdana"/>
        </w:rPr>
        <w:t xml:space="preserve"> </w:t>
      </w:r>
      <w:r w:rsidR="008E7D72" w:rsidRPr="00BD66CE">
        <w:rPr>
          <w:rFonts w:ascii="Verdana" w:hAnsi="Verdana"/>
        </w:rPr>
        <w:t>at the</w:t>
      </w:r>
      <w:r w:rsidR="00330E53" w:rsidRPr="00BD66CE">
        <w:rPr>
          <w:rFonts w:ascii="Verdana" w:hAnsi="Verdana"/>
        </w:rPr>
        <w:t xml:space="preserve"> Biomedical Gerontology</w:t>
      </w:r>
      <w:r w:rsidR="00B65228" w:rsidRPr="00BD66CE">
        <w:rPr>
          <w:rFonts w:ascii="Verdana" w:hAnsi="Verdana"/>
        </w:rPr>
        <w:t xml:space="preserve"> Program</w:t>
      </w:r>
      <w:r w:rsidR="00330E53" w:rsidRPr="00BD66CE">
        <w:rPr>
          <w:rFonts w:ascii="Verdana" w:hAnsi="Verdana"/>
        </w:rPr>
        <w:t>, Pontifical Catholic University of Rio Grande do Sul</w:t>
      </w:r>
      <w:r w:rsidR="00203AB8" w:rsidRPr="00BD66CE">
        <w:rPr>
          <w:rFonts w:ascii="Verdana" w:hAnsi="Verdana"/>
        </w:rPr>
        <w:t>, Brazil</w:t>
      </w:r>
      <w:r w:rsidR="005C4D87" w:rsidRPr="00BD66CE">
        <w:rPr>
          <w:rFonts w:ascii="Verdana" w:hAnsi="Verdana"/>
        </w:rPr>
        <w:t xml:space="preserve">; </w:t>
      </w:r>
      <w:hyperlink r:id="rId7" w:history="1">
        <w:r w:rsidR="00560B2B" w:rsidRPr="00BD66CE">
          <w:rPr>
            <w:rStyle w:val="Hipervnculo"/>
            <w:rFonts w:ascii="Verdana" w:hAnsi="Verdana"/>
          </w:rPr>
          <w:t>roberth.murillo@edu.pucrs.br</w:t>
        </w:r>
      </w:hyperlink>
      <w:r w:rsidR="00AB19E8" w:rsidRPr="00BD66CE">
        <w:rPr>
          <w:rFonts w:ascii="Verdana" w:hAnsi="Verdana"/>
        </w:rPr>
        <w:t xml:space="preserve"> </w:t>
      </w:r>
    </w:p>
    <w:p w14:paraId="489150B7" w14:textId="15CF1616" w:rsidR="005C4D87" w:rsidRPr="00BD66CE" w:rsidRDefault="005C4D87" w:rsidP="005C4D87">
      <w:pPr>
        <w:pStyle w:val="MDPI16affiliation"/>
        <w:rPr>
          <w:rFonts w:ascii="Verdana" w:hAnsi="Verdana"/>
        </w:rPr>
      </w:pPr>
      <w:r w:rsidRPr="00BD66CE">
        <w:rPr>
          <w:rFonts w:ascii="Verdana" w:hAnsi="Verdana"/>
          <w:vertAlign w:val="superscript"/>
        </w:rPr>
        <w:t>2</w:t>
      </w:r>
      <w:r w:rsidRPr="00BD66CE">
        <w:rPr>
          <w:rFonts w:ascii="Verdana" w:hAnsi="Verdana"/>
        </w:rPr>
        <w:tab/>
      </w:r>
      <w:r w:rsidR="00E16A86" w:rsidRPr="00BD66CE">
        <w:rPr>
          <w:rFonts w:ascii="Verdana" w:hAnsi="Verdana"/>
        </w:rPr>
        <w:t xml:space="preserve">School </w:t>
      </w:r>
      <w:r w:rsidR="005377BF" w:rsidRPr="00BD66CE">
        <w:rPr>
          <w:rFonts w:ascii="Verdana" w:hAnsi="Verdana"/>
        </w:rPr>
        <w:t xml:space="preserve">of Medicine. </w:t>
      </w:r>
      <w:r w:rsidR="006804FA" w:rsidRPr="00BD66CE">
        <w:rPr>
          <w:rFonts w:ascii="Verdana" w:hAnsi="Verdana"/>
        </w:rPr>
        <w:t xml:space="preserve">Ph.D. </w:t>
      </w:r>
      <w:r w:rsidR="006F4379" w:rsidRPr="00BD66CE">
        <w:rPr>
          <w:rFonts w:ascii="Verdana" w:hAnsi="Verdana"/>
        </w:rPr>
        <w:t>Associate</w:t>
      </w:r>
      <w:r w:rsidR="00D10B5B" w:rsidRPr="00BD66CE">
        <w:rPr>
          <w:rFonts w:ascii="Verdana" w:hAnsi="Verdana"/>
        </w:rPr>
        <w:t xml:space="preserve"> Professor at the </w:t>
      </w:r>
      <w:r w:rsidR="00E16A86" w:rsidRPr="00BD66CE">
        <w:rPr>
          <w:rFonts w:ascii="Verdana" w:hAnsi="Verdana"/>
        </w:rPr>
        <w:t>Biomedical Gerontology</w:t>
      </w:r>
      <w:r w:rsidR="00B65228" w:rsidRPr="00BD66CE">
        <w:rPr>
          <w:rFonts w:ascii="Verdana" w:hAnsi="Verdana"/>
        </w:rPr>
        <w:t xml:space="preserve"> Program</w:t>
      </w:r>
      <w:r w:rsidR="00E16A86" w:rsidRPr="00BD66CE">
        <w:rPr>
          <w:rFonts w:ascii="Verdana" w:hAnsi="Verdana"/>
        </w:rPr>
        <w:t>, Pontifical Catholic University of Rio Grande do Sul</w:t>
      </w:r>
      <w:r w:rsidR="00203AB8" w:rsidRPr="00BD66CE">
        <w:rPr>
          <w:rFonts w:ascii="Verdana" w:hAnsi="Verdana"/>
        </w:rPr>
        <w:t>, Brazil</w:t>
      </w:r>
      <w:r w:rsidR="00E16A86" w:rsidRPr="00BD66CE">
        <w:rPr>
          <w:rFonts w:ascii="Verdana" w:hAnsi="Verdana"/>
        </w:rPr>
        <w:t xml:space="preserve">; </w:t>
      </w:r>
      <w:hyperlink r:id="rId8" w:history="1">
        <w:r w:rsidR="00EB4FEE" w:rsidRPr="00BD66CE">
          <w:rPr>
            <w:rStyle w:val="Hipervnculo"/>
            <w:rFonts w:ascii="Verdana" w:hAnsi="Verdana"/>
          </w:rPr>
          <w:t>pkgrossi@pucrs.br</w:t>
        </w:r>
      </w:hyperlink>
      <w:r w:rsidR="00EB4FEE" w:rsidRPr="00BD66CE">
        <w:rPr>
          <w:rFonts w:ascii="Verdana" w:hAnsi="Verdana"/>
        </w:rPr>
        <w:t xml:space="preserve">; </w:t>
      </w:r>
      <w:hyperlink r:id="rId9" w:history="1">
        <w:r w:rsidR="00654DB1" w:rsidRPr="00BD66CE">
          <w:rPr>
            <w:rStyle w:val="Hipervnculo"/>
            <w:rFonts w:ascii="Verdana" w:hAnsi="Verdana"/>
          </w:rPr>
          <w:t>angelo.bos@pucrs.br</w:t>
        </w:r>
      </w:hyperlink>
      <w:r w:rsidR="00654DB1" w:rsidRPr="00BD66CE">
        <w:rPr>
          <w:rFonts w:ascii="Verdana" w:hAnsi="Verdana"/>
        </w:rPr>
        <w:t xml:space="preserve">; </w:t>
      </w:r>
      <w:hyperlink r:id="rId10" w:history="1">
        <w:r w:rsidR="00654DB1" w:rsidRPr="00BD66CE">
          <w:rPr>
            <w:rStyle w:val="Hipervnculo"/>
            <w:rFonts w:ascii="Verdana" w:hAnsi="Verdana"/>
          </w:rPr>
          <w:t>dcm@pucrs.br</w:t>
        </w:r>
      </w:hyperlink>
      <w:r w:rsidR="00654DB1" w:rsidRPr="00BD66CE">
        <w:rPr>
          <w:rFonts w:ascii="Verdana" w:hAnsi="Verdana"/>
        </w:rPr>
        <w:t>.</w:t>
      </w:r>
    </w:p>
    <w:p w14:paraId="5803AAE4" w14:textId="080B01F4" w:rsidR="009D7DB2" w:rsidRPr="00BD66CE" w:rsidRDefault="009D7DB2" w:rsidP="005C4D87">
      <w:pPr>
        <w:pStyle w:val="MDPI16affiliation"/>
        <w:rPr>
          <w:rFonts w:ascii="Verdana" w:hAnsi="Verdana"/>
        </w:rPr>
      </w:pPr>
      <w:r w:rsidRPr="00BD66CE">
        <w:rPr>
          <w:rFonts w:ascii="Verdana" w:hAnsi="Verdana"/>
          <w:vertAlign w:val="superscript"/>
        </w:rPr>
        <w:t>3</w:t>
      </w:r>
      <w:r w:rsidRPr="00BD66CE">
        <w:rPr>
          <w:rFonts w:ascii="Verdana" w:hAnsi="Verdana"/>
        </w:rPr>
        <w:tab/>
        <w:t>School of Medicine. Ph.D. Full Professor at the Department of Internal Medicine, Pontifical Catholic University of Rio Grande do Sul, Brazil</w:t>
      </w:r>
      <w:r w:rsidR="00654DB1" w:rsidRPr="00BD66CE">
        <w:rPr>
          <w:rFonts w:ascii="Verdana" w:hAnsi="Verdana"/>
        </w:rPr>
        <w:t xml:space="preserve">. </w:t>
      </w:r>
    </w:p>
    <w:p w14:paraId="09D25A12" w14:textId="205C6877" w:rsidR="005C4D87" w:rsidRPr="00BD66CE" w:rsidRDefault="005C4D87" w:rsidP="005C4D87">
      <w:pPr>
        <w:pStyle w:val="MDPI16affiliation"/>
        <w:rPr>
          <w:rFonts w:ascii="Verdana" w:hAnsi="Verdana"/>
        </w:rPr>
      </w:pPr>
      <w:r w:rsidRPr="00BD66CE">
        <w:rPr>
          <w:rFonts w:ascii="Verdana" w:hAnsi="Verdana"/>
          <w:b/>
        </w:rPr>
        <w:t>*</w:t>
      </w:r>
      <w:r w:rsidRPr="00BD66CE">
        <w:rPr>
          <w:rFonts w:ascii="Verdana" w:hAnsi="Verdana"/>
        </w:rPr>
        <w:tab/>
        <w:t xml:space="preserve">Correspondence: </w:t>
      </w:r>
      <w:hyperlink r:id="rId11" w:history="1">
        <w:r w:rsidR="002735AE" w:rsidRPr="00BD66CE">
          <w:rPr>
            <w:rStyle w:val="Hipervnculo"/>
            <w:rFonts w:ascii="Verdana" w:hAnsi="Verdana"/>
          </w:rPr>
          <w:t>roberth.murillo@edu.pucrs.br</w:t>
        </w:r>
      </w:hyperlink>
      <w:r w:rsidRPr="00BD66CE">
        <w:rPr>
          <w:rFonts w:ascii="Verdana" w:hAnsi="Verdana"/>
        </w:rPr>
        <w:t>;</w:t>
      </w:r>
      <w:r w:rsidR="00560B2B" w:rsidRPr="00BD66CE">
        <w:rPr>
          <w:rFonts w:ascii="Verdana" w:hAnsi="Verdana"/>
        </w:rPr>
        <w:t xml:space="preserve"> </w:t>
      </w:r>
      <w:r w:rsidRPr="00BD66CE">
        <w:rPr>
          <w:rFonts w:ascii="Verdana" w:hAnsi="Verdana"/>
        </w:rPr>
        <w:t xml:space="preserve">Tel.: </w:t>
      </w:r>
      <w:r w:rsidR="00560B2B" w:rsidRPr="00BD66CE">
        <w:rPr>
          <w:rFonts w:ascii="Verdana" w:hAnsi="Verdana"/>
        </w:rPr>
        <w:t>+55(45)988406824</w:t>
      </w:r>
      <w:r w:rsidR="008641FF" w:rsidRPr="00BD66CE">
        <w:rPr>
          <w:rFonts w:ascii="Verdana" w:hAnsi="Verdana"/>
        </w:rPr>
        <w:t xml:space="preserve"> </w:t>
      </w:r>
      <w:r w:rsidR="00560B2B" w:rsidRPr="00BD66CE">
        <w:rPr>
          <w:rFonts w:ascii="Verdana" w:hAnsi="Verdana"/>
        </w:rPr>
        <w:t xml:space="preserve"> </w:t>
      </w:r>
    </w:p>
    <w:p w14:paraId="3FC69BC5" w14:textId="1359D61A" w:rsidR="00F3207B" w:rsidRPr="00BD66CE" w:rsidRDefault="00F3207B" w:rsidP="005C4D87">
      <w:pPr>
        <w:pStyle w:val="MDPI16affiliation"/>
        <w:rPr>
          <w:rFonts w:ascii="Verdana" w:hAnsi="Verdana"/>
        </w:rPr>
      </w:pPr>
    </w:p>
    <w:p w14:paraId="1EEF1D0D" w14:textId="789F2076" w:rsidR="00DC4287" w:rsidRPr="00BD7D33" w:rsidRDefault="005C4D87" w:rsidP="005D5056">
      <w:pPr>
        <w:pStyle w:val="MDPI17abstract"/>
        <w:ind w:left="0"/>
        <w:rPr>
          <w:rFonts w:ascii="Verdana" w:hAnsi="Verdana"/>
          <w:sz w:val="20"/>
          <w:szCs w:val="20"/>
        </w:rPr>
      </w:pPr>
      <w:r w:rsidRPr="00BD7D33">
        <w:rPr>
          <w:rFonts w:ascii="Verdana" w:hAnsi="Verdana"/>
          <w:b/>
          <w:sz w:val="20"/>
          <w:szCs w:val="20"/>
        </w:rPr>
        <w:t xml:space="preserve">Abstract: </w:t>
      </w:r>
      <w:r w:rsidR="00EB5A6C" w:rsidRPr="00BD7D33">
        <w:rPr>
          <w:rFonts w:ascii="Verdana" w:hAnsi="Verdana"/>
          <w:sz w:val="20"/>
          <w:szCs w:val="20"/>
        </w:rPr>
        <w:t>The pandemic caused by the emergence of the 2019 novel coronavirus has wreaked unimaginable havoc on the social and healthcare structures. Worldwide, the public health and social protection systems have reported unprecedented demands, asking for efficient and split-second articulation with all public sectors. In this integrative documentary review, we used a mixed approach to describe the epidemiological behavior of the virus and discuss the legal-health framework developed at the regional and individual levels to protect older adults' wholesomeness in Central American countries, during the 2020-2021 biennium. Our results show that despite the geographic proximity, the pandemic affected each country differently. Notwithstanding the countries having a regional integration system that allowed them to take into account the health crisis from a regional stance, some countries chose to gainsay agreements that sought to reduce the impact of the pandemic in the region. Despite the shortcomings, Central America managed to keep case fatality rates below the average notified by first-world countries. The execution of transitory norms for the elderly strengthened the management of the ag</w:t>
      </w:r>
      <w:r w:rsidR="00203AB8" w:rsidRPr="00BD7D33">
        <w:rPr>
          <w:rFonts w:ascii="Verdana" w:hAnsi="Verdana"/>
          <w:sz w:val="20"/>
          <w:szCs w:val="20"/>
        </w:rPr>
        <w:t>ed</w:t>
      </w:r>
      <w:r w:rsidR="00EB5A6C" w:rsidRPr="00BD7D33">
        <w:rPr>
          <w:rFonts w:ascii="Verdana" w:hAnsi="Verdana"/>
          <w:sz w:val="20"/>
          <w:szCs w:val="20"/>
        </w:rPr>
        <w:t xml:space="preserve"> population in all countries, even during the health crisis, mainly through joint-negotiation channels.</w:t>
      </w:r>
      <w:r w:rsidR="006578EC" w:rsidRPr="00BD7D33">
        <w:rPr>
          <w:rFonts w:ascii="Verdana" w:hAnsi="Verdana"/>
          <w:sz w:val="20"/>
          <w:szCs w:val="20"/>
        </w:rPr>
        <w:t xml:space="preserve"> </w:t>
      </w:r>
      <w:r w:rsidR="00DD080D" w:rsidRPr="00BD7D33">
        <w:rPr>
          <w:rFonts w:ascii="Verdana" w:hAnsi="Verdana"/>
          <w:sz w:val="20"/>
          <w:szCs w:val="20"/>
        </w:rPr>
        <w:t xml:space="preserve"> </w:t>
      </w:r>
    </w:p>
    <w:p w14:paraId="60A38BCA" w14:textId="2B98C5F5" w:rsidR="005C4D87" w:rsidRPr="00BD66CE" w:rsidRDefault="005C4D87" w:rsidP="005D5056">
      <w:pPr>
        <w:pStyle w:val="MDPI17abstract"/>
        <w:ind w:left="0"/>
        <w:rPr>
          <w:rFonts w:ascii="Verdana" w:hAnsi="Verdana"/>
        </w:rPr>
      </w:pPr>
      <w:r w:rsidRPr="00BD7D33">
        <w:rPr>
          <w:rFonts w:ascii="Verdana" w:hAnsi="Verdana"/>
          <w:b/>
          <w:sz w:val="20"/>
          <w:szCs w:val="20"/>
        </w:rPr>
        <w:t xml:space="preserve">Keywords: </w:t>
      </w:r>
      <w:r w:rsidR="00EE3F5C" w:rsidRPr="00BD7D33">
        <w:rPr>
          <w:rFonts w:ascii="Verdana" w:hAnsi="Verdana"/>
          <w:sz w:val="20"/>
          <w:szCs w:val="20"/>
        </w:rPr>
        <w:t xml:space="preserve">public health; social gerontology; health law; coronavirus 2019; Latin America; </w:t>
      </w:r>
      <w:r w:rsidR="002E74F8" w:rsidRPr="00BD7D33">
        <w:rPr>
          <w:rFonts w:ascii="Verdana" w:hAnsi="Verdana"/>
          <w:sz w:val="20"/>
          <w:szCs w:val="20"/>
        </w:rPr>
        <w:t>health of older adults</w:t>
      </w:r>
      <w:r w:rsidR="00155B81" w:rsidRPr="00BD7D33">
        <w:rPr>
          <w:rFonts w:ascii="Verdana" w:hAnsi="Verdana"/>
          <w:sz w:val="20"/>
          <w:szCs w:val="20"/>
        </w:rPr>
        <w:t>; infectious diseases; critical epidemiology.</w:t>
      </w:r>
      <w:r w:rsidR="00155B81" w:rsidRPr="00BD66CE">
        <w:rPr>
          <w:rFonts w:ascii="Verdana" w:hAnsi="Verdana"/>
          <w:szCs w:val="18"/>
        </w:rPr>
        <w:t xml:space="preserve"> </w:t>
      </w:r>
      <w:r w:rsidR="00EE3F5C" w:rsidRPr="00BD66CE">
        <w:rPr>
          <w:rFonts w:ascii="Verdana" w:hAnsi="Verdana"/>
          <w:szCs w:val="18"/>
        </w:rPr>
        <w:t xml:space="preserve"> </w:t>
      </w:r>
    </w:p>
    <w:p w14:paraId="68E39C91" w14:textId="06099308" w:rsidR="0004249F" w:rsidRDefault="0004249F" w:rsidP="001C5420">
      <w:pPr>
        <w:pStyle w:val="MDPI21heading1"/>
        <w:ind w:left="0"/>
        <w:rPr>
          <w:lang w:eastAsia="zh-CN"/>
        </w:rPr>
      </w:pPr>
    </w:p>
    <w:p w14:paraId="385A3E52" w14:textId="2B33173E" w:rsidR="002F44E4" w:rsidRDefault="002F44E4" w:rsidP="001C5420">
      <w:pPr>
        <w:pStyle w:val="MDPI21heading1"/>
        <w:ind w:left="0"/>
        <w:rPr>
          <w:lang w:eastAsia="zh-CN"/>
        </w:rPr>
      </w:pPr>
    </w:p>
    <w:p w14:paraId="620F5F97" w14:textId="5466AB41" w:rsidR="002F44E4" w:rsidRDefault="002F44E4" w:rsidP="001C5420">
      <w:pPr>
        <w:pStyle w:val="MDPI21heading1"/>
        <w:ind w:left="0"/>
        <w:rPr>
          <w:lang w:eastAsia="zh-CN"/>
        </w:rPr>
      </w:pPr>
    </w:p>
    <w:p w14:paraId="01C4CF1C" w14:textId="22D1AF45" w:rsidR="002F44E4" w:rsidRDefault="002F44E4" w:rsidP="001C5420">
      <w:pPr>
        <w:pStyle w:val="MDPI21heading1"/>
        <w:ind w:left="0"/>
        <w:rPr>
          <w:lang w:eastAsia="zh-CN"/>
        </w:rPr>
      </w:pPr>
    </w:p>
    <w:p w14:paraId="613DACD3" w14:textId="5A1F0CBA" w:rsidR="002F44E4" w:rsidRDefault="002F44E4" w:rsidP="001C5420">
      <w:pPr>
        <w:pStyle w:val="MDPI21heading1"/>
        <w:ind w:left="0"/>
        <w:rPr>
          <w:lang w:eastAsia="zh-CN"/>
        </w:rPr>
      </w:pPr>
    </w:p>
    <w:p w14:paraId="74381B07" w14:textId="3EA62709" w:rsidR="002F44E4" w:rsidRDefault="002F44E4" w:rsidP="001C5420">
      <w:pPr>
        <w:pStyle w:val="MDPI21heading1"/>
        <w:ind w:left="0"/>
        <w:rPr>
          <w:lang w:eastAsia="zh-CN"/>
        </w:rPr>
      </w:pPr>
    </w:p>
    <w:p w14:paraId="07346442" w14:textId="038C3415" w:rsidR="002F44E4" w:rsidRDefault="002F44E4" w:rsidP="001C5420">
      <w:pPr>
        <w:pStyle w:val="MDPI21heading1"/>
        <w:ind w:left="0"/>
        <w:rPr>
          <w:lang w:eastAsia="zh-CN"/>
        </w:rPr>
      </w:pPr>
    </w:p>
    <w:p w14:paraId="34B6BDDB" w14:textId="53ACC65D" w:rsidR="002F44E4" w:rsidRDefault="002F44E4" w:rsidP="001C5420">
      <w:pPr>
        <w:pStyle w:val="MDPI21heading1"/>
        <w:ind w:left="0"/>
        <w:rPr>
          <w:lang w:eastAsia="zh-CN"/>
        </w:rPr>
      </w:pPr>
    </w:p>
    <w:p w14:paraId="2642ADE3" w14:textId="18456422" w:rsidR="002F44E4" w:rsidRDefault="002F44E4" w:rsidP="001C5420">
      <w:pPr>
        <w:pStyle w:val="MDPI21heading1"/>
        <w:ind w:left="0"/>
        <w:rPr>
          <w:lang w:eastAsia="zh-CN"/>
        </w:rPr>
      </w:pPr>
    </w:p>
    <w:p w14:paraId="391F2167" w14:textId="6C1D5141" w:rsidR="002F44E4" w:rsidRDefault="002F44E4" w:rsidP="001C5420">
      <w:pPr>
        <w:pStyle w:val="MDPI21heading1"/>
        <w:ind w:left="0"/>
        <w:rPr>
          <w:lang w:eastAsia="zh-CN"/>
        </w:rPr>
      </w:pPr>
    </w:p>
    <w:p w14:paraId="3BC31B62" w14:textId="77777777" w:rsidR="002F44E4" w:rsidRDefault="002F44E4" w:rsidP="001C5420">
      <w:pPr>
        <w:pStyle w:val="MDPI21heading1"/>
        <w:ind w:left="0"/>
        <w:rPr>
          <w:lang w:eastAsia="zh-CN"/>
        </w:rPr>
      </w:pPr>
    </w:p>
    <w:p w14:paraId="3471D618" w14:textId="68D5B091" w:rsidR="005C4D87" w:rsidRPr="00BD66CE" w:rsidRDefault="005C4D87" w:rsidP="001C5420">
      <w:pPr>
        <w:pStyle w:val="MDPI21heading1"/>
        <w:ind w:left="0"/>
        <w:rPr>
          <w:rFonts w:ascii="Verdana" w:hAnsi="Verdana"/>
          <w:lang w:eastAsia="zh-CN"/>
        </w:rPr>
      </w:pPr>
      <w:r w:rsidRPr="007F2582">
        <w:rPr>
          <w:lang w:eastAsia="zh-CN"/>
        </w:rPr>
        <w:lastRenderedPageBreak/>
        <w:t xml:space="preserve">1. </w:t>
      </w:r>
      <w:r w:rsidRPr="00BD66CE">
        <w:rPr>
          <w:rFonts w:ascii="Verdana" w:hAnsi="Verdana"/>
          <w:lang w:eastAsia="zh-CN"/>
        </w:rPr>
        <w:t>Introduction</w:t>
      </w:r>
    </w:p>
    <w:p w14:paraId="0E2F2852" w14:textId="2CF9105A" w:rsidR="00330E53" w:rsidRPr="00BD66CE" w:rsidRDefault="00AB19E8" w:rsidP="001C5420">
      <w:pPr>
        <w:pStyle w:val="MDPI21heading1"/>
        <w:ind w:left="0" w:firstLine="510"/>
        <w:jc w:val="both"/>
        <w:rPr>
          <w:rFonts w:ascii="Verdana" w:hAnsi="Verdana"/>
          <w:b w:val="0"/>
        </w:rPr>
      </w:pPr>
      <w:r w:rsidRPr="00BD66CE">
        <w:rPr>
          <w:rFonts w:ascii="Verdana" w:hAnsi="Verdana"/>
          <w:b w:val="0"/>
        </w:rPr>
        <w:t xml:space="preserve">The </w:t>
      </w:r>
      <w:r w:rsidR="008A781B" w:rsidRPr="00BD66CE">
        <w:rPr>
          <w:rFonts w:ascii="Verdana" w:hAnsi="Verdana"/>
          <w:b w:val="0"/>
        </w:rPr>
        <w:t xml:space="preserve">beginning of the new decade </w:t>
      </w:r>
      <w:r w:rsidRPr="00BD66CE">
        <w:rPr>
          <w:rFonts w:ascii="Verdana" w:hAnsi="Verdana"/>
          <w:b w:val="0"/>
        </w:rPr>
        <w:t xml:space="preserve">marked an unprecedented epoch for </w:t>
      </w:r>
      <w:r w:rsidR="0041458A" w:rsidRPr="00BD66CE">
        <w:rPr>
          <w:rFonts w:ascii="Verdana" w:hAnsi="Verdana"/>
          <w:b w:val="0"/>
        </w:rPr>
        <w:t>humanity</w:t>
      </w:r>
      <w:r w:rsidRPr="00BD66CE">
        <w:rPr>
          <w:rFonts w:ascii="Verdana" w:hAnsi="Verdana"/>
          <w:b w:val="0"/>
        </w:rPr>
        <w:t xml:space="preserve"> in terms of addressing i</w:t>
      </w:r>
      <w:r w:rsidR="0044249C" w:rsidRPr="00BD66CE">
        <w:rPr>
          <w:rFonts w:ascii="Verdana" w:hAnsi="Verdana"/>
          <w:b w:val="0"/>
        </w:rPr>
        <w:t>n</w:t>
      </w:r>
      <w:r w:rsidRPr="00BD66CE">
        <w:rPr>
          <w:rFonts w:ascii="Verdana" w:hAnsi="Verdana"/>
          <w:b w:val="0"/>
        </w:rPr>
        <w:t>fectious diseases of international concern.</w:t>
      </w:r>
      <w:r w:rsidR="00330E53" w:rsidRPr="00BD66CE">
        <w:rPr>
          <w:rFonts w:ascii="Verdana" w:hAnsi="Verdana"/>
          <w:b w:val="0"/>
        </w:rPr>
        <w:t xml:space="preserve"> </w:t>
      </w:r>
      <w:r w:rsidR="008510AC" w:rsidRPr="00BD66CE">
        <w:rPr>
          <w:rFonts w:ascii="Verdana" w:hAnsi="Verdana"/>
          <w:b w:val="0"/>
        </w:rPr>
        <w:t>Resulting from the</w:t>
      </w:r>
      <w:r w:rsidR="00330E53" w:rsidRPr="00BD66CE">
        <w:rPr>
          <w:rFonts w:ascii="Verdana" w:hAnsi="Verdana"/>
          <w:b w:val="0"/>
        </w:rPr>
        <w:t xml:space="preserve"> notification of the first case of infection </w:t>
      </w:r>
      <w:r w:rsidR="00D2420C" w:rsidRPr="00BD66CE">
        <w:rPr>
          <w:rFonts w:ascii="Verdana" w:hAnsi="Verdana"/>
          <w:b w:val="0"/>
        </w:rPr>
        <w:t xml:space="preserve">by Severe Acute Respiratory Syndrome Coronavirus-2 (SARS-CoV-2) </w:t>
      </w:r>
      <w:r w:rsidR="00330E53" w:rsidRPr="00BD66CE">
        <w:rPr>
          <w:rFonts w:ascii="Verdana" w:hAnsi="Verdana"/>
          <w:b w:val="0"/>
        </w:rPr>
        <w:t>in Wuhan, China, all international, regional</w:t>
      </w:r>
      <w:r w:rsidR="00604647" w:rsidRPr="00BD66CE">
        <w:rPr>
          <w:rFonts w:ascii="Verdana" w:hAnsi="Verdana"/>
          <w:b w:val="0"/>
        </w:rPr>
        <w:t>,</w:t>
      </w:r>
      <w:r w:rsidR="00330E53" w:rsidRPr="00BD66CE">
        <w:rPr>
          <w:rFonts w:ascii="Verdana" w:hAnsi="Verdana"/>
          <w:b w:val="0"/>
        </w:rPr>
        <w:t xml:space="preserve"> and local health organizations were faced with the difficult task of managing public health systems at an accelerated pace and with a demand for care that was compromised by the already </w:t>
      </w:r>
      <w:r w:rsidR="00191EC6" w:rsidRPr="00BD66CE">
        <w:rPr>
          <w:rFonts w:ascii="Verdana" w:hAnsi="Verdana"/>
          <w:b w:val="0"/>
        </w:rPr>
        <w:t>existing</w:t>
      </w:r>
      <w:r w:rsidR="00330E53" w:rsidRPr="00BD66CE">
        <w:rPr>
          <w:rFonts w:ascii="Verdana" w:hAnsi="Verdana"/>
          <w:b w:val="0"/>
        </w:rPr>
        <w:t xml:space="preserve"> weaknesses of public healthcare systems</w:t>
      </w:r>
      <w:r w:rsidR="00D2420C" w:rsidRPr="00BD66CE">
        <w:rPr>
          <w:rFonts w:ascii="Verdana" w:hAnsi="Verdana"/>
          <w:b w:val="0"/>
        </w:rPr>
        <w:t xml:space="preserve"> [1].</w:t>
      </w:r>
      <w:r w:rsidR="006E1265" w:rsidRPr="00BD66CE">
        <w:rPr>
          <w:rFonts w:ascii="Verdana" w:hAnsi="Verdana"/>
          <w:b w:val="0"/>
        </w:rPr>
        <w:t xml:space="preserve"> Scientists around the </w:t>
      </w:r>
      <w:r w:rsidR="000758E1" w:rsidRPr="00BD66CE">
        <w:rPr>
          <w:rFonts w:ascii="Verdana" w:hAnsi="Verdana"/>
          <w:b w:val="0"/>
        </w:rPr>
        <w:t>globe</w:t>
      </w:r>
      <w:r w:rsidR="006E1265" w:rsidRPr="00BD66CE">
        <w:rPr>
          <w:rFonts w:ascii="Verdana" w:hAnsi="Verdana"/>
          <w:b w:val="0"/>
        </w:rPr>
        <w:t xml:space="preserve"> worked collaboratively, sharing the most concise and </w:t>
      </w:r>
      <w:r w:rsidR="00811743" w:rsidRPr="00BD66CE">
        <w:rPr>
          <w:rFonts w:ascii="Verdana" w:hAnsi="Verdana"/>
          <w:b w:val="0"/>
        </w:rPr>
        <w:t>up-to-date</w:t>
      </w:r>
      <w:r w:rsidR="006E1265" w:rsidRPr="00BD66CE">
        <w:rPr>
          <w:rFonts w:ascii="Verdana" w:hAnsi="Verdana"/>
          <w:b w:val="0"/>
        </w:rPr>
        <w:t xml:space="preserve"> results that allowed </w:t>
      </w:r>
      <w:r w:rsidR="00604647" w:rsidRPr="00BD66CE">
        <w:rPr>
          <w:rFonts w:ascii="Verdana" w:hAnsi="Verdana"/>
          <w:b w:val="0"/>
        </w:rPr>
        <w:t xml:space="preserve">us </w:t>
      </w:r>
      <w:r w:rsidR="006E1265" w:rsidRPr="00BD66CE">
        <w:rPr>
          <w:rFonts w:ascii="Verdana" w:hAnsi="Verdana"/>
          <w:b w:val="0"/>
        </w:rPr>
        <w:t>to quickly understand that SARS-CoV-2 would be the etiological agent for the emergence of the New Coronavirus Disease 2019 (COVID-19)</w:t>
      </w:r>
      <w:r w:rsidR="00B01EEE" w:rsidRPr="00BD66CE">
        <w:rPr>
          <w:rFonts w:ascii="Verdana" w:hAnsi="Verdana"/>
          <w:b w:val="0"/>
        </w:rPr>
        <w:t xml:space="preserve"> [2]</w:t>
      </w:r>
      <w:r w:rsidR="00BC63D9" w:rsidRPr="00BD66CE">
        <w:rPr>
          <w:rFonts w:ascii="Verdana" w:hAnsi="Verdana"/>
          <w:b w:val="0"/>
        </w:rPr>
        <w:t xml:space="preserve">. </w:t>
      </w:r>
    </w:p>
    <w:p w14:paraId="33F21B11" w14:textId="43FE2589" w:rsidR="000758E1" w:rsidRPr="00BD66CE" w:rsidRDefault="00372FB4" w:rsidP="001C5420">
      <w:pPr>
        <w:pStyle w:val="MDPI21heading1"/>
        <w:ind w:left="0" w:firstLine="510"/>
        <w:jc w:val="both"/>
        <w:rPr>
          <w:rFonts w:ascii="Verdana" w:hAnsi="Verdana"/>
          <w:b w:val="0"/>
        </w:rPr>
      </w:pPr>
      <w:r w:rsidRPr="00BD66CE">
        <w:rPr>
          <w:rFonts w:ascii="Verdana" w:hAnsi="Verdana"/>
          <w:b w:val="0"/>
        </w:rPr>
        <w:t>Under</w:t>
      </w:r>
      <w:r w:rsidR="007415A6" w:rsidRPr="00BD66CE">
        <w:rPr>
          <w:rFonts w:ascii="Verdana" w:hAnsi="Verdana"/>
          <w:b w:val="0"/>
        </w:rPr>
        <w:t xml:space="preserve"> no</w:t>
      </w:r>
      <w:r w:rsidR="006913E7" w:rsidRPr="00BD66CE">
        <w:rPr>
          <w:rFonts w:ascii="Verdana" w:hAnsi="Verdana"/>
          <w:b w:val="0"/>
        </w:rPr>
        <w:t xml:space="preserve"> </w:t>
      </w:r>
      <w:r w:rsidR="00A80978" w:rsidRPr="00BD66CE">
        <w:rPr>
          <w:rFonts w:ascii="Verdana" w:hAnsi="Verdana"/>
          <w:b w:val="0"/>
        </w:rPr>
        <w:t xml:space="preserve">delay, the World Health Organization -in its </w:t>
      </w:r>
      <w:r w:rsidR="006E1265" w:rsidRPr="00BD66CE">
        <w:rPr>
          <w:rFonts w:ascii="Verdana" w:hAnsi="Verdana"/>
          <w:b w:val="0"/>
        </w:rPr>
        <w:t>authority</w:t>
      </w:r>
      <w:r w:rsidR="00A80978" w:rsidRPr="00BD66CE">
        <w:rPr>
          <w:rFonts w:ascii="Verdana" w:hAnsi="Verdana"/>
          <w:b w:val="0"/>
        </w:rPr>
        <w:t xml:space="preserve"> as the governing body of international health- promoted the virtual meeting of health experts from all continents to draw up the first strategic plans for the containment and mitigation of the virus. This immediate action triggered the need to activate one of the highest international health alert mechanisms, i.e., on March 11, 2020, the state of international health calamity was </w:t>
      </w:r>
      <w:r w:rsidR="00045F44" w:rsidRPr="00BD66CE">
        <w:rPr>
          <w:rFonts w:ascii="Verdana" w:hAnsi="Verdana"/>
          <w:b w:val="0"/>
        </w:rPr>
        <w:t>decreed</w:t>
      </w:r>
      <w:r w:rsidR="00A80978" w:rsidRPr="00BD66CE">
        <w:rPr>
          <w:rFonts w:ascii="Verdana" w:hAnsi="Verdana"/>
          <w:b w:val="0"/>
        </w:rPr>
        <w:t>, and COVID-19 acquired the status of a pandemic</w:t>
      </w:r>
      <w:r w:rsidR="00BC25D2" w:rsidRPr="00BD66CE">
        <w:rPr>
          <w:rFonts w:ascii="Verdana" w:hAnsi="Verdana"/>
          <w:b w:val="0"/>
        </w:rPr>
        <w:t xml:space="preserve"> [2].</w:t>
      </w:r>
      <w:r w:rsidR="001B4974" w:rsidRPr="00BD66CE">
        <w:rPr>
          <w:rFonts w:ascii="Verdana" w:hAnsi="Verdana"/>
          <w:b w:val="0"/>
        </w:rPr>
        <w:t xml:space="preserve"> </w:t>
      </w:r>
    </w:p>
    <w:p w14:paraId="2798555B" w14:textId="37C85400" w:rsidR="005415BC" w:rsidRPr="00BD66CE" w:rsidRDefault="00191EC6" w:rsidP="001C5420">
      <w:pPr>
        <w:pStyle w:val="MDPI21heading1"/>
        <w:ind w:left="0" w:firstLine="510"/>
        <w:jc w:val="both"/>
        <w:rPr>
          <w:rFonts w:ascii="Verdana" w:hAnsi="Verdana"/>
          <w:b w:val="0"/>
        </w:rPr>
      </w:pPr>
      <w:r w:rsidRPr="00BD66CE">
        <w:rPr>
          <w:rFonts w:ascii="Verdana" w:hAnsi="Verdana"/>
          <w:b w:val="0"/>
        </w:rPr>
        <w:t>From that onset, a</w:t>
      </w:r>
      <w:r w:rsidR="00097572" w:rsidRPr="00BD66CE">
        <w:rPr>
          <w:rFonts w:ascii="Verdana" w:hAnsi="Verdana"/>
          <w:b w:val="0"/>
        </w:rPr>
        <w:t xml:space="preserve"> list of circumstances</w:t>
      </w:r>
      <w:r w:rsidR="00045F44" w:rsidRPr="00BD66CE">
        <w:rPr>
          <w:rFonts w:ascii="Verdana" w:hAnsi="Verdana"/>
          <w:b w:val="0"/>
        </w:rPr>
        <w:t xml:space="preserve"> attracted the </w:t>
      </w:r>
      <w:r w:rsidR="000758E1" w:rsidRPr="00BD66CE">
        <w:rPr>
          <w:rFonts w:ascii="Verdana" w:hAnsi="Verdana"/>
          <w:b w:val="0"/>
        </w:rPr>
        <w:t>concern</w:t>
      </w:r>
      <w:r w:rsidR="00045F44" w:rsidRPr="00BD66CE">
        <w:rPr>
          <w:rFonts w:ascii="Verdana" w:hAnsi="Verdana"/>
          <w:b w:val="0"/>
        </w:rPr>
        <w:t xml:space="preserve"> of </w:t>
      </w:r>
      <w:r w:rsidR="001B4974" w:rsidRPr="00BD66CE">
        <w:rPr>
          <w:rFonts w:ascii="Verdana" w:hAnsi="Verdana"/>
          <w:b w:val="0"/>
        </w:rPr>
        <w:t xml:space="preserve">public health practitioners, </w:t>
      </w:r>
      <w:r w:rsidR="00045F44" w:rsidRPr="00BD66CE">
        <w:rPr>
          <w:rFonts w:ascii="Verdana" w:hAnsi="Verdana"/>
          <w:b w:val="0"/>
        </w:rPr>
        <w:t>gerontologists</w:t>
      </w:r>
      <w:r w:rsidR="001B4974" w:rsidRPr="00BD66CE">
        <w:rPr>
          <w:rFonts w:ascii="Verdana" w:hAnsi="Verdana"/>
          <w:b w:val="0"/>
        </w:rPr>
        <w:t>,</w:t>
      </w:r>
      <w:r w:rsidR="00045F44" w:rsidRPr="00BD66CE">
        <w:rPr>
          <w:rFonts w:ascii="Verdana" w:hAnsi="Verdana"/>
          <w:b w:val="0"/>
        </w:rPr>
        <w:t xml:space="preserve"> and geriatricians during the first months of the international health crisis. On the one hand, SARS-CoV-2 was shown to be a virus with rapid transmissibility, affecting all age groups; however, the first epidemiological readings in all countries of the world explained higher mortality rates in older adults, mainly related to the frail health profile that characterizes the elderly</w:t>
      </w:r>
      <w:r w:rsidR="00217D82" w:rsidRPr="00BD66CE">
        <w:rPr>
          <w:rFonts w:ascii="Verdana" w:hAnsi="Verdana"/>
          <w:b w:val="0"/>
        </w:rPr>
        <w:t xml:space="preserve"> bearing comorbidities</w:t>
      </w:r>
      <w:r w:rsidR="00045F44" w:rsidRPr="00BD66CE">
        <w:rPr>
          <w:rFonts w:ascii="Verdana" w:hAnsi="Verdana"/>
          <w:b w:val="0"/>
        </w:rPr>
        <w:t>, which was even more significant amongst the oldest elderly people</w:t>
      </w:r>
      <w:r w:rsidR="00097572" w:rsidRPr="00BD66CE">
        <w:rPr>
          <w:rFonts w:ascii="Verdana" w:hAnsi="Verdana"/>
          <w:b w:val="0"/>
        </w:rPr>
        <w:t xml:space="preserve"> [3]</w:t>
      </w:r>
      <w:r w:rsidR="00045F44" w:rsidRPr="00BD66CE">
        <w:rPr>
          <w:rFonts w:ascii="Verdana" w:hAnsi="Verdana"/>
          <w:b w:val="0"/>
        </w:rPr>
        <w:t xml:space="preserve">. </w:t>
      </w:r>
      <w:r w:rsidR="004A3921" w:rsidRPr="00BD66CE">
        <w:rPr>
          <w:rFonts w:ascii="Verdana" w:hAnsi="Verdana"/>
          <w:b w:val="0"/>
        </w:rPr>
        <w:t>Furthermore</w:t>
      </w:r>
      <w:r w:rsidR="0054767C" w:rsidRPr="00BD66CE">
        <w:rPr>
          <w:rFonts w:ascii="Verdana" w:hAnsi="Verdana"/>
          <w:b w:val="0"/>
        </w:rPr>
        <w:t>, concerns arose among scholars</w:t>
      </w:r>
      <w:r w:rsidR="00097572" w:rsidRPr="00BD66CE">
        <w:rPr>
          <w:rFonts w:ascii="Verdana" w:hAnsi="Verdana"/>
          <w:b w:val="0"/>
        </w:rPr>
        <w:t xml:space="preserve"> </w:t>
      </w:r>
      <w:r w:rsidR="00372FB4" w:rsidRPr="00BD66CE">
        <w:rPr>
          <w:rFonts w:ascii="Verdana" w:hAnsi="Verdana"/>
          <w:b w:val="0"/>
        </w:rPr>
        <w:t>since</w:t>
      </w:r>
      <w:r w:rsidR="0054767C" w:rsidRPr="00BD66CE">
        <w:rPr>
          <w:rFonts w:ascii="Verdana" w:hAnsi="Verdana"/>
          <w:b w:val="0"/>
        </w:rPr>
        <w:t xml:space="preserve"> elderly populations tend to experience greater socioeconomic disadvantages</w:t>
      </w:r>
      <w:r w:rsidR="00B50CC0" w:rsidRPr="00BD66CE">
        <w:rPr>
          <w:rFonts w:ascii="Verdana" w:hAnsi="Verdana"/>
          <w:b w:val="0"/>
        </w:rPr>
        <w:t xml:space="preserve"> [4].</w:t>
      </w:r>
      <w:r w:rsidR="0054767C" w:rsidRPr="00BD66CE">
        <w:rPr>
          <w:rFonts w:ascii="Verdana" w:hAnsi="Verdana"/>
          <w:b w:val="0"/>
        </w:rPr>
        <w:t xml:space="preserve"> Thus, the COVID-19 pandemic positioned </w:t>
      </w:r>
      <w:r w:rsidR="00C814EF" w:rsidRPr="00BD66CE">
        <w:rPr>
          <w:rFonts w:ascii="Verdana" w:hAnsi="Verdana"/>
          <w:b w:val="0"/>
        </w:rPr>
        <w:t xml:space="preserve">itself </w:t>
      </w:r>
      <w:r w:rsidR="0054767C" w:rsidRPr="00BD66CE">
        <w:rPr>
          <w:rFonts w:ascii="Verdana" w:hAnsi="Verdana"/>
          <w:b w:val="0"/>
        </w:rPr>
        <w:t xml:space="preserve">as a challenge not only in terms of health, but also involved, from any point of view, </w:t>
      </w:r>
      <w:r w:rsidR="00372FB4" w:rsidRPr="00BD66CE">
        <w:rPr>
          <w:rFonts w:ascii="Verdana" w:hAnsi="Verdana"/>
          <w:b w:val="0"/>
        </w:rPr>
        <w:t>several</w:t>
      </w:r>
      <w:r w:rsidR="0054767C" w:rsidRPr="00BD66CE">
        <w:rPr>
          <w:rFonts w:ascii="Verdana" w:hAnsi="Verdana"/>
          <w:b w:val="0"/>
        </w:rPr>
        <w:t xml:space="preserve"> multidimensional aspects to be addressed by the </w:t>
      </w:r>
      <w:r w:rsidR="00811743" w:rsidRPr="00BD66CE">
        <w:rPr>
          <w:rFonts w:ascii="Verdana" w:hAnsi="Verdana"/>
          <w:b w:val="0"/>
        </w:rPr>
        <w:t>S</w:t>
      </w:r>
      <w:r w:rsidR="0054767C" w:rsidRPr="00BD66CE">
        <w:rPr>
          <w:rFonts w:ascii="Verdana" w:hAnsi="Verdana"/>
          <w:b w:val="0"/>
        </w:rPr>
        <w:t>tates</w:t>
      </w:r>
      <w:r w:rsidR="00217D82" w:rsidRPr="00BD66CE">
        <w:rPr>
          <w:rFonts w:ascii="Verdana" w:hAnsi="Verdana"/>
          <w:b w:val="0"/>
        </w:rPr>
        <w:t xml:space="preserve"> in the swiftest possible way.</w:t>
      </w:r>
      <w:r w:rsidR="00C1024E" w:rsidRPr="00BD66CE">
        <w:rPr>
          <w:rFonts w:ascii="Verdana" w:hAnsi="Verdana"/>
          <w:b w:val="0"/>
        </w:rPr>
        <w:t xml:space="preserve"> </w:t>
      </w:r>
    </w:p>
    <w:p w14:paraId="566091B5" w14:textId="713F815C" w:rsidR="00AD7DA3" w:rsidRPr="00BD66CE" w:rsidRDefault="004E5762" w:rsidP="001C5420">
      <w:pPr>
        <w:pStyle w:val="MDPI21heading1"/>
        <w:ind w:left="0" w:firstLine="510"/>
        <w:jc w:val="both"/>
        <w:rPr>
          <w:rFonts w:ascii="Verdana" w:hAnsi="Verdana"/>
          <w:b w:val="0"/>
          <w:bCs/>
        </w:rPr>
      </w:pPr>
      <w:r w:rsidRPr="00BD66CE">
        <w:rPr>
          <w:rFonts w:ascii="Verdana" w:hAnsi="Verdana"/>
          <w:b w:val="0"/>
          <w:bCs/>
        </w:rPr>
        <w:t xml:space="preserve">Despite the rapid roll-out of epidemiological surveillance programs and the current availability of preventive vaccines, which have demonstrated a high </w:t>
      </w:r>
      <w:r w:rsidR="000E2B15" w:rsidRPr="00BD66CE">
        <w:rPr>
          <w:rFonts w:ascii="Verdana" w:hAnsi="Verdana"/>
          <w:b w:val="0"/>
          <w:bCs/>
        </w:rPr>
        <w:t>power</w:t>
      </w:r>
      <w:r w:rsidRPr="00BD66CE">
        <w:rPr>
          <w:rFonts w:ascii="Verdana" w:hAnsi="Verdana"/>
          <w:b w:val="0"/>
          <w:bCs/>
        </w:rPr>
        <w:t xml:space="preserve"> to restrict infection, it is still possible to observe peaks of virus transmission among Latin American countries. Such a scenario becomes relevant because the Latin American region is one of the most socially unequal regions in the world [5</w:t>
      </w:r>
      <w:r w:rsidR="00714078" w:rsidRPr="00BD66CE">
        <w:rPr>
          <w:rFonts w:ascii="Verdana" w:hAnsi="Verdana"/>
          <w:b w:val="0"/>
          <w:bCs/>
        </w:rPr>
        <w:t>,6</w:t>
      </w:r>
      <w:r w:rsidRPr="00BD66CE">
        <w:rPr>
          <w:rFonts w:ascii="Verdana" w:hAnsi="Verdana"/>
          <w:b w:val="0"/>
          <w:bCs/>
        </w:rPr>
        <w:t>]. </w:t>
      </w:r>
      <w:r w:rsidR="00AD7DA3" w:rsidRPr="00BD66CE">
        <w:rPr>
          <w:rFonts w:ascii="Verdana" w:hAnsi="Verdana"/>
          <w:b w:val="0"/>
          <w:bCs/>
        </w:rPr>
        <w:t>Therefore</w:t>
      </w:r>
      <w:r w:rsidRPr="00BD66CE">
        <w:rPr>
          <w:rFonts w:ascii="Verdana" w:hAnsi="Verdana"/>
          <w:b w:val="0"/>
          <w:bCs/>
        </w:rPr>
        <w:t>, in addition to being a structural problem that mainly affects the availability of financial resources and access to goods and services, social inequity is held responsible for causing disparities in access to and quality of health services in the region, having a</w:t>
      </w:r>
      <w:r w:rsidR="004F03C9" w:rsidRPr="00BD66CE">
        <w:rPr>
          <w:rFonts w:ascii="Verdana" w:hAnsi="Verdana"/>
          <w:b w:val="0"/>
          <w:bCs/>
        </w:rPr>
        <w:t xml:space="preserve">n overwhelming </w:t>
      </w:r>
      <w:r w:rsidRPr="00BD66CE">
        <w:rPr>
          <w:rFonts w:ascii="Verdana" w:hAnsi="Verdana"/>
          <w:b w:val="0"/>
          <w:bCs/>
        </w:rPr>
        <w:t>impact on the elderly population</w:t>
      </w:r>
      <w:r w:rsidR="00EF1611" w:rsidRPr="00BD66CE">
        <w:rPr>
          <w:rFonts w:ascii="Verdana" w:hAnsi="Verdana"/>
          <w:b w:val="0"/>
          <w:bCs/>
        </w:rPr>
        <w:t xml:space="preserve"> [</w:t>
      </w:r>
      <w:r w:rsidR="00714078" w:rsidRPr="00BD66CE">
        <w:rPr>
          <w:rFonts w:ascii="Verdana" w:hAnsi="Verdana"/>
          <w:b w:val="0"/>
          <w:bCs/>
        </w:rPr>
        <w:t>7</w:t>
      </w:r>
      <w:r w:rsidR="00A452CE" w:rsidRPr="00BD66CE">
        <w:rPr>
          <w:rFonts w:ascii="Verdana" w:hAnsi="Verdana"/>
          <w:b w:val="0"/>
          <w:bCs/>
        </w:rPr>
        <w:t>,8</w:t>
      </w:r>
      <w:r w:rsidR="00EF1611" w:rsidRPr="00BD66CE">
        <w:rPr>
          <w:rFonts w:ascii="Verdana" w:hAnsi="Verdana"/>
          <w:b w:val="0"/>
          <w:bCs/>
        </w:rPr>
        <w:t>].</w:t>
      </w:r>
      <w:r w:rsidR="0057269E" w:rsidRPr="00BD66CE">
        <w:rPr>
          <w:rFonts w:ascii="Verdana" w:hAnsi="Verdana"/>
          <w:b w:val="0"/>
          <w:bCs/>
        </w:rPr>
        <w:t xml:space="preserve"> </w:t>
      </w:r>
      <w:r w:rsidR="008F0F7B" w:rsidRPr="00BD66CE">
        <w:rPr>
          <w:rFonts w:ascii="Verdana" w:hAnsi="Verdana"/>
          <w:b w:val="0"/>
          <w:bCs/>
        </w:rPr>
        <w:t xml:space="preserve"> </w:t>
      </w:r>
    </w:p>
    <w:p w14:paraId="416CFF2E" w14:textId="21F6B901" w:rsidR="00C15EA2" w:rsidRPr="00BD66CE" w:rsidRDefault="008510AC" w:rsidP="001C5420">
      <w:pPr>
        <w:pStyle w:val="MDPI21heading1"/>
        <w:ind w:left="0" w:firstLine="510"/>
        <w:jc w:val="both"/>
        <w:rPr>
          <w:rFonts w:ascii="Verdana" w:hAnsi="Verdana"/>
          <w:b w:val="0"/>
        </w:rPr>
      </w:pPr>
      <w:r w:rsidRPr="00BD66CE">
        <w:rPr>
          <w:rFonts w:ascii="Verdana" w:hAnsi="Verdana"/>
          <w:b w:val="0"/>
        </w:rPr>
        <w:t>From the above, t</w:t>
      </w:r>
      <w:r w:rsidR="002C7B47" w:rsidRPr="00BD66CE">
        <w:rPr>
          <w:rFonts w:ascii="Verdana" w:hAnsi="Verdana"/>
          <w:b w:val="0"/>
        </w:rPr>
        <w:t xml:space="preserve">he reading of the COVID-19 pandemic not only refers to the tragic number of </w:t>
      </w:r>
      <w:r w:rsidR="00EF1611" w:rsidRPr="00BD66CE">
        <w:rPr>
          <w:rFonts w:ascii="Verdana" w:hAnsi="Verdana"/>
          <w:b w:val="0"/>
        </w:rPr>
        <w:t>passings</w:t>
      </w:r>
      <w:r w:rsidR="002C7B47" w:rsidRPr="00BD66CE">
        <w:rPr>
          <w:rFonts w:ascii="Verdana" w:hAnsi="Verdana"/>
          <w:b w:val="0"/>
        </w:rPr>
        <w:t xml:space="preserve"> but also invites us to analyze the legal and health protection mechanisms established by countries, specifically when considering their social responsibilities toward the aging population</w:t>
      </w:r>
      <w:r w:rsidR="00EF61D7" w:rsidRPr="00BD66CE">
        <w:rPr>
          <w:rFonts w:ascii="Verdana" w:hAnsi="Verdana"/>
          <w:b w:val="0"/>
        </w:rPr>
        <w:t xml:space="preserve"> [9]</w:t>
      </w:r>
      <w:r w:rsidR="002C7B47" w:rsidRPr="00BD66CE">
        <w:rPr>
          <w:rFonts w:ascii="Verdana" w:hAnsi="Verdana"/>
          <w:b w:val="0"/>
        </w:rPr>
        <w:t xml:space="preserve">. </w:t>
      </w:r>
      <w:r w:rsidR="00BD4595" w:rsidRPr="00BD66CE">
        <w:rPr>
          <w:rFonts w:ascii="Verdana" w:hAnsi="Verdana"/>
          <w:b w:val="0"/>
        </w:rPr>
        <w:t xml:space="preserve">As was to be expected, some </w:t>
      </w:r>
      <w:r w:rsidR="00AD7DA3" w:rsidRPr="00BD66CE">
        <w:rPr>
          <w:rFonts w:ascii="Verdana" w:hAnsi="Verdana"/>
          <w:b w:val="0"/>
        </w:rPr>
        <w:t xml:space="preserve">Latin American </w:t>
      </w:r>
      <w:r w:rsidR="00BD4595" w:rsidRPr="00BD66CE">
        <w:rPr>
          <w:rFonts w:ascii="Verdana" w:hAnsi="Verdana"/>
          <w:b w:val="0"/>
        </w:rPr>
        <w:t xml:space="preserve">nations were less able to </w:t>
      </w:r>
      <w:r w:rsidR="00207EF5" w:rsidRPr="00BD66CE">
        <w:rPr>
          <w:rFonts w:ascii="Verdana" w:hAnsi="Verdana"/>
          <w:b w:val="0"/>
        </w:rPr>
        <w:t>tackle</w:t>
      </w:r>
      <w:r w:rsidR="00BD4595" w:rsidRPr="00BD66CE">
        <w:rPr>
          <w:rFonts w:ascii="Verdana" w:hAnsi="Verdana"/>
          <w:b w:val="0"/>
        </w:rPr>
        <w:t xml:space="preserve"> these matters as the implications </w:t>
      </w:r>
      <w:r w:rsidR="00DE4A51" w:rsidRPr="00BD66CE">
        <w:rPr>
          <w:rFonts w:ascii="Verdana" w:hAnsi="Verdana"/>
          <w:b w:val="0"/>
        </w:rPr>
        <w:t>spread</w:t>
      </w:r>
      <w:r w:rsidR="00BD4595" w:rsidRPr="00BD66CE">
        <w:rPr>
          <w:rFonts w:ascii="Verdana" w:hAnsi="Verdana"/>
          <w:b w:val="0"/>
        </w:rPr>
        <w:t xml:space="preserve"> </w:t>
      </w:r>
      <w:r w:rsidR="00E221B6" w:rsidRPr="00BD66CE">
        <w:rPr>
          <w:rFonts w:ascii="Verdana" w:hAnsi="Verdana"/>
          <w:b w:val="0"/>
        </w:rPr>
        <w:t xml:space="preserve">in the public spheres </w:t>
      </w:r>
      <w:r w:rsidR="00BD4595" w:rsidRPr="00BD66CE">
        <w:rPr>
          <w:rFonts w:ascii="Verdana" w:hAnsi="Verdana"/>
          <w:b w:val="0"/>
        </w:rPr>
        <w:t>during the first months of the pandemic</w:t>
      </w:r>
      <w:r w:rsidR="00B02DBF" w:rsidRPr="00BD66CE">
        <w:rPr>
          <w:rFonts w:ascii="Verdana" w:hAnsi="Verdana"/>
          <w:b w:val="0"/>
        </w:rPr>
        <w:t xml:space="preserve"> [10]</w:t>
      </w:r>
      <w:r w:rsidR="00207EF5" w:rsidRPr="00BD66CE">
        <w:rPr>
          <w:rFonts w:ascii="Verdana" w:hAnsi="Verdana"/>
          <w:b w:val="0"/>
        </w:rPr>
        <w:t>.</w:t>
      </w:r>
      <w:r w:rsidR="00923D6C" w:rsidRPr="00BD66CE">
        <w:rPr>
          <w:rFonts w:ascii="Verdana" w:hAnsi="Verdana"/>
          <w:b w:val="0"/>
        </w:rPr>
        <w:t xml:space="preserve"> </w:t>
      </w:r>
      <w:r w:rsidR="00C15EA2" w:rsidRPr="00BD66CE">
        <w:rPr>
          <w:rFonts w:ascii="Verdana" w:hAnsi="Verdana"/>
          <w:b w:val="0"/>
        </w:rPr>
        <w:t>Along</w:t>
      </w:r>
      <w:r w:rsidR="0078069C" w:rsidRPr="00BD66CE">
        <w:rPr>
          <w:rFonts w:ascii="Verdana" w:hAnsi="Verdana"/>
          <w:b w:val="0"/>
        </w:rPr>
        <w:t>side</w:t>
      </w:r>
      <w:r w:rsidR="00C15EA2" w:rsidRPr="00BD66CE">
        <w:rPr>
          <w:rFonts w:ascii="Verdana" w:hAnsi="Verdana"/>
          <w:b w:val="0"/>
        </w:rPr>
        <w:t xml:space="preserve"> </w:t>
      </w:r>
      <w:r w:rsidR="008A781B" w:rsidRPr="00BD66CE">
        <w:rPr>
          <w:rFonts w:ascii="Verdana" w:hAnsi="Verdana"/>
          <w:b w:val="0"/>
        </w:rPr>
        <w:t xml:space="preserve">that </w:t>
      </w:r>
      <w:r w:rsidR="00C15EA2" w:rsidRPr="00BD66CE">
        <w:rPr>
          <w:rFonts w:ascii="Verdana" w:hAnsi="Verdana"/>
          <w:b w:val="0"/>
        </w:rPr>
        <w:t xml:space="preserve">scenario, </w:t>
      </w:r>
      <w:r w:rsidR="008A781B" w:rsidRPr="00BD66CE">
        <w:rPr>
          <w:rFonts w:ascii="Verdana" w:hAnsi="Verdana"/>
          <w:b w:val="0"/>
        </w:rPr>
        <w:t xml:space="preserve">the </w:t>
      </w:r>
      <w:r w:rsidR="00C15EA2" w:rsidRPr="00BD66CE">
        <w:rPr>
          <w:rFonts w:ascii="Verdana" w:hAnsi="Verdana"/>
          <w:b w:val="0"/>
        </w:rPr>
        <w:t>elderly suffered deprivations related to healthcare</w:t>
      </w:r>
      <w:r w:rsidR="008A781B" w:rsidRPr="00BD66CE">
        <w:rPr>
          <w:rFonts w:ascii="Verdana" w:hAnsi="Verdana"/>
          <w:b w:val="0"/>
        </w:rPr>
        <w:t xml:space="preserve"> </w:t>
      </w:r>
      <w:r w:rsidR="00C15EA2" w:rsidRPr="00BD66CE">
        <w:rPr>
          <w:rFonts w:ascii="Verdana" w:hAnsi="Verdana"/>
          <w:b w:val="0"/>
        </w:rPr>
        <w:t xml:space="preserve">but also </w:t>
      </w:r>
      <w:r w:rsidR="000B702D" w:rsidRPr="00BD66CE">
        <w:rPr>
          <w:rFonts w:ascii="Verdana" w:hAnsi="Verdana"/>
          <w:b w:val="0"/>
        </w:rPr>
        <w:t>unveiled</w:t>
      </w:r>
      <w:r w:rsidR="00DE3B8A" w:rsidRPr="00BD66CE">
        <w:rPr>
          <w:rFonts w:ascii="Verdana" w:hAnsi="Verdana"/>
          <w:b w:val="0"/>
        </w:rPr>
        <w:t xml:space="preserve"> ruptures</w:t>
      </w:r>
      <w:r w:rsidR="00C15EA2" w:rsidRPr="00BD66CE">
        <w:rPr>
          <w:rFonts w:ascii="Verdana" w:hAnsi="Verdana"/>
          <w:b w:val="0"/>
        </w:rPr>
        <w:t xml:space="preserve"> of legal frameworks that advocate for their </w:t>
      </w:r>
      <w:r w:rsidR="000B702D" w:rsidRPr="00BD66CE">
        <w:rPr>
          <w:rFonts w:ascii="Verdana" w:hAnsi="Verdana"/>
          <w:b w:val="0"/>
        </w:rPr>
        <w:t>wholesomeness</w:t>
      </w:r>
      <w:r w:rsidR="00817BB2" w:rsidRPr="00BD66CE">
        <w:rPr>
          <w:rFonts w:ascii="Verdana" w:hAnsi="Verdana"/>
          <w:b w:val="0"/>
        </w:rPr>
        <w:t xml:space="preserve"> [11]. </w:t>
      </w:r>
    </w:p>
    <w:p w14:paraId="732AC02D" w14:textId="2228585B" w:rsidR="00330E53" w:rsidRPr="00BD66CE" w:rsidRDefault="00883F70" w:rsidP="001C5420">
      <w:pPr>
        <w:pStyle w:val="MDPI21heading1"/>
        <w:ind w:left="0" w:firstLine="510"/>
        <w:jc w:val="both"/>
        <w:rPr>
          <w:rFonts w:ascii="Verdana" w:hAnsi="Verdana"/>
          <w:b w:val="0"/>
        </w:rPr>
      </w:pPr>
      <w:r w:rsidRPr="00BD66CE">
        <w:rPr>
          <w:rFonts w:ascii="Verdana" w:hAnsi="Verdana"/>
          <w:b w:val="0"/>
        </w:rPr>
        <w:t>Beyond</w:t>
      </w:r>
      <w:r w:rsidR="00F71E91" w:rsidRPr="00BD66CE">
        <w:rPr>
          <w:rFonts w:ascii="Verdana" w:hAnsi="Verdana"/>
          <w:b w:val="0"/>
        </w:rPr>
        <w:t xml:space="preserve"> </w:t>
      </w:r>
      <w:r w:rsidR="005E5791" w:rsidRPr="00BD66CE">
        <w:rPr>
          <w:rFonts w:ascii="Verdana" w:hAnsi="Verdana"/>
          <w:b w:val="0"/>
        </w:rPr>
        <w:t>core</w:t>
      </w:r>
      <w:r w:rsidR="000A0724" w:rsidRPr="00BD66CE">
        <w:rPr>
          <w:rFonts w:ascii="Verdana" w:hAnsi="Verdana"/>
          <w:b w:val="0"/>
        </w:rPr>
        <w:t xml:space="preserve"> guidelines and </w:t>
      </w:r>
      <w:r w:rsidR="00F71E91" w:rsidRPr="00BD66CE">
        <w:rPr>
          <w:rFonts w:ascii="Verdana" w:hAnsi="Verdana"/>
          <w:b w:val="0"/>
        </w:rPr>
        <w:t xml:space="preserve">epidemiological reports published by </w:t>
      </w:r>
      <w:r w:rsidR="00201846" w:rsidRPr="00BD66CE">
        <w:rPr>
          <w:rFonts w:ascii="Verdana" w:hAnsi="Verdana"/>
          <w:b w:val="0"/>
        </w:rPr>
        <w:t>re</w:t>
      </w:r>
      <w:r w:rsidR="00F71E91" w:rsidRPr="00BD66CE">
        <w:rPr>
          <w:rFonts w:ascii="Verdana" w:hAnsi="Verdana"/>
          <w:b w:val="0"/>
        </w:rPr>
        <w:t>nown</w:t>
      </w:r>
      <w:r w:rsidR="00FA2E2E" w:rsidRPr="00BD66CE">
        <w:rPr>
          <w:rFonts w:ascii="Verdana" w:hAnsi="Verdana"/>
          <w:b w:val="0"/>
        </w:rPr>
        <w:t>ed</w:t>
      </w:r>
      <w:r w:rsidR="00F71E91" w:rsidRPr="00BD66CE">
        <w:rPr>
          <w:rFonts w:ascii="Verdana" w:hAnsi="Verdana"/>
          <w:b w:val="0"/>
        </w:rPr>
        <w:t xml:space="preserve"> health organizations (e.g., PAHO/WHO) little to no </w:t>
      </w:r>
      <w:r w:rsidR="000A0724" w:rsidRPr="00BD66CE">
        <w:rPr>
          <w:rFonts w:ascii="Verdana" w:hAnsi="Verdana"/>
          <w:b w:val="0"/>
        </w:rPr>
        <w:t>collective</w:t>
      </w:r>
      <w:r w:rsidR="00F71E91" w:rsidRPr="00BD66CE">
        <w:rPr>
          <w:rFonts w:ascii="Verdana" w:hAnsi="Verdana"/>
          <w:b w:val="0"/>
        </w:rPr>
        <w:t xml:space="preserve"> comparisons between the Central American countries exists for understanding the</w:t>
      </w:r>
      <w:r w:rsidR="000A0724" w:rsidRPr="00BD66CE">
        <w:rPr>
          <w:rFonts w:ascii="Verdana" w:hAnsi="Verdana"/>
          <w:b w:val="0"/>
        </w:rPr>
        <w:t xml:space="preserve"> role of the health bodies in preventing and combating the pandemic </w:t>
      </w:r>
      <w:r w:rsidR="00EC2245" w:rsidRPr="00BD66CE">
        <w:rPr>
          <w:rFonts w:ascii="Verdana" w:hAnsi="Verdana"/>
          <w:b w:val="0"/>
        </w:rPr>
        <w:t>within</w:t>
      </w:r>
      <w:r w:rsidR="000A0724" w:rsidRPr="00BD66CE">
        <w:rPr>
          <w:rFonts w:ascii="Verdana" w:hAnsi="Verdana"/>
          <w:b w:val="0"/>
        </w:rPr>
        <w:t xml:space="preserve"> the aged population in that region. </w:t>
      </w:r>
      <w:r w:rsidR="002F0BC3" w:rsidRPr="00BD66CE">
        <w:rPr>
          <w:rFonts w:ascii="Verdana" w:hAnsi="Verdana"/>
          <w:b w:val="0"/>
        </w:rPr>
        <w:t>It</w:t>
      </w:r>
      <w:r w:rsidR="00E12CAC" w:rsidRPr="00BD66CE">
        <w:rPr>
          <w:rFonts w:ascii="Verdana" w:hAnsi="Verdana"/>
          <w:b w:val="0"/>
        </w:rPr>
        <w:t xml:space="preserve"> is a highly relevant topic, considering the </w:t>
      </w:r>
      <w:r w:rsidR="00D64E85" w:rsidRPr="00BD66CE">
        <w:rPr>
          <w:rFonts w:ascii="Verdana" w:hAnsi="Verdana"/>
          <w:b w:val="0"/>
        </w:rPr>
        <w:t xml:space="preserve">scarcity of </w:t>
      </w:r>
      <w:r w:rsidR="00E12CAC" w:rsidRPr="00BD66CE">
        <w:rPr>
          <w:rFonts w:ascii="Verdana" w:hAnsi="Verdana"/>
          <w:b w:val="0"/>
        </w:rPr>
        <w:t>geronto</w:t>
      </w:r>
      <w:r w:rsidR="0068400D" w:rsidRPr="00BD66CE">
        <w:rPr>
          <w:rFonts w:ascii="Verdana" w:hAnsi="Verdana"/>
          <w:b w:val="0"/>
        </w:rPr>
        <w:t>logical</w:t>
      </w:r>
      <w:r w:rsidR="00E12CAC" w:rsidRPr="00BD66CE">
        <w:rPr>
          <w:rFonts w:ascii="Verdana" w:hAnsi="Verdana"/>
          <w:b w:val="0"/>
        </w:rPr>
        <w:t xml:space="preserve"> scientific production </w:t>
      </w:r>
      <w:r w:rsidR="000F140F" w:rsidRPr="00BD66CE">
        <w:rPr>
          <w:rFonts w:ascii="Verdana" w:hAnsi="Verdana"/>
          <w:b w:val="0"/>
        </w:rPr>
        <w:t>seen in</w:t>
      </w:r>
      <w:r w:rsidR="00E12CAC" w:rsidRPr="00BD66CE">
        <w:rPr>
          <w:rFonts w:ascii="Verdana" w:hAnsi="Verdana"/>
          <w:b w:val="0"/>
        </w:rPr>
        <w:t xml:space="preserve"> Central America. </w:t>
      </w:r>
      <w:r w:rsidR="00060F96" w:rsidRPr="00BD66CE">
        <w:rPr>
          <w:rFonts w:ascii="Verdana" w:hAnsi="Verdana"/>
          <w:b w:val="0"/>
        </w:rPr>
        <w:t xml:space="preserve">Ironically, the socio-health climate </w:t>
      </w:r>
      <w:r w:rsidR="00937CE3" w:rsidRPr="00BD66CE">
        <w:rPr>
          <w:rFonts w:ascii="Verdana" w:hAnsi="Verdana"/>
          <w:b w:val="0"/>
        </w:rPr>
        <w:t>led</w:t>
      </w:r>
      <w:r w:rsidR="00060F96" w:rsidRPr="00BD66CE">
        <w:rPr>
          <w:rFonts w:ascii="Verdana" w:hAnsi="Verdana"/>
          <w:b w:val="0"/>
        </w:rPr>
        <w:t xml:space="preserve"> by the pandemic </w:t>
      </w:r>
      <w:r w:rsidR="00937CE3" w:rsidRPr="00BD66CE">
        <w:rPr>
          <w:rFonts w:ascii="Verdana" w:hAnsi="Verdana"/>
          <w:b w:val="0"/>
        </w:rPr>
        <w:t>reasserted</w:t>
      </w:r>
      <w:r w:rsidR="00060F96" w:rsidRPr="00BD66CE">
        <w:rPr>
          <w:rFonts w:ascii="Verdana" w:hAnsi="Verdana"/>
          <w:b w:val="0"/>
        </w:rPr>
        <w:t xml:space="preserve"> the urgency of developing research on the </w:t>
      </w:r>
      <w:r w:rsidR="00201846" w:rsidRPr="00BD66CE">
        <w:rPr>
          <w:rFonts w:ascii="Verdana" w:hAnsi="Verdana"/>
          <w:b w:val="0"/>
        </w:rPr>
        <w:t>living</w:t>
      </w:r>
      <w:r w:rsidR="00060F96" w:rsidRPr="00BD66CE">
        <w:rPr>
          <w:rFonts w:ascii="Verdana" w:hAnsi="Verdana"/>
          <w:b w:val="0"/>
        </w:rPr>
        <w:t xml:space="preserve"> context</w:t>
      </w:r>
      <w:r w:rsidR="00201846" w:rsidRPr="00BD66CE">
        <w:rPr>
          <w:rFonts w:ascii="Verdana" w:hAnsi="Verdana"/>
          <w:b w:val="0"/>
        </w:rPr>
        <w:t>s</w:t>
      </w:r>
      <w:r w:rsidR="00060F96" w:rsidRPr="00BD66CE">
        <w:rPr>
          <w:rFonts w:ascii="Verdana" w:hAnsi="Verdana"/>
          <w:b w:val="0"/>
        </w:rPr>
        <w:t xml:space="preserve"> of older adults </w:t>
      </w:r>
      <w:r w:rsidR="00A452CE" w:rsidRPr="00BD66CE">
        <w:rPr>
          <w:rFonts w:ascii="Verdana" w:hAnsi="Verdana"/>
          <w:b w:val="0"/>
        </w:rPr>
        <w:t xml:space="preserve">mainly based on a longitudinal trace that would allow the identification of pathways for the reinforcement of social and healthcare systems for the </w:t>
      </w:r>
      <w:r w:rsidR="00CB41C4" w:rsidRPr="00BD66CE">
        <w:rPr>
          <w:rFonts w:ascii="Verdana" w:hAnsi="Verdana"/>
          <w:b w:val="0"/>
        </w:rPr>
        <w:t>aged</w:t>
      </w:r>
      <w:r w:rsidR="00A452CE" w:rsidRPr="00BD66CE">
        <w:rPr>
          <w:rFonts w:ascii="Verdana" w:hAnsi="Verdana"/>
          <w:b w:val="0"/>
        </w:rPr>
        <w:t>.</w:t>
      </w:r>
      <w:r w:rsidR="00FA2E2E" w:rsidRPr="00BD66CE">
        <w:rPr>
          <w:rFonts w:ascii="Verdana" w:hAnsi="Verdana"/>
          <w:b w:val="0"/>
        </w:rPr>
        <w:t xml:space="preserve"> </w:t>
      </w:r>
      <w:r w:rsidR="005704A3" w:rsidRPr="00BD66CE">
        <w:rPr>
          <w:rFonts w:ascii="Verdana" w:hAnsi="Verdana"/>
          <w:b w:val="0"/>
        </w:rPr>
        <w:t xml:space="preserve">Considering </w:t>
      </w:r>
      <w:r w:rsidR="00305A55" w:rsidRPr="00BD66CE">
        <w:rPr>
          <w:rFonts w:ascii="Verdana" w:hAnsi="Verdana"/>
          <w:b w:val="0"/>
        </w:rPr>
        <w:t>that</w:t>
      </w:r>
      <w:r w:rsidR="00E12CAC" w:rsidRPr="00BD66CE">
        <w:rPr>
          <w:rFonts w:ascii="Verdana" w:hAnsi="Verdana"/>
          <w:b w:val="0"/>
        </w:rPr>
        <w:t xml:space="preserve"> scenario, this paper aims to </w:t>
      </w:r>
      <w:r w:rsidR="0060279F" w:rsidRPr="00BD66CE">
        <w:rPr>
          <w:rFonts w:ascii="Verdana" w:hAnsi="Verdana"/>
          <w:b w:val="0"/>
        </w:rPr>
        <w:t>bring</w:t>
      </w:r>
      <w:r w:rsidR="00E12CAC" w:rsidRPr="00BD66CE">
        <w:rPr>
          <w:rFonts w:ascii="Verdana" w:hAnsi="Verdana"/>
          <w:b w:val="0"/>
        </w:rPr>
        <w:t xml:space="preserve"> legal-</w:t>
      </w:r>
      <w:r w:rsidR="00EF1611" w:rsidRPr="00BD66CE">
        <w:rPr>
          <w:rFonts w:ascii="Verdana" w:hAnsi="Verdana"/>
          <w:b w:val="0"/>
        </w:rPr>
        <w:t>health</w:t>
      </w:r>
      <w:r w:rsidR="00E12CAC" w:rsidRPr="00BD66CE">
        <w:rPr>
          <w:rFonts w:ascii="Verdana" w:hAnsi="Verdana"/>
          <w:b w:val="0"/>
        </w:rPr>
        <w:t xml:space="preserve"> </w:t>
      </w:r>
      <w:r w:rsidR="0060279F" w:rsidRPr="00BD66CE">
        <w:rPr>
          <w:rFonts w:ascii="Verdana" w:hAnsi="Verdana"/>
          <w:b w:val="0"/>
        </w:rPr>
        <w:t>insights</w:t>
      </w:r>
      <w:r w:rsidR="00E12CAC" w:rsidRPr="00BD66CE">
        <w:rPr>
          <w:rFonts w:ascii="Verdana" w:hAnsi="Verdana"/>
          <w:b w:val="0"/>
        </w:rPr>
        <w:t xml:space="preserve"> </w:t>
      </w:r>
      <w:r w:rsidR="0060279F" w:rsidRPr="00BD66CE">
        <w:rPr>
          <w:rFonts w:ascii="Verdana" w:hAnsi="Verdana"/>
          <w:b w:val="0"/>
        </w:rPr>
        <w:t>into</w:t>
      </w:r>
      <w:r w:rsidR="00E12CAC" w:rsidRPr="00BD66CE">
        <w:rPr>
          <w:rFonts w:ascii="Verdana" w:hAnsi="Verdana"/>
          <w:b w:val="0"/>
        </w:rPr>
        <w:t xml:space="preserve"> the </w:t>
      </w:r>
      <w:r w:rsidR="00060F96" w:rsidRPr="00BD66CE">
        <w:rPr>
          <w:rFonts w:ascii="Verdana" w:hAnsi="Verdana"/>
          <w:b w:val="0"/>
        </w:rPr>
        <w:t>strategies</w:t>
      </w:r>
      <w:r w:rsidR="00E12CAC" w:rsidRPr="00BD66CE">
        <w:rPr>
          <w:rFonts w:ascii="Verdana" w:hAnsi="Verdana"/>
          <w:b w:val="0"/>
        </w:rPr>
        <w:t xml:space="preserve"> </w:t>
      </w:r>
      <w:r w:rsidR="00060F96" w:rsidRPr="00BD66CE">
        <w:rPr>
          <w:rFonts w:ascii="Verdana" w:hAnsi="Verdana"/>
          <w:b w:val="0"/>
        </w:rPr>
        <w:t>followed by</w:t>
      </w:r>
      <w:r w:rsidR="00E12CAC" w:rsidRPr="00BD66CE">
        <w:rPr>
          <w:rFonts w:ascii="Verdana" w:hAnsi="Verdana"/>
          <w:b w:val="0"/>
        </w:rPr>
        <w:t xml:space="preserve"> Central American governments in </w:t>
      </w:r>
      <w:r w:rsidR="00CF42AB" w:rsidRPr="00BD66CE">
        <w:rPr>
          <w:rFonts w:ascii="Verdana" w:hAnsi="Verdana"/>
          <w:b w:val="0"/>
        </w:rPr>
        <w:t>coping</w:t>
      </w:r>
      <w:r w:rsidR="00E12CAC" w:rsidRPr="00BD66CE">
        <w:rPr>
          <w:rFonts w:ascii="Verdana" w:hAnsi="Verdana"/>
          <w:b w:val="0"/>
        </w:rPr>
        <w:t xml:space="preserve"> with population aging </w:t>
      </w:r>
      <w:r w:rsidR="003D7C1B" w:rsidRPr="00BD66CE">
        <w:rPr>
          <w:rFonts w:ascii="Verdana" w:hAnsi="Verdana"/>
          <w:b w:val="0"/>
        </w:rPr>
        <w:t xml:space="preserve">management </w:t>
      </w:r>
      <w:r w:rsidR="00E12CAC" w:rsidRPr="00BD66CE">
        <w:rPr>
          <w:rFonts w:ascii="Verdana" w:hAnsi="Verdana"/>
          <w:b w:val="0"/>
        </w:rPr>
        <w:t>during the first two years of the pandemic crisis.</w:t>
      </w:r>
      <w:r w:rsidR="0060279F" w:rsidRPr="00BD66CE">
        <w:rPr>
          <w:rFonts w:ascii="Verdana" w:hAnsi="Verdana"/>
          <w:b w:val="0"/>
        </w:rPr>
        <w:t xml:space="preserve"> </w:t>
      </w:r>
    </w:p>
    <w:p w14:paraId="3A9EDD91" w14:textId="77777777" w:rsidR="00CD7F97" w:rsidRPr="00BD66CE" w:rsidRDefault="00CD7F97" w:rsidP="00024BAB">
      <w:pPr>
        <w:pStyle w:val="MDPI21heading1"/>
        <w:ind w:firstLine="452"/>
        <w:jc w:val="both"/>
        <w:rPr>
          <w:rFonts w:ascii="Verdana" w:hAnsi="Verdana"/>
          <w:b w:val="0"/>
        </w:rPr>
      </w:pPr>
    </w:p>
    <w:p w14:paraId="4165F4A3" w14:textId="77777777" w:rsidR="00CA09A0" w:rsidRPr="00BD66CE" w:rsidRDefault="004E3326" w:rsidP="001C5420">
      <w:pPr>
        <w:pStyle w:val="MDPI21heading1"/>
        <w:ind w:left="0"/>
        <w:jc w:val="both"/>
        <w:rPr>
          <w:rFonts w:ascii="Verdana" w:hAnsi="Verdana"/>
          <w:b w:val="0"/>
          <w:i/>
          <w:iCs/>
        </w:rPr>
      </w:pPr>
      <w:r w:rsidRPr="00BD66CE">
        <w:rPr>
          <w:rFonts w:ascii="Verdana" w:hAnsi="Verdana"/>
          <w:b w:val="0"/>
          <w:i/>
          <w:iCs/>
        </w:rPr>
        <w:t xml:space="preserve">1.2. </w:t>
      </w:r>
      <w:r w:rsidR="00C5409C" w:rsidRPr="00BD66CE">
        <w:rPr>
          <w:rFonts w:ascii="Verdana" w:hAnsi="Verdana"/>
          <w:b w:val="0"/>
          <w:i/>
          <w:iCs/>
        </w:rPr>
        <w:t xml:space="preserve">Background </w:t>
      </w:r>
    </w:p>
    <w:p w14:paraId="66166223" w14:textId="5C454DFB" w:rsidR="004E3326" w:rsidRPr="00BD66CE" w:rsidRDefault="00CA09A0" w:rsidP="001C5420">
      <w:pPr>
        <w:pStyle w:val="MDPI21heading1"/>
        <w:ind w:left="0"/>
        <w:jc w:val="both"/>
        <w:rPr>
          <w:rFonts w:ascii="Verdana" w:hAnsi="Verdana"/>
          <w:b w:val="0"/>
        </w:rPr>
      </w:pPr>
      <w:r w:rsidRPr="00BD66CE">
        <w:rPr>
          <w:rFonts w:ascii="Verdana" w:hAnsi="Verdana"/>
          <w:b w:val="0"/>
        </w:rPr>
        <w:lastRenderedPageBreak/>
        <w:t xml:space="preserve">1.2.1. </w:t>
      </w:r>
      <w:r w:rsidR="004E3326" w:rsidRPr="00BD66CE">
        <w:rPr>
          <w:rFonts w:ascii="Verdana" w:hAnsi="Verdana"/>
          <w:b w:val="0"/>
        </w:rPr>
        <w:t xml:space="preserve">Central American integration </w:t>
      </w:r>
      <w:r w:rsidR="000F5B63" w:rsidRPr="00BD66CE">
        <w:rPr>
          <w:rFonts w:ascii="Verdana" w:hAnsi="Verdana"/>
          <w:b w:val="0"/>
        </w:rPr>
        <w:t xml:space="preserve">paths and the </w:t>
      </w:r>
      <w:r w:rsidR="004E3326" w:rsidRPr="00BD66CE">
        <w:rPr>
          <w:rFonts w:ascii="Verdana" w:hAnsi="Verdana"/>
          <w:b w:val="0"/>
        </w:rPr>
        <w:t xml:space="preserve">recognition of health as a </w:t>
      </w:r>
      <w:r w:rsidR="006626C6" w:rsidRPr="00BD66CE">
        <w:rPr>
          <w:rFonts w:ascii="Verdana" w:hAnsi="Verdana"/>
          <w:b w:val="0"/>
        </w:rPr>
        <w:t xml:space="preserve">fundamental right of the aged </w:t>
      </w:r>
    </w:p>
    <w:p w14:paraId="3934604D" w14:textId="595D32B4" w:rsidR="00FB5343" w:rsidRPr="00BD66CE" w:rsidRDefault="00BF1720" w:rsidP="001C5420">
      <w:pPr>
        <w:pStyle w:val="MDPI21heading1"/>
        <w:ind w:left="0" w:firstLine="510"/>
        <w:jc w:val="both"/>
        <w:rPr>
          <w:rFonts w:ascii="Verdana" w:hAnsi="Verdana"/>
          <w:b w:val="0"/>
        </w:rPr>
      </w:pPr>
      <w:r w:rsidRPr="00BD66CE">
        <w:rPr>
          <w:rFonts w:ascii="Verdana" w:hAnsi="Verdana"/>
          <w:b w:val="0"/>
        </w:rPr>
        <w:t>Continental Central America is the least demographic and territorial extension of the American continent, constituted by seven countries (namely: Belize, Costa Rica, El Salvador, Guatemala, Honduras, Panama, and Nicaragua) that serve as a strategic point for the geographic union of the northern and southern regions</w:t>
      </w:r>
      <w:r w:rsidR="00A94A12" w:rsidRPr="00BD66CE">
        <w:rPr>
          <w:rFonts w:ascii="Verdana" w:hAnsi="Verdana"/>
          <w:b w:val="0"/>
        </w:rPr>
        <w:t xml:space="preserve"> [1</w:t>
      </w:r>
      <w:r w:rsidR="00817BB2" w:rsidRPr="00BD66CE">
        <w:rPr>
          <w:rFonts w:ascii="Verdana" w:hAnsi="Verdana"/>
          <w:b w:val="0"/>
        </w:rPr>
        <w:t>2</w:t>
      </w:r>
      <w:r w:rsidR="00A94A12" w:rsidRPr="00BD66CE">
        <w:rPr>
          <w:rFonts w:ascii="Verdana" w:hAnsi="Verdana"/>
          <w:b w:val="0"/>
        </w:rPr>
        <w:t>]</w:t>
      </w:r>
      <w:r w:rsidRPr="00BD66CE">
        <w:rPr>
          <w:rFonts w:ascii="Verdana" w:hAnsi="Verdana"/>
          <w:b w:val="0"/>
        </w:rPr>
        <w:t>. Due to its geopolitical location, Central America plays a paramount economic role in Latin America, mainly in agricultural exports and ecotourism, which together are responsible for maintaining their economic growth, given the multisectoral nature of these activities [1</w:t>
      </w:r>
      <w:r w:rsidR="00817BB2" w:rsidRPr="00BD66CE">
        <w:rPr>
          <w:rFonts w:ascii="Verdana" w:hAnsi="Verdana"/>
          <w:b w:val="0"/>
        </w:rPr>
        <w:t>3</w:t>
      </w:r>
      <w:r w:rsidRPr="00BD66CE">
        <w:rPr>
          <w:rFonts w:ascii="Verdana" w:hAnsi="Verdana"/>
          <w:b w:val="0"/>
        </w:rPr>
        <w:t xml:space="preserve">]. </w:t>
      </w:r>
    </w:p>
    <w:p w14:paraId="5B7A54D2" w14:textId="5AA776C7" w:rsidR="008B23EF" w:rsidRPr="00BD66CE" w:rsidRDefault="008B23EF" w:rsidP="001C5420">
      <w:pPr>
        <w:pStyle w:val="MDPI21heading1"/>
        <w:ind w:left="0" w:firstLine="510"/>
        <w:jc w:val="both"/>
        <w:rPr>
          <w:rFonts w:ascii="Verdana" w:hAnsi="Verdana"/>
          <w:b w:val="0"/>
        </w:rPr>
      </w:pPr>
      <w:r w:rsidRPr="00BD66CE">
        <w:rPr>
          <w:rFonts w:ascii="Verdana" w:hAnsi="Verdana"/>
          <w:b w:val="0"/>
        </w:rPr>
        <w:t>From a historical standpoint, the path stepped by Central American countries includes, in particular, a continuum of failures and overcoming. The region has a list of local agreements that extend not only in the financial sphere but also in sociocultural, health, environmental and technological development</w:t>
      </w:r>
      <w:r w:rsidR="005C27EA" w:rsidRPr="00BD66CE">
        <w:rPr>
          <w:rFonts w:ascii="Verdana" w:hAnsi="Verdana"/>
          <w:b w:val="0"/>
        </w:rPr>
        <w:t xml:space="preserve"> [1</w:t>
      </w:r>
      <w:r w:rsidR="00817BB2" w:rsidRPr="00BD66CE">
        <w:rPr>
          <w:rFonts w:ascii="Verdana" w:hAnsi="Verdana"/>
          <w:b w:val="0"/>
        </w:rPr>
        <w:t>4</w:t>
      </w:r>
      <w:r w:rsidR="005C27EA" w:rsidRPr="00BD66CE">
        <w:rPr>
          <w:rFonts w:ascii="Verdana" w:hAnsi="Verdana"/>
          <w:b w:val="0"/>
        </w:rPr>
        <w:t>]</w:t>
      </w:r>
      <w:r w:rsidRPr="00BD66CE">
        <w:rPr>
          <w:rFonts w:ascii="Verdana" w:hAnsi="Verdana"/>
          <w:b w:val="0"/>
        </w:rPr>
        <w:t>. In the 1990s, a new Central American reasoning began to conquer space for discussion to retake and reformulate the regional integration framework. Health became then understood as a right of the people and responsibility of the States emerged, albeit in embryonic silhouette, thus with a domino effect also influencing the social and legal field in these territories.</w:t>
      </w:r>
      <w:r w:rsidR="00747387" w:rsidRPr="00BD66CE">
        <w:rPr>
          <w:rFonts w:ascii="Verdana" w:hAnsi="Verdana"/>
          <w:b w:val="0"/>
        </w:rPr>
        <w:t xml:space="preserve"> </w:t>
      </w:r>
    </w:p>
    <w:p w14:paraId="206F2F0E" w14:textId="378B19EA" w:rsidR="00BD7887" w:rsidRPr="00BD66CE" w:rsidRDefault="00BD7887" w:rsidP="001C5420">
      <w:pPr>
        <w:pStyle w:val="MDPI21heading1"/>
        <w:ind w:left="0" w:firstLine="510"/>
        <w:jc w:val="both"/>
        <w:rPr>
          <w:rFonts w:ascii="Verdana" w:hAnsi="Verdana"/>
          <w:b w:val="0"/>
        </w:rPr>
      </w:pPr>
      <w:r w:rsidRPr="00BD66CE">
        <w:rPr>
          <w:rFonts w:ascii="Verdana" w:hAnsi="Verdana"/>
          <w:b w:val="0"/>
        </w:rPr>
        <w:t xml:space="preserve">A regional milestone was the establishment </w:t>
      </w:r>
      <w:r w:rsidR="00E900B9" w:rsidRPr="00BD66CE">
        <w:rPr>
          <w:rFonts w:ascii="Verdana" w:hAnsi="Verdana"/>
          <w:b w:val="0"/>
        </w:rPr>
        <w:t xml:space="preserve">by the hint </w:t>
      </w:r>
      <w:r w:rsidRPr="00BD66CE">
        <w:rPr>
          <w:rFonts w:ascii="Verdana" w:hAnsi="Verdana"/>
          <w:b w:val="0"/>
        </w:rPr>
        <w:t xml:space="preserve">of the Central American Integration Scheme (CAIS, from Spanish </w:t>
      </w:r>
      <w:r w:rsidRPr="00BD66CE">
        <w:rPr>
          <w:rFonts w:ascii="Verdana" w:hAnsi="Verdana"/>
          <w:b w:val="0"/>
          <w:i/>
          <w:iCs/>
        </w:rPr>
        <w:t>Sistema de Integración Centroamericana</w:t>
      </w:r>
      <w:r w:rsidR="000D3837" w:rsidRPr="00BD66CE">
        <w:rPr>
          <w:rFonts w:ascii="Verdana" w:hAnsi="Verdana"/>
          <w:b w:val="0"/>
          <w:i/>
          <w:iCs/>
        </w:rPr>
        <w:t xml:space="preserve"> – SICA</w:t>
      </w:r>
      <w:r w:rsidRPr="00BD66CE">
        <w:rPr>
          <w:rFonts w:ascii="Verdana" w:hAnsi="Verdana"/>
          <w:b w:val="0"/>
        </w:rPr>
        <w:t>)</w:t>
      </w:r>
      <w:r w:rsidR="00DE44D6" w:rsidRPr="00BD66CE">
        <w:rPr>
          <w:rFonts w:ascii="Verdana" w:hAnsi="Verdana"/>
          <w:b w:val="0"/>
        </w:rPr>
        <w:t xml:space="preserve">, and consummated by </w:t>
      </w:r>
      <w:r w:rsidR="00ED69DB" w:rsidRPr="00BD66CE">
        <w:rPr>
          <w:rFonts w:ascii="Verdana" w:hAnsi="Verdana"/>
          <w:b w:val="0"/>
        </w:rPr>
        <w:t xml:space="preserve">the </w:t>
      </w:r>
      <w:r w:rsidR="00DE44D6" w:rsidRPr="00BD66CE">
        <w:rPr>
          <w:rFonts w:ascii="Verdana" w:hAnsi="Verdana"/>
          <w:b w:val="0"/>
        </w:rPr>
        <w:t xml:space="preserve">effect of the </w:t>
      </w:r>
      <w:r w:rsidR="00ED69DB" w:rsidRPr="00BD66CE">
        <w:rPr>
          <w:rFonts w:ascii="Verdana" w:hAnsi="Verdana"/>
          <w:b w:val="0"/>
        </w:rPr>
        <w:t xml:space="preserve">“Tegucigalpa Protocol to the Charter of Organization of the Central American States” signed by all Central American Heads of State, in 1991 </w:t>
      </w:r>
      <w:r w:rsidR="00373522" w:rsidRPr="00BD66CE">
        <w:rPr>
          <w:rFonts w:ascii="Verdana" w:hAnsi="Verdana"/>
          <w:b w:val="0"/>
        </w:rPr>
        <w:t>[15]</w:t>
      </w:r>
      <w:r w:rsidR="00ED69DB" w:rsidRPr="00BD66CE">
        <w:rPr>
          <w:rFonts w:ascii="Verdana" w:hAnsi="Verdana"/>
          <w:b w:val="0"/>
        </w:rPr>
        <w:t xml:space="preserve">. Such a legal instrument also served as the foundation for the advent of the Council of Central American Ministers of Health (CCAMH), the political body of the CAIS, whose purpose is to identify and prioritize regional health problems. Its mission is to support member states in their role of guaranteeing citizens' rights to access, universal coverage, and quality of health services. To achieve the proposed goals, CCAMH is projected as a regional instance in sectoral articulation, within the framework of the social determinants of health, through knowledge management and cooperation for sustainable development of the region </w:t>
      </w:r>
      <w:r w:rsidR="00A15961" w:rsidRPr="00BD66CE">
        <w:rPr>
          <w:rFonts w:ascii="Verdana" w:hAnsi="Verdana"/>
          <w:b w:val="0"/>
        </w:rPr>
        <w:t>[16].</w:t>
      </w:r>
      <w:r w:rsidR="00747387" w:rsidRPr="00BD66CE">
        <w:rPr>
          <w:rFonts w:ascii="Verdana" w:hAnsi="Verdana"/>
          <w:b w:val="0"/>
        </w:rPr>
        <w:t xml:space="preserve"> </w:t>
      </w:r>
    </w:p>
    <w:p w14:paraId="5114D0DD" w14:textId="349BB6BC" w:rsidR="006626C6" w:rsidRPr="00BD66CE" w:rsidRDefault="006626C6" w:rsidP="001C5420">
      <w:pPr>
        <w:pStyle w:val="MDPI21heading1"/>
        <w:ind w:left="0" w:firstLine="510"/>
        <w:jc w:val="both"/>
        <w:rPr>
          <w:rFonts w:ascii="Verdana" w:hAnsi="Verdana"/>
          <w:b w:val="0"/>
        </w:rPr>
      </w:pPr>
      <w:r w:rsidRPr="00BD66CE">
        <w:rPr>
          <w:rFonts w:ascii="Verdana" w:hAnsi="Verdana"/>
          <w:b w:val="0"/>
        </w:rPr>
        <w:t xml:space="preserve">Full access to qualified </w:t>
      </w:r>
      <w:r w:rsidR="00A974AB" w:rsidRPr="00BD66CE">
        <w:rPr>
          <w:rFonts w:ascii="Verdana" w:hAnsi="Verdana"/>
          <w:b w:val="0"/>
        </w:rPr>
        <w:t xml:space="preserve">health </w:t>
      </w:r>
      <w:r w:rsidRPr="00BD66CE">
        <w:rPr>
          <w:rFonts w:ascii="Verdana" w:hAnsi="Verdana"/>
          <w:b w:val="0"/>
        </w:rPr>
        <w:t xml:space="preserve">services and programs is an issue in which several aspects and actors play a determining role. It, in turn, makes it necessary to consider the decision-making capabilities of each country when making decisions that might </w:t>
      </w:r>
      <w:r w:rsidR="00674ED0" w:rsidRPr="00BD66CE">
        <w:rPr>
          <w:rFonts w:ascii="Verdana" w:hAnsi="Verdana"/>
          <w:b w:val="0"/>
        </w:rPr>
        <w:t>have</w:t>
      </w:r>
      <w:r w:rsidRPr="00BD66CE">
        <w:rPr>
          <w:rFonts w:ascii="Verdana" w:hAnsi="Verdana"/>
          <w:b w:val="0"/>
        </w:rPr>
        <w:t xml:space="preserve"> a regional impact. Sociodemographic studies show that, despite sharing </w:t>
      </w:r>
      <w:r w:rsidR="00A974AB" w:rsidRPr="00BD66CE">
        <w:rPr>
          <w:rFonts w:ascii="Verdana" w:hAnsi="Verdana"/>
          <w:b w:val="0"/>
        </w:rPr>
        <w:t>near</w:t>
      </w:r>
      <w:r w:rsidRPr="00BD66CE">
        <w:rPr>
          <w:rFonts w:ascii="Verdana" w:hAnsi="Verdana"/>
          <w:b w:val="0"/>
        </w:rPr>
        <w:t xml:space="preserve"> distances between them, Central American countries have divergent socio-health profiles, including significant gaps regarding the access to and quality of public health services [1</w:t>
      </w:r>
      <w:r w:rsidR="00A15961" w:rsidRPr="00BD66CE">
        <w:rPr>
          <w:rFonts w:ascii="Verdana" w:hAnsi="Verdana"/>
          <w:b w:val="0"/>
        </w:rPr>
        <w:t>7</w:t>
      </w:r>
      <w:r w:rsidRPr="00BD66CE">
        <w:rPr>
          <w:rFonts w:ascii="Verdana" w:hAnsi="Verdana"/>
          <w:b w:val="0"/>
        </w:rPr>
        <w:t>,1</w:t>
      </w:r>
      <w:r w:rsidR="00A15961" w:rsidRPr="00BD66CE">
        <w:rPr>
          <w:rFonts w:ascii="Verdana" w:hAnsi="Verdana"/>
          <w:b w:val="0"/>
        </w:rPr>
        <w:t>8</w:t>
      </w:r>
      <w:r w:rsidRPr="00BD66CE">
        <w:rPr>
          <w:rFonts w:ascii="Verdana" w:hAnsi="Verdana"/>
          <w:b w:val="0"/>
        </w:rPr>
        <w:t>]. Although these countries convey the importance of social participation in strengthening and optimizing public health policies, it is still possible to observe underlying mechanisms that weaken and distort the healthcare cores to the extent that they hinder and exacerbate internal social inequities in each country [</w:t>
      </w:r>
      <w:r w:rsidR="000B0A1F" w:rsidRPr="00BD66CE">
        <w:rPr>
          <w:rFonts w:ascii="Verdana" w:hAnsi="Verdana"/>
          <w:b w:val="0"/>
        </w:rPr>
        <w:t>19</w:t>
      </w:r>
      <w:r w:rsidRPr="00BD66CE">
        <w:rPr>
          <w:rFonts w:ascii="Verdana" w:hAnsi="Verdana"/>
          <w:b w:val="0"/>
        </w:rPr>
        <w:t>]</w:t>
      </w:r>
      <w:r w:rsidR="00070269" w:rsidRPr="00BD66CE">
        <w:rPr>
          <w:rFonts w:ascii="Verdana" w:hAnsi="Verdana"/>
          <w:b w:val="0"/>
        </w:rPr>
        <w:t>.</w:t>
      </w:r>
      <w:r w:rsidR="00330CF7" w:rsidRPr="00BD66CE">
        <w:rPr>
          <w:rFonts w:ascii="Verdana" w:hAnsi="Verdana"/>
          <w:b w:val="0"/>
        </w:rPr>
        <w:t xml:space="preserve"> </w:t>
      </w:r>
    </w:p>
    <w:p w14:paraId="5F26EB8B" w14:textId="2A1008B5" w:rsidR="000F5B63" w:rsidRPr="00BD66CE" w:rsidRDefault="000A28AE" w:rsidP="001C5420">
      <w:pPr>
        <w:pStyle w:val="MDPI21heading1"/>
        <w:ind w:left="0" w:firstLine="510"/>
        <w:jc w:val="both"/>
        <w:rPr>
          <w:rFonts w:ascii="Verdana" w:hAnsi="Verdana"/>
          <w:b w:val="0"/>
        </w:rPr>
      </w:pPr>
      <w:r w:rsidRPr="00BD66CE">
        <w:rPr>
          <w:rFonts w:ascii="Verdana" w:hAnsi="Verdana"/>
          <w:b w:val="0"/>
        </w:rPr>
        <w:t>Thus, the</w:t>
      </w:r>
      <w:r w:rsidR="00FA33B5" w:rsidRPr="00BD66CE">
        <w:rPr>
          <w:rFonts w:ascii="Verdana" w:hAnsi="Verdana"/>
          <w:b w:val="0"/>
        </w:rPr>
        <w:t xml:space="preserve"> conditions for living a healthy and active old age vary greatly from country to country</w:t>
      </w:r>
      <w:r w:rsidR="00945DEE" w:rsidRPr="00BD66CE">
        <w:rPr>
          <w:rFonts w:ascii="Verdana" w:hAnsi="Verdana"/>
          <w:b w:val="0"/>
        </w:rPr>
        <w:t xml:space="preserve"> </w:t>
      </w:r>
      <w:r w:rsidR="00222E7B" w:rsidRPr="00BD66CE">
        <w:rPr>
          <w:rFonts w:ascii="Verdana" w:hAnsi="Verdana"/>
          <w:b w:val="0"/>
        </w:rPr>
        <w:t>[20]</w:t>
      </w:r>
      <w:r w:rsidR="00FA33B5" w:rsidRPr="00BD66CE">
        <w:rPr>
          <w:rFonts w:ascii="Verdana" w:hAnsi="Verdana"/>
          <w:b w:val="0"/>
        </w:rPr>
        <w:t xml:space="preserve">. </w:t>
      </w:r>
      <w:r w:rsidR="002369A6" w:rsidRPr="00BD66CE">
        <w:rPr>
          <w:rFonts w:ascii="Verdana" w:hAnsi="Verdana"/>
          <w:b w:val="0"/>
        </w:rPr>
        <w:t>In fact</w:t>
      </w:r>
      <w:r w:rsidR="006626C6" w:rsidRPr="00BD66CE">
        <w:rPr>
          <w:rFonts w:ascii="Verdana" w:hAnsi="Verdana"/>
          <w:b w:val="0"/>
        </w:rPr>
        <w:t xml:space="preserve">, </w:t>
      </w:r>
      <w:r w:rsidR="00D64E85" w:rsidRPr="00BD66CE">
        <w:rPr>
          <w:rFonts w:ascii="Verdana" w:hAnsi="Verdana"/>
          <w:b w:val="0"/>
        </w:rPr>
        <w:t>healthcare access and social welfare of older adults have recently been put in sharp relief</w:t>
      </w:r>
      <w:r w:rsidR="00FA33B5" w:rsidRPr="00BD66CE">
        <w:rPr>
          <w:rFonts w:ascii="Verdana" w:hAnsi="Verdana"/>
          <w:b w:val="0"/>
        </w:rPr>
        <w:t>, yet prematurely</w:t>
      </w:r>
      <w:r w:rsidR="0016641B" w:rsidRPr="00BD66CE">
        <w:rPr>
          <w:rFonts w:ascii="Verdana" w:hAnsi="Verdana"/>
          <w:b w:val="0"/>
        </w:rPr>
        <w:t xml:space="preserve"> </w:t>
      </w:r>
      <w:r w:rsidR="00222E7B" w:rsidRPr="00BD66CE">
        <w:rPr>
          <w:rFonts w:ascii="Verdana" w:hAnsi="Verdana"/>
          <w:b w:val="0"/>
        </w:rPr>
        <w:t>[21]</w:t>
      </w:r>
      <w:r w:rsidR="00D64E85" w:rsidRPr="00BD66CE">
        <w:rPr>
          <w:rFonts w:ascii="Verdana" w:hAnsi="Verdana"/>
          <w:b w:val="0"/>
        </w:rPr>
        <w:t>.</w:t>
      </w:r>
      <w:r w:rsidR="00AA642B" w:rsidRPr="00BD66CE">
        <w:rPr>
          <w:rFonts w:ascii="Verdana" w:hAnsi="Verdana"/>
          <w:b w:val="0"/>
        </w:rPr>
        <w:t xml:space="preserve"> Despite having a strong presence in regional and international events that seek to strengthen the legal frameworks that </w:t>
      </w:r>
      <w:r w:rsidR="00863F3F" w:rsidRPr="00BD66CE">
        <w:rPr>
          <w:rFonts w:ascii="Verdana" w:hAnsi="Verdana"/>
          <w:b w:val="0"/>
        </w:rPr>
        <w:t>forfend</w:t>
      </w:r>
      <w:r w:rsidR="00AA642B" w:rsidRPr="00BD66CE">
        <w:rPr>
          <w:rFonts w:ascii="Verdana" w:hAnsi="Verdana"/>
          <w:b w:val="0"/>
        </w:rPr>
        <w:t xml:space="preserve"> the </w:t>
      </w:r>
      <w:r w:rsidRPr="00BD66CE">
        <w:rPr>
          <w:rFonts w:ascii="Verdana" w:hAnsi="Verdana"/>
          <w:b w:val="0"/>
        </w:rPr>
        <w:t>comprehensiveness</w:t>
      </w:r>
      <w:r w:rsidR="00AA642B" w:rsidRPr="00BD66CE">
        <w:rPr>
          <w:rFonts w:ascii="Verdana" w:hAnsi="Verdana"/>
          <w:b w:val="0"/>
        </w:rPr>
        <w:t xml:space="preserve"> of the elderly, it is no secret that most Central American countries still </w:t>
      </w:r>
      <w:r w:rsidR="00094524" w:rsidRPr="00BD66CE">
        <w:rPr>
          <w:rFonts w:ascii="Verdana" w:hAnsi="Verdana"/>
          <w:b w:val="0"/>
        </w:rPr>
        <w:t>allege</w:t>
      </w:r>
      <w:r w:rsidR="00AA642B" w:rsidRPr="00BD66CE">
        <w:rPr>
          <w:rFonts w:ascii="Verdana" w:hAnsi="Verdana"/>
          <w:b w:val="0"/>
        </w:rPr>
        <w:t xml:space="preserve"> difficulties in </w:t>
      </w:r>
      <w:r w:rsidR="005A282B" w:rsidRPr="00BD66CE">
        <w:rPr>
          <w:rFonts w:ascii="Verdana" w:hAnsi="Verdana"/>
          <w:b w:val="0"/>
        </w:rPr>
        <w:t>incorporating and enforcing</w:t>
      </w:r>
      <w:r w:rsidR="00AA642B" w:rsidRPr="00BD66CE">
        <w:rPr>
          <w:rFonts w:ascii="Verdana" w:hAnsi="Verdana"/>
          <w:b w:val="0"/>
        </w:rPr>
        <w:t xml:space="preserve"> these norms</w:t>
      </w:r>
      <w:r w:rsidR="00020DCF" w:rsidRPr="00BD66CE">
        <w:rPr>
          <w:rFonts w:ascii="Verdana" w:hAnsi="Verdana"/>
          <w:b w:val="0"/>
        </w:rPr>
        <w:t xml:space="preserve"> </w:t>
      </w:r>
      <w:r w:rsidR="00222E7B" w:rsidRPr="00BD66CE">
        <w:rPr>
          <w:rFonts w:ascii="Verdana" w:hAnsi="Verdana"/>
          <w:b w:val="0"/>
        </w:rPr>
        <w:t>[22]</w:t>
      </w:r>
      <w:r w:rsidR="00AA642B" w:rsidRPr="00BD66CE">
        <w:rPr>
          <w:rFonts w:ascii="Verdana" w:hAnsi="Verdana"/>
          <w:b w:val="0"/>
        </w:rPr>
        <w:t xml:space="preserve">. </w:t>
      </w:r>
      <w:r w:rsidR="000A31F9" w:rsidRPr="00BD66CE">
        <w:rPr>
          <w:rFonts w:ascii="Verdana" w:hAnsi="Verdana"/>
          <w:b w:val="0"/>
        </w:rPr>
        <w:t xml:space="preserve">This circumstance is closely related to the fact that </w:t>
      </w:r>
      <w:r w:rsidR="00863F3F" w:rsidRPr="00BD66CE">
        <w:rPr>
          <w:rFonts w:ascii="Verdana" w:hAnsi="Verdana"/>
          <w:b w:val="0"/>
        </w:rPr>
        <w:t>they</w:t>
      </w:r>
      <w:r w:rsidR="000A31F9" w:rsidRPr="00BD66CE">
        <w:rPr>
          <w:rFonts w:ascii="Verdana" w:hAnsi="Verdana"/>
          <w:b w:val="0"/>
        </w:rPr>
        <w:t xml:space="preserve"> have not </w:t>
      </w:r>
      <w:r w:rsidR="00787E4D" w:rsidRPr="00BD66CE">
        <w:rPr>
          <w:rFonts w:ascii="Verdana" w:hAnsi="Verdana"/>
          <w:b w:val="0"/>
        </w:rPr>
        <w:t>shouldered</w:t>
      </w:r>
      <w:r w:rsidR="000A31F9" w:rsidRPr="00BD66CE">
        <w:rPr>
          <w:rFonts w:ascii="Verdana" w:hAnsi="Verdana"/>
          <w:b w:val="0"/>
        </w:rPr>
        <w:t xml:space="preserve"> the same </w:t>
      </w:r>
      <w:r w:rsidR="00787E4D" w:rsidRPr="00BD66CE">
        <w:rPr>
          <w:rFonts w:ascii="Verdana" w:hAnsi="Verdana"/>
          <w:b w:val="0"/>
        </w:rPr>
        <w:t>liabilities</w:t>
      </w:r>
      <w:r w:rsidR="000A31F9" w:rsidRPr="00BD66CE">
        <w:rPr>
          <w:rFonts w:ascii="Verdana" w:hAnsi="Verdana"/>
          <w:b w:val="0"/>
        </w:rPr>
        <w:t xml:space="preserve"> within their </w:t>
      </w:r>
      <w:r w:rsidR="00EC2440" w:rsidRPr="00BD66CE">
        <w:rPr>
          <w:rFonts w:ascii="Verdana" w:hAnsi="Verdana"/>
          <w:b w:val="0"/>
        </w:rPr>
        <w:t>territories</w:t>
      </w:r>
      <w:r w:rsidR="000A31F9" w:rsidRPr="00BD66CE">
        <w:rPr>
          <w:rFonts w:ascii="Verdana" w:hAnsi="Verdana"/>
          <w:b w:val="0"/>
        </w:rPr>
        <w:t xml:space="preserve">; not all </w:t>
      </w:r>
      <w:r w:rsidR="00EC2440" w:rsidRPr="00BD66CE">
        <w:rPr>
          <w:rFonts w:ascii="Verdana" w:hAnsi="Verdana"/>
          <w:b w:val="0"/>
        </w:rPr>
        <w:t>States</w:t>
      </w:r>
      <w:r w:rsidR="000A31F9" w:rsidRPr="00BD66CE">
        <w:rPr>
          <w:rFonts w:ascii="Verdana" w:hAnsi="Verdana"/>
          <w:b w:val="0"/>
        </w:rPr>
        <w:t xml:space="preserve"> consider along their Constitutional Charter the fundamental right to health, much less address specific constitutional items for the elderly</w:t>
      </w:r>
      <w:r w:rsidR="006A1EA6" w:rsidRPr="00BD66CE">
        <w:rPr>
          <w:rFonts w:ascii="Verdana" w:hAnsi="Verdana"/>
          <w:b w:val="0"/>
        </w:rPr>
        <w:t xml:space="preserve"> </w:t>
      </w:r>
      <w:r w:rsidR="00222E7B" w:rsidRPr="00BD66CE">
        <w:rPr>
          <w:rFonts w:ascii="Verdana" w:hAnsi="Verdana"/>
          <w:b w:val="0"/>
        </w:rPr>
        <w:t>[23]</w:t>
      </w:r>
      <w:r w:rsidR="000A31F9" w:rsidRPr="00BD66CE">
        <w:rPr>
          <w:rFonts w:ascii="Verdana" w:hAnsi="Verdana"/>
          <w:b w:val="0"/>
        </w:rPr>
        <w:t xml:space="preserve">. </w:t>
      </w:r>
      <w:r w:rsidR="00E409AE" w:rsidRPr="00BD66CE">
        <w:rPr>
          <w:rFonts w:ascii="Verdana" w:hAnsi="Verdana"/>
          <w:b w:val="0"/>
        </w:rPr>
        <w:t>Wherefore</w:t>
      </w:r>
      <w:r w:rsidR="00EC2440" w:rsidRPr="00BD66CE">
        <w:rPr>
          <w:rFonts w:ascii="Verdana" w:hAnsi="Verdana"/>
          <w:b w:val="0"/>
        </w:rPr>
        <w:t xml:space="preserve">, </w:t>
      </w:r>
      <w:r w:rsidR="000A31F9" w:rsidRPr="00BD66CE">
        <w:rPr>
          <w:rFonts w:ascii="Verdana" w:hAnsi="Verdana"/>
          <w:b w:val="0"/>
        </w:rPr>
        <w:t xml:space="preserve">inconsistency in the interpretation of health law </w:t>
      </w:r>
      <w:r w:rsidR="00850E9F" w:rsidRPr="00BD66CE">
        <w:rPr>
          <w:rFonts w:ascii="Verdana" w:hAnsi="Verdana"/>
          <w:b w:val="0"/>
        </w:rPr>
        <w:t>averts</w:t>
      </w:r>
      <w:r w:rsidR="000A31F9" w:rsidRPr="00BD66CE">
        <w:rPr>
          <w:rFonts w:ascii="Verdana" w:hAnsi="Verdana"/>
          <w:b w:val="0"/>
        </w:rPr>
        <w:t xml:space="preserve"> the foundation of a robust legal framework in the region and produces une</w:t>
      </w:r>
      <w:r w:rsidR="003A3042" w:rsidRPr="00BD66CE">
        <w:rPr>
          <w:rFonts w:ascii="Verdana" w:hAnsi="Verdana"/>
          <w:b w:val="0"/>
        </w:rPr>
        <w:t>qual</w:t>
      </w:r>
      <w:r w:rsidR="000A31F9" w:rsidRPr="00BD66CE">
        <w:rPr>
          <w:rFonts w:ascii="Verdana" w:hAnsi="Verdana"/>
          <w:b w:val="0"/>
        </w:rPr>
        <w:t xml:space="preserve"> </w:t>
      </w:r>
      <w:r w:rsidR="003E3A5B" w:rsidRPr="00BD66CE">
        <w:rPr>
          <w:rFonts w:ascii="Verdana" w:hAnsi="Verdana"/>
          <w:b w:val="0"/>
        </w:rPr>
        <w:t>readings</w:t>
      </w:r>
      <w:r w:rsidR="000A31F9" w:rsidRPr="00BD66CE">
        <w:rPr>
          <w:rFonts w:ascii="Verdana" w:hAnsi="Verdana"/>
          <w:b w:val="0"/>
        </w:rPr>
        <w:t xml:space="preserve"> of the fu</w:t>
      </w:r>
      <w:r w:rsidR="006A1EA6" w:rsidRPr="00BD66CE">
        <w:rPr>
          <w:rFonts w:ascii="Verdana" w:hAnsi="Verdana"/>
          <w:b w:val="0"/>
        </w:rPr>
        <w:t xml:space="preserve">ndamental rights of </w:t>
      </w:r>
      <w:r w:rsidR="0022186E" w:rsidRPr="00BD66CE">
        <w:rPr>
          <w:rFonts w:ascii="Verdana" w:hAnsi="Verdana"/>
          <w:b w:val="0"/>
        </w:rPr>
        <w:t>older persons</w:t>
      </w:r>
      <w:r w:rsidR="00E30455" w:rsidRPr="00BD66CE">
        <w:rPr>
          <w:rFonts w:ascii="Verdana" w:hAnsi="Verdana"/>
          <w:b w:val="0"/>
        </w:rPr>
        <w:t>.</w:t>
      </w:r>
      <w:r w:rsidRPr="00BD66CE">
        <w:rPr>
          <w:rFonts w:ascii="Verdana" w:hAnsi="Verdana"/>
          <w:b w:val="0"/>
        </w:rPr>
        <w:t xml:space="preserve"> </w:t>
      </w:r>
      <w:r w:rsidR="00E30455" w:rsidRPr="00BD66CE">
        <w:rPr>
          <w:rFonts w:ascii="Verdana" w:hAnsi="Verdana"/>
          <w:b w:val="0"/>
        </w:rPr>
        <w:t xml:space="preserve"> </w:t>
      </w:r>
    </w:p>
    <w:p w14:paraId="6CA408A0" w14:textId="6E4E621F" w:rsidR="00004CB4" w:rsidRPr="00BD66CE" w:rsidRDefault="00D16659" w:rsidP="001C5420">
      <w:pPr>
        <w:pStyle w:val="MDPI21heading1"/>
        <w:ind w:left="0" w:firstLine="510"/>
        <w:jc w:val="both"/>
        <w:rPr>
          <w:rFonts w:ascii="Verdana" w:hAnsi="Verdana"/>
          <w:b w:val="0"/>
          <w:bCs/>
        </w:rPr>
      </w:pPr>
      <w:r w:rsidRPr="00BD66CE">
        <w:rPr>
          <w:rFonts w:ascii="Verdana" w:hAnsi="Verdana"/>
          <w:b w:val="0"/>
          <w:bCs/>
        </w:rPr>
        <w:t xml:space="preserve">In 2014, the Heads of State </w:t>
      </w:r>
      <w:r w:rsidR="006741B3" w:rsidRPr="00BD66CE">
        <w:rPr>
          <w:rFonts w:ascii="Verdana" w:hAnsi="Verdana"/>
          <w:b w:val="0"/>
          <w:bCs/>
        </w:rPr>
        <w:t>re</w:t>
      </w:r>
      <w:r w:rsidRPr="00BD66CE">
        <w:rPr>
          <w:rFonts w:ascii="Verdana" w:hAnsi="Verdana"/>
          <w:b w:val="0"/>
          <w:bCs/>
        </w:rPr>
        <w:t>acknowledged their commitment to public health for the region, announcing the CAIS's Regional Health Policy 2015-2022 at the 44th ordinary meeting</w:t>
      </w:r>
      <w:r w:rsidR="0025194C" w:rsidRPr="00BD66CE">
        <w:rPr>
          <w:rFonts w:ascii="Verdana" w:hAnsi="Verdana"/>
          <w:b w:val="0"/>
          <w:bCs/>
        </w:rPr>
        <w:t xml:space="preserve"> </w:t>
      </w:r>
      <w:r w:rsidR="00A77FD7" w:rsidRPr="00BD66CE">
        <w:rPr>
          <w:rFonts w:ascii="Verdana" w:hAnsi="Verdana"/>
          <w:b w:val="0"/>
        </w:rPr>
        <w:t>[24]</w:t>
      </w:r>
      <w:r w:rsidRPr="00BD66CE">
        <w:rPr>
          <w:rFonts w:ascii="Verdana" w:hAnsi="Verdana"/>
          <w:b w:val="0"/>
          <w:bCs/>
        </w:rPr>
        <w:t xml:space="preserve">. The policy laid on an understanding of national responsibilities and competencies insofar as the document has a political-strategic character that embodies the basic principles and interests in health from a collective perspective. Such a legal item represents the supreme drive of CCAMH and the most evident intersectoral experience of the CAIS-derived bodies since it </w:t>
      </w:r>
      <w:r w:rsidR="00DF1A97" w:rsidRPr="00BD66CE">
        <w:rPr>
          <w:rFonts w:ascii="Verdana" w:hAnsi="Verdana"/>
          <w:b w:val="0"/>
          <w:bCs/>
        </w:rPr>
        <w:t>claims</w:t>
      </w:r>
      <w:r w:rsidRPr="00BD66CE">
        <w:rPr>
          <w:rFonts w:ascii="Verdana" w:hAnsi="Verdana"/>
          <w:b w:val="0"/>
          <w:bCs/>
        </w:rPr>
        <w:t xml:space="preserve"> even participation from the fields of economy, law, environment, education, and food.</w:t>
      </w:r>
      <w:r w:rsidR="00DF1A97" w:rsidRPr="00BD66CE">
        <w:rPr>
          <w:rFonts w:ascii="Verdana" w:hAnsi="Verdana"/>
          <w:b w:val="0"/>
          <w:bCs/>
        </w:rPr>
        <w:t xml:space="preserve"> </w:t>
      </w:r>
      <w:r w:rsidR="000A28AE" w:rsidRPr="00BD66CE">
        <w:rPr>
          <w:rFonts w:ascii="Verdana" w:hAnsi="Verdana"/>
          <w:b w:val="0"/>
          <w:bCs/>
        </w:rPr>
        <w:t xml:space="preserve">More recently, Resolution </w:t>
      </w:r>
      <w:r w:rsidR="00201586" w:rsidRPr="00BD66CE">
        <w:rPr>
          <w:rFonts w:ascii="Verdana" w:hAnsi="Verdana"/>
          <w:b w:val="0"/>
        </w:rPr>
        <w:t>CCAMH</w:t>
      </w:r>
      <w:r w:rsidR="00201586" w:rsidRPr="00BD66CE">
        <w:rPr>
          <w:rFonts w:ascii="Verdana" w:hAnsi="Verdana"/>
        </w:rPr>
        <w:t xml:space="preserve"> </w:t>
      </w:r>
      <w:r w:rsidR="000A28AE" w:rsidRPr="00BD66CE">
        <w:rPr>
          <w:rFonts w:ascii="Verdana" w:hAnsi="Verdana"/>
          <w:b w:val="0"/>
          <w:bCs/>
        </w:rPr>
        <w:t>08-2020</w:t>
      </w:r>
      <w:r w:rsidR="00B225DE" w:rsidRPr="00BD66CE">
        <w:rPr>
          <w:rFonts w:ascii="Verdana" w:hAnsi="Verdana"/>
          <w:b w:val="0"/>
          <w:bCs/>
        </w:rPr>
        <w:t xml:space="preserve"> </w:t>
      </w:r>
      <w:r w:rsidR="00A77FD7" w:rsidRPr="00BD66CE">
        <w:rPr>
          <w:rFonts w:ascii="Verdana" w:hAnsi="Verdana"/>
          <w:b w:val="0"/>
        </w:rPr>
        <w:t>[25]</w:t>
      </w:r>
      <w:r w:rsidR="000A28AE" w:rsidRPr="00BD66CE">
        <w:rPr>
          <w:rFonts w:ascii="Verdana" w:hAnsi="Verdana"/>
          <w:b w:val="0"/>
          <w:bCs/>
        </w:rPr>
        <w:t xml:space="preserve">, signed on December </w:t>
      </w:r>
      <w:r w:rsidR="000A28AE" w:rsidRPr="00BD66CE">
        <w:rPr>
          <w:rFonts w:ascii="Verdana" w:hAnsi="Verdana"/>
          <w:b w:val="0"/>
          <w:bCs/>
        </w:rPr>
        <w:lastRenderedPageBreak/>
        <w:t>11, 2020, instituted a special secretariat and an executive committee to elaborate the 2021-2025 Regional Health Plan, which suffered delays due to the pandemic. The resolution also called for the submission of a situation report on the achievements and setbacks of the former regional health plan.</w:t>
      </w:r>
      <w:r w:rsidR="00380E9C" w:rsidRPr="00BD66CE">
        <w:rPr>
          <w:rFonts w:ascii="Verdana" w:hAnsi="Verdana"/>
          <w:b w:val="0"/>
          <w:bCs/>
        </w:rPr>
        <w:t xml:space="preserve"> </w:t>
      </w:r>
    </w:p>
    <w:p w14:paraId="1BBFEFEA" w14:textId="317D7730" w:rsidR="002A5583" w:rsidRPr="00BD66CE" w:rsidRDefault="002A5583" w:rsidP="001C5420">
      <w:pPr>
        <w:pStyle w:val="MDPI21heading1"/>
        <w:ind w:left="0" w:firstLine="510"/>
        <w:jc w:val="both"/>
        <w:rPr>
          <w:rFonts w:ascii="Verdana" w:hAnsi="Verdana"/>
          <w:b w:val="0"/>
          <w:bCs/>
        </w:rPr>
      </w:pPr>
      <w:r w:rsidRPr="00BD66CE">
        <w:rPr>
          <w:rFonts w:ascii="Verdana" w:hAnsi="Verdana"/>
          <w:b w:val="0"/>
        </w:rPr>
        <w:t>Even though the CCAMH</w:t>
      </w:r>
      <w:r w:rsidRPr="00BD66CE">
        <w:rPr>
          <w:rFonts w:ascii="Verdana" w:hAnsi="Verdana"/>
        </w:rPr>
        <w:t xml:space="preserve"> </w:t>
      </w:r>
      <w:r w:rsidRPr="00BD66CE">
        <w:rPr>
          <w:rFonts w:ascii="Verdana" w:hAnsi="Verdana"/>
          <w:b w:val="0"/>
        </w:rPr>
        <w:t xml:space="preserve">provides opportunities to strengthen public health systems in the region, the discussion on geriatric-gerontological care has not been a priority for the countries, partly because the </w:t>
      </w:r>
      <w:r w:rsidR="006741B3" w:rsidRPr="00BD66CE">
        <w:rPr>
          <w:rFonts w:ascii="Verdana" w:hAnsi="Verdana"/>
          <w:b w:val="0"/>
        </w:rPr>
        <w:t>countries</w:t>
      </w:r>
      <w:r w:rsidRPr="00BD66CE">
        <w:rPr>
          <w:rFonts w:ascii="Verdana" w:hAnsi="Verdana"/>
          <w:b w:val="0"/>
        </w:rPr>
        <w:t xml:space="preserve"> still seem to favor the trade axis over the social and health ones. </w:t>
      </w:r>
      <w:r w:rsidRPr="00BD66CE">
        <w:rPr>
          <w:rFonts w:ascii="Verdana" w:hAnsi="Verdana"/>
          <w:b w:val="0"/>
          <w:bCs/>
        </w:rPr>
        <w:t xml:space="preserve">In line with the above, the challenges become evident in clinical practice involving contact with the elderly; low healthcare quality is a vivid example of the shortcomings between countries since not all have, for </w:t>
      </w:r>
      <w:r w:rsidR="006741B3" w:rsidRPr="00BD66CE">
        <w:rPr>
          <w:rFonts w:ascii="Verdana" w:hAnsi="Verdana"/>
          <w:b w:val="0"/>
          <w:bCs/>
        </w:rPr>
        <w:t>instance</w:t>
      </w:r>
      <w:r w:rsidRPr="00BD66CE">
        <w:rPr>
          <w:rFonts w:ascii="Verdana" w:hAnsi="Verdana"/>
          <w:b w:val="0"/>
          <w:bCs/>
        </w:rPr>
        <w:t>, a national hospital specializing in geriatrics and gerontology</w:t>
      </w:r>
      <w:r w:rsidR="003011E2" w:rsidRPr="00BD66CE">
        <w:rPr>
          <w:rFonts w:ascii="Verdana" w:hAnsi="Verdana"/>
          <w:b w:val="0"/>
          <w:bCs/>
        </w:rPr>
        <w:t xml:space="preserve"> [26]</w:t>
      </w:r>
      <w:r w:rsidRPr="00BD66CE">
        <w:rPr>
          <w:rFonts w:ascii="Verdana" w:hAnsi="Verdana"/>
          <w:b w:val="0"/>
          <w:bCs/>
        </w:rPr>
        <w:t>. Furthermore, the Neoliberal tendencies that affect quite rigidly the healthcare field in Latin America are already taking root in the healthcare offered in Central America. It is seen in the lack of medical supplies</w:t>
      </w:r>
      <w:r w:rsidR="003011E2" w:rsidRPr="00BD66CE">
        <w:rPr>
          <w:rFonts w:ascii="Verdana" w:hAnsi="Verdana"/>
          <w:b w:val="0"/>
          <w:bCs/>
        </w:rPr>
        <w:t xml:space="preserve"> [27]</w:t>
      </w:r>
      <w:r w:rsidRPr="00BD66CE">
        <w:rPr>
          <w:rFonts w:ascii="Verdana" w:hAnsi="Verdana"/>
          <w:b w:val="0"/>
          <w:bCs/>
        </w:rPr>
        <w:t xml:space="preserve">, but more </w:t>
      </w:r>
      <w:r w:rsidR="006741B3" w:rsidRPr="00BD66CE">
        <w:rPr>
          <w:rFonts w:ascii="Verdana" w:hAnsi="Verdana"/>
          <w:b w:val="0"/>
          <w:bCs/>
        </w:rPr>
        <w:t>drastically</w:t>
      </w:r>
      <w:r w:rsidRPr="00BD66CE">
        <w:rPr>
          <w:rFonts w:ascii="Verdana" w:hAnsi="Verdana"/>
          <w:b w:val="0"/>
          <w:bCs/>
        </w:rPr>
        <w:t xml:space="preserve">, in the low rate of trained/skilled professionals in the various themes of human aging </w:t>
      </w:r>
      <w:r w:rsidR="00A77FD7" w:rsidRPr="00BD66CE">
        <w:rPr>
          <w:rFonts w:ascii="Verdana" w:hAnsi="Verdana"/>
          <w:b w:val="0"/>
        </w:rPr>
        <w:t xml:space="preserve">[28]. </w:t>
      </w:r>
    </w:p>
    <w:p w14:paraId="1213EB4C" w14:textId="77777777" w:rsidR="001C5420" w:rsidRPr="00BD66CE" w:rsidRDefault="001C5420" w:rsidP="001C5420">
      <w:pPr>
        <w:pStyle w:val="MDPI21heading1"/>
        <w:ind w:left="0"/>
        <w:jc w:val="both"/>
        <w:rPr>
          <w:rFonts w:ascii="Verdana" w:hAnsi="Verdana"/>
          <w:lang w:eastAsia="zh-CN"/>
        </w:rPr>
      </w:pPr>
    </w:p>
    <w:p w14:paraId="73DE6E59" w14:textId="7DD5E736" w:rsidR="00F745E9" w:rsidRPr="00BD66CE" w:rsidRDefault="005C4D87" w:rsidP="001C5420">
      <w:pPr>
        <w:pStyle w:val="MDPI21heading1"/>
        <w:ind w:left="0"/>
        <w:jc w:val="both"/>
        <w:rPr>
          <w:rFonts w:ascii="Verdana" w:hAnsi="Verdana"/>
        </w:rPr>
      </w:pPr>
      <w:r w:rsidRPr="00BD66CE">
        <w:rPr>
          <w:rFonts w:ascii="Verdana" w:hAnsi="Verdana"/>
          <w:lang w:eastAsia="zh-CN"/>
        </w:rPr>
        <w:t xml:space="preserve">2. </w:t>
      </w:r>
      <w:r w:rsidRPr="00BD66CE">
        <w:rPr>
          <w:rFonts w:ascii="Verdana" w:hAnsi="Verdana"/>
        </w:rPr>
        <w:t>Materials and Methods</w:t>
      </w:r>
    </w:p>
    <w:p w14:paraId="608A326F" w14:textId="0B71935F" w:rsidR="001B24ED" w:rsidRPr="00BD66CE" w:rsidRDefault="001B24ED" w:rsidP="001C5420">
      <w:pPr>
        <w:pStyle w:val="MDPI21heading1"/>
        <w:ind w:left="0"/>
        <w:jc w:val="both"/>
        <w:rPr>
          <w:rFonts w:ascii="Verdana" w:hAnsi="Verdana"/>
          <w:b w:val="0"/>
          <w:i/>
          <w:iCs/>
        </w:rPr>
      </w:pPr>
      <w:r w:rsidRPr="00BD66CE">
        <w:rPr>
          <w:rFonts w:ascii="Verdana" w:hAnsi="Verdana"/>
          <w:b w:val="0"/>
          <w:i/>
          <w:iCs/>
        </w:rPr>
        <w:t xml:space="preserve">2.1. </w:t>
      </w:r>
      <w:r w:rsidR="007635E1" w:rsidRPr="00BD66CE">
        <w:rPr>
          <w:rFonts w:ascii="Verdana" w:hAnsi="Verdana"/>
          <w:b w:val="0"/>
          <w:i/>
          <w:iCs/>
        </w:rPr>
        <w:t xml:space="preserve">Study design </w:t>
      </w:r>
    </w:p>
    <w:p w14:paraId="50029FCA" w14:textId="3E0B5D3B" w:rsidR="00AC202C" w:rsidRPr="00BD66CE" w:rsidRDefault="006326DC" w:rsidP="001C5420">
      <w:pPr>
        <w:pStyle w:val="MDPI21heading1"/>
        <w:ind w:left="0" w:firstLine="510"/>
        <w:jc w:val="both"/>
        <w:rPr>
          <w:rFonts w:ascii="Verdana" w:hAnsi="Verdana"/>
          <w:b w:val="0"/>
        </w:rPr>
      </w:pPr>
      <w:r w:rsidRPr="00BD66CE">
        <w:rPr>
          <w:rFonts w:ascii="Verdana" w:hAnsi="Verdana"/>
          <w:b w:val="0"/>
        </w:rPr>
        <w:t>In line with the objective of this study, we carried out a</w:t>
      </w:r>
      <w:r w:rsidR="003B3DCD" w:rsidRPr="00BD66CE">
        <w:rPr>
          <w:rFonts w:ascii="Verdana" w:hAnsi="Verdana"/>
          <w:b w:val="0"/>
        </w:rPr>
        <w:t xml:space="preserve"> documentary-</w:t>
      </w:r>
      <w:r w:rsidR="001A6014" w:rsidRPr="00BD66CE">
        <w:rPr>
          <w:rFonts w:ascii="Verdana" w:hAnsi="Verdana"/>
          <w:b w:val="0"/>
        </w:rPr>
        <w:t xml:space="preserve">integrative </w:t>
      </w:r>
      <w:r w:rsidRPr="00BD66CE">
        <w:rPr>
          <w:rFonts w:ascii="Verdana" w:hAnsi="Verdana"/>
          <w:b w:val="0"/>
        </w:rPr>
        <w:t>rev</w:t>
      </w:r>
      <w:r w:rsidR="001C5420" w:rsidRPr="00BD66CE">
        <w:rPr>
          <w:rFonts w:ascii="Verdana" w:hAnsi="Verdana"/>
          <w:b w:val="0"/>
        </w:rPr>
        <w:t>i</w:t>
      </w:r>
      <w:r w:rsidRPr="00BD66CE">
        <w:rPr>
          <w:rFonts w:ascii="Verdana" w:hAnsi="Verdana"/>
          <w:b w:val="0"/>
        </w:rPr>
        <w:t xml:space="preserve">ew, with a </w:t>
      </w:r>
      <w:r w:rsidR="00A40863" w:rsidRPr="00BD66CE">
        <w:rPr>
          <w:rFonts w:ascii="Verdana" w:hAnsi="Verdana"/>
          <w:b w:val="0"/>
        </w:rPr>
        <w:t>mixed</w:t>
      </w:r>
      <w:r w:rsidRPr="00BD66CE">
        <w:rPr>
          <w:rFonts w:ascii="Verdana" w:hAnsi="Verdana"/>
          <w:b w:val="0"/>
        </w:rPr>
        <w:t xml:space="preserve"> and descriptive approach.</w:t>
      </w:r>
      <w:r w:rsidR="00E30455" w:rsidRPr="00BD66CE">
        <w:rPr>
          <w:rFonts w:ascii="Verdana" w:hAnsi="Verdana"/>
          <w:b w:val="0"/>
        </w:rPr>
        <w:t xml:space="preserve"> </w:t>
      </w:r>
      <w:r w:rsidR="008D06F7" w:rsidRPr="00BD66CE">
        <w:rPr>
          <w:rFonts w:ascii="Verdana" w:hAnsi="Verdana"/>
          <w:b w:val="0"/>
        </w:rPr>
        <w:t xml:space="preserve">We propose to look at the current health crisis from a social and historical perspective, trying to understand the socio-historical context that marked the performance of </w:t>
      </w:r>
      <w:r w:rsidR="00AC202C" w:rsidRPr="00BD66CE">
        <w:rPr>
          <w:rFonts w:ascii="Verdana" w:hAnsi="Verdana"/>
          <w:b w:val="0"/>
        </w:rPr>
        <w:t xml:space="preserve">Central American </w:t>
      </w:r>
      <w:r w:rsidR="008D06F7" w:rsidRPr="00BD66CE">
        <w:rPr>
          <w:rFonts w:ascii="Verdana" w:hAnsi="Verdana"/>
          <w:b w:val="0"/>
        </w:rPr>
        <w:t xml:space="preserve">public health systems during the </w:t>
      </w:r>
      <w:r w:rsidR="007B3943" w:rsidRPr="00BD66CE">
        <w:rPr>
          <w:rFonts w:ascii="Verdana" w:hAnsi="Verdana"/>
          <w:b w:val="0"/>
        </w:rPr>
        <w:t xml:space="preserve">first two years of the </w:t>
      </w:r>
      <w:r w:rsidR="003B3DCD" w:rsidRPr="00BD66CE">
        <w:rPr>
          <w:rFonts w:ascii="Verdana" w:hAnsi="Verdana"/>
          <w:b w:val="0"/>
        </w:rPr>
        <w:t xml:space="preserve">pandemic. As explained by Freitas </w:t>
      </w:r>
      <w:r w:rsidR="00A77FD7" w:rsidRPr="00BD66CE">
        <w:rPr>
          <w:rFonts w:ascii="Verdana" w:hAnsi="Verdana"/>
          <w:b w:val="0"/>
        </w:rPr>
        <w:t>[29]</w:t>
      </w:r>
      <w:r w:rsidR="003B3DCD" w:rsidRPr="00BD66CE">
        <w:rPr>
          <w:rFonts w:ascii="Verdana" w:hAnsi="Verdana"/>
          <w:b w:val="0"/>
        </w:rPr>
        <w:t>, this</w:t>
      </w:r>
      <w:r w:rsidR="008D06F7" w:rsidRPr="00BD66CE">
        <w:rPr>
          <w:rFonts w:ascii="Verdana" w:hAnsi="Verdana"/>
          <w:b w:val="0"/>
        </w:rPr>
        <w:t xml:space="preserve"> perspective overcomes the empiricist and idealist conceptions since it is concerned with studying </w:t>
      </w:r>
      <w:r w:rsidR="00505F2A" w:rsidRPr="00BD66CE">
        <w:rPr>
          <w:rFonts w:ascii="Verdana" w:hAnsi="Verdana"/>
          <w:b w:val="0"/>
        </w:rPr>
        <w:t>the individual</w:t>
      </w:r>
      <w:r w:rsidR="008D06F7" w:rsidRPr="00BD66CE">
        <w:rPr>
          <w:rFonts w:ascii="Verdana" w:hAnsi="Verdana"/>
          <w:b w:val="0"/>
        </w:rPr>
        <w:t xml:space="preserve"> as a unity of body and mind, biological and social being, thus allowing the recovery of political, histo</w:t>
      </w:r>
      <w:r w:rsidR="003B3DCD" w:rsidRPr="00BD66CE">
        <w:rPr>
          <w:rFonts w:ascii="Verdana" w:hAnsi="Verdana"/>
          <w:b w:val="0"/>
        </w:rPr>
        <w:t xml:space="preserve">rical, and social trajectories. </w:t>
      </w:r>
    </w:p>
    <w:p w14:paraId="56801377" w14:textId="331128FA" w:rsidR="00C30ED2" w:rsidRPr="00BD66CE" w:rsidRDefault="00E93B32" w:rsidP="001C5420">
      <w:pPr>
        <w:pStyle w:val="MDPI21heading1"/>
        <w:ind w:left="0" w:firstLine="510"/>
        <w:jc w:val="both"/>
        <w:rPr>
          <w:rFonts w:ascii="Verdana" w:hAnsi="Verdana"/>
          <w:b w:val="0"/>
          <w:bCs/>
        </w:rPr>
      </w:pPr>
      <w:r w:rsidRPr="00BD66CE">
        <w:rPr>
          <w:rFonts w:ascii="Verdana" w:hAnsi="Verdana"/>
          <w:b w:val="0"/>
        </w:rPr>
        <w:t>We also</w:t>
      </w:r>
      <w:r w:rsidR="00C30ED2" w:rsidRPr="00BD66CE">
        <w:rPr>
          <w:rFonts w:ascii="Verdana" w:hAnsi="Verdana"/>
          <w:b w:val="0"/>
          <w:bCs/>
        </w:rPr>
        <w:t xml:space="preserve"> handled secondary source data from official online platforms to provide statistically referred readings. In this case, we propose the use of </w:t>
      </w:r>
      <w:r w:rsidR="00756B02" w:rsidRPr="00BD66CE">
        <w:rPr>
          <w:rFonts w:ascii="Verdana" w:hAnsi="Verdana"/>
          <w:b w:val="0"/>
          <w:bCs/>
        </w:rPr>
        <w:t>critical</w:t>
      </w:r>
      <w:r w:rsidR="00C30ED2" w:rsidRPr="00BD66CE">
        <w:rPr>
          <w:rFonts w:ascii="Verdana" w:hAnsi="Verdana"/>
          <w:b w:val="0"/>
          <w:bCs/>
        </w:rPr>
        <w:t xml:space="preserve"> epidemiology based on the theoretical framework of Breihl </w:t>
      </w:r>
      <w:r w:rsidR="00A77FD7" w:rsidRPr="00BD66CE">
        <w:rPr>
          <w:rFonts w:ascii="Verdana" w:hAnsi="Verdana"/>
          <w:b w:val="0"/>
        </w:rPr>
        <w:t>[30]</w:t>
      </w:r>
      <w:r w:rsidR="00C30ED2" w:rsidRPr="00BD66CE">
        <w:rPr>
          <w:rFonts w:ascii="Verdana" w:hAnsi="Verdana"/>
          <w:b w:val="0"/>
          <w:bCs/>
        </w:rPr>
        <w:t xml:space="preserve">, who develops a critique of the empirical-functionalist paradigm of </w:t>
      </w:r>
      <w:r w:rsidR="00F444EF" w:rsidRPr="00BD66CE">
        <w:rPr>
          <w:rFonts w:ascii="Verdana" w:hAnsi="Verdana"/>
          <w:b w:val="0"/>
          <w:bCs/>
        </w:rPr>
        <w:t xml:space="preserve">Latin American </w:t>
      </w:r>
      <w:r w:rsidR="00C30ED2" w:rsidRPr="00BD66CE">
        <w:rPr>
          <w:rFonts w:ascii="Verdana" w:hAnsi="Verdana"/>
          <w:b w:val="0"/>
          <w:bCs/>
        </w:rPr>
        <w:t xml:space="preserve">epidemiology as a tool to work on the relationship between social reproduction, ways of life, and ways of getting ill and dying. Moreover, it allows us to infer that in the vast field in which it expands, </w:t>
      </w:r>
      <w:r w:rsidR="000A4A23" w:rsidRPr="00BD66CE">
        <w:rPr>
          <w:rFonts w:ascii="Verdana" w:hAnsi="Verdana"/>
          <w:b w:val="0"/>
          <w:bCs/>
        </w:rPr>
        <w:t>critical</w:t>
      </w:r>
      <w:r w:rsidR="00C30ED2" w:rsidRPr="00BD66CE">
        <w:rPr>
          <w:rFonts w:ascii="Verdana" w:hAnsi="Verdana"/>
          <w:b w:val="0"/>
          <w:bCs/>
        </w:rPr>
        <w:t xml:space="preserve"> epidemiology </w:t>
      </w:r>
      <w:r w:rsidR="00EA4B2C" w:rsidRPr="00BD66CE">
        <w:rPr>
          <w:rFonts w:ascii="Verdana" w:hAnsi="Verdana"/>
          <w:b w:val="0"/>
          <w:bCs/>
        </w:rPr>
        <w:t>approaches</w:t>
      </w:r>
      <w:r w:rsidR="00C30ED2" w:rsidRPr="00BD66CE">
        <w:rPr>
          <w:rFonts w:ascii="Verdana" w:hAnsi="Verdana"/>
          <w:b w:val="0"/>
          <w:bCs/>
        </w:rPr>
        <w:t xml:space="preserve"> the place, the person, and the time as a result of the interactions that interfere with human health.</w:t>
      </w:r>
      <w:r w:rsidRPr="00BD66CE">
        <w:rPr>
          <w:rFonts w:ascii="Verdana" w:hAnsi="Verdana"/>
          <w:b w:val="0"/>
          <w:bCs/>
        </w:rPr>
        <w:t xml:space="preserve"> </w:t>
      </w:r>
    </w:p>
    <w:p w14:paraId="5D68C7AF" w14:textId="3A29EFDA" w:rsidR="000F140F" w:rsidRPr="00BD66CE" w:rsidRDefault="000F140F" w:rsidP="001C5420">
      <w:pPr>
        <w:pStyle w:val="MDPI21heading1"/>
        <w:ind w:left="0"/>
        <w:jc w:val="both"/>
        <w:rPr>
          <w:rFonts w:ascii="Verdana" w:hAnsi="Verdana"/>
          <w:b w:val="0"/>
          <w:i/>
          <w:iCs/>
        </w:rPr>
      </w:pPr>
      <w:r w:rsidRPr="00BD66CE">
        <w:rPr>
          <w:rFonts w:ascii="Verdana" w:hAnsi="Verdana"/>
          <w:b w:val="0"/>
          <w:i/>
          <w:iCs/>
        </w:rPr>
        <w:t>2.</w:t>
      </w:r>
      <w:r w:rsidR="001B24ED" w:rsidRPr="00BD66CE">
        <w:rPr>
          <w:rFonts w:ascii="Verdana" w:hAnsi="Verdana"/>
          <w:b w:val="0"/>
          <w:i/>
          <w:iCs/>
        </w:rPr>
        <w:t>2</w:t>
      </w:r>
      <w:r w:rsidRPr="00BD66CE">
        <w:rPr>
          <w:rFonts w:ascii="Verdana" w:hAnsi="Verdana"/>
          <w:b w:val="0"/>
          <w:i/>
          <w:iCs/>
        </w:rPr>
        <w:t xml:space="preserve">. Settings </w:t>
      </w:r>
    </w:p>
    <w:p w14:paraId="4FC1BB39" w14:textId="7762109B" w:rsidR="002B00AD" w:rsidRPr="00BD66CE" w:rsidRDefault="00056733" w:rsidP="001C5420">
      <w:pPr>
        <w:pStyle w:val="MDPI21heading1"/>
        <w:ind w:left="0" w:firstLine="510"/>
        <w:jc w:val="both"/>
        <w:rPr>
          <w:rFonts w:ascii="Verdana" w:hAnsi="Verdana"/>
          <w:b w:val="0"/>
        </w:rPr>
      </w:pPr>
      <w:r w:rsidRPr="00BD66CE">
        <w:rPr>
          <w:rFonts w:ascii="Verdana" w:hAnsi="Verdana"/>
          <w:b w:val="0"/>
        </w:rPr>
        <w:t xml:space="preserve">We considered each </w:t>
      </w:r>
      <w:r w:rsidR="003B3DCD" w:rsidRPr="00BD66CE">
        <w:rPr>
          <w:rFonts w:ascii="Verdana" w:hAnsi="Verdana"/>
          <w:b w:val="0"/>
        </w:rPr>
        <w:t xml:space="preserve">continental </w:t>
      </w:r>
      <w:r w:rsidRPr="00BD66CE">
        <w:rPr>
          <w:rFonts w:ascii="Verdana" w:hAnsi="Verdana"/>
          <w:b w:val="0"/>
        </w:rPr>
        <w:t>Central American country as a unit of analysis. Table 1 shows a list of sociodemographic data based on prospects for the year 2022 made by the Economic Commission for Latin America and the Caribbean (ECLAC)</w:t>
      </w:r>
      <w:r w:rsidR="0036495F" w:rsidRPr="00BD66CE">
        <w:rPr>
          <w:rFonts w:ascii="Verdana" w:hAnsi="Verdana"/>
          <w:b w:val="0"/>
        </w:rPr>
        <w:t xml:space="preserve"> [31]</w:t>
      </w:r>
      <w:r w:rsidRPr="00BD66CE">
        <w:rPr>
          <w:rFonts w:ascii="Verdana" w:hAnsi="Verdana"/>
          <w:b w:val="0"/>
        </w:rPr>
        <w:t>. Overall, continental Central America is a divergent region where countries</w:t>
      </w:r>
      <w:r w:rsidR="00385124" w:rsidRPr="00BD66CE">
        <w:rPr>
          <w:rFonts w:ascii="Verdana" w:hAnsi="Verdana"/>
          <w:b w:val="0"/>
        </w:rPr>
        <w:t xml:space="preserve"> </w:t>
      </w:r>
      <w:r w:rsidRPr="00BD66CE">
        <w:rPr>
          <w:rFonts w:ascii="Verdana" w:hAnsi="Verdana"/>
          <w:b w:val="0"/>
        </w:rPr>
        <w:t xml:space="preserve">with gross populations that do not even reach five million inhabitants (e.g., Belize, El Salvador, </w:t>
      </w:r>
      <w:r w:rsidR="0022186E" w:rsidRPr="00BD66CE">
        <w:rPr>
          <w:rFonts w:ascii="Verdana" w:hAnsi="Verdana"/>
          <w:b w:val="0"/>
        </w:rPr>
        <w:t xml:space="preserve">and </w:t>
      </w:r>
      <w:r w:rsidRPr="00BD66CE">
        <w:rPr>
          <w:rFonts w:ascii="Verdana" w:hAnsi="Verdana"/>
          <w:b w:val="0"/>
        </w:rPr>
        <w:t xml:space="preserve">Costa Rica) coexist with neighbor nations that exceed their </w:t>
      </w:r>
      <w:r w:rsidR="006D4380" w:rsidRPr="00BD66CE">
        <w:rPr>
          <w:rFonts w:ascii="Verdana" w:hAnsi="Verdana"/>
          <w:b w:val="0"/>
        </w:rPr>
        <w:t xml:space="preserve">population </w:t>
      </w:r>
      <w:r w:rsidRPr="00BD66CE">
        <w:rPr>
          <w:rFonts w:ascii="Verdana" w:hAnsi="Verdana"/>
          <w:b w:val="0"/>
        </w:rPr>
        <w:t>dens</w:t>
      </w:r>
      <w:r w:rsidR="0022186E" w:rsidRPr="00BD66CE">
        <w:rPr>
          <w:rFonts w:ascii="Verdana" w:hAnsi="Verdana"/>
          <w:b w:val="0"/>
        </w:rPr>
        <w:t>ity (e.g., Guatemala and</w:t>
      </w:r>
      <w:r w:rsidRPr="00BD66CE">
        <w:rPr>
          <w:rFonts w:ascii="Verdana" w:hAnsi="Verdana"/>
          <w:b w:val="0"/>
        </w:rPr>
        <w:t xml:space="preserve"> Nicaragua). </w:t>
      </w:r>
    </w:p>
    <w:p w14:paraId="08240652" w14:textId="77777777" w:rsidR="001C5420" w:rsidRPr="00BD66CE" w:rsidRDefault="001C5420" w:rsidP="001C5420">
      <w:pPr>
        <w:pStyle w:val="MDPI21heading1"/>
        <w:ind w:left="0" w:firstLine="510"/>
        <w:jc w:val="both"/>
        <w:rPr>
          <w:rFonts w:ascii="Verdana" w:hAnsi="Verdana"/>
          <w:b w:val="0"/>
        </w:rPr>
      </w:pPr>
    </w:p>
    <w:p w14:paraId="6FE72FB3" w14:textId="6F59008E" w:rsidR="00ED23AE" w:rsidRPr="00BD66CE" w:rsidRDefault="00441A6C" w:rsidP="00D37840">
      <w:pPr>
        <w:pStyle w:val="MDPI21heading1"/>
        <w:ind w:left="0"/>
        <w:jc w:val="both"/>
        <w:rPr>
          <w:rFonts w:ascii="Verdana" w:hAnsi="Verdana"/>
          <w:b w:val="0"/>
        </w:rPr>
      </w:pPr>
      <w:r w:rsidRPr="00BD66CE">
        <w:rPr>
          <w:rFonts w:ascii="Verdana" w:hAnsi="Verdana"/>
        </w:rPr>
        <w:t>Table</w:t>
      </w:r>
      <w:r w:rsidR="00ED23AE" w:rsidRPr="00BD66CE">
        <w:rPr>
          <w:rFonts w:ascii="Verdana" w:hAnsi="Verdana"/>
        </w:rPr>
        <w:t xml:space="preserve"> 1</w:t>
      </w:r>
      <w:r w:rsidR="00ED23AE" w:rsidRPr="00BD66CE">
        <w:rPr>
          <w:rFonts w:ascii="Verdana" w:hAnsi="Verdana"/>
          <w:b w:val="0"/>
        </w:rPr>
        <w:t xml:space="preserve">. </w:t>
      </w:r>
      <w:r w:rsidR="00D37840" w:rsidRPr="00BD66CE">
        <w:rPr>
          <w:rFonts w:ascii="Verdana" w:hAnsi="Verdana"/>
          <w:b w:val="0"/>
        </w:rPr>
        <w:t xml:space="preserve">Sociodemographic </w:t>
      </w:r>
      <w:r w:rsidR="0078373F" w:rsidRPr="00BD66CE">
        <w:rPr>
          <w:rFonts w:ascii="Verdana" w:hAnsi="Verdana"/>
          <w:b w:val="0"/>
        </w:rPr>
        <w:t>prospects</w:t>
      </w:r>
      <w:r w:rsidRPr="00BD66CE">
        <w:rPr>
          <w:rFonts w:ascii="Verdana" w:hAnsi="Verdana"/>
          <w:b w:val="0"/>
        </w:rPr>
        <w:t xml:space="preserve"> for Central America</w:t>
      </w:r>
      <w:r w:rsidR="00D37840" w:rsidRPr="00BD66CE">
        <w:rPr>
          <w:rFonts w:ascii="Verdana" w:hAnsi="Verdana"/>
          <w:b w:val="0"/>
        </w:rPr>
        <w:t xml:space="preserve">, </w:t>
      </w:r>
      <w:r w:rsidR="00FD731D" w:rsidRPr="00BD66CE">
        <w:rPr>
          <w:rFonts w:ascii="Verdana" w:hAnsi="Verdana"/>
          <w:b w:val="0"/>
        </w:rPr>
        <w:t>by country and corresponding variable</w:t>
      </w:r>
      <w:r w:rsidRPr="00BD66CE">
        <w:rPr>
          <w:rFonts w:ascii="Verdana" w:hAnsi="Verdana"/>
          <w:b w:val="0"/>
        </w:rPr>
        <w:t>s</w:t>
      </w:r>
      <w:r w:rsidR="00175E34" w:rsidRPr="00BD66CE">
        <w:rPr>
          <w:rFonts w:ascii="Verdana" w:hAnsi="Verdana"/>
          <w:b w:val="0"/>
        </w:rPr>
        <w:t>,</w:t>
      </w:r>
      <w:r w:rsidR="00FD731D" w:rsidRPr="00BD66CE">
        <w:rPr>
          <w:rFonts w:ascii="Verdana" w:hAnsi="Verdana"/>
          <w:b w:val="0"/>
        </w:rPr>
        <w:t xml:space="preserve"> 2022. </w:t>
      </w:r>
    </w:p>
    <w:tbl>
      <w:tblPr>
        <w:tblStyle w:val="Tablaconcuadrcula"/>
        <w:tblW w:w="10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703"/>
        <w:gridCol w:w="756"/>
        <w:gridCol w:w="792"/>
        <w:gridCol w:w="846"/>
        <w:gridCol w:w="846"/>
        <w:gridCol w:w="801"/>
        <w:gridCol w:w="756"/>
        <w:gridCol w:w="1021"/>
      </w:tblGrid>
      <w:tr w:rsidR="00D37840" w:rsidRPr="00BD66CE" w14:paraId="5E8B33E2" w14:textId="77777777" w:rsidTr="00391110">
        <w:tc>
          <w:tcPr>
            <w:tcW w:w="4116" w:type="dxa"/>
            <w:tcBorders>
              <w:top w:val="single" w:sz="4" w:space="0" w:color="auto"/>
              <w:bottom w:val="single" w:sz="4" w:space="0" w:color="auto"/>
            </w:tcBorders>
            <w:shd w:val="clear" w:color="auto" w:fill="D9D9D9" w:themeFill="background1" w:themeFillShade="D9"/>
          </w:tcPr>
          <w:p w14:paraId="70278620" w14:textId="77777777" w:rsidR="00D37840" w:rsidRPr="00BD66CE" w:rsidRDefault="00D37840" w:rsidP="007D5146">
            <w:pPr>
              <w:rPr>
                <w:rFonts w:ascii="Verdana" w:hAnsi="Verdana"/>
                <w:b/>
                <w:lang w:val="es-CR"/>
              </w:rPr>
            </w:pPr>
            <w:r w:rsidRPr="00BD66CE">
              <w:rPr>
                <w:rFonts w:ascii="Verdana" w:hAnsi="Verdana"/>
                <w:b/>
                <w:lang w:val="es-CR"/>
              </w:rPr>
              <w:t xml:space="preserve">Variable observed </w:t>
            </w:r>
          </w:p>
        </w:tc>
        <w:tc>
          <w:tcPr>
            <w:tcW w:w="703" w:type="dxa"/>
            <w:tcBorders>
              <w:top w:val="single" w:sz="4" w:space="0" w:color="auto"/>
              <w:bottom w:val="single" w:sz="4" w:space="0" w:color="auto"/>
            </w:tcBorders>
            <w:shd w:val="clear" w:color="auto" w:fill="D9D9D9" w:themeFill="background1" w:themeFillShade="D9"/>
          </w:tcPr>
          <w:p w14:paraId="37517F4C" w14:textId="77777777" w:rsidR="00D37840" w:rsidRPr="00BD66CE" w:rsidRDefault="00D37840" w:rsidP="00D37840">
            <w:pPr>
              <w:jc w:val="center"/>
              <w:rPr>
                <w:rFonts w:ascii="Verdana" w:hAnsi="Verdana"/>
                <w:b/>
                <w:sz w:val="18"/>
                <w:szCs w:val="18"/>
                <w:lang w:val="es-CR"/>
              </w:rPr>
            </w:pPr>
            <w:r w:rsidRPr="00BD66CE">
              <w:rPr>
                <w:rFonts w:ascii="Verdana" w:hAnsi="Verdana"/>
                <w:b/>
                <w:sz w:val="18"/>
                <w:szCs w:val="18"/>
                <w:lang w:val="es-CR"/>
              </w:rPr>
              <w:t>BLZ</w:t>
            </w:r>
          </w:p>
        </w:tc>
        <w:tc>
          <w:tcPr>
            <w:tcW w:w="756" w:type="dxa"/>
            <w:tcBorders>
              <w:top w:val="single" w:sz="4" w:space="0" w:color="auto"/>
              <w:bottom w:val="single" w:sz="4" w:space="0" w:color="auto"/>
            </w:tcBorders>
            <w:shd w:val="clear" w:color="auto" w:fill="D9D9D9" w:themeFill="background1" w:themeFillShade="D9"/>
          </w:tcPr>
          <w:p w14:paraId="4C8D623F" w14:textId="77777777" w:rsidR="00D37840" w:rsidRPr="00BD66CE" w:rsidRDefault="00D37840" w:rsidP="00D37840">
            <w:pPr>
              <w:jc w:val="center"/>
              <w:rPr>
                <w:rFonts w:ascii="Verdana" w:hAnsi="Verdana"/>
                <w:b/>
                <w:sz w:val="18"/>
                <w:szCs w:val="18"/>
                <w:lang w:val="es-CR"/>
              </w:rPr>
            </w:pPr>
            <w:r w:rsidRPr="00BD66CE">
              <w:rPr>
                <w:rFonts w:ascii="Verdana" w:hAnsi="Verdana"/>
                <w:b/>
                <w:sz w:val="18"/>
                <w:szCs w:val="18"/>
                <w:lang w:val="es-CR"/>
              </w:rPr>
              <w:t>CRC</w:t>
            </w:r>
          </w:p>
        </w:tc>
        <w:tc>
          <w:tcPr>
            <w:tcW w:w="792" w:type="dxa"/>
            <w:tcBorders>
              <w:top w:val="single" w:sz="4" w:space="0" w:color="auto"/>
              <w:bottom w:val="single" w:sz="4" w:space="0" w:color="auto"/>
            </w:tcBorders>
            <w:shd w:val="clear" w:color="auto" w:fill="D9D9D9" w:themeFill="background1" w:themeFillShade="D9"/>
          </w:tcPr>
          <w:p w14:paraId="66FEEA58" w14:textId="77777777" w:rsidR="00D37840" w:rsidRPr="00BD66CE" w:rsidRDefault="00D37840" w:rsidP="00D37840">
            <w:pPr>
              <w:jc w:val="center"/>
              <w:rPr>
                <w:rFonts w:ascii="Verdana" w:hAnsi="Verdana"/>
                <w:b/>
                <w:sz w:val="18"/>
                <w:szCs w:val="18"/>
                <w:lang w:val="es-CR"/>
              </w:rPr>
            </w:pPr>
            <w:r w:rsidRPr="00BD66CE">
              <w:rPr>
                <w:rFonts w:ascii="Verdana" w:hAnsi="Verdana"/>
                <w:b/>
                <w:sz w:val="18"/>
                <w:szCs w:val="18"/>
                <w:lang w:val="es-CR"/>
              </w:rPr>
              <w:t>SLV</w:t>
            </w:r>
          </w:p>
        </w:tc>
        <w:tc>
          <w:tcPr>
            <w:tcW w:w="846" w:type="dxa"/>
            <w:tcBorders>
              <w:top w:val="single" w:sz="4" w:space="0" w:color="auto"/>
              <w:bottom w:val="single" w:sz="4" w:space="0" w:color="auto"/>
            </w:tcBorders>
            <w:shd w:val="clear" w:color="auto" w:fill="D9D9D9" w:themeFill="background1" w:themeFillShade="D9"/>
          </w:tcPr>
          <w:p w14:paraId="5C711B8B" w14:textId="77777777" w:rsidR="00D37840" w:rsidRPr="00BD66CE" w:rsidRDefault="00D37840" w:rsidP="00D37840">
            <w:pPr>
              <w:jc w:val="center"/>
              <w:rPr>
                <w:rFonts w:ascii="Verdana" w:hAnsi="Verdana"/>
                <w:b/>
                <w:sz w:val="18"/>
                <w:szCs w:val="18"/>
                <w:lang w:val="es-CR"/>
              </w:rPr>
            </w:pPr>
            <w:r w:rsidRPr="00BD66CE">
              <w:rPr>
                <w:rFonts w:ascii="Verdana" w:hAnsi="Verdana"/>
                <w:b/>
                <w:sz w:val="18"/>
                <w:szCs w:val="18"/>
                <w:lang w:val="es-CR"/>
              </w:rPr>
              <w:t>GTM</w:t>
            </w:r>
          </w:p>
        </w:tc>
        <w:tc>
          <w:tcPr>
            <w:tcW w:w="846" w:type="dxa"/>
            <w:tcBorders>
              <w:top w:val="single" w:sz="4" w:space="0" w:color="auto"/>
              <w:bottom w:val="single" w:sz="4" w:space="0" w:color="auto"/>
            </w:tcBorders>
            <w:shd w:val="clear" w:color="auto" w:fill="D9D9D9" w:themeFill="background1" w:themeFillShade="D9"/>
          </w:tcPr>
          <w:p w14:paraId="7A3A7AB6" w14:textId="77777777" w:rsidR="00D37840" w:rsidRPr="00BD66CE" w:rsidRDefault="00D37840" w:rsidP="00D37840">
            <w:pPr>
              <w:jc w:val="center"/>
              <w:rPr>
                <w:rFonts w:ascii="Verdana" w:hAnsi="Verdana"/>
                <w:b/>
                <w:sz w:val="18"/>
                <w:szCs w:val="18"/>
                <w:lang w:val="es-CR"/>
              </w:rPr>
            </w:pPr>
            <w:r w:rsidRPr="00BD66CE">
              <w:rPr>
                <w:rFonts w:ascii="Verdana" w:hAnsi="Verdana"/>
                <w:b/>
                <w:sz w:val="18"/>
                <w:szCs w:val="18"/>
                <w:lang w:val="es-CR"/>
              </w:rPr>
              <w:t>HND</w:t>
            </w:r>
          </w:p>
        </w:tc>
        <w:tc>
          <w:tcPr>
            <w:tcW w:w="801" w:type="dxa"/>
            <w:tcBorders>
              <w:top w:val="single" w:sz="4" w:space="0" w:color="auto"/>
              <w:bottom w:val="single" w:sz="4" w:space="0" w:color="auto"/>
            </w:tcBorders>
            <w:shd w:val="clear" w:color="auto" w:fill="D9D9D9" w:themeFill="background1" w:themeFillShade="D9"/>
          </w:tcPr>
          <w:p w14:paraId="30828271" w14:textId="77777777" w:rsidR="00D37840" w:rsidRPr="00BD66CE" w:rsidRDefault="00D37840" w:rsidP="00D37840">
            <w:pPr>
              <w:jc w:val="center"/>
              <w:rPr>
                <w:rFonts w:ascii="Verdana" w:hAnsi="Verdana"/>
                <w:b/>
                <w:sz w:val="18"/>
                <w:szCs w:val="18"/>
                <w:lang w:val="es-CR"/>
              </w:rPr>
            </w:pPr>
            <w:r w:rsidRPr="00BD66CE">
              <w:rPr>
                <w:rFonts w:ascii="Verdana" w:hAnsi="Verdana"/>
                <w:b/>
                <w:sz w:val="18"/>
                <w:szCs w:val="18"/>
                <w:lang w:val="es-CR"/>
              </w:rPr>
              <w:t>PNM</w:t>
            </w:r>
          </w:p>
        </w:tc>
        <w:tc>
          <w:tcPr>
            <w:tcW w:w="756" w:type="dxa"/>
            <w:tcBorders>
              <w:top w:val="single" w:sz="4" w:space="0" w:color="auto"/>
              <w:bottom w:val="single" w:sz="4" w:space="0" w:color="auto"/>
            </w:tcBorders>
            <w:shd w:val="clear" w:color="auto" w:fill="D9D9D9" w:themeFill="background1" w:themeFillShade="D9"/>
          </w:tcPr>
          <w:p w14:paraId="19D2F94D" w14:textId="77777777" w:rsidR="00D37840" w:rsidRPr="00BD66CE" w:rsidRDefault="00D37840" w:rsidP="00D37840">
            <w:pPr>
              <w:jc w:val="center"/>
              <w:rPr>
                <w:rFonts w:ascii="Verdana" w:hAnsi="Verdana"/>
                <w:b/>
                <w:sz w:val="18"/>
                <w:szCs w:val="18"/>
                <w:lang w:val="es-CR"/>
              </w:rPr>
            </w:pPr>
            <w:r w:rsidRPr="00BD66CE">
              <w:rPr>
                <w:rFonts w:ascii="Verdana" w:hAnsi="Verdana"/>
                <w:b/>
                <w:sz w:val="18"/>
                <w:szCs w:val="18"/>
                <w:lang w:val="es-CR"/>
              </w:rPr>
              <w:t>NRG</w:t>
            </w:r>
          </w:p>
        </w:tc>
        <w:tc>
          <w:tcPr>
            <w:tcW w:w="1021" w:type="dxa"/>
            <w:tcBorders>
              <w:top w:val="single" w:sz="4" w:space="0" w:color="auto"/>
              <w:bottom w:val="single" w:sz="4" w:space="0" w:color="auto"/>
            </w:tcBorders>
            <w:shd w:val="clear" w:color="auto" w:fill="D9D9D9" w:themeFill="background1" w:themeFillShade="D9"/>
          </w:tcPr>
          <w:p w14:paraId="4DB2C70E" w14:textId="77777777" w:rsidR="00D37840" w:rsidRPr="00BD66CE" w:rsidRDefault="00D37840" w:rsidP="00D37840">
            <w:pPr>
              <w:jc w:val="center"/>
              <w:rPr>
                <w:rFonts w:ascii="Verdana" w:hAnsi="Verdana"/>
                <w:b/>
                <w:sz w:val="18"/>
                <w:szCs w:val="18"/>
                <w:lang w:val="es-CR"/>
              </w:rPr>
            </w:pPr>
            <w:r w:rsidRPr="00BD66CE">
              <w:rPr>
                <w:rFonts w:ascii="Verdana" w:hAnsi="Verdana"/>
                <w:b/>
                <w:sz w:val="18"/>
                <w:szCs w:val="18"/>
                <w:lang w:val="es-CR"/>
              </w:rPr>
              <w:t>CCA</w:t>
            </w:r>
          </w:p>
        </w:tc>
      </w:tr>
      <w:tr w:rsidR="00D37840" w:rsidRPr="00BD66CE" w14:paraId="72405DBD" w14:textId="77777777" w:rsidTr="004143BB">
        <w:tc>
          <w:tcPr>
            <w:tcW w:w="4116" w:type="dxa"/>
            <w:tcBorders>
              <w:top w:val="single" w:sz="4" w:space="0" w:color="auto"/>
            </w:tcBorders>
          </w:tcPr>
          <w:p w14:paraId="1D52501A" w14:textId="4979CC68" w:rsidR="00D37840" w:rsidRPr="00BD66CE" w:rsidRDefault="00D37840" w:rsidP="001321F3">
            <w:pPr>
              <w:jc w:val="left"/>
              <w:rPr>
                <w:rFonts w:ascii="Verdana" w:hAnsi="Verdana"/>
              </w:rPr>
            </w:pPr>
            <w:r w:rsidRPr="00BD66CE">
              <w:rPr>
                <w:rFonts w:ascii="Verdana" w:hAnsi="Verdana"/>
              </w:rPr>
              <w:t>Total population (1,000 people at mid-year)</w:t>
            </w:r>
          </w:p>
        </w:tc>
        <w:tc>
          <w:tcPr>
            <w:tcW w:w="703" w:type="dxa"/>
            <w:tcBorders>
              <w:top w:val="single" w:sz="4" w:space="0" w:color="auto"/>
            </w:tcBorders>
          </w:tcPr>
          <w:p w14:paraId="79D7B79B" w14:textId="77777777" w:rsidR="00D37840" w:rsidRPr="00BD66CE" w:rsidRDefault="00D37840" w:rsidP="00D37840">
            <w:pPr>
              <w:jc w:val="center"/>
              <w:rPr>
                <w:rFonts w:ascii="Verdana" w:hAnsi="Verdana"/>
                <w:sz w:val="18"/>
                <w:szCs w:val="18"/>
                <w:lang w:val="es-CR"/>
              </w:rPr>
            </w:pPr>
            <w:r w:rsidRPr="00BD66CE">
              <w:rPr>
                <w:rFonts w:ascii="Verdana" w:hAnsi="Verdana"/>
                <w:sz w:val="18"/>
                <w:szCs w:val="18"/>
                <w:lang w:val="es-CR"/>
              </w:rPr>
              <w:t>394,9</w:t>
            </w:r>
          </w:p>
        </w:tc>
        <w:tc>
          <w:tcPr>
            <w:tcW w:w="756" w:type="dxa"/>
            <w:tcBorders>
              <w:top w:val="single" w:sz="4" w:space="0" w:color="auto"/>
            </w:tcBorders>
          </w:tcPr>
          <w:p w14:paraId="63AB9E0E" w14:textId="77777777" w:rsidR="00D37840" w:rsidRPr="00BD66CE" w:rsidRDefault="00D37840" w:rsidP="00D37840">
            <w:pPr>
              <w:jc w:val="center"/>
              <w:rPr>
                <w:rFonts w:ascii="Verdana" w:hAnsi="Verdana"/>
                <w:sz w:val="18"/>
                <w:szCs w:val="18"/>
                <w:lang w:val="es-CR"/>
              </w:rPr>
            </w:pPr>
            <w:r w:rsidRPr="00BD66CE">
              <w:rPr>
                <w:rFonts w:ascii="Verdana" w:hAnsi="Verdana"/>
                <w:sz w:val="18"/>
                <w:szCs w:val="18"/>
                <w:lang w:val="es-CR"/>
              </w:rPr>
              <w:t>5,123.1</w:t>
            </w:r>
          </w:p>
        </w:tc>
        <w:tc>
          <w:tcPr>
            <w:tcW w:w="792" w:type="dxa"/>
            <w:tcBorders>
              <w:top w:val="single" w:sz="4" w:space="0" w:color="auto"/>
            </w:tcBorders>
          </w:tcPr>
          <w:p w14:paraId="49DB7CE4" w14:textId="77777777" w:rsidR="00D37840" w:rsidRPr="00BD66CE" w:rsidRDefault="00D37840" w:rsidP="00D37840">
            <w:pPr>
              <w:jc w:val="center"/>
              <w:rPr>
                <w:rFonts w:ascii="Verdana" w:hAnsi="Verdana"/>
                <w:sz w:val="18"/>
                <w:szCs w:val="18"/>
                <w:lang w:val="es-CR"/>
              </w:rPr>
            </w:pPr>
            <w:r w:rsidRPr="00BD66CE">
              <w:rPr>
                <w:rFonts w:ascii="Verdana" w:hAnsi="Verdana"/>
                <w:sz w:val="18"/>
                <w:szCs w:val="18"/>
                <w:lang w:val="es-CR"/>
              </w:rPr>
              <w:t>6,292.7</w:t>
            </w:r>
          </w:p>
        </w:tc>
        <w:tc>
          <w:tcPr>
            <w:tcW w:w="846" w:type="dxa"/>
            <w:tcBorders>
              <w:top w:val="single" w:sz="4" w:space="0" w:color="auto"/>
            </w:tcBorders>
          </w:tcPr>
          <w:p w14:paraId="04530FB2" w14:textId="77777777" w:rsidR="00D37840" w:rsidRPr="00BD66CE" w:rsidRDefault="00D37840" w:rsidP="00D37840">
            <w:pPr>
              <w:jc w:val="center"/>
              <w:rPr>
                <w:rFonts w:ascii="Verdana" w:hAnsi="Verdana"/>
                <w:sz w:val="18"/>
                <w:szCs w:val="18"/>
                <w:lang w:val="es-CR"/>
              </w:rPr>
            </w:pPr>
            <w:r w:rsidRPr="00BD66CE">
              <w:rPr>
                <w:rFonts w:ascii="Verdana" w:hAnsi="Verdana"/>
                <w:sz w:val="18"/>
                <w:szCs w:val="18"/>
                <w:lang w:val="es-CR"/>
              </w:rPr>
              <w:t>17,362.7</w:t>
            </w:r>
          </w:p>
        </w:tc>
        <w:tc>
          <w:tcPr>
            <w:tcW w:w="846" w:type="dxa"/>
            <w:tcBorders>
              <w:top w:val="single" w:sz="4" w:space="0" w:color="auto"/>
            </w:tcBorders>
          </w:tcPr>
          <w:p w14:paraId="018DE37A" w14:textId="77777777" w:rsidR="00D37840" w:rsidRPr="00BD66CE" w:rsidRDefault="00D37840" w:rsidP="00D37840">
            <w:pPr>
              <w:jc w:val="center"/>
              <w:rPr>
                <w:rFonts w:ascii="Verdana" w:hAnsi="Verdana"/>
                <w:sz w:val="18"/>
                <w:szCs w:val="18"/>
                <w:lang w:val="es-CR"/>
              </w:rPr>
            </w:pPr>
            <w:r w:rsidRPr="00BD66CE">
              <w:rPr>
                <w:rFonts w:ascii="Verdana" w:hAnsi="Verdana"/>
                <w:sz w:val="18"/>
                <w:szCs w:val="18"/>
                <w:lang w:val="es-CR"/>
              </w:rPr>
              <w:t>10,121.4</w:t>
            </w:r>
          </w:p>
        </w:tc>
        <w:tc>
          <w:tcPr>
            <w:tcW w:w="801" w:type="dxa"/>
            <w:tcBorders>
              <w:top w:val="single" w:sz="4" w:space="0" w:color="auto"/>
            </w:tcBorders>
          </w:tcPr>
          <w:p w14:paraId="3B5C818F" w14:textId="77777777" w:rsidR="00D37840" w:rsidRPr="00BD66CE" w:rsidRDefault="00D37840" w:rsidP="00D37840">
            <w:pPr>
              <w:jc w:val="center"/>
              <w:rPr>
                <w:rFonts w:ascii="Verdana" w:hAnsi="Verdana"/>
                <w:sz w:val="18"/>
                <w:szCs w:val="18"/>
                <w:lang w:val="es-CR"/>
              </w:rPr>
            </w:pPr>
            <w:r w:rsidRPr="00BD66CE">
              <w:rPr>
                <w:rFonts w:ascii="Verdana" w:hAnsi="Verdana"/>
                <w:sz w:val="18"/>
                <w:szCs w:val="18"/>
                <w:lang w:val="es-CR"/>
              </w:rPr>
              <w:t>4.,294.4</w:t>
            </w:r>
          </w:p>
        </w:tc>
        <w:tc>
          <w:tcPr>
            <w:tcW w:w="756" w:type="dxa"/>
            <w:tcBorders>
              <w:top w:val="single" w:sz="4" w:space="0" w:color="auto"/>
            </w:tcBorders>
          </w:tcPr>
          <w:p w14:paraId="66E3144E" w14:textId="77777777" w:rsidR="00D37840" w:rsidRPr="00BD66CE" w:rsidRDefault="00D37840" w:rsidP="00D37840">
            <w:pPr>
              <w:jc w:val="center"/>
              <w:rPr>
                <w:rFonts w:ascii="Verdana" w:hAnsi="Verdana"/>
                <w:sz w:val="18"/>
                <w:szCs w:val="18"/>
                <w:lang w:val="es-CR"/>
              </w:rPr>
            </w:pPr>
            <w:r w:rsidRPr="00BD66CE">
              <w:rPr>
                <w:rFonts w:ascii="Verdana" w:hAnsi="Verdana"/>
                <w:sz w:val="18"/>
                <w:szCs w:val="18"/>
                <w:lang w:val="es-CR"/>
              </w:rPr>
              <w:t>6,755.9</w:t>
            </w:r>
          </w:p>
        </w:tc>
        <w:tc>
          <w:tcPr>
            <w:tcW w:w="1021" w:type="dxa"/>
            <w:tcBorders>
              <w:top w:val="single" w:sz="4" w:space="0" w:color="auto"/>
            </w:tcBorders>
          </w:tcPr>
          <w:p w14:paraId="308ED2F9" w14:textId="77777777" w:rsidR="00D37840" w:rsidRPr="00BD66CE" w:rsidRDefault="00D37840" w:rsidP="00D37840">
            <w:pPr>
              <w:jc w:val="center"/>
              <w:rPr>
                <w:rFonts w:ascii="Verdana" w:hAnsi="Verdana"/>
                <w:sz w:val="18"/>
                <w:szCs w:val="18"/>
                <w:lang w:val="es-CR"/>
              </w:rPr>
            </w:pPr>
            <w:r w:rsidRPr="00BD66CE">
              <w:rPr>
                <w:rFonts w:ascii="Verdana" w:hAnsi="Verdana"/>
                <w:sz w:val="18"/>
                <w:szCs w:val="18"/>
                <w:lang w:val="es-CR"/>
              </w:rPr>
              <w:t>50,345.1</w:t>
            </w:r>
          </w:p>
        </w:tc>
      </w:tr>
      <w:tr w:rsidR="00D37840" w:rsidRPr="00BD66CE" w14:paraId="00410DC2" w14:textId="77777777" w:rsidTr="00BE61E2">
        <w:tc>
          <w:tcPr>
            <w:tcW w:w="4116" w:type="dxa"/>
          </w:tcPr>
          <w:p w14:paraId="2A592036" w14:textId="781B0C53" w:rsidR="00D37840" w:rsidRPr="00BD66CE" w:rsidRDefault="00D37840" w:rsidP="001321F3">
            <w:pPr>
              <w:jc w:val="left"/>
              <w:rPr>
                <w:rFonts w:ascii="Verdana" w:hAnsi="Verdana"/>
              </w:rPr>
            </w:pPr>
            <w:r w:rsidRPr="00BD66CE">
              <w:rPr>
                <w:rFonts w:ascii="Verdana" w:hAnsi="Verdana"/>
              </w:rPr>
              <w:t>An</w:t>
            </w:r>
            <w:r w:rsidR="003845A1" w:rsidRPr="00BD66CE">
              <w:rPr>
                <w:rFonts w:ascii="Verdana" w:hAnsi="Verdana"/>
              </w:rPr>
              <w:t>n</w:t>
            </w:r>
            <w:r w:rsidRPr="00BD66CE">
              <w:rPr>
                <w:rFonts w:ascii="Verdana" w:hAnsi="Verdana"/>
              </w:rPr>
              <w:t>ual population growth rate (60 and over)</w:t>
            </w:r>
          </w:p>
        </w:tc>
        <w:tc>
          <w:tcPr>
            <w:tcW w:w="703" w:type="dxa"/>
          </w:tcPr>
          <w:p w14:paraId="38357788" w14:textId="61E159E6" w:rsidR="00D37840" w:rsidRPr="00BD66CE" w:rsidRDefault="00285B8E" w:rsidP="00D37840">
            <w:pPr>
              <w:jc w:val="center"/>
              <w:rPr>
                <w:rFonts w:ascii="Verdana" w:hAnsi="Verdana"/>
                <w:sz w:val="18"/>
                <w:szCs w:val="18"/>
                <w:lang w:val="pt-BR"/>
              </w:rPr>
            </w:pPr>
            <w:r w:rsidRPr="00BD66CE">
              <w:rPr>
                <w:rFonts w:ascii="Verdana" w:hAnsi="Verdana"/>
                <w:sz w:val="18"/>
                <w:szCs w:val="18"/>
                <w:lang w:val="es-CO"/>
              </w:rPr>
              <w:t>Unda</w:t>
            </w:r>
          </w:p>
        </w:tc>
        <w:tc>
          <w:tcPr>
            <w:tcW w:w="756" w:type="dxa"/>
          </w:tcPr>
          <w:p w14:paraId="763773EB" w14:textId="77777777" w:rsidR="00D37840" w:rsidRPr="00BD66CE" w:rsidRDefault="00D37840" w:rsidP="00D37840">
            <w:pPr>
              <w:jc w:val="center"/>
              <w:rPr>
                <w:rFonts w:ascii="Verdana" w:hAnsi="Verdana"/>
                <w:sz w:val="18"/>
                <w:szCs w:val="18"/>
                <w:lang w:val="pt-BR"/>
              </w:rPr>
            </w:pPr>
            <w:r w:rsidRPr="00BD66CE">
              <w:rPr>
                <w:rFonts w:ascii="Verdana" w:hAnsi="Verdana"/>
                <w:sz w:val="18"/>
                <w:szCs w:val="18"/>
              </w:rPr>
              <w:t>33.9</w:t>
            </w:r>
          </w:p>
        </w:tc>
        <w:tc>
          <w:tcPr>
            <w:tcW w:w="792" w:type="dxa"/>
          </w:tcPr>
          <w:p w14:paraId="48670491" w14:textId="77777777" w:rsidR="00D37840" w:rsidRPr="00BD66CE" w:rsidRDefault="00D37840" w:rsidP="00D37840">
            <w:pPr>
              <w:jc w:val="center"/>
              <w:rPr>
                <w:rFonts w:ascii="Verdana" w:hAnsi="Verdana"/>
                <w:sz w:val="18"/>
                <w:szCs w:val="18"/>
                <w:lang w:val="pt-BR"/>
              </w:rPr>
            </w:pPr>
            <w:r w:rsidRPr="00BD66CE">
              <w:rPr>
                <w:rFonts w:ascii="Verdana" w:hAnsi="Verdana"/>
                <w:sz w:val="18"/>
                <w:szCs w:val="18"/>
              </w:rPr>
              <w:t>16.9</w:t>
            </w:r>
          </w:p>
        </w:tc>
        <w:tc>
          <w:tcPr>
            <w:tcW w:w="846" w:type="dxa"/>
          </w:tcPr>
          <w:p w14:paraId="332714CE" w14:textId="77777777" w:rsidR="00D37840" w:rsidRPr="00BD66CE" w:rsidRDefault="00D37840" w:rsidP="00D37840">
            <w:pPr>
              <w:jc w:val="center"/>
              <w:rPr>
                <w:rFonts w:ascii="Verdana" w:hAnsi="Verdana"/>
                <w:sz w:val="18"/>
                <w:szCs w:val="18"/>
                <w:lang w:val="pt-BR"/>
              </w:rPr>
            </w:pPr>
            <w:r w:rsidRPr="00BD66CE">
              <w:rPr>
                <w:rFonts w:ascii="Verdana" w:hAnsi="Verdana"/>
                <w:sz w:val="18"/>
                <w:szCs w:val="18"/>
              </w:rPr>
              <w:t>13.4</w:t>
            </w:r>
          </w:p>
        </w:tc>
        <w:tc>
          <w:tcPr>
            <w:tcW w:w="846" w:type="dxa"/>
          </w:tcPr>
          <w:p w14:paraId="7D55EC69" w14:textId="77777777" w:rsidR="00D37840" w:rsidRPr="00BD66CE" w:rsidRDefault="00D37840" w:rsidP="00D37840">
            <w:pPr>
              <w:jc w:val="center"/>
              <w:rPr>
                <w:rFonts w:ascii="Verdana" w:hAnsi="Verdana"/>
                <w:sz w:val="18"/>
                <w:szCs w:val="18"/>
                <w:lang w:val="pt-BR"/>
              </w:rPr>
            </w:pPr>
            <w:r w:rsidRPr="00BD66CE">
              <w:rPr>
                <w:rFonts w:ascii="Verdana" w:hAnsi="Verdana"/>
                <w:sz w:val="18"/>
                <w:szCs w:val="18"/>
              </w:rPr>
              <w:t>30.5</w:t>
            </w:r>
          </w:p>
        </w:tc>
        <w:tc>
          <w:tcPr>
            <w:tcW w:w="801" w:type="dxa"/>
          </w:tcPr>
          <w:p w14:paraId="645B8695" w14:textId="77777777" w:rsidR="00D37840" w:rsidRPr="00BD66CE" w:rsidRDefault="00D37840" w:rsidP="00D37840">
            <w:pPr>
              <w:jc w:val="center"/>
              <w:rPr>
                <w:rFonts w:ascii="Verdana" w:hAnsi="Verdana"/>
                <w:sz w:val="18"/>
                <w:szCs w:val="18"/>
                <w:lang w:val="pt-BR"/>
              </w:rPr>
            </w:pPr>
            <w:r w:rsidRPr="00BD66CE">
              <w:rPr>
                <w:rFonts w:ascii="Verdana" w:hAnsi="Verdana"/>
                <w:sz w:val="18"/>
                <w:szCs w:val="18"/>
              </w:rPr>
              <w:t>40.2</w:t>
            </w:r>
          </w:p>
        </w:tc>
        <w:tc>
          <w:tcPr>
            <w:tcW w:w="756" w:type="dxa"/>
          </w:tcPr>
          <w:p w14:paraId="2646E782" w14:textId="77777777" w:rsidR="00D37840" w:rsidRPr="00BD66CE" w:rsidRDefault="00D37840" w:rsidP="00D37840">
            <w:pPr>
              <w:jc w:val="center"/>
              <w:rPr>
                <w:rFonts w:ascii="Verdana" w:hAnsi="Verdana"/>
                <w:sz w:val="18"/>
                <w:szCs w:val="18"/>
                <w:lang w:val="pt-BR"/>
              </w:rPr>
            </w:pPr>
            <w:r w:rsidRPr="00BD66CE">
              <w:rPr>
                <w:rFonts w:ascii="Verdana" w:hAnsi="Verdana"/>
                <w:sz w:val="18"/>
                <w:szCs w:val="18"/>
              </w:rPr>
              <w:t>38.0</w:t>
            </w:r>
          </w:p>
        </w:tc>
        <w:tc>
          <w:tcPr>
            <w:tcW w:w="1021" w:type="dxa"/>
          </w:tcPr>
          <w:p w14:paraId="092C36DA" w14:textId="0629816A" w:rsidR="00D37840" w:rsidRPr="00BD66CE" w:rsidRDefault="00864043" w:rsidP="00D37840">
            <w:pPr>
              <w:jc w:val="center"/>
              <w:rPr>
                <w:rFonts w:ascii="Verdana" w:hAnsi="Verdana"/>
                <w:sz w:val="18"/>
                <w:szCs w:val="18"/>
                <w:lang w:val="pt-BR"/>
              </w:rPr>
            </w:pPr>
            <w:r w:rsidRPr="00BD66CE">
              <w:rPr>
                <w:rFonts w:ascii="Verdana" w:hAnsi="Verdana"/>
                <w:sz w:val="18"/>
                <w:szCs w:val="18"/>
              </w:rPr>
              <w:t>28.8</w:t>
            </w:r>
          </w:p>
        </w:tc>
      </w:tr>
      <w:tr w:rsidR="00D37840" w:rsidRPr="00BD66CE" w14:paraId="55939100" w14:textId="77777777" w:rsidTr="00BE61E2">
        <w:tc>
          <w:tcPr>
            <w:tcW w:w="4116" w:type="dxa"/>
          </w:tcPr>
          <w:p w14:paraId="5AB986AB" w14:textId="0EF6A89F" w:rsidR="00D37840" w:rsidRPr="00BD66CE" w:rsidRDefault="007B24BC" w:rsidP="001321F3">
            <w:pPr>
              <w:jc w:val="left"/>
              <w:rPr>
                <w:rFonts w:ascii="Verdana" w:hAnsi="Verdana"/>
                <w:lang w:val="pt-BR"/>
              </w:rPr>
            </w:pPr>
            <w:r w:rsidRPr="00BD66CE">
              <w:rPr>
                <w:rFonts w:ascii="Verdana" w:hAnsi="Verdana"/>
              </w:rPr>
              <w:lastRenderedPageBreak/>
              <w:t>Crude</w:t>
            </w:r>
            <w:r w:rsidR="00D37840" w:rsidRPr="00BD66CE">
              <w:rPr>
                <w:rFonts w:ascii="Verdana" w:hAnsi="Verdana"/>
              </w:rPr>
              <w:t xml:space="preserve"> birth rate (1,000 people)</w:t>
            </w:r>
          </w:p>
        </w:tc>
        <w:tc>
          <w:tcPr>
            <w:tcW w:w="703" w:type="dxa"/>
          </w:tcPr>
          <w:p w14:paraId="1A703AFF" w14:textId="77777777" w:rsidR="00D37840" w:rsidRPr="00BD66CE" w:rsidRDefault="00D37840" w:rsidP="00D37840">
            <w:pPr>
              <w:jc w:val="center"/>
              <w:rPr>
                <w:rFonts w:ascii="Verdana" w:hAnsi="Verdana"/>
                <w:sz w:val="18"/>
                <w:szCs w:val="18"/>
                <w:lang w:val="pt-BR"/>
              </w:rPr>
            </w:pPr>
            <w:r w:rsidRPr="00BD66CE">
              <w:rPr>
                <w:rFonts w:ascii="Verdana" w:hAnsi="Verdana"/>
                <w:sz w:val="18"/>
                <w:szCs w:val="18"/>
              </w:rPr>
              <w:t>17.8</w:t>
            </w:r>
          </w:p>
        </w:tc>
        <w:tc>
          <w:tcPr>
            <w:tcW w:w="756" w:type="dxa"/>
          </w:tcPr>
          <w:p w14:paraId="5E940793" w14:textId="77777777" w:rsidR="00D37840" w:rsidRPr="00BD66CE" w:rsidRDefault="00D37840" w:rsidP="00D37840">
            <w:pPr>
              <w:jc w:val="center"/>
              <w:rPr>
                <w:rFonts w:ascii="Verdana" w:hAnsi="Verdana"/>
                <w:sz w:val="18"/>
                <w:szCs w:val="18"/>
                <w:lang w:val="pt-BR"/>
              </w:rPr>
            </w:pPr>
            <w:r w:rsidRPr="00BD66CE">
              <w:rPr>
                <w:rFonts w:ascii="Verdana" w:hAnsi="Verdana"/>
                <w:sz w:val="18"/>
                <w:szCs w:val="18"/>
              </w:rPr>
              <w:t>11.7</w:t>
            </w:r>
          </w:p>
        </w:tc>
        <w:tc>
          <w:tcPr>
            <w:tcW w:w="792" w:type="dxa"/>
          </w:tcPr>
          <w:p w14:paraId="6FF3826B" w14:textId="77777777" w:rsidR="00D37840" w:rsidRPr="00BD66CE" w:rsidRDefault="00D37840" w:rsidP="00D37840">
            <w:pPr>
              <w:jc w:val="center"/>
              <w:rPr>
                <w:rFonts w:ascii="Verdana" w:hAnsi="Verdana"/>
                <w:sz w:val="18"/>
                <w:szCs w:val="18"/>
                <w:lang w:val="pt-BR"/>
              </w:rPr>
            </w:pPr>
            <w:r w:rsidRPr="00BD66CE">
              <w:rPr>
                <w:rFonts w:ascii="Verdana" w:hAnsi="Verdana"/>
                <w:sz w:val="18"/>
                <w:szCs w:val="18"/>
              </w:rPr>
              <w:t>15.8</w:t>
            </w:r>
          </w:p>
        </w:tc>
        <w:tc>
          <w:tcPr>
            <w:tcW w:w="846" w:type="dxa"/>
          </w:tcPr>
          <w:p w14:paraId="6BDF31EA" w14:textId="77777777" w:rsidR="00D37840" w:rsidRPr="00BD66CE" w:rsidRDefault="00D37840" w:rsidP="00D37840">
            <w:pPr>
              <w:jc w:val="center"/>
              <w:rPr>
                <w:rFonts w:ascii="Verdana" w:hAnsi="Verdana"/>
                <w:sz w:val="18"/>
                <w:szCs w:val="18"/>
                <w:lang w:val="pt-BR"/>
              </w:rPr>
            </w:pPr>
            <w:r w:rsidRPr="00BD66CE">
              <w:rPr>
                <w:rFonts w:ascii="Verdana" w:hAnsi="Verdana"/>
                <w:sz w:val="18"/>
                <w:szCs w:val="18"/>
              </w:rPr>
              <w:t>20.9</w:t>
            </w:r>
          </w:p>
        </w:tc>
        <w:tc>
          <w:tcPr>
            <w:tcW w:w="846" w:type="dxa"/>
          </w:tcPr>
          <w:p w14:paraId="6C8ABF56" w14:textId="77777777" w:rsidR="00D37840" w:rsidRPr="00BD66CE" w:rsidRDefault="00D37840" w:rsidP="00D37840">
            <w:pPr>
              <w:jc w:val="center"/>
              <w:rPr>
                <w:rFonts w:ascii="Verdana" w:hAnsi="Verdana"/>
                <w:sz w:val="18"/>
                <w:szCs w:val="18"/>
                <w:lang w:val="pt-BR"/>
              </w:rPr>
            </w:pPr>
            <w:r w:rsidRPr="00BD66CE">
              <w:rPr>
                <w:rFonts w:ascii="Verdana" w:hAnsi="Verdana"/>
                <w:sz w:val="18"/>
                <w:szCs w:val="18"/>
              </w:rPr>
              <w:t>20.9</w:t>
            </w:r>
          </w:p>
        </w:tc>
        <w:tc>
          <w:tcPr>
            <w:tcW w:w="801" w:type="dxa"/>
          </w:tcPr>
          <w:p w14:paraId="21DB44A6" w14:textId="77777777" w:rsidR="00D37840" w:rsidRPr="00BD66CE" w:rsidRDefault="00D37840" w:rsidP="00D37840">
            <w:pPr>
              <w:jc w:val="center"/>
              <w:rPr>
                <w:rFonts w:ascii="Verdana" w:hAnsi="Verdana"/>
                <w:sz w:val="18"/>
                <w:szCs w:val="18"/>
                <w:lang w:val="pt-BR"/>
              </w:rPr>
            </w:pPr>
            <w:r w:rsidRPr="00BD66CE">
              <w:rPr>
                <w:rFonts w:ascii="Verdana" w:hAnsi="Verdana"/>
                <w:sz w:val="18"/>
                <w:szCs w:val="18"/>
              </w:rPr>
              <w:t>17.4</w:t>
            </w:r>
          </w:p>
        </w:tc>
        <w:tc>
          <w:tcPr>
            <w:tcW w:w="756" w:type="dxa"/>
          </w:tcPr>
          <w:p w14:paraId="73E55843" w14:textId="77777777" w:rsidR="00D37840" w:rsidRPr="00BD66CE" w:rsidRDefault="00D37840" w:rsidP="00D37840">
            <w:pPr>
              <w:jc w:val="center"/>
              <w:rPr>
                <w:rFonts w:ascii="Verdana" w:hAnsi="Verdana"/>
                <w:sz w:val="18"/>
                <w:szCs w:val="18"/>
                <w:lang w:val="pt-BR"/>
              </w:rPr>
            </w:pPr>
            <w:r w:rsidRPr="00BD66CE">
              <w:rPr>
                <w:rFonts w:ascii="Verdana" w:hAnsi="Verdana"/>
                <w:sz w:val="18"/>
                <w:szCs w:val="18"/>
              </w:rPr>
              <w:t>20.0</w:t>
            </w:r>
          </w:p>
        </w:tc>
        <w:tc>
          <w:tcPr>
            <w:tcW w:w="1021" w:type="dxa"/>
          </w:tcPr>
          <w:p w14:paraId="4077F8E0" w14:textId="5434158C" w:rsidR="00D37840" w:rsidRPr="00BD66CE" w:rsidRDefault="00BE61E2" w:rsidP="00D37840">
            <w:pPr>
              <w:jc w:val="center"/>
              <w:rPr>
                <w:rFonts w:ascii="Verdana" w:hAnsi="Verdana"/>
                <w:sz w:val="18"/>
                <w:szCs w:val="18"/>
                <w:lang w:val="pt-BR"/>
              </w:rPr>
            </w:pPr>
            <w:r w:rsidRPr="00BD66CE">
              <w:rPr>
                <w:rFonts w:ascii="Verdana" w:hAnsi="Verdana"/>
                <w:sz w:val="18"/>
                <w:szCs w:val="18"/>
                <w:lang w:val="pt-BR"/>
              </w:rPr>
              <w:t>17.8</w:t>
            </w:r>
          </w:p>
        </w:tc>
      </w:tr>
      <w:tr w:rsidR="00D37840" w:rsidRPr="00BD66CE" w14:paraId="62414A86" w14:textId="77777777" w:rsidTr="00BE61E2">
        <w:tc>
          <w:tcPr>
            <w:tcW w:w="4116" w:type="dxa"/>
          </w:tcPr>
          <w:p w14:paraId="192E8EDC" w14:textId="77777777" w:rsidR="00D37840" w:rsidRPr="00BD66CE" w:rsidRDefault="00D37840" w:rsidP="001321F3">
            <w:pPr>
              <w:jc w:val="left"/>
              <w:rPr>
                <w:rFonts w:ascii="Verdana" w:hAnsi="Verdana"/>
              </w:rPr>
            </w:pPr>
            <w:r w:rsidRPr="00BD66CE">
              <w:rPr>
                <w:rFonts w:ascii="Verdana" w:hAnsi="Verdana"/>
              </w:rPr>
              <w:t>Total fertility rate (children per woman)</w:t>
            </w:r>
          </w:p>
        </w:tc>
        <w:tc>
          <w:tcPr>
            <w:tcW w:w="703" w:type="dxa"/>
          </w:tcPr>
          <w:p w14:paraId="2A2B49F1" w14:textId="77777777" w:rsidR="00D37840" w:rsidRPr="00BD66CE" w:rsidRDefault="00D37840" w:rsidP="00D37840">
            <w:pPr>
              <w:jc w:val="center"/>
              <w:rPr>
                <w:rFonts w:ascii="Verdana" w:hAnsi="Verdana"/>
                <w:sz w:val="18"/>
                <w:szCs w:val="18"/>
                <w:lang w:val="es-CO"/>
              </w:rPr>
            </w:pPr>
            <w:r w:rsidRPr="00BD66CE">
              <w:rPr>
                <w:rFonts w:ascii="Verdana" w:hAnsi="Verdana"/>
                <w:sz w:val="18"/>
                <w:szCs w:val="18"/>
                <w:lang w:val="es-CO"/>
              </w:rPr>
              <w:t>2.0</w:t>
            </w:r>
          </w:p>
        </w:tc>
        <w:tc>
          <w:tcPr>
            <w:tcW w:w="756" w:type="dxa"/>
          </w:tcPr>
          <w:p w14:paraId="59C068FB" w14:textId="77777777" w:rsidR="00D37840" w:rsidRPr="00BD66CE" w:rsidRDefault="00D37840" w:rsidP="00D37840">
            <w:pPr>
              <w:jc w:val="center"/>
              <w:rPr>
                <w:rFonts w:ascii="Verdana" w:hAnsi="Verdana"/>
                <w:sz w:val="18"/>
                <w:szCs w:val="18"/>
                <w:lang w:val="es-CO"/>
              </w:rPr>
            </w:pPr>
            <w:r w:rsidRPr="00BD66CE">
              <w:rPr>
                <w:rFonts w:ascii="Verdana" w:hAnsi="Verdana"/>
                <w:sz w:val="18"/>
                <w:szCs w:val="18"/>
                <w:lang w:val="es-CO"/>
              </w:rPr>
              <w:t>1.5</w:t>
            </w:r>
          </w:p>
        </w:tc>
        <w:tc>
          <w:tcPr>
            <w:tcW w:w="792" w:type="dxa"/>
          </w:tcPr>
          <w:p w14:paraId="45885B7F" w14:textId="77777777" w:rsidR="00D37840" w:rsidRPr="00BD66CE" w:rsidRDefault="00D37840" w:rsidP="00D37840">
            <w:pPr>
              <w:jc w:val="center"/>
              <w:rPr>
                <w:rFonts w:ascii="Verdana" w:hAnsi="Verdana"/>
                <w:sz w:val="18"/>
                <w:szCs w:val="18"/>
                <w:lang w:val="es-CO"/>
              </w:rPr>
            </w:pPr>
            <w:r w:rsidRPr="00BD66CE">
              <w:rPr>
                <w:rFonts w:ascii="Verdana" w:hAnsi="Verdana"/>
                <w:sz w:val="18"/>
                <w:szCs w:val="18"/>
                <w:lang w:val="es-CO"/>
              </w:rPr>
              <w:t>1.8</w:t>
            </w:r>
          </w:p>
        </w:tc>
        <w:tc>
          <w:tcPr>
            <w:tcW w:w="846" w:type="dxa"/>
          </w:tcPr>
          <w:p w14:paraId="1B2AE9B6" w14:textId="77777777" w:rsidR="00D37840" w:rsidRPr="00BD66CE" w:rsidRDefault="00D37840" w:rsidP="00D37840">
            <w:pPr>
              <w:jc w:val="center"/>
              <w:rPr>
                <w:rFonts w:ascii="Verdana" w:hAnsi="Verdana"/>
                <w:sz w:val="18"/>
                <w:szCs w:val="18"/>
                <w:lang w:val="es-CO"/>
              </w:rPr>
            </w:pPr>
            <w:r w:rsidRPr="00BD66CE">
              <w:rPr>
                <w:rFonts w:ascii="Verdana" w:hAnsi="Verdana"/>
                <w:sz w:val="18"/>
                <w:szCs w:val="18"/>
                <w:lang w:val="es-CO"/>
              </w:rPr>
              <w:t>2.4</w:t>
            </w:r>
          </w:p>
        </w:tc>
        <w:tc>
          <w:tcPr>
            <w:tcW w:w="846" w:type="dxa"/>
          </w:tcPr>
          <w:p w14:paraId="5854A509" w14:textId="77777777" w:rsidR="00D37840" w:rsidRPr="00BD66CE" w:rsidRDefault="00D37840" w:rsidP="00D37840">
            <w:pPr>
              <w:jc w:val="center"/>
              <w:rPr>
                <w:rFonts w:ascii="Verdana" w:hAnsi="Verdana"/>
                <w:sz w:val="18"/>
                <w:szCs w:val="18"/>
                <w:lang w:val="es-CO"/>
              </w:rPr>
            </w:pPr>
            <w:r w:rsidRPr="00BD66CE">
              <w:rPr>
                <w:rFonts w:ascii="Verdana" w:hAnsi="Verdana"/>
                <w:sz w:val="18"/>
                <w:szCs w:val="18"/>
                <w:lang w:val="es-CO"/>
              </w:rPr>
              <w:t>2.3</w:t>
            </w:r>
          </w:p>
        </w:tc>
        <w:tc>
          <w:tcPr>
            <w:tcW w:w="801" w:type="dxa"/>
          </w:tcPr>
          <w:p w14:paraId="424C33C5" w14:textId="77777777" w:rsidR="00D37840" w:rsidRPr="00BD66CE" w:rsidRDefault="00D37840" w:rsidP="00D37840">
            <w:pPr>
              <w:jc w:val="center"/>
              <w:rPr>
                <w:rFonts w:ascii="Verdana" w:hAnsi="Verdana"/>
                <w:sz w:val="18"/>
                <w:szCs w:val="18"/>
                <w:lang w:val="es-CO"/>
              </w:rPr>
            </w:pPr>
            <w:r w:rsidRPr="00BD66CE">
              <w:rPr>
                <w:rFonts w:ascii="Verdana" w:hAnsi="Verdana"/>
                <w:sz w:val="18"/>
                <w:szCs w:val="18"/>
                <w:lang w:val="es-CO"/>
              </w:rPr>
              <w:t>2.3</w:t>
            </w:r>
          </w:p>
        </w:tc>
        <w:tc>
          <w:tcPr>
            <w:tcW w:w="756" w:type="dxa"/>
          </w:tcPr>
          <w:p w14:paraId="006ADCD2" w14:textId="77777777" w:rsidR="00D37840" w:rsidRPr="00BD66CE" w:rsidRDefault="00D37840" w:rsidP="00D37840">
            <w:pPr>
              <w:jc w:val="center"/>
              <w:rPr>
                <w:rFonts w:ascii="Verdana" w:hAnsi="Verdana"/>
                <w:sz w:val="18"/>
                <w:szCs w:val="18"/>
                <w:lang w:val="es-CO"/>
              </w:rPr>
            </w:pPr>
            <w:r w:rsidRPr="00BD66CE">
              <w:rPr>
                <w:rFonts w:ascii="Verdana" w:hAnsi="Verdana"/>
                <w:sz w:val="18"/>
                <w:szCs w:val="18"/>
                <w:lang w:val="es-CO"/>
              </w:rPr>
              <w:t>2.3</w:t>
            </w:r>
          </w:p>
        </w:tc>
        <w:tc>
          <w:tcPr>
            <w:tcW w:w="1021" w:type="dxa"/>
          </w:tcPr>
          <w:p w14:paraId="1EA60602" w14:textId="5AB49D2B" w:rsidR="00D37840" w:rsidRPr="00BD66CE" w:rsidRDefault="00BE61E2" w:rsidP="00D37840">
            <w:pPr>
              <w:jc w:val="center"/>
              <w:rPr>
                <w:rFonts w:ascii="Verdana" w:hAnsi="Verdana"/>
                <w:sz w:val="18"/>
                <w:szCs w:val="18"/>
                <w:lang w:val="es-CO"/>
              </w:rPr>
            </w:pPr>
            <w:r w:rsidRPr="00BD66CE">
              <w:rPr>
                <w:rFonts w:ascii="Verdana" w:hAnsi="Verdana"/>
                <w:sz w:val="18"/>
                <w:szCs w:val="18"/>
                <w:lang w:val="es-CO"/>
              </w:rPr>
              <w:t>2.1</w:t>
            </w:r>
          </w:p>
        </w:tc>
      </w:tr>
      <w:tr w:rsidR="00D37840" w:rsidRPr="00BD66CE" w14:paraId="4A3CDF91" w14:textId="77777777" w:rsidTr="00BE61E2">
        <w:tc>
          <w:tcPr>
            <w:tcW w:w="4116" w:type="dxa"/>
          </w:tcPr>
          <w:p w14:paraId="7DD4ED2D" w14:textId="7E18DAF4" w:rsidR="00D37840" w:rsidRPr="00BD66CE" w:rsidRDefault="00D37840" w:rsidP="001321F3">
            <w:pPr>
              <w:jc w:val="left"/>
              <w:rPr>
                <w:rFonts w:ascii="Verdana" w:hAnsi="Verdana"/>
              </w:rPr>
            </w:pPr>
            <w:r w:rsidRPr="00BD66CE">
              <w:rPr>
                <w:rFonts w:ascii="Verdana" w:hAnsi="Verdana"/>
              </w:rPr>
              <w:t>Life expectancy at birth</w:t>
            </w:r>
            <w:r w:rsidR="00DC35DF" w:rsidRPr="00BD66CE">
              <w:rPr>
                <w:rFonts w:ascii="Verdana" w:hAnsi="Verdana"/>
              </w:rPr>
              <w:t>, absolute years</w:t>
            </w:r>
            <w:r w:rsidRPr="00BD66CE">
              <w:rPr>
                <w:rFonts w:ascii="Verdana" w:hAnsi="Verdana"/>
              </w:rPr>
              <w:t xml:space="preserve"> </w:t>
            </w:r>
            <w:r w:rsidR="00BE61E2" w:rsidRPr="00BD66CE">
              <w:rPr>
                <w:rFonts w:ascii="Verdana" w:hAnsi="Verdana"/>
              </w:rPr>
              <w:t>(male/female</w:t>
            </w:r>
            <w:r w:rsidRPr="00BD66CE">
              <w:rPr>
                <w:rFonts w:ascii="Verdana" w:hAnsi="Verdana"/>
              </w:rPr>
              <w:t>)</w:t>
            </w:r>
          </w:p>
        </w:tc>
        <w:tc>
          <w:tcPr>
            <w:tcW w:w="703" w:type="dxa"/>
          </w:tcPr>
          <w:p w14:paraId="6C9BCE7B" w14:textId="5E7E2B9D" w:rsidR="00D37840" w:rsidRPr="00BD66CE" w:rsidRDefault="00BE61E2" w:rsidP="00D37840">
            <w:pPr>
              <w:jc w:val="center"/>
              <w:rPr>
                <w:rFonts w:ascii="Verdana" w:hAnsi="Verdana"/>
                <w:sz w:val="18"/>
                <w:szCs w:val="18"/>
                <w:lang w:val="es-CO"/>
              </w:rPr>
            </w:pPr>
            <w:r w:rsidRPr="00BD66CE">
              <w:rPr>
                <w:rFonts w:ascii="Verdana" w:hAnsi="Verdana"/>
                <w:sz w:val="18"/>
                <w:szCs w:val="18"/>
                <w:lang w:val="es-CO"/>
              </w:rPr>
              <w:t>68/</w:t>
            </w:r>
            <w:r w:rsidR="00D37840" w:rsidRPr="00BD66CE">
              <w:rPr>
                <w:rFonts w:ascii="Verdana" w:hAnsi="Verdana"/>
                <w:sz w:val="18"/>
                <w:szCs w:val="18"/>
                <w:lang w:val="es-CO"/>
              </w:rPr>
              <w:t>75</w:t>
            </w:r>
          </w:p>
        </w:tc>
        <w:tc>
          <w:tcPr>
            <w:tcW w:w="756" w:type="dxa"/>
          </w:tcPr>
          <w:p w14:paraId="304D3DB2" w14:textId="2E12282C" w:rsidR="00D37840" w:rsidRPr="00BD66CE" w:rsidRDefault="00BE61E2" w:rsidP="00D37840">
            <w:pPr>
              <w:jc w:val="center"/>
              <w:rPr>
                <w:rFonts w:ascii="Verdana" w:hAnsi="Verdana"/>
                <w:sz w:val="18"/>
                <w:szCs w:val="18"/>
                <w:lang w:val="es-CO"/>
              </w:rPr>
            </w:pPr>
            <w:r w:rsidRPr="00BD66CE">
              <w:rPr>
                <w:rFonts w:ascii="Verdana" w:hAnsi="Verdana"/>
                <w:sz w:val="18"/>
                <w:szCs w:val="18"/>
                <w:lang w:val="es-CO"/>
              </w:rPr>
              <w:t>75/</w:t>
            </w:r>
            <w:r w:rsidR="00D37840" w:rsidRPr="00BD66CE">
              <w:rPr>
                <w:rFonts w:ascii="Verdana" w:hAnsi="Verdana"/>
                <w:sz w:val="18"/>
                <w:szCs w:val="18"/>
                <w:lang w:val="es-CO"/>
              </w:rPr>
              <w:t>80</w:t>
            </w:r>
          </w:p>
        </w:tc>
        <w:tc>
          <w:tcPr>
            <w:tcW w:w="792" w:type="dxa"/>
          </w:tcPr>
          <w:p w14:paraId="1E4496A1" w14:textId="61715CB2" w:rsidR="00D37840" w:rsidRPr="00BD66CE" w:rsidRDefault="00BE61E2" w:rsidP="00D37840">
            <w:pPr>
              <w:jc w:val="center"/>
              <w:rPr>
                <w:rFonts w:ascii="Verdana" w:hAnsi="Verdana"/>
                <w:sz w:val="18"/>
                <w:szCs w:val="18"/>
                <w:lang w:val="es-CO"/>
              </w:rPr>
            </w:pPr>
            <w:r w:rsidRPr="00BD66CE">
              <w:rPr>
                <w:rFonts w:ascii="Verdana" w:hAnsi="Verdana"/>
                <w:sz w:val="18"/>
                <w:szCs w:val="18"/>
                <w:lang w:val="es-CO"/>
              </w:rPr>
              <w:t>67/</w:t>
            </w:r>
            <w:r w:rsidR="00D37840" w:rsidRPr="00BD66CE">
              <w:rPr>
                <w:rFonts w:ascii="Verdana" w:hAnsi="Verdana"/>
                <w:sz w:val="18"/>
                <w:szCs w:val="18"/>
                <w:lang w:val="es-CO"/>
              </w:rPr>
              <w:t>76</w:t>
            </w:r>
          </w:p>
        </w:tc>
        <w:tc>
          <w:tcPr>
            <w:tcW w:w="846" w:type="dxa"/>
          </w:tcPr>
          <w:p w14:paraId="48536479" w14:textId="2D12563D" w:rsidR="00D37840" w:rsidRPr="00BD66CE" w:rsidRDefault="00BE61E2" w:rsidP="00D37840">
            <w:pPr>
              <w:jc w:val="center"/>
              <w:rPr>
                <w:rFonts w:ascii="Verdana" w:hAnsi="Verdana"/>
                <w:sz w:val="18"/>
                <w:szCs w:val="18"/>
                <w:lang w:val="es-CO"/>
              </w:rPr>
            </w:pPr>
            <w:r w:rsidRPr="00BD66CE">
              <w:rPr>
                <w:rFonts w:ascii="Verdana" w:hAnsi="Verdana"/>
                <w:sz w:val="18"/>
                <w:szCs w:val="18"/>
                <w:lang w:val="es-CO"/>
              </w:rPr>
              <w:t>66/</w:t>
            </w:r>
            <w:r w:rsidR="00D37840" w:rsidRPr="00BD66CE">
              <w:rPr>
                <w:rFonts w:ascii="Verdana" w:hAnsi="Verdana"/>
                <w:sz w:val="18"/>
                <w:szCs w:val="18"/>
                <w:lang w:val="es-CO"/>
              </w:rPr>
              <w:t>72</w:t>
            </w:r>
          </w:p>
        </w:tc>
        <w:tc>
          <w:tcPr>
            <w:tcW w:w="846" w:type="dxa"/>
          </w:tcPr>
          <w:p w14:paraId="42424276" w14:textId="441156A4" w:rsidR="00D37840" w:rsidRPr="00BD66CE" w:rsidRDefault="00BE61E2" w:rsidP="00D37840">
            <w:pPr>
              <w:jc w:val="center"/>
              <w:rPr>
                <w:rFonts w:ascii="Verdana" w:hAnsi="Verdana"/>
                <w:sz w:val="18"/>
                <w:szCs w:val="18"/>
                <w:lang w:val="es-CO"/>
              </w:rPr>
            </w:pPr>
            <w:r w:rsidRPr="00BD66CE">
              <w:rPr>
                <w:rFonts w:ascii="Verdana" w:hAnsi="Verdana"/>
                <w:sz w:val="18"/>
                <w:szCs w:val="18"/>
                <w:lang w:val="es-CO"/>
              </w:rPr>
              <w:t>68/</w:t>
            </w:r>
            <w:r w:rsidR="00D37840" w:rsidRPr="00BD66CE">
              <w:rPr>
                <w:rFonts w:ascii="Verdana" w:hAnsi="Verdana"/>
                <w:sz w:val="18"/>
                <w:szCs w:val="18"/>
                <w:lang w:val="es-CO"/>
              </w:rPr>
              <w:t>73</w:t>
            </w:r>
          </w:p>
        </w:tc>
        <w:tc>
          <w:tcPr>
            <w:tcW w:w="801" w:type="dxa"/>
          </w:tcPr>
          <w:p w14:paraId="02FC6DCE" w14:textId="7EFA76D1" w:rsidR="00D37840" w:rsidRPr="00BD66CE" w:rsidRDefault="00BE61E2" w:rsidP="00D37840">
            <w:pPr>
              <w:jc w:val="center"/>
              <w:rPr>
                <w:rFonts w:ascii="Verdana" w:hAnsi="Verdana"/>
                <w:sz w:val="18"/>
                <w:szCs w:val="18"/>
                <w:lang w:val="es-CO"/>
              </w:rPr>
            </w:pPr>
            <w:r w:rsidRPr="00BD66CE">
              <w:rPr>
                <w:rFonts w:ascii="Verdana" w:hAnsi="Verdana"/>
                <w:sz w:val="18"/>
                <w:szCs w:val="18"/>
                <w:lang w:val="es-CO"/>
              </w:rPr>
              <w:t>74/</w:t>
            </w:r>
            <w:r w:rsidR="00D37840" w:rsidRPr="00BD66CE">
              <w:rPr>
                <w:rFonts w:ascii="Verdana" w:hAnsi="Verdana"/>
                <w:sz w:val="18"/>
                <w:szCs w:val="18"/>
                <w:lang w:val="es-CO"/>
              </w:rPr>
              <w:t>80</w:t>
            </w:r>
          </w:p>
        </w:tc>
        <w:tc>
          <w:tcPr>
            <w:tcW w:w="756" w:type="dxa"/>
          </w:tcPr>
          <w:p w14:paraId="290D2F82" w14:textId="65C4785D" w:rsidR="00D37840" w:rsidRPr="00BD66CE" w:rsidRDefault="00BE61E2" w:rsidP="00D37840">
            <w:pPr>
              <w:jc w:val="center"/>
              <w:rPr>
                <w:rFonts w:ascii="Verdana" w:hAnsi="Verdana"/>
                <w:sz w:val="18"/>
                <w:szCs w:val="18"/>
                <w:lang w:val="es-CO"/>
              </w:rPr>
            </w:pPr>
            <w:r w:rsidRPr="00BD66CE">
              <w:rPr>
                <w:rFonts w:ascii="Verdana" w:hAnsi="Verdana"/>
                <w:sz w:val="18"/>
                <w:szCs w:val="18"/>
                <w:lang w:val="es-CO"/>
              </w:rPr>
              <w:t>72/</w:t>
            </w:r>
            <w:r w:rsidR="00D37840" w:rsidRPr="00BD66CE">
              <w:rPr>
                <w:rFonts w:ascii="Verdana" w:hAnsi="Verdana"/>
                <w:sz w:val="18"/>
                <w:szCs w:val="18"/>
                <w:lang w:val="es-CO"/>
              </w:rPr>
              <w:t>78</w:t>
            </w:r>
          </w:p>
        </w:tc>
        <w:tc>
          <w:tcPr>
            <w:tcW w:w="1021" w:type="dxa"/>
          </w:tcPr>
          <w:p w14:paraId="79E4667E" w14:textId="53982323" w:rsidR="00D37840" w:rsidRPr="00BD66CE" w:rsidRDefault="00BE61E2" w:rsidP="00D37840">
            <w:pPr>
              <w:jc w:val="center"/>
              <w:rPr>
                <w:rFonts w:ascii="Verdana" w:hAnsi="Verdana"/>
                <w:sz w:val="18"/>
                <w:szCs w:val="18"/>
                <w:lang w:val="es-CO"/>
              </w:rPr>
            </w:pPr>
            <w:r w:rsidRPr="00BD66CE">
              <w:rPr>
                <w:rFonts w:ascii="Verdana" w:hAnsi="Verdana"/>
                <w:sz w:val="18"/>
                <w:szCs w:val="18"/>
                <w:lang w:val="es-CO"/>
              </w:rPr>
              <w:t>70/76</w:t>
            </w:r>
          </w:p>
        </w:tc>
      </w:tr>
      <w:tr w:rsidR="00D37840" w:rsidRPr="00BD66CE" w14:paraId="4CD72142" w14:textId="77777777" w:rsidTr="004143BB">
        <w:tc>
          <w:tcPr>
            <w:tcW w:w="4116" w:type="dxa"/>
          </w:tcPr>
          <w:p w14:paraId="1C5997D1" w14:textId="2E828A80" w:rsidR="00D37840" w:rsidRPr="00BD66CE" w:rsidRDefault="00DC35DF" w:rsidP="001321F3">
            <w:pPr>
              <w:jc w:val="left"/>
              <w:rPr>
                <w:rFonts w:ascii="Verdana" w:hAnsi="Verdana"/>
              </w:rPr>
            </w:pPr>
            <w:r w:rsidRPr="00BD66CE">
              <w:rPr>
                <w:rFonts w:ascii="Verdana" w:hAnsi="Verdana"/>
              </w:rPr>
              <w:t>Infant mortality rate (deaths per 1,000 live births)</w:t>
            </w:r>
          </w:p>
        </w:tc>
        <w:tc>
          <w:tcPr>
            <w:tcW w:w="703" w:type="dxa"/>
          </w:tcPr>
          <w:p w14:paraId="3421F41C" w14:textId="022193F6" w:rsidR="00D37840" w:rsidRPr="00BD66CE" w:rsidRDefault="00DC35DF" w:rsidP="00D37840">
            <w:pPr>
              <w:jc w:val="center"/>
              <w:rPr>
                <w:rFonts w:ascii="Verdana" w:hAnsi="Verdana"/>
                <w:sz w:val="18"/>
                <w:szCs w:val="18"/>
                <w:lang w:val="es-CO"/>
              </w:rPr>
            </w:pPr>
            <w:r w:rsidRPr="00BD66CE">
              <w:rPr>
                <w:rFonts w:ascii="Verdana" w:hAnsi="Verdana"/>
                <w:sz w:val="18"/>
                <w:szCs w:val="18"/>
                <w:lang w:val="es-CO"/>
              </w:rPr>
              <w:t>10.1</w:t>
            </w:r>
          </w:p>
        </w:tc>
        <w:tc>
          <w:tcPr>
            <w:tcW w:w="756" w:type="dxa"/>
          </w:tcPr>
          <w:p w14:paraId="159E9F14" w14:textId="0EADEE5C" w:rsidR="00D37840" w:rsidRPr="00BD66CE" w:rsidRDefault="00DC35DF" w:rsidP="00D37840">
            <w:pPr>
              <w:jc w:val="center"/>
              <w:rPr>
                <w:rFonts w:ascii="Verdana" w:hAnsi="Verdana"/>
                <w:sz w:val="18"/>
                <w:szCs w:val="18"/>
                <w:lang w:val="es-CO"/>
              </w:rPr>
            </w:pPr>
            <w:r w:rsidRPr="00BD66CE">
              <w:rPr>
                <w:rFonts w:ascii="Verdana" w:hAnsi="Verdana"/>
                <w:sz w:val="18"/>
                <w:szCs w:val="18"/>
                <w:lang w:val="es-CO"/>
              </w:rPr>
              <w:t>6.8</w:t>
            </w:r>
          </w:p>
        </w:tc>
        <w:tc>
          <w:tcPr>
            <w:tcW w:w="792" w:type="dxa"/>
          </w:tcPr>
          <w:p w14:paraId="014991FE" w14:textId="63BD7843" w:rsidR="00D37840" w:rsidRPr="00BD66CE" w:rsidRDefault="00DC35DF" w:rsidP="00D37840">
            <w:pPr>
              <w:jc w:val="center"/>
              <w:rPr>
                <w:rFonts w:ascii="Verdana" w:hAnsi="Verdana"/>
                <w:sz w:val="18"/>
                <w:szCs w:val="18"/>
                <w:lang w:val="es-CO"/>
              </w:rPr>
            </w:pPr>
            <w:r w:rsidRPr="00BD66CE">
              <w:rPr>
                <w:rFonts w:ascii="Verdana" w:hAnsi="Verdana"/>
                <w:sz w:val="18"/>
                <w:szCs w:val="18"/>
                <w:lang w:val="es-CO"/>
              </w:rPr>
              <w:t>9.9</w:t>
            </w:r>
          </w:p>
        </w:tc>
        <w:tc>
          <w:tcPr>
            <w:tcW w:w="846" w:type="dxa"/>
          </w:tcPr>
          <w:p w14:paraId="7E727AF0" w14:textId="5CD40413" w:rsidR="00D37840" w:rsidRPr="00BD66CE" w:rsidRDefault="00DC35DF" w:rsidP="00D37840">
            <w:pPr>
              <w:jc w:val="center"/>
              <w:rPr>
                <w:rFonts w:ascii="Verdana" w:hAnsi="Verdana"/>
                <w:sz w:val="18"/>
                <w:szCs w:val="18"/>
                <w:lang w:val="es-CO"/>
              </w:rPr>
            </w:pPr>
            <w:r w:rsidRPr="00BD66CE">
              <w:rPr>
                <w:rFonts w:ascii="Verdana" w:hAnsi="Verdana"/>
                <w:sz w:val="18"/>
                <w:szCs w:val="18"/>
                <w:lang w:val="es-CO"/>
              </w:rPr>
              <w:t>19.8</w:t>
            </w:r>
          </w:p>
        </w:tc>
        <w:tc>
          <w:tcPr>
            <w:tcW w:w="846" w:type="dxa"/>
          </w:tcPr>
          <w:p w14:paraId="08E335D7" w14:textId="7D8FB0B2" w:rsidR="00D37840" w:rsidRPr="00BD66CE" w:rsidRDefault="00DC35DF" w:rsidP="00D37840">
            <w:pPr>
              <w:jc w:val="center"/>
              <w:rPr>
                <w:rFonts w:ascii="Verdana" w:hAnsi="Verdana"/>
                <w:sz w:val="18"/>
                <w:szCs w:val="18"/>
                <w:lang w:val="es-CO"/>
              </w:rPr>
            </w:pPr>
            <w:r w:rsidRPr="00BD66CE">
              <w:rPr>
                <w:rFonts w:ascii="Verdana" w:hAnsi="Verdana"/>
                <w:sz w:val="18"/>
                <w:szCs w:val="18"/>
                <w:lang w:val="es-CO"/>
              </w:rPr>
              <w:t>12.8</w:t>
            </w:r>
          </w:p>
        </w:tc>
        <w:tc>
          <w:tcPr>
            <w:tcW w:w="801" w:type="dxa"/>
          </w:tcPr>
          <w:p w14:paraId="0F95204C" w14:textId="7F0C99F9" w:rsidR="00D37840" w:rsidRPr="00BD66CE" w:rsidRDefault="00DC35DF" w:rsidP="00D37840">
            <w:pPr>
              <w:jc w:val="center"/>
              <w:rPr>
                <w:rFonts w:ascii="Verdana" w:hAnsi="Verdana"/>
                <w:sz w:val="18"/>
                <w:szCs w:val="18"/>
                <w:lang w:val="es-CO"/>
              </w:rPr>
            </w:pPr>
            <w:r w:rsidRPr="00BD66CE">
              <w:rPr>
                <w:rFonts w:ascii="Verdana" w:hAnsi="Verdana"/>
                <w:sz w:val="18"/>
                <w:szCs w:val="18"/>
                <w:lang w:val="es-CO"/>
              </w:rPr>
              <w:t>12.7</w:t>
            </w:r>
          </w:p>
        </w:tc>
        <w:tc>
          <w:tcPr>
            <w:tcW w:w="756" w:type="dxa"/>
          </w:tcPr>
          <w:p w14:paraId="6704B702" w14:textId="36E5653E" w:rsidR="00D37840" w:rsidRPr="00BD66CE" w:rsidRDefault="00DC35DF" w:rsidP="00D37840">
            <w:pPr>
              <w:jc w:val="center"/>
              <w:rPr>
                <w:rFonts w:ascii="Verdana" w:hAnsi="Verdana"/>
                <w:sz w:val="18"/>
                <w:szCs w:val="18"/>
                <w:lang w:val="es-CO"/>
              </w:rPr>
            </w:pPr>
            <w:r w:rsidRPr="00BD66CE">
              <w:rPr>
                <w:rFonts w:ascii="Verdana" w:hAnsi="Verdana"/>
                <w:sz w:val="18"/>
                <w:szCs w:val="18"/>
                <w:lang w:val="es-CO"/>
              </w:rPr>
              <w:t>12.3</w:t>
            </w:r>
          </w:p>
        </w:tc>
        <w:tc>
          <w:tcPr>
            <w:tcW w:w="1021" w:type="dxa"/>
          </w:tcPr>
          <w:p w14:paraId="3AEDB8CB" w14:textId="42AA857F" w:rsidR="00D37840" w:rsidRPr="00BD66CE" w:rsidRDefault="00DC35DF" w:rsidP="00D37840">
            <w:pPr>
              <w:jc w:val="center"/>
              <w:rPr>
                <w:rFonts w:ascii="Verdana" w:hAnsi="Verdana"/>
                <w:sz w:val="18"/>
                <w:szCs w:val="18"/>
                <w:lang w:val="es-CO"/>
              </w:rPr>
            </w:pPr>
            <w:r w:rsidRPr="00BD66CE">
              <w:rPr>
                <w:rFonts w:ascii="Verdana" w:hAnsi="Verdana"/>
                <w:sz w:val="18"/>
                <w:szCs w:val="18"/>
                <w:lang w:val="es-CO"/>
              </w:rPr>
              <w:t>12.1</w:t>
            </w:r>
          </w:p>
        </w:tc>
      </w:tr>
      <w:tr w:rsidR="00D37840" w:rsidRPr="00BD66CE" w14:paraId="730A2235" w14:textId="77777777" w:rsidTr="004143BB">
        <w:tc>
          <w:tcPr>
            <w:tcW w:w="4116" w:type="dxa"/>
          </w:tcPr>
          <w:p w14:paraId="7423AED3" w14:textId="7CD68879" w:rsidR="00D37840" w:rsidRPr="00BD66CE" w:rsidRDefault="00FE087C" w:rsidP="001321F3">
            <w:pPr>
              <w:jc w:val="left"/>
              <w:rPr>
                <w:rFonts w:ascii="Verdana" w:hAnsi="Verdana"/>
              </w:rPr>
            </w:pPr>
            <w:r w:rsidRPr="00BD66CE">
              <w:rPr>
                <w:rFonts w:ascii="Verdana" w:hAnsi="Verdana"/>
              </w:rPr>
              <w:t>Pub</w:t>
            </w:r>
            <w:r w:rsidR="001A185C" w:rsidRPr="00BD66CE">
              <w:rPr>
                <w:rFonts w:ascii="Verdana" w:hAnsi="Verdana"/>
              </w:rPr>
              <w:t>lic expenditure on education</w:t>
            </w:r>
            <w:r w:rsidR="004143BB" w:rsidRPr="00BD66CE">
              <w:rPr>
                <w:rFonts w:ascii="Verdana" w:hAnsi="Verdana"/>
              </w:rPr>
              <w:t>,</w:t>
            </w:r>
            <w:r w:rsidR="001A185C" w:rsidRPr="00BD66CE">
              <w:rPr>
                <w:rFonts w:ascii="Verdana" w:hAnsi="Verdana"/>
              </w:rPr>
              <w:t xml:space="preserve"> as </w:t>
            </w:r>
            <w:r w:rsidR="004143BB" w:rsidRPr="00BD66CE">
              <w:rPr>
                <w:rFonts w:ascii="Verdana" w:hAnsi="Verdana"/>
              </w:rPr>
              <w:t xml:space="preserve">a </w:t>
            </w:r>
            <w:r w:rsidR="001A185C" w:rsidRPr="00BD66CE">
              <w:rPr>
                <w:rFonts w:ascii="Verdana" w:hAnsi="Verdana"/>
              </w:rPr>
              <w:t>% of gross domestic product</w:t>
            </w:r>
          </w:p>
        </w:tc>
        <w:tc>
          <w:tcPr>
            <w:tcW w:w="703" w:type="dxa"/>
          </w:tcPr>
          <w:p w14:paraId="17F6CA4B" w14:textId="32707DCB" w:rsidR="00D37840" w:rsidRPr="00BD66CE" w:rsidRDefault="004143BB" w:rsidP="00D37840">
            <w:pPr>
              <w:jc w:val="center"/>
              <w:rPr>
                <w:rFonts w:ascii="Verdana" w:hAnsi="Verdana"/>
                <w:sz w:val="18"/>
                <w:szCs w:val="18"/>
                <w:lang w:val="es-CO"/>
              </w:rPr>
            </w:pPr>
            <w:r w:rsidRPr="00BD66CE">
              <w:rPr>
                <w:rFonts w:ascii="Verdana" w:hAnsi="Verdana"/>
                <w:sz w:val="18"/>
                <w:szCs w:val="18"/>
                <w:lang w:val="es-CO"/>
              </w:rPr>
              <w:t>8.7</w:t>
            </w:r>
          </w:p>
        </w:tc>
        <w:tc>
          <w:tcPr>
            <w:tcW w:w="756" w:type="dxa"/>
          </w:tcPr>
          <w:p w14:paraId="71BB599D" w14:textId="2C55F742" w:rsidR="00D37840" w:rsidRPr="00BD66CE" w:rsidRDefault="004143BB" w:rsidP="00D37840">
            <w:pPr>
              <w:jc w:val="center"/>
              <w:rPr>
                <w:rFonts w:ascii="Verdana" w:hAnsi="Verdana"/>
                <w:sz w:val="18"/>
                <w:szCs w:val="18"/>
                <w:lang w:val="es-CO"/>
              </w:rPr>
            </w:pPr>
            <w:r w:rsidRPr="00BD66CE">
              <w:rPr>
                <w:rFonts w:ascii="Verdana" w:hAnsi="Verdana"/>
                <w:sz w:val="18"/>
                <w:szCs w:val="18"/>
                <w:lang w:val="es-CO"/>
              </w:rPr>
              <w:t>6.7</w:t>
            </w:r>
          </w:p>
        </w:tc>
        <w:tc>
          <w:tcPr>
            <w:tcW w:w="792" w:type="dxa"/>
          </w:tcPr>
          <w:p w14:paraId="3B69C8FB" w14:textId="2D89D7FB" w:rsidR="00D37840" w:rsidRPr="00BD66CE" w:rsidRDefault="004143BB" w:rsidP="00D37840">
            <w:pPr>
              <w:jc w:val="center"/>
              <w:rPr>
                <w:rFonts w:ascii="Verdana" w:hAnsi="Verdana"/>
                <w:sz w:val="18"/>
                <w:szCs w:val="18"/>
                <w:lang w:val="es-CO"/>
              </w:rPr>
            </w:pPr>
            <w:r w:rsidRPr="00BD66CE">
              <w:rPr>
                <w:rFonts w:ascii="Verdana" w:hAnsi="Verdana"/>
                <w:sz w:val="18"/>
                <w:szCs w:val="18"/>
                <w:lang w:val="es-CO"/>
              </w:rPr>
              <w:t>3.4</w:t>
            </w:r>
          </w:p>
        </w:tc>
        <w:tc>
          <w:tcPr>
            <w:tcW w:w="846" w:type="dxa"/>
          </w:tcPr>
          <w:p w14:paraId="64502337" w14:textId="3F9E7367" w:rsidR="00D37840" w:rsidRPr="00BD66CE" w:rsidRDefault="004143BB" w:rsidP="00D37840">
            <w:pPr>
              <w:jc w:val="center"/>
              <w:rPr>
                <w:rFonts w:ascii="Verdana" w:hAnsi="Verdana"/>
                <w:sz w:val="18"/>
                <w:szCs w:val="18"/>
                <w:lang w:val="es-CO"/>
              </w:rPr>
            </w:pPr>
            <w:r w:rsidRPr="00BD66CE">
              <w:rPr>
                <w:rFonts w:ascii="Verdana" w:hAnsi="Verdana"/>
                <w:sz w:val="18"/>
                <w:szCs w:val="18"/>
                <w:lang w:val="es-CO"/>
              </w:rPr>
              <w:t>3.3</w:t>
            </w:r>
          </w:p>
        </w:tc>
        <w:tc>
          <w:tcPr>
            <w:tcW w:w="846" w:type="dxa"/>
          </w:tcPr>
          <w:p w14:paraId="7163F39B" w14:textId="1147243B" w:rsidR="00D37840" w:rsidRPr="00BD66CE" w:rsidRDefault="004143BB" w:rsidP="00D37840">
            <w:pPr>
              <w:jc w:val="center"/>
              <w:rPr>
                <w:rFonts w:ascii="Verdana" w:hAnsi="Verdana"/>
                <w:sz w:val="18"/>
                <w:szCs w:val="18"/>
                <w:lang w:val="es-CO"/>
              </w:rPr>
            </w:pPr>
            <w:r w:rsidRPr="00BD66CE">
              <w:rPr>
                <w:rFonts w:ascii="Verdana" w:hAnsi="Verdana"/>
                <w:sz w:val="18"/>
                <w:szCs w:val="18"/>
                <w:lang w:val="es-CO"/>
              </w:rPr>
              <w:t>6.4</w:t>
            </w:r>
          </w:p>
        </w:tc>
        <w:tc>
          <w:tcPr>
            <w:tcW w:w="801" w:type="dxa"/>
          </w:tcPr>
          <w:p w14:paraId="22858077" w14:textId="5C67890D" w:rsidR="00D37840" w:rsidRPr="00BD66CE" w:rsidRDefault="004143BB" w:rsidP="00D37840">
            <w:pPr>
              <w:jc w:val="center"/>
              <w:rPr>
                <w:rFonts w:ascii="Verdana" w:hAnsi="Verdana"/>
                <w:sz w:val="18"/>
                <w:szCs w:val="18"/>
                <w:lang w:val="es-CO"/>
              </w:rPr>
            </w:pPr>
            <w:r w:rsidRPr="00BD66CE">
              <w:rPr>
                <w:rFonts w:ascii="Verdana" w:hAnsi="Verdana"/>
                <w:sz w:val="18"/>
                <w:szCs w:val="18"/>
                <w:lang w:val="es-CO"/>
              </w:rPr>
              <w:t>3.9</w:t>
            </w:r>
          </w:p>
        </w:tc>
        <w:tc>
          <w:tcPr>
            <w:tcW w:w="756" w:type="dxa"/>
          </w:tcPr>
          <w:p w14:paraId="769E1225" w14:textId="1E1123AB" w:rsidR="00D37840" w:rsidRPr="00BD66CE" w:rsidRDefault="004143BB" w:rsidP="00D37840">
            <w:pPr>
              <w:jc w:val="center"/>
              <w:rPr>
                <w:rFonts w:ascii="Verdana" w:hAnsi="Verdana"/>
                <w:sz w:val="18"/>
                <w:szCs w:val="18"/>
                <w:lang w:val="es-CO"/>
              </w:rPr>
            </w:pPr>
            <w:r w:rsidRPr="00BD66CE">
              <w:rPr>
                <w:rFonts w:ascii="Verdana" w:hAnsi="Verdana"/>
                <w:sz w:val="18"/>
                <w:szCs w:val="18"/>
                <w:lang w:val="es-CO"/>
              </w:rPr>
              <w:t>4.6</w:t>
            </w:r>
          </w:p>
        </w:tc>
        <w:tc>
          <w:tcPr>
            <w:tcW w:w="1021" w:type="dxa"/>
          </w:tcPr>
          <w:p w14:paraId="292B0922" w14:textId="1AA91803" w:rsidR="00D37840" w:rsidRPr="00BD66CE" w:rsidRDefault="004143BB" w:rsidP="00D37840">
            <w:pPr>
              <w:jc w:val="center"/>
              <w:rPr>
                <w:rFonts w:ascii="Verdana" w:hAnsi="Verdana"/>
                <w:sz w:val="18"/>
                <w:szCs w:val="18"/>
                <w:lang w:val="es-CO"/>
              </w:rPr>
            </w:pPr>
            <w:r w:rsidRPr="00BD66CE">
              <w:rPr>
                <w:rFonts w:ascii="Verdana" w:hAnsi="Verdana"/>
                <w:sz w:val="18"/>
                <w:szCs w:val="18"/>
                <w:lang w:val="es-CO"/>
              </w:rPr>
              <w:t>5.3</w:t>
            </w:r>
          </w:p>
        </w:tc>
      </w:tr>
      <w:tr w:rsidR="00D37840" w:rsidRPr="00BD66CE" w14:paraId="5ADFE2CF" w14:textId="77777777" w:rsidTr="004143BB">
        <w:tc>
          <w:tcPr>
            <w:tcW w:w="4116" w:type="dxa"/>
          </w:tcPr>
          <w:p w14:paraId="66CF48AF" w14:textId="5966D4CB" w:rsidR="00D37840" w:rsidRPr="00BD66CE" w:rsidRDefault="002F3B16" w:rsidP="001321F3">
            <w:pPr>
              <w:jc w:val="left"/>
              <w:rPr>
                <w:rFonts w:ascii="Verdana" w:hAnsi="Verdana"/>
              </w:rPr>
            </w:pPr>
            <w:r w:rsidRPr="00BD66CE">
              <w:rPr>
                <w:rFonts w:ascii="Verdana" w:hAnsi="Verdana"/>
              </w:rPr>
              <w:t xml:space="preserve">Public expenditure on health as a % of gross domestic product </w:t>
            </w:r>
          </w:p>
        </w:tc>
        <w:tc>
          <w:tcPr>
            <w:tcW w:w="703" w:type="dxa"/>
          </w:tcPr>
          <w:p w14:paraId="39243E1D" w14:textId="7C4D230E" w:rsidR="00D37840" w:rsidRPr="00BD66CE" w:rsidRDefault="002F3B16" w:rsidP="00D37840">
            <w:pPr>
              <w:jc w:val="center"/>
              <w:rPr>
                <w:rFonts w:ascii="Verdana" w:hAnsi="Verdana"/>
                <w:sz w:val="18"/>
                <w:szCs w:val="18"/>
                <w:lang w:val="pt-BR"/>
              </w:rPr>
            </w:pPr>
            <w:r w:rsidRPr="00BD66CE">
              <w:rPr>
                <w:rFonts w:ascii="Verdana" w:hAnsi="Verdana"/>
                <w:sz w:val="18"/>
                <w:szCs w:val="18"/>
                <w:lang w:val="pt-BR"/>
              </w:rPr>
              <w:t>6.0</w:t>
            </w:r>
          </w:p>
        </w:tc>
        <w:tc>
          <w:tcPr>
            <w:tcW w:w="756" w:type="dxa"/>
          </w:tcPr>
          <w:p w14:paraId="3E6F9E86" w14:textId="210248A8" w:rsidR="00D37840" w:rsidRPr="00BD66CE" w:rsidRDefault="002F3B16" w:rsidP="00D37840">
            <w:pPr>
              <w:jc w:val="center"/>
              <w:rPr>
                <w:rFonts w:ascii="Verdana" w:hAnsi="Verdana"/>
                <w:sz w:val="18"/>
                <w:szCs w:val="18"/>
                <w:lang w:val="pt-BR"/>
              </w:rPr>
            </w:pPr>
            <w:r w:rsidRPr="00BD66CE">
              <w:rPr>
                <w:rFonts w:ascii="Verdana" w:hAnsi="Verdana"/>
                <w:sz w:val="18"/>
                <w:szCs w:val="18"/>
                <w:lang w:val="pt-BR"/>
              </w:rPr>
              <w:t>7.3</w:t>
            </w:r>
          </w:p>
        </w:tc>
        <w:tc>
          <w:tcPr>
            <w:tcW w:w="792" w:type="dxa"/>
          </w:tcPr>
          <w:p w14:paraId="5B21592A" w14:textId="1FD47309" w:rsidR="00D37840" w:rsidRPr="00BD66CE" w:rsidRDefault="002F3B16" w:rsidP="00D37840">
            <w:pPr>
              <w:jc w:val="center"/>
              <w:rPr>
                <w:rFonts w:ascii="Verdana" w:hAnsi="Verdana"/>
                <w:sz w:val="18"/>
                <w:szCs w:val="18"/>
                <w:lang w:val="pt-BR"/>
              </w:rPr>
            </w:pPr>
            <w:r w:rsidRPr="00BD66CE">
              <w:rPr>
                <w:rFonts w:ascii="Verdana" w:hAnsi="Verdana"/>
                <w:sz w:val="18"/>
                <w:szCs w:val="18"/>
                <w:lang w:val="pt-BR"/>
              </w:rPr>
              <w:t>8.5</w:t>
            </w:r>
          </w:p>
        </w:tc>
        <w:tc>
          <w:tcPr>
            <w:tcW w:w="846" w:type="dxa"/>
          </w:tcPr>
          <w:p w14:paraId="29667BF9" w14:textId="18707775" w:rsidR="00D37840" w:rsidRPr="00BD66CE" w:rsidRDefault="002F3B16" w:rsidP="00D37840">
            <w:pPr>
              <w:jc w:val="center"/>
              <w:rPr>
                <w:rFonts w:ascii="Verdana" w:hAnsi="Verdana"/>
                <w:sz w:val="18"/>
                <w:szCs w:val="18"/>
                <w:lang w:val="pt-BR"/>
              </w:rPr>
            </w:pPr>
            <w:r w:rsidRPr="00BD66CE">
              <w:rPr>
                <w:rFonts w:ascii="Verdana" w:hAnsi="Verdana"/>
                <w:sz w:val="18"/>
                <w:szCs w:val="18"/>
                <w:lang w:val="pt-BR"/>
              </w:rPr>
              <w:t>6.2</w:t>
            </w:r>
          </w:p>
        </w:tc>
        <w:tc>
          <w:tcPr>
            <w:tcW w:w="846" w:type="dxa"/>
          </w:tcPr>
          <w:p w14:paraId="5BAEBF85" w14:textId="38C64544" w:rsidR="00D37840" w:rsidRPr="00BD66CE" w:rsidRDefault="002F3B16" w:rsidP="00D37840">
            <w:pPr>
              <w:jc w:val="center"/>
              <w:rPr>
                <w:rFonts w:ascii="Verdana" w:hAnsi="Verdana"/>
                <w:sz w:val="18"/>
                <w:szCs w:val="18"/>
                <w:lang w:val="pt-BR"/>
              </w:rPr>
            </w:pPr>
            <w:r w:rsidRPr="00BD66CE">
              <w:rPr>
                <w:rFonts w:ascii="Verdana" w:hAnsi="Verdana"/>
                <w:sz w:val="18"/>
                <w:szCs w:val="18"/>
                <w:lang w:val="pt-BR"/>
              </w:rPr>
              <w:t>7.3</w:t>
            </w:r>
          </w:p>
        </w:tc>
        <w:tc>
          <w:tcPr>
            <w:tcW w:w="801" w:type="dxa"/>
          </w:tcPr>
          <w:p w14:paraId="59F636C5" w14:textId="034C0A5E" w:rsidR="00D37840" w:rsidRPr="00BD66CE" w:rsidRDefault="002F3B16" w:rsidP="00D37840">
            <w:pPr>
              <w:jc w:val="center"/>
              <w:rPr>
                <w:rFonts w:ascii="Verdana" w:hAnsi="Verdana"/>
                <w:sz w:val="18"/>
                <w:szCs w:val="18"/>
                <w:lang w:val="pt-BR"/>
              </w:rPr>
            </w:pPr>
            <w:r w:rsidRPr="00BD66CE">
              <w:rPr>
                <w:rFonts w:ascii="Verdana" w:hAnsi="Verdana"/>
                <w:sz w:val="18"/>
                <w:szCs w:val="18"/>
                <w:lang w:val="pt-BR"/>
              </w:rPr>
              <w:t>7.6</w:t>
            </w:r>
          </w:p>
        </w:tc>
        <w:tc>
          <w:tcPr>
            <w:tcW w:w="756" w:type="dxa"/>
          </w:tcPr>
          <w:p w14:paraId="559FFB28" w14:textId="2DDB5EA6" w:rsidR="00D37840" w:rsidRPr="00BD66CE" w:rsidRDefault="002F3B16" w:rsidP="00D37840">
            <w:pPr>
              <w:jc w:val="center"/>
              <w:rPr>
                <w:rFonts w:ascii="Verdana" w:hAnsi="Verdana"/>
                <w:sz w:val="18"/>
                <w:szCs w:val="18"/>
                <w:lang w:val="pt-BR"/>
              </w:rPr>
            </w:pPr>
            <w:r w:rsidRPr="00BD66CE">
              <w:rPr>
                <w:rFonts w:ascii="Verdana" w:hAnsi="Verdana"/>
                <w:sz w:val="18"/>
                <w:szCs w:val="18"/>
                <w:lang w:val="pt-BR"/>
              </w:rPr>
              <w:t>8.4</w:t>
            </w:r>
          </w:p>
        </w:tc>
        <w:tc>
          <w:tcPr>
            <w:tcW w:w="1021" w:type="dxa"/>
          </w:tcPr>
          <w:p w14:paraId="75731454" w14:textId="0406B17F" w:rsidR="00D37840" w:rsidRPr="00BD66CE" w:rsidRDefault="002F3B16" w:rsidP="00D37840">
            <w:pPr>
              <w:jc w:val="center"/>
              <w:rPr>
                <w:rFonts w:ascii="Verdana" w:hAnsi="Verdana"/>
                <w:sz w:val="18"/>
                <w:szCs w:val="18"/>
                <w:lang w:val="pt-BR"/>
              </w:rPr>
            </w:pPr>
            <w:r w:rsidRPr="00BD66CE">
              <w:rPr>
                <w:rFonts w:ascii="Verdana" w:hAnsi="Verdana"/>
                <w:sz w:val="18"/>
                <w:szCs w:val="18"/>
                <w:lang w:val="pt-BR"/>
              </w:rPr>
              <w:t>7.3</w:t>
            </w:r>
          </w:p>
        </w:tc>
      </w:tr>
      <w:tr w:rsidR="001C1A99" w:rsidRPr="00BD66CE" w14:paraId="31D60172" w14:textId="77777777" w:rsidTr="004143BB">
        <w:tc>
          <w:tcPr>
            <w:tcW w:w="4116" w:type="dxa"/>
          </w:tcPr>
          <w:p w14:paraId="5A0D089F" w14:textId="167D2201" w:rsidR="001C1A99" w:rsidRPr="00BD66CE" w:rsidRDefault="001C1A99" w:rsidP="001C1A99">
            <w:pPr>
              <w:jc w:val="left"/>
              <w:rPr>
                <w:rFonts w:ascii="Verdana" w:hAnsi="Verdana"/>
              </w:rPr>
            </w:pPr>
            <w:r w:rsidRPr="00BD66CE">
              <w:rPr>
                <w:rFonts w:ascii="Verdana" w:hAnsi="Verdana"/>
              </w:rPr>
              <w:t>Population according to housing status (tena</w:t>
            </w:r>
            <w:r w:rsidR="003845A1" w:rsidRPr="00BD66CE">
              <w:rPr>
                <w:rFonts w:ascii="Verdana" w:hAnsi="Verdana"/>
              </w:rPr>
              <w:t>n</w:t>
            </w:r>
            <w:r w:rsidRPr="00BD66CE">
              <w:rPr>
                <w:rFonts w:ascii="Verdana" w:hAnsi="Verdana"/>
              </w:rPr>
              <w:t>t), by per capita income quintile (%)</w:t>
            </w:r>
          </w:p>
        </w:tc>
        <w:tc>
          <w:tcPr>
            <w:tcW w:w="703" w:type="dxa"/>
          </w:tcPr>
          <w:p w14:paraId="4110AB68" w14:textId="71AED36D"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756" w:type="dxa"/>
          </w:tcPr>
          <w:p w14:paraId="378C80FC" w14:textId="707D0918"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18.8</w:t>
            </w:r>
          </w:p>
        </w:tc>
        <w:tc>
          <w:tcPr>
            <w:tcW w:w="792" w:type="dxa"/>
          </w:tcPr>
          <w:p w14:paraId="243D12F9" w14:textId="7C3BAE10"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12.8</w:t>
            </w:r>
          </w:p>
        </w:tc>
        <w:tc>
          <w:tcPr>
            <w:tcW w:w="846" w:type="dxa"/>
          </w:tcPr>
          <w:p w14:paraId="560DA29D" w14:textId="3C84E0FF"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846" w:type="dxa"/>
          </w:tcPr>
          <w:p w14:paraId="642437CD" w14:textId="12FE20CD"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14.6</w:t>
            </w:r>
          </w:p>
        </w:tc>
        <w:tc>
          <w:tcPr>
            <w:tcW w:w="801" w:type="dxa"/>
          </w:tcPr>
          <w:p w14:paraId="5C7D9A59" w14:textId="6F5F54F5"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11.3</w:t>
            </w:r>
          </w:p>
        </w:tc>
        <w:tc>
          <w:tcPr>
            <w:tcW w:w="756" w:type="dxa"/>
          </w:tcPr>
          <w:p w14:paraId="5997313B" w14:textId="69217335"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1021" w:type="dxa"/>
          </w:tcPr>
          <w:p w14:paraId="184889AA" w14:textId="0228F97A"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14.3</w:t>
            </w:r>
          </w:p>
        </w:tc>
      </w:tr>
      <w:tr w:rsidR="001C1A99" w:rsidRPr="00BD66CE" w14:paraId="1A3131F9" w14:textId="77777777" w:rsidTr="004143BB">
        <w:tc>
          <w:tcPr>
            <w:tcW w:w="4116" w:type="dxa"/>
          </w:tcPr>
          <w:p w14:paraId="57648878" w14:textId="3A2D551F" w:rsidR="001C1A99" w:rsidRPr="00BD66CE" w:rsidRDefault="001C1A99" w:rsidP="001C1A99">
            <w:pPr>
              <w:jc w:val="left"/>
              <w:rPr>
                <w:rFonts w:ascii="Verdana" w:hAnsi="Verdana"/>
                <w:lang w:val="es-CO"/>
              </w:rPr>
            </w:pPr>
            <w:r w:rsidRPr="00BD66CE">
              <w:rPr>
                <w:rFonts w:ascii="Verdana" w:hAnsi="Verdana"/>
                <w:lang w:val="es-CO"/>
              </w:rPr>
              <w:t>Population in overcrowded households (%)</w:t>
            </w:r>
          </w:p>
        </w:tc>
        <w:tc>
          <w:tcPr>
            <w:tcW w:w="703" w:type="dxa"/>
          </w:tcPr>
          <w:p w14:paraId="46D4490C" w14:textId="5CA6D7A5"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756" w:type="dxa"/>
          </w:tcPr>
          <w:p w14:paraId="590328F3" w14:textId="78904A33"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7.6</w:t>
            </w:r>
          </w:p>
        </w:tc>
        <w:tc>
          <w:tcPr>
            <w:tcW w:w="792" w:type="dxa"/>
          </w:tcPr>
          <w:p w14:paraId="6946D914" w14:textId="33EFF854"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46.5</w:t>
            </w:r>
          </w:p>
        </w:tc>
        <w:tc>
          <w:tcPr>
            <w:tcW w:w="846" w:type="dxa"/>
          </w:tcPr>
          <w:p w14:paraId="5E02B632" w14:textId="43E4A3D0"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846" w:type="dxa"/>
          </w:tcPr>
          <w:p w14:paraId="29148584" w14:textId="3F7C31A8"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49.8</w:t>
            </w:r>
          </w:p>
        </w:tc>
        <w:tc>
          <w:tcPr>
            <w:tcW w:w="801" w:type="dxa"/>
          </w:tcPr>
          <w:p w14:paraId="1352DB45" w14:textId="3AD39941"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32.3</w:t>
            </w:r>
          </w:p>
        </w:tc>
        <w:tc>
          <w:tcPr>
            <w:tcW w:w="756" w:type="dxa"/>
          </w:tcPr>
          <w:p w14:paraId="6CB29006" w14:textId="7501E427"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1021" w:type="dxa"/>
          </w:tcPr>
          <w:p w14:paraId="194C2B98" w14:textId="123F026B"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34.1</w:t>
            </w:r>
          </w:p>
        </w:tc>
      </w:tr>
      <w:tr w:rsidR="001C1A99" w:rsidRPr="00BD66CE" w14:paraId="0424D363" w14:textId="77777777" w:rsidTr="004143BB">
        <w:tc>
          <w:tcPr>
            <w:tcW w:w="4116" w:type="dxa"/>
          </w:tcPr>
          <w:p w14:paraId="157373D9" w14:textId="1401BA3B" w:rsidR="001C1A99" w:rsidRPr="00BD66CE" w:rsidRDefault="001C1A99" w:rsidP="001C1A99">
            <w:pPr>
              <w:jc w:val="left"/>
              <w:rPr>
                <w:rFonts w:ascii="Verdana" w:hAnsi="Verdana"/>
              </w:rPr>
            </w:pPr>
            <w:r w:rsidRPr="00BD66CE">
              <w:rPr>
                <w:rFonts w:ascii="Verdana" w:hAnsi="Verdana"/>
              </w:rPr>
              <w:t>Households with availability of water in the dwelling (%)</w:t>
            </w:r>
          </w:p>
        </w:tc>
        <w:tc>
          <w:tcPr>
            <w:tcW w:w="703" w:type="dxa"/>
          </w:tcPr>
          <w:p w14:paraId="0930169D" w14:textId="4D421386"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756" w:type="dxa"/>
          </w:tcPr>
          <w:p w14:paraId="14E04327" w14:textId="0B927EAF"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99.4</w:t>
            </w:r>
          </w:p>
        </w:tc>
        <w:tc>
          <w:tcPr>
            <w:tcW w:w="792" w:type="dxa"/>
          </w:tcPr>
          <w:p w14:paraId="7A7CF8E5" w14:textId="592C5D38"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70.4</w:t>
            </w:r>
          </w:p>
        </w:tc>
        <w:tc>
          <w:tcPr>
            <w:tcW w:w="846" w:type="dxa"/>
          </w:tcPr>
          <w:p w14:paraId="27655F35" w14:textId="23ACFD0F"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846" w:type="dxa"/>
          </w:tcPr>
          <w:p w14:paraId="77022B06" w14:textId="411D71C7"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87.8</w:t>
            </w:r>
          </w:p>
        </w:tc>
        <w:tc>
          <w:tcPr>
            <w:tcW w:w="801" w:type="dxa"/>
          </w:tcPr>
          <w:p w14:paraId="29397CEB" w14:textId="7218747F"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94.9</w:t>
            </w:r>
          </w:p>
        </w:tc>
        <w:tc>
          <w:tcPr>
            <w:tcW w:w="756" w:type="dxa"/>
          </w:tcPr>
          <w:p w14:paraId="1D7A010A" w14:textId="2EEE3544"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1021" w:type="dxa"/>
          </w:tcPr>
          <w:p w14:paraId="6C86A2EA" w14:textId="0098A163"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88.1</w:t>
            </w:r>
          </w:p>
        </w:tc>
      </w:tr>
      <w:tr w:rsidR="001C1A99" w:rsidRPr="00BD66CE" w14:paraId="0BC46B10" w14:textId="77777777" w:rsidTr="004143BB">
        <w:tc>
          <w:tcPr>
            <w:tcW w:w="4116" w:type="dxa"/>
          </w:tcPr>
          <w:p w14:paraId="7F856ECA" w14:textId="01262176" w:rsidR="001C1A99" w:rsidRPr="00BD66CE" w:rsidRDefault="001C1A99" w:rsidP="001C1A99">
            <w:pPr>
              <w:jc w:val="left"/>
              <w:rPr>
                <w:rFonts w:ascii="Verdana" w:hAnsi="Verdana"/>
              </w:rPr>
            </w:pPr>
            <w:r w:rsidRPr="00BD66CE">
              <w:rPr>
                <w:rFonts w:ascii="Verdana" w:hAnsi="Verdana"/>
              </w:rPr>
              <w:t>Households with availability of electric</w:t>
            </w:r>
            <w:r w:rsidR="003845A1" w:rsidRPr="00BD66CE">
              <w:rPr>
                <w:rFonts w:ascii="Verdana" w:hAnsi="Verdana"/>
              </w:rPr>
              <w:t>i</w:t>
            </w:r>
            <w:r w:rsidRPr="00BD66CE">
              <w:rPr>
                <w:rFonts w:ascii="Verdana" w:hAnsi="Verdana"/>
              </w:rPr>
              <w:t>ty in the dwelling (%)</w:t>
            </w:r>
          </w:p>
        </w:tc>
        <w:tc>
          <w:tcPr>
            <w:tcW w:w="703" w:type="dxa"/>
          </w:tcPr>
          <w:p w14:paraId="3CF84A46" w14:textId="5BF37F7C"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756" w:type="dxa"/>
          </w:tcPr>
          <w:p w14:paraId="1C4621E5" w14:textId="5A99A327"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99.6</w:t>
            </w:r>
          </w:p>
        </w:tc>
        <w:tc>
          <w:tcPr>
            <w:tcW w:w="792" w:type="dxa"/>
          </w:tcPr>
          <w:p w14:paraId="498F0616" w14:textId="6E7C3750"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87.7</w:t>
            </w:r>
          </w:p>
        </w:tc>
        <w:tc>
          <w:tcPr>
            <w:tcW w:w="846" w:type="dxa"/>
          </w:tcPr>
          <w:p w14:paraId="0EE9672B" w14:textId="703466A0"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846" w:type="dxa"/>
          </w:tcPr>
          <w:p w14:paraId="2B2782B0" w14:textId="057752F9"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89.4</w:t>
            </w:r>
          </w:p>
        </w:tc>
        <w:tc>
          <w:tcPr>
            <w:tcW w:w="801" w:type="dxa"/>
          </w:tcPr>
          <w:p w14:paraId="25CD57E8" w14:textId="0B72046C"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92.0</w:t>
            </w:r>
          </w:p>
        </w:tc>
        <w:tc>
          <w:tcPr>
            <w:tcW w:w="756" w:type="dxa"/>
          </w:tcPr>
          <w:p w14:paraId="51B21B13" w14:textId="0B2156EE"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1021" w:type="dxa"/>
          </w:tcPr>
          <w:p w14:paraId="38C57FCB" w14:textId="0C45C149"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92.2</w:t>
            </w:r>
          </w:p>
        </w:tc>
      </w:tr>
      <w:tr w:rsidR="001C1A99" w:rsidRPr="00BD66CE" w14:paraId="350B6528" w14:textId="77777777" w:rsidTr="004143BB">
        <w:tc>
          <w:tcPr>
            <w:tcW w:w="4116" w:type="dxa"/>
          </w:tcPr>
          <w:p w14:paraId="1A420584" w14:textId="25F23783" w:rsidR="001C1A99" w:rsidRPr="00BD66CE" w:rsidRDefault="001C1A99" w:rsidP="001C1A99">
            <w:pPr>
              <w:jc w:val="left"/>
              <w:rPr>
                <w:rFonts w:ascii="Verdana" w:hAnsi="Verdana"/>
              </w:rPr>
            </w:pPr>
            <w:r w:rsidRPr="00BD66CE">
              <w:rPr>
                <w:rFonts w:ascii="Verdana" w:hAnsi="Verdana"/>
              </w:rPr>
              <w:t>Households with availability of sanitation in the dwelling (%)</w:t>
            </w:r>
          </w:p>
        </w:tc>
        <w:tc>
          <w:tcPr>
            <w:tcW w:w="703" w:type="dxa"/>
          </w:tcPr>
          <w:p w14:paraId="71DA4E13" w14:textId="060C66BF"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756" w:type="dxa"/>
          </w:tcPr>
          <w:p w14:paraId="5EF226C9" w14:textId="47A7F539"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47.8</w:t>
            </w:r>
          </w:p>
        </w:tc>
        <w:tc>
          <w:tcPr>
            <w:tcW w:w="792" w:type="dxa"/>
          </w:tcPr>
          <w:p w14:paraId="0AC6DED7" w14:textId="2E57A9AA"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47.1</w:t>
            </w:r>
          </w:p>
        </w:tc>
        <w:tc>
          <w:tcPr>
            <w:tcW w:w="846" w:type="dxa"/>
          </w:tcPr>
          <w:p w14:paraId="0A5F8E37" w14:textId="31D6C1CE"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846" w:type="dxa"/>
          </w:tcPr>
          <w:p w14:paraId="0EDF78A0" w14:textId="24CEDC83"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50.3</w:t>
            </w:r>
          </w:p>
        </w:tc>
        <w:tc>
          <w:tcPr>
            <w:tcW w:w="801" w:type="dxa"/>
          </w:tcPr>
          <w:p w14:paraId="2E233EC9" w14:textId="3867E71A"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48.8</w:t>
            </w:r>
          </w:p>
        </w:tc>
        <w:tc>
          <w:tcPr>
            <w:tcW w:w="756" w:type="dxa"/>
          </w:tcPr>
          <w:p w14:paraId="192C6263" w14:textId="4E899520"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1021" w:type="dxa"/>
          </w:tcPr>
          <w:p w14:paraId="56C740BD" w14:textId="6A56C18A"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48.5</w:t>
            </w:r>
          </w:p>
        </w:tc>
      </w:tr>
      <w:tr w:rsidR="001C1A99" w:rsidRPr="00BD66CE" w14:paraId="633F31B0" w14:textId="77777777" w:rsidTr="004143BB">
        <w:tc>
          <w:tcPr>
            <w:tcW w:w="4116" w:type="dxa"/>
          </w:tcPr>
          <w:p w14:paraId="3AAAB617" w14:textId="501C79EC" w:rsidR="001C1A99" w:rsidRPr="00BD66CE" w:rsidRDefault="001C1A99" w:rsidP="001C1A99">
            <w:pPr>
              <w:jc w:val="left"/>
              <w:rPr>
                <w:rFonts w:ascii="Verdana" w:hAnsi="Verdana"/>
              </w:rPr>
            </w:pPr>
            <w:r w:rsidRPr="00BD66CE">
              <w:rPr>
                <w:rFonts w:ascii="Verdana" w:hAnsi="Verdana"/>
              </w:rPr>
              <w:t>Population without internet access at home (%)</w:t>
            </w:r>
          </w:p>
        </w:tc>
        <w:tc>
          <w:tcPr>
            <w:tcW w:w="703" w:type="dxa"/>
          </w:tcPr>
          <w:p w14:paraId="421865C6" w14:textId="000F8A6F"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756" w:type="dxa"/>
          </w:tcPr>
          <w:p w14:paraId="3D053977" w14:textId="5C0624BB"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10.2</w:t>
            </w:r>
          </w:p>
        </w:tc>
        <w:tc>
          <w:tcPr>
            <w:tcW w:w="792" w:type="dxa"/>
          </w:tcPr>
          <w:p w14:paraId="0C7A7096" w14:textId="33F80C70"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74.0</w:t>
            </w:r>
          </w:p>
        </w:tc>
        <w:tc>
          <w:tcPr>
            <w:tcW w:w="846" w:type="dxa"/>
          </w:tcPr>
          <w:p w14:paraId="503DE29D" w14:textId="67D23A2F"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846" w:type="dxa"/>
          </w:tcPr>
          <w:p w14:paraId="712B7CBF" w14:textId="6ED1DC70"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72.9</w:t>
            </w:r>
          </w:p>
        </w:tc>
        <w:tc>
          <w:tcPr>
            <w:tcW w:w="801" w:type="dxa"/>
          </w:tcPr>
          <w:p w14:paraId="2C5D91D1" w14:textId="36C2F1D3"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27.5</w:t>
            </w:r>
          </w:p>
        </w:tc>
        <w:tc>
          <w:tcPr>
            <w:tcW w:w="756" w:type="dxa"/>
          </w:tcPr>
          <w:p w14:paraId="1CAFBE18" w14:textId="2BD81FA9" w:rsidR="001C1A99" w:rsidRPr="00BD66CE" w:rsidRDefault="00285B8E" w:rsidP="001C1A99">
            <w:pPr>
              <w:jc w:val="center"/>
              <w:rPr>
                <w:rFonts w:ascii="Verdana" w:hAnsi="Verdana"/>
                <w:sz w:val="18"/>
                <w:szCs w:val="18"/>
                <w:lang w:val="es-CO"/>
              </w:rPr>
            </w:pPr>
            <w:r w:rsidRPr="00BD66CE">
              <w:rPr>
                <w:rFonts w:ascii="Verdana" w:hAnsi="Verdana"/>
                <w:sz w:val="18"/>
                <w:szCs w:val="18"/>
                <w:lang w:val="es-CO"/>
              </w:rPr>
              <w:t>Unda</w:t>
            </w:r>
          </w:p>
        </w:tc>
        <w:tc>
          <w:tcPr>
            <w:tcW w:w="1021" w:type="dxa"/>
          </w:tcPr>
          <w:p w14:paraId="1D1C56EB" w14:textId="61146B36" w:rsidR="001C1A99" w:rsidRPr="00BD66CE" w:rsidRDefault="001C1A99" w:rsidP="001C1A99">
            <w:pPr>
              <w:jc w:val="center"/>
              <w:rPr>
                <w:rFonts w:ascii="Verdana" w:hAnsi="Verdana"/>
                <w:sz w:val="18"/>
                <w:szCs w:val="18"/>
                <w:lang w:val="es-CO"/>
              </w:rPr>
            </w:pPr>
            <w:r w:rsidRPr="00BD66CE">
              <w:rPr>
                <w:rFonts w:ascii="Verdana" w:hAnsi="Verdana"/>
                <w:sz w:val="18"/>
                <w:szCs w:val="18"/>
                <w:lang w:val="es-CO"/>
              </w:rPr>
              <w:t>46.2</w:t>
            </w:r>
          </w:p>
        </w:tc>
      </w:tr>
      <w:tr w:rsidR="00175E34" w:rsidRPr="00BD66CE" w14:paraId="128972D2" w14:textId="77777777" w:rsidTr="004143BB">
        <w:tc>
          <w:tcPr>
            <w:tcW w:w="4116" w:type="dxa"/>
          </w:tcPr>
          <w:p w14:paraId="758BF4FD" w14:textId="678E4559" w:rsidR="00175E34" w:rsidRPr="00BD66CE" w:rsidRDefault="002F3B16" w:rsidP="001321F3">
            <w:pPr>
              <w:jc w:val="left"/>
              <w:rPr>
                <w:rFonts w:ascii="Verdana" w:hAnsi="Verdana"/>
                <w:lang w:val="es-CO"/>
              </w:rPr>
            </w:pPr>
            <w:r w:rsidRPr="00BD66CE">
              <w:rPr>
                <w:rFonts w:ascii="Verdana" w:hAnsi="Verdana"/>
                <w:lang w:val="es-CO"/>
              </w:rPr>
              <w:t>Hospital beds (10,000 inhabitants)</w:t>
            </w:r>
          </w:p>
        </w:tc>
        <w:tc>
          <w:tcPr>
            <w:tcW w:w="703" w:type="dxa"/>
          </w:tcPr>
          <w:p w14:paraId="15427730" w14:textId="247AF3DF" w:rsidR="00175E34" w:rsidRPr="00BD66CE" w:rsidRDefault="002F3B16" w:rsidP="00D37840">
            <w:pPr>
              <w:jc w:val="center"/>
              <w:rPr>
                <w:rFonts w:ascii="Verdana" w:hAnsi="Verdana"/>
                <w:sz w:val="18"/>
                <w:szCs w:val="18"/>
                <w:lang w:val="es-CO"/>
              </w:rPr>
            </w:pPr>
            <w:r w:rsidRPr="00BD66CE">
              <w:rPr>
                <w:rFonts w:ascii="Verdana" w:hAnsi="Verdana"/>
                <w:sz w:val="18"/>
                <w:szCs w:val="18"/>
                <w:lang w:val="es-CO"/>
              </w:rPr>
              <w:t>10.4</w:t>
            </w:r>
          </w:p>
        </w:tc>
        <w:tc>
          <w:tcPr>
            <w:tcW w:w="756" w:type="dxa"/>
          </w:tcPr>
          <w:p w14:paraId="31E327DB" w14:textId="0122854F" w:rsidR="00175E34" w:rsidRPr="00BD66CE" w:rsidRDefault="002F3B16" w:rsidP="00D37840">
            <w:pPr>
              <w:jc w:val="center"/>
              <w:rPr>
                <w:rFonts w:ascii="Verdana" w:hAnsi="Verdana"/>
                <w:sz w:val="18"/>
                <w:szCs w:val="18"/>
                <w:lang w:val="es-CO"/>
              </w:rPr>
            </w:pPr>
            <w:r w:rsidRPr="00BD66CE">
              <w:rPr>
                <w:rFonts w:ascii="Verdana" w:hAnsi="Verdana"/>
                <w:sz w:val="18"/>
                <w:szCs w:val="18"/>
                <w:lang w:val="es-CO"/>
              </w:rPr>
              <w:t>11.4</w:t>
            </w:r>
          </w:p>
        </w:tc>
        <w:tc>
          <w:tcPr>
            <w:tcW w:w="792" w:type="dxa"/>
          </w:tcPr>
          <w:p w14:paraId="727CD7F8" w14:textId="53ADCBE9" w:rsidR="00175E34" w:rsidRPr="00BD66CE" w:rsidRDefault="002F3B16" w:rsidP="00D37840">
            <w:pPr>
              <w:jc w:val="center"/>
              <w:rPr>
                <w:rFonts w:ascii="Verdana" w:hAnsi="Verdana"/>
                <w:sz w:val="18"/>
                <w:szCs w:val="18"/>
                <w:lang w:val="es-CO"/>
              </w:rPr>
            </w:pPr>
            <w:r w:rsidRPr="00BD66CE">
              <w:rPr>
                <w:rFonts w:ascii="Verdana" w:hAnsi="Verdana"/>
                <w:sz w:val="18"/>
                <w:szCs w:val="18"/>
                <w:lang w:val="es-CO"/>
              </w:rPr>
              <w:t>12.0</w:t>
            </w:r>
          </w:p>
        </w:tc>
        <w:tc>
          <w:tcPr>
            <w:tcW w:w="846" w:type="dxa"/>
          </w:tcPr>
          <w:p w14:paraId="3A763603" w14:textId="7F5037E6" w:rsidR="00175E34" w:rsidRPr="00BD66CE" w:rsidRDefault="002F3B16" w:rsidP="00D37840">
            <w:pPr>
              <w:jc w:val="center"/>
              <w:rPr>
                <w:rFonts w:ascii="Verdana" w:hAnsi="Verdana"/>
                <w:sz w:val="18"/>
                <w:szCs w:val="18"/>
                <w:lang w:val="es-CO"/>
              </w:rPr>
            </w:pPr>
            <w:r w:rsidRPr="00BD66CE">
              <w:rPr>
                <w:rFonts w:ascii="Verdana" w:hAnsi="Verdana"/>
                <w:sz w:val="18"/>
                <w:szCs w:val="18"/>
                <w:lang w:val="es-CO"/>
              </w:rPr>
              <w:t>4.4</w:t>
            </w:r>
          </w:p>
        </w:tc>
        <w:tc>
          <w:tcPr>
            <w:tcW w:w="846" w:type="dxa"/>
          </w:tcPr>
          <w:p w14:paraId="6402E0BD" w14:textId="24D0DD97" w:rsidR="00175E34" w:rsidRPr="00BD66CE" w:rsidRDefault="002F3B16" w:rsidP="00D37840">
            <w:pPr>
              <w:jc w:val="center"/>
              <w:rPr>
                <w:rFonts w:ascii="Verdana" w:hAnsi="Verdana"/>
                <w:sz w:val="18"/>
                <w:szCs w:val="18"/>
                <w:lang w:val="es-CO"/>
              </w:rPr>
            </w:pPr>
            <w:r w:rsidRPr="00BD66CE">
              <w:rPr>
                <w:rFonts w:ascii="Verdana" w:hAnsi="Verdana"/>
                <w:sz w:val="18"/>
                <w:szCs w:val="18"/>
                <w:lang w:val="es-CO"/>
              </w:rPr>
              <w:t>6.4</w:t>
            </w:r>
          </w:p>
        </w:tc>
        <w:tc>
          <w:tcPr>
            <w:tcW w:w="801" w:type="dxa"/>
          </w:tcPr>
          <w:p w14:paraId="5D748FB8" w14:textId="5586B881" w:rsidR="00175E34" w:rsidRPr="00BD66CE" w:rsidRDefault="002F3B16" w:rsidP="00D37840">
            <w:pPr>
              <w:jc w:val="center"/>
              <w:rPr>
                <w:rFonts w:ascii="Verdana" w:hAnsi="Verdana"/>
                <w:sz w:val="18"/>
                <w:szCs w:val="18"/>
                <w:lang w:val="es-CO"/>
              </w:rPr>
            </w:pPr>
            <w:r w:rsidRPr="00BD66CE">
              <w:rPr>
                <w:rFonts w:ascii="Verdana" w:hAnsi="Verdana"/>
                <w:sz w:val="18"/>
                <w:szCs w:val="18"/>
                <w:lang w:val="es-CO"/>
              </w:rPr>
              <w:t>9.3</w:t>
            </w:r>
          </w:p>
        </w:tc>
        <w:tc>
          <w:tcPr>
            <w:tcW w:w="756" w:type="dxa"/>
          </w:tcPr>
          <w:p w14:paraId="5BBA769C" w14:textId="482DB61C" w:rsidR="00175E34" w:rsidRPr="00BD66CE" w:rsidRDefault="00285B8E" w:rsidP="00D37840">
            <w:pPr>
              <w:jc w:val="center"/>
              <w:rPr>
                <w:rFonts w:ascii="Verdana" w:hAnsi="Verdana"/>
                <w:sz w:val="18"/>
                <w:szCs w:val="18"/>
                <w:lang w:val="es-CO"/>
              </w:rPr>
            </w:pPr>
            <w:r w:rsidRPr="00BD66CE">
              <w:rPr>
                <w:rFonts w:ascii="Verdana" w:hAnsi="Verdana"/>
                <w:sz w:val="18"/>
                <w:szCs w:val="18"/>
                <w:lang w:val="es-CO"/>
              </w:rPr>
              <w:t>Unda</w:t>
            </w:r>
          </w:p>
        </w:tc>
        <w:tc>
          <w:tcPr>
            <w:tcW w:w="1021" w:type="dxa"/>
          </w:tcPr>
          <w:p w14:paraId="1B6526AD" w14:textId="3A8A2FD5" w:rsidR="00175E34" w:rsidRPr="00BD66CE" w:rsidRDefault="002F3B16" w:rsidP="00D37840">
            <w:pPr>
              <w:jc w:val="center"/>
              <w:rPr>
                <w:rFonts w:ascii="Verdana" w:hAnsi="Verdana"/>
                <w:sz w:val="18"/>
                <w:szCs w:val="18"/>
                <w:lang w:val="es-CO"/>
              </w:rPr>
            </w:pPr>
            <w:r w:rsidRPr="00BD66CE">
              <w:rPr>
                <w:rFonts w:ascii="Verdana" w:hAnsi="Verdana"/>
                <w:sz w:val="18"/>
                <w:szCs w:val="18"/>
                <w:lang w:val="es-CO"/>
              </w:rPr>
              <w:t>9.0</w:t>
            </w:r>
          </w:p>
        </w:tc>
      </w:tr>
      <w:tr w:rsidR="00175E34" w:rsidRPr="00BD66CE" w14:paraId="40ABA7B5" w14:textId="77777777" w:rsidTr="004143BB">
        <w:tc>
          <w:tcPr>
            <w:tcW w:w="4116" w:type="dxa"/>
          </w:tcPr>
          <w:p w14:paraId="446E45A1" w14:textId="354B6FA7" w:rsidR="00175E34" w:rsidRPr="00BD66CE" w:rsidRDefault="007D5146" w:rsidP="001321F3">
            <w:pPr>
              <w:jc w:val="left"/>
              <w:rPr>
                <w:rFonts w:ascii="Verdana" w:hAnsi="Verdana"/>
                <w:lang w:val="es-CO"/>
              </w:rPr>
            </w:pPr>
            <w:r w:rsidRPr="00BD66CE">
              <w:rPr>
                <w:rFonts w:ascii="Verdana" w:hAnsi="Verdana"/>
                <w:lang w:val="es-CO"/>
              </w:rPr>
              <w:t>Population without medical insurance (%)</w:t>
            </w:r>
          </w:p>
        </w:tc>
        <w:tc>
          <w:tcPr>
            <w:tcW w:w="703" w:type="dxa"/>
          </w:tcPr>
          <w:p w14:paraId="5571FE24" w14:textId="7B400A25" w:rsidR="00175E34" w:rsidRPr="00BD66CE" w:rsidRDefault="00285B8E" w:rsidP="00D37840">
            <w:pPr>
              <w:jc w:val="center"/>
              <w:rPr>
                <w:rFonts w:ascii="Verdana" w:hAnsi="Verdana"/>
                <w:sz w:val="18"/>
                <w:szCs w:val="18"/>
                <w:lang w:val="es-CO"/>
              </w:rPr>
            </w:pPr>
            <w:r w:rsidRPr="00BD66CE">
              <w:rPr>
                <w:rFonts w:ascii="Verdana" w:hAnsi="Verdana"/>
                <w:sz w:val="18"/>
                <w:szCs w:val="18"/>
                <w:lang w:val="es-CO"/>
              </w:rPr>
              <w:t>Unda</w:t>
            </w:r>
          </w:p>
        </w:tc>
        <w:tc>
          <w:tcPr>
            <w:tcW w:w="756" w:type="dxa"/>
          </w:tcPr>
          <w:p w14:paraId="112F7DF4" w14:textId="2FDCBBD9" w:rsidR="00175E34" w:rsidRPr="00BD66CE" w:rsidRDefault="007D5146" w:rsidP="00D37840">
            <w:pPr>
              <w:jc w:val="center"/>
              <w:rPr>
                <w:rFonts w:ascii="Verdana" w:hAnsi="Verdana"/>
                <w:sz w:val="18"/>
                <w:szCs w:val="18"/>
                <w:lang w:val="es-CO"/>
              </w:rPr>
            </w:pPr>
            <w:r w:rsidRPr="00BD66CE">
              <w:rPr>
                <w:rFonts w:ascii="Verdana" w:hAnsi="Verdana"/>
                <w:sz w:val="18"/>
                <w:szCs w:val="18"/>
                <w:lang w:val="es-CO"/>
              </w:rPr>
              <w:t>14.8</w:t>
            </w:r>
          </w:p>
        </w:tc>
        <w:tc>
          <w:tcPr>
            <w:tcW w:w="792" w:type="dxa"/>
          </w:tcPr>
          <w:p w14:paraId="65FFA911" w14:textId="767B3F27" w:rsidR="00175E34" w:rsidRPr="00BD66CE" w:rsidRDefault="007D5146" w:rsidP="00D37840">
            <w:pPr>
              <w:jc w:val="center"/>
              <w:rPr>
                <w:rFonts w:ascii="Verdana" w:hAnsi="Verdana"/>
                <w:sz w:val="18"/>
                <w:szCs w:val="18"/>
                <w:lang w:val="es-CO"/>
              </w:rPr>
            </w:pPr>
            <w:r w:rsidRPr="00BD66CE">
              <w:rPr>
                <w:rFonts w:ascii="Verdana" w:hAnsi="Verdana"/>
                <w:sz w:val="18"/>
                <w:szCs w:val="18"/>
                <w:lang w:val="es-CO"/>
              </w:rPr>
              <w:t>72.7</w:t>
            </w:r>
          </w:p>
        </w:tc>
        <w:tc>
          <w:tcPr>
            <w:tcW w:w="846" w:type="dxa"/>
          </w:tcPr>
          <w:p w14:paraId="1C05F08E" w14:textId="509B1A81" w:rsidR="00175E34" w:rsidRPr="00BD66CE" w:rsidRDefault="00285B8E" w:rsidP="00D37840">
            <w:pPr>
              <w:jc w:val="center"/>
              <w:rPr>
                <w:rFonts w:ascii="Verdana" w:hAnsi="Verdana"/>
                <w:sz w:val="18"/>
                <w:szCs w:val="18"/>
                <w:lang w:val="es-CO"/>
              </w:rPr>
            </w:pPr>
            <w:r w:rsidRPr="00BD66CE">
              <w:rPr>
                <w:rFonts w:ascii="Verdana" w:hAnsi="Verdana"/>
                <w:sz w:val="18"/>
                <w:szCs w:val="18"/>
                <w:lang w:val="es-CO"/>
              </w:rPr>
              <w:t>Unda</w:t>
            </w:r>
          </w:p>
        </w:tc>
        <w:tc>
          <w:tcPr>
            <w:tcW w:w="846" w:type="dxa"/>
          </w:tcPr>
          <w:p w14:paraId="2AEA4956" w14:textId="45E10C9A" w:rsidR="00175E34" w:rsidRPr="00BD66CE" w:rsidRDefault="007D5146" w:rsidP="00D37840">
            <w:pPr>
              <w:jc w:val="center"/>
              <w:rPr>
                <w:rFonts w:ascii="Verdana" w:hAnsi="Verdana"/>
                <w:sz w:val="18"/>
                <w:szCs w:val="18"/>
                <w:lang w:val="es-CO"/>
              </w:rPr>
            </w:pPr>
            <w:r w:rsidRPr="00BD66CE">
              <w:rPr>
                <w:rFonts w:ascii="Verdana" w:hAnsi="Verdana"/>
                <w:sz w:val="18"/>
                <w:szCs w:val="18"/>
                <w:lang w:val="es-CO"/>
              </w:rPr>
              <w:t>84.6</w:t>
            </w:r>
          </w:p>
        </w:tc>
        <w:tc>
          <w:tcPr>
            <w:tcW w:w="801" w:type="dxa"/>
          </w:tcPr>
          <w:p w14:paraId="790C223C" w14:textId="3A6E2DC2" w:rsidR="00175E34" w:rsidRPr="00BD66CE" w:rsidRDefault="007D5146" w:rsidP="00D37840">
            <w:pPr>
              <w:jc w:val="center"/>
              <w:rPr>
                <w:rFonts w:ascii="Verdana" w:hAnsi="Verdana"/>
                <w:sz w:val="18"/>
                <w:szCs w:val="18"/>
                <w:lang w:val="es-CO"/>
              </w:rPr>
            </w:pPr>
            <w:r w:rsidRPr="00BD66CE">
              <w:rPr>
                <w:rFonts w:ascii="Verdana" w:hAnsi="Verdana"/>
                <w:sz w:val="18"/>
                <w:szCs w:val="18"/>
                <w:lang w:val="es-CO"/>
              </w:rPr>
              <w:t>45.8</w:t>
            </w:r>
          </w:p>
        </w:tc>
        <w:tc>
          <w:tcPr>
            <w:tcW w:w="756" w:type="dxa"/>
          </w:tcPr>
          <w:p w14:paraId="618A4843" w14:textId="72B9B39C" w:rsidR="00175E34" w:rsidRPr="00BD66CE" w:rsidRDefault="00285B8E" w:rsidP="00D37840">
            <w:pPr>
              <w:jc w:val="center"/>
              <w:rPr>
                <w:rFonts w:ascii="Verdana" w:hAnsi="Verdana"/>
                <w:sz w:val="18"/>
                <w:szCs w:val="18"/>
                <w:lang w:val="es-CO"/>
              </w:rPr>
            </w:pPr>
            <w:r w:rsidRPr="00BD66CE">
              <w:rPr>
                <w:rFonts w:ascii="Verdana" w:hAnsi="Verdana"/>
                <w:sz w:val="18"/>
                <w:szCs w:val="18"/>
                <w:lang w:val="es-CO"/>
              </w:rPr>
              <w:t>Unda</w:t>
            </w:r>
          </w:p>
        </w:tc>
        <w:tc>
          <w:tcPr>
            <w:tcW w:w="1021" w:type="dxa"/>
          </w:tcPr>
          <w:p w14:paraId="110324E9" w14:textId="77777777" w:rsidR="00175E34" w:rsidRPr="00BD66CE" w:rsidRDefault="00175E34" w:rsidP="00D37840">
            <w:pPr>
              <w:jc w:val="center"/>
              <w:rPr>
                <w:rFonts w:ascii="Verdana" w:hAnsi="Verdana"/>
                <w:sz w:val="18"/>
                <w:szCs w:val="18"/>
                <w:lang w:val="es-CO"/>
              </w:rPr>
            </w:pPr>
          </w:p>
        </w:tc>
      </w:tr>
      <w:tr w:rsidR="00175E34" w:rsidRPr="00BD66CE" w14:paraId="59304DC1" w14:textId="77777777" w:rsidTr="004143BB">
        <w:tc>
          <w:tcPr>
            <w:tcW w:w="4116" w:type="dxa"/>
          </w:tcPr>
          <w:p w14:paraId="59F9832F" w14:textId="4BE71571" w:rsidR="00175E34" w:rsidRPr="00BD66CE" w:rsidRDefault="00931010" w:rsidP="001321F3">
            <w:pPr>
              <w:jc w:val="left"/>
              <w:rPr>
                <w:rFonts w:ascii="Verdana" w:hAnsi="Verdana"/>
              </w:rPr>
            </w:pPr>
            <w:r w:rsidRPr="00BD66CE">
              <w:rPr>
                <w:rFonts w:ascii="Verdana" w:hAnsi="Verdana"/>
              </w:rPr>
              <w:t xml:space="preserve">Public social protection expenditure, as a % of gross domestic product </w:t>
            </w:r>
          </w:p>
        </w:tc>
        <w:tc>
          <w:tcPr>
            <w:tcW w:w="703" w:type="dxa"/>
          </w:tcPr>
          <w:p w14:paraId="542A93BD" w14:textId="08FE5726" w:rsidR="00175E34" w:rsidRPr="00BD66CE" w:rsidRDefault="00285B8E" w:rsidP="00D37840">
            <w:pPr>
              <w:jc w:val="center"/>
              <w:rPr>
                <w:rFonts w:ascii="Verdana" w:hAnsi="Verdana"/>
                <w:sz w:val="18"/>
                <w:szCs w:val="18"/>
                <w:lang w:val="pt-BR"/>
              </w:rPr>
            </w:pPr>
            <w:r w:rsidRPr="00BD66CE">
              <w:rPr>
                <w:rFonts w:ascii="Verdana" w:hAnsi="Verdana"/>
                <w:sz w:val="18"/>
                <w:szCs w:val="18"/>
                <w:lang w:val="es-CO"/>
              </w:rPr>
              <w:t>Unda</w:t>
            </w:r>
          </w:p>
        </w:tc>
        <w:tc>
          <w:tcPr>
            <w:tcW w:w="756" w:type="dxa"/>
          </w:tcPr>
          <w:p w14:paraId="0072A88F" w14:textId="4BF84E5F" w:rsidR="00175E34" w:rsidRPr="00BD66CE" w:rsidRDefault="00931010" w:rsidP="00D37840">
            <w:pPr>
              <w:jc w:val="center"/>
              <w:rPr>
                <w:rFonts w:ascii="Verdana" w:hAnsi="Verdana"/>
                <w:sz w:val="18"/>
                <w:szCs w:val="18"/>
                <w:lang w:val="pt-BR"/>
              </w:rPr>
            </w:pPr>
            <w:r w:rsidRPr="00BD66CE">
              <w:rPr>
                <w:rFonts w:ascii="Verdana" w:hAnsi="Verdana"/>
                <w:sz w:val="18"/>
                <w:szCs w:val="18"/>
                <w:lang w:val="pt-BR"/>
              </w:rPr>
              <w:t>4.6</w:t>
            </w:r>
          </w:p>
        </w:tc>
        <w:tc>
          <w:tcPr>
            <w:tcW w:w="792" w:type="dxa"/>
          </w:tcPr>
          <w:p w14:paraId="49B922D5" w14:textId="6D034A15" w:rsidR="00175E34" w:rsidRPr="00BD66CE" w:rsidRDefault="00931010" w:rsidP="00D37840">
            <w:pPr>
              <w:jc w:val="center"/>
              <w:rPr>
                <w:rFonts w:ascii="Verdana" w:hAnsi="Verdana"/>
                <w:sz w:val="18"/>
                <w:szCs w:val="18"/>
                <w:lang w:val="pt-BR"/>
              </w:rPr>
            </w:pPr>
            <w:r w:rsidRPr="00BD66CE">
              <w:rPr>
                <w:rFonts w:ascii="Verdana" w:hAnsi="Verdana"/>
                <w:sz w:val="18"/>
                <w:szCs w:val="18"/>
                <w:lang w:val="pt-BR"/>
              </w:rPr>
              <w:t>6.5</w:t>
            </w:r>
          </w:p>
        </w:tc>
        <w:tc>
          <w:tcPr>
            <w:tcW w:w="846" w:type="dxa"/>
          </w:tcPr>
          <w:p w14:paraId="5E7A17A6" w14:textId="20D20B0C" w:rsidR="00175E34" w:rsidRPr="00BD66CE" w:rsidRDefault="00931010" w:rsidP="00D37840">
            <w:pPr>
              <w:jc w:val="center"/>
              <w:rPr>
                <w:rFonts w:ascii="Verdana" w:hAnsi="Verdana"/>
                <w:sz w:val="18"/>
                <w:szCs w:val="18"/>
                <w:lang w:val="pt-BR"/>
              </w:rPr>
            </w:pPr>
            <w:r w:rsidRPr="00BD66CE">
              <w:rPr>
                <w:rFonts w:ascii="Verdana" w:hAnsi="Verdana"/>
                <w:sz w:val="18"/>
                <w:szCs w:val="18"/>
                <w:lang w:val="pt-BR"/>
              </w:rPr>
              <w:t>3.0</w:t>
            </w:r>
          </w:p>
        </w:tc>
        <w:tc>
          <w:tcPr>
            <w:tcW w:w="846" w:type="dxa"/>
          </w:tcPr>
          <w:p w14:paraId="0CEA318C" w14:textId="251DD641" w:rsidR="00175E34" w:rsidRPr="00BD66CE" w:rsidRDefault="00931010" w:rsidP="00D37840">
            <w:pPr>
              <w:jc w:val="center"/>
              <w:rPr>
                <w:rFonts w:ascii="Verdana" w:hAnsi="Verdana"/>
                <w:sz w:val="18"/>
                <w:szCs w:val="18"/>
                <w:lang w:val="pt-BR"/>
              </w:rPr>
            </w:pPr>
            <w:r w:rsidRPr="00BD66CE">
              <w:rPr>
                <w:rFonts w:ascii="Verdana" w:hAnsi="Verdana"/>
                <w:sz w:val="18"/>
                <w:szCs w:val="18"/>
                <w:lang w:val="pt-BR"/>
              </w:rPr>
              <w:t>.8</w:t>
            </w:r>
          </w:p>
        </w:tc>
        <w:tc>
          <w:tcPr>
            <w:tcW w:w="801" w:type="dxa"/>
          </w:tcPr>
          <w:p w14:paraId="0F7B6D1A" w14:textId="26BD50AD" w:rsidR="00175E34" w:rsidRPr="00BD66CE" w:rsidRDefault="00285B8E" w:rsidP="00D37840">
            <w:pPr>
              <w:jc w:val="center"/>
              <w:rPr>
                <w:rFonts w:ascii="Verdana" w:hAnsi="Verdana"/>
                <w:sz w:val="18"/>
                <w:szCs w:val="18"/>
                <w:lang w:val="pt-BR"/>
              </w:rPr>
            </w:pPr>
            <w:r w:rsidRPr="00BD66CE">
              <w:rPr>
                <w:rFonts w:ascii="Verdana" w:hAnsi="Verdana"/>
                <w:sz w:val="18"/>
                <w:szCs w:val="18"/>
                <w:lang w:val="es-CO"/>
              </w:rPr>
              <w:t>Unda</w:t>
            </w:r>
          </w:p>
        </w:tc>
        <w:tc>
          <w:tcPr>
            <w:tcW w:w="756" w:type="dxa"/>
          </w:tcPr>
          <w:p w14:paraId="0D153C7D" w14:textId="046761A9" w:rsidR="00175E34" w:rsidRPr="00BD66CE" w:rsidRDefault="00931010" w:rsidP="00D37840">
            <w:pPr>
              <w:jc w:val="center"/>
              <w:rPr>
                <w:rFonts w:ascii="Verdana" w:hAnsi="Verdana"/>
                <w:sz w:val="18"/>
                <w:szCs w:val="18"/>
                <w:lang w:val="pt-BR"/>
              </w:rPr>
            </w:pPr>
            <w:r w:rsidRPr="00BD66CE">
              <w:rPr>
                <w:rFonts w:ascii="Verdana" w:hAnsi="Verdana"/>
                <w:sz w:val="18"/>
                <w:szCs w:val="18"/>
                <w:lang w:val="pt-BR"/>
              </w:rPr>
              <w:t>.8</w:t>
            </w:r>
          </w:p>
        </w:tc>
        <w:tc>
          <w:tcPr>
            <w:tcW w:w="1021" w:type="dxa"/>
          </w:tcPr>
          <w:p w14:paraId="02BE4A2D" w14:textId="1F7FB2AE" w:rsidR="00175E34" w:rsidRPr="00BD66CE" w:rsidRDefault="00931010" w:rsidP="00D37840">
            <w:pPr>
              <w:jc w:val="center"/>
              <w:rPr>
                <w:rFonts w:ascii="Verdana" w:hAnsi="Verdana"/>
                <w:sz w:val="18"/>
                <w:szCs w:val="18"/>
                <w:lang w:val="pt-BR"/>
              </w:rPr>
            </w:pPr>
            <w:r w:rsidRPr="00BD66CE">
              <w:rPr>
                <w:rFonts w:ascii="Verdana" w:hAnsi="Verdana"/>
                <w:sz w:val="18"/>
                <w:szCs w:val="18"/>
                <w:lang w:val="pt-BR"/>
              </w:rPr>
              <w:t>3.1</w:t>
            </w:r>
          </w:p>
        </w:tc>
      </w:tr>
      <w:tr w:rsidR="00175E34" w:rsidRPr="00BD66CE" w14:paraId="75BB803C" w14:textId="77777777" w:rsidTr="004143BB">
        <w:tc>
          <w:tcPr>
            <w:tcW w:w="4116" w:type="dxa"/>
          </w:tcPr>
          <w:p w14:paraId="1FB58C35" w14:textId="010C5FB7" w:rsidR="00175E34" w:rsidRPr="00BD66CE" w:rsidRDefault="00931010" w:rsidP="001321F3">
            <w:pPr>
              <w:jc w:val="left"/>
              <w:rPr>
                <w:rFonts w:ascii="Verdana" w:hAnsi="Verdana"/>
              </w:rPr>
            </w:pPr>
            <w:r w:rsidRPr="00BD66CE">
              <w:rPr>
                <w:rFonts w:ascii="Verdana" w:hAnsi="Verdana"/>
              </w:rPr>
              <w:t xml:space="preserve">Population aged 60 </w:t>
            </w:r>
            <w:r w:rsidR="00985E37" w:rsidRPr="00BD66CE">
              <w:rPr>
                <w:rFonts w:ascii="Verdana" w:hAnsi="Verdana"/>
              </w:rPr>
              <w:t>and</w:t>
            </w:r>
            <w:r w:rsidRPr="00BD66CE">
              <w:rPr>
                <w:rFonts w:ascii="Verdana" w:hAnsi="Verdana"/>
              </w:rPr>
              <w:t xml:space="preserve"> over without own income (%)</w:t>
            </w:r>
          </w:p>
        </w:tc>
        <w:tc>
          <w:tcPr>
            <w:tcW w:w="703" w:type="dxa"/>
          </w:tcPr>
          <w:p w14:paraId="12D08754" w14:textId="3E9759A3" w:rsidR="00175E34" w:rsidRPr="00BD66CE" w:rsidRDefault="00285B8E" w:rsidP="00D37840">
            <w:pPr>
              <w:jc w:val="center"/>
              <w:rPr>
                <w:rFonts w:ascii="Verdana" w:hAnsi="Verdana"/>
                <w:sz w:val="18"/>
                <w:szCs w:val="18"/>
                <w:lang w:val="es-CO"/>
              </w:rPr>
            </w:pPr>
            <w:r w:rsidRPr="00BD66CE">
              <w:rPr>
                <w:rFonts w:ascii="Verdana" w:hAnsi="Verdana"/>
                <w:sz w:val="18"/>
                <w:szCs w:val="18"/>
                <w:lang w:val="es-CO"/>
              </w:rPr>
              <w:t>Unda</w:t>
            </w:r>
          </w:p>
        </w:tc>
        <w:tc>
          <w:tcPr>
            <w:tcW w:w="756" w:type="dxa"/>
          </w:tcPr>
          <w:p w14:paraId="64E44C39" w14:textId="667BCA24" w:rsidR="00175E34" w:rsidRPr="00BD66CE" w:rsidRDefault="00931010" w:rsidP="00D37840">
            <w:pPr>
              <w:jc w:val="center"/>
              <w:rPr>
                <w:rFonts w:ascii="Verdana" w:hAnsi="Verdana"/>
                <w:sz w:val="18"/>
                <w:szCs w:val="18"/>
                <w:lang w:val="es-CO"/>
              </w:rPr>
            </w:pPr>
            <w:r w:rsidRPr="00BD66CE">
              <w:rPr>
                <w:rFonts w:ascii="Verdana" w:hAnsi="Verdana"/>
                <w:sz w:val="18"/>
                <w:szCs w:val="18"/>
                <w:lang w:val="es-CO"/>
              </w:rPr>
              <w:t>19.4</w:t>
            </w:r>
          </w:p>
        </w:tc>
        <w:tc>
          <w:tcPr>
            <w:tcW w:w="792" w:type="dxa"/>
          </w:tcPr>
          <w:p w14:paraId="254D1514" w14:textId="35C6A79E" w:rsidR="00175E34" w:rsidRPr="00BD66CE" w:rsidRDefault="00931010" w:rsidP="00D37840">
            <w:pPr>
              <w:jc w:val="center"/>
              <w:rPr>
                <w:rFonts w:ascii="Verdana" w:hAnsi="Verdana"/>
                <w:sz w:val="18"/>
                <w:szCs w:val="18"/>
                <w:lang w:val="es-CO"/>
              </w:rPr>
            </w:pPr>
            <w:r w:rsidRPr="00BD66CE">
              <w:rPr>
                <w:rFonts w:ascii="Verdana" w:hAnsi="Verdana"/>
                <w:sz w:val="18"/>
                <w:szCs w:val="18"/>
                <w:lang w:val="es-CO"/>
              </w:rPr>
              <w:t>30.0</w:t>
            </w:r>
          </w:p>
        </w:tc>
        <w:tc>
          <w:tcPr>
            <w:tcW w:w="846" w:type="dxa"/>
          </w:tcPr>
          <w:p w14:paraId="192E6919" w14:textId="378CC187" w:rsidR="00175E34" w:rsidRPr="00BD66CE" w:rsidRDefault="00931010" w:rsidP="00D37840">
            <w:pPr>
              <w:jc w:val="center"/>
              <w:rPr>
                <w:rFonts w:ascii="Verdana" w:hAnsi="Verdana"/>
                <w:sz w:val="18"/>
                <w:szCs w:val="18"/>
                <w:lang w:val="es-CO"/>
              </w:rPr>
            </w:pPr>
            <w:r w:rsidRPr="00BD66CE">
              <w:rPr>
                <w:rFonts w:ascii="Verdana" w:hAnsi="Verdana"/>
                <w:sz w:val="18"/>
                <w:szCs w:val="18"/>
                <w:lang w:val="es-CO"/>
              </w:rPr>
              <w:t>29.3</w:t>
            </w:r>
          </w:p>
        </w:tc>
        <w:tc>
          <w:tcPr>
            <w:tcW w:w="846" w:type="dxa"/>
          </w:tcPr>
          <w:p w14:paraId="2482ACD7" w14:textId="51E641E7" w:rsidR="00175E34" w:rsidRPr="00BD66CE" w:rsidRDefault="00285B8E" w:rsidP="00D37840">
            <w:pPr>
              <w:jc w:val="center"/>
              <w:rPr>
                <w:rFonts w:ascii="Verdana" w:hAnsi="Verdana"/>
                <w:sz w:val="18"/>
                <w:szCs w:val="18"/>
                <w:lang w:val="es-CO"/>
              </w:rPr>
            </w:pPr>
            <w:r w:rsidRPr="00BD66CE">
              <w:rPr>
                <w:rFonts w:ascii="Verdana" w:hAnsi="Verdana"/>
                <w:sz w:val="18"/>
                <w:szCs w:val="18"/>
                <w:lang w:val="es-CO"/>
              </w:rPr>
              <w:t>Unda</w:t>
            </w:r>
          </w:p>
        </w:tc>
        <w:tc>
          <w:tcPr>
            <w:tcW w:w="801" w:type="dxa"/>
          </w:tcPr>
          <w:p w14:paraId="442D75E5" w14:textId="77F01E76" w:rsidR="00175E34" w:rsidRPr="00BD66CE" w:rsidRDefault="00931010" w:rsidP="00D37840">
            <w:pPr>
              <w:jc w:val="center"/>
              <w:rPr>
                <w:rFonts w:ascii="Verdana" w:hAnsi="Verdana"/>
                <w:sz w:val="18"/>
                <w:szCs w:val="18"/>
                <w:lang w:val="es-CO"/>
              </w:rPr>
            </w:pPr>
            <w:r w:rsidRPr="00BD66CE">
              <w:rPr>
                <w:rFonts w:ascii="Verdana" w:hAnsi="Verdana"/>
                <w:sz w:val="18"/>
                <w:szCs w:val="18"/>
                <w:lang w:val="es-CO"/>
              </w:rPr>
              <w:t>7.5</w:t>
            </w:r>
          </w:p>
        </w:tc>
        <w:tc>
          <w:tcPr>
            <w:tcW w:w="756" w:type="dxa"/>
          </w:tcPr>
          <w:p w14:paraId="1F10981A" w14:textId="42EA2136" w:rsidR="00175E34" w:rsidRPr="00BD66CE" w:rsidRDefault="00285B8E" w:rsidP="00D37840">
            <w:pPr>
              <w:jc w:val="center"/>
              <w:rPr>
                <w:rFonts w:ascii="Verdana" w:hAnsi="Verdana"/>
                <w:sz w:val="18"/>
                <w:szCs w:val="18"/>
                <w:lang w:val="es-CO"/>
              </w:rPr>
            </w:pPr>
            <w:r w:rsidRPr="00BD66CE">
              <w:rPr>
                <w:rFonts w:ascii="Verdana" w:hAnsi="Verdana"/>
                <w:sz w:val="18"/>
                <w:szCs w:val="18"/>
                <w:lang w:val="es-CO"/>
              </w:rPr>
              <w:t>Unda</w:t>
            </w:r>
          </w:p>
        </w:tc>
        <w:tc>
          <w:tcPr>
            <w:tcW w:w="1021" w:type="dxa"/>
          </w:tcPr>
          <w:p w14:paraId="5AA7E2FA" w14:textId="468D4BBA" w:rsidR="00175E34" w:rsidRPr="00BD66CE" w:rsidRDefault="001A185C" w:rsidP="00D37840">
            <w:pPr>
              <w:jc w:val="center"/>
              <w:rPr>
                <w:rFonts w:ascii="Verdana" w:hAnsi="Verdana"/>
                <w:sz w:val="18"/>
                <w:szCs w:val="18"/>
                <w:lang w:val="es-CO"/>
              </w:rPr>
            </w:pPr>
            <w:r w:rsidRPr="00BD66CE">
              <w:rPr>
                <w:rFonts w:ascii="Verdana" w:hAnsi="Verdana"/>
                <w:sz w:val="18"/>
                <w:szCs w:val="18"/>
                <w:lang w:val="es-CO"/>
              </w:rPr>
              <w:t>21.6</w:t>
            </w:r>
          </w:p>
        </w:tc>
      </w:tr>
      <w:tr w:rsidR="001A185C" w:rsidRPr="00BD66CE" w14:paraId="27AD6A8F" w14:textId="77777777" w:rsidTr="004143BB">
        <w:tc>
          <w:tcPr>
            <w:tcW w:w="4116" w:type="dxa"/>
          </w:tcPr>
          <w:p w14:paraId="6A786D73" w14:textId="1B0D8C8E" w:rsidR="001A185C" w:rsidRPr="00BD66CE" w:rsidRDefault="001A185C" w:rsidP="001321F3">
            <w:pPr>
              <w:jc w:val="left"/>
              <w:rPr>
                <w:rFonts w:ascii="Verdana" w:hAnsi="Verdana"/>
              </w:rPr>
            </w:pPr>
            <w:r w:rsidRPr="00BD66CE">
              <w:rPr>
                <w:rFonts w:ascii="Verdana" w:hAnsi="Verdana"/>
              </w:rPr>
              <w:t>Distrust in the political and state institutions (2020, %)</w:t>
            </w:r>
          </w:p>
        </w:tc>
        <w:tc>
          <w:tcPr>
            <w:tcW w:w="703" w:type="dxa"/>
          </w:tcPr>
          <w:p w14:paraId="290BC732" w14:textId="335F1852"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U</w:t>
            </w:r>
            <w:r w:rsidR="00285B8E" w:rsidRPr="00BD66CE">
              <w:rPr>
                <w:rFonts w:ascii="Verdana" w:hAnsi="Verdana"/>
                <w:sz w:val="18"/>
                <w:szCs w:val="18"/>
                <w:lang w:val="es-CO"/>
              </w:rPr>
              <w:t>n</w:t>
            </w:r>
            <w:r w:rsidR="001C1A99" w:rsidRPr="00BD66CE">
              <w:rPr>
                <w:rFonts w:ascii="Verdana" w:hAnsi="Verdana"/>
                <w:sz w:val="18"/>
                <w:szCs w:val="18"/>
                <w:lang w:val="es-CO"/>
              </w:rPr>
              <w:t>d</w:t>
            </w:r>
            <w:r w:rsidR="00285B8E" w:rsidRPr="00BD66CE">
              <w:rPr>
                <w:rFonts w:ascii="Verdana" w:hAnsi="Verdana"/>
                <w:sz w:val="18"/>
                <w:szCs w:val="18"/>
                <w:lang w:val="es-CO"/>
              </w:rPr>
              <w:t>a</w:t>
            </w:r>
          </w:p>
        </w:tc>
        <w:tc>
          <w:tcPr>
            <w:tcW w:w="756" w:type="dxa"/>
          </w:tcPr>
          <w:p w14:paraId="43E58AA7" w14:textId="68440F4D"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72.0</w:t>
            </w:r>
          </w:p>
        </w:tc>
        <w:tc>
          <w:tcPr>
            <w:tcW w:w="792" w:type="dxa"/>
          </w:tcPr>
          <w:p w14:paraId="5804F911" w14:textId="0280F6DF"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76.0</w:t>
            </w:r>
          </w:p>
        </w:tc>
        <w:tc>
          <w:tcPr>
            <w:tcW w:w="846" w:type="dxa"/>
          </w:tcPr>
          <w:p w14:paraId="51D3D731" w14:textId="5CFCBAA5"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78.0</w:t>
            </w:r>
          </w:p>
        </w:tc>
        <w:tc>
          <w:tcPr>
            <w:tcW w:w="846" w:type="dxa"/>
          </w:tcPr>
          <w:p w14:paraId="46F360B8" w14:textId="147DA5FE"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85.0</w:t>
            </w:r>
          </w:p>
        </w:tc>
        <w:tc>
          <w:tcPr>
            <w:tcW w:w="801" w:type="dxa"/>
          </w:tcPr>
          <w:p w14:paraId="01D25E98" w14:textId="29016C41"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77.0</w:t>
            </w:r>
          </w:p>
        </w:tc>
        <w:tc>
          <w:tcPr>
            <w:tcW w:w="756" w:type="dxa"/>
          </w:tcPr>
          <w:p w14:paraId="7E83A855" w14:textId="05CE0C53"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63.0</w:t>
            </w:r>
          </w:p>
        </w:tc>
        <w:tc>
          <w:tcPr>
            <w:tcW w:w="1021" w:type="dxa"/>
          </w:tcPr>
          <w:p w14:paraId="1BDDD126" w14:textId="510A33E5"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75.2</w:t>
            </w:r>
          </w:p>
        </w:tc>
      </w:tr>
      <w:tr w:rsidR="001A185C" w:rsidRPr="00BD66CE" w14:paraId="3D01BD35" w14:textId="77777777" w:rsidTr="004143BB">
        <w:tc>
          <w:tcPr>
            <w:tcW w:w="4116" w:type="dxa"/>
          </w:tcPr>
          <w:p w14:paraId="41CC8068" w14:textId="6C2FCC8B" w:rsidR="001A185C" w:rsidRPr="00BD66CE" w:rsidRDefault="001A185C" w:rsidP="001321F3">
            <w:pPr>
              <w:jc w:val="left"/>
              <w:rPr>
                <w:rFonts w:ascii="Verdana" w:hAnsi="Verdana"/>
              </w:rPr>
            </w:pPr>
            <w:r w:rsidRPr="00BD66CE">
              <w:rPr>
                <w:rFonts w:ascii="Verdana" w:hAnsi="Verdana"/>
              </w:rPr>
              <w:t>People who consider that income distribution if unfair (2020, %)</w:t>
            </w:r>
          </w:p>
        </w:tc>
        <w:tc>
          <w:tcPr>
            <w:tcW w:w="703" w:type="dxa"/>
          </w:tcPr>
          <w:p w14:paraId="5D66E25B" w14:textId="5041629C" w:rsidR="001A185C" w:rsidRPr="00BD66CE" w:rsidRDefault="00285B8E" w:rsidP="00D37840">
            <w:pPr>
              <w:jc w:val="center"/>
              <w:rPr>
                <w:rFonts w:ascii="Verdana" w:hAnsi="Verdana"/>
                <w:sz w:val="18"/>
                <w:szCs w:val="18"/>
                <w:lang w:val="es-CO"/>
              </w:rPr>
            </w:pPr>
            <w:r w:rsidRPr="00BD66CE">
              <w:rPr>
                <w:rFonts w:ascii="Verdana" w:hAnsi="Verdana"/>
                <w:sz w:val="18"/>
                <w:szCs w:val="18"/>
                <w:lang w:val="es-CO"/>
              </w:rPr>
              <w:t>Unda</w:t>
            </w:r>
          </w:p>
        </w:tc>
        <w:tc>
          <w:tcPr>
            <w:tcW w:w="756" w:type="dxa"/>
          </w:tcPr>
          <w:p w14:paraId="4F06AF53" w14:textId="1198670D"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87.0</w:t>
            </w:r>
          </w:p>
        </w:tc>
        <w:tc>
          <w:tcPr>
            <w:tcW w:w="792" w:type="dxa"/>
          </w:tcPr>
          <w:p w14:paraId="4E80DD11" w14:textId="555C83D0"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58.0</w:t>
            </w:r>
          </w:p>
        </w:tc>
        <w:tc>
          <w:tcPr>
            <w:tcW w:w="846" w:type="dxa"/>
          </w:tcPr>
          <w:p w14:paraId="40ADADD1" w14:textId="557DD6E8"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78.0</w:t>
            </w:r>
          </w:p>
        </w:tc>
        <w:tc>
          <w:tcPr>
            <w:tcW w:w="846" w:type="dxa"/>
          </w:tcPr>
          <w:p w14:paraId="61F20031" w14:textId="771AA949"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84.0</w:t>
            </w:r>
          </w:p>
        </w:tc>
        <w:tc>
          <w:tcPr>
            <w:tcW w:w="801" w:type="dxa"/>
          </w:tcPr>
          <w:p w14:paraId="1BFE4CC4" w14:textId="55C8492C"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78.0</w:t>
            </w:r>
          </w:p>
        </w:tc>
        <w:tc>
          <w:tcPr>
            <w:tcW w:w="756" w:type="dxa"/>
          </w:tcPr>
          <w:p w14:paraId="05D3C370" w14:textId="59D4B7CB"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59.0</w:t>
            </w:r>
          </w:p>
        </w:tc>
        <w:tc>
          <w:tcPr>
            <w:tcW w:w="1021" w:type="dxa"/>
          </w:tcPr>
          <w:p w14:paraId="27FD5710" w14:textId="491E9A37"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74.0</w:t>
            </w:r>
          </w:p>
        </w:tc>
      </w:tr>
      <w:tr w:rsidR="001A185C" w:rsidRPr="00BD66CE" w14:paraId="5685FC9A" w14:textId="77777777" w:rsidTr="004143BB">
        <w:tc>
          <w:tcPr>
            <w:tcW w:w="4116" w:type="dxa"/>
            <w:tcBorders>
              <w:bottom w:val="single" w:sz="4" w:space="0" w:color="auto"/>
            </w:tcBorders>
          </w:tcPr>
          <w:p w14:paraId="52216B28" w14:textId="78C8739C" w:rsidR="001A185C" w:rsidRPr="00BD66CE" w:rsidRDefault="006E24E9" w:rsidP="001321F3">
            <w:pPr>
              <w:jc w:val="left"/>
              <w:rPr>
                <w:rFonts w:ascii="Verdana" w:hAnsi="Verdana"/>
              </w:rPr>
            </w:pPr>
            <w:r w:rsidRPr="00BD66CE">
              <w:rPr>
                <w:rFonts w:ascii="Verdana" w:hAnsi="Verdana"/>
              </w:rPr>
              <w:t>Trust</w:t>
            </w:r>
            <w:r w:rsidR="00B85CFA" w:rsidRPr="00BD66CE">
              <w:rPr>
                <w:rFonts w:ascii="Verdana" w:hAnsi="Verdana"/>
              </w:rPr>
              <w:t xml:space="preserve"> in the P</w:t>
            </w:r>
            <w:r w:rsidR="001A185C" w:rsidRPr="00BD66CE">
              <w:rPr>
                <w:rFonts w:ascii="Verdana" w:hAnsi="Verdana"/>
              </w:rPr>
              <w:t xml:space="preserve">olice </w:t>
            </w:r>
            <w:r w:rsidRPr="00BD66CE">
              <w:rPr>
                <w:rFonts w:ascii="Verdana" w:hAnsi="Verdana"/>
              </w:rPr>
              <w:t xml:space="preserve">Forces </w:t>
            </w:r>
            <w:r w:rsidR="001A185C" w:rsidRPr="00BD66CE">
              <w:rPr>
                <w:rFonts w:ascii="Verdana" w:hAnsi="Verdana"/>
              </w:rPr>
              <w:t>(%)</w:t>
            </w:r>
          </w:p>
        </w:tc>
        <w:tc>
          <w:tcPr>
            <w:tcW w:w="703" w:type="dxa"/>
            <w:tcBorders>
              <w:bottom w:val="single" w:sz="4" w:space="0" w:color="auto"/>
            </w:tcBorders>
          </w:tcPr>
          <w:p w14:paraId="6718BB44" w14:textId="24A08C8C" w:rsidR="001A185C" w:rsidRPr="00BD66CE" w:rsidRDefault="00285B8E" w:rsidP="00D37840">
            <w:pPr>
              <w:jc w:val="center"/>
              <w:rPr>
                <w:rFonts w:ascii="Verdana" w:hAnsi="Verdana"/>
                <w:sz w:val="18"/>
                <w:szCs w:val="18"/>
                <w:lang w:val="es-CO"/>
              </w:rPr>
            </w:pPr>
            <w:r w:rsidRPr="00BD66CE">
              <w:rPr>
                <w:rFonts w:ascii="Verdana" w:hAnsi="Verdana"/>
                <w:sz w:val="18"/>
                <w:szCs w:val="18"/>
                <w:lang w:val="es-CO"/>
              </w:rPr>
              <w:t>Unda</w:t>
            </w:r>
          </w:p>
        </w:tc>
        <w:tc>
          <w:tcPr>
            <w:tcW w:w="756" w:type="dxa"/>
            <w:tcBorders>
              <w:bottom w:val="single" w:sz="4" w:space="0" w:color="auto"/>
            </w:tcBorders>
          </w:tcPr>
          <w:p w14:paraId="3AD50276" w14:textId="7F09A41F"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50.0</w:t>
            </w:r>
          </w:p>
        </w:tc>
        <w:tc>
          <w:tcPr>
            <w:tcW w:w="792" w:type="dxa"/>
            <w:tcBorders>
              <w:bottom w:val="single" w:sz="4" w:space="0" w:color="auto"/>
            </w:tcBorders>
          </w:tcPr>
          <w:p w14:paraId="18CC2BC8" w14:textId="6922D53D"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58.0</w:t>
            </w:r>
          </w:p>
        </w:tc>
        <w:tc>
          <w:tcPr>
            <w:tcW w:w="846" w:type="dxa"/>
            <w:tcBorders>
              <w:bottom w:val="single" w:sz="4" w:space="0" w:color="auto"/>
            </w:tcBorders>
          </w:tcPr>
          <w:p w14:paraId="6BB852FF" w14:textId="477FB6FF"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28.0</w:t>
            </w:r>
          </w:p>
        </w:tc>
        <w:tc>
          <w:tcPr>
            <w:tcW w:w="846" w:type="dxa"/>
            <w:tcBorders>
              <w:bottom w:val="single" w:sz="4" w:space="0" w:color="auto"/>
            </w:tcBorders>
          </w:tcPr>
          <w:p w14:paraId="1954FB72" w14:textId="11F4294D"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27.0</w:t>
            </w:r>
          </w:p>
        </w:tc>
        <w:tc>
          <w:tcPr>
            <w:tcW w:w="801" w:type="dxa"/>
            <w:tcBorders>
              <w:bottom w:val="single" w:sz="4" w:space="0" w:color="auto"/>
            </w:tcBorders>
          </w:tcPr>
          <w:p w14:paraId="6C3F1329" w14:textId="1AEC8472"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48.0</w:t>
            </w:r>
          </w:p>
        </w:tc>
        <w:tc>
          <w:tcPr>
            <w:tcW w:w="756" w:type="dxa"/>
            <w:tcBorders>
              <w:bottom w:val="single" w:sz="4" w:space="0" w:color="auto"/>
            </w:tcBorders>
          </w:tcPr>
          <w:p w14:paraId="4ACF086D" w14:textId="1F84DC24"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32.0</w:t>
            </w:r>
          </w:p>
        </w:tc>
        <w:tc>
          <w:tcPr>
            <w:tcW w:w="1021" w:type="dxa"/>
            <w:tcBorders>
              <w:bottom w:val="single" w:sz="4" w:space="0" w:color="auto"/>
            </w:tcBorders>
          </w:tcPr>
          <w:p w14:paraId="0383133F" w14:textId="36A3FA0E" w:rsidR="001A185C" w:rsidRPr="00BD66CE" w:rsidRDefault="001A185C" w:rsidP="00D37840">
            <w:pPr>
              <w:jc w:val="center"/>
              <w:rPr>
                <w:rFonts w:ascii="Verdana" w:hAnsi="Verdana"/>
                <w:sz w:val="18"/>
                <w:szCs w:val="18"/>
                <w:lang w:val="es-CO"/>
              </w:rPr>
            </w:pPr>
            <w:r w:rsidRPr="00BD66CE">
              <w:rPr>
                <w:rFonts w:ascii="Verdana" w:hAnsi="Verdana"/>
                <w:sz w:val="18"/>
                <w:szCs w:val="18"/>
                <w:lang w:val="es-CO"/>
              </w:rPr>
              <w:t>40.5</w:t>
            </w:r>
          </w:p>
        </w:tc>
      </w:tr>
    </w:tbl>
    <w:p w14:paraId="28615234" w14:textId="1FE4FB10" w:rsidR="00ED23AE" w:rsidRPr="00BD66CE" w:rsidRDefault="00FD731D" w:rsidP="002B00AD">
      <w:pPr>
        <w:spacing w:line="240" w:lineRule="auto"/>
        <w:rPr>
          <w:rFonts w:ascii="Verdana" w:hAnsi="Verdana"/>
          <w:sz w:val="18"/>
        </w:rPr>
      </w:pPr>
      <w:r w:rsidRPr="00BD66CE">
        <w:rPr>
          <w:rFonts w:ascii="Verdana" w:hAnsi="Verdana"/>
          <w:sz w:val="18"/>
          <w:lang w:val="es-CO"/>
        </w:rPr>
        <w:t>U</w:t>
      </w:r>
      <w:r w:rsidR="00285B8E" w:rsidRPr="00BD66CE">
        <w:rPr>
          <w:rFonts w:ascii="Verdana" w:hAnsi="Verdana"/>
          <w:sz w:val="18"/>
          <w:lang w:val="es-CO"/>
        </w:rPr>
        <w:t>n</w:t>
      </w:r>
      <w:r w:rsidR="001C1A99" w:rsidRPr="00BD66CE">
        <w:rPr>
          <w:rFonts w:ascii="Verdana" w:hAnsi="Verdana"/>
          <w:sz w:val="18"/>
          <w:lang w:val="es-CO"/>
        </w:rPr>
        <w:t>d</w:t>
      </w:r>
      <w:r w:rsidR="00285B8E" w:rsidRPr="00BD66CE">
        <w:rPr>
          <w:rFonts w:ascii="Verdana" w:hAnsi="Verdana"/>
          <w:sz w:val="18"/>
          <w:lang w:val="es-CO"/>
        </w:rPr>
        <w:t>a</w:t>
      </w:r>
      <w:r w:rsidRPr="00BD66CE">
        <w:rPr>
          <w:rFonts w:ascii="Verdana" w:hAnsi="Verdana"/>
          <w:sz w:val="18"/>
          <w:lang w:val="es-CO"/>
        </w:rPr>
        <w:t xml:space="preserve">: Unavailable data. BLZ: Belize. CRC: Costa Rica. SLV: El Salvador. </w:t>
      </w:r>
      <w:r w:rsidRPr="00BD66CE">
        <w:rPr>
          <w:rFonts w:ascii="Verdana" w:hAnsi="Verdana"/>
          <w:sz w:val="18"/>
          <w:lang w:val="es-ES"/>
        </w:rPr>
        <w:t xml:space="preserve">GTM: Guatemala. HND: Honduras. </w:t>
      </w:r>
      <w:r w:rsidRPr="00BD66CE">
        <w:rPr>
          <w:rFonts w:ascii="Verdana" w:hAnsi="Verdana"/>
          <w:sz w:val="18"/>
        </w:rPr>
        <w:t>PNM: Panama. NRG: Nicaragua. CCA: Continental Central America.</w:t>
      </w:r>
    </w:p>
    <w:p w14:paraId="2E80588D" w14:textId="2995F339" w:rsidR="002B00AD" w:rsidRPr="00BD66CE" w:rsidRDefault="002B00AD" w:rsidP="002B00AD">
      <w:pPr>
        <w:spacing w:line="240" w:lineRule="auto"/>
        <w:rPr>
          <w:rFonts w:ascii="Verdana" w:hAnsi="Verdana"/>
          <w:sz w:val="18"/>
        </w:rPr>
      </w:pPr>
      <w:r w:rsidRPr="00BD66CE">
        <w:rPr>
          <w:rFonts w:ascii="Verdana" w:hAnsi="Verdana"/>
          <w:b/>
          <w:szCs w:val="21"/>
        </w:rPr>
        <w:t>Source</w:t>
      </w:r>
      <w:r w:rsidRPr="00BD66CE">
        <w:rPr>
          <w:rFonts w:ascii="Verdana" w:hAnsi="Verdana"/>
          <w:szCs w:val="21"/>
        </w:rPr>
        <w:t>: Elaborated by the authors based on ECLAC Population Division: World Population Prospects [32].</w:t>
      </w:r>
    </w:p>
    <w:p w14:paraId="6018FD6F" w14:textId="2C6040FC" w:rsidR="00385124" w:rsidRPr="00BD66CE" w:rsidRDefault="002B00AD" w:rsidP="00635C19">
      <w:pPr>
        <w:pStyle w:val="MDPI21heading1"/>
        <w:jc w:val="both"/>
        <w:rPr>
          <w:rFonts w:ascii="Verdana" w:hAnsi="Verdana"/>
          <w:b w:val="0"/>
        </w:rPr>
      </w:pPr>
      <w:r w:rsidRPr="00BD66CE">
        <w:rPr>
          <w:rFonts w:ascii="Verdana" w:hAnsi="Verdana"/>
          <w:b w:val="0"/>
        </w:rPr>
        <w:t xml:space="preserve"> </w:t>
      </w:r>
    </w:p>
    <w:p w14:paraId="51C6DBDC" w14:textId="157410AD" w:rsidR="001C4960" w:rsidRPr="00BD66CE" w:rsidRDefault="007B24BC" w:rsidP="001C5420">
      <w:pPr>
        <w:pStyle w:val="MDPI21heading1"/>
        <w:ind w:left="0"/>
        <w:jc w:val="both"/>
        <w:rPr>
          <w:rFonts w:ascii="Verdana" w:hAnsi="Verdana"/>
          <w:b w:val="0"/>
          <w:i/>
        </w:rPr>
      </w:pPr>
      <w:r w:rsidRPr="00BD66CE">
        <w:rPr>
          <w:rFonts w:ascii="Verdana" w:hAnsi="Verdana"/>
          <w:b w:val="0"/>
          <w:i/>
        </w:rPr>
        <w:lastRenderedPageBreak/>
        <w:t xml:space="preserve">2.2. </w:t>
      </w:r>
      <w:r w:rsidR="007635E1" w:rsidRPr="00BD66CE">
        <w:rPr>
          <w:rFonts w:ascii="Verdana" w:hAnsi="Verdana"/>
          <w:b w:val="0"/>
          <w:i/>
        </w:rPr>
        <w:t>Data typification</w:t>
      </w:r>
      <w:r w:rsidR="00635C19" w:rsidRPr="00BD66CE">
        <w:rPr>
          <w:rFonts w:ascii="Verdana" w:hAnsi="Verdana"/>
          <w:b w:val="0"/>
          <w:i/>
        </w:rPr>
        <w:t xml:space="preserve"> and collection </w:t>
      </w:r>
    </w:p>
    <w:p w14:paraId="4EED8E67" w14:textId="77EC087A" w:rsidR="00485FA4" w:rsidRPr="00BD66CE" w:rsidRDefault="00156532" w:rsidP="001C5420">
      <w:pPr>
        <w:pStyle w:val="MDPI21heading1"/>
        <w:ind w:left="0" w:firstLine="510"/>
        <w:jc w:val="both"/>
        <w:rPr>
          <w:rFonts w:ascii="Verdana" w:hAnsi="Verdana"/>
          <w:b w:val="0"/>
        </w:rPr>
      </w:pPr>
      <w:r w:rsidRPr="00BD66CE">
        <w:rPr>
          <w:rFonts w:ascii="Verdana" w:hAnsi="Verdana"/>
          <w:b w:val="0"/>
        </w:rPr>
        <w:t>For the data collection, we accessed the CAIS</w:t>
      </w:r>
      <w:r w:rsidR="003304E0" w:rsidRPr="00BD66CE">
        <w:rPr>
          <w:rFonts w:ascii="Verdana" w:hAnsi="Verdana"/>
          <w:bCs/>
        </w:rPr>
        <w:t>'</w:t>
      </w:r>
      <w:r w:rsidR="003304E0" w:rsidRPr="00BD66CE">
        <w:rPr>
          <w:rFonts w:ascii="Verdana" w:hAnsi="Verdana"/>
          <w:b w:val="0"/>
          <w:bCs/>
        </w:rPr>
        <w:t>s</w:t>
      </w:r>
      <w:r w:rsidRPr="00BD66CE">
        <w:rPr>
          <w:rFonts w:ascii="Verdana" w:hAnsi="Verdana"/>
          <w:b w:val="0"/>
        </w:rPr>
        <w:t xml:space="preserve"> COVID-19 Regional Observatory</w:t>
      </w:r>
      <w:r w:rsidR="002943B2" w:rsidRPr="00BD66CE">
        <w:rPr>
          <w:rFonts w:ascii="Verdana" w:hAnsi="Verdana"/>
          <w:b w:val="0"/>
        </w:rPr>
        <w:t xml:space="preserve"> </w:t>
      </w:r>
      <w:r w:rsidR="001C6465" w:rsidRPr="00BD66CE">
        <w:rPr>
          <w:rFonts w:ascii="Verdana" w:hAnsi="Verdana"/>
          <w:b w:val="0"/>
        </w:rPr>
        <w:t>[33]</w:t>
      </w:r>
      <w:r w:rsidR="002943B2" w:rsidRPr="00BD66CE">
        <w:rPr>
          <w:rFonts w:ascii="Verdana" w:hAnsi="Verdana"/>
          <w:b w:val="0"/>
        </w:rPr>
        <w:t xml:space="preserve"> (</w:t>
      </w:r>
      <w:r w:rsidR="002943B2" w:rsidRPr="00BD66CE">
        <w:rPr>
          <w:rFonts w:ascii="Verdana" w:hAnsi="Verdana"/>
          <w:b w:val="0"/>
          <w:i/>
        </w:rPr>
        <w:t>Observatorio Regional SICA-COVID-19</w:t>
      </w:r>
      <w:r w:rsidR="007E6F45" w:rsidRPr="00BD66CE">
        <w:rPr>
          <w:rFonts w:ascii="Verdana" w:hAnsi="Verdana"/>
          <w:b w:val="0"/>
          <w:i/>
        </w:rPr>
        <w:t xml:space="preserve">, </w:t>
      </w:r>
      <w:r w:rsidR="007E6F45" w:rsidRPr="00BD66CE">
        <w:rPr>
          <w:rFonts w:ascii="Verdana" w:hAnsi="Verdana"/>
          <w:b w:val="0"/>
        </w:rPr>
        <w:t>from Spanish</w:t>
      </w:r>
      <w:r w:rsidR="002943B2" w:rsidRPr="00BD66CE">
        <w:rPr>
          <w:rFonts w:ascii="Verdana" w:hAnsi="Verdana"/>
          <w:b w:val="0"/>
        </w:rPr>
        <w:t>)</w:t>
      </w:r>
      <w:r w:rsidRPr="00BD66CE">
        <w:rPr>
          <w:rFonts w:ascii="Verdana" w:hAnsi="Verdana"/>
          <w:b w:val="0"/>
        </w:rPr>
        <w:t xml:space="preserve">. It is a digital tool that promotes decision-making based on scientific information from a regional perspective to generate added value to the process of economic, social, and environmental recovery of </w:t>
      </w:r>
      <w:r w:rsidR="00B4734C" w:rsidRPr="00BD66CE">
        <w:rPr>
          <w:rFonts w:ascii="Verdana" w:hAnsi="Verdana"/>
          <w:b w:val="0"/>
        </w:rPr>
        <w:t>CAIS</w:t>
      </w:r>
      <w:r w:rsidRPr="00BD66CE">
        <w:rPr>
          <w:rFonts w:ascii="Verdana" w:hAnsi="Verdana"/>
          <w:b w:val="0"/>
        </w:rPr>
        <w:t xml:space="preserve"> member countries in the post-COVID-19 stage. </w:t>
      </w:r>
      <w:r w:rsidR="003B3DCD" w:rsidRPr="00BD66CE">
        <w:rPr>
          <w:rFonts w:ascii="Verdana" w:hAnsi="Verdana"/>
          <w:b w:val="0"/>
        </w:rPr>
        <w:t>Data are</w:t>
      </w:r>
      <w:r w:rsidRPr="00BD66CE">
        <w:rPr>
          <w:rFonts w:ascii="Verdana" w:hAnsi="Verdana"/>
          <w:b w:val="0"/>
        </w:rPr>
        <w:t xml:space="preserve"> made available to the public strictly for academic and educational research purposes.</w:t>
      </w:r>
      <w:r w:rsidR="002943B2" w:rsidRPr="00BD66CE">
        <w:rPr>
          <w:rFonts w:ascii="Verdana" w:hAnsi="Verdana"/>
          <w:b w:val="0"/>
        </w:rPr>
        <w:t xml:space="preserve"> </w:t>
      </w:r>
    </w:p>
    <w:p w14:paraId="5016BC1F" w14:textId="31CA81B6" w:rsidR="0022186E" w:rsidRPr="00BD66CE" w:rsidRDefault="002943B2" w:rsidP="001C5420">
      <w:pPr>
        <w:pStyle w:val="MDPI21heading1"/>
        <w:ind w:left="0" w:firstLine="510"/>
        <w:jc w:val="both"/>
        <w:rPr>
          <w:rFonts w:ascii="Verdana" w:hAnsi="Verdana"/>
          <w:b w:val="0"/>
        </w:rPr>
      </w:pPr>
      <w:r w:rsidRPr="00BD66CE">
        <w:rPr>
          <w:rFonts w:ascii="Verdana" w:hAnsi="Verdana"/>
          <w:b w:val="0"/>
        </w:rPr>
        <w:t xml:space="preserve">We targeted official documents approaching the senior population from the following typologies: specific </w:t>
      </w:r>
      <w:r w:rsidR="00B5485B" w:rsidRPr="00BD66CE">
        <w:rPr>
          <w:rFonts w:ascii="Verdana" w:hAnsi="Verdana"/>
          <w:b w:val="0"/>
        </w:rPr>
        <w:t>regional</w:t>
      </w:r>
      <w:r w:rsidRPr="00BD66CE">
        <w:rPr>
          <w:rFonts w:ascii="Verdana" w:hAnsi="Verdana"/>
          <w:b w:val="0"/>
        </w:rPr>
        <w:t xml:space="preserve"> </w:t>
      </w:r>
      <w:r w:rsidR="003B3DCD" w:rsidRPr="00BD66CE">
        <w:rPr>
          <w:rFonts w:ascii="Verdana" w:hAnsi="Verdana"/>
          <w:b w:val="0"/>
        </w:rPr>
        <w:t xml:space="preserve">and national </w:t>
      </w:r>
      <w:r w:rsidRPr="00BD66CE">
        <w:rPr>
          <w:rFonts w:ascii="Verdana" w:hAnsi="Verdana"/>
          <w:b w:val="0"/>
        </w:rPr>
        <w:t xml:space="preserve">guidelines, press releases, </w:t>
      </w:r>
      <w:r w:rsidR="00897838" w:rsidRPr="00BD66CE">
        <w:rPr>
          <w:rFonts w:ascii="Verdana" w:hAnsi="Verdana"/>
          <w:b w:val="0"/>
        </w:rPr>
        <w:t xml:space="preserve">situational and </w:t>
      </w:r>
      <w:r w:rsidRPr="00BD66CE">
        <w:rPr>
          <w:rFonts w:ascii="Verdana" w:hAnsi="Verdana"/>
          <w:b w:val="0"/>
        </w:rPr>
        <w:t>epidemiological bulletins, health regulations, strategies (national and regional), technical recommendations, and sectoral protocols. Moreover, documents published by the PAHO/WHO (</w:t>
      </w:r>
      <w:r w:rsidR="002D7605" w:rsidRPr="00BD66CE">
        <w:rPr>
          <w:rFonts w:ascii="Verdana" w:hAnsi="Verdana"/>
          <w:b w:val="0"/>
        </w:rPr>
        <w:t xml:space="preserve">epidemiological </w:t>
      </w:r>
      <w:r w:rsidRPr="00BD66CE">
        <w:rPr>
          <w:rFonts w:ascii="Verdana" w:hAnsi="Verdana"/>
          <w:b w:val="0"/>
        </w:rPr>
        <w:t>situation reports) and recent geriatric-gerontological literature on COVID-19 support the discussions.</w:t>
      </w:r>
      <w:r w:rsidR="002D7605" w:rsidRPr="00BD66CE">
        <w:rPr>
          <w:rFonts w:ascii="Verdana" w:hAnsi="Verdana"/>
          <w:b w:val="0"/>
        </w:rPr>
        <w:t xml:space="preserve"> </w:t>
      </w:r>
    </w:p>
    <w:p w14:paraId="6A4C4679" w14:textId="5091B81A" w:rsidR="007635E1" w:rsidRPr="00BD66CE" w:rsidRDefault="007635E1" w:rsidP="001C5420">
      <w:pPr>
        <w:pStyle w:val="MDPI21heading1"/>
        <w:ind w:left="0"/>
        <w:jc w:val="both"/>
        <w:rPr>
          <w:rFonts w:ascii="Verdana" w:hAnsi="Verdana"/>
          <w:b w:val="0"/>
          <w:i/>
        </w:rPr>
      </w:pPr>
      <w:r w:rsidRPr="00BD66CE">
        <w:rPr>
          <w:rFonts w:ascii="Verdana" w:hAnsi="Verdana"/>
          <w:b w:val="0"/>
          <w:i/>
        </w:rPr>
        <w:t>2.</w:t>
      </w:r>
      <w:r w:rsidR="00635C19" w:rsidRPr="00BD66CE">
        <w:rPr>
          <w:rFonts w:ascii="Verdana" w:hAnsi="Verdana"/>
          <w:b w:val="0"/>
          <w:i/>
        </w:rPr>
        <w:t>3</w:t>
      </w:r>
      <w:r w:rsidRPr="00BD66CE">
        <w:rPr>
          <w:rFonts w:ascii="Verdana" w:hAnsi="Verdana"/>
          <w:b w:val="0"/>
          <w:i/>
        </w:rPr>
        <w:t xml:space="preserve">. Analytical procedures </w:t>
      </w:r>
    </w:p>
    <w:p w14:paraId="70544099" w14:textId="3AFB7678" w:rsidR="0024156D" w:rsidRPr="00BD66CE" w:rsidRDefault="00891437" w:rsidP="001C5420">
      <w:pPr>
        <w:pStyle w:val="MDPI21heading1"/>
        <w:ind w:left="0" w:firstLine="510"/>
        <w:jc w:val="both"/>
        <w:rPr>
          <w:rFonts w:ascii="Verdana" w:hAnsi="Verdana"/>
          <w:b w:val="0"/>
        </w:rPr>
      </w:pPr>
      <w:r w:rsidRPr="00BD66CE">
        <w:rPr>
          <w:rFonts w:ascii="Verdana" w:hAnsi="Verdana"/>
          <w:b w:val="0"/>
        </w:rPr>
        <w:t xml:space="preserve">We selected all documents related to the regional management of the COVID-19 pandemic for an initial review, which included a thorough reading of the title and objectives of the instrument. We then screened documents that directly or indirectly approached the elderly population. </w:t>
      </w:r>
      <w:r w:rsidR="00FD1052" w:rsidRPr="00BD66CE">
        <w:rPr>
          <w:rFonts w:ascii="Verdana" w:hAnsi="Verdana"/>
          <w:b w:val="0"/>
        </w:rPr>
        <w:t xml:space="preserve">These steps allowed us to extract specific </w:t>
      </w:r>
      <w:r w:rsidR="003B3DCD" w:rsidRPr="00BD66CE">
        <w:rPr>
          <w:rFonts w:ascii="Verdana" w:hAnsi="Verdana"/>
          <w:b w:val="0"/>
        </w:rPr>
        <w:t>contents</w:t>
      </w:r>
      <w:r w:rsidR="00FD1052" w:rsidRPr="00BD66CE">
        <w:rPr>
          <w:rFonts w:ascii="Verdana" w:hAnsi="Verdana"/>
          <w:b w:val="0"/>
        </w:rPr>
        <w:t xml:space="preserve"> that the Central American countries made available to prevent </w:t>
      </w:r>
      <w:r w:rsidR="00F22814" w:rsidRPr="00BD66CE">
        <w:rPr>
          <w:rFonts w:ascii="Verdana" w:hAnsi="Verdana"/>
          <w:b w:val="0"/>
        </w:rPr>
        <w:t>contagions</w:t>
      </w:r>
      <w:r w:rsidR="00FD1052" w:rsidRPr="00BD66CE">
        <w:rPr>
          <w:rFonts w:ascii="Verdana" w:hAnsi="Verdana"/>
          <w:b w:val="0"/>
        </w:rPr>
        <w:t xml:space="preserve"> and deaths in the elderly, besides maintaining their health profiles during the health crisis.</w:t>
      </w:r>
      <w:r w:rsidR="003B3DCD" w:rsidRPr="00BD66CE">
        <w:rPr>
          <w:rFonts w:ascii="Verdana" w:hAnsi="Verdana"/>
          <w:b w:val="0"/>
        </w:rPr>
        <w:t xml:space="preserve"> </w:t>
      </w:r>
    </w:p>
    <w:p w14:paraId="38511EAD" w14:textId="05743986" w:rsidR="007B36DA" w:rsidRPr="00BD66CE" w:rsidRDefault="007B36DA" w:rsidP="001C5420">
      <w:pPr>
        <w:pStyle w:val="MDPI21heading1"/>
        <w:ind w:left="0" w:firstLine="510"/>
        <w:jc w:val="both"/>
        <w:rPr>
          <w:rFonts w:ascii="Verdana" w:hAnsi="Verdana"/>
          <w:b w:val="0"/>
        </w:rPr>
      </w:pPr>
      <w:r w:rsidRPr="00BD66CE">
        <w:rPr>
          <w:rFonts w:ascii="Verdana" w:hAnsi="Verdana"/>
          <w:b w:val="0"/>
        </w:rPr>
        <w:t>Untreated data on morbidity and mortality were extracted from the WHO</w:t>
      </w:r>
      <w:r w:rsidR="000C1F01" w:rsidRPr="00BD66CE">
        <w:rPr>
          <w:rFonts w:ascii="Verdana" w:hAnsi="Verdana"/>
          <w:bCs/>
        </w:rPr>
        <w:t>'</w:t>
      </w:r>
      <w:r w:rsidR="000C1F01" w:rsidRPr="00BD66CE">
        <w:rPr>
          <w:rFonts w:ascii="Verdana" w:hAnsi="Verdana"/>
          <w:b w:val="0"/>
          <w:bCs/>
        </w:rPr>
        <w:t>s</w:t>
      </w:r>
      <w:r w:rsidRPr="00BD66CE">
        <w:rPr>
          <w:rFonts w:ascii="Verdana" w:hAnsi="Verdana"/>
          <w:b w:val="0"/>
        </w:rPr>
        <w:t xml:space="preserve"> </w:t>
      </w:r>
      <w:r w:rsidR="000C1F01" w:rsidRPr="00BD66CE">
        <w:rPr>
          <w:rFonts w:ascii="Verdana" w:hAnsi="Verdana"/>
          <w:b w:val="0"/>
        </w:rPr>
        <w:t xml:space="preserve">Geo-Hub COVID-19 Information System for the Region of the Americas </w:t>
      </w:r>
      <w:r w:rsidR="007E0C0D" w:rsidRPr="00BD66CE">
        <w:rPr>
          <w:rFonts w:ascii="Verdana" w:hAnsi="Verdana"/>
          <w:b w:val="0"/>
        </w:rPr>
        <w:t>[34]</w:t>
      </w:r>
      <w:r w:rsidRPr="00BD66CE">
        <w:rPr>
          <w:rFonts w:ascii="Verdana" w:hAnsi="Verdana"/>
          <w:b w:val="0"/>
        </w:rPr>
        <w:t xml:space="preserve"> selecting each country individually, which allowed us to plot regional values. We performed a monthly categorization with a start period in March 2020 and an end period in December 2021. We observed </w:t>
      </w:r>
      <w:r w:rsidR="00F33AB1" w:rsidRPr="00BD66CE">
        <w:rPr>
          <w:rFonts w:ascii="Verdana" w:hAnsi="Verdana"/>
          <w:b w:val="0"/>
        </w:rPr>
        <w:t>contagion</w:t>
      </w:r>
      <w:r w:rsidRPr="00BD66CE">
        <w:rPr>
          <w:rFonts w:ascii="Verdana" w:hAnsi="Verdana"/>
          <w:b w:val="0"/>
        </w:rPr>
        <w:t xml:space="preserve"> peaks and </w:t>
      </w:r>
      <w:r w:rsidR="00A66362" w:rsidRPr="00BD66CE">
        <w:rPr>
          <w:rFonts w:ascii="Verdana" w:hAnsi="Verdana"/>
          <w:b w:val="0"/>
        </w:rPr>
        <w:t>calculated</w:t>
      </w:r>
      <w:r w:rsidRPr="00BD66CE">
        <w:rPr>
          <w:rFonts w:ascii="Verdana" w:hAnsi="Verdana"/>
          <w:b w:val="0"/>
        </w:rPr>
        <w:t xml:space="preserve"> the COVID-19 case fatality rate using the simple formula (deaths divided by laboratory-confirmed </w:t>
      </w:r>
      <w:r w:rsidR="00D10B5B" w:rsidRPr="00BD66CE">
        <w:rPr>
          <w:rFonts w:ascii="Verdana" w:hAnsi="Verdana"/>
          <w:b w:val="0"/>
        </w:rPr>
        <w:t>diagnoses) *</w:t>
      </w:r>
      <w:r w:rsidRPr="00BD66CE">
        <w:rPr>
          <w:rFonts w:ascii="Verdana" w:hAnsi="Verdana"/>
          <w:b w:val="0"/>
        </w:rPr>
        <w:t>100.</w:t>
      </w:r>
      <w:r w:rsidR="00F33AB1" w:rsidRPr="00BD66CE">
        <w:rPr>
          <w:rFonts w:ascii="Verdana" w:hAnsi="Verdana"/>
          <w:b w:val="0"/>
        </w:rPr>
        <w:t xml:space="preserve"> </w:t>
      </w:r>
    </w:p>
    <w:p w14:paraId="147E0AF1" w14:textId="1678D8DA" w:rsidR="00034EF5" w:rsidRPr="00BD66CE" w:rsidRDefault="00FD4284" w:rsidP="001C5420">
      <w:pPr>
        <w:pStyle w:val="MDPI21heading1"/>
        <w:ind w:left="0" w:firstLine="510"/>
        <w:jc w:val="both"/>
        <w:rPr>
          <w:rFonts w:ascii="Verdana" w:hAnsi="Verdana"/>
          <w:b w:val="0"/>
        </w:rPr>
      </w:pPr>
      <w:r w:rsidRPr="00BD66CE">
        <w:rPr>
          <w:rFonts w:ascii="Verdana" w:hAnsi="Verdana"/>
          <w:b w:val="0"/>
        </w:rPr>
        <w:t xml:space="preserve">To </w:t>
      </w:r>
      <w:r w:rsidR="007662A6" w:rsidRPr="00BD66CE">
        <w:rPr>
          <w:rFonts w:ascii="Verdana" w:hAnsi="Verdana"/>
          <w:b w:val="0"/>
        </w:rPr>
        <w:t>rank</w:t>
      </w:r>
      <w:r w:rsidRPr="00BD66CE">
        <w:rPr>
          <w:rFonts w:ascii="Verdana" w:hAnsi="Verdana"/>
          <w:b w:val="0"/>
        </w:rPr>
        <w:t xml:space="preserve"> the hygienic measures adopted by countries, we elaborated individual queries on the COVID-19 Central American Panel, </w:t>
      </w:r>
      <w:r w:rsidR="00A66362" w:rsidRPr="00BD66CE">
        <w:rPr>
          <w:rFonts w:ascii="Verdana" w:hAnsi="Verdana"/>
          <w:b w:val="0"/>
        </w:rPr>
        <w:t>simultaneously</w:t>
      </w:r>
      <w:r w:rsidRPr="00BD66CE">
        <w:rPr>
          <w:rFonts w:ascii="Verdana" w:hAnsi="Verdana"/>
          <w:b w:val="0"/>
        </w:rPr>
        <w:t xml:space="preserve"> linked with the WHO Epidemiological Panel</w:t>
      </w:r>
      <w:r w:rsidR="0024599B" w:rsidRPr="00BD66CE">
        <w:rPr>
          <w:rFonts w:ascii="Verdana" w:hAnsi="Verdana"/>
          <w:b w:val="0"/>
        </w:rPr>
        <w:t xml:space="preserve"> </w:t>
      </w:r>
      <w:r w:rsidR="007E0C0D" w:rsidRPr="00BD66CE">
        <w:rPr>
          <w:rFonts w:ascii="Verdana" w:hAnsi="Verdana"/>
          <w:b w:val="0"/>
        </w:rPr>
        <w:t>[35]</w:t>
      </w:r>
      <w:r w:rsidRPr="00BD66CE">
        <w:rPr>
          <w:rFonts w:ascii="Verdana" w:hAnsi="Verdana"/>
          <w:b w:val="0"/>
        </w:rPr>
        <w:t>. We then applied</w:t>
      </w:r>
      <w:r w:rsidR="0024599B" w:rsidRPr="00BD66CE">
        <w:rPr>
          <w:rFonts w:ascii="Verdana" w:hAnsi="Verdana"/>
          <w:b w:val="0"/>
        </w:rPr>
        <w:t xml:space="preserve"> filters for Public Health and S</w:t>
      </w:r>
      <w:r w:rsidRPr="00BD66CE">
        <w:rPr>
          <w:rFonts w:ascii="Verdana" w:hAnsi="Verdana"/>
          <w:b w:val="0"/>
        </w:rPr>
        <w:t xml:space="preserve">ocial </w:t>
      </w:r>
      <w:r w:rsidR="0024599B" w:rsidRPr="00BD66CE">
        <w:rPr>
          <w:rFonts w:ascii="Verdana" w:hAnsi="Verdana"/>
          <w:b w:val="0"/>
        </w:rPr>
        <w:t>Measures (PHSM)</w:t>
      </w:r>
      <w:r w:rsidRPr="00BD66CE">
        <w:rPr>
          <w:rFonts w:ascii="Verdana" w:hAnsi="Verdana"/>
          <w:b w:val="0"/>
        </w:rPr>
        <w:t xml:space="preserve"> and observed behaviors in school</w:t>
      </w:r>
      <w:r w:rsidR="0024599B" w:rsidRPr="00BD66CE">
        <w:rPr>
          <w:rFonts w:ascii="Verdana" w:hAnsi="Verdana"/>
          <w:b w:val="0"/>
        </w:rPr>
        <w:t xml:space="preserve"> (adaptation or closure of schools)</w:t>
      </w:r>
      <w:r w:rsidRPr="00BD66CE">
        <w:rPr>
          <w:rFonts w:ascii="Verdana" w:hAnsi="Verdana"/>
          <w:b w:val="0"/>
        </w:rPr>
        <w:t>, business</w:t>
      </w:r>
      <w:r w:rsidR="0024599B" w:rsidRPr="00BD66CE">
        <w:rPr>
          <w:rFonts w:ascii="Verdana" w:hAnsi="Verdana"/>
          <w:b w:val="0"/>
        </w:rPr>
        <w:t xml:space="preserve"> (adaptation or closure of business)</w:t>
      </w:r>
      <w:r w:rsidRPr="00BD66CE">
        <w:rPr>
          <w:rFonts w:ascii="Verdana" w:hAnsi="Verdana"/>
          <w:b w:val="0"/>
        </w:rPr>
        <w:t xml:space="preserve">, </w:t>
      </w:r>
      <w:r w:rsidR="0024599B" w:rsidRPr="00BD66CE">
        <w:rPr>
          <w:rFonts w:ascii="Verdana" w:hAnsi="Verdana"/>
          <w:b w:val="0"/>
        </w:rPr>
        <w:t>mask</w:t>
      </w:r>
      <w:r w:rsidR="00891437" w:rsidRPr="00BD66CE">
        <w:rPr>
          <w:rFonts w:ascii="Verdana" w:hAnsi="Verdana"/>
          <w:b w:val="0"/>
        </w:rPr>
        <w:t>s (facial coverings and/or mask-</w:t>
      </w:r>
      <w:r w:rsidR="0024599B" w:rsidRPr="00BD66CE">
        <w:rPr>
          <w:rFonts w:ascii="Verdana" w:hAnsi="Verdana"/>
          <w:b w:val="0"/>
        </w:rPr>
        <w:t xml:space="preserve">wearing), </w:t>
      </w:r>
      <w:r w:rsidRPr="00BD66CE">
        <w:rPr>
          <w:rFonts w:ascii="Verdana" w:hAnsi="Verdana"/>
          <w:b w:val="0"/>
        </w:rPr>
        <w:t>meetings</w:t>
      </w:r>
      <w:r w:rsidR="0024599B" w:rsidRPr="00BD66CE">
        <w:rPr>
          <w:rFonts w:ascii="Verdana" w:hAnsi="Verdana"/>
          <w:b w:val="0"/>
        </w:rPr>
        <w:t xml:space="preserve"> (limits and restrictions on public and private gatherings)</w:t>
      </w:r>
      <w:r w:rsidRPr="00BD66CE">
        <w:rPr>
          <w:rFonts w:ascii="Verdana" w:hAnsi="Verdana"/>
          <w:b w:val="0"/>
        </w:rPr>
        <w:t>, household movements</w:t>
      </w:r>
      <w:r w:rsidR="0024599B" w:rsidRPr="00BD66CE">
        <w:rPr>
          <w:rFonts w:ascii="Verdana" w:hAnsi="Verdana"/>
          <w:b w:val="0"/>
        </w:rPr>
        <w:t xml:space="preserve"> (restrictions on domestic movements, public transport and stay at home orders)</w:t>
      </w:r>
      <w:r w:rsidRPr="00BD66CE">
        <w:rPr>
          <w:rFonts w:ascii="Verdana" w:hAnsi="Verdana"/>
          <w:b w:val="0"/>
        </w:rPr>
        <w:t xml:space="preserve">, and international travel </w:t>
      </w:r>
      <w:r w:rsidR="0024599B" w:rsidRPr="00BD66CE">
        <w:rPr>
          <w:rFonts w:ascii="Verdana" w:hAnsi="Verdana"/>
          <w:b w:val="0"/>
        </w:rPr>
        <w:t xml:space="preserve">(entry restrictions, quarantining and testing) </w:t>
      </w:r>
      <w:r w:rsidRPr="00BD66CE">
        <w:rPr>
          <w:rFonts w:ascii="Verdana" w:hAnsi="Verdana"/>
          <w:b w:val="0"/>
        </w:rPr>
        <w:t>under criteria set by the WHO</w:t>
      </w:r>
      <w:r w:rsidR="003B3DCD" w:rsidRPr="00BD66CE">
        <w:rPr>
          <w:rFonts w:ascii="Verdana" w:hAnsi="Verdana"/>
          <w:b w:val="0"/>
        </w:rPr>
        <w:t xml:space="preserve"> </w:t>
      </w:r>
      <w:r w:rsidR="007E0C0D" w:rsidRPr="00BD66CE">
        <w:rPr>
          <w:rFonts w:ascii="Verdana" w:hAnsi="Verdana"/>
          <w:b w:val="0"/>
        </w:rPr>
        <w:t>[36]</w:t>
      </w:r>
      <w:r w:rsidRPr="00BD66CE">
        <w:rPr>
          <w:rFonts w:ascii="Verdana" w:hAnsi="Verdana"/>
          <w:b w:val="0"/>
        </w:rPr>
        <w:t>.</w:t>
      </w:r>
      <w:r w:rsidR="007E0C0D" w:rsidRPr="00BD66CE">
        <w:rPr>
          <w:rFonts w:ascii="Verdana" w:hAnsi="Verdana"/>
          <w:b w:val="0"/>
        </w:rPr>
        <w:t xml:space="preserve"> </w:t>
      </w:r>
      <w:r w:rsidR="00662C7A" w:rsidRPr="00BD66CE">
        <w:rPr>
          <w:rFonts w:ascii="Verdana" w:hAnsi="Verdana"/>
          <w:b w:val="0"/>
        </w:rPr>
        <w:t>Further</w:t>
      </w:r>
      <w:r w:rsidRPr="00BD66CE">
        <w:rPr>
          <w:rFonts w:ascii="Verdana" w:hAnsi="Verdana"/>
          <w:b w:val="0"/>
        </w:rPr>
        <w:t xml:space="preserve">, we </w:t>
      </w:r>
      <w:r w:rsidR="00A65BBC" w:rsidRPr="00BD66CE">
        <w:rPr>
          <w:rFonts w:ascii="Verdana" w:hAnsi="Verdana"/>
          <w:b w:val="0"/>
        </w:rPr>
        <w:t>extracted</w:t>
      </w:r>
      <w:r w:rsidRPr="00BD66CE">
        <w:rPr>
          <w:rFonts w:ascii="Verdana" w:hAnsi="Verdana"/>
          <w:b w:val="0"/>
        </w:rPr>
        <w:t xml:space="preserve"> </w:t>
      </w:r>
      <w:r w:rsidR="0024599B" w:rsidRPr="00BD66CE">
        <w:rPr>
          <w:rFonts w:ascii="Verdana" w:hAnsi="Verdana"/>
          <w:b w:val="0"/>
        </w:rPr>
        <w:t>the PHSM Severity Index</w:t>
      </w:r>
      <w:r w:rsidR="0027670F" w:rsidRPr="00BD66CE">
        <w:rPr>
          <w:rFonts w:ascii="Verdana" w:hAnsi="Verdana"/>
          <w:b w:val="0"/>
        </w:rPr>
        <w:t xml:space="preserve"> </w:t>
      </w:r>
      <w:r w:rsidR="0024599B" w:rsidRPr="00BD66CE">
        <w:rPr>
          <w:rFonts w:ascii="Verdana" w:hAnsi="Verdana"/>
          <w:b w:val="0"/>
        </w:rPr>
        <w:t>(a com</w:t>
      </w:r>
      <w:r w:rsidR="00891437" w:rsidRPr="00BD66CE">
        <w:rPr>
          <w:rFonts w:ascii="Verdana" w:hAnsi="Verdana"/>
          <w:b w:val="0"/>
        </w:rPr>
        <w:t>posite measure of the six above-</w:t>
      </w:r>
      <w:r w:rsidR="0024599B" w:rsidRPr="00BD66CE">
        <w:rPr>
          <w:rFonts w:ascii="Verdana" w:hAnsi="Verdana"/>
          <w:b w:val="0"/>
        </w:rPr>
        <w:t xml:space="preserve">mentioned) </w:t>
      </w:r>
      <w:r w:rsidR="0027670F" w:rsidRPr="00BD66CE">
        <w:rPr>
          <w:rFonts w:ascii="Verdana" w:hAnsi="Verdana"/>
          <w:b w:val="0"/>
        </w:rPr>
        <w:t xml:space="preserve">based on a Likert scale (1 being the </w:t>
      </w:r>
      <w:r w:rsidR="0024599B" w:rsidRPr="00BD66CE">
        <w:rPr>
          <w:rFonts w:ascii="Verdana" w:hAnsi="Verdana"/>
          <w:b w:val="0"/>
        </w:rPr>
        <w:t xml:space="preserve">least </w:t>
      </w:r>
      <w:r w:rsidR="0027670F" w:rsidRPr="00BD66CE">
        <w:rPr>
          <w:rFonts w:ascii="Verdana" w:hAnsi="Verdana"/>
          <w:b w:val="0"/>
        </w:rPr>
        <w:t xml:space="preserve">and 5 the </w:t>
      </w:r>
      <w:r w:rsidR="0024599B" w:rsidRPr="00BD66CE">
        <w:rPr>
          <w:rFonts w:ascii="Verdana" w:hAnsi="Verdana"/>
          <w:b w:val="0"/>
        </w:rPr>
        <w:t>most severe</w:t>
      </w:r>
      <w:r w:rsidR="0027670F" w:rsidRPr="00BD66CE">
        <w:rPr>
          <w:rFonts w:ascii="Verdana" w:hAnsi="Verdana"/>
          <w:b w:val="0"/>
        </w:rPr>
        <w:t>)</w:t>
      </w:r>
      <w:r w:rsidRPr="00BD66CE">
        <w:rPr>
          <w:rFonts w:ascii="Verdana" w:hAnsi="Verdana"/>
          <w:b w:val="0"/>
        </w:rPr>
        <w:t xml:space="preserve">, which allowed us to track </w:t>
      </w:r>
      <w:r w:rsidR="003B3DCD" w:rsidRPr="00BD66CE">
        <w:rPr>
          <w:rFonts w:ascii="Verdana" w:hAnsi="Verdana"/>
          <w:b w:val="0"/>
        </w:rPr>
        <w:t>individual severity rates.</w:t>
      </w:r>
      <w:r w:rsidR="00A66362" w:rsidRPr="00BD66CE">
        <w:rPr>
          <w:rFonts w:ascii="Verdana" w:hAnsi="Verdana"/>
          <w:b w:val="0"/>
        </w:rPr>
        <w:t xml:space="preserve"> </w:t>
      </w:r>
    </w:p>
    <w:p w14:paraId="5D4F3F1E" w14:textId="23C9B7C2" w:rsidR="007635E1" w:rsidRPr="00BD66CE" w:rsidRDefault="007635E1" w:rsidP="001C5420">
      <w:pPr>
        <w:pStyle w:val="MDPI21heading1"/>
        <w:ind w:left="0"/>
        <w:jc w:val="both"/>
        <w:rPr>
          <w:rFonts w:ascii="Verdana" w:hAnsi="Verdana"/>
          <w:b w:val="0"/>
          <w:i/>
        </w:rPr>
      </w:pPr>
      <w:r w:rsidRPr="00BD66CE">
        <w:rPr>
          <w:rFonts w:ascii="Verdana" w:hAnsi="Verdana"/>
          <w:b w:val="0"/>
          <w:i/>
        </w:rPr>
        <w:t>2.</w:t>
      </w:r>
      <w:r w:rsidR="00635C19" w:rsidRPr="00BD66CE">
        <w:rPr>
          <w:rFonts w:ascii="Verdana" w:hAnsi="Verdana"/>
          <w:b w:val="0"/>
          <w:i/>
        </w:rPr>
        <w:t>4</w:t>
      </w:r>
      <w:r w:rsidR="00485FA4" w:rsidRPr="00BD66CE">
        <w:rPr>
          <w:rFonts w:ascii="Verdana" w:hAnsi="Verdana"/>
          <w:b w:val="0"/>
          <w:i/>
        </w:rPr>
        <w:t>. Ethical matters</w:t>
      </w:r>
      <w:r w:rsidRPr="00BD66CE">
        <w:rPr>
          <w:rFonts w:ascii="Verdana" w:hAnsi="Verdana"/>
          <w:b w:val="0"/>
          <w:i/>
        </w:rPr>
        <w:t xml:space="preserve"> </w:t>
      </w:r>
    </w:p>
    <w:p w14:paraId="40F0457D" w14:textId="2464F520" w:rsidR="00485FA4" w:rsidRPr="00BD66CE" w:rsidRDefault="003B3DCD" w:rsidP="001C5420">
      <w:pPr>
        <w:pStyle w:val="MDPI21heading1"/>
        <w:ind w:left="0" w:firstLine="510"/>
        <w:jc w:val="both"/>
        <w:rPr>
          <w:rFonts w:ascii="Verdana" w:hAnsi="Verdana"/>
          <w:b w:val="0"/>
        </w:rPr>
      </w:pPr>
      <w:r w:rsidRPr="00BD66CE">
        <w:rPr>
          <w:rFonts w:ascii="Verdana" w:hAnsi="Verdana"/>
          <w:b w:val="0"/>
        </w:rPr>
        <w:t>Given that we</w:t>
      </w:r>
      <w:r w:rsidR="00485FA4" w:rsidRPr="00BD66CE">
        <w:rPr>
          <w:rFonts w:ascii="Verdana" w:hAnsi="Verdana"/>
          <w:b w:val="0"/>
        </w:rPr>
        <w:t xml:space="preserve"> consulted data available on websites with immed</w:t>
      </w:r>
      <w:r w:rsidRPr="00BD66CE">
        <w:rPr>
          <w:rFonts w:ascii="Verdana" w:hAnsi="Verdana"/>
          <w:b w:val="0"/>
        </w:rPr>
        <w:t>iate and unrestricted access, it</w:t>
      </w:r>
      <w:r w:rsidR="00485FA4" w:rsidRPr="00BD66CE">
        <w:rPr>
          <w:rFonts w:ascii="Verdana" w:hAnsi="Verdana"/>
          <w:b w:val="0"/>
        </w:rPr>
        <w:t xml:space="preserve"> </w:t>
      </w:r>
      <w:r w:rsidRPr="00BD66CE">
        <w:rPr>
          <w:rFonts w:ascii="Verdana" w:hAnsi="Verdana"/>
          <w:b w:val="0"/>
        </w:rPr>
        <w:t>became</w:t>
      </w:r>
      <w:r w:rsidR="00485FA4" w:rsidRPr="00BD66CE">
        <w:rPr>
          <w:rFonts w:ascii="Verdana" w:hAnsi="Verdana"/>
          <w:b w:val="0"/>
        </w:rPr>
        <w:t xml:space="preserve"> unnecessary to submit the proposal to a research ethics committee. Worth saying that, during all stages, the concepts of integrity, inviolability, and confidentiality were fully acknowledged.</w:t>
      </w:r>
      <w:r w:rsidR="00662C7A" w:rsidRPr="00BD66CE">
        <w:rPr>
          <w:rFonts w:ascii="Verdana" w:hAnsi="Verdana"/>
          <w:b w:val="0"/>
        </w:rPr>
        <w:t xml:space="preserve"> </w:t>
      </w:r>
    </w:p>
    <w:p w14:paraId="55D7732E" w14:textId="77777777" w:rsidR="001C5420" w:rsidRPr="00BD66CE" w:rsidRDefault="001C5420" w:rsidP="001C5420">
      <w:pPr>
        <w:pStyle w:val="MDPI21heading1"/>
        <w:ind w:left="0"/>
        <w:jc w:val="both"/>
        <w:rPr>
          <w:rFonts w:ascii="Verdana" w:hAnsi="Verdana"/>
          <w:b w:val="0"/>
        </w:rPr>
      </w:pPr>
    </w:p>
    <w:p w14:paraId="08279D01" w14:textId="245E6F10" w:rsidR="005C4D87" w:rsidRPr="00BD66CE" w:rsidRDefault="005C4D87" w:rsidP="001C5420">
      <w:pPr>
        <w:pStyle w:val="MDPI21heading1"/>
        <w:ind w:left="0"/>
        <w:jc w:val="both"/>
        <w:rPr>
          <w:rFonts w:ascii="Verdana" w:hAnsi="Verdana"/>
        </w:rPr>
      </w:pPr>
      <w:r w:rsidRPr="00BD66CE">
        <w:rPr>
          <w:rFonts w:ascii="Verdana" w:hAnsi="Verdana"/>
        </w:rPr>
        <w:t>3. Results</w:t>
      </w:r>
    </w:p>
    <w:p w14:paraId="3EC281EF" w14:textId="77777777" w:rsidR="009F1CF4" w:rsidRPr="00BD66CE" w:rsidRDefault="009F1CF4" w:rsidP="008C586D">
      <w:pPr>
        <w:pStyle w:val="MDPI31text"/>
        <w:rPr>
          <w:rFonts w:ascii="Verdana" w:hAnsi="Verdana"/>
        </w:rPr>
      </w:pPr>
    </w:p>
    <w:p w14:paraId="351B7A39" w14:textId="04BB67AE" w:rsidR="009F1CF4" w:rsidRPr="00BD66CE" w:rsidRDefault="009F1CF4" w:rsidP="009F1CF4">
      <w:pPr>
        <w:pStyle w:val="MDPI31text"/>
        <w:ind w:left="0" w:firstLine="0"/>
        <w:rPr>
          <w:rFonts w:ascii="Verdana" w:hAnsi="Verdana"/>
          <w:i/>
        </w:rPr>
      </w:pPr>
      <w:r w:rsidRPr="00BD66CE">
        <w:rPr>
          <w:rFonts w:ascii="Verdana" w:hAnsi="Verdana"/>
          <w:i/>
        </w:rPr>
        <w:t xml:space="preserve">3.1. Epidemiological impact of COVID-19 in the older adult population </w:t>
      </w:r>
    </w:p>
    <w:p w14:paraId="6B8D92EB" w14:textId="77777777" w:rsidR="009F1CF4" w:rsidRPr="00BD66CE" w:rsidRDefault="009F1CF4" w:rsidP="009F1CF4">
      <w:pPr>
        <w:pStyle w:val="MDPI31text"/>
        <w:ind w:left="0" w:firstLine="0"/>
        <w:rPr>
          <w:rFonts w:ascii="Verdana" w:hAnsi="Verdana"/>
        </w:rPr>
      </w:pPr>
    </w:p>
    <w:p w14:paraId="5BFCB2B6" w14:textId="6D8613CA" w:rsidR="00F641C1" w:rsidRPr="00BD66CE" w:rsidRDefault="000C0FA6" w:rsidP="001C5420">
      <w:pPr>
        <w:pStyle w:val="MDPI31text"/>
        <w:ind w:left="0" w:firstLine="510"/>
        <w:rPr>
          <w:rFonts w:ascii="Verdana" w:hAnsi="Verdana"/>
        </w:rPr>
      </w:pPr>
      <w:r w:rsidRPr="00BD66CE">
        <w:rPr>
          <w:rFonts w:ascii="Verdana" w:hAnsi="Verdana"/>
        </w:rPr>
        <w:t>Epidemiological patterns recorded between the nations showed asymmetrical findings from the outset</w:t>
      </w:r>
      <w:r w:rsidR="00391110" w:rsidRPr="00BD66CE">
        <w:rPr>
          <w:rFonts w:ascii="Verdana" w:hAnsi="Verdana"/>
        </w:rPr>
        <w:t xml:space="preserve"> (Table 2)</w:t>
      </w:r>
      <w:r w:rsidRPr="00BD66CE">
        <w:rPr>
          <w:rFonts w:ascii="Verdana" w:hAnsi="Verdana"/>
        </w:rPr>
        <w:t xml:space="preserve">. </w:t>
      </w:r>
      <w:r w:rsidR="00C742E7" w:rsidRPr="00BD66CE">
        <w:rPr>
          <w:rFonts w:ascii="Verdana" w:hAnsi="Verdana"/>
        </w:rPr>
        <w:t xml:space="preserve">The </w:t>
      </w:r>
      <w:r w:rsidR="008B23EF" w:rsidRPr="00BD66CE">
        <w:rPr>
          <w:rFonts w:ascii="Verdana" w:hAnsi="Verdana"/>
        </w:rPr>
        <w:t>Republic of Costa Rica announced the first laboratory-confirmed SARS-CoV-2 infection</w:t>
      </w:r>
      <w:r w:rsidR="00C742E7" w:rsidRPr="00BD66CE">
        <w:rPr>
          <w:rFonts w:ascii="Verdana" w:hAnsi="Verdana"/>
        </w:rPr>
        <w:t xml:space="preserve"> on March </w:t>
      </w:r>
      <w:r w:rsidR="006929FA" w:rsidRPr="00BD66CE">
        <w:rPr>
          <w:rFonts w:ascii="Verdana" w:hAnsi="Verdana"/>
        </w:rPr>
        <w:t>6</w:t>
      </w:r>
      <w:r w:rsidR="00C742E7" w:rsidRPr="00BD66CE">
        <w:rPr>
          <w:rFonts w:ascii="Verdana" w:hAnsi="Verdana"/>
        </w:rPr>
        <w:t>, 2020. The case was a</w:t>
      </w:r>
      <w:r w:rsidR="00FB5343" w:rsidRPr="00BD66CE">
        <w:rPr>
          <w:rFonts w:ascii="Verdana" w:hAnsi="Verdana"/>
        </w:rPr>
        <w:t>n American</w:t>
      </w:r>
      <w:r w:rsidR="00C742E7" w:rsidRPr="00BD66CE">
        <w:rPr>
          <w:rFonts w:ascii="Verdana" w:hAnsi="Verdana"/>
        </w:rPr>
        <w:t xml:space="preserve"> 56-year-old female</w:t>
      </w:r>
      <w:r w:rsidR="00FB5343" w:rsidRPr="00BD66CE">
        <w:rPr>
          <w:rFonts w:ascii="Verdana" w:hAnsi="Verdana"/>
        </w:rPr>
        <w:t xml:space="preserve"> </w:t>
      </w:r>
      <w:r w:rsidR="00C742E7" w:rsidRPr="00BD66CE">
        <w:rPr>
          <w:rFonts w:ascii="Verdana" w:hAnsi="Verdana"/>
        </w:rPr>
        <w:t xml:space="preserve">who reported having entered the country two days </w:t>
      </w:r>
      <w:r w:rsidR="00B56F70" w:rsidRPr="00BD66CE">
        <w:rPr>
          <w:rFonts w:ascii="Verdana" w:hAnsi="Verdana"/>
        </w:rPr>
        <w:t>before</w:t>
      </w:r>
      <w:r w:rsidR="00C742E7" w:rsidRPr="00BD66CE">
        <w:rPr>
          <w:rFonts w:ascii="Verdana" w:hAnsi="Verdana"/>
        </w:rPr>
        <w:t xml:space="preserve"> the testing date</w:t>
      </w:r>
      <w:r w:rsidR="007A7948" w:rsidRPr="00BD66CE">
        <w:rPr>
          <w:rFonts w:ascii="Verdana" w:hAnsi="Verdana"/>
        </w:rPr>
        <w:t xml:space="preserve"> </w:t>
      </w:r>
      <w:r w:rsidR="00042547" w:rsidRPr="00BD66CE">
        <w:rPr>
          <w:rFonts w:ascii="Verdana" w:hAnsi="Verdana"/>
          <w:bCs/>
        </w:rPr>
        <w:t>[37]</w:t>
      </w:r>
      <w:r w:rsidR="00C742E7" w:rsidRPr="00BD66CE">
        <w:rPr>
          <w:rFonts w:ascii="Verdana" w:hAnsi="Verdana"/>
        </w:rPr>
        <w:t>.</w:t>
      </w:r>
      <w:r w:rsidR="006929FA" w:rsidRPr="00BD66CE">
        <w:rPr>
          <w:rFonts w:ascii="Verdana" w:hAnsi="Verdana"/>
        </w:rPr>
        <w:t xml:space="preserve"> Immediately, health authorities warned of the existence of the virus on network television, urging all inhabitants to stick to legal </w:t>
      </w:r>
      <w:r w:rsidR="00AB32EB" w:rsidRPr="00BD66CE">
        <w:rPr>
          <w:rFonts w:ascii="Verdana" w:hAnsi="Verdana"/>
        </w:rPr>
        <w:t xml:space="preserve">COVID-19 </w:t>
      </w:r>
      <w:r w:rsidR="006929FA" w:rsidRPr="00BD66CE">
        <w:rPr>
          <w:rFonts w:ascii="Verdana" w:hAnsi="Verdana"/>
        </w:rPr>
        <w:t xml:space="preserve">regulations to </w:t>
      </w:r>
      <w:r w:rsidR="000B3CD8" w:rsidRPr="00BD66CE">
        <w:rPr>
          <w:rFonts w:ascii="Verdana" w:hAnsi="Verdana"/>
        </w:rPr>
        <w:t xml:space="preserve">downshift </w:t>
      </w:r>
      <w:r w:rsidR="006929FA" w:rsidRPr="00BD66CE">
        <w:rPr>
          <w:rFonts w:ascii="Verdana" w:hAnsi="Verdana"/>
        </w:rPr>
        <w:t>the spread of the virus</w:t>
      </w:r>
      <w:r w:rsidR="000B3CD8" w:rsidRPr="00BD66CE">
        <w:rPr>
          <w:rFonts w:ascii="Verdana" w:hAnsi="Verdana"/>
        </w:rPr>
        <w:t xml:space="preserve"> </w:t>
      </w:r>
      <w:r w:rsidR="001C2A10" w:rsidRPr="00BD66CE">
        <w:rPr>
          <w:rFonts w:ascii="Verdana" w:hAnsi="Verdana"/>
          <w:bCs/>
        </w:rPr>
        <w:t>[38]</w:t>
      </w:r>
      <w:r w:rsidR="007A7948" w:rsidRPr="00BD66CE">
        <w:rPr>
          <w:rFonts w:ascii="Verdana" w:hAnsi="Verdana"/>
        </w:rPr>
        <w:t>.</w:t>
      </w:r>
      <w:r w:rsidR="008C586D" w:rsidRPr="00BD66CE">
        <w:rPr>
          <w:rFonts w:ascii="Verdana" w:hAnsi="Verdana"/>
        </w:rPr>
        <w:t xml:space="preserve"> This positioning banned the virus from </w:t>
      </w:r>
      <w:r w:rsidR="008A04CC" w:rsidRPr="00BD66CE">
        <w:rPr>
          <w:rFonts w:ascii="Verdana" w:hAnsi="Verdana"/>
        </w:rPr>
        <w:t>advancing</w:t>
      </w:r>
      <w:r w:rsidR="008C586D" w:rsidRPr="00BD66CE">
        <w:rPr>
          <w:rFonts w:ascii="Verdana" w:hAnsi="Verdana"/>
        </w:rPr>
        <w:t xml:space="preserve"> the </w:t>
      </w:r>
      <w:r w:rsidR="00AB32EB" w:rsidRPr="00BD66CE">
        <w:rPr>
          <w:rFonts w:ascii="Verdana" w:hAnsi="Verdana"/>
        </w:rPr>
        <w:t>stage</w:t>
      </w:r>
      <w:r w:rsidR="008C586D" w:rsidRPr="00BD66CE">
        <w:rPr>
          <w:rFonts w:ascii="Verdana" w:hAnsi="Verdana"/>
        </w:rPr>
        <w:t xml:space="preserve"> of community transmissibility during the first five months </w:t>
      </w:r>
      <w:r w:rsidR="00B56F70" w:rsidRPr="00BD66CE">
        <w:rPr>
          <w:rFonts w:ascii="Verdana" w:hAnsi="Verdana"/>
        </w:rPr>
        <w:t xml:space="preserve">of </w:t>
      </w:r>
      <w:r w:rsidR="008C586D" w:rsidRPr="00BD66CE">
        <w:rPr>
          <w:rFonts w:ascii="Verdana" w:hAnsi="Verdana"/>
        </w:rPr>
        <w:t xml:space="preserve">crisis </w:t>
      </w:r>
      <w:r w:rsidR="001C2A10" w:rsidRPr="00BD66CE">
        <w:rPr>
          <w:rFonts w:ascii="Verdana" w:hAnsi="Verdana"/>
          <w:bCs/>
        </w:rPr>
        <w:t>[39,40]</w:t>
      </w:r>
      <w:r w:rsidR="001C6DBB" w:rsidRPr="00BD66CE">
        <w:rPr>
          <w:rFonts w:ascii="Verdana" w:hAnsi="Verdana"/>
        </w:rPr>
        <w:t xml:space="preserve">. </w:t>
      </w:r>
      <w:r w:rsidR="00B56F70" w:rsidRPr="00BD66CE">
        <w:rPr>
          <w:rFonts w:ascii="Verdana" w:hAnsi="Verdana"/>
        </w:rPr>
        <w:t xml:space="preserve">On the other hand, the first death </w:t>
      </w:r>
      <w:r w:rsidR="00B56F70" w:rsidRPr="00BD66CE">
        <w:rPr>
          <w:rFonts w:ascii="Verdana" w:hAnsi="Verdana"/>
        </w:rPr>
        <w:lastRenderedPageBreak/>
        <w:t xml:space="preserve">was registered in Panama, attributed to a 64-year-old male patient with diabetes </w:t>
      </w:r>
      <w:r w:rsidR="00350484" w:rsidRPr="00BD66CE">
        <w:rPr>
          <w:rFonts w:ascii="Verdana" w:hAnsi="Verdana"/>
        </w:rPr>
        <w:t xml:space="preserve">type 2 </w:t>
      </w:r>
      <w:r w:rsidR="00B56F70" w:rsidRPr="00BD66CE">
        <w:rPr>
          <w:rFonts w:ascii="Verdana" w:hAnsi="Verdana"/>
        </w:rPr>
        <w:t xml:space="preserve">and hypertension. This country led the case fatality rate </w:t>
      </w:r>
      <w:r w:rsidR="009E47E4" w:rsidRPr="00BD66CE">
        <w:rPr>
          <w:rFonts w:ascii="Verdana" w:hAnsi="Verdana"/>
        </w:rPr>
        <w:t>until the end of the first year</w:t>
      </w:r>
      <w:r w:rsidR="00350484" w:rsidRPr="00BD66CE">
        <w:rPr>
          <w:rFonts w:ascii="Verdana" w:hAnsi="Verdana"/>
        </w:rPr>
        <w:t>, and accounted for the highest number of contagions</w:t>
      </w:r>
      <w:r w:rsidR="009E47E4" w:rsidRPr="00BD66CE">
        <w:rPr>
          <w:rFonts w:ascii="Verdana" w:hAnsi="Verdana"/>
        </w:rPr>
        <w:t xml:space="preserve"> </w:t>
      </w:r>
      <w:r w:rsidR="001C2A10" w:rsidRPr="00BD66CE">
        <w:rPr>
          <w:rFonts w:ascii="Verdana" w:hAnsi="Verdana"/>
          <w:bCs/>
        </w:rPr>
        <w:t>[41]</w:t>
      </w:r>
      <w:r w:rsidR="00350484" w:rsidRPr="00BD66CE">
        <w:rPr>
          <w:rFonts w:ascii="Verdana" w:hAnsi="Verdana"/>
        </w:rPr>
        <w:t xml:space="preserve">. </w:t>
      </w:r>
    </w:p>
    <w:p w14:paraId="4BB20D44" w14:textId="77777777" w:rsidR="001C5420" w:rsidRPr="00BD66CE" w:rsidRDefault="001C5420" w:rsidP="001C5420">
      <w:pPr>
        <w:pStyle w:val="MDPI31text"/>
        <w:ind w:left="0" w:firstLine="510"/>
        <w:rPr>
          <w:rFonts w:ascii="Verdana" w:hAnsi="Verdana"/>
        </w:rPr>
      </w:pPr>
    </w:p>
    <w:p w14:paraId="4B75BC69" w14:textId="3C01A071" w:rsidR="00391110" w:rsidRPr="00BD66CE" w:rsidRDefault="00391110" w:rsidP="00391110">
      <w:pPr>
        <w:pStyle w:val="MDPI31text"/>
        <w:ind w:left="0" w:firstLine="0"/>
        <w:rPr>
          <w:rFonts w:ascii="Verdana" w:hAnsi="Verdana"/>
        </w:rPr>
      </w:pPr>
    </w:p>
    <w:p w14:paraId="0BA67B0B" w14:textId="7063F7B0" w:rsidR="00391110" w:rsidRDefault="00391110" w:rsidP="00391110">
      <w:pPr>
        <w:pStyle w:val="MDPI31text"/>
        <w:ind w:left="0" w:firstLine="0"/>
        <w:rPr>
          <w:rFonts w:ascii="Verdana" w:hAnsi="Verdana"/>
        </w:rPr>
      </w:pPr>
      <w:r w:rsidRPr="00BD66CE">
        <w:rPr>
          <w:rFonts w:ascii="Verdana" w:hAnsi="Verdana"/>
          <w:b/>
          <w:bCs/>
        </w:rPr>
        <w:t>Table 2</w:t>
      </w:r>
      <w:r w:rsidRPr="00BD66CE">
        <w:rPr>
          <w:rFonts w:ascii="Verdana" w:hAnsi="Verdana"/>
        </w:rPr>
        <w:t xml:space="preserve">. Epidemiological summary of the first </w:t>
      </w:r>
      <w:r w:rsidR="00096E21" w:rsidRPr="00BD66CE">
        <w:rPr>
          <w:rFonts w:ascii="Verdana" w:hAnsi="Verdana"/>
        </w:rPr>
        <w:t>month</w:t>
      </w:r>
      <w:r w:rsidRPr="00BD66CE">
        <w:rPr>
          <w:rFonts w:ascii="Verdana" w:hAnsi="Verdana"/>
        </w:rPr>
        <w:t xml:space="preserve"> </w:t>
      </w:r>
      <w:r w:rsidR="000A4A80" w:rsidRPr="00BD66CE">
        <w:rPr>
          <w:rFonts w:ascii="Verdana" w:hAnsi="Verdana"/>
        </w:rPr>
        <w:t xml:space="preserve">(March 31st, 2020) </w:t>
      </w:r>
      <w:r w:rsidRPr="00BD66CE">
        <w:rPr>
          <w:rFonts w:ascii="Verdana" w:hAnsi="Verdana"/>
        </w:rPr>
        <w:t xml:space="preserve">of the COVID-19 pandemic in Central America. </w:t>
      </w:r>
    </w:p>
    <w:p w14:paraId="46221705" w14:textId="77777777" w:rsidR="008B22E3" w:rsidRPr="00BD66CE" w:rsidRDefault="008B22E3" w:rsidP="00391110">
      <w:pPr>
        <w:pStyle w:val="MDPI31text"/>
        <w:ind w:left="0" w:firstLine="0"/>
        <w:rPr>
          <w:rFonts w:ascii="Verdana" w:hAnsi="Verdana"/>
        </w:rPr>
      </w:pPr>
    </w:p>
    <w:tbl>
      <w:tblPr>
        <w:tblStyle w:val="Tablaconcuadrcula"/>
        <w:tblW w:w="102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1546"/>
        <w:gridCol w:w="1269"/>
        <w:gridCol w:w="923"/>
        <w:gridCol w:w="1544"/>
        <w:gridCol w:w="1407"/>
        <w:gridCol w:w="1267"/>
        <w:gridCol w:w="1052"/>
      </w:tblGrid>
      <w:tr w:rsidR="00D91878" w:rsidRPr="008B22E3" w14:paraId="7DE8B015" w14:textId="77777777" w:rsidTr="00236E53">
        <w:trPr>
          <w:trHeight w:val="246"/>
        </w:trPr>
        <w:tc>
          <w:tcPr>
            <w:tcW w:w="1276" w:type="dxa"/>
            <w:tcBorders>
              <w:top w:val="single" w:sz="4" w:space="0" w:color="auto"/>
              <w:bottom w:val="single" w:sz="4" w:space="0" w:color="auto"/>
            </w:tcBorders>
            <w:shd w:val="clear" w:color="auto" w:fill="D9D9D9" w:themeFill="background1" w:themeFillShade="D9"/>
          </w:tcPr>
          <w:p w14:paraId="2E8AAC5C" w14:textId="19C19E01" w:rsidR="00D91878" w:rsidRPr="008B22E3" w:rsidRDefault="00D91878" w:rsidP="00391110">
            <w:pPr>
              <w:pStyle w:val="MDPI31text"/>
              <w:ind w:left="0" w:firstLine="0"/>
              <w:rPr>
                <w:rFonts w:ascii="Verdana" w:hAnsi="Verdana"/>
                <w:b/>
                <w:bCs/>
                <w:sz w:val="18"/>
                <w:szCs w:val="21"/>
              </w:rPr>
            </w:pPr>
            <w:r w:rsidRPr="008B22E3">
              <w:rPr>
                <w:rFonts w:ascii="Verdana" w:hAnsi="Verdana"/>
                <w:b/>
                <w:bCs/>
                <w:sz w:val="18"/>
                <w:szCs w:val="21"/>
              </w:rPr>
              <w:t>Location</w:t>
            </w:r>
          </w:p>
        </w:tc>
        <w:tc>
          <w:tcPr>
            <w:tcW w:w="1559" w:type="dxa"/>
            <w:tcBorders>
              <w:top w:val="single" w:sz="4" w:space="0" w:color="auto"/>
              <w:bottom w:val="single" w:sz="4" w:space="0" w:color="auto"/>
            </w:tcBorders>
            <w:shd w:val="clear" w:color="auto" w:fill="D9D9D9" w:themeFill="background1" w:themeFillShade="D9"/>
          </w:tcPr>
          <w:p w14:paraId="3CCAABBA" w14:textId="4E8BAA38" w:rsidR="00D91878" w:rsidRPr="008B22E3" w:rsidRDefault="00D91878" w:rsidP="00155D68">
            <w:pPr>
              <w:pStyle w:val="MDPI31text"/>
              <w:ind w:left="0" w:firstLine="0"/>
              <w:jc w:val="center"/>
              <w:rPr>
                <w:rFonts w:ascii="Verdana" w:hAnsi="Verdana"/>
                <w:b/>
                <w:bCs/>
                <w:sz w:val="18"/>
                <w:szCs w:val="21"/>
              </w:rPr>
            </w:pPr>
            <w:r w:rsidRPr="008B22E3">
              <w:rPr>
                <w:rFonts w:ascii="Verdana" w:hAnsi="Verdana"/>
                <w:b/>
                <w:bCs/>
                <w:sz w:val="18"/>
                <w:szCs w:val="21"/>
              </w:rPr>
              <w:t>Transmission classification</w:t>
            </w:r>
          </w:p>
        </w:tc>
        <w:tc>
          <w:tcPr>
            <w:tcW w:w="1276" w:type="dxa"/>
            <w:tcBorders>
              <w:top w:val="single" w:sz="4" w:space="0" w:color="auto"/>
              <w:bottom w:val="single" w:sz="4" w:space="0" w:color="auto"/>
            </w:tcBorders>
            <w:shd w:val="clear" w:color="auto" w:fill="D9D9D9" w:themeFill="background1" w:themeFillShade="D9"/>
          </w:tcPr>
          <w:p w14:paraId="190314B3" w14:textId="416AE471" w:rsidR="00D91878" w:rsidRPr="008B22E3" w:rsidRDefault="00D91878" w:rsidP="00155D68">
            <w:pPr>
              <w:pStyle w:val="MDPI31text"/>
              <w:ind w:left="0" w:firstLine="0"/>
              <w:jc w:val="center"/>
              <w:rPr>
                <w:rFonts w:ascii="Verdana" w:hAnsi="Verdana"/>
                <w:b/>
                <w:bCs/>
                <w:sz w:val="18"/>
                <w:szCs w:val="21"/>
              </w:rPr>
            </w:pPr>
            <w:r w:rsidRPr="008B22E3">
              <w:rPr>
                <w:rFonts w:ascii="Verdana" w:hAnsi="Verdana"/>
                <w:b/>
                <w:bCs/>
                <w:sz w:val="18"/>
                <w:szCs w:val="21"/>
              </w:rPr>
              <w:t>Confirmed cases</w:t>
            </w:r>
          </w:p>
        </w:tc>
        <w:tc>
          <w:tcPr>
            <w:tcW w:w="851" w:type="dxa"/>
            <w:tcBorders>
              <w:top w:val="single" w:sz="4" w:space="0" w:color="auto"/>
              <w:bottom w:val="single" w:sz="4" w:space="0" w:color="auto"/>
            </w:tcBorders>
            <w:shd w:val="clear" w:color="auto" w:fill="D9D9D9" w:themeFill="background1" w:themeFillShade="D9"/>
          </w:tcPr>
          <w:p w14:paraId="263DD140" w14:textId="5FD8CA9B" w:rsidR="00D91878" w:rsidRPr="008B22E3" w:rsidRDefault="00D91878" w:rsidP="00155D68">
            <w:pPr>
              <w:pStyle w:val="MDPI31text"/>
              <w:ind w:left="0" w:firstLine="0"/>
              <w:jc w:val="center"/>
              <w:rPr>
                <w:rFonts w:ascii="Verdana" w:hAnsi="Verdana"/>
                <w:b/>
                <w:bCs/>
                <w:sz w:val="18"/>
                <w:szCs w:val="21"/>
              </w:rPr>
            </w:pPr>
            <w:r w:rsidRPr="008B22E3">
              <w:rPr>
                <w:rFonts w:ascii="Verdana" w:hAnsi="Verdana"/>
                <w:b/>
                <w:bCs/>
                <w:sz w:val="18"/>
                <w:szCs w:val="21"/>
              </w:rPr>
              <w:t>Deaths</w:t>
            </w:r>
          </w:p>
        </w:tc>
        <w:tc>
          <w:tcPr>
            <w:tcW w:w="1559" w:type="dxa"/>
            <w:tcBorders>
              <w:top w:val="single" w:sz="4" w:space="0" w:color="auto"/>
              <w:bottom w:val="single" w:sz="4" w:space="0" w:color="auto"/>
            </w:tcBorders>
            <w:shd w:val="clear" w:color="auto" w:fill="D9D9D9" w:themeFill="background1" w:themeFillShade="D9"/>
          </w:tcPr>
          <w:p w14:paraId="2C913CE6" w14:textId="6DC006ED" w:rsidR="00D91878" w:rsidRPr="008B22E3" w:rsidRDefault="00D91878" w:rsidP="00155D68">
            <w:pPr>
              <w:pStyle w:val="MDPI31text"/>
              <w:ind w:left="0" w:firstLine="0"/>
              <w:jc w:val="center"/>
              <w:rPr>
                <w:rFonts w:ascii="Verdana" w:hAnsi="Verdana"/>
                <w:b/>
                <w:bCs/>
                <w:sz w:val="18"/>
                <w:szCs w:val="21"/>
              </w:rPr>
            </w:pPr>
            <w:r w:rsidRPr="008B22E3">
              <w:rPr>
                <w:rFonts w:ascii="Verdana" w:hAnsi="Verdana"/>
                <w:b/>
                <w:bCs/>
                <w:sz w:val="18"/>
                <w:szCs w:val="21"/>
              </w:rPr>
              <w:t>First case</w:t>
            </w:r>
          </w:p>
        </w:tc>
        <w:tc>
          <w:tcPr>
            <w:tcW w:w="1417" w:type="dxa"/>
            <w:tcBorders>
              <w:top w:val="single" w:sz="4" w:space="0" w:color="auto"/>
              <w:bottom w:val="single" w:sz="4" w:space="0" w:color="auto"/>
            </w:tcBorders>
            <w:shd w:val="clear" w:color="auto" w:fill="D9D9D9" w:themeFill="background1" w:themeFillShade="D9"/>
          </w:tcPr>
          <w:p w14:paraId="5ADA0351" w14:textId="600DABDD" w:rsidR="00D91878" w:rsidRPr="008B22E3" w:rsidRDefault="00D91878" w:rsidP="00155D68">
            <w:pPr>
              <w:pStyle w:val="MDPI31text"/>
              <w:ind w:left="0" w:firstLine="0"/>
              <w:jc w:val="center"/>
              <w:rPr>
                <w:rFonts w:ascii="Verdana" w:hAnsi="Verdana"/>
                <w:b/>
                <w:bCs/>
                <w:sz w:val="18"/>
                <w:szCs w:val="21"/>
              </w:rPr>
            </w:pPr>
            <w:r w:rsidRPr="008B22E3">
              <w:rPr>
                <w:rFonts w:ascii="Verdana" w:hAnsi="Verdana"/>
                <w:b/>
                <w:bCs/>
                <w:sz w:val="18"/>
                <w:szCs w:val="21"/>
              </w:rPr>
              <w:t>First death</w:t>
            </w:r>
          </w:p>
        </w:tc>
        <w:tc>
          <w:tcPr>
            <w:tcW w:w="1276" w:type="dxa"/>
            <w:tcBorders>
              <w:top w:val="single" w:sz="4" w:space="0" w:color="auto"/>
              <w:bottom w:val="single" w:sz="4" w:space="0" w:color="auto"/>
            </w:tcBorders>
            <w:shd w:val="clear" w:color="auto" w:fill="D9D9D9" w:themeFill="background1" w:themeFillShade="D9"/>
          </w:tcPr>
          <w:p w14:paraId="78BE2A5E" w14:textId="38E0B4E4" w:rsidR="00D91878" w:rsidRPr="008B22E3" w:rsidRDefault="00D91878" w:rsidP="00155D68">
            <w:pPr>
              <w:pStyle w:val="MDPI31text"/>
              <w:ind w:left="0" w:firstLine="0"/>
              <w:jc w:val="center"/>
              <w:rPr>
                <w:rFonts w:ascii="Verdana" w:hAnsi="Verdana"/>
                <w:b/>
                <w:bCs/>
                <w:sz w:val="18"/>
                <w:szCs w:val="21"/>
              </w:rPr>
            </w:pPr>
            <w:r w:rsidRPr="008B22E3">
              <w:rPr>
                <w:rFonts w:ascii="Verdana" w:hAnsi="Verdana"/>
                <w:b/>
                <w:bCs/>
                <w:sz w:val="18"/>
                <w:szCs w:val="21"/>
              </w:rPr>
              <w:t>Quarantine</w:t>
            </w:r>
          </w:p>
        </w:tc>
        <w:tc>
          <w:tcPr>
            <w:tcW w:w="1060" w:type="dxa"/>
            <w:tcBorders>
              <w:top w:val="single" w:sz="4" w:space="0" w:color="auto"/>
              <w:bottom w:val="single" w:sz="4" w:space="0" w:color="auto"/>
            </w:tcBorders>
            <w:shd w:val="clear" w:color="auto" w:fill="D9D9D9" w:themeFill="background1" w:themeFillShade="D9"/>
          </w:tcPr>
          <w:p w14:paraId="326C403A" w14:textId="5815F329" w:rsidR="00D91878" w:rsidRPr="008B22E3" w:rsidRDefault="00D91878" w:rsidP="00155D68">
            <w:pPr>
              <w:pStyle w:val="MDPI31text"/>
              <w:ind w:left="0" w:firstLine="0"/>
              <w:jc w:val="center"/>
              <w:rPr>
                <w:rFonts w:ascii="Verdana" w:hAnsi="Verdana"/>
                <w:b/>
                <w:bCs/>
                <w:sz w:val="18"/>
                <w:szCs w:val="21"/>
              </w:rPr>
            </w:pPr>
            <w:r w:rsidRPr="008B22E3">
              <w:rPr>
                <w:rFonts w:ascii="Verdana" w:hAnsi="Verdana"/>
                <w:b/>
                <w:bCs/>
                <w:sz w:val="18"/>
                <w:szCs w:val="21"/>
              </w:rPr>
              <w:t>Curfew</w:t>
            </w:r>
          </w:p>
        </w:tc>
      </w:tr>
      <w:tr w:rsidR="000A4A80" w:rsidRPr="008B22E3" w14:paraId="38BE9D56" w14:textId="77777777" w:rsidTr="00236E53">
        <w:trPr>
          <w:trHeight w:val="234"/>
        </w:trPr>
        <w:tc>
          <w:tcPr>
            <w:tcW w:w="1276" w:type="dxa"/>
            <w:tcBorders>
              <w:top w:val="single" w:sz="4" w:space="0" w:color="auto"/>
            </w:tcBorders>
          </w:tcPr>
          <w:p w14:paraId="62B80C9D" w14:textId="4A57CECA" w:rsidR="00D91878" w:rsidRPr="008B22E3" w:rsidRDefault="00D91878" w:rsidP="00391110">
            <w:pPr>
              <w:pStyle w:val="MDPI31text"/>
              <w:ind w:left="0" w:firstLine="0"/>
              <w:rPr>
                <w:rFonts w:ascii="Verdana" w:hAnsi="Verdana"/>
                <w:sz w:val="18"/>
                <w:szCs w:val="21"/>
              </w:rPr>
            </w:pPr>
            <w:r w:rsidRPr="008B22E3">
              <w:rPr>
                <w:rFonts w:ascii="Verdana" w:hAnsi="Verdana"/>
                <w:sz w:val="18"/>
                <w:szCs w:val="21"/>
              </w:rPr>
              <w:t xml:space="preserve">Belize </w:t>
            </w:r>
          </w:p>
        </w:tc>
        <w:tc>
          <w:tcPr>
            <w:tcW w:w="1559" w:type="dxa"/>
            <w:tcBorders>
              <w:top w:val="single" w:sz="4" w:space="0" w:color="auto"/>
            </w:tcBorders>
          </w:tcPr>
          <w:p w14:paraId="734FF63D" w14:textId="50028F10" w:rsidR="00D91878" w:rsidRPr="008B22E3" w:rsidRDefault="00236E53" w:rsidP="00155D68">
            <w:pPr>
              <w:pStyle w:val="MDPI31text"/>
              <w:ind w:left="0" w:firstLine="0"/>
              <w:jc w:val="center"/>
              <w:rPr>
                <w:rFonts w:ascii="Verdana" w:hAnsi="Verdana"/>
                <w:sz w:val="18"/>
                <w:szCs w:val="21"/>
              </w:rPr>
            </w:pPr>
            <w:r w:rsidRPr="008B22E3">
              <w:rPr>
                <w:rFonts w:ascii="Verdana" w:hAnsi="Verdana"/>
                <w:sz w:val="18"/>
                <w:szCs w:val="21"/>
              </w:rPr>
              <w:t>Local only</w:t>
            </w:r>
          </w:p>
        </w:tc>
        <w:tc>
          <w:tcPr>
            <w:tcW w:w="1276" w:type="dxa"/>
            <w:tcBorders>
              <w:top w:val="single" w:sz="4" w:space="0" w:color="auto"/>
            </w:tcBorders>
          </w:tcPr>
          <w:p w14:paraId="49C8CDF5" w14:textId="01D57F07"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3</w:t>
            </w:r>
          </w:p>
        </w:tc>
        <w:tc>
          <w:tcPr>
            <w:tcW w:w="851" w:type="dxa"/>
            <w:tcBorders>
              <w:top w:val="single" w:sz="4" w:space="0" w:color="auto"/>
            </w:tcBorders>
          </w:tcPr>
          <w:p w14:paraId="37921190" w14:textId="529F35EA" w:rsidR="00D91878" w:rsidRPr="008B22E3" w:rsidRDefault="00236E53" w:rsidP="00155D68">
            <w:pPr>
              <w:pStyle w:val="MDPI31text"/>
              <w:ind w:left="0" w:firstLine="0"/>
              <w:jc w:val="center"/>
              <w:rPr>
                <w:rFonts w:ascii="Verdana" w:hAnsi="Verdana"/>
                <w:sz w:val="18"/>
                <w:szCs w:val="21"/>
              </w:rPr>
            </w:pPr>
            <w:r w:rsidRPr="008B22E3">
              <w:rPr>
                <w:rFonts w:ascii="Verdana" w:hAnsi="Verdana"/>
                <w:sz w:val="18"/>
                <w:szCs w:val="21"/>
              </w:rPr>
              <w:t>None</w:t>
            </w:r>
          </w:p>
        </w:tc>
        <w:tc>
          <w:tcPr>
            <w:tcW w:w="1559" w:type="dxa"/>
            <w:tcBorders>
              <w:top w:val="single" w:sz="4" w:space="0" w:color="auto"/>
            </w:tcBorders>
          </w:tcPr>
          <w:p w14:paraId="79B887D1" w14:textId="0C6E6B82" w:rsidR="00D91878" w:rsidRPr="008B22E3" w:rsidRDefault="00D91878" w:rsidP="00D91878">
            <w:pPr>
              <w:pStyle w:val="MDPI31text"/>
              <w:ind w:left="0" w:firstLine="0"/>
              <w:jc w:val="center"/>
              <w:rPr>
                <w:rFonts w:ascii="Verdana" w:hAnsi="Verdana"/>
                <w:sz w:val="18"/>
                <w:szCs w:val="21"/>
              </w:rPr>
            </w:pPr>
            <w:r w:rsidRPr="008B22E3">
              <w:rPr>
                <w:rFonts w:ascii="Verdana" w:hAnsi="Verdana"/>
                <w:sz w:val="18"/>
                <w:szCs w:val="21"/>
              </w:rPr>
              <w:t xml:space="preserve">March </w:t>
            </w:r>
            <w:r w:rsidR="000A4A80" w:rsidRPr="008B22E3">
              <w:rPr>
                <w:rFonts w:ascii="Verdana" w:hAnsi="Verdana"/>
                <w:sz w:val="18"/>
                <w:szCs w:val="21"/>
              </w:rPr>
              <w:t xml:space="preserve">23rd  </w:t>
            </w:r>
          </w:p>
        </w:tc>
        <w:tc>
          <w:tcPr>
            <w:tcW w:w="1417" w:type="dxa"/>
            <w:tcBorders>
              <w:top w:val="single" w:sz="4" w:space="0" w:color="auto"/>
            </w:tcBorders>
          </w:tcPr>
          <w:p w14:paraId="373F5A35" w14:textId="74761CCB" w:rsidR="00D91878" w:rsidRPr="008B22E3" w:rsidRDefault="00D91878" w:rsidP="00D91878">
            <w:pPr>
              <w:pStyle w:val="MDPI31text"/>
              <w:ind w:left="0" w:firstLine="0"/>
              <w:jc w:val="center"/>
              <w:rPr>
                <w:rFonts w:ascii="Verdana" w:hAnsi="Verdana"/>
                <w:sz w:val="18"/>
                <w:szCs w:val="21"/>
              </w:rPr>
            </w:pPr>
            <w:r w:rsidRPr="008B22E3">
              <w:rPr>
                <w:rFonts w:ascii="Verdana" w:hAnsi="Verdana"/>
                <w:sz w:val="18"/>
                <w:szCs w:val="21"/>
              </w:rPr>
              <w:t>April 07</w:t>
            </w:r>
            <w:r w:rsidR="000A4A80" w:rsidRPr="008B22E3">
              <w:rPr>
                <w:rFonts w:ascii="Verdana" w:hAnsi="Verdana"/>
                <w:sz w:val="18"/>
                <w:szCs w:val="21"/>
              </w:rPr>
              <w:t>th</w:t>
            </w:r>
          </w:p>
        </w:tc>
        <w:tc>
          <w:tcPr>
            <w:tcW w:w="1276" w:type="dxa"/>
            <w:tcBorders>
              <w:top w:val="single" w:sz="4" w:space="0" w:color="auto"/>
            </w:tcBorders>
          </w:tcPr>
          <w:p w14:paraId="147471B5" w14:textId="0958623C"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No</w:t>
            </w:r>
          </w:p>
        </w:tc>
        <w:tc>
          <w:tcPr>
            <w:tcW w:w="1060" w:type="dxa"/>
            <w:tcBorders>
              <w:top w:val="single" w:sz="4" w:space="0" w:color="auto"/>
            </w:tcBorders>
          </w:tcPr>
          <w:p w14:paraId="523AE70C" w14:textId="4223F971"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No</w:t>
            </w:r>
          </w:p>
        </w:tc>
      </w:tr>
      <w:tr w:rsidR="000A4A80" w:rsidRPr="008B22E3" w14:paraId="7E37D8F3" w14:textId="77777777" w:rsidTr="00BB125C">
        <w:trPr>
          <w:trHeight w:val="246"/>
        </w:trPr>
        <w:tc>
          <w:tcPr>
            <w:tcW w:w="1276" w:type="dxa"/>
          </w:tcPr>
          <w:p w14:paraId="03A6CE41" w14:textId="2FB5F6EA" w:rsidR="00D91878" w:rsidRPr="008B22E3" w:rsidRDefault="00D91878" w:rsidP="00391110">
            <w:pPr>
              <w:pStyle w:val="MDPI31text"/>
              <w:ind w:left="0" w:firstLine="0"/>
              <w:rPr>
                <w:rFonts w:ascii="Verdana" w:hAnsi="Verdana"/>
                <w:sz w:val="18"/>
                <w:szCs w:val="21"/>
              </w:rPr>
            </w:pPr>
            <w:r w:rsidRPr="008B22E3">
              <w:rPr>
                <w:rFonts w:ascii="Verdana" w:hAnsi="Verdana"/>
                <w:sz w:val="18"/>
                <w:szCs w:val="21"/>
              </w:rPr>
              <w:t>Costa Rica</w:t>
            </w:r>
          </w:p>
        </w:tc>
        <w:tc>
          <w:tcPr>
            <w:tcW w:w="1559" w:type="dxa"/>
          </w:tcPr>
          <w:p w14:paraId="55C4B40C" w14:textId="2FC7DF6D" w:rsidR="00D91878" w:rsidRPr="008B22E3" w:rsidRDefault="00236E53" w:rsidP="00155D68">
            <w:pPr>
              <w:pStyle w:val="MDPI31text"/>
              <w:ind w:left="0" w:firstLine="0"/>
              <w:jc w:val="center"/>
              <w:rPr>
                <w:rFonts w:ascii="Verdana" w:hAnsi="Verdana"/>
                <w:sz w:val="18"/>
                <w:szCs w:val="21"/>
              </w:rPr>
            </w:pPr>
            <w:r w:rsidRPr="008B22E3">
              <w:rPr>
                <w:rFonts w:ascii="Verdana" w:hAnsi="Verdana"/>
                <w:sz w:val="18"/>
                <w:szCs w:val="21"/>
              </w:rPr>
              <w:t>Local only</w:t>
            </w:r>
          </w:p>
        </w:tc>
        <w:tc>
          <w:tcPr>
            <w:tcW w:w="1276" w:type="dxa"/>
          </w:tcPr>
          <w:p w14:paraId="31433735" w14:textId="55E9B7F1"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314</w:t>
            </w:r>
          </w:p>
        </w:tc>
        <w:tc>
          <w:tcPr>
            <w:tcW w:w="851" w:type="dxa"/>
          </w:tcPr>
          <w:p w14:paraId="7AA9AA71" w14:textId="454C7EA3"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2</w:t>
            </w:r>
          </w:p>
        </w:tc>
        <w:tc>
          <w:tcPr>
            <w:tcW w:w="1559" w:type="dxa"/>
            <w:shd w:val="clear" w:color="auto" w:fill="F2F2F2" w:themeFill="background1" w:themeFillShade="F2"/>
          </w:tcPr>
          <w:p w14:paraId="59FCA81C" w14:textId="3AC864CF" w:rsidR="00D91878" w:rsidRPr="008B22E3" w:rsidRDefault="00D91878" w:rsidP="00D91878">
            <w:pPr>
              <w:pStyle w:val="MDPI31text"/>
              <w:ind w:left="0" w:firstLine="0"/>
              <w:jc w:val="center"/>
              <w:rPr>
                <w:rFonts w:ascii="Verdana" w:hAnsi="Verdana"/>
                <w:sz w:val="18"/>
                <w:szCs w:val="21"/>
              </w:rPr>
            </w:pPr>
            <w:r w:rsidRPr="008B22E3">
              <w:rPr>
                <w:rFonts w:ascii="Verdana" w:hAnsi="Verdana"/>
                <w:sz w:val="18"/>
                <w:szCs w:val="21"/>
              </w:rPr>
              <w:t xml:space="preserve">March </w:t>
            </w:r>
            <w:r w:rsidR="000A4A80" w:rsidRPr="008B22E3">
              <w:rPr>
                <w:rFonts w:ascii="Verdana" w:hAnsi="Verdana"/>
                <w:sz w:val="18"/>
                <w:szCs w:val="21"/>
              </w:rPr>
              <w:t>06th</w:t>
            </w:r>
          </w:p>
        </w:tc>
        <w:tc>
          <w:tcPr>
            <w:tcW w:w="1417" w:type="dxa"/>
          </w:tcPr>
          <w:p w14:paraId="4CCA2C23" w14:textId="0F6D2D36"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March 18</w:t>
            </w:r>
            <w:r w:rsidR="000A4A80" w:rsidRPr="008B22E3">
              <w:rPr>
                <w:rFonts w:ascii="Verdana" w:hAnsi="Verdana"/>
                <w:sz w:val="18"/>
                <w:szCs w:val="21"/>
              </w:rPr>
              <w:t>th</w:t>
            </w:r>
            <w:r w:rsidRPr="008B22E3">
              <w:rPr>
                <w:rFonts w:ascii="Verdana" w:hAnsi="Verdana"/>
                <w:sz w:val="18"/>
                <w:szCs w:val="21"/>
              </w:rPr>
              <w:t>**</w:t>
            </w:r>
          </w:p>
        </w:tc>
        <w:tc>
          <w:tcPr>
            <w:tcW w:w="1276" w:type="dxa"/>
          </w:tcPr>
          <w:p w14:paraId="030C1F1F" w14:textId="20AB7DE0" w:rsidR="00D91878" w:rsidRPr="008B22E3" w:rsidRDefault="00236E53" w:rsidP="00155D68">
            <w:pPr>
              <w:pStyle w:val="MDPI31text"/>
              <w:ind w:left="0" w:firstLine="0"/>
              <w:jc w:val="center"/>
              <w:rPr>
                <w:rFonts w:ascii="Verdana" w:hAnsi="Verdana"/>
                <w:sz w:val="18"/>
                <w:szCs w:val="21"/>
              </w:rPr>
            </w:pPr>
            <w:r w:rsidRPr="008B22E3">
              <w:rPr>
                <w:rFonts w:ascii="Verdana" w:hAnsi="Verdana"/>
                <w:sz w:val="18"/>
                <w:szCs w:val="21"/>
              </w:rPr>
              <w:t>Yes</w:t>
            </w:r>
          </w:p>
        </w:tc>
        <w:tc>
          <w:tcPr>
            <w:tcW w:w="1060" w:type="dxa"/>
          </w:tcPr>
          <w:p w14:paraId="0312AB07" w14:textId="6073E75A"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No</w:t>
            </w:r>
          </w:p>
        </w:tc>
      </w:tr>
      <w:tr w:rsidR="000A4A80" w:rsidRPr="008B22E3" w14:paraId="27E389D0" w14:textId="77777777" w:rsidTr="00236E53">
        <w:trPr>
          <w:trHeight w:val="234"/>
        </w:trPr>
        <w:tc>
          <w:tcPr>
            <w:tcW w:w="1276" w:type="dxa"/>
          </w:tcPr>
          <w:p w14:paraId="3F8AD5F6" w14:textId="5CFC8BB3" w:rsidR="00D91878" w:rsidRPr="008B22E3" w:rsidRDefault="00D91878" w:rsidP="00391110">
            <w:pPr>
              <w:pStyle w:val="MDPI31text"/>
              <w:ind w:left="0" w:firstLine="0"/>
              <w:rPr>
                <w:rFonts w:ascii="Verdana" w:hAnsi="Verdana"/>
                <w:sz w:val="18"/>
                <w:szCs w:val="21"/>
              </w:rPr>
            </w:pPr>
            <w:r w:rsidRPr="008B22E3">
              <w:rPr>
                <w:rFonts w:ascii="Verdana" w:hAnsi="Verdana"/>
                <w:sz w:val="18"/>
                <w:szCs w:val="21"/>
              </w:rPr>
              <w:t>El Salvador</w:t>
            </w:r>
          </w:p>
        </w:tc>
        <w:tc>
          <w:tcPr>
            <w:tcW w:w="1559" w:type="dxa"/>
          </w:tcPr>
          <w:p w14:paraId="7C230CDF" w14:textId="64A0B0EA" w:rsidR="00D91878" w:rsidRPr="008B22E3" w:rsidRDefault="00236E53" w:rsidP="00155D68">
            <w:pPr>
              <w:pStyle w:val="MDPI31text"/>
              <w:ind w:left="0" w:firstLine="0"/>
              <w:jc w:val="center"/>
              <w:rPr>
                <w:rFonts w:ascii="Verdana" w:hAnsi="Verdana"/>
                <w:sz w:val="18"/>
                <w:szCs w:val="21"/>
              </w:rPr>
            </w:pPr>
            <w:r w:rsidRPr="008B22E3">
              <w:rPr>
                <w:rFonts w:ascii="Verdana" w:hAnsi="Verdana"/>
                <w:sz w:val="18"/>
                <w:szCs w:val="21"/>
              </w:rPr>
              <w:t>Local only</w:t>
            </w:r>
          </w:p>
        </w:tc>
        <w:tc>
          <w:tcPr>
            <w:tcW w:w="1276" w:type="dxa"/>
          </w:tcPr>
          <w:p w14:paraId="4C3F2219" w14:textId="364AC63D"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30</w:t>
            </w:r>
          </w:p>
        </w:tc>
        <w:tc>
          <w:tcPr>
            <w:tcW w:w="851" w:type="dxa"/>
          </w:tcPr>
          <w:p w14:paraId="2D0BE9DB" w14:textId="3BB549C8" w:rsidR="00D91878" w:rsidRPr="008B22E3" w:rsidRDefault="00047164" w:rsidP="00155D68">
            <w:pPr>
              <w:pStyle w:val="MDPI31text"/>
              <w:ind w:left="0" w:firstLine="0"/>
              <w:jc w:val="center"/>
              <w:rPr>
                <w:rFonts w:ascii="Verdana" w:hAnsi="Verdana"/>
                <w:sz w:val="18"/>
                <w:szCs w:val="21"/>
              </w:rPr>
            </w:pPr>
            <w:r w:rsidRPr="008B22E3">
              <w:rPr>
                <w:rFonts w:ascii="Verdana" w:hAnsi="Verdana"/>
                <w:sz w:val="18"/>
                <w:szCs w:val="21"/>
              </w:rPr>
              <w:t>1</w:t>
            </w:r>
          </w:p>
        </w:tc>
        <w:tc>
          <w:tcPr>
            <w:tcW w:w="1559" w:type="dxa"/>
          </w:tcPr>
          <w:p w14:paraId="3D17490E" w14:textId="5875E5F4" w:rsidR="00D91878" w:rsidRPr="008B22E3" w:rsidRDefault="00D91878" w:rsidP="00D91878">
            <w:pPr>
              <w:pStyle w:val="MDPI31text"/>
              <w:ind w:left="0" w:firstLine="0"/>
              <w:jc w:val="center"/>
              <w:rPr>
                <w:rFonts w:ascii="Verdana" w:hAnsi="Verdana"/>
                <w:sz w:val="18"/>
                <w:szCs w:val="21"/>
              </w:rPr>
            </w:pPr>
            <w:r w:rsidRPr="008B22E3">
              <w:rPr>
                <w:rFonts w:ascii="Verdana" w:hAnsi="Verdana"/>
                <w:sz w:val="18"/>
                <w:szCs w:val="21"/>
              </w:rPr>
              <w:t xml:space="preserve">March </w:t>
            </w:r>
            <w:r w:rsidR="00A62A52" w:rsidRPr="008B22E3">
              <w:rPr>
                <w:rFonts w:ascii="Verdana" w:hAnsi="Verdana"/>
                <w:sz w:val="18"/>
                <w:szCs w:val="21"/>
              </w:rPr>
              <w:t>18</w:t>
            </w:r>
            <w:r w:rsidR="000A4A80" w:rsidRPr="008B22E3">
              <w:rPr>
                <w:rFonts w:ascii="Verdana" w:hAnsi="Verdana"/>
                <w:sz w:val="18"/>
                <w:szCs w:val="21"/>
              </w:rPr>
              <w:t>th</w:t>
            </w:r>
          </w:p>
        </w:tc>
        <w:tc>
          <w:tcPr>
            <w:tcW w:w="1417" w:type="dxa"/>
          </w:tcPr>
          <w:p w14:paraId="415A7767" w14:textId="4B0C5152"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March 31</w:t>
            </w:r>
            <w:r w:rsidR="000A4A80" w:rsidRPr="008B22E3">
              <w:rPr>
                <w:rFonts w:ascii="Verdana" w:hAnsi="Verdana"/>
                <w:sz w:val="18"/>
                <w:szCs w:val="21"/>
              </w:rPr>
              <w:t>st</w:t>
            </w:r>
            <w:r w:rsidRPr="008B22E3">
              <w:rPr>
                <w:rFonts w:ascii="Verdana" w:hAnsi="Verdana"/>
                <w:sz w:val="18"/>
                <w:szCs w:val="21"/>
              </w:rPr>
              <w:t>*</w:t>
            </w:r>
          </w:p>
        </w:tc>
        <w:tc>
          <w:tcPr>
            <w:tcW w:w="1276" w:type="dxa"/>
          </w:tcPr>
          <w:p w14:paraId="46A371AD" w14:textId="3C219AB9"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Yes</w:t>
            </w:r>
          </w:p>
        </w:tc>
        <w:tc>
          <w:tcPr>
            <w:tcW w:w="1060" w:type="dxa"/>
          </w:tcPr>
          <w:p w14:paraId="074CC9BA" w14:textId="7F8892AF" w:rsidR="00D91878" w:rsidRPr="008B22E3" w:rsidRDefault="00236E53" w:rsidP="00155D68">
            <w:pPr>
              <w:pStyle w:val="MDPI31text"/>
              <w:ind w:left="0" w:firstLine="0"/>
              <w:jc w:val="center"/>
              <w:rPr>
                <w:rFonts w:ascii="Verdana" w:hAnsi="Verdana"/>
                <w:sz w:val="18"/>
                <w:szCs w:val="21"/>
              </w:rPr>
            </w:pPr>
            <w:r w:rsidRPr="008B22E3">
              <w:rPr>
                <w:rFonts w:ascii="Verdana" w:hAnsi="Verdana"/>
                <w:sz w:val="18"/>
                <w:szCs w:val="21"/>
              </w:rPr>
              <w:t>Yes</w:t>
            </w:r>
          </w:p>
        </w:tc>
      </w:tr>
      <w:tr w:rsidR="000A4A80" w:rsidRPr="008B22E3" w14:paraId="47B0F662" w14:textId="77777777" w:rsidTr="00236E53">
        <w:trPr>
          <w:trHeight w:val="246"/>
        </w:trPr>
        <w:tc>
          <w:tcPr>
            <w:tcW w:w="1276" w:type="dxa"/>
          </w:tcPr>
          <w:p w14:paraId="5F2AAE9A" w14:textId="5EAE5B6B" w:rsidR="00D91878" w:rsidRPr="008B22E3" w:rsidRDefault="00D91878" w:rsidP="00391110">
            <w:pPr>
              <w:pStyle w:val="MDPI31text"/>
              <w:ind w:left="0" w:firstLine="0"/>
              <w:rPr>
                <w:rFonts w:ascii="Verdana" w:hAnsi="Verdana"/>
                <w:sz w:val="18"/>
                <w:szCs w:val="21"/>
              </w:rPr>
            </w:pPr>
            <w:r w:rsidRPr="008B22E3">
              <w:rPr>
                <w:rFonts w:ascii="Verdana" w:hAnsi="Verdana"/>
                <w:sz w:val="18"/>
                <w:szCs w:val="21"/>
              </w:rPr>
              <w:t>Guatemala</w:t>
            </w:r>
          </w:p>
        </w:tc>
        <w:tc>
          <w:tcPr>
            <w:tcW w:w="1559" w:type="dxa"/>
          </w:tcPr>
          <w:p w14:paraId="2A3A1A78" w14:textId="0FAB778C" w:rsidR="00D91878" w:rsidRPr="008B22E3" w:rsidRDefault="00236E53" w:rsidP="00155D68">
            <w:pPr>
              <w:pStyle w:val="MDPI31text"/>
              <w:ind w:left="0" w:firstLine="0"/>
              <w:jc w:val="center"/>
              <w:rPr>
                <w:rFonts w:ascii="Verdana" w:hAnsi="Verdana"/>
                <w:sz w:val="18"/>
                <w:szCs w:val="21"/>
              </w:rPr>
            </w:pPr>
            <w:r w:rsidRPr="008B22E3">
              <w:rPr>
                <w:rFonts w:ascii="Verdana" w:hAnsi="Verdana"/>
                <w:sz w:val="18"/>
                <w:szCs w:val="21"/>
              </w:rPr>
              <w:t>Local only</w:t>
            </w:r>
          </w:p>
        </w:tc>
        <w:tc>
          <w:tcPr>
            <w:tcW w:w="1276" w:type="dxa"/>
          </w:tcPr>
          <w:p w14:paraId="03793313" w14:textId="0CD0278B"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36</w:t>
            </w:r>
          </w:p>
        </w:tc>
        <w:tc>
          <w:tcPr>
            <w:tcW w:w="851" w:type="dxa"/>
          </w:tcPr>
          <w:p w14:paraId="5BA90D4F" w14:textId="019D5E2C"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1</w:t>
            </w:r>
          </w:p>
        </w:tc>
        <w:tc>
          <w:tcPr>
            <w:tcW w:w="1559" w:type="dxa"/>
          </w:tcPr>
          <w:p w14:paraId="7F706C62" w14:textId="15438CD0" w:rsidR="00D91878" w:rsidRPr="008B22E3" w:rsidRDefault="00D91878" w:rsidP="00D91878">
            <w:pPr>
              <w:pStyle w:val="MDPI31text"/>
              <w:ind w:left="0" w:firstLine="0"/>
              <w:jc w:val="center"/>
              <w:rPr>
                <w:rFonts w:ascii="Verdana" w:hAnsi="Verdana"/>
                <w:sz w:val="18"/>
                <w:szCs w:val="21"/>
              </w:rPr>
            </w:pPr>
            <w:r w:rsidRPr="008B22E3">
              <w:rPr>
                <w:rFonts w:ascii="Verdana" w:hAnsi="Verdana"/>
                <w:sz w:val="18"/>
                <w:szCs w:val="21"/>
              </w:rPr>
              <w:t xml:space="preserve">March </w:t>
            </w:r>
            <w:r w:rsidR="000A4A80" w:rsidRPr="008B22E3">
              <w:rPr>
                <w:rFonts w:ascii="Verdana" w:hAnsi="Verdana"/>
                <w:sz w:val="18"/>
                <w:szCs w:val="21"/>
              </w:rPr>
              <w:t>13th</w:t>
            </w:r>
          </w:p>
        </w:tc>
        <w:tc>
          <w:tcPr>
            <w:tcW w:w="1417" w:type="dxa"/>
          </w:tcPr>
          <w:p w14:paraId="16FADFE5" w14:textId="088F8107" w:rsidR="00D91878" w:rsidRPr="008B22E3" w:rsidRDefault="00D91878" w:rsidP="00D91878">
            <w:pPr>
              <w:pStyle w:val="MDPI31text"/>
              <w:ind w:left="0" w:firstLine="0"/>
              <w:jc w:val="center"/>
              <w:rPr>
                <w:rFonts w:ascii="Verdana" w:hAnsi="Verdana"/>
                <w:sz w:val="18"/>
                <w:szCs w:val="21"/>
              </w:rPr>
            </w:pPr>
            <w:r w:rsidRPr="008B22E3">
              <w:rPr>
                <w:rFonts w:ascii="Verdana" w:hAnsi="Verdana"/>
                <w:sz w:val="18"/>
                <w:szCs w:val="21"/>
              </w:rPr>
              <w:t>March 15</w:t>
            </w:r>
            <w:r w:rsidR="000A4A80" w:rsidRPr="008B22E3">
              <w:rPr>
                <w:rFonts w:ascii="Verdana" w:hAnsi="Verdana"/>
                <w:sz w:val="18"/>
                <w:szCs w:val="21"/>
              </w:rPr>
              <w:t>th</w:t>
            </w:r>
            <w:r w:rsidRPr="008B22E3">
              <w:rPr>
                <w:rFonts w:ascii="Verdana" w:hAnsi="Verdana"/>
                <w:sz w:val="18"/>
                <w:szCs w:val="21"/>
              </w:rPr>
              <w:t>**</w:t>
            </w:r>
          </w:p>
        </w:tc>
        <w:tc>
          <w:tcPr>
            <w:tcW w:w="1276" w:type="dxa"/>
          </w:tcPr>
          <w:p w14:paraId="316C0412" w14:textId="0FD2C24B" w:rsidR="00D91878" w:rsidRPr="008B22E3" w:rsidRDefault="00236E53" w:rsidP="00155D68">
            <w:pPr>
              <w:pStyle w:val="MDPI31text"/>
              <w:ind w:left="0" w:firstLine="0"/>
              <w:jc w:val="center"/>
              <w:rPr>
                <w:rFonts w:ascii="Verdana" w:hAnsi="Verdana"/>
                <w:sz w:val="18"/>
                <w:szCs w:val="21"/>
              </w:rPr>
            </w:pPr>
            <w:r w:rsidRPr="008B22E3">
              <w:rPr>
                <w:rFonts w:ascii="Verdana" w:hAnsi="Verdana"/>
                <w:sz w:val="18"/>
                <w:szCs w:val="21"/>
              </w:rPr>
              <w:t>Yes</w:t>
            </w:r>
          </w:p>
        </w:tc>
        <w:tc>
          <w:tcPr>
            <w:tcW w:w="1060" w:type="dxa"/>
          </w:tcPr>
          <w:p w14:paraId="17E50301" w14:textId="53F258E1" w:rsidR="00D91878" w:rsidRPr="008B22E3" w:rsidRDefault="00236E53" w:rsidP="00155D68">
            <w:pPr>
              <w:pStyle w:val="MDPI31text"/>
              <w:ind w:left="0" w:firstLine="0"/>
              <w:jc w:val="center"/>
              <w:rPr>
                <w:rFonts w:ascii="Verdana" w:hAnsi="Verdana"/>
                <w:sz w:val="18"/>
                <w:szCs w:val="21"/>
              </w:rPr>
            </w:pPr>
            <w:r w:rsidRPr="008B22E3">
              <w:rPr>
                <w:rFonts w:ascii="Verdana" w:hAnsi="Verdana"/>
                <w:sz w:val="18"/>
                <w:szCs w:val="21"/>
              </w:rPr>
              <w:t>Yes</w:t>
            </w:r>
          </w:p>
        </w:tc>
      </w:tr>
      <w:tr w:rsidR="000A4A80" w:rsidRPr="008B22E3" w14:paraId="24F8502C" w14:textId="77777777" w:rsidTr="00236E53">
        <w:trPr>
          <w:trHeight w:val="246"/>
        </w:trPr>
        <w:tc>
          <w:tcPr>
            <w:tcW w:w="1276" w:type="dxa"/>
          </w:tcPr>
          <w:p w14:paraId="6AE8F034" w14:textId="73A0AD7D" w:rsidR="00D91878" w:rsidRPr="008B22E3" w:rsidRDefault="00D91878" w:rsidP="00391110">
            <w:pPr>
              <w:pStyle w:val="MDPI31text"/>
              <w:ind w:left="0" w:firstLine="0"/>
              <w:rPr>
                <w:rFonts w:ascii="Verdana" w:hAnsi="Verdana"/>
                <w:sz w:val="18"/>
                <w:szCs w:val="21"/>
              </w:rPr>
            </w:pPr>
            <w:r w:rsidRPr="008B22E3">
              <w:rPr>
                <w:rFonts w:ascii="Verdana" w:hAnsi="Verdana"/>
                <w:sz w:val="18"/>
                <w:szCs w:val="21"/>
              </w:rPr>
              <w:t>Honduras</w:t>
            </w:r>
          </w:p>
        </w:tc>
        <w:tc>
          <w:tcPr>
            <w:tcW w:w="1559" w:type="dxa"/>
          </w:tcPr>
          <w:p w14:paraId="7B7D21F8" w14:textId="30910005" w:rsidR="00D91878" w:rsidRPr="008B22E3" w:rsidRDefault="00236E53" w:rsidP="00155D68">
            <w:pPr>
              <w:pStyle w:val="MDPI31text"/>
              <w:ind w:left="0" w:firstLine="0"/>
              <w:jc w:val="center"/>
              <w:rPr>
                <w:rFonts w:ascii="Verdana" w:hAnsi="Verdana"/>
                <w:sz w:val="18"/>
                <w:szCs w:val="21"/>
              </w:rPr>
            </w:pPr>
            <w:r w:rsidRPr="008B22E3">
              <w:rPr>
                <w:rFonts w:ascii="Verdana" w:hAnsi="Verdana"/>
                <w:sz w:val="18"/>
                <w:szCs w:val="21"/>
              </w:rPr>
              <w:t>Local only</w:t>
            </w:r>
          </w:p>
        </w:tc>
        <w:tc>
          <w:tcPr>
            <w:tcW w:w="1276" w:type="dxa"/>
          </w:tcPr>
          <w:p w14:paraId="0553FC98" w14:textId="2DAF2DBF" w:rsidR="00D91878" w:rsidRPr="008B22E3" w:rsidRDefault="000A4A80" w:rsidP="00155D68">
            <w:pPr>
              <w:pStyle w:val="MDPI31text"/>
              <w:ind w:left="0" w:firstLine="0"/>
              <w:jc w:val="center"/>
              <w:rPr>
                <w:rFonts w:ascii="Verdana" w:hAnsi="Verdana"/>
                <w:sz w:val="18"/>
                <w:szCs w:val="21"/>
              </w:rPr>
            </w:pPr>
            <w:r w:rsidRPr="008B22E3">
              <w:rPr>
                <w:rFonts w:ascii="Verdana" w:hAnsi="Verdana"/>
                <w:sz w:val="18"/>
                <w:szCs w:val="21"/>
              </w:rPr>
              <w:t>139</w:t>
            </w:r>
          </w:p>
        </w:tc>
        <w:tc>
          <w:tcPr>
            <w:tcW w:w="851" w:type="dxa"/>
          </w:tcPr>
          <w:p w14:paraId="020E16E2" w14:textId="130E5869" w:rsidR="00D91878" w:rsidRPr="008B22E3" w:rsidRDefault="000A4A80" w:rsidP="00155D68">
            <w:pPr>
              <w:pStyle w:val="MDPI31text"/>
              <w:ind w:left="0" w:firstLine="0"/>
              <w:jc w:val="center"/>
              <w:rPr>
                <w:rFonts w:ascii="Verdana" w:hAnsi="Verdana"/>
                <w:sz w:val="18"/>
                <w:szCs w:val="21"/>
              </w:rPr>
            </w:pPr>
            <w:r w:rsidRPr="008B22E3">
              <w:rPr>
                <w:rFonts w:ascii="Verdana" w:hAnsi="Verdana"/>
                <w:sz w:val="18"/>
                <w:szCs w:val="21"/>
              </w:rPr>
              <w:t>2</w:t>
            </w:r>
          </w:p>
        </w:tc>
        <w:tc>
          <w:tcPr>
            <w:tcW w:w="1559" w:type="dxa"/>
          </w:tcPr>
          <w:p w14:paraId="71909066" w14:textId="0F6CFD63" w:rsidR="00D91878" w:rsidRPr="008B22E3" w:rsidRDefault="00D91878" w:rsidP="00D91878">
            <w:pPr>
              <w:pStyle w:val="MDPI31text"/>
              <w:ind w:left="0" w:firstLine="0"/>
              <w:jc w:val="center"/>
              <w:rPr>
                <w:rFonts w:ascii="Verdana" w:hAnsi="Verdana"/>
                <w:sz w:val="18"/>
                <w:szCs w:val="21"/>
              </w:rPr>
            </w:pPr>
            <w:r w:rsidRPr="008B22E3">
              <w:rPr>
                <w:rFonts w:ascii="Verdana" w:hAnsi="Verdana"/>
                <w:sz w:val="18"/>
                <w:szCs w:val="21"/>
              </w:rPr>
              <w:t xml:space="preserve">March </w:t>
            </w:r>
            <w:r w:rsidR="000A4A80" w:rsidRPr="008B22E3">
              <w:rPr>
                <w:rFonts w:ascii="Verdana" w:hAnsi="Verdana"/>
                <w:sz w:val="18"/>
                <w:szCs w:val="21"/>
              </w:rPr>
              <w:t>11th</w:t>
            </w:r>
          </w:p>
        </w:tc>
        <w:tc>
          <w:tcPr>
            <w:tcW w:w="1417" w:type="dxa"/>
          </w:tcPr>
          <w:p w14:paraId="52009104" w14:textId="35877626" w:rsidR="00D91878" w:rsidRPr="008B22E3" w:rsidRDefault="00D91878" w:rsidP="00D91878">
            <w:pPr>
              <w:pStyle w:val="MDPI31text"/>
              <w:ind w:left="0" w:firstLine="0"/>
              <w:jc w:val="center"/>
              <w:rPr>
                <w:rFonts w:ascii="Verdana" w:hAnsi="Verdana"/>
                <w:sz w:val="18"/>
                <w:szCs w:val="21"/>
              </w:rPr>
            </w:pPr>
            <w:r w:rsidRPr="008B22E3">
              <w:rPr>
                <w:rFonts w:ascii="Verdana" w:hAnsi="Verdana"/>
                <w:sz w:val="18"/>
                <w:szCs w:val="21"/>
              </w:rPr>
              <w:t>March 25</w:t>
            </w:r>
            <w:r w:rsidR="000A4A80" w:rsidRPr="008B22E3">
              <w:rPr>
                <w:rFonts w:ascii="Verdana" w:hAnsi="Verdana"/>
                <w:sz w:val="18"/>
                <w:szCs w:val="21"/>
              </w:rPr>
              <w:t>th</w:t>
            </w:r>
            <w:r w:rsidRPr="008B22E3">
              <w:rPr>
                <w:rFonts w:ascii="Verdana" w:hAnsi="Verdana"/>
                <w:sz w:val="18"/>
                <w:szCs w:val="21"/>
              </w:rPr>
              <w:t>*</w:t>
            </w:r>
          </w:p>
        </w:tc>
        <w:tc>
          <w:tcPr>
            <w:tcW w:w="1276" w:type="dxa"/>
          </w:tcPr>
          <w:p w14:paraId="7AC82FE0" w14:textId="356CE457"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Yes</w:t>
            </w:r>
          </w:p>
        </w:tc>
        <w:tc>
          <w:tcPr>
            <w:tcW w:w="1060" w:type="dxa"/>
          </w:tcPr>
          <w:p w14:paraId="6CE19404" w14:textId="06DA8029"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No</w:t>
            </w:r>
          </w:p>
        </w:tc>
      </w:tr>
      <w:tr w:rsidR="000A4A80" w:rsidRPr="008B22E3" w14:paraId="4E6F4423" w14:textId="77777777" w:rsidTr="00236E53">
        <w:trPr>
          <w:trHeight w:val="234"/>
        </w:trPr>
        <w:tc>
          <w:tcPr>
            <w:tcW w:w="1276" w:type="dxa"/>
          </w:tcPr>
          <w:p w14:paraId="65285F0E" w14:textId="38FFF620" w:rsidR="00D91878" w:rsidRPr="008B22E3" w:rsidRDefault="00D91878" w:rsidP="00391110">
            <w:pPr>
              <w:pStyle w:val="MDPI31text"/>
              <w:ind w:left="0" w:firstLine="0"/>
              <w:rPr>
                <w:rFonts w:ascii="Verdana" w:hAnsi="Verdana"/>
                <w:sz w:val="18"/>
                <w:szCs w:val="21"/>
              </w:rPr>
            </w:pPr>
            <w:r w:rsidRPr="008B22E3">
              <w:rPr>
                <w:rFonts w:ascii="Verdana" w:hAnsi="Verdana"/>
                <w:sz w:val="18"/>
                <w:szCs w:val="21"/>
              </w:rPr>
              <w:t>Nicaragua</w:t>
            </w:r>
          </w:p>
        </w:tc>
        <w:tc>
          <w:tcPr>
            <w:tcW w:w="1559" w:type="dxa"/>
          </w:tcPr>
          <w:p w14:paraId="610D2441" w14:textId="4B6F76C5" w:rsidR="00D91878" w:rsidRPr="008B22E3" w:rsidRDefault="000A4A80" w:rsidP="00155D68">
            <w:pPr>
              <w:pStyle w:val="MDPI31text"/>
              <w:ind w:left="0" w:firstLine="0"/>
              <w:jc w:val="center"/>
              <w:rPr>
                <w:rFonts w:ascii="Verdana" w:hAnsi="Verdana"/>
                <w:sz w:val="18"/>
                <w:szCs w:val="21"/>
              </w:rPr>
            </w:pPr>
            <w:r w:rsidRPr="008B22E3">
              <w:rPr>
                <w:rFonts w:ascii="Verdana" w:hAnsi="Verdana"/>
                <w:sz w:val="18"/>
                <w:szCs w:val="21"/>
              </w:rPr>
              <w:t>Imported</w:t>
            </w:r>
            <w:r w:rsidR="00236E53" w:rsidRPr="008B22E3">
              <w:rPr>
                <w:rFonts w:ascii="Verdana" w:hAnsi="Verdana"/>
                <w:sz w:val="18"/>
                <w:szCs w:val="21"/>
              </w:rPr>
              <w:t xml:space="preserve"> only</w:t>
            </w:r>
          </w:p>
        </w:tc>
        <w:tc>
          <w:tcPr>
            <w:tcW w:w="1276" w:type="dxa"/>
          </w:tcPr>
          <w:p w14:paraId="58D38955" w14:textId="396893F0" w:rsidR="00D91878" w:rsidRPr="008B22E3" w:rsidRDefault="000A4A80" w:rsidP="00155D68">
            <w:pPr>
              <w:pStyle w:val="MDPI31text"/>
              <w:ind w:left="0" w:firstLine="0"/>
              <w:jc w:val="center"/>
              <w:rPr>
                <w:rFonts w:ascii="Verdana" w:hAnsi="Verdana"/>
                <w:sz w:val="18"/>
                <w:szCs w:val="21"/>
              </w:rPr>
            </w:pPr>
            <w:r w:rsidRPr="008B22E3">
              <w:rPr>
                <w:rFonts w:ascii="Verdana" w:hAnsi="Verdana"/>
                <w:sz w:val="18"/>
                <w:szCs w:val="21"/>
              </w:rPr>
              <w:t>4</w:t>
            </w:r>
          </w:p>
        </w:tc>
        <w:tc>
          <w:tcPr>
            <w:tcW w:w="851" w:type="dxa"/>
          </w:tcPr>
          <w:p w14:paraId="46485546" w14:textId="7644EE71" w:rsidR="00D91878" w:rsidRPr="008B22E3" w:rsidRDefault="000A4A80" w:rsidP="00155D68">
            <w:pPr>
              <w:pStyle w:val="MDPI31text"/>
              <w:ind w:left="0" w:firstLine="0"/>
              <w:jc w:val="center"/>
              <w:rPr>
                <w:rFonts w:ascii="Verdana" w:hAnsi="Verdana"/>
                <w:sz w:val="18"/>
                <w:szCs w:val="21"/>
              </w:rPr>
            </w:pPr>
            <w:r w:rsidRPr="008B22E3">
              <w:rPr>
                <w:rFonts w:ascii="Verdana" w:hAnsi="Verdana"/>
                <w:sz w:val="18"/>
                <w:szCs w:val="21"/>
              </w:rPr>
              <w:t>1</w:t>
            </w:r>
          </w:p>
        </w:tc>
        <w:tc>
          <w:tcPr>
            <w:tcW w:w="1559" w:type="dxa"/>
          </w:tcPr>
          <w:p w14:paraId="5FFC3EA3" w14:textId="21620BAA" w:rsidR="00D91878" w:rsidRPr="008B22E3" w:rsidRDefault="00D91878" w:rsidP="00D91878">
            <w:pPr>
              <w:pStyle w:val="MDPI31text"/>
              <w:ind w:left="0" w:firstLine="0"/>
              <w:jc w:val="center"/>
              <w:rPr>
                <w:rFonts w:ascii="Verdana" w:hAnsi="Verdana"/>
                <w:sz w:val="18"/>
                <w:szCs w:val="21"/>
              </w:rPr>
            </w:pPr>
            <w:r w:rsidRPr="008B22E3">
              <w:rPr>
                <w:rFonts w:ascii="Verdana" w:hAnsi="Verdana"/>
                <w:sz w:val="18"/>
                <w:szCs w:val="21"/>
              </w:rPr>
              <w:t xml:space="preserve">March </w:t>
            </w:r>
            <w:r w:rsidR="000A4A80" w:rsidRPr="008B22E3">
              <w:rPr>
                <w:rFonts w:ascii="Verdana" w:hAnsi="Verdana"/>
                <w:sz w:val="18"/>
                <w:szCs w:val="21"/>
              </w:rPr>
              <w:t>18th</w:t>
            </w:r>
          </w:p>
        </w:tc>
        <w:tc>
          <w:tcPr>
            <w:tcW w:w="1417" w:type="dxa"/>
          </w:tcPr>
          <w:p w14:paraId="6AFBD5BE" w14:textId="02D5CAED" w:rsidR="00D91878" w:rsidRPr="008B22E3" w:rsidRDefault="00D91878" w:rsidP="00D91878">
            <w:pPr>
              <w:pStyle w:val="MDPI31text"/>
              <w:ind w:left="0" w:firstLine="0"/>
              <w:jc w:val="center"/>
              <w:rPr>
                <w:rFonts w:ascii="Verdana" w:hAnsi="Verdana"/>
                <w:sz w:val="18"/>
                <w:szCs w:val="21"/>
              </w:rPr>
            </w:pPr>
            <w:r w:rsidRPr="008B22E3">
              <w:rPr>
                <w:rFonts w:ascii="Verdana" w:hAnsi="Verdana"/>
                <w:sz w:val="18"/>
                <w:szCs w:val="21"/>
              </w:rPr>
              <w:t xml:space="preserve">March </w:t>
            </w:r>
            <w:r w:rsidR="000A4A80" w:rsidRPr="008B22E3">
              <w:rPr>
                <w:rFonts w:ascii="Verdana" w:hAnsi="Verdana"/>
                <w:sz w:val="18"/>
                <w:szCs w:val="21"/>
              </w:rPr>
              <w:t>26th</w:t>
            </w:r>
          </w:p>
        </w:tc>
        <w:tc>
          <w:tcPr>
            <w:tcW w:w="1276" w:type="dxa"/>
          </w:tcPr>
          <w:p w14:paraId="5A43D4C1" w14:textId="6ACC820C" w:rsidR="00D91878" w:rsidRPr="008B22E3" w:rsidRDefault="00236E53" w:rsidP="00155D68">
            <w:pPr>
              <w:pStyle w:val="MDPI31text"/>
              <w:ind w:left="0" w:firstLine="0"/>
              <w:jc w:val="center"/>
              <w:rPr>
                <w:rFonts w:ascii="Verdana" w:hAnsi="Verdana"/>
                <w:sz w:val="18"/>
                <w:szCs w:val="21"/>
              </w:rPr>
            </w:pPr>
            <w:r w:rsidRPr="008B22E3">
              <w:rPr>
                <w:rFonts w:ascii="Verdana" w:hAnsi="Verdana"/>
                <w:sz w:val="18"/>
                <w:szCs w:val="21"/>
              </w:rPr>
              <w:t>No</w:t>
            </w:r>
          </w:p>
        </w:tc>
        <w:tc>
          <w:tcPr>
            <w:tcW w:w="1060" w:type="dxa"/>
          </w:tcPr>
          <w:p w14:paraId="7745DE54" w14:textId="734E460B"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No</w:t>
            </w:r>
          </w:p>
        </w:tc>
      </w:tr>
      <w:tr w:rsidR="000A4A80" w:rsidRPr="008B22E3" w14:paraId="033F6BFA" w14:textId="77777777" w:rsidTr="00BB125C">
        <w:trPr>
          <w:trHeight w:val="246"/>
        </w:trPr>
        <w:tc>
          <w:tcPr>
            <w:tcW w:w="1276" w:type="dxa"/>
            <w:tcBorders>
              <w:bottom w:val="single" w:sz="4" w:space="0" w:color="auto"/>
            </w:tcBorders>
          </w:tcPr>
          <w:p w14:paraId="1D95C3DD" w14:textId="0B590BCF" w:rsidR="00D91878" w:rsidRPr="008B22E3" w:rsidRDefault="00D91878" w:rsidP="00391110">
            <w:pPr>
              <w:pStyle w:val="MDPI31text"/>
              <w:ind w:left="0" w:firstLine="0"/>
              <w:rPr>
                <w:rFonts w:ascii="Verdana" w:hAnsi="Verdana"/>
                <w:sz w:val="18"/>
                <w:szCs w:val="21"/>
              </w:rPr>
            </w:pPr>
            <w:r w:rsidRPr="008B22E3">
              <w:rPr>
                <w:rFonts w:ascii="Verdana" w:hAnsi="Verdana"/>
                <w:sz w:val="18"/>
                <w:szCs w:val="21"/>
              </w:rPr>
              <w:t>Panama</w:t>
            </w:r>
          </w:p>
        </w:tc>
        <w:tc>
          <w:tcPr>
            <w:tcW w:w="1559" w:type="dxa"/>
            <w:tcBorders>
              <w:bottom w:val="single" w:sz="4" w:space="0" w:color="auto"/>
            </w:tcBorders>
          </w:tcPr>
          <w:p w14:paraId="10406BB4" w14:textId="5ED06840" w:rsidR="00D91878" w:rsidRPr="008B22E3" w:rsidRDefault="000A4A80" w:rsidP="00155D68">
            <w:pPr>
              <w:pStyle w:val="MDPI31text"/>
              <w:ind w:left="0" w:firstLine="0"/>
              <w:jc w:val="center"/>
              <w:rPr>
                <w:rFonts w:ascii="Verdana" w:hAnsi="Verdana"/>
                <w:sz w:val="18"/>
                <w:szCs w:val="21"/>
              </w:rPr>
            </w:pPr>
            <w:r w:rsidRPr="008B22E3">
              <w:rPr>
                <w:rFonts w:ascii="Verdana" w:hAnsi="Verdana"/>
                <w:sz w:val="18"/>
                <w:szCs w:val="21"/>
              </w:rPr>
              <w:t>Local</w:t>
            </w:r>
            <w:r w:rsidR="00236E53" w:rsidRPr="008B22E3">
              <w:rPr>
                <w:rFonts w:ascii="Verdana" w:hAnsi="Verdana"/>
                <w:sz w:val="18"/>
                <w:szCs w:val="21"/>
              </w:rPr>
              <w:t xml:space="preserve"> only</w:t>
            </w:r>
          </w:p>
        </w:tc>
        <w:tc>
          <w:tcPr>
            <w:tcW w:w="1276" w:type="dxa"/>
            <w:tcBorders>
              <w:bottom w:val="single" w:sz="4" w:space="0" w:color="auto"/>
            </w:tcBorders>
          </w:tcPr>
          <w:p w14:paraId="1587C443" w14:textId="2EC6F945" w:rsidR="00D91878" w:rsidRPr="008B22E3" w:rsidRDefault="000A4A80" w:rsidP="00155D68">
            <w:pPr>
              <w:pStyle w:val="MDPI31text"/>
              <w:ind w:left="0" w:firstLine="0"/>
              <w:jc w:val="center"/>
              <w:rPr>
                <w:rFonts w:ascii="Verdana" w:hAnsi="Verdana"/>
                <w:sz w:val="18"/>
                <w:szCs w:val="21"/>
              </w:rPr>
            </w:pPr>
            <w:r w:rsidRPr="008B22E3">
              <w:rPr>
                <w:rFonts w:ascii="Verdana" w:hAnsi="Verdana"/>
                <w:sz w:val="18"/>
                <w:szCs w:val="21"/>
              </w:rPr>
              <w:t>989</w:t>
            </w:r>
          </w:p>
        </w:tc>
        <w:tc>
          <w:tcPr>
            <w:tcW w:w="851" w:type="dxa"/>
            <w:tcBorders>
              <w:bottom w:val="single" w:sz="4" w:space="0" w:color="auto"/>
            </w:tcBorders>
          </w:tcPr>
          <w:p w14:paraId="1481030D" w14:textId="32DF4FED" w:rsidR="00D91878" w:rsidRPr="008B22E3" w:rsidRDefault="000A4A80" w:rsidP="00155D68">
            <w:pPr>
              <w:pStyle w:val="MDPI31text"/>
              <w:ind w:left="0" w:firstLine="0"/>
              <w:jc w:val="center"/>
              <w:rPr>
                <w:rFonts w:ascii="Verdana" w:hAnsi="Verdana"/>
                <w:sz w:val="18"/>
                <w:szCs w:val="21"/>
              </w:rPr>
            </w:pPr>
            <w:r w:rsidRPr="008B22E3">
              <w:rPr>
                <w:rFonts w:ascii="Verdana" w:hAnsi="Verdana"/>
                <w:sz w:val="18"/>
                <w:szCs w:val="21"/>
              </w:rPr>
              <w:t>24</w:t>
            </w:r>
          </w:p>
        </w:tc>
        <w:tc>
          <w:tcPr>
            <w:tcW w:w="1559" w:type="dxa"/>
            <w:tcBorders>
              <w:bottom w:val="single" w:sz="4" w:space="0" w:color="auto"/>
            </w:tcBorders>
          </w:tcPr>
          <w:p w14:paraId="345ED2DB" w14:textId="1240279F" w:rsidR="00D91878" w:rsidRPr="008B22E3" w:rsidRDefault="00D91878" w:rsidP="00D91878">
            <w:pPr>
              <w:pStyle w:val="MDPI31text"/>
              <w:ind w:left="0" w:firstLine="0"/>
              <w:jc w:val="center"/>
              <w:rPr>
                <w:rFonts w:ascii="Verdana" w:hAnsi="Verdana"/>
                <w:sz w:val="18"/>
                <w:szCs w:val="21"/>
              </w:rPr>
            </w:pPr>
            <w:r w:rsidRPr="008B22E3">
              <w:rPr>
                <w:rFonts w:ascii="Verdana" w:hAnsi="Verdana"/>
                <w:sz w:val="18"/>
                <w:szCs w:val="21"/>
              </w:rPr>
              <w:t xml:space="preserve">March </w:t>
            </w:r>
            <w:r w:rsidR="000A4A80" w:rsidRPr="008B22E3">
              <w:rPr>
                <w:rFonts w:ascii="Verdana" w:hAnsi="Verdana"/>
                <w:sz w:val="18"/>
                <w:szCs w:val="21"/>
              </w:rPr>
              <w:t xml:space="preserve">09th </w:t>
            </w:r>
          </w:p>
        </w:tc>
        <w:tc>
          <w:tcPr>
            <w:tcW w:w="1417" w:type="dxa"/>
            <w:tcBorders>
              <w:bottom w:val="single" w:sz="4" w:space="0" w:color="auto"/>
            </w:tcBorders>
            <w:shd w:val="clear" w:color="auto" w:fill="F2F2F2" w:themeFill="background1" w:themeFillShade="F2"/>
          </w:tcPr>
          <w:p w14:paraId="34CBD9D3" w14:textId="1D9CD656" w:rsidR="00D91878" w:rsidRPr="008B22E3" w:rsidRDefault="00D91878" w:rsidP="00155D68">
            <w:pPr>
              <w:pStyle w:val="MDPI31text"/>
              <w:ind w:left="0" w:firstLine="0"/>
              <w:jc w:val="center"/>
              <w:rPr>
                <w:rFonts w:ascii="Verdana" w:hAnsi="Verdana"/>
                <w:sz w:val="18"/>
                <w:szCs w:val="21"/>
              </w:rPr>
            </w:pPr>
            <w:r w:rsidRPr="008B22E3">
              <w:rPr>
                <w:rFonts w:ascii="Verdana" w:hAnsi="Verdana"/>
                <w:sz w:val="18"/>
                <w:szCs w:val="21"/>
              </w:rPr>
              <w:t>March 10</w:t>
            </w:r>
            <w:r w:rsidR="000A4A80" w:rsidRPr="008B22E3">
              <w:rPr>
                <w:rFonts w:ascii="Verdana" w:hAnsi="Verdana"/>
                <w:sz w:val="18"/>
                <w:szCs w:val="21"/>
              </w:rPr>
              <w:t>th</w:t>
            </w:r>
            <w:r w:rsidRPr="008B22E3">
              <w:rPr>
                <w:rFonts w:ascii="Verdana" w:hAnsi="Verdana"/>
                <w:sz w:val="18"/>
                <w:szCs w:val="21"/>
              </w:rPr>
              <w:t>*</w:t>
            </w:r>
          </w:p>
        </w:tc>
        <w:tc>
          <w:tcPr>
            <w:tcW w:w="1276" w:type="dxa"/>
            <w:tcBorders>
              <w:bottom w:val="single" w:sz="4" w:space="0" w:color="auto"/>
            </w:tcBorders>
          </w:tcPr>
          <w:p w14:paraId="0B704B52" w14:textId="04522344" w:rsidR="00D91878" w:rsidRPr="008B22E3" w:rsidRDefault="00236E53" w:rsidP="00155D68">
            <w:pPr>
              <w:pStyle w:val="MDPI31text"/>
              <w:ind w:left="0" w:firstLine="0"/>
              <w:jc w:val="center"/>
              <w:rPr>
                <w:rFonts w:ascii="Verdana" w:hAnsi="Verdana"/>
                <w:sz w:val="18"/>
                <w:szCs w:val="21"/>
              </w:rPr>
            </w:pPr>
            <w:r w:rsidRPr="008B22E3">
              <w:rPr>
                <w:rFonts w:ascii="Verdana" w:hAnsi="Verdana"/>
                <w:sz w:val="18"/>
                <w:szCs w:val="21"/>
              </w:rPr>
              <w:t>Yes</w:t>
            </w:r>
          </w:p>
        </w:tc>
        <w:tc>
          <w:tcPr>
            <w:tcW w:w="1060" w:type="dxa"/>
            <w:tcBorders>
              <w:bottom w:val="single" w:sz="4" w:space="0" w:color="auto"/>
            </w:tcBorders>
          </w:tcPr>
          <w:p w14:paraId="6E065031" w14:textId="6A374236" w:rsidR="00D91878" w:rsidRPr="008B22E3" w:rsidRDefault="00236E53" w:rsidP="00155D68">
            <w:pPr>
              <w:pStyle w:val="MDPI31text"/>
              <w:ind w:left="0" w:firstLine="0"/>
              <w:jc w:val="center"/>
              <w:rPr>
                <w:rFonts w:ascii="Verdana" w:hAnsi="Verdana"/>
                <w:sz w:val="18"/>
                <w:szCs w:val="21"/>
              </w:rPr>
            </w:pPr>
            <w:r w:rsidRPr="008B22E3">
              <w:rPr>
                <w:rFonts w:ascii="Verdana" w:hAnsi="Verdana"/>
                <w:sz w:val="18"/>
                <w:szCs w:val="21"/>
              </w:rPr>
              <w:t>Yes</w:t>
            </w:r>
          </w:p>
        </w:tc>
      </w:tr>
    </w:tbl>
    <w:p w14:paraId="03128BB5" w14:textId="494745C3" w:rsidR="00391110" w:rsidRPr="00BD66CE" w:rsidRDefault="002F26FC" w:rsidP="00391110">
      <w:pPr>
        <w:pStyle w:val="MDPI31text"/>
        <w:ind w:left="0" w:firstLine="0"/>
        <w:rPr>
          <w:rFonts w:ascii="Verdana" w:hAnsi="Verdana"/>
        </w:rPr>
      </w:pPr>
      <w:r w:rsidRPr="00BD66CE">
        <w:rPr>
          <w:rFonts w:ascii="Verdana" w:hAnsi="Verdana"/>
          <w:sz w:val="18"/>
        </w:rPr>
        <w:t xml:space="preserve">*Patient over </w:t>
      </w:r>
      <w:r w:rsidR="00AE2D9B" w:rsidRPr="00BD66CE">
        <w:rPr>
          <w:rFonts w:ascii="Verdana" w:hAnsi="Verdana"/>
          <w:sz w:val="18"/>
        </w:rPr>
        <w:t>6</w:t>
      </w:r>
      <w:r w:rsidRPr="00BD66CE">
        <w:rPr>
          <w:rFonts w:ascii="Verdana" w:hAnsi="Verdana"/>
          <w:sz w:val="18"/>
        </w:rPr>
        <w:t xml:space="preserve">0 years of age. </w:t>
      </w:r>
      <w:r w:rsidR="00D91878" w:rsidRPr="00BD66CE">
        <w:rPr>
          <w:rFonts w:ascii="Verdana" w:hAnsi="Verdana"/>
          <w:sz w:val="18"/>
        </w:rPr>
        <w:t>**Patient over 85</w:t>
      </w:r>
      <w:r w:rsidR="00AE2D9B" w:rsidRPr="00BD66CE">
        <w:rPr>
          <w:rFonts w:ascii="Verdana" w:hAnsi="Verdana"/>
          <w:sz w:val="18"/>
        </w:rPr>
        <w:t xml:space="preserve"> years of age. </w:t>
      </w:r>
    </w:p>
    <w:p w14:paraId="30DA1534" w14:textId="0246DC29" w:rsidR="00391110" w:rsidRPr="00BD66CE" w:rsidRDefault="00AD1629" w:rsidP="00391110">
      <w:pPr>
        <w:pStyle w:val="MDPI31text"/>
        <w:ind w:left="0" w:firstLine="0"/>
        <w:rPr>
          <w:rFonts w:ascii="Verdana" w:hAnsi="Verdana"/>
          <w:szCs w:val="20"/>
        </w:rPr>
      </w:pPr>
      <w:r w:rsidRPr="00BD66CE">
        <w:rPr>
          <w:rFonts w:ascii="Verdana" w:hAnsi="Verdana"/>
          <w:b/>
          <w:szCs w:val="20"/>
        </w:rPr>
        <w:t>Source</w:t>
      </w:r>
      <w:r w:rsidRPr="00BD66CE">
        <w:rPr>
          <w:rFonts w:ascii="Verdana" w:hAnsi="Verdana"/>
          <w:szCs w:val="20"/>
        </w:rPr>
        <w:t>: Elaborated by the authors based on WHO</w:t>
      </w:r>
      <w:r w:rsidRPr="00BD66CE">
        <w:rPr>
          <w:rFonts w:ascii="Verdana" w:hAnsi="Verdana"/>
          <w:bCs/>
          <w:szCs w:val="20"/>
        </w:rPr>
        <w:t>'</w:t>
      </w:r>
      <w:r w:rsidRPr="00BD66CE">
        <w:rPr>
          <w:rFonts w:ascii="Verdana" w:hAnsi="Verdana"/>
          <w:szCs w:val="20"/>
        </w:rPr>
        <w:t xml:space="preserve">s COVID-19 Situation Report - 71 </w:t>
      </w:r>
      <w:r w:rsidRPr="00BD66CE">
        <w:rPr>
          <w:rFonts w:ascii="Verdana" w:hAnsi="Verdana"/>
          <w:bCs/>
          <w:szCs w:val="20"/>
        </w:rPr>
        <w:t>[42].</w:t>
      </w:r>
    </w:p>
    <w:p w14:paraId="5F93909B" w14:textId="77777777" w:rsidR="001C5420" w:rsidRPr="00BD66CE" w:rsidRDefault="001C5420" w:rsidP="001C5420">
      <w:pPr>
        <w:pStyle w:val="MDPI31text"/>
        <w:ind w:left="0" w:firstLine="0"/>
        <w:rPr>
          <w:rFonts w:ascii="Verdana" w:hAnsi="Verdana"/>
        </w:rPr>
      </w:pPr>
    </w:p>
    <w:p w14:paraId="24D4DC45" w14:textId="797383C8" w:rsidR="00223AE7" w:rsidRPr="00BD66CE" w:rsidRDefault="00A9613B" w:rsidP="001C5420">
      <w:pPr>
        <w:pStyle w:val="MDPI31text"/>
        <w:ind w:left="0" w:firstLine="510"/>
        <w:rPr>
          <w:rFonts w:ascii="Verdana" w:hAnsi="Verdana"/>
        </w:rPr>
      </w:pPr>
      <w:r w:rsidRPr="00BD66CE">
        <w:rPr>
          <w:rFonts w:ascii="Verdana" w:hAnsi="Verdana"/>
        </w:rPr>
        <w:t xml:space="preserve">As of mid-2020, the region had performed 422,549 laboratory tests, with 87,036 positive results (positivity </w:t>
      </w:r>
      <w:r w:rsidR="00345D6B" w:rsidRPr="00BD66CE">
        <w:rPr>
          <w:rFonts w:ascii="Verdana" w:hAnsi="Verdana"/>
        </w:rPr>
        <w:t xml:space="preserve">rate </w:t>
      </w:r>
      <w:r w:rsidRPr="00BD66CE">
        <w:rPr>
          <w:rFonts w:ascii="Verdana" w:hAnsi="Verdana"/>
        </w:rPr>
        <w:t>of 20.6%). Of the total of 2,297 deaths, 76% occurred in the geriatric population, with Belize (7.1%), Guatemala (4.3%), and Nicaragua (3.3%) being the three nations with the highest case fatality rates</w:t>
      </w:r>
      <w:r w:rsidR="00345D6B" w:rsidRPr="00BD66CE">
        <w:rPr>
          <w:rFonts w:ascii="Verdana" w:hAnsi="Verdana"/>
        </w:rPr>
        <w:t xml:space="preserve"> </w:t>
      </w:r>
      <w:r w:rsidR="001C2A10" w:rsidRPr="00BD66CE">
        <w:rPr>
          <w:rFonts w:ascii="Verdana" w:hAnsi="Verdana"/>
          <w:bCs/>
        </w:rPr>
        <w:t>[43]</w:t>
      </w:r>
      <w:r w:rsidR="00345D6B" w:rsidRPr="00BD66CE">
        <w:rPr>
          <w:rFonts w:ascii="Verdana" w:hAnsi="Verdana"/>
        </w:rPr>
        <w:t>.</w:t>
      </w:r>
      <w:r w:rsidR="00A72A5A" w:rsidRPr="00BD66CE">
        <w:rPr>
          <w:rFonts w:ascii="Verdana" w:hAnsi="Verdana"/>
        </w:rPr>
        <w:t xml:space="preserve"> </w:t>
      </w:r>
      <w:r w:rsidR="009E0FD2" w:rsidRPr="00BD66CE">
        <w:rPr>
          <w:rFonts w:ascii="Verdana" w:hAnsi="Verdana"/>
        </w:rPr>
        <w:t xml:space="preserve">Male sex and </w:t>
      </w:r>
      <w:r w:rsidR="0001476D" w:rsidRPr="00BD66CE">
        <w:rPr>
          <w:rFonts w:ascii="Verdana" w:hAnsi="Verdana"/>
        </w:rPr>
        <w:t>pre-existing conditions</w:t>
      </w:r>
      <w:r w:rsidR="009E0FD2" w:rsidRPr="00BD66CE">
        <w:rPr>
          <w:rFonts w:ascii="Verdana" w:hAnsi="Verdana"/>
        </w:rPr>
        <w:t xml:space="preserve"> were two shaping variables for case fatality among older adults in al</w:t>
      </w:r>
      <w:r w:rsidR="00F22AEB" w:rsidRPr="00BD66CE">
        <w:rPr>
          <w:rFonts w:ascii="Verdana" w:hAnsi="Verdana"/>
        </w:rPr>
        <w:t>l Central American countries</w:t>
      </w:r>
      <w:r w:rsidR="007F1ACD" w:rsidRPr="00BD66CE">
        <w:rPr>
          <w:rFonts w:ascii="Verdana" w:hAnsi="Verdana"/>
        </w:rPr>
        <w:t xml:space="preserve">. Li and colleagues </w:t>
      </w:r>
      <w:r w:rsidR="001C2A10" w:rsidRPr="00BD66CE">
        <w:rPr>
          <w:rFonts w:ascii="Verdana" w:hAnsi="Verdana"/>
          <w:bCs/>
        </w:rPr>
        <w:t>[44]</w:t>
      </w:r>
      <w:r w:rsidR="007F1ACD" w:rsidRPr="00BD66CE">
        <w:rPr>
          <w:rFonts w:ascii="Verdana" w:hAnsi="Verdana"/>
        </w:rPr>
        <w:t xml:space="preserve"> also found more deaths among older adults in their multi-country study, including Asian and European locations. During the same period (mid-2020), Andrus and colleagues</w:t>
      </w:r>
      <w:r w:rsidR="001C2A10" w:rsidRPr="00BD66CE">
        <w:rPr>
          <w:rFonts w:ascii="Verdana" w:hAnsi="Verdana"/>
        </w:rPr>
        <w:t xml:space="preserve"> </w:t>
      </w:r>
      <w:r w:rsidR="001C2A10" w:rsidRPr="00BD66CE">
        <w:rPr>
          <w:rFonts w:ascii="Verdana" w:hAnsi="Verdana"/>
          <w:bCs/>
        </w:rPr>
        <w:t>[45]</w:t>
      </w:r>
      <w:r w:rsidR="007F1ACD" w:rsidRPr="00BD66CE">
        <w:rPr>
          <w:rFonts w:ascii="Verdana" w:hAnsi="Verdana"/>
        </w:rPr>
        <w:t xml:space="preserve"> saw a hospital bed ratio (1/1000 population) of 1.3 in Belize and El Salvador, 1.2 in Costa Rica, and 0.7 in Honduras. The unavailability of hospital beds played a decisive role, given that universal quality medical coverage is strongly correlated with the age distribution of deaths </w:t>
      </w:r>
      <w:r w:rsidR="001C2A10" w:rsidRPr="00BD66CE">
        <w:rPr>
          <w:rFonts w:ascii="Verdana" w:hAnsi="Verdana"/>
          <w:bCs/>
        </w:rPr>
        <w:t>[46]</w:t>
      </w:r>
      <w:r w:rsidR="007F1ACD" w:rsidRPr="00BD66CE">
        <w:rPr>
          <w:rFonts w:ascii="Verdana" w:hAnsi="Verdana"/>
        </w:rPr>
        <w:t>.</w:t>
      </w:r>
      <w:r w:rsidR="007C2277" w:rsidRPr="00BD66CE">
        <w:rPr>
          <w:rFonts w:ascii="Verdana" w:hAnsi="Verdana"/>
        </w:rPr>
        <w:t xml:space="preserve"> </w:t>
      </w:r>
    </w:p>
    <w:p w14:paraId="07C9F2A2" w14:textId="77777777" w:rsidR="00223AE7" w:rsidRPr="00BD66CE" w:rsidRDefault="00223AE7" w:rsidP="00223AE7">
      <w:pPr>
        <w:pStyle w:val="MDPI31text"/>
        <w:rPr>
          <w:rFonts w:ascii="Verdana" w:hAnsi="Verdana"/>
        </w:rPr>
      </w:pPr>
    </w:p>
    <w:p w14:paraId="201E2269" w14:textId="6815140E" w:rsidR="0087153A" w:rsidRPr="00BD66CE" w:rsidRDefault="00662C7A" w:rsidP="001C5420">
      <w:pPr>
        <w:pStyle w:val="MDPI31text"/>
        <w:ind w:left="0" w:firstLine="510"/>
        <w:rPr>
          <w:rFonts w:ascii="Verdana" w:hAnsi="Verdana"/>
        </w:rPr>
      </w:pPr>
      <w:r w:rsidRPr="00BD66CE">
        <w:rPr>
          <w:rFonts w:ascii="Verdana" w:hAnsi="Verdana"/>
        </w:rPr>
        <w:t>What is more</w:t>
      </w:r>
      <w:r w:rsidR="00AC6AA0" w:rsidRPr="00BD66CE">
        <w:rPr>
          <w:rFonts w:ascii="Verdana" w:hAnsi="Verdana"/>
        </w:rPr>
        <w:t xml:space="preserve">, the hospital stay with fatal outcomes in the COVID-19 </w:t>
      </w:r>
      <w:r w:rsidR="00584247" w:rsidRPr="00BD66CE">
        <w:rPr>
          <w:rFonts w:ascii="Verdana" w:hAnsi="Verdana"/>
        </w:rPr>
        <w:t>gates</w:t>
      </w:r>
      <w:r w:rsidR="00AC6AA0" w:rsidRPr="00BD66CE">
        <w:rPr>
          <w:rFonts w:ascii="Verdana" w:hAnsi="Verdana"/>
        </w:rPr>
        <w:t xml:space="preserve"> was </w:t>
      </w:r>
      <w:r w:rsidR="00584247" w:rsidRPr="00BD66CE">
        <w:rPr>
          <w:rFonts w:ascii="Verdana" w:hAnsi="Verdana"/>
        </w:rPr>
        <w:t>remarkab</w:t>
      </w:r>
      <w:r w:rsidR="00AC6AA0" w:rsidRPr="00BD66CE">
        <w:rPr>
          <w:rFonts w:ascii="Verdana" w:hAnsi="Verdana"/>
        </w:rPr>
        <w:t>ly lower in the geriatric population, confirming the correlation of higher age with higher case fatality</w:t>
      </w:r>
      <w:r w:rsidR="001C2A10" w:rsidRPr="00BD66CE">
        <w:rPr>
          <w:rFonts w:ascii="Verdana" w:hAnsi="Verdana"/>
        </w:rPr>
        <w:t xml:space="preserve"> </w:t>
      </w:r>
      <w:r w:rsidR="001C2A10" w:rsidRPr="00BD66CE">
        <w:rPr>
          <w:rFonts w:ascii="Verdana" w:hAnsi="Verdana"/>
          <w:bCs/>
        </w:rPr>
        <w:t>[47,48]</w:t>
      </w:r>
      <w:r w:rsidR="00AC6AA0" w:rsidRPr="00BD66CE">
        <w:rPr>
          <w:rFonts w:ascii="Verdana" w:hAnsi="Verdana"/>
        </w:rPr>
        <w:t xml:space="preserve">. </w:t>
      </w:r>
      <w:r w:rsidR="00A84C3F" w:rsidRPr="00BD66CE">
        <w:rPr>
          <w:rFonts w:ascii="Verdana" w:hAnsi="Verdana"/>
        </w:rPr>
        <w:t>According to</w:t>
      </w:r>
      <w:r w:rsidR="00F66AA8" w:rsidRPr="00BD66CE">
        <w:rPr>
          <w:rFonts w:ascii="Verdana" w:hAnsi="Verdana"/>
        </w:rPr>
        <w:t xml:space="preserve"> Ioannidis and colleagues </w:t>
      </w:r>
      <w:r w:rsidR="001C2A10" w:rsidRPr="00BD66CE">
        <w:rPr>
          <w:rFonts w:ascii="Verdana" w:hAnsi="Verdana"/>
          <w:bCs/>
        </w:rPr>
        <w:t>[49]</w:t>
      </w:r>
      <w:r w:rsidR="00A84C3F" w:rsidRPr="00BD66CE">
        <w:rPr>
          <w:rFonts w:ascii="Verdana" w:hAnsi="Verdana"/>
        </w:rPr>
        <w:t xml:space="preserve"> COVID-19 “had the potential to overwhelm specific hospitals, especially in settings where hospitals run close to maximum capacity even under regular circumstances, and when they serve high</w:t>
      </w:r>
      <w:r w:rsidR="00584247" w:rsidRPr="00BD66CE">
        <w:rPr>
          <w:rFonts w:ascii="Verdana" w:hAnsi="Verdana"/>
        </w:rPr>
        <w:t>-</w:t>
      </w:r>
      <w:r w:rsidR="00A84C3F" w:rsidRPr="00BD66CE">
        <w:rPr>
          <w:rFonts w:ascii="Verdana" w:hAnsi="Verdana"/>
        </w:rPr>
        <w:t>risk populations” (p. 7).</w:t>
      </w:r>
      <w:r w:rsidR="00584247" w:rsidRPr="00BD66CE">
        <w:rPr>
          <w:rFonts w:ascii="Verdana" w:hAnsi="Verdana"/>
        </w:rPr>
        <w:t xml:space="preserve"> </w:t>
      </w:r>
      <w:r w:rsidR="003C5E3D" w:rsidRPr="00BD66CE">
        <w:rPr>
          <w:rFonts w:ascii="Verdana" w:hAnsi="Verdana"/>
        </w:rPr>
        <w:t>The region was susceptible to three waves of SARS-CoV-2 contagion</w:t>
      </w:r>
      <w:r w:rsidR="001C2A10" w:rsidRPr="00BD66CE">
        <w:rPr>
          <w:rFonts w:ascii="Verdana" w:hAnsi="Verdana"/>
        </w:rPr>
        <w:t xml:space="preserve"> </w:t>
      </w:r>
      <w:r w:rsidR="001C2A10" w:rsidRPr="00BD66CE">
        <w:rPr>
          <w:rFonts w:ascii="Verdana" w:hAnsi="Verdana"/>
          <w:bCs/>
        </w:rPr>
        <w:t>[50]</w:t>
      </w:r>
      <w:r w:rsidR="003C5E3D" w:rsidRPr="00BD66CE">
        <w:rPr>
          <w:rFonts w:ascii="Verdana" w:hAnsi="Verdana"/>
        </w:rPr>
        <w:t>. The first one (March to May 2020) was the most moderate, so to speak, in which fewer infections and consequent deaths emerged. The second wave (</w:t>
      </w:r>
      <w:r w:rsidR="006B3CCA" w:rsidRPr="00BD66CE">
        <w:rPr>
          <w:rFonts w:ascii="Verdana" w:hAnsi="Verdana"/>
        </w:rPr>
        <w:t xml:space="preserve">January to </w:t>
      </w:r>
      <w:r w:rsidR="003C5E3D" w:rsidRPr="00BD66CE">
        <w:rPr>
          <w:rFonts w:ascii="Verdana" w:hAnsi="Verdana"/>
        </w:rPr>
        <w:t>February 2021) was the most devastating, concentrating the highest peaks of lethality. The third wave (May to June 2021) kept a significant number of infections yet recorded fewer deaths due to the effect of vaccination campaigns</w:t>
      </w:r>
      <w:r w:rsidR="0042354D" w:rsidRPr="00BD66CE">
        <w:rPr>
          <w:rFonts w:ascii="Verdana" w:hAnsi="Verdana"/>
        </w:rPr>
        <w:t xml:space="preserve"> (Figure 1A; Figure 1B). </w:t>
      </w:r>
    </w:p>
    <w:p w14:paraId="007DBCC1" w14:textId="10D95259" w:rsidR="00223AE7" w:rsidRPr="00BD66CE" w:rsidRDefault="00223AE7" w:rsidP="00223AE7">
      <w:pPr>
        <w:pStyle w:val="MDPI31text"/>
        <w:rPr>
          <w:rFonts w:ascii="Verdana" w:hAnsi="Verdana"/>
        </w:rPr>
      </w:pPr>
    </w:p>
    <w:p w14:paraId="0339C98D" w14:textId="74EAF206" w:rsidR="000B0FA9" w:rsidRPr="00BD66CE" w:rsidRDefault="0034189C" w:rsidP="001C5420">
      <w:pPr>
        <w:pStyle w:val="MDPI31text"/>
        <w:ind w:left="0" w:firstLine="510"/>
        <w:rPr>
          <w:rFonts w:ascii="Verdana" w:hAnsi="Verdana"/>
        </w:rPr>
      </w:pPr>
      <w:r w:rsidRPr="00BD66CE">
        <w:rPr>
          <w:rFonts w:ascii="Verdana" w:hAnsi="Verdana"/>
        </w:rPr>
        <w:t>From March to December 2020, the region recorded 894,192 laboratory-confirmed cases for SARS-CoV-2 and 18,145 fatalities. Thus, during the first pandemic year, the COVID-19 case fatality rate was given at 2.02%. As expected, the second year of the pandemic saw an exponential increase in laboratory-confirmed cases, although the same did not apply to the case fatality rate.</w:t>
      </w:r>
      <w:r w:rsidR="00453C47" w:rsidRPr="00BD66CE">
        <w:rPr>
          <w:rFonts w:ascii="Verdana" w:hAnsi="Verdana"/>
        </w:rPr>
        <w:t xml:space="preserve"> </w:t>
      </w:r>
      <w:r w:rsidRPr="00BD66CE">
        <w:rPr>
          <w:rFonts w:ascii="Verdana" w:hAnsi="Verdana"/>
        </w:rPr>
        <w:t xml:space="preserve">The first half of 2021 ended with 1,957,356 cases and 37,146 deaths. Together, the above figures represented a case fatality rate of 1.89%, demonstrating a gradual trend of negative behavior in this indicator. The region surpassed more than 2,500,000 positive laboratory confirmations by the end of December 2021 (n=2,647,872), with case fatality remaining the same as the value seen in the first six-month cut-off, i.e., 1.89% (with 50,160 deaths). </w:t>
      </w:r>
      <w:r w:rsidR="009A01DA" w:rsidRPr="00BD66CE">
        <w:rPr>
          <w:rFonts w:ascii="Verdana" w:hAnsi="Verdana"/>
        </w:rPr>
        <w:t xml:space="preserve"> </w:t>
      </w:r>
      <w:r w:rsidR="001300DD" w:rsidRPr="00BD66CE">
        <w:rPr>
          <w:rFonts w:ascii="Verdana" w:hAnsi="Verdana"/>
        </w:rPr>
        <w:t xml:space="preserve"> </w:t>
      </w:r>
    </w:p>
    <w:p w14:paraId="4A39E3B4" w14:textId="2B103F20" w:rsidR="00223AE7" w:rsidRPr="00BD66CE" w:rsidRDefault="008B22E3" w:rsidP="000B0FA9">
      <w:pPr>
        <w:pStyle w:val="MDPI31text"/>
        <w:ind w:left="0" w:firstLine="0"/>
        <w:rPr>
          <w:rFonts w:ascii="Verdana" w:hAnsi="Verdana"/>
          <w:sz w:val="18"/>
        </w:rPr>
      </w:pPr>
      <w:r w:rsidRPr="00BD66CE">
        <w:rPr>
          <w:rFonts w:ascii="Verdana" w:hAnsi="Verdana"/>
          <w:noProof/>
          <w:lang w:val="pt-BR" w:eastAsia="pt-BR" w:bidi="ar-SA"/>
        </w:rPr>
        <w:lastRenderedPageBreak/>
        <w:drawing>
          <wp:anchor distT="0" distB="0" distL="114300" distR="114300" simplePos="0" relativeHeight="251659264" behindDoc="0" locked="0" layoutInCell="1" allowOverlap="1" wp14:anchorId="08F4E58C" wp14:editId="187CBF28">
            <wp:simplePos x="0" y="0"/>
            <wp:positionH relativeFrom="margin">
              <wp:align>right</wp:align>
            </wp:positionH>
            <wp:positionV relativeFrom="paragraph">
              <wp:posOffset>144780</wp:posOffset>
            </wp:positionV>
            <wp:extent cx="6831330" cy="4150995"/>
            <wp:effectExtent l="0" t="0" r="7620" b="190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31330" cy="4150995"/>
                    </a:xfrm>
                    <a:prstGeom prst="rect">
                      <a:avLst/>
                    </a:prstGeom>
                  </pic:spPr>
                </pic:pic>
              </a:graphicData>
            </a:graphic>
            <wp14:sizeRelH relativeFrom="page">
              <wp14:pctWidth>0</wp14:pctWidth>
            </wp14:sizeRelH>
            <wp14:sizeRelV relativeFrom="page">
              <wp14:pctHeight>0</wp14:pctHeight>
            </wp14:sizeRelV>
          </wp:anchor>
        </w:drawing>
      </w:r>
    </w:p>
    <w:p w14:paraId="6552E822" w14:textId="15319AE7" w:rsidR="000B0FA9" w:rsidRPr="00BD66CE" w:rsidRDefault="000B0FA9" w:rsidP="000B0FA9">
      <w:pPr>
        <w:pStyle w:val="MDPI31text"/>
        <w:ind w:left="0" w:firstLine="0"/>
        <w:rPr>
          <w:rFonts w:ascii="Verdana" w:hAnsi="Verdana"/>
          <w:szCs w:val="20"/>
        </w:rPr>
      </w:pPr>
      <w:r w:rsidRPr="00BD66CE">
        <w:rPr>
          <w:rFonts w:ascii="Verdana" w:hAnsi="Verdana"/>
          <w:b/>
          <w:szCs w:val="20"/>
        </w:rPr>
        <w:t>Source</w:t>
      </w:r>
      <w:r w:rsidRPr="00BD66CE">
        <w:rPr>
          <w:rFonts w:ascii="Verdana" w:hAnsi="Verdana"/>
          <w:szCs w:val="20"/>
        </w:rPr>
        <w:t xml:space="preserve">: </w:t>
      </w:r>
      <w:r w:rsidR="0090203F" w:rsidRPr="00BD66CE">
        <w:rPr>
          <w:rFonts w:ascii="Verdana" w:hAnsi="Verdana"/>
          <w:szCs w:val="20"/>
        </w:rPr>
        <w:t>E</w:t>
      </w:r>
      <w:r w:rsidRPr="00BD66CE">
        <w:rPr>
          <w:rFonts w:ascii="Verdana" w:hAnsi="Verdana"/>
          <w:szCs w:val="20"/>
        </w:rPr>
        <w:t xml:space="preserve">laborated by the authors based on </w:t>
      </w:r>
      <w:r w:rsidR="007A0C00" w:rsidRPr="00BD66CE">
        <w:rPr>
          <w:rFonts w:ascii="Verdana" w:hAnsi="Verdana"/>
          <w:szCs w:val="20"/>
        </w:rPr>
        <w:t>PAHO/</w:t>
      </w:r>
      <w:r w:rsidRPr="00BD66CE">
        <w:rPr>
          <w:rFonts w:ascii="Verdana" w:hAnsi="Verdana"/>
          <w:szCs w:val="20"/>
        </w:rPr>
        <w:t>WHO</w:t>
      </w:r>
      <w:r w:rsidRPr="00BD66CE">
        <w:rPr>
          <w:rFonts w:ascii="Verdana" w:hAnsi="Verdana"/>
          <w:bCs/>
          <w:szCs w:val="20"/>
        </w:rPr>
        <w:t>'</w:t>
      </w:r>
      <w:r w:rsidRPr="00BD66CE">
        <w:rPr>
          <w:rFonts w:ascii="Verdana" w:hAnsi="Verdana"/>
          <w:szCs w:val="20"/>
        </w:rPr>
        <w:t xml:space="preserve">s </w:t>
      </w:r>
      <w:r w:rsidR="007A0C00" w:rsidRPr="00BD66CE">
        <w:rPr>
          <w:rFonts w:ascii="Verdana" w:hAnsi="Verdana"/>
          <w:szCs w:val="20"/>
        </w:rPr>
        <w:t>Geo-Hub COVID-19: Central America Situation</w:t>
      </w:r>
      <w:r w:rsidR="0034189C" w:rsidRPr="00BD66CE">
        <w:rPr>
          <w:rFonts w:ascii="Verdana" w:hAnsi="Verdana"/>
          <w:szCs w:val="20"/>
        </w:rPr>
        <w:t xml:space="preserve"> [34]. </w:t>
      </w:r>
      <w:r w:rsidRPr="00BD66CE">
        <w:rPr>
          <w:rFonts w:ascii="Verdana" w:hAnsi="Verdana"/>
          <w:szCs w:val="20"/>
        </w:rPr>
        <w:t xml:space="preserve"> </w:t>
      </w:r>
    </w:p>
    <w:p w14:paraId="1E7F1A22" w14:textId="041736D1" w:rsidR="00EE1C18" w:rsidRPr="00BD66CE" w:rsidRDefault="00EE1C18" w:rsidP="00223AE7">
      <w:pPr>
        <w:pStyle w:val="MDPI31text"/>
        <w:ind w:left="0" w:firstLine="0"/>
        <w:rPr>
          <w:rFonts w:ascii="Verdana" w:hAnsi="Verdana"/>
        </w:rPr>
      </w:pPr>
    </w:p>
    <w:p w14:paraId="7CEB70A3" w14:textId="77777777" w:rsidR="00823249" w:rsidRPr="00BD66CE" w:rsidRDefault="00823249" w:rsidP="000F0952">
      <w:pPr>
        <w:pStyle w:val="MDPI31text"/>
        <w:rPr>
          <w:rFonts w:ascii="Verdana" w:hAnsi="Verdana"/>
        </w:rPr>
      </w:pPr>
    </w:p>
    <w:p w14:paraId="381811C7" w14:textId="59038697" w:rsidR="00257752" w:rsidRPr="00BD66CE" w:rsidRDefault="00F71445" w:rsidP="001C5420">
      <w:pPr>
        <w:pStyle w:val="MDPI31text"/>
        <w:ind w:left="0" w:firstLine="510"/>
        <w:rPr>
          <w:rFonts w:ascii="Verdana" w:hAnsi="Verdana"/>
        </w:rPr>
      </w:pPr>
      <w:r w:rsidRPr="00BD66CE">
        <w:rPr>
          <w:rFonts w:ascii="Verdana" w:hAnsi="Verdana"/>
        </w:rPr>
        <w:t>Genetic variations</w:t>
      </w:r>
      <w:r w:rsidR="00F42356" w:rsidRPr="00BD66CE">
        <w:rPr>
          <w:rFonts w:ascii="Verdana" w:hAnsi="Verdana"/>
        </w:rPr>
        <w:t xml:space="preserve"> of the virus also </w:t>
      </w:r>
      <w:r w:rsidR="00CA6DA6" w:rsidRPr="00BD66CE">
        <w:rPr>
          <w:rFonts w:ascii="Verdana" w:hAnsi="Verdana"/>
        </w:rPr>
        <w:t>appeared</w:t>
      </w:r>
      <w:r w:rsidR="00F42356" w:rsidRPr="00BD66CE">
        <w:rPr>
          <w:rFonts w:ascii="Verdana" w:hAnsi="Verdana"/>
        </w:rPr>
        <w:t xml:space="preserve"> in Central American </w:t>
      </w:r>
      <w:r w:rsidR="004F18D2" w:rsidRPr="00BD66CE">
        <w:rPr>
          <w:rFonts w:ascii="Verdana" w:hAnsi="Verdana"/>
        </w:rPr>
        <w:t>territories</w:t>
      </w:r>
      <w:r w:rsidR="00453C47" w:rsidRPr="00BD66CE">
        <w:rPr>
          <w:rFonts w:ascii="Verdana" w:hAnsi="Verdana"/>
        </w:rPr>
        <w:t xml:space="preserve">, </w:t>
      </w:r>
      <w:r w:rsidR="00F42356" w:rsidRPr="00BD66CE">
        <w:rPr>
          <w:rFonts w:ascii="Verdana" w:hAnsi="Verdana"/>
        </w:rPr>
        <w:t>corroborat</w:t>
      </w:r>
      <w:r w:rsidR="00453C47" w:rsidRPr="00BD66CE">
        <w:rPr>
          <w:rFonts w:ascii="Verdana" w:hAnsi="Verdana"/>
        </w:rPr>
        <w:t>ing</w:t>
      </w:r>
      <w:r w:rsidR="00F42356" w:rsidRPr="00BD66CE">
        <w:rPr>
          <w:rFonts w:ascii="Verdana" w:hAnsi="Verdana"/>
        </w:rPr>
        <w:t xml:space="preserve"> the epidemiological </w:t>
      </w:r>
      <w:r w:rsidR="00A300C9" w:rsidRPr="00BD66CE">
        <w:rPr>
          <w:rFonts w:ascii="Verdana" w:hAnsi="Verdana"/>
        </w:rPr>
        <w:t>scenario</w:t>
      </w:r>
      <w:r w:rsidR="00F42356" w:rsidRPr="00BD66CE">
        <w:rPr>
          <w:rFonts w:ascii="Verdana" w:hAnsi="Verdana"/>
        </w:rPr>
        <w:t xml:space="preserve"> of SARS-CoV-2 in the global </w:t>
      </w:r>
      <w:r w:rsidR="00DC1FC4" w:rsidRPr="00BD66CE">
        <w:rPr>
          <w:rFonts w:ascii="Verdana" w:hAnsi="Verdana"/>
        </w:rPr>
        <w:t>trend</w:t>
      </w:r>
      <w:r w:rsidR="00453C47" w:rsidRPr="00BD66CE">
        <w:rPr>
          <w:rFonts w:ascii="Verdana" w:hAnsi="Verdana"/>
        </w:rPr>
        <w:t xml:space="preserve"> [51]</w:t>
      </w:r>
      <w:r w:rsidR="00F42356" w:rsidRPr="00BD66CE">
        <w:rPr>
          <w:rFonts w:ascii="Verdana" w:hAnsi="Verdana"/>
        </w:rPr>
        <w:t>. The concern was that more rapid and silent mutations could emerge</w:t>
      </w:r>
      <w:r w:rsidR="0010079C" w:rsidRPr="00BD66CE">
        <w:rPr>
          <w:rFonts w:ascii="Verdana" w:hAnsi="Verdana"/>
        </w:rPr>
        <w:t xml:space="preserve">, as seen with </w:t>
      </w:r>
      <w:r w:rsidR="00027C12" w:rsidRPr="00BD66CE">
        <w:rPr>
          <w:rFonts w:ascii="Verdana" w:hAnsi="Verdana"/>
        </w:rPr>
        <w:t xml:space="preserve">Alpha, Beta, Delta, Gamma, and </w:t>
      </w:r>
      <w:r w:rsidR="0010079C" w:rsidRPr="00BD66CE">
        <w:rPr>
          <w:rFonts w:ascii="Verdana" w:hAnsi="Verdana"/>
        </w:rPr>
        <w:t>Omicron</w:t>
      </w:r>
      <w:r w:rsidR="000A58EA" w:rsidRPr="00BD66CE">
        <w:rPr>
          <w:rFonts w:ascii="Verdana" w:hAnsi="Verdana"/>
        </w:rPr>
        <w:t xml:space="preserve"> [52]</w:t>
      </w:r>
      <w:r w:rsidR="00F42356" w:rsidRPr="00BD66CE">
        <w:rPr>
          <w:rFonts w:ascii="Verdana" w:hAnsi="Verdana"/>
        </w:rPr>
        <w:t xml:space="preserve">. </w:t>
      </w:r>
      <w:r w:rsidR="00DC1FC4" w:rsidRPr="00BD66CE">
        <w:rPr>
          <w:rFonts w:ascii="Verdana" w:hAnsi="Verdana"/>
        </w:rPr>
        <w:t>Therein</w:t>
      </w:r>
      <w:r w:rsidR="00F42356" w:rsidRPr="00BD66CE">
        <w:rPr>
          <w:rFonts w:ascii="Verdana" w:hAnsi="Verdana"/>
        </w:rPr>
        <w:t xml:space="preserve"> would be a geriatric-gerontological </w:t>
      </w:r>
      <w:r w:rsidR="0010079C" w:rsidRPr="00BD66CE">
        <w:rPr>
          <w:rFonts w:ascii="Verdana" w:hAnsi="Verdana"/>
        </w:rPr>
        <w:t xml:space="preserve">and thus a public health </w:t>
      </w:r>
      <w:r w:rsidR="00F42356" w:rsidRPr="00BD66CE">
        <w:rPr>
          <w:rFonts w:ascii="Verdana" w:hAnsi="Verdana"/>
        </w:rPr>
        <w:t xml:space="preserve">challenge since it would make it difficult to work with molecular targets for vaccines and drugs </w:t>
      </w:r>
      <w:r w:rsidR="00CA6DA6" w:rsidRPr="00BD66CE">
        <w:rPr>
          <w:rFonts w:ascii="Verdana" w:hAnsi="Verdana"/>
        </w:rPr>
        <w:t>to be delivered to</w:t>
      </w:r>
      <w:r w:rsidR="00F42356" w:rsidRPr="00BD66CE">
        <w:rPr>
          <w:rFonts w:ascii="Verdana" w:hAnsi="Verdana"/>
        </w:rPr>
        <w:t xml:space="preserve"> older adults</w:t>
      </w:r>
      <w:r w:rsidR="007C762D" w:rsidRPr="00BD66CE">
        <w:rPr>
          <w:rFonts w:ascii="Verdana" w:hAnsi="Verdana"/>
        </w:rPr>
        <w:t xml:space="preserve"> </w:t>
      </w:r>
      <w:r w:rsidR="000A58EA" w:rsidRPr="00BD66CE">
        <w:rPr>
          <w:rFonts w:ascii="Verdana" w:hAnsi="Verdana"/>
        </w:rPr>
        <w:t>[53]</w:t>
      </w:r>
      <w:r w:rsidR="007C762D" w:rsidRPr="00BD66CE">
        <w:rPr>
          <w:rFonts w:ascii="Verdana" w:hAnsi="Verdana"/>
        </w:rPr>
        <w:t>.</w:t>
      </w:r>
      <w:r w:rsidR="00934052" w:rsidRPr="00BD66CE">
        <w:rPr>
          <w:rFonts w:ascii="Verdana" w:hAnsi="Verdana"/>
        </w:rPr>
        <w:t xml:space="preserve"> </w:t>
      </w:r>
      <w:r w:rsidR="00123E14" w:rsidRPr="00BD66CE">
        <w:rPr>
          <w:rFonts w:ascii="Verdana" w:hAnsi="Verdana"/>
        </w:rPr>
        <w:t>According to the</w:t>
      </w:r>
      <w:r w:rsidR="001C6DBB" w:rsidRPr="00BD66CE">
        <w:rPr>
          <w:rFonts w:ascii="Verdana" w:hAnsi="Verdana"/>
        </w:rPr>
        <w:t xml:space="preserve"> WHO</w:t>
      </w:r>
      <w:r w:rsidR="001C6DBB" w:rsidRPr="00BD66CE">
        <w:rPr>
          <w:rFonts w:ascii="Verdana" w:hAnsi="Verdana"/>
          <w:bCs/>
        </w:rPr>
        <w:t>'</w:t>
      </w:r>
      <w:r w:rsidR="001C6DBB" w:rsidRPr="00BD66CE">
        <w:rPr>
          <w:rFonts w:ascii="Verdana" w:hAnsi="Verdana"/>
        </w:rPr>
        <w:t>s</w:t>
      </w:r>
      <w:r w:rsidR="00123E14" w:rsidRPr="00BD66CE">
        <w:rPr>
          <w:rFonts w:ascii="Verdana" w:hAnsi="Verdana"/>
        </w:rPr>
        <w:t xml:space="preserve"> 71st Epidemiological Bulleti</w:t>
      </w:r>
      <w:r w:rsidR="001C6DBB" w:rsidRPr="00BD66CE">
        <w:rPr>
          <w:rFonts w:ascii="Verdana" w:hAnsi="Verdana"/>
        </w:rPr>
        <w:t>n (December 21</w:t>
      </w:r>
      <w:r w:rsidR="00395C7D" w:rsidRPr="00BD66CE">
        <w:rPr>
          <w:rFonts w:ascii="Verdana" w:hAnsi="Verdana"/>
        </w:rPr>
        <w:t>st</w:t>
      </w:r>
      <w:r w:rsidR="001C6DBB" w:rsidRPr="00BD66CE">
        <w:rPr>
          <w:rFonts w:ascii="Verdana" w:hAnsi="Verdana"/>
        </w:rPr>
        <w:t>, 2021)</w:t>
      </w:r>
      <w:r w:rsidR="00123E14" w:rsidRPr="00BD66CE">
        <w:rPr>
          <w:rFonts w:ascii="Verdana" w:hAnsi="Verdana"/>
        </w:rPr>
        <w:t xml:space="preserve">, Central America </w:t>
      </w:r>
      <w:r w:rsidR="00395C7D" w:rsidRPr="00BD66CE">
        <w:rPr>
          <w:rFonts w:ascii="Verdana" w:hAnsi="Verdana"/>
        </w:rPr>
        <w:t xml:space="preserve">had </w:t>
      </w:r>
      <w:r w:rsidR="00123E14" w:rsidRPr="00BD66CE">
        <w:rPr>
          <w:rFonts w:ascii="Verdana" w:hAnsi="Verdana"/>
        </w:rPr>
        <w:t>registered Alpha, Beta, Delta, and Gamma variations in six countries, Panama being the only one to detect the Omicron variation in ad</w:t>
      </w:r>
      <w:r w:rsidR="008D49AF" w:rsidRPr="00BD66CE">
        <w:rPr>
          <w:rFonts w:ascii="Verdana" w:hAnsi="Verdana"/>
        </w:rPr>
        <w:t xml:space="preserve">dition to those mentioned above </w:t>
      </w:r>
      <w:r w:rsidR="000A58EA" w:rsidRPr="00BD66CE">
        <w:rPr>
          <w:rFonts w:ascii="Verdana" w:hAnsi="Verdana"/>
        </w:rPr>
        <w:t>[54]</w:t>
      </w:r>
      <w:r w:rsidR="008D49AF" w:rsidRPr="00BD66CE">
        <w:rPr>
          <w:rFonts w:ascii="Verdana" w:hAnsi="Verdana"/>
        </w:rPr>
        <w:t>.</w:t>
      </w:r>
      <w:r w:rsidRPr="00BD66CE">
        <w:rPr>
          <w:rFonts w:ascii="Verdana" w:hAnsi="Verdana"/>
        </w:rPr>
        <w:t xml:space="preserve"> </w:t>
      </w:r>
    </w:p>
    <w:p w14:paraId="774F2E76" w14:textId="77777777" w:rsidR="001C5420" w:rsidRPr="00BD66CE" w:rsidRDefault="001C5420" w:rsidP="001C5420">
      <w:pPr>
        <w:pStyle w:val="MDPI31text"/>
        <w:ind w:left="0" w:firstLine="510"/>
        <w:rPr>
          <w:rFonts w:ascii="Verdana" w:hAnsi="Verdana"/>
        </w:rPr>
      </w:pPr>
    </w:p>
    <w:p w14:paraId="3C74096B" w14:textId="1A439EC7" w:rsidR="001647DF" w:rsidRPr="00BD66CE" w:rsidRDefault="00D241FF" w:rsidP="001C5420">
      <w:pPr>
        <w:pStyle w:val="MDPI31text"/>
        <w:ind w:left="0" w:firstLine="510"/>
        <w:rPr>
          <w:rFonts w:ascii="Verdana" w:hAnsi="Verdana"/>
        </w:rPr>
      </w:pPr>
      <w:r w:rsidRPr="00BD66CE">
        <w:rPr>
          <w:rFonts w:ascii="Verdana" w:hAnsi="Verdana"/>
        </w:rPr>
        <w:t xml:space="preserve">Vaccination strategies were developed in different ways by the health authorities of each country, but all placed older adults into the priority groups. The availability of pharmacological treatment via attenuated vaccine rekindled people's hopes of finding a more effective solution to the high rate of contagion seen in 2021. However, the countries did not have the same interests or possibilities in acquiring vaccines. For instance, Costa Rica was the first Central American country and one of the first three in Latin America to release the vaccination, including frontline healthcare professionals as recipients of the first batches, followed by the oldest elders, on December 24, 2020 [55]. </w:t>
      </w:r>
      <w:r w:rsidR="002D7E61" w:rsidRPr="00BD66CE">
        <w:rPr>
          <w:rFonts w:ascii="Verdana" w:hAnsi="Verdana"/>
        </w:rPr>
        <w:t xml:space="preserve">Panama started its vaccination schedule on January 20, 2021. The other countries took two months to make the </w:t>
      </w:r>
      <w:r w:rsidR="00C93573" w:rsidRPr="00BD66CE">
        <w:rPr>
          <w:rFonts w:ascii="Verdana" w:hAnsi="Verdana"/>
        </w:rPr>
        <w:t>vaccines</w:t>
      </w:r>
      <w:r w:rsidR="002D7E61" w:rsidRPr="00BD66CE">
        <w:rPr>
          <w:rFonts w:ascii="Verdana" w:hAnsi="Verdana"/>
        </w:rPr>
        <w:t xml:space="preserve"> available to the elderly population: El Salvador (February 17, 2021), Nicaragua (February 23, 2021), Belize (February 24, 2021), Honduras, and Guatemala (February 25, 2021).</w:t>
      </w:r>
      <w:r w:rsidR="00C93573" w:rsidRPr="00BD66CE">
        <w:rPr>
          <w:rFonts w:ascii="Verdana" w:hAnsi="Verdana"/>
        </w:rPr>
        <w:t xml:space="preserve"> </w:t>
      </w:r>
    </w:p>
    <w:p w14:paraId="7848E0DF" w14:textId="77777777" w:rsidR="001C5420" w:rsidRPr="00BD66CE" w:rsidRDefault="001C5420" w:rsidP="001C5420">
      <w:pPr>
        <w:pStyle w:val="MDPI31text"/>
        <w:ind w:left="0" w:firstLine="510"/>
        <w:rPr>
          <w:rFonts w:ascii="Verdana" w:hAnsi="Verdana"/>
        </w:rPr>
      </w:pPr>
    </w:p>
    <w:p w14:paraId="539F6BE3" w14:textId="74FBBB2F" w:rsidR="003535E3" w:rsidRPr="00BD66CE" w:rsidRDefault="00285F9A" w:rsidP="001C5420">
      <w:pPr>
        <w:pStyle w:val="MDPI31text"/>
        <w:ind w:left="0" w:firstLine="510"/>
        <w:rPr>
          <w:rFonts w:ascii="Verdana" w:hAnsi="Verdana"/>
        </w:rPr>
      </w:pPr>
      <w:r w:rsidRPr="00BD66CE">
        <w:rPr>
          <w:rFonts w:ascii="Verdana" w:hAnsi="Verdana"/>
        </w:rPr>
        <w:t>U</w:t>
      </w:r>
      <w:r w:rsidR="00D241FF" w:rsidRPr="00BD66CE">
        <w:rPr>
          <w:rFonts w:ascii="Verdana" w:hAnsi="Verdana"/>
        </w:rPr>
        <w:t xml:space="preserve">ntil June 2021, the rate of vaccines </w:t>
      </w:r>
      <w:r w:rsidR="00CF5459" w:rsidRPr="00BD66CE">
        <w:rPr>
          <w:rFonts w:ascii="Verdana" w:hAnsi="Verdana"/>
        </w:rPr>
        <w:t xml:space="preserve">acquisition </w:t>
      </w:r>
      <w:r w:rsidR="00D241FF" w:rsidRPr="00BD66CE">
        <w:rPr>
          <w:rFonts w:ascii="Verdana" w:hAnsi="Verdana"/>
        </w:rPr>
        <w:t>against COVID-19 oscillated abysmally among countries. Panama led with 105.3%, followed by Costa Rica with 49.8%. In the case of El Salvador and Honduras, the countries</w:t>
      </w:r>
      <w:r w:rsidR="00AF54E9" w:rsidRPr="00BD66CE">
        <w:rPr>
          <w:rFonts w:ascii="Verdana" w:hAnsi="Verdana"/>
        </w:rPr>
        <w:t xml:space="preserve"> even</w:t>
      </w:r>
      <w:r w:rsidR="00D241FF" w:rsidRPr="00BD66CE">
        <w:rPr>
          <w:rFonts w:ascii="Verdana" w:hAnsi="Verdana"/>
        </w:rPr>
        <w:t xml:space="preserve"> failed to reserve 15%. These values represent the percentage of vaccines requested concerning the total of their population. Nicaragua and Guatemala did not publish statistics on their vaccination schedules during the first months</w:t>
      </w:r>
      <w:r w:rsidRPr="00BD66CE">
        <w:rPr>
          <w:rFonts w:ascii="Verdana" w:hAnsi="Verdana"/>
        </w:rPr>
        <w:t xml:space="preserve"> [56]</w:t>
      </w:r>
      <w:r w:rsidR="00D241FF" w:rsidRPr="00BD66CE">
        <w:rPr>
          <w:rFonts w:ascii="Verdana" w:hAnsi="Verdana"/>
        </w:rPr>
        <w:t>. By November 2021, Nicaragua</w:t>
      </w:r>
      <w:r w:rsidR="00756FAE" w:rsidRPr="00BD66CE">
        <w:rPr>
          <w:rFonts w:ascii="Verdana" w:hAnsi="Verdana"/>
        </w:rPr>
        <w:t xml:space="preserve"> (8.9%)</w:t>
      </w:r>
      <w:r w:rsidR="00D241FF" w:rsidRPr="00BD66CE">
        <w:rPr>
          <w:rFonts w:ascii="Verdana" w:hAnsi="Verdana"/>
        </w:rPr>
        <w:t xml:space="preserve">, </w:t>
      </w:r>
      <w:r w:rsidR="00D241FF" w:rsidRPr="00BD66CE">
        <w:rPr>
          <w:rFonts w:ascii="Verdana" w:hAnsi="Verdana"/>
        </w:rPr>
        <w:lastRenderedPageBreak/>
        <w:t>Guatemala</w:t>
      </w:r>
      <w:r w:rsidR="00756FAE" w:rsidRPr="00BD66CE">
        <w:rPr>
          <w:rFonts w:ascii="Verdana" w:hAnsi="Verdana"/>
        </w:rPr>
        <w:t xml:space="preserve"> (19%)</w:t>
      </w:r>
      <w:r w:rsidR="00D241FF" w:rsidRPr="00BD66CE">
        <w:rPr>
          <w:rFonts w:ascii="Verdana" w:hAnsi="Verdana"/>
        </w:rPr>
        <w:t>, and Honduras</w:t>
      </w:r>
      <w:r w:rsidR="00756FAE" w:rsidRPr="00BD66CE">
        <w:rPr>
          <w:rFonts w:ascii="Verdana" w:hAnsi="Verdana"/>
        </w:rPr>
        <w:t xml:space="preserve"> (34.4%)</w:t>
      </w:r>
      <w:r w:rsidR="00D241FF" w:rsidRPr="00BD66CE">
        <w:rPr>
          <w:rFonts w:ascii="Verdana" w:hAnsi="Verdana"/>
        </w:rPr>
        <w:t xml:space="preserve"> had reached less than 50% population coverage with two doses. The rest of the countries already had values that exceeded half of their populations [57].</w:t>
      </w:r>
      <w:r w:rsidR="00AF7A5F" w:rsidRPr="00BD66CE">
        <w:rPr>
          <w:rFonts w:ascii="Verdana" w:hAnsi="Verdana"/>
        </w:rPr>
        <w:t xml:space="preserve"> </w:t>
      </w:r>
    </w:p>
    <w:p w14:paraId="7C9FDE78" w14:textId="6682E7EC" w:rsidR="00734494" w:rsidRPr="00BD66CE" w:rsidRDefault="00734494" w:rsidP="00734494">
      <w:pPr>
        <w:pStyle w:val="MDPI31text"/>
        <w:rPr>
          <w:rFonts w:ascii="Verdana" w:hAnsi="Verdana"/>
        </w:rPr>
      </w:pPr>
    </w:p>
    <w:p w14:paraId="3E3A5C8E" w14:textId="716A3D77" w:rsidR="001647DF" w:rsidRPr="00BD66CE" w:rsidRDefault="00351F49" w:rsidP="001C5420">
      <w:pPr>
        <w:pStyle w:val="MDPI31text"/>
        <w:ind w:left="0" w:firstLine="510"/>
        <w:rPr>
          <w:rFonts w:ascii="Verdana" w:hAnsi="Verdana"/>
        </w:rPr>
      </w:pPr>
      <w:r w:rsidRPr="00BD66CE">
        <w:rPr>
          <w:rFonts w:ascii="Verdana" w:hAnsi="Verdana"/>
        </w:rPr>
        <w:t xml:space="preserve">The restrictive approach to combat contagion in public spaces was not synergistic among Central American countries, as each opted to apply varying degrees of restriction in their territories </w:t>
      </w:r>
      <w:r w:rsidR="008C74A6" w:rsidRPr="00BD66CE">
        <w:rPr>
          <w:rFonts w:ascii="Verdana" w:hAnsi="Verdana"/>
        </w:rPr>
        <w:t>[58]</w:t>
      </w:r>
      <w:r w:rsidRPr="00BD66CE">
        <w:rPr>
          <w:rFonts w:ascii="Verdana" w:hAnsi="Verdana"/>
        </w:rPr>
        <w:t>. We found that Panama, Costa Rica, and Honduras were more restrictive than their peers during the first half of 2020, although more flexible during the second semester. On the other hand, Guatemala, El Salvador, and Belize needed to be more drastic and had to limit movement and trade for longer</w:t>
      </w:r>
      <w:r w:rsidR="00C93573" w:rsidRPr="00BD66CE">
        <w:rPr>
          <w:rFonts w:ascii="Verdana" w:hAnsi="Verdana"/>
        </w:rPr>
        <w:t xml:space="preserve"> during mid-2020</w:t>
      </w:r>
      <w:r w:rsidRPr="00BD66CE">
        <w:rPr>
          <w:rFonts w:ascii="Verdana" w:hAnsi="Verdana"/>
        </w:rPr>
        <w:t xml:space="preserve">. Nicaragua presented statistical oscillation in the reports sent to WHO, so we could not define the final values. </w:t>
      </w:r>
    </w:p>
    <w:p w14:paraId="479C2462" w14:textId="77777777" w:rsidR="001C5420" w:rsidRPr="00BD66CE" w:rsidRDefault="001C5420" w:rsidP="001C5420">
      <w:pPr>
        <w:pStyle w:val="MDPI31text"/>
        <w:ind w:left="0" w:firstLine="0"/>
        <w:rPr>
          <w:rFonts w:ascii="Verdana" w:hAnsi="Verdana"/>
        </w:rPr>
      </w:pPr>
    </w:p>
    <w:p w14:paraId="3D34FFB1" w14:textId="70174417" w:rsidR="006D5E16" w:rsidRPr="00BD66CE" w:rsidRDefault="009F416A" w:rsidP="001C5420">
      <w:pPr>
        <w:pStyle w:val="MDPI31text"/>
        <w:ind w:left="0" w:firstLine="510"/>
        <w:rPr>
          <w:rFonts w:ascii="Verdana" w:hAnsi="Verdana"/>
        </w:rPr>
      </w:pPr>
      <w:r w:rsidRPr="00BD66CE">
        <w:rPr>
          <w:rFonts w:ascii="Verdana" w:hAnsi="Verdana"/>
        </w:rPr>
        <w:t xml:space="preserve">As expected, </w:t>
      </w:r>
      <w:r w:rsidR="001061BF" w:rsidRPr="00BD66CE">
        <w:rPr>
          <w:rFonts w:ascii="Verdana" w:hAnsi="Verdana"/>
        </w:rPr>
        <w:t>higher</w:t>
      </w:r>
      <w:r w:rsidRPr="00BD66CE">
        <w:rPr>
          <w:rFonts w:ascii="Verdana" w:hAnsi="Verdana"/>
        </w:rPr>
        <w:t xml:space="preserve"> PHSM severity indexes were seen </w:t>
      </w:r>
      <w:r w:rsidR="00C93573" w:rsidRPr="00BD66CE">
        <w:rPr>
          <w:rFonts w:ascii="Verdana" w:hAnsi="Verdana"/>
        </w:rPr>
        <w:t xml:space="preserve">in all countries </w:t>
      </w:r>
      <w:r w:rsidRPr="00BD66CE">
        <w:rPr>
          <w:rFonts w:ascii="Verdana" w:hAnsi="Verdana"/>
        </w:rPr>
        <w:t xml:space="preserve">during the first six months of the pandemic, a period in which there was less clinical-epidemiological knowledge of the disease, which limited the functioning of other public areas, such as education, </w:t>
      </w:r>
      <w:r w:rsidR="00C93573" w:rsidRPr="00BD66CE">
        <w:rPr>
          <w:rFonts w:ascii="Verdana" w:hAnsi="Verdana"/>
        </w:rPr>
        <w:t>trade</w:t>
      </w:r>
      <w:r w:rsidRPr="00BD66CE">
        <w:rPr>
          <w:rFonts w:ascii="Verdana" w:hAnsi="Verdana"/>
        </w:rPr>
        <w:t>, and transportation</w:t>
      </w:r>
      <w:r w:rsidR="001647DF" w:rsidRPr="00BD66CE">
        <w:rPr>
          <w:rFonts w:ascii="Verdana" w:hAnsi="Verdana"/>
        </w:rPr>
        <w:t xml:space="preserve"> (See Figure 2A)</w:t>
      </w:r>
      <w:r w:rsidRPr="00BD66CE">
        <w:rPr>
          <w:rFonts w:ascii="Verdana" w:hAnsi="Verdana"/>
        </w:rPr>
        <w:t xml:space="preserve">. The decree of more severe restrictions was directly related to the peaks of contagion and mortality, which indicates that the countries decided to act in accordance with the epidemiological behavior of the </w:t>
      </w:r>
      <w:r w:rsidR="001061BF" w:rsidRPr="00BD66CE">
        <w:rPr>
          <w:rFonts w:ascii="Verdana" w:hAnsi="Verdana"/>
        </w:rPr>
        <w:t>virus</w:t>
      </w:r>
      <w:r w:rsidRPr="00BD66CE">
        <w:rPr>
          <w:rFonts w:ascii="Verdana" w:hAnsi="Verdana"/>
        </w:rPr>
        <w:t xml:space="preserve">. </w:t>
      </w:r>
      <w:r w:rsidR="001061BF" w:rsidRPr="00BD66CE">
        <w:rPr>
          <w:rFonts w:ascii="Verdana" w:hAnsi="Verdana"/>
        </w:rPr>
        <w:t xml:space="preserve">During 2021, the measures began to gradually disregard </w:t>
      </w:r>
      <w:r w:rsidR="000544EB" w:rsidRPr="00BD66CE">
        <w:rPr>
          <w:rFonts w:ascii="Verdana" w:hAnsi="Verdana"/>
        </w:rPr>
        <w:t xml:space="preserve">by the end of the year, </w:t>
      </w:r>
      <w:r w:rsidR="001061BF" w:rsidRPr="00BD66CE">
        <w:rPr>
          <w:rFonts w:ascii="Verdana" w:hAnsi="Verdana"/>
        </w:rPr>
        <w:t>in view of the declines in mortality and infection rates related to the increase in the population's vaccination coverage rate</w:t>
      </w:r>
      <w:r w:rsidR="00D43EEB" w:rsidRPr="00BD66CE">
        <w:rPr>
          <w:rFonts w:ascii="Verdana" w:hAnsi="Verdana"/>
        </w:rPr>
        <w:t xml:space="preserve"> (See Figure 2B). </w:t>
      </w:r>
    </w:p>
    <w:p w14:paraId="78B18110" w14:textId="645D1E5B" w:rsidR="00351F49" w:rsidRPr="00BD66CE" w:rsidRDefault="00351F49" w:rsidP="00351F49">
      <w:pPr>
        <w:pStyle w:val="MDPI31text"/>
        <w:ind w:left="0" w:firstLine="0"/>
        <w:rPr>
          <w:rFonts w:ascii="Verdana" w:hAnsi="Verdana"/>
        </w:rPr>
      </w:pPr>
    </w:p>
    <w:p w14:paraId="6B9634D5" w14:textId="77777777" w:rsidR="000544EB" w:rsidRPr="00BD66CE" w:rsidRDefault="000544EB" w:rsidP="001C5420">
      <w:pPr>
        <w:pStyle w:val="MDPI31text"/>
        <w:ind w:left="0" w:firstLine="0"/>
        <w:rPr>
          <w:rFonts w:ascii="Verdana" w:hAnsi="Verdana"/>
          <w:i/>
        </w:rPr>
      </w:pPr>
      <w:r w:rsidRPr="00BD66CE">
        <w:rPr>
          <w:rFonts w:ascii="Verdana" w:hAnsi="Verdana"/>
          <w:i/>
        </w:rPr>
        <w:t xml:space="preserve">3.2. Legal-health framework for a regional approach to the pandemic </w:t>
      </w:r>
    </w:p>
    <w:p w14:paraId="6918D3EC" w14:textId="77777777" w:rsidR="00126AC6" w:rsidRPr="00BD66CE" w:rsidRDefault="00126AC6" w:rsidP="00126AC6">
      <w:pPr>
        <w:pStyle w:val="MDPI31text"/>
        <w:ind w:firstLine="452"/>
        <w:rPr>
          <w:rFonts w:ascii="Verdana" w:hAnsi="Verdana"/>
          <w:i/>
        </w:rPr>
      </w:pPr>
    </w:p>
    <w:p w14:paraId="40B06BB2" w14:textId="28EB0B36" w:rsidR="00912710" w:rsidRPr="00BD66CE" w:rsidRDefault="00167B23" w:rsidP="001C5420">
      <w:pPr>
        <w:pStyle w:val="MDPI31text"/>
        <w:ind w:left="0" w:firstLine="510"/>
        <w:rPr>
          <w:rFonts w:ascii="Verdana" w:hAnsi="Verdana"/>
        </w:rPr>
      </w:pPr>
      <w:r w:rsidRPr="00BD66CE">
        <w:rPr>
          <w:rFonts w:ascii="Verdana" w:hAnsi="Verdana"/>
        </w:rPr>
        <w:t xml:space="preserve">Concerning the national </w:t>
      </w:r>
      <w:r w:rsidR="007A1FE8" w:rsidRPr="00BD66CE">
        <w:rPr>
          <w:rFonts w:ascii="Verdana" w:hAnsi="Verdana"/>
        </w:rPr>
        <w:t xml:space="preserve">(n= 11) </w:t>
      </w:r>
      <w:r w:rsidRPr="00BD66CE">
        <w:rPr>
          <w:rFonts w:ascii="Verdana" w:hAnsi="Verdana"/>
        </w:rPr>
        <w:t>and regional</w:t>
      </w:r>
      <w:r w:rsidR="007A1FE8" w:rsidRPr="00BD66CE">
        <w:rPr>
          <w:rFonts w:ascii="Verdana" w:hAnsi="Verdana"/>
        </w:rPr>
        <w:t xml:space="preserve"> (n= 9)</w:t>
      </w:r>
      <w:r w:rsidRPr="00BD66CE">
        <w:rPr>
          <w:rFonts w:ascii="Verdana" w:hAnsi="Verdana"/>
        </w:rPr>
        <w:t xml:space="preserve"> </w:t>
      </w:r>
      <w:r w:rsidR="005F56A1" w:rsidRPr="00BD66CE">
        <w:rPr>
          <w:rFonts w:ascii="Verdana" w:hAnsi="Verdana"/>
        </w:rPr>
        <w:t>lawmaking</w:t>
      </w:r>
      <w:r w:rsidRPr="00BD66CE">
        <w:rPr>
          <w:rFonts w:ascii="Verdana" w:hAnsi="Verdana"/>
        </w:rPr>
        <w:t>, this study found a solid framework of intersectoral guidelines aimed at protecting the biopsychosocial wholesomeness of older adults in Central America. The approach in the oldest population segment respected a line of work based on the socio-health risk scales, where most fragile people received priority attention in all stages of the fight against the pandemic</w:t>
      </w:r>
      <w:r w:rsidR="001171F0" w:rsidRPr="00BD66CE">
        <w:rPr>
          <w:rFonts w:ascii="Verdana" w:hAnsi="Verdana"/>
        </w:rPr>
        <w:t xml:space="preserve"> (Table 3)</w:t>
      </w:r>
      <w:r w:rsidRPr="00BD66CE">
        <w:rPr>
          <w:rFonts w:ascii="Verdana" w:hAnsi="Verdana"/>
        </w:rPr>
        <w:t xml:space="preserve">. The countries were concerned with establishing technical standards to promote comprehensive healthcare for the institutionalized elderly, especially those with pre-existing conditions that placed them at greater risk of death. </w:t>
      </w:r>
      <w:r w:rsidR="00126AC6" w:rsidRPr="00BD66CE">
        <w:rPr>
          <w:rFonts w:ascii="Verdana" w:hAnsi="Verdana"/>
        </w:rPr>
        <w:t>The community-based medicine vision seems to have predominated in all countries th</w:t>
      </w:r>
      <w:r w:rsidR="001C5420" w:rsidRPr="00BD66CE">
        <w:rPr>
          <w:rFonts w:ascii="Verdana" w:hAnsi="Verdana"/>
        </w:rPr>
        <w:t>r</w:t>
      </w:r>
      <w:r w:rsidR="00126AC6" w:rsidRPr="00BD66CE">
        <w:rPr>
          <w:rFonts w:ascii="Verdana" w:hAnsi="Verdana"/>
        </w:rPr>
        <w:t xml:space="preserve">ough national decrees with equal repercussions at the local and regional levels. Among the instruments identified, there </w:t>
      </w:r>
      <w:r w:rsidR="005F56A1" w:rsidRPr="00BD66CE">
        <w:rPr>
          <w:rFonts w:ascii="Verdana" w:hAnsi="Verdana"/>
        </w:rPr>
        <w:t>was</w:t>
      </w:r>
      <w:r w:rsidR="00126AC6" w:rsidRPr="00BD66CE">
        <w:rPr>
          <w:rFonts w:ascii="Verdana" w:hAnsi="Verdana"/>
        </w:rPr>
        <w:t xml:space="preserve"> a general concern for mental health and nutritional support for the elderly. </w:t>
      </w:r>
    </w:p>
    <w:p w14:paraId="3C4B9FE0" w14:textId="77777777" w:rsidR="00912710" w:rsidRPr="00BD66CE" w:rsidRDefault="00912710" w:rsidP="00912710">
      <w:pPr>
        <w:pStyle w:val="MDPI31text"/>
        <w:ind w:firstLine="452"/>
        <w:rPr>
          <w:rFonts w:ascii="Verdana" w:hAnsi="Verdana"/>
        </w:rPr>
      </w:pPr>
    </w:p>
    <w:p w14:paraId="2EF499B1" w14:textId="3BC04E73" w:rsidR="001647DF" w:rsidRPr="00BD66CE" w:rsidRDefault="001647DF" w:rsidP="001647DF">
      <w:pPr>
        <w:pStyle w:val="MDPI31text"/>
        <w:ind w:left="0" w:firstLine="0"/>
        <w:rPr>
          <w:rFonts w:ascii="Verdana" w:hAnsi="Verdana"/>
        </w:rPr>
      </w:pPr>
    </w:p>
    <w:p w14:paraId="5B8E7428" w14:textId="77777777" w:rsidR="009D7DB2" w:rsidRPr="00BD66CE" w:rsidRDefault="009D7DB2" w:rsidP="001647DF">
      <w:pPr>
        <w:pStyle w:val="MDPI31text"/>
        <w:ind w:left="0" w:firstLine="0"/>
        <w:rPr>
          <w:rFonts w:ascii="Verdana" w:hAnsi="Verdana"/>
        </w:rPr>
      </w:pPr>
    </w:p>
    <w:p w14:paraId="4D49F76E" w14:textId="09024E68" w:rsidR="00351F49" w:rsidRPr="00BD66CE" w:rsidRDefault="001278DD" w:rsidP="00B811C3">
      <w:pPr>
        <w:pStyle w:val="MDPI31text"/>
        <w:ind w:left="0" w:firstLine="0"/>
        <w:rPr>
          <w:rFonts w:ascii="Verdana" w:hAnsi="Verdana"/>
        </w:rPr>
      </w:pPr>
      <w:r w:rsidRPr="00BD66CE">
        <w:rPr>
          <w:rFonts w:ascii="Verdana" w:hAnsi="Verdana"/>
          <w:noProof/>
          <w:snapToGrid/>
        </w:rPr>
        <mc:AlternateContent>
          <mc:Choice Requires="wps">
            <w:drawing>
              <wp:anchor distT="0" distB="0" distL="114300" distR="114300" simplePos="0" relativeHeight="251660288" behindDoc="0" locked="0" layoutInCell="1" allowOverlap="1" wp14:anchorId="5E113B5D" wp14:editId="61B92634">
                <wp:simplePos x="0" y="0"/>
                <wp:positionH relativeFrom="column">
                  <wp:posOffset>12065</wp:posOffset>
                </wp:positionH>
                <wp:positionV relativeFrom="paragraph">
                  <wp:posOffset>3056050</wp:posOffset>
                </wp:positionV>
                <wp:extent cx="324465" cy="272845"/>
                <wp:effectExtent l="0" t="0" r="19050" b="6985"/>
                <wp:wrapNone/>
                <wp:docPr id="10" name="Cuadro de texto 10"/>
                <wp:cNvGraphicFramePr/>
                <a:graphic xmlns:a="http://schemas.openxmlformats.org/drawingml/2006/main">
                  <a:graphicData uri="http://schemas.microsoft.com/office/word/2010/wordprocessingShape">
                    <wps:wsp>
                      <wps:cNvSpPr txBox="1"/>
                      <wps:spPr>
                        <a:xfrm>
                          <a:off x="0" y="0"/>
                          <a:ext cx="324465" cy="272845"/>
                        </a:xfrm>
                        <a:prstGeom prst="rect">
                          <a:avLst/>
                        </a:prstGeom>
                        <a:solidFill>
                          <a:schemeClr val="lt1"/>
                        </a:solidFill>
                        <a:ln w="6350">
                          <a:solidFill>
                            <a:prstClr val="black"/>
                          </a:solidFill>
                        </a:ln>
                      </wps:spPr>
                      <wps:txbx>
                        <w:txbxContent>
                          <w:p w14:paraId="228C96C8" w14:textId="4002E113" w:rsidR="00FC3B59" w:rsidRPr="00FC3B59" w:rsidRDefault="00FC3B59">
                            <w:pPr>
                              <w:rPr>
                                <w:sz w:val="16"/>
                                <w:szCs w:val="16"/>
                                <w:lang w:val="pt-PT"/>
                              </w:rPr>
                            </w:pPr>
                            <w:r w:rsidRPr="00FC3B59">
                              <w:rPr>
                                <w:sz w:val="16"/>
                                <w:szCs w:val="16"/>
                                <w:lang w:val="pt-PT"/>
                              </w:rPr>
                              <w:t>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13B5D" id="_x0000_t202" coordsize="21600,21600" o:spt="202" path="m,l,21600r21600,l21600,xe">
                <v:stroke joinstyle="miter"/>
                <v:path gradientshapeok="t" o:connecttype="rect"/>
              </v:shapetype>
              <v:shape id="Cuadro de texto 10" o:spid="_x0000_s1026" type="#_x0000_t202" style="position:absolute;left:0;text-align:left;margin-left:.95pt;margin-top:240.65pt;width:25.5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" fillcolor="white [3201]" strokeweight=".5pt">
                <v:textbox>
                  <w:txbxContent>
                    <w:p w14:paraId="228C96C8" w14:textId="4002E113" w:rsidR="00FC3B59" w:rsidRPr="00FC3B59" w:rsidRDefault="00FC3B59">
                      <w:pPr>
                        <w:rPr>
                          <w:sz w:val="16"/>
                          <w:szCs w:val="16"/>
                          <w:lang w:val="pt-PT"/>
                        </w:rPr>
                      </w:pPr>
                      <w:r w:rsidRPr="00FC3B59">
                        <w:rPr>
                          <w:sz w:val="16"/>
                          <w:szCs w:val="16"/>
                          <w:lang w:val="pt-PT"/>
                        </w:rPr>
                        <w:t>2A</w:t>
                      </w:r>
                    </w:p>
                  </w:txbxContent>
                </v:textbox>
              </v:shape>
            </w:pict>
          </mc:Fallback>
        </mc:AlternateContent>
      </w:r>
      <w:r w:rsidR="00FC3B59" w:rsidRPr="00BD66CE">
        <w:rPr>
          <w:rFonts w:ascii="Verdana" w:hAnsi="Verdana"/>
          <w:noProof/>
          <w:snapToGrid/>
        </w:rPr>
        <mc:AlternateContent>
          <mc:Choice Requires="wps">
            <w:drawing>
              <wp:anchor distT="0" distB="0" distL="114300" distR="114300" simplePos="0" relativeHeight="251662336" behindDoc="0" locked="0" layoutInCell="1" allowOverlap="1" wp14:anchorId="5E420FF1" wp14:editId="6EF2D899">
                <wp:simplePos x="0" y="0"/>
                <wp:positionH relativeFrom="column">
                  <wp:posOffset>3363595</wp:posOffset>
                </wp:positionH>
                <wp:positionV relativeFrom="paragraph">
                  <wp:posOffset>3056255</wp:posOffset>
                </wp:positionV>
                <wp:extent cx="324465" cy="272845"/>
                <wp:effectExtent l="0" t="0" r="19050" b="6985"/>
                <wp:wrapNone/>
                <wp:docPr id="12" name="Cuadro de texto 12"/>
                <wp:cNvGraphicFramePr/>
                <a:graphic xmlns:a="http://schemas.openxmlformats.org/drawingml/2006/main">
                  <a:graphicData uri="http://schemas.microsoft.com/office/word/2010/wordprocessingShape">
                    <wps:wsp>
                      <wps:cNvSpPr txBox="1"/>
                      <wps:spPr>
                        <a:xfrm>
                          <a:off x="0" y="0"/>
                          <a:ext cx="324465" cy="272845"/>
                        </a:xfrm>
                        <a:prstGeom prst="rect">
                          <a:avLst/>
                        </a:prstGeom>
                        <a:solidFill>
                          <a:schemeClr val="lt1"/>
                        </a:solidFill>
                        <a:ln w="6350">
                          <a:solidFill>
                            <a:prstClr val="black"/>
                          </a:solidFill>
                        </a:ln>
                      </wps:spPr>
                      <wps:txbx>
                        <w:txbxContent>
                          <w:p w14:paraId="6D76ACCB" w14:textId="7C9DFDFC" w:rsidR="00FC3B59" w:rsidRPr="00FC3B59" w:rsidRDefault="00FC3B59" w:rsidP="00FC3B59">
                            <w:pPr>
                              <w:rPr>
                                <w:sz w:val="16"/>
                                <w:szCs w:val="16"/>
                                <w:lang w:val="pt-PT"/>
                              </w:rPr>
                            </w:pPr>
                            <w:r w:rsidRPr="00FC3B59">
                              <w:rPr>
                                <w:sz w:val="16"/>
                                <w:szCs w:val="16"/>
                                <w:lang w:val="pt-PT"/>
                              </w:rPr>
                              <w:t>2</w:t>
                            </w:r>
                            <w:r>
                              <w:rPr>
                                <w:sz w:val="16"/>
                                <w:szCs w:val="16"/>
                                <w:lang w:val="pt-P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20FF1" id="Cuadro de texto 12" o:spid="_x0000_s1027" type="#_x0000_t202" style="position:absolute;left:0;text-align:left;margin-left:264.85pt;margin-top:240.65pt;width:25.5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" fillcolor="white [3201]" strokeweight=".5pt">
                <v:textbox>
                  <w:txbxContent>
                    <w:p w14:paraId="6D76ACCB" w14:textId="7C9DFDFC" w:rsidR="00FC3B59" w:rsidRPr="00FC3B59" w:rsidRDefault="00FC3B59" w:rsidP="00FC3B59">
                      <w:pPr>
                        <w:rPr>
                          <w:sz w:val="16"/>
                          <w:szCs w:val="16"/>
                          <w:lang w:val="pt-PT"/>
                        </w:rPr>
                      </w:pPr>
                      <w:r w:rsidRPr="00FC3B59">
                        <w:rPr>
                          <w:sz w:val="16"/>
                          <w:szCs w:val="16"/>
                          <w:lang w:val="pt-PT"/>
                        </w:rPr>
                        <w:t>2</w:t>
                      </w:r>
                      <w:r>
                        <w:rPr>
                          <w:sz w:val="16"/>
                          <w:szCs w:val="16"/>
                          <w:lang w:val="pt-PT"/>
                        </w:rPr>
                        <w:t>B</w:t>
                      </w:r>
                    </w:p>
                  </w:txbxContent>
                </v:textbox>
              </v:shape>
            </w:pict>
          </mc:Fallback>
        </mc:AlternateContent>
      </w:r>
      <w:r w:rsidR="001647DF" w:rsidRPr="00BD66CE">
        <w:rPr>
          <w:rFonts w:ascii="Verdana" w:hAnsi="Verdana"/>
          <w:noProof/>
        </w:rPr>
        <w:drawing>
          <wp:inline distT="0" distB="0" distL="0" distR="0" wp14:anchorId="58D0A948" wp14:editId="79250ACE">
            <wp:extent cx="3264467" cy="3386803"/>
            <wp:effectExtent l="12700" t="12700" r="12700" b="171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80946" cy="3403899"/>
                    </a:xfrm>
                    <a:prstGeom prst="rect">
                      <a:avLst/>
                    </a:prstGeom>
                    <a:ln>
                      <a:solidFill>
                        <a:schemeClr val="tx1"/>
                      </a:solidFill>
                    </a:ln>
                  </pic:spPr>
                </pic:pic>
              </a:graphicData>
            </a:graphic>
          </wp:inline>
        </w:drawing>
      </w:r>
      <w:r w:rsidR="00FC3B59" w:rsidRPr="00BD66CE">
        <w:rPr>
          <w:rFonts w:ascii="Verdana" w:hAnsi="Verdana"/>
        </w:rPr>
        <w:t xml:space="preserve"> </w:t>
      </w:r>
      <w:r w:rsidR="00FC3B59" w:rsidRPr="00BD66CE">
        <w:rPr>
          <w:rFonts w:ascii="Verdana" w:hAnsi="Verdana"/>
          <w:noProof/>
        </w:rPr>
        <w:drawing>
          <wp:inline distT="0" distB="0" distL="0" distR="0" wp14:anchorId="14485351" wp14:editId="6040F742">
            <wp:extent cx="3155861" cy="3393665"/>
            <wp:effectExtent l="12700" t="12700" r="6985"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3082" cy="3412184"/>
                    </a:xfrm>
                    <a:prstGeom prst="rect">
                      <a:avLst/>
                    </a:prstGeom>
                    <a:ln>
                      <a:solidFill>
                        <a:schemeClr val="tx1"/>
                      </a:solidFill>
                    </a:ln>
                  </pic:spPr>
                </pic:pic>
              </a:graphicData>
            </a:graphic>
          </wp:inline>
        </w:drawing>
      </w:r>
    </w:p>
    <w:p w14:paraId="61C75F8D" w14:textId="62519BD1" w:rsidR="006A5B12" w:rsidRPr="00BD66CE" w:rsidRDefault="000544EB" w:rsidP="001171F0">
      <w:pPr>
        <w:pStyle w:val="MDPI31text"/>
        <w:ind w:left="0" w:firstLine="0"/>
        <w:rPr>
          <w:rFonts w:ascii="Verdana" w:hAnsi="Verdana"/>
        </w:rPr>
      </w:pPr>
      <w:r w:rsidRPr="00BD66CE">
        <w:rPr>
          <w:rFonts w:ascii="Verdana" w:hAnsi="Verdana"/>
          <w:b/>
          <w:bCs/>
          <w:sz w:val="18"/>
          <w:szCs w:val="21"/>
        </w:rPr>
        <w:lastRenderedPageBreak/>
        <w:t>Figure 2A</w:t>
      </w:r>
      <w:r w:rsidRPr="00BD66CE">
        <w:rPr>
          <w:rFonts w:ascii="Verdana" w:hAnsi="Verdana"/>
          <w:sz w:val="18"/>
          <w:szCs w:val="21"/>
        </w:rPr>
        <w:t xml:space="preserve"> shows the PHSM Severity Index averages (including the six domains) adopted by the countries during 2020. The three domains with the strongest restrictions were, respectively: Masks (4.43), International travel (3.78), and Household movements (3.57). </w:t>
      </w:r>
      <w:r w:rsidR="00B811C3" w:rsidRPr="00BD66CE">
        <w:rPr>
          <w:rFonts w:ascii="Verdana" w:hAnsi="Verdana"/>
          <w:b/>
          <w:bCs/>
          <w:sz w:val="18"/>
          <w:szCs w:val="21"/>
        </w:rPr>
        <w:t>Figure 2B</w:t>
      </w:r>
      <w:r w:rsidR="00B811C3" w:rsidRPr="00BD66CE">
        <w:rPr>
          <w:rFonts w:ascii="Verdana" w:hAnsi="Verdana"/>
          <w:sz w:val="18"/>
          <w:szCs w:val="21"/>
        </w:rPr>
        <w:t xml:space="preserve"> shows that restrictions decreased considerably during 2021, which could be related to the waves of contagion described in </w:t>
      </w:r>
      <w:r w:rsidR="00B811C3" w:rsidRPr="00BD66CE">
        <w:rPr>
          <w:rFonts w:ascii="Verdana" w:hAnsi="Verdana"/>
          <w:b/>
          <w:bCs/>
          <w:sz w:val="18"/>
          <w:szCs w:val="21"/>
        </w:rPr>
        <w:t>Figure 1A</w:t>
      </w:r>
      <w:r w:rsidR="00B811C3" w:rsidRPr="00BD66CE">
        <w:rPr>
          <w:rFonts w:ascii="Verdana" w:hAnsi="Verdana"/>
          <w:sz w:val="18"/>
          <w:szCs w:val="21"/>
        </w:rPr>
        <w:t>, although we do not have correlational information that would allow us to defend this hypothesis.</w:t>
      </w:r>
      <w:r w:rsidR="001278DD" w:rsidRPr="00BD66CE">
        <w:rPr>
          <w:rFonts w:ascii="Verdana" w:hAnsi="Verdana"/>
          <w:sz w:val="18"/>
          <w:szCs w:val="21"/>
        </w:rPr>
        <w:t xml:space="preserve"> The three most flexible measures in 2021, were: Business (2.28), Meetings (2.57), and Household movements (2.57).</w:t>
      </w:r>
      <w:r w:rsidR="00B81425" w:rsidRPr="00BD66CE">
        <w:rPr>
          <w:rFonts w:ascii="Verdana" w:hAnsi="Verdana"/>
          <w:sz w:val="18"/>
          <w:szCs w:val="21"/>
        </w:rPr>
        <w:t xml:space="preserve"> </w:t>
      </w:r>
      <w:r w:rsidR="001278DD" w:rsidRPr="00BD66CE">
        <w:rPr>
          <w:rFonts w:ascii="Verdana" w:hAnsi="Verdana"/>
          <w:sz w:val="18"/>
          <w:szCs w:val="21"/>
        </w:rPr>
        <w:t xml:space="preserve"> </w:t>
      </w:r>
    </w:p>
    <w:p w14:paraId="58DFAAA3" w14:textId="5D13F5BE" w:rsidR="00BC7BE8" w:rsidRPr="00BD66CE" w:rsidRDefault="00B811C3" w:rsidP="001171F0">
      <w:pPr>
        <w:pStyle w:val="MDPI31text"/>
        <w:ind w:left="0" w:firstLine="0"/>
        <w:rPr>
          <w:rFonts w:ascii="Verdana" w:hAnsi="Verdana"/>
        </w:rPr>
      </w:pPr>
      <w:r w:rsidRPr="00BD66CE">
        <w:rPr>
          <w:rFonts w:ascii="Verdana" w:hAnsi="Verdana"/>
          <w:b/>
          <w:bCs/>
        </w:rPr>
        <w:t>Source</w:t>
      </w:r>
      <w:r w:rsidRPr="00BD66CE">
        <w:rPr>
          <w:rFonts w:ascii="Verdana" w:hAnsi="Verdana"/>
        </w:rPr>
        <w:t xml:space="preserve">: Elaborated by the authors (2022). </w:t>
      </w:r>
    </w:p>
    <w:p w14:paraId="65EB447C" w14:textId="77777777" w:rsidR="003535E3" w:rsidRPr="00BD66CE" w:rsidRDefault="003535E3" w:rsidP="00F743FB">
      <w:pPr>
        <w:pStyle w:val="MDPI31text"/>
        <w:ind w:firstLine="0"/>
        <w:rPr>
          <w:rFonts w:ascii="Verdana" w:hAnsi="Verdana"/>
          <w:iCs/>
        </w:rPr>
      </w:pPr>
    </w:p>
    <w:p w14:paraId="6A2BDFFD" w14:textId="77777777" w:rsidR="00F743FB" w:rsidRPr="00BD66CE" w:rsidRDefault="00F743FB" w:rsidP="00F743FB">
      <w:pPr>
        <w:pStyle w:val="MDPI31text"/>
        <w:ind w:firstLine="0"/>
        <w:rPr>
          <w:rFonts w:ascii="Verdana" w:hAnsi="Verdana"/>
        </w:rPr>
      </w:pPr>
    </w:p>
    <w:p w14:paraId="7C7DAF3F" w14:textId="5BB6C976" w:rsidR="008555C4" w:rsidRPr="00BD66CE" w:rsidRDefault="003535E3" w:rsidP="003535E3">
      <w:pPr>
        <w:pStyle w:val="MDPI31text"/>
        <w:ind w:left="0" w:firstLine="0"/>
        <w:rPr>
          <w:rFonts w:ascii="Verdana" w:hAnsi="Verdana"/>
        </w:rPr>
      </w:pPr>
      <w:r w:rsidRPr="00BD66CE">
        <w:rPr>
          <w:rFonts w:ascii="Verdana" w:hAnsi="Verdana"/>
          <w:b/>
          <w:bCs/>
        </w:rPr>
        <w:t xml:space="preserve">Table </w:t>
      </w:r>
      <w:r w:rsidR="000544EB" w:rsidRPr="00BD66CE">
        <w:rPr>
          <w:rFonts w:ascii="Verdana" w:hAnsi="Verdana"/>
          <w:b/>
          <w:bCs/>
        </w:rPr>
        <w:t>3</w:t>
      </w:r>
      <w:r w:rsidRPr="00BD66CE">
        <w:rPr>
          <w:rFonts w:ascii="Verdana" w:hAnsi="Verdana"/>
        </w:rPr>
        <w:t xml:space="preserve">. List of national guidelines enacted to address the COVID-19 pandemic, Central </w:t>
      </w:r>
      <w:r w:rsidR="00D30AB2" w:rsidRPr="00BD66CE">
        <w:rPr>
          <w:rFonts w:ascii="Verdana" w:hAnsi="Verdana"/>
        </w:rPr>
        <w:t xml:space="preserve">America, 2020. </w:t>
      </w:r>
    </w:p>
    <w:tbl>
      <w:tblPr>
        <w:tblStyle w:val="Tablaconcuadrcula"/>
        <w:tblW w:w="10627" w:type="dxa"/>
        <w:tblLook w:val="04A0" w:firstRow="1" w:lastRow="0" w:firstColumn="1" w:lastColumn="0" w:noHBand="0" w:noVBand="1"/>
      </w:tblPr>
      <w:tblGrid>
        <w:gridCol w:w="1129"/>
        <w:gridCol w:w="3261"/>
        <w:gridCol w:w="6237"/>
      </w:tblGrid>
      <w:tr w:rsidR="002A448E" w:rsidRPr="00BD66CE" w14:paraId="431763BF" w14:textId="77777777" w:rsidTr="00C97632">
        <w:tc>
          <w:tcPr>
            <w:tcW w:w="1129" w:type="dxa"/>
            <w:shd w:val="clear" w:color="auto" w:fill="D9D9D9" w:themeFill="background1" w:themeFillShade="D9"/>
          </w:tcPr>
          <w:p w14:paraId="59A4CFC2" w14:textId="67B38857" w:rsidR="002A448E" w:rsidRPr="00BD66CE" w:rsidRDefault="002A448E" w:rsidP="003535E3">
            <w:pPr>
              <w:pStyle w:val="MDPI31text"/>
              <w:ind w:left="0" w:firstLine="0"/>
              <w:rPr>
                <w:rFonts w:ascii="Verdana" w:hAnsi="Verdana"/>
                <w:b/>
                <w:bCs/>
                <w:sz w:val="18"/>
                <w:szCs w:val="21"/>
              </w:rPr>
            </w:pPr>
            <w:r w:rsidRPr="00BD66CE">
              <w:rPr>
                <w:rFonts w:ascii="Verdana" w:hAnsi="Verdana"/>
                <w:b/>
                <w:bCs/>
                <w:sz w:val="18"/>
                <w:szCs w:val="21"/>
              </w:rPr>
              <w:t>Country</w:t>
            </w:r>
          </w:p>
        </w:tc>
        <w:tc>
          <w:tcPr>
            <w:tcW w:w="3261" w:type="dxa"/>
            <w:shd w:val="clear" w:color="auto" w:fill="D9D9D9" w:themeFill="background1" w:themeFillShade="D9"/>
          </w:tcPr>
          <w:p w14:paraId="756BF70A" w14:textId="66EE28EC" w:rsidR="002A448E" w:rsidRPr="00BD66CE" w:rsidRDefault="002A448E" w:rsidP="003535E3">
            <w:pPr>
              <w:pStyle w:val="MDPI31text"/>
              <w:ind w:left="0" w:firstLine="0"/>
              <w:rPr>
                <w:rFonts w:ascii="Verdana" w:hAnsi="Verdana"/>
                <w:b/>
                <w:bCs/>
                <w:sz w:val="18"/>
                <w:szCs w:val="21"/>
              </w:rPr>
            </w:pPr>
            <w:r w:rsidRPr="00BD66CE">
              <w:rPr>
                <w:rFonts w:ascii="Verdana" w:hAnsi="Verdana"/>
                <w:b/>
                <w:bCs/>
                <w:sz w:val="18"/>
                <w:szCs w:val="21"/>
              </w:rPr>
              <w:t>Guidelines</w:t>
            </w:r>
          </w:p>
        </w:tc>
        <w:tc>
          <w:tcPr>
            <w:tcW w:w="6237" w:type="dxa"/>
            <w:shd w:val="clear" w:color="auto" w:fill="D9D9D9" w:themeFill="background1" w:themeFillShade="D9"/>
          </w:tcPr>
          <w:p w14:paraId="49F124A3" w14:textId="4C79AFF0" w:rsidR="002A448E" w:rsidRPr="00BD66CE" w:rsidRDefault="00757F52" w:rsidP="003535E3">
            <w:pPr>
              <w:pStyle w:val="MDPI31text"/>
              <w:ind w:left="0" w:firstLine="0"/>
              <w:rPr>
                <w:rFonts w:ascii="Verdana" w:hAnsi="Verdana"/>
                <w:b/>
                <w:bCs/>
                <w:sz w:val="18"/>
                <w:szCs w:val="21"/>
              </w:rPr>
            </w:pPr>
            <w:r w:rsidRPr="00BD66CE">
              <w:rPr>
                <w:rFonts w:ascii="Verdana" w:hAnsi="Verdana"/>
                <w:b/>
                <w:bCs/>
                <w:sz w:val="18"/>
                <w:szCs w:val="21"/>
              </w:rPr>
              <w:t>Action lines</w:t>
            </w:r>
            <w:r w:rsidR="002A448E" w:rsidRPr="00BD66CE">
              <w:rPr>
                <w:rFonts w:ascii="Verdana" w:hAnsi="Verdana"/>
                <w:b/>
                <w:bCs/>
                <w:sz w:val="18"/>
                <w:szCs w:val="21"/>
              </w:rPr>
              <w:t xml:space="preserve"> and contents addressing the geriatric population</w:t>
            </w:r>
            <w:r w:rsidR="003A20CC" w:rsidRPr="00BD66CE">
              <w:rPr>
                <w:rFonts w:ascii="Verdana" w:hAnsi="Verdana"/>
                <w:b/>
                <w:bCs/>
                <w:sz w:val="18"/>
                <w:szCs w:val="21"/>
              </w:rPr>
              <w:t xml:space="preserve"> </w:t>
            </w:r>
          </w:p>
        </w:tc>
      </w:tr>
      <w:tr w:rsidR="002A448E" w:rsidRPr="00BD66CE" w14:paraId="17E34A79" w14:textId="77777777" w:rsidTr="00C97632">
        <w:tc>
          <w:tcPr>
            <w:tcW w:w="1129" w:type="dxa"/>
          </w:tcPr>
          <w:p w14:paraId="32B4D6AD" w14:textId="6DA778D2" w:rsidR="002A448E" w:rsidRPr="00BD66CE" w:rsidRDefault="002A448E" w:rsidP="003535E3">
            <w:pPr>
              <w:pStyle w:val="MDPI31text"/>
              <w:ind w:left="0" w:firstLine="0"/>
              <w:rPr>
                <w:rFonts w:ascii="Verdana" w:hAnsi="Verdana"/>
                <w:b/>
                <w:bCs/>
                <w:sz w:val="18"/>
                <w:szCs w:val="21"/>
              </w:rPr>
            </w:pPr>
            <w:r w:rsidRPr="00BD66CE">
              <w:rPr>
                <w:rFonts w:ascii="Verdana" w:hAnsi="Verdana"/>
                <w:b/>
                <w:bCs/>
                <w:sz w:val="18"/>
                <w:szCs w:val="21"/>
              </w:rPr>
              <w:t>Belize</w:t>
            </w:r>
          </w:p>
        </w:tc>
        <w:tc>
          <w:tcPr>
            <w:tcW w:w="3261" w:type="dxa"/>
          </w:tcPr>
          <w:p w14:paraId="735A6AC1" w14:textId="11BA5F75" w:rsidR="002A448E" w:rsidRPr="00BD66CE" w:rsidRDefault="002A448E" w:rsidP="003535E3">
            <w:pPr>
              <w:pStyle w:val="MDPI31text"/>
              <w:ind w:left="0" w:firstLine="0"/>
              <w:rPr>
                <w:rFonts w:ascii="Verdana" w:hAnsi="Verdana"/>
                <w:sz w:val="18"/>
                <w:szCs w:val="21"/>
              </w:rPr>
            </w:pPr>
            <w:r w:rsidRPr="00BD66CE">
              <w:rPr>
                <w:rFonts w:ascii="Verdana" w:hAnsi="Verdana"/>
                <w:sz w:val="18"/>
                <w:szCs w:val="21"/>
              </w:rPr>
              <w:t>COVID-19 Response Project – P177987</w:t>
            </w:r>
            <w:r w:rsidR="000E3773" w:rsidRPr="00BD66CE">
              <w:rPr>
                <w:rFonts w:ascii="Verdana" w:hAnsi="Verdana"/>
                <w:sz w:val="18"/>
                <w:szCs w:val="21"/>
              </w:rPr>
              <w:t xml:space="preserve"> [59]. </w:t>
            </w:r>
          </w:p>
        </w:tc>
        <w:tc>
          <w:tcPr>
            <w:tcW w:w="6237" w:type="dxa"/>
          </w:tcPr>
          <w:p w14:paraId="6EBE5C2E" w14:textId="2CEE9D51" w:rsidR="002A448E" w:rsidRPr="00BD66CE" w:rsidRDefault="00EF626B" w:rsidP="003535E3">
            <w:pPr>
              <w:pStyle w:val="MDPI31text"/>
              <w:ind w:left="0" w:firstLine="0"/>
              <w:rPr>
                <w:rFonts w:ascii="Verdana" w:hAnsi="Verdana"/>
                <w:sz w:val="18"/>
                <w:szCs w:val="21"/>
              </w:rPr>
            </w:pPr>
            <w:r w:rsidRPr="00BD66CE">
              <w:rPr>
                <w:rFonts w:ascii="Verdana" w:hAnsi="Verdana"/>
                <w:sz w:val="18"/>
                <w:szCs w:val="21"/>
              </w:rPr>
              <w:t xml:space="preserve">Older adults are at higher risk for coronavirus disease. Health actions should prioritize this population at all levels of care. Special programs should be implemented to maintain their integrity during the crisis. </w:t>
            </w:r>
          </w:p>
        </w:tc>
      </w:tr>
      <w:tr w:rsidR="00020701" w:rsidRPr="00BD66CE" w14:paraId="6056189F" w14:textId="77777777" w:rsidTr="00C97632">
        <w:tc>
          <w:tcPr>
            <w:tcW w:w="1129" w:type="dxa"/>
            <w:vMerge w:val="restart"/>
          </w:tcPr>
          <w:p w14:paraId="1642DCE2" w14:textId="77777777" w:rsidR="00020701" w:rsidRPr="00BD66CE" w:rsidRDefault="00020701" w:rsidP="003535E3">
            <w:pPr>
              <w:pStyle w:val="MDPI31text"/>
              <w:ind w:left="0" w:firstLine="0"/>
              <w:rPr>
                <w:rFonts w:ascii="Verdana" w:hAnsi="Verdana"/>
                <w:b/>
                <w:bCs/>
                <w:sz w:val="18"/>
                <w:szCs w:val="21"/>
              </w:rPr>
            </w:pPr>
          </w:p>
          <w:p w14:paraId="1AA93407" w14:textId="77777777" w:rsidR="00020701" w:rsidRPr="00BD66CE" w:rsidRDefault="00020701" w:rsidP="003535E3">
            <w:pPr>
              <w:pStyle w:val="MDPI31text"/>
              <w:ind w:left="0" w:firstLine="0"/>
              <w:rPr>
                <w:rFonts w:ascii="Verdana" w:hAnsi="Verdana"/>
                <w:b/>
                <w:bCs/>
                <w:sz w:val="18"/>
                <w:szCs w:val="21"/>
              </w:rPr>
            </w:pPr>
          </w:p>
          <w:p w14:paraId="720D768D" w14:textId="77777777" w:rsidR="00020701" w:rsidRPr="00BD66CE" w:rsidRDefault="00020701" w:rsidP="003535E3">
            <w:pPr>
              <w:pStyle w:val="MDPI31text"/>
              <w:ind w:left="0" w:firstLine="0"/>
              <w:rPr>
                <w:rFonts w:ascii="Verdana" w:hAnsi="Verdana"/>
                <w:b/>
                <w:bCs/>
                <w:sz w:val="18"/>
                <w:szCs w:val="21"/>
              </w:rPr>
            </w:pPr>
          </w:p>
          <w:p w14:paraId="0F5DFCDF" w14:textId="77777777" w:rsidR="00020701" w:rsidRPr="00BD66CE" w:rsidRDefault="00020701" w:rsidP="003535E3">
            <w:pPr>
              <w:pStyle w:val="MDPI31text"/>
              <w:ind w:left="0" w:firstLine="0"/>
              <w:rPr>
                <w:rFonts w:ascii="Verdana" w:hAnsi="Verdana"/>
                <w:b/>
                <w:bCs/>
                <w:sz w:val="18"/>
                <w:szCs w:val="21"/>
              </w:rPr>
            </w:pPr>
          </w:p>
          <w:p w14:paraId="422C4F95" w14:textId="77777777" w:rsidR="00020701" w:rsidRPr="00BD66CE" w:rsidRDefault="00020701" w:rsidP="003535E3">
            <w:pPr>
              <w:pStyle w:val="MDPI31text"/>
              <w:ind w:left="0" w:firstLine="0"/>
              <w:rPr>
                <w:rFonts w:ascii="Verdana" w:hAnsi="Verdana"/>
                <w:b/>
                <w:bCs/>
                <w:sz w:val="18"/>
                <w:szCs w:val="21"/>
              </w:rPr>
            </w:pPr>
          </w:p>
          <w:p w14:paraId="347E926A" w14:textId="57285AB2" w:rsidR="00020701" w:rsidRPr="00BD66CE" w:rsidRDefault="00020701" w:rsidP="003535E3">
            <w:pPr>
              <w:pStyle w:val="MDPI31text"/>
              <w:ind w:left="0" w:firstLine="0"/>
              <w:rPr>
                <w:rFonts w:ascii="Verdana" w:hAnsi="Verdana"/>
                <w:b/>
                <w:bCs/>
                <w:sz w:val="18"/>
                <w:szCs w:val="21"/>
              </w:rPr>
            </w:pPr>
            <w:r w:rsidRPr="00BD66CE">
              <w:rPr>
                <w:rFonts w:ascii="Verdana" w:hAnsi="Verdana"/>
                <w:b/>
                <w:bCs/>
                <w:sz w:val="18"/>
                <w:szCs w:val="21"/>
              </w:rPr>
              <w:t>Costa Rica</w:t>
            </w:r>
          </w:p>
        </w:tc>
        <w:tc>
          <w:tcPr>
            <w:tcW w:w="3261" w:type="dxa"/>
          </w:tcPr>
          <w:p w14:paraId="05ACBDE1" w14:textId="3302059A" w:rsidR="00020701" w:rsidRPr="00BD66CE" w:rsidRDefault="00020701" w:rsidP="003535E3">
            <w:pPr>
              <w:pStyle w:val="MDPI31text"/>
              <w:ind w:left="0" w:firstLine="0"/>
              <w:rPr>
                <w:rFonts w:ascii="Verdana" w:hAnsi="Verdana"/>
                <w:sz w:val="18"/>
                <w:szCs w:val="21"/>
              </w:rPr>
            </w:pPr>
            <w:r w:rsidRPr="00BD66CE">
              <w:rPr>
                <w:rFonts w:ascii="Verdana" w:hAnsi="Verdana"/>
                <w:sz w:val="18"/>
                <w:szCs w:val="21"/>
              </w:rPr>
              <w:t xml:space="preserve">Comprehensive </w:t>
            </w:r>
            <w:r w:rsidR="00A4734B" w:rsidRPr="00BD66CE">
              <w:rPr>
                <w:rFonts w:ascii="Verdana" w:hAnsi="Verdana"/>
                <w:sz w:val="18"/>
                <w:szCs w:val="21"/>
              </w:rPr>
              <w:t>P</w:t>
            </w:r>
            <w:r w:rsidRPr="00BD66CE">
              <w:rPr>
                <w:rFonts w:ascii="Verdana" w:hAnsi="Verdana"/>
                <w:sz w:val="18"/>
                <w:szCs w:val="21"/>
              </w:rPr>
              <w:t xml:space="preserve">roposal for the </w:t>
            </w:r>
            <w:r w:rsidR="00A4734B" w:rsidRPr="00BD66CE">
              <w:rPr>
                <w:rFonts w:ascii="Verdana" w:hAnsi="Verdana"/>
                <w:sz w:val="18"/>
                <w:szCs w:val="21"/>
              </w:rPr>
              <w:t>P</w:t>
            </w:r>
            <w:r w:rsidRPr="00BD66CE">
              <w:rPr>
                <w:rFonts w:ascii="Verdana" w:hAnsi="Verdana"/>
                <w:sz w:val="18"/>
                <w:szCs w:val="21"/>
              </w:rPr>
              <w:t xml:space="preserve">rotection of the </w:t>
            </w:r>
            <w:r w:rsidR="00A4734B" w:rsidRPr="00BD66CE">
              <w:rPr>
                <w:rFonts w:ascii="Verdana" w:hAnsi="Verdana"/>
                <w:sz w:val="18"/>
                <w:szCs w:val="21"/>
              </w:rPr>
              <w:t>E</w:t>
            </w:r>
            <w:r w:rsidRPr="00BD66CE">
              <w:rPr>
                <w:rFonts w:ascii="Verdana" w:hAnsi="Verdana"/>
                <w:sz w:val="18"/>
                <w:szCs w:val="21"/>
              </w:rPr>
              <w:t xml:space="preserve">lderly </w:t>
            </w:r>
            <w:r w:rsidR="00A4734B" w:rsidRPr="00BD66CE">
              <w:rPr>
                <w:rFonts w:ascii="Verdana" w:hAnsi="Verdana"/>
                <w:sz w:val="18"/>
                <w:szCs w:val="21"/>
              </w:rPr>
              <w:t>B</w:t>
            </w:r>
            <w:r w:rsidRPr="00BD66CE">
              <w:rPr>
                <w:rFonts w:ascii="Verdana" w:hAnsi="Verdana"/>
                <w:sz w:val="18"/>
                <w:szCs w:val="21"/>
              </w:rPr>
              <w:t xml:space="preserve">efore COVID-19 </w:t>
            </w:r>
            <w:r w:rsidR="000E3773" w:rsidRPr="00BD66CE">
              <w:rPr>
                <w:rFonts w:ascii="Verdana" w:hAnsi="Verdana"/>
                <w:sz w:val="18"/>
                <w:szCs w:val="21"/>
              </w:rPr>
              <w:t>[60].</w:t>
            </w:r>
          </w:p>
        </w:tc>
        <w:tc>
          <w:tcPr>
            <w:tcW w:w="6237" w:type="dxa"/>
          </w:tcPr>
          <w:p w14:paraId="4EFD23E0" w14:textId="41439BB3" w:rsidR="00020701" w:rsidRPr="00BD66CE" w:rsidRDefault="00020701" w:rsidP="003535E3">
            <w:pPr>
              <w:pStyle w:val="MDPI31text"/>
              <w:ind w:left="0" w:firstLine="0"/>
              <w:rPr>
                <w:rFonts w:ascii="Verdana" w:hAnsi="Verdana"/>
                <w:sz w:val="18"/>
                <w:szCs w:val="21"/>
              </w:rPr>
            </w:pPr>
            <w:r w:rsidRPr="00BD66CE">
              <w:rPr>
                <w:rFonts w:ascii="Verdana" w:hAnsi="Verdana"/>
                <w:sz w:val="18"/>
                <w:szCs w:val="21"/>
              </w:rPr>
              <w:t>To raise awareness and educate the elderly throughout the country about the risks of the coronavirus (COVID-19) and the pertinent and official measures to reduce the risk of infection, as well as the timely detection of the virus in this age group.</w:t>
            </w:r>
          </w:p>
        </w:tc>
      </w:tr>
      <w:tr w:rsidR="00020701" w:rsidRPr="00BD66CE" w14:paraId="6486460D" w14:textId="77777777" w:rsidTr="00C97632">
        <w:tc>
          <w:tcPr>
            <w:tcW w:w="1129" w:type="dxa"/>
            <w:vMerge/>
          </w:tcPr>
          <w:p w14:paraId="766EB357" w14:textId="77777777" w:rsidR="00020701" w:rsidRPr="00BD66CE" w:rsidRDefault="00020701" w:rsidP="003535E3">
            <w:pPr>
              <w:pStyle w:val="MDPI31text"/>
              <w:ind w:left="0" w:firstLine="0"/>
              <w:rPr>
                <w:rFonts w:ascii="Verdana" w:hAnsi="Verdana"/>
                <w:sz w:val="18"/>
                <w:szCs w:val="21"/>
              </w:rPr>
            </w:pPr>
          </w:p>
        </w:tc>
        <w:tc>
          <w:tcPr>
            <w:tcW w:w="3261" w:type="dxa"/>
          </w:tcPr>
          <w:p w14:paraId="0FE310F6" w14:textId="1D404C67" w:rsidR="00020701" w:rsidRPr="00BD66CE" w:rsidRDefault="00020701" w:rsidP="003535E3">
            <w:pPr>
              <w:pStyle w:val="MDPI31text"/>
              <w:ind w:left="0" w:firstLine="0"/>
              <w:rPr>
                <w:rFonts w:ascii="Verdana" w:hAnsi="Verdana"/>
                <w:sz w:val="18"/>
                <w:szCs w:val="21"/>
              </w:rPr>
            </w:pPr>
            <w:r w:rsidRPr="00BD66CE">
              <w:rPr>
                <w:rFonts w:ascii="Verdana" w:hAnsi="Verdana"/>
                <w:sz w:val="18"/>
                <w:szCs w:val="21"/>
              </w:rPr>
              <w:t xml:space="preserve">Guide for the </w:t>
            </w:r>
            <w:r w:rsidR="00A4734B" w:rsidRPr="00BD66CE">
              <w:rPr>
                <w:rFonts w:ascii="Verdana" w:hAnsi="Verdana"/>
                <w:sz w:val="18"/>
                <w:szCs w:val="21"/>
              </w:rPr>
              <w:t>C</w:t>
            </w:r>
            <w:r w:rsidRPr="00BD66CE">
              <w:rPr>
                <w:rFonts w:ascii="Verdana" w:hAnsi="Verdana"/>
                <w:sz w:val="18"/>
                <w:szCs w:val="21"/>
              </w:rPr>
              <w:t xml:space="preserve">are of the </w:t>
            </w:r>
            <w:r w:rsidR="00A4734B" w:rsidRPr="00BD66CE">
              <w:rPr>
                <w:rFonts w:ascii="Verdana" w:hAnsi="Verdana"/>
                <w:sz w:val="18"/>
                <w:szCs w:val="21"/>
              </w:rPr>
              <w:t>E</w:t>
            </w:r>
            <w:r w:rsidRPr="00BD66CE">
              <w:rPr>
                <w:rFonts w:ascii="Verdana" w:hAnsi="Verdana"/>
                <w:sz w:val="18"/>
                <w:szCs w:val="21"/>
              </w:rPr>
              <w:t xml:space="preserve">lderly in the </w:t>
            </w:r>
            <w:r w:rsidR="00A4734B" w:rsidRPr="00BD66CE">
              <w:rPr>
                <w:rFonts w:ascii="Verdana" w:hAnsi="Verdana"/>
                <w:sz w:val="18"/>
                <w:szCs w:val="21"/>
              </w:rPr>
              <w:t>T</w:t>
            </w:r>
            <w:r w:rsidRPr="00BD66CE">
              <w:rPr>
                <w:rFonts w:ascii="Verdana" w:hAnsi="Verdana"/>
                <w:sz w:val="18"/>
                <w:szCs w:val="21"/>
              </w:rPr>
              <w:t xml:space="preserve">erritory in the COVID-19 </w:t>
            </w:r>
            <w:r w:rsidR="00A4734B" w:rsidRPr="00BD66CE">
              <w:rPr>
                <w:rFonts w:ascii="Verdana" w:hAnsi="Verdana"/>
                <w:sz w:val="18"/>
                <w:szCs w:val="21"/>
              </w:rPr>
              <w:t>E</w:t>
            </w:r>
            <w:r w:rsidRPr="00BD66CE">
              <w:rPr>
                <w:rFonts w:ascii="Verdana" w:hAnsi="Verdana"/>
                <w:sz w:val="18"/>
                <w:szCs w:val="21"/>
              </w:rPr>
              <w:t xml:space="preserve">mergency </w:t>
            </w:r>
            <w:r w:rsidR="000E3773" w:rsidRPr="00BD66CE">
              <w:rPr>
                <w:rFonts w:ascii="Verdana" w:hAnsi="Verdana"/>
                <w:sz w:val="18"/>
                <w:szCs w:val="21"/>
              </w:rPr>
              <w:t>[61].</w:t>
            </w:r>
          </w:p>
        </w:tc>
        <w:tc>
          <w:tcPr>
            <w:tcW w:w="6237" w:type="dxa"/>
          </w:tcPr>
          <w:p w14:paraId="150E66B1" w14:textId="2BFEACFC" w:rsidR="00020701" w:rsidRPr="00BD66CE" w:rsidRDefault="00020701" w:rsidP="003535E3">
            <w:pPr>
              <w:pStyle w:val="MDPI31text"/>
              <w:ind w:left="0" w:firstLine="0"/>
              <w:rPr>
                <w:rFonts w:ascii="Verdana" w:hAnsi="Verdana"/>
                <w:sz w:val="18"/>
                <w:szCs w:val="21"/>
              </w:rPr>
            </w:pPr>
            <w:r w:rsidRPr="00BD66CE">
              <w:rPr>
                <w:rFonts w:ascii="Verdana" w:hAnsi="Verdana"/>
                <w:sz w:val="18"/>
                <w:szCs w:val="21"/>
              </w:rPr>
              <w:t xml:space="preserve">The document articulates the flows of social and health care to the elderly during the pandemic. To this end, it establishes joint action between public institutions at the local, regional and national levels. It proposes risk stratification among the different age and ethnic groups that make up the Costa Rican elderly population. </w:t>
            </w:r>
          </w:p>
        </w:tc>
      </w:tr>
      <w:tr w:rsidR="00020701" w:rsidRPr="00BD66CE" w14:paraId="1B1AFAF4" w14:textId="77777777" w:rsidTr="00C97632">
        <w:tc>
          <w:tcPr>
            <w:tcW w:w="1129" w:type="dxa"/>
            <w:vMerge/>
          </w:tcPr>
          <w:p w14:paraId="47C16CD1" w14:textId="77777777" w:rsidR="00020701" w:rsidRPr="00BD66CE" w:rsidRDefault="00020701" w:rsidP="003535E3">
            <w:pPr>
              <w:pStyle w:val="MDPI31text"/>
              <w:ind w:left="0" w:firstLine="0"/>
              <w:rPr>
                <w:rFonts w:ascii="Verdana" w:hAnsi="Verdana"/>
                <w:sz w:val="18"/>
                <w:szCs w:val="21"/>
              </w:rPr>
            </w:pPr>
          </w:p>
        </w:tc>
        <w:tc>
          <w:tcPr>
            <w:tcW w:w="3261" w:type="dxa"/>
          </w:tcPr>
          <w:p w14:paraId="62786178" w14:textId="2131F6A3" w:rsidR="00020701" w:rsidRPr="00BD66CE" w:rsidRDefault="00020701" w:rsidP="003535E3">
            <w:pPr>
              <w:pStyle w:val="MDPI31text"/>
              <w:ind w:left="0" w:firstLine="0"/>
              <w:rPr>
                <w:rFonts w:ascii="Verdana" w:hAnsi="Verdana"/>
                <w:sz w:val="18"/>
                <w:szCs w:val="21"/>
              </w:rPr>
            </w:pPr>
            <w:r w:rsidRPr="00BD66CE">
              <w:rPr>
                <w:rFonts w:ascii="Verdana" w:hAnsi="Verdana"/>
                <w:sz w:val="18"/>
                <w:szCs w:val="18"/>
              </w:rPr>
              <w:t xml:space="preserve">Guideline for </w:t>
            </w:r>
            <w:r w:rsidR="00A4734B" w:rsidRPr="00BD66CE">
              <w:rPr>
                <w:rFonts w:ascii="Verdana" w:hAnsi="Verdana"/>
                <w:sz w:val="18"/>
                <w:szCs w:val="18"/>
              </w:rPr>
              <w:t>T</w:t>
            </w:r>
            <w:r w:rsidRPr="00BD66CE">
              <w:rPr>
                <w:rFonts w:ascii="Verdana" w:hAnsi="Verdana"/>
                <w:sz w:val="18"/>
                <w:szCs w:val="18"/>
              </w:rPr>
              <w:t xml:space="preserve">elephone </w:t>
            </w:r>
            <w:r w:rsidR="00A4734B" w:rsidRPr="00BD66CE">
              <w:rPr>
                <w:rFonts w:ascii="Verdana" w:hAnsi="Verdana"/>
                <w:sz w:val="18"/>
                <w:szCs w:val="18"/>
              </w:rPr>
              <w:t>F</w:t>
            </w:r>
            <w:r w:rsidRPr="00BD66CE">
              <w:rPr>
                <w:rFonts w:ascii="Verdana" w:hAnsi="Verdana"/>
                <w:sz w:val="18"/>
                <w:szCs w:val="18"/>
              </w:rPr>
              <w:t xml:space="preserve">ollow-up of the </w:t>
            </w:r>
            <w:r w:rsidR="00A4734B" w:rsidRPr="00BD66CE">
              <w:rPr>
                <w:rFonts w:ascii="Verdana" w:hAnsi="Verdana"/>
                <w:sz w:val="18"/>
                <w:szCs w:val="18"/>
              </w:rPr>
              <w:t>E</w:t>
            </w:r>
            <w:r w:rsidRPr="00BD66CE">
              <w:rPr>
                <w:rFonts w:ascii="Verdana" w:hAnsi="Verdana"/>
                <w:sz w:val="18"/>
                <w:szCs w:val="18"/>
              </w:rPr>
              <w:t xml:space="preserve">lderly in the </w:t>
            </w:r>
            <w:r w:rsidR="00A4734B" w:rsidRPr="00BD66CE">
              <w:rPr>
                <w:rFonts w:ascii="Verdana" w:hAnsi="Verdana"/>
                <w:sz w:val="18"/>
                <w:szCs w:val="18"/>
              </w:rPr>
              <w:t>F</w:t>
            </w:r>
            <w:r w:rsidRPr="00BD66CE">
              <w:rPr>
                <w:rFonts w:ascii="Verdana" w:hAnsi="Verdana"/>
                <w:sz w:val="18"/>
                <w:szCs w:val="18"/>
              </w:rPr>
              <w:t xml:space="preserve">ace of the </w:t>
            </w:r>
            <w:r w:rsidR="00A4734B" w:rsidRPr="00BD66CE">
              <w:rPr>
                <w:rFonts w:ascii="Verdana" w:hAnsi="Verdana"/>
                <w:sz w:val="18"/>
                <w:szCs w:val="18"/>
              </w:rPr>
              <w:t>P</w:t>
            </w:r>
            <w:r w:rsidRPr="00BD66CE">
              <w:rPr>
                <w:rFonts w:ascii="Verdana" w:hAnsi="Verdana"/>
                <w:sz w:val="18"/>
                <w:szCs w:val="18"/>
              </w:rPr>
              <w:t xml:space="preserve">andemic by COVID-19 </w:t>
            </w:r>
            <w:r w:rsidR="000E3773" w:rsidRPr="00BD66CE">
              <w:rPr>
                <w:rFonts w:ascii="Verdana" w:hAnsi="Verdana"/>
                <w:sz w:val="18"/>
                <w:szCs w:val="21"/>
              </w:rPr>
              <w:t>[62].</w:t>
            </w:r>
          </w:p>
        </w:tc>
        <w:tc>
          <w:tcPr>
            <w:tcW w:w="6237" w:type="dxa"/>
          </w:tcPr>
          <w:p w14:paraId="3F4026BD" w14:textId="5BD16F31" w:rsidR="00020701" w:rsidRPr="00BD66CE" w:rsidRDefault="00EF626B" w:rsidP="003535E3">
            <w:pPr>
              <w:pStyle w:val="MDPI31text"/>
              <w:ind w:left="0" w:firstLine="0"/>
              <w:rPr>
                <w:rFonts w:ascii="Verdana" w:hAnsi="Verdana"/>
                <w:sz w:val="18"/>
                <w:szCs w:val="21"/>
              </w:rPr>
            </w:pPr>
            <w:r w:rsidRPr="00BD66CE">
              <w:rPr>
                <w:rFonts w:ascii="Verdana" w:hAnsi="Verdana"/>
                <w:sz w:val="18"/>
                <w:szCs w:val="21"/>
              </w:rPr>
              <w:t xml:space="preserve">This is a northern document for the telephone accompaniment of elderly people with or without a positive diagnosis. It includes assistance to general health, mental health, and strengthening with local health services. </w:t>
            </w:r>
          </w:p>
        </w:tc>
      </w:tr>
      <w:tr w:rsidR="002A448E" w:rsidRPr="00BD66CE" w14:paraId="23C3C4B9" w14:textId="77777777" w:rsidTr="00C97632">
        <w:tc>
          <w:tcPr>
            <w:tcW w:w="1129" w:type="dxa"/>
          </w:tcPr>
          <w:p w14:paraId="280E64EC" w14:textId="77777777" w:rsidR="008F406E" w:rsidRPr="00BD66CE" w:rsidRDefault="002A448E" w:rsidP="003535E3">
            <w:pPr>
              <w:pStyle w:val="MDPI31text"/>
              <w:ind w:left="0" w:firstLine="0"/>
              <w:rPr>
                <w:rFonts w:ascii="Verdana" w:hAnsi="Verdana"/>
                <w:b/>
                <w:bCs/>
                <w:sz w:val="18"/>
                <w:szCs w:val="21"/>
              </w:rPr>
            </w:pPr>
            <w:r w:rsidRPr="00BD66CE">
              <w:rPr>
                <w:rFonts w:ascii="Verdana" w:hAnsi="Verdana"/>
                <w:b/>
                <w:bCs/>
                <w:sz w:val="18"/>
                <w:szCs w:val="21"/>
              </w:rPr>
              <w:t xml:space="preserve">El </w:t>
            </w:r>
          </w:p>
          <w:p w14:paraId="4D724EF7" w14:textId="1079B481" w:rsidR="002A448E" w:rsidRPr="00BD66CE" w:rsidRDefault="002A448E" w:rsidP="003535E3">
            <w:pPr>
              <w:pStyle w:val="MDPI31text"/>
              <w:ind w:left="0" w:firstLine="0"/>
              <w:rPr>
                <w:rFonts w:ascii="Verdana" w:hAnsi="Verdana"/>
                <w:b/>
                <w:bCs/>
                <w:sz w:val="18"/>
                <w:szCs w:val="21"/>
              </w:rPr>
            </w:pPr>
            <w:r w:rsidRPr="00BD66CE">
              <w:rPr>
                <w:rFonts w:ascii="Verdana" w:hAnsi="Verdana"/>
                <w:b/>
                <w:bCs/>
                <w:sz w:val="18"/>
                <w:szCs w:val="21"/>
              </w:rPr>
              <w:t>Salvador</w:t>
            </w:r>
          </w:p>
        </w:tc>
        <w:tc>
          <w:tcPr>
            <w:tcW w:w="3261" w:type="dxa"/>
          </w:tcPr>
          <w:p w14:paraId="61FB7A34" w14:textId="49B03639" w:rsidR="002A448E" w:rsidRPr="00BD66CE" w:rsidRDefault="00A07EB4" w:rsidP="003535E3">
            <w:pPr>
              <w:pStyle w:val="MDPI31text"/>
              <w:ind w:left="0" w:firstLine="0"/>
              <w:rPr>
                <w:rFonts w:ascii="Verdana" w:hAnsi="Verdana"/>
                <w:sz w:val="18"/>
                <w:szCs w:val="21"/>
              </w:rPr>
            </w:pPr>
            <w:r w:rsidRPr="00BD66CE">
              <w:rPr>
                <w:rFonts w:ascii="Verdana" w:hAnsi="Verdana"/>
                <w:sz w:val="18"/>
                <w:szCs w:val="21"/>
              </w:rPr>
              <w:t xml:space="preserve">National </w:t>
            </w:r>
            <w:r w:rsidR="00A4734B" w:rsidRPr="00BD66CE">
              <w:rPr>
                <w:rFonts w:ascii="Verdana" w:hAnsi="Verdana"/>
                <w:sz w:val="18"/>
                <w:szCs w:val="21"/>
              </w:rPr>
              <w:t>P</w:t>
            </w:r>
            <w:r w:rsidRPr="00BD66CE">
              <w:rPr>
                <w:rFonts w:ascii="Verdana" w:hAnsi="Verdana"/>
                <w:sz w:val="18"/>
                <w:szCs w:val="21"/>
              </w:rPr>
              <w:t xml:space="preserve">reparedness and </w:t>
            </w:r>
            <w:r w:rsidR="00A4734B" w:rsidRPr="00BD66CE">
              <w:rPr>
                <w:rFonts w:ascii="Verdana" w:hAnsi="Verdana"/>
                <w:sz w:val="18"/>
                <w:szCs w:val="21"/>
              </w:rPr>
              <w:t>R</w:t>
            </w:r>
            <w:r w:rsidRPr="00BD66CE">
              <w:rPr>
                <w:rFonts w:ascii="Verdana" w:hAnsi="Verdana"/>
                <w:sz w:val="18"/>
                <w:szCs w:val="21"/>
              </w:rPr>
              <w:t xml:space="preserve">esponse </w:t>
            </w:r>
            <w:r w:rsidR="00A4734B" w:rsidRPr="00BD66CE">
              <w:rPr>
                <w:rFonts w:ascii="Verdana" w:hAnsi="Verdana"/>
                <w:sz w:val="18"/>
                <w:szCs w:val="21"/>
              </w:rPr>
              <w:t>P</w:t>
            </w:r>
            <w:r w:rsidRPr="00BD66CE">
              <w:rPr>
                <w:rFonts w:ascii="Verdana" w:hAnsi="Verdana"/>
                <w:sz w:val="18"/>
                <w:szCs w:val="21"/>
              </w:rPr>
              <w:t xml:space="preserve">lan for Novel Coronavirus (2019 - nCov), El Salvador 2020 </w:t>
            </w:r>
            <w:r w:rsidR="000E3773" w:rsidRPr="00BD66CE">
              <w:rPr>
                <w:rFonts w:ascii="Verdana" w:hAnsi="Verdana"/>
                <w:sz w:val="18"/>
                <w:szCs w:val="21"/>
              </w:rPr>
              <w:t>[63].</w:t>
            </w:r>
          </w:p>
        </w:tc>
        <w:tc>
          <w:tcPr>
            <w:tcW w:w="6237" w:type="dxa"/>
          </w:tcPr>
          <w:p w14:paraId="078C130E" w14:textId="2AE3DF20" w:rsidR="002A448E" w:rsidRPr="00BD66CE" w:rsidRDefault="00A07EB4" w:rsidP="003535E3">
            <w:pPr>
              <w:pStyle w:val="MDPI31text"/>
              <w:ind w:left="0" w:firstLine="0"/>
              <w:rPr>
                <w:rFonts w:ascii="Verdana" w:hAnsi="Verdana"/>
                <w:sz w:val="18"/>
                <w:szCs w:val="21"/>
              </w:rPr>
            </w:pPr>
            <w:r w:rsidRPr="00BD66CE">
              <w:rPr>
                <w:rFonts w:ascii="Verdana" w:hAnsi="Verdana"/>
                <w:sz w:val="18"/>
                <w:szCs w:val="21"/>
              </w:rPr>
              <w:t xml:space="preserve">The document guides public and private sector institutions to reinforce efforts to evaluate and readjust the components of the rapid response plan, ensuring the reduction of the impact on the elderly population. Legal and technical advice is promoted in collective housing institutions and geriatric clinics, as well as reinforcing protection measures in the geriatric units of regional and national hospitals. </w:t>
            </w:r>
          </w:p>
        </w:tc>
      </w:tr>
      <w:tr w:rsidR="00813DA1" w:rsidRPr="00BD66CE" w14:paraId="203BFBD9" w14:textId="77777777" w:rsidTr="00C97632">
        <w:tc>
          <w:tcPr>
            <w:tcW w:w="1129" w:type="dxa"/>
            <w:vMerge w:val="restart"/>
          </w:tcPr>
          <w:p w14:paraId="1C34B1F9" w14:textId="77777777" w:rsidR="00020701" w:rsidRPr="00BD66CE" w:rsidRDefault="00020701" w:rsidP="003535E3">
            <w:pPr>
              <w:pStyle w:val="MDPI31text"/>
              <w:ind w:left="0" w:firstLine="0"/>
              <w:rPr>
                <w:rFonts w:ascii="Verdana" w:hAnsi="Verdana"/>
                <w:b/>
                <w:bCs/>
                <w:sz w:val="18"/>
                <w:szCs w:val="21"/>
              </w:rPr>
            </w:pPr>
          </w:p>
          <w:p w14:paraId="7594AAE0" w14:textId="77777777" w:rsidR="00020701" w:rsidRPr="00BD66CE" w:rsidRDefault="00020701" w:rsidP="003535E3">
            <w:pPr>
              <w:pStyle w:val="MDPI31text"/>
              <w:ind w:left="0" w:firstLine="0"/>
              <w:rPr>
                <w:rFonts w:ascii="Verdana" w:hAnsi="Verdana"/>
                <w:b/>
                <w:bCs/>
                <w:sz w:val="18"/>
                <w:szCs w:val="21"/>
              </w:rPr>
            </w:pPr>
          </w:p>
          <w:p w14:paraId="236B7FA4" w14:textId="77777777" w:rsidR="00020701" w:rsidRPr="00BD66CE" w:rsidRDefault="00020701" w:rsidP="003535E3">
            <w:pPr>
              <w:pStyle w:val="MDPI31text"/>
              <w:ind w:left="0" w:firstLine="0"/>
              <w:rPr>
                <w:rFonts w:ascii="Verdana" w:hAnsi="Verdana"/>
                <w:b/>
                <w:bCs/>
                <w:sz w:val="18"/>
                <w:szCs w:val="21"/>
              </w:rPr>
            </w:pPr>
          </w:p>
          <w:p w14:paraId="70B4EFB7" w14:textId="77777777" w:rsidR="00020701" w:rsidRPr="00BD66CE" w:rsidRDefault="00020701" w:rsidP="003535E3">
            <w:pPr>
              <w:pStyle w:val="MDPI31text"/>
              <w:ind w:left="0" w:firstLine="0"/>
              <w:rPr>
                <w:rFonts w:ascii="Verdana" w:hAnsi="Verdana"/>
                <w:b/>
                <w:bCs/>
                <w:sz w:val="18"/>
                <w:szCs w:val="21"/>
              </w:rPr>
            </w:pPr>
          </w:p>
          <w:p w14:paraId="7129A89E" w14:textId="77777777" w:rsidR="00020701" w:rsidRPr="00BD66CE" w:rsidRDefault="00020701" w:rsidP="003535E3">
            <w:pPr>
              <w:pStyle w:val="MDPI31text"/>
              <w:ind w:left="0" w:firstLine="0"/>
              <w:rPr>
                <w:rFonts w:ascii="Verdana" w:hAnsi="Verdana"/>
                <w:b/>
                <w:bCs/>
                <w:sz w:val="18"/>
                <w:szCs w:val="21"/>
              </w:rPr>
            </w:pPr>
          </w:p>
          <w:p w14:paraId="75EC0011" w14:textId="77777777" w:rsidR="00020701" w:rsidRPr="00BD66CE" w:rsidRDefault="00020701" w:rsidP="003535E3">
            <w:pPr>
              <w:pStyle w:val="MDPI31text"/>
              <w:ind w:left="0" w:firstLine="0"/>
              <w:rPr>
                <w:rFonts w:ascii="Verdana" w:hAnsi="Verdana"/>
                <w:b/>
                <w:bCs/>
                <w:sz w:val="18"/>
                <w:szCs w:val="21"/>
              </w:rPr>
            </w:pPr>
          </w:p>
          <w:p w14:paraId="45CB0C13" w14:textId="7B1F2C1B" w:rsidR="00813DA1" w:rsidRPr="00BD66CE" w:rsidRDefault="00813DA1" w:rsidP="003535E3">
            <w:pPr>
              <w:pStyle w:val="MDPI31text"/>
              <w:ind w:left="0" w:firstLine="0"/>
              <w:rPr>
                <w:rFonts w:ascii="Verdana" w:hAnsi="Verdana"/>
                <w:b/>
                <w:bCs/>
                <w:sz w:val="18"/>
                <w:szCs w:val="21"/>
              </w:rPr>
            </w:pPr>
            <w:r w:rsidRPr="00BD66CE">
              <w:rPr>
                <w:rFonts w:ascii="Verdana" w:hAnsi="Verdana"/>
                <w:b/>
                <w:bCs/>
                <w:sz w:val="18"/>
                <w:szCs w:val="21"/>
              </w:rPr>
              <w:t>Guatemala</w:t>
            </w:r>
          </w:p>
        </w:tc>
        <w:tc>
          <w:tcPr>
            <w:tcW w:w="3261" w:type="dxa"/>
          </w:tcPr>
          <w:p w14:paraId="285EAF5F" w14:textId="00BF3C8E" w:rsidR="00813DA1" w:rsidRPr="00BD66CE" w:rsidRDefault="00813DA1" w:rsidP="003535E3">
            <w:pPr>
              <w:pStyle w:val="MDPI31text"/>
              <w:ind w:left="0" w:firstLine="0"/>
              <w:rPr>
                <w:rFonts w:ascii="Verdana" w:hAnsi="Verdana"/>
                <w:sz w:val="18"/>
                <w:szCs w:val="21"/>
              </w:rPr>
            </w:pPr>
            <w:r w:rsidRPr="00BD66CE">
              <w:rPr>
                <w:rFonts w:ascii="Verdana" w:hAnsi="Verdana"/>
                <w:sz w:val="18"/>
                <w:szCs w:val="21"/>
              </w:rPr>
              <w:t xml:space="preserve">Plan for the </w:t>
            </w:r>
            <w:r w:rsidR="00D213AE" w:rsidRPr="00BD66CE">
              <w:rPr>
                <w:rFonts w:ascii="Verdana" w:hAnsi="Verdana"/>
                <w:sz w:val="18"/>
                <w:szCs w:val="21"/>
              </w:rPr>
              <w:t>P</w:t>
            </w:r>
            <w:r w:rsidRPr="00BD66CE">
              <w:rPr>
                <w:rFonts w:ascii="Verdana" w:hAnsi="Verdana"/>
                <w:sz w:val="18"/>
                <w:szCs w:val="21"/>
              </w:rPr>
              <w:t xml:space="preserve">revention, </w:t>
            </w:r>
            <w:r w:rsidR="00D213AE" w:rsidRPr="00BD66CE">
              <w:rPr>
                <w:rFonts w:ascii="Verdana" w:hAnsi="Verdana"/>
                <w:sz w:val="18"/>
                <w:szCs w:val="21"/>
              </w:rPr>
              <w:t>C</w:t>
            </w:r>
            <w:r w:rsidRPr="00BD66CE">
              <w:rPr>
                <w:rFonts w:ascii="Verdana" w:hAnsi="Verdana"/>
                <w:sz w:val="18"/>
                <w:szCs w:val="21"/>
              </w:rPr>
              <w:t xml:space="preserve">ontainment and </w:t>
            </w:r>
            <w:r w:rsidR="00D213AE" w:rsidRPr="00BD66CE">
              <w:rPr>
                <w:rFonts w:ascii="Verdana" w:hAnsi="Verdana"/>
                <w:sz w:val="18"/>
                <w:szCs w:val="21"/>
              </w:rPr>
              <w:t>R</w:t>
            </w:r>
            <w:r w:rsidRPr="00BD66CE">
              <w:rPr>
                <w:rFonts w:ascii="Verdana" w:hAnsi="Verdana"/>
                <w:sz w:val="18"/>
                <w:szCs w:val="21"/>
              </w:rPr>
              <w:t xml:space="preserve">esponse to cases of </w:t>
            </w:r>
            <w:r w:rsidR="00D213AE" w:rsidRPr="00BD66CE">
              <w:rPr>
                <w:rFonts w:ascii="Verdana" w:hAnsi="Verdana"/>
                <w:sz w:val="18"/>
                <w:szCs w:val="21"/>
              </w:rPr>
              <w:t>C</w:t>
            </w:r>
            <w:r w:rsidRPr="00BD66CE">
              <w:rPr>
                <w:rFonts w:ascii="Verdana" w:hAnsi="Verdana"/>
                <w:sz w:val="18"/>
                <w:szCs w:val="21"/>
              </w:rPr>
              <w:t xml:space="preserve">oronavirus (COVID-19) in Guatemala </w:t>
            </w:r>
            <w:r w:rsidR="000E3773" w:rsidRPr="00BD66CE">
              <w:rPr>
                <w:rFonts w:ascii="Verdana" w:hAnsi="Verdana"/>
                <w:sz w:val="18"/>
                <w:szCs w:val="21"/>
              </w:rPr>
              <w:t>[64].</w:t>
            </w:r>
          </w:p>
        </w:tc>
        <w:tc>
          <w:tcPr>
            <w:tcW w:w="6237" w:type="dxa"/>
          </w:tcPr>
          <w:p w14:paraId="537A91E6" w14:textId="52FFA581" w:rsidR="00813DA1" w:rsidRPr="00BD66CE" w:rsidRDefault="00813DA1" w:rsidP="003535E3">
            <w:pPr>
              <w:pStyle w:val="MDPI31text"/>
              <w:ind w:left="0" w:firstLine="0"/>
              <w:rPr>
                <w:rFonts w:ascii="Verdana" w:hAnsi="Verdana"/>
                <w:sz w:val="18"/>
                <w:szCs w:val="21"/>
              </w:rPr>
            </w:pPr>
            <w:r w:rsidRPr="00BD66CE">
              <w:rPr>
                <w:rFonts w:ascii="Verdana" w:hAnsi="Verdana"/>
                <w:sz w:val="18"/>
                <w:szCs w:val="21"/>
              </w:rPr>
              <w:t xml:space="preserve">To prioritize the implementation of prevention, containment and response measures in the areas of greatest biological and social risk, with special attention to the elderly population. To provide medical assistance in specialized centers or </w:t>
            </w:r>
            <w:r w:rsidR="007C7286" w:rsidRPr="00BD66CE">
              <w:rPr>
                <w:rFonts w:ascii="Verdana" w:hAnsi="Verdana"/>
                <w:sz w:val="18"/>
                <w:szCs w:val="21"/>
              </w:rPr>
              <w:t xml:space="preserve">geriatric </w:t>
            </w:r>
            <w:r w:rsidRPr="00BD66CE">
              <w:rPr>
                <w:rFonts w:ascii="Verdana" w:hAnsi="Verdana"/>
                <w:sz w:val="18"/>
                <w:szCs w:val="21"/>
              </w:rPr>
              <w:t>units for the management and treatment of coronavirus.</w:t>
            </w:r>
            <w:r w:rsidR="007927FA" w:rsidRPr="00BD66CE">
              <w:rPr>
                <w:rFonts w:ascii="Verdana" w:hAnsi="Verdana"/>
                <w:sz w:val="18"/>
                <w:szCs w:val="21"/>
              </w:rPr>
              <w:t xml:space="preserve"> </w:t>
            </w:r>
          </w:p>
        </w:tc>
      </w:tr>
      <w:tr w:rsidR="00813DA1" w:rsidRPr="00BD66CE" w14:paraId="0EAD3DCA" w14:textId="77777777" w:rsidTr="00C97632">
        <w:tc>
          <w:tcPr>
            <w:tcW w:w="1129" w:type="dxa"/>
            <w:vMerge/>
          </w:tcPr>
          <w:p w14:paraId="23B949EF" w14:textId="77777777" w:rsidR="00813DA1" w:rsidRPr="00BD66CE" w:rsidRDefault="00813DA1" w:rsidP="003535E3">
            <w:pPr>
              <w:pStyle w:val="MDPI31text"/>
              <w:ind w:left="0" w:firstLine="0"/>
              <w:rPr>
                <w:rFonts w:ascii="Verdana" w:hAnsi="Verdana"/>
                <w:b/>
                <w:bCs/>
                <w:sz w:val="18"/>
                <w:szCs w:val="21"/>
              </w:rPr>
            </w:pPr>
          </w:p>
        </w:tc>
        <w:tc>
          <w:tcPr>
            <w:tcW w:w="3261" w:type="dxa"/>
          </w:tcPr>
          <w:p w14:paraId="16560E79" w14:textId="09E7F054" w:rsidR="00813DA1" w:rsidRPr="00BD66CE" w:rsidRDefault="00813DA1" w:rsidP="003535E3">
            <w:pPr>
              <w:pStyle w:val="MDPI31text"/>
              <w:ind w:left="0" w:firstLine="0"/>
              <w:rPr>
                <w:rFonts w:ascii="Verdana" w:hAnsi="Verdana"/>
                <w:sz w:val="18"/>
                <w:szCs w:val="21"/>
              </w:rPr>
            </w:pPr>
            <w:r w:rsidRPr="00BD66CE">
              <w:rPr>
                <w:rFonts w:ascii="Verdana" w:hAnsi="Verdana"/>
                <w:sz w:val="18"/>
                <w:szCs w:val="21"/>
              </w:rPr>
              <w:t xml:space="preserve">COVID-19 </w:t>
            </w:r>
            <w:r w:rsidR="00D213AE" w:rsidRPr="00BD66CE">
              <w:rPr>
                <w:rFonts w:ascii="Verdana" w:hAnsi="Verdana"/>
                <w:sz w:val="18"/>
                <w:szCs w:val="21"/>
              </w:rPr>
              <w:t>H</w:t>
            </w:r>
            <w:r w:rsidRPr="00BD66CE">
              <w:rPr>
                <w:rFonts w:ascii="Verdana" w:hAnsi="Verdana"/>
                <w:sz w:val="18"/>
                <w:szCs w:val="21"/>
              </w:rPr>
              <w:t xml:space="preserve">umanitarian </w:t>
            </w:r>
            <w:r w:rsidR="00D213AE" w:rsidRPr="00BD66CE">
              <w:rPr>
                <w:rFonts w:ascii="Verdana" w:hAnsi="Verdana"/>
                <w:sz w:val="18"/>
                <w:szCs w:val="21"/>
              </w:rPr>
              <w:t>R</w:t>
            </w:r>
            <w:r w:rsidRPr="00BD66CE">
              <w:rPr>
                <w:rFonts w:ascii="Verdana" w:hAnsi="Verdana"/>
                <w:sz w:val="18"/>
                <w:szCs w:val="21"/>
              </w:rPr>
              <w:t xml:space="preserve">esponse </w:t>
            </w:r>
            <w:r w:rsidR="00D213AE" w:rsidRPr="00BD66CE">
              <w:rPr>
                <w:rFonts w:ascii="Verdana" w:hAnsi="Verdana"/>
                <w:sz w:val="18"/>
                <w:szCs w:val="21"/>
              </w:rPr>
              <w:t>P</w:t>
            </w:r>
            <w:r w:rsidRPr="00BD66CE">
              <w:rPr>
                <w:rFonts w:ascii="Verdana" w:hAnsi="Verdana"/>
                <w:sz w:val="18"/>
                <w:szCs w:val="21"/>
              </w:rPr>
              <w:t xml:space="preserve">lan </w:t>
            </w:r>
            <w:r w:rsidR="000E3773" w:rsidRPr="00BD66CE">
              <w:rPr>
                <w:rFonts w:ascii="Verdana" w:hAnsi="Verdana"/>
                <w:sz w:val="18"/>
                <w:szCs w:val="21"/>
              </w:rPr>
              <w:t>[65].</w:t>
            </w:r>
          </w:p>
        </w:tc>
        <w:tc>
          <w:tcPr>
            <w:tcW w:w="6237" w:type="dxa"/>
          </w:tcPr>
          <w:p w14:paraId="7E75F7B8" w14:textId="0156E8DC" w:rsidR="00813DA1" w:rsidRPr="00BD66CE" w:rsidRDefault="00813DA1" w:rsidP="003535E3">
            <w:pPr>
              <w:pStyle w:val="MDPI31text"/>
              <w:ind w:left="0" w:firstLine="0"/>
              <w:rPr>
                <w:rFonts w:ascii="Verdana" w:hAnsi="Verdana"/>
                <w:sz w:val="18"/>
                <w:szCs w:val="21"/>
              </w:rPr>
            </w:pPr>
            <w:r w:rsidRPr="00BD66CE">
              <w:rPr>
                <w:rFonts w:ascii="Verdana" w:hAnsi="Verdana"/>
                <w:sz w:val="18"/>
                <w:szCs w:val="21"/>
              </w:rPr>
              <w:t xml:space="preserve">To strengthen capacities to guarantee quality care that is culturally relevant and respectful of the differentiated needs of the population, especially the elderly due to their </w:t>
            </w:r>
            <w:r w:rsidR="007C7286" w:rsidRPr="00BD66CE">
              <w:rPr>
                <w:rFonts w:ascii="Verdana" w:hAnsi="Verdana"/>
                <w:sz w:val="18"/>
                <w:szCs w:val="21"/>
              </w:rPr>
              <w:t>physio-pathological</w:t>
            </w:r>
            <w:r w:rsidRPr="00BD66CE">
              <w:rPr>
                <w:rFonts w:ascii="Verdana" w:hAnsi="Verdana"/>
                <w:sz w:val="18"/>
                <w:szCs w:val="21"/>
              </w:rPr>
              <w:t xml:space="preserve"> vulnerability to</w:t>
            </w:r>
            <w:r w:rsidR="007C7286" w:rsidRPr="00BD66CE">
              <w:rPr>
                <w:rFonts w:ascii="Verdana" w:hAnsi="Verdana"/>
                <w:sz w:val="18"/>
                <w:szCs w:val="21"/>
              </w:rPr>
              <w:t xml:space="preserve"> SARS-CoV-2</w:t>
            </w:r>
            <w:r w:rsidRPr="00BD66CE">
              <w:rPr>
                <w:rFonts w:ascii="Verdana" w:hAnsi="Verdana"/>
                <w:sz w:val="18"/>
                <w:szCs w:val="21"/>
              </w:rPr>
              <w:t>. To increase the health budget in a sustained and progressive manner, through the identification of adequate fiscal space, in favor of universal access to the right to health. To temporarily expand the social protection programs of the different institutions to be implemented at the end of the first emergency phase, articulated with the pre-existing ones and oriented to generate greater welfare and resilience of the people, containing aspects of food, health and education as a minimum, so that they can avoid the greatest risks left by the pandemic.</w:t>
            </w:r>
          </w:p>
        </w:tc>
      </w:tr>
      <w:tr w:rsidR="007C7895" w:rsidRPr="00BD66CE" w14:paraId="4F3474AE" w14:textId="77777777" w:rsidTr="00C97632">
        <w:tc>
          <w:tcPr>
            <w:tcW w:w="1129" w:type="dxa"/>
            <w:vMerge w:val="restart"/>
          </w:tcPr>
          <w:p w14:paraId="089E8384" w14:textId="77777777" w:rsidR="007C7895" w:rsidRPr="00BD66CE" w:rsidRDefault="007C7895" w:rsidP="003535E3">
            <w:pPr>
              <w:pStyle w:val="MDPI31text"/>
              <w:ind w:left="0" w:firstLine="0"/>
              <w:rPr>
                <w:rFonts w:ascii="Verdana" w:hAnsi="Verdana"/>
                <w:b/>
                <w:bCs/>
                <w:sz w:val="18"/>
                <w:szCs w:val="21"/>
              </w:rPr>
            </w:pPr>
          </w:p>
          <w:p w14:paraId="54F83B3D" w14:textId="77777777" w:rsidR="007C7895" w:rsidRPr="00BD66CE" w:rsidRDefault="007C7895" w:rsidP="003535E3">
            <w:pPr>
              <w:pStyle w:val="MDPI31text"/>
              <w:ind w:left="0" w:firstLine="0"/>
              <w:rPr>
                <w:rFonts w:ascii="Verdana" w:hAnsi="Verdana"/>
                <w:b/>
                <w:bCs/>
                <w:sz w:val="18"/>
                <w:szCs w:val="21"/>
              </w:rPr>
            </w:pPr>
          </w:p>
          <w:p w14:paraId="58C1CCD7" w14:textId="77777777" w:rsidR="007C7895" w:rsidRPr="00BD66CE" w:rsidRDefault="007C7895" w:rsidP="003535E3">
            <w:pPr>
              <w:pStyle w:val="MDPI31text"/>
              <w:ind w:left="0" w:firstLine="0"/>
              <w:rPr>
                <w:rFonts w:ascii="Verdana" w:hAnsi="Verdana"/>
                <w:b/>
                <w:bCs/>
                <w:sz w:val="18"/>
                <w:szCs w:val="21"/>
              </w:rPr>
            </w:pPr>
          </w:p>
          <w:p w14:paraId="55092B9A" w14:textId="77777777" w:rsidR="007C7895" w:rsidRPr="00BD66CE" w:rsidRDefault="007C7895" w:rsidP="003535E3">
            <w:pPr>
              <w:pStyle w:val="MDPI31text"/>
              <w:ind w:left="0" w:firstLine="0"/>
              <w:rPr>
                <w:rFonts w:ascii="Verdana" w:hAnsi="Verdana"/>
                <w:b/>
                <w:bCs/>
                <w:sz w:val="18"/>
                <w:szCs w:val="21"/>
              </w:rPr>
            </w:pPr>
          </w:p>
          <w:p w14:paraId="6DF5D0A8" w14:textId="09EF1F1C" w:rsidR="007C7895" w:rsidRPr="00BD66CE" w:rsidRDefault="007C7895" w:rsidP="003535E3">
            <w:pPr>
              <w:pStyle w:val="MDPI31text"/>
              <w:ind w:left="0" w:firstLine="0"/>
              <w:rPr>
                <w:rFonts w:ascii="Verdana" w:hAnsi="Verdana"/>
                <w:b/>
                <w:bCs/>
                <w:sz w:val="18"/>
                <w:szCs w:val="21"/>
              </w:rPr>
            </w:pPr>
            <w:r w:rsidRPr="00BD66CE">
              <w:rPr>
                <w:rFonts w:ascii="Verdana" w:hAnsi="Verdana"/>
                <w:b/>
                <w:bCs/>
                <w:sz w:val="18"/>
                <w:szCs w:val="21"/>
              </w:rPr>
              <w:t>Honduras</w:t>
            </w:r>
          </w:p>
        </w:tc>
        <w:tc>
          <w:tcPr>
            <w:tcW w:w="3261" w:type="dxa"/>
          </w:tcPr>
          <w:p w14:paraId="38397EC3" w14:textId="505A5C5E" w:rsidR="007C7895" w:rsidRPr="00BD66CE" w:rsidRDefault="0090490D" w:rsidP="003535E3">
            <w:pPr>
              <w:pStyle w:val="MDPI31text"/>
              <w:ind w:left="0" w:firstLine="0"/>
              <w:rPr>
                <w:rFonts w:ascii="Verdana" w:hAnsi="Verdana"/>
                <w:sz w:val="18"/>
                <w:szCs w:val="21"/>
              </w:rPr>
            </w:pPr>
            <w:r w:rsidRPr="00BD66CE">
              <w:rPr>
                <w:rFonts w:ascii="Verdana" w:hAnsi="Verdana"/>
                <w:sz w:val="18"/>
                <w:szCs w:val="21"/>
              </w:rPr>
              <w:t>COVID</w:t>
            </w:r>
            <w:r w:rsidR="007C7895" w:rsidRPr="00BD66CE">
              <w:rPr>
                <w:rFonts w:ascii="Verdana" w:hAnsi="Verdana"/>
                <w:sz w:val="18"/>
                <w:szCs w:val="21"/>
              </w:rPr>
              <w:t xml:space="preserve">-19's National Risk Communication and Social Participation Plan in Honduras </w:t>
            </w:r>
            <w:r w:rsidR="000E3773" w:rsidRPr="00BD66CE">
              <w:rPr>
                <w:rFonts w:ascii="Verdana" w:hAnsi="Verdana"/>
                <w:sz w:val="18"/>
                <w:szCs w:val="21"/>
              </w:rPr>
              <w:t>[66].</w:t>
            </w:r>
          </w:p>
        </w:tc>
        <w:tc>
          <w:tcPr>
            <w:tcW w:w="6237" w:type="dxa"/>
          </w:tcPr>
          <w:p w14:paraId="10C0CAE5" w14:textId="1DC3EB3A" w:rsidR="007C7895" w:rsidRPr="00BD66CE" w:rsidRDefault="007C7895" w:rsidP="003535E3">
            <w:pPr>
              <w:pStyle w:val="MDPI31text"/>
              <w:ind w:left="0" w:firstLine="0"/>
              <w:rPr>
                <w:rFonts w:ascii="Verdana" w:hAnsi="Verdana"/>
                <w:sz w:val="18"/>
                <w:szCs w:val="21"/>
              </w:rPr>
            </w:pPr>
            <w:r w:rsidRPr="00BD66CE">
              <w:rPr>
                <w:rFonts w:ascii="Verdana" w:hAnsi="Verdana"/>
                <w:sz w:val="18"/>
                <w:szCs w:val="21"/>
              </w:rPr>
              <w:t>It raises a series of national recommendations to combat ageism and fake news that involve prejudices against the elderly. It proposes ways of articulation between public ministries to provide accurate, immediate, and pointful information for the elderly population.</w:t>
            </w:r>
          </w:p>
        </w:tc>
      </w:tr>
      <w:tr w:rsidR="007C7895" w:rsidRPr="00BD66CE" w14:paraId="0EC511CA" w14:textId="77777777" w:rsidTr="00C97632">
        <w:tc>
          <w:tcPr>
            <w:tcW w:w="1129" w:type="dxa"/>
            <w:vMerge/>
          </w:tcPr>
          <w:p w14:paraId="07363367" w14:textId="77777777" w:rsidR="007C7895" w:rsidRPr="00BD66CE" w:rsidRDefault="007C7895" w:rsidP="003535E3">
            <w:pPr>
              <w:pStyle w:val="MDPI31text"/>
              <w:ind w:left="0" w:firstLine="0"/>
              <w:rPr>
                <w:rFonts w:ascii="Verdana" w:hAnsi="Verdana"/>
                <w:b/>
                <w:bCs/>
                <w:sz w:val="18"/>
                <w:szCs w:val="21"/>
              </w:rPr>
            </w:pPr>
          </w:p>
        </w:tc>
        <w:tc>
          <w:tcPr>
            <w:tcW w:w="3261" w:type="dxa"/>
          </w:tcPr>
          <w:p w14:paraId="455EAE9D" w14:textId="583B9189" w:rsidR="007C7895" w:rsidRPr="00BD66CE" w:rsidRDefault="007C7895" w:rsidP="003535E3">
            <w:pPr>
              <w:pStyle w:val="MDPI31text"/>
              <w:ind w:left="0" w:firstLine="0"/>
              <w:rPr>
                <w:rFonts w:ascii="Verdana" w:hAnsi="Verdana"/>
                <w:sz w:val="18"/>
                <w:szCs w:val="21"/>
              </w:rPr>
            </w:pPr>
            <w:r w:rsidRPr="00BD66CE">
              <w:rPr>
                <w:rFonts w:ascii="Verdana" w:hAnsi="Verdana"/>
                <w:sz w:val="18"/>
                <w:szCs w:val="21"/>
              </w:rPr>
              <w:t xml:space="preserve">Guidelines for the </w:t>
            </w:r>
            <w:r w:rsidR="00A4287A" w:rsidRPr="00BD66CE">
              <w:rPr>
                <w:rFonts w:ascii="Verdana" w:hAnsi="Verdana"/>
                <w:sz w:val="18"/>
                <w:szCs w:val="21"/>
              </w:rPr>
              <w:t>I</w:t>
            </w:r>
            <w:r w:rsidRPr="00BD66CE">
              <w:rPr>
                <w:rFonts w:ascii="Verdana" w:hAnsi="Verdana"/>
                <w:sz w:val="18"/>
                <w:szCs w:val="21"/>
              </w:rPr>
              <w:t xml:space="preserve">mplementation of </w:t>
            </w:r>
            <w:r w:rsidR="00A4287A" w:rsidRPr="00BD66CE">
              <w:rPr>
                <w:rFonts w:ascii="Verdana" w:hAnsi="Verdana"/>
                <w:sz w:val="18"/>
                <w:szCs w:val="21"/>
              </w:rPr>
              <w:t>T</w:t>
            </w:r>
            <w:r w:rsidRPr="00BD66CE">
              <w:rPr>
                <w:rFonts w:ascii="Verdana" w:hAnsi="Verdana"/>
                <w:sz w:val="18"/>
                <w:szCs w:val="21"/>
              </w:rPr>
              <w:t xml:space="preserve">emporary </w:t>
            </w:r>
            <w:r w:rsidR="00A4287A" w:rsidRPr="00BD66CE">
              <w:rPr>
                <w:rFonts w:ascii="Verdana" w:hAnsi="Verdana"/>
                <w:sz w:val="18"/>
                <w:szCs w:val="21"/>
              </w:rPr>
              <w:t>S</w:t>
            </w:r>
            <w:r w:rsidRPr="00BD66CE">
              <w:rPr>
                <w:rFonts w:ascii="Verdana" w:hAnsi="Verdana"/>
                <w:sz w:val="18"/>
                <w:szCs w:val="21"/>
              </w:rPr>
              <w:t xml:space="preserve">helters in </w:t>
            </w:r>
            <w:r w:rsidR="00A4287A" w:rsidRPr="00BD66CE">
              <w:rPr>
                <w:rFonts w:ascii="Verdana" w:hAnsi="Verdana"/>
                <w:sz w:val="18"/>
                <w:szCs w:val="21"/>
              </w:rPr>
              <w:t>E</w:t>
            </w:r>
            <w:r w:rsidRPr="00BD66CE">
              <w:rPr>
                <w:rFonts w:ascii="Verdana" w:hAnsi="Verdana"/>
                <w:sz w:val="18"/>
                <w:szCs w:val="21"/>
              </w:rPr>
              <w:t xml:space="preserve">mergency and </w:t>
            </w:r>
            <w:r w:rsidR="00A4287A" w:rsidRPr="00BD66CE">
              <w:rPr>
                <w:rFonts w:ascii="Verdana" w:hAnsi="Verdana"/>
                <w:sz w:val="18"/>
                <w:szCs w:val="21"/>
              </w:rPr>
              <w:t>D</w:t>
            </w:r>
            <w:r w:rsidRPr="00BD66CE">
              <w:rPr>
                <w:rFonts w:ascii="Verdana" w:hAnsi="Verdana"/>
                <w:sz w:val="18"/>
                <w:szCs w:val="21"/>
              </w:rPr>
              <w:t xml:space="preserve">isaster </w:t>
            </w:r>
            <w:r w:rsidR="00A4287A" w:rsidRPr="00BD66CE">
              <w:rPr>
                <w:rFonts w:ascii="Verdana" w:hAnsi="Verdana"/>
                <w:sz w:val="18"/>
                <w:szCs w:val="21"/>
              </w:rPr>
              <w:t>S</w:t>
            </w:r>
            <w:r w:rsidRPr="00BD66CE">
              <w:rPr>
                <w:rFonts w:ascii="Verdana" w:hAnsi="Verdana"/>
                <w:sz w:val="18"/>
                <w:szCs w:val="21"/>
              </w:rPr>
              <w:t xml:space="preserve">ituations in the </w:t>
            </w:r>
            <w:r w:rsidR="00A4287A" w:rsidRPr="00BD66CE">
              <w:rPr>
                <w:rFonts w:ascii="Verdana" w:hAnsi="Verdana"/>
                <w:sz w:val="18"/>
                <w:szCs w:val="21"/>
              </w:rPr>
              <w:t>C</w:t>
            </w:r>
            <w:r w:rsidRPr="00BD66CE">
              <w:rPr>
                <w:rFonts w:ascii="Verdana" w:hAnsi="Verdana"/>
                <w:sz w:val="18"/>
                <w:szCs w:val="21"/>
              </w:rPr>
              <w:t xml:space="preserve">ontext of COVID-19 </w:t>
            </w:r>
            <w:r w:rsidR="000E3773" w:rsidRPr="00BD66CE">
              <w:rPr>
                <w:rFonts w:ascii="Verdana" w:hAnsi="Verdana"/>
                <w:sz w:val="18"/>
                <w:szCs w:val="21"/>
              </w:rPr>
              <w:t>[67].</w:t>
            </w:r>
          </w:p>
        </w:tc>
        <w:tc>
          <w:tcPr>
            <w:tcW w:w="6237" w:type="dxa"/>
          </w:tcPr>
          <w:p w14:paraId="5C5D9FB7" w14:textId="601F1EB2" w:rsidR="007C7895" w:rsidRPr="00BD66CE" w:rsidRDefault="007C7895" w:rsidP="003535E3">
            <w:pPr>
              <w:pStyle w:val="MDPI31text"/>
              <w:ind w:left="0" w:firstLine="0"/>
              <w:rPr>
                <w:rFonts w:ascii="Verdana" w:hAnsi="Verdana"/>
                <w:sz w:val="18"/>
                <w:szCs w:val="21"/>
              </w:rPr>
            </w:pPr>
            <w:r w:rsidRPr="00BD66CE">
              <w:rPr>
                <w:rFonts w:ascii="Verdana" w:hAnsi="Verdana"/>
                <w:sz w:val="18"/>
                <w:szCs w:val="21"/>
              </w:rPr>
              <w:t xml:space="preserve">This document provides health personnel of the health regions with specific functions and recommendations for the institutions integrated into the National Risk Management System, as well as an updated guide on how to set up temporary shelters in the context of the COVID-19. Furthermore, it provides recommendations for the joint approach between the different levels of health care for the elderly and other at-risk groups. </w:t>
            </w:r>
          </w:p>
        </w:tc>
      </w:tr>
      <w:tr w:rsidR="008D3CFF" w:rsidRPr="00BD66CE" w14:paraId="5E186ADB" w14:textId="77777777" w:rsidTr="00ED2BAA">
        <w:tc>
          <w:tcPr>
            <w:tcW w:w="1129" w:type="dxa"/>
          </w:tcPr>
          <w:p w14:paraId="2149CE88" w14:textId="2F7E5993" w:rsidR="008D3CFF" w:rsidRPr="00BD66CE" w:rsidRDefault="008D3CFF" w:rsidP="003535E3">
            <w:pPr>
              <w:pStyle w:val="MDPI31text"/>
              <w:ind w:left="0" w:firstLine="0"/>
              <w:rPr>
                <w:rFonts w:ascii="Verdana" w:hAnsi="Verdana"/>
                <w:b/>
                <w:bCs/>
                <w:sz w:val="18"/>
                <w:szCs w:val="21"/>
              </w:rPr>
            </w:pPr>
            <w:r w:rsidRPr="00BD66CE">
              <w:rPr>
                <w:rFonts w:ascii="Verdana" w:hAnsi="Verdana"/>
                <w:b/>
                <w:bCs/>
                <w:sz w:val="18"/>
                <w:szCs w:val="21"/>
              </w:rPr>
              <w:lastRenderedPageBreak/>
              <w:t>Nicaragua</w:t>
            </w:r>
          </w:p>
        </w:tc>
        <w:tc>
          <w:tcPr>
            <w:tcW w:w="9498" w:type="dxa"/>
            <w:gridSpan w:val="2"/>
          </w:tcPr>
          <w:p w14:paraId="33C9C1B1" w14:textId="3F86AC85" w:rsidR="008D3CFF" w:rsidRPr="00BD66CE" w:rsidRDefault="008D3CFF" w:rsidP="003535E3">
            <w:pPr>
              <w:pStyle w:val="MDPI31text"/>
              <w:ind w:left="0" w:firstLine="0"/>
              <w:rPr>
                <w:rFonts w:ascii="Verdana" w:hAnsi="Verdana"/>
                <w:sz w:val="18"/>
                <w:szCs w:val="21"/>
              </w:rPr>
            </w:pPr>
            <w:r w:rsidRPr="00BD66CE">
              <w:rPr>
                <w:rFonts w:ascii="Verdana" w:hAnsi="Verdana"/>
                <w:sz w:val="18"/>
                <w:szCs w:val="21"/>
              </w:rPr>
              <w:t xml:space="preserve">We could not locate </w:t>
            </w:r>
            <w:r w:rsidR="00F251E4" w:rsidRPr="00BD66CE">
              <w:rPr>
                <w:rFonts w:ascii="Verdana" w:hAnsi="Verdana"/>
                <w:sz w:val="18"/>
                <w:szCs w:val="21"/>
              </w:rPr>
              <w:t xml:space="preserve">any </w:t>
            </w:r>
            <w:r w:rsidRPr="00BD66CE">
              <w:rPr>
                <w:rFonts w:ascii="Verdana" w:hAnsi="Verdana"/>
                <w:sz w:val="18"/>
                <w:szCs w:val="21"/>
              </w:rPr>
              <w:t xml:space="preserve">specific guidelines addressing the aged during the COVID-19 pandemic. </w:t>
            </w:r>
          </w:p>
        </w:tc>
      </w:tr>
      <w:tr w:rsidR="007C7895" w:rsidRPr="00BD66CE" w14:paraId="7E5B5BD3" w14:textId="77777777" w:rsidTr="00C97632">
        <w:tc>
          <w:tcPr>
            <w:tcW w:w="1129" w:type="dxa"/>
            <w:vMerge w:val="restart"/>
          </w:tcPr>
          <w:p w14:paraId="2C77979D" w14:textId="77777777" w:rsidR="007C7895" w:rsidRPr="00BD66CE" w:rsidRDefault="007C7895" w:rsidP="003535E3">
            <w:pPr>
              <w:pStyle w:val="MDPI31text"/>
              <w:ind w:left="0" w:firstLine="0"/>
              <w:rPr>
                <w:rFonts w:ascii="Verdana" w:hAnsi="Verdana"/>
                <w:b/>
                <w:bCs/>
                <w:sz w:val="18"/>
                <w:szCs w:val="21"/>
              </w:rPr>
            </w:pPr>
          </w:p>
          <w:p w14:paraId="5C45ED84" w14:textId="77777777" w:rsidR="007C7895" w:rsidRPr="00BD66CE" w:rsidRDefault="007C7895" w:rsidP="003535E3">
            <w:pPr>
              <w:pStyle w:val="MDPI31text"/>
              <w:ind w:left="0" w:firstLine="0"/>
              <w:rPr>
                <w:rFonts w:ascii="Verdana" w:hAnsi="Verdana"/>
                <w:b/>
                <w:bCs/>
                <w:sz w:val="18"/>
                <w:szCs w:val="21"/>
              </w:rPr>
            </w:pPr>
          </w:p>
          <w:p w14:paraId="18A5098F" w14:textId="77777777" w:rsidR="007C7895" w:rsidRPr="00BD66CE" w:rsidRDefault="007C7895" w:rsidP="003535E3">
            <w:pPr>
              <w:pStyle w:val="MDPI31text"/>
              <w:ind w:left="0" w:firstLine="0"/>
              <w:rPr>
                <w:rFonts w:ascii="Verdana" w:hAnsi="Verdana"/>
                <w:b/>
                <w:bCs/>
                <w:sz w:val="18"/>
                <w:szCs w:val="21"/>
              </w:rPr>
            </w:pPr>
          </w:p>
          <w:p w14:paraId="33AEF532" w14:textId="370D69EA" w:rsidR="007C7895" w:rsidRPr="00BD66CE" w:rsidRDefault="007C7895" w:rsidP="003535E3">
            <w:pPr>
              <w:pStyle w:val="MDPI31text"/>
              <w:ind w:left="0" w:firstLine="0"/>
              <w:rPr>
                <w:rFonts w:ascii="Verdana" w:hAnsi="Verdana"/>
                <w:b/>
                <w:bCs/>
                <w:sz w:val="18"/>
                <w:szCs w:val="21"/>
              </w:rPr>
            </w:pPr>
            <w:r w:rsidRPr="00BD66CE">
              <w:rPr>
                <w:rFonts w:ascii="Verdana" w:hAnsi="Verdana"/>
                <w:b/>
                <w:bCs/>
                <w:sz w:val="18"/>
                <w:szCs w:val="21"/>
              </w:rPr>
              <w:t>Panama</w:t>
            </w:r>
          </w:p>
        </w:tc>
        <w:tc>
          <w:tcPr>
            <w:tcW w:w="3261" w:type="dxa"/>
          </w:tcPr>
          <w:p w14:paraId="69C83F4E" w14:textId="02169404" w:rsidR="007C7895" w:rsidRPr="00BD66CE" w:rsidRDefault="007C7895" w:rsidP="003535E3">
            <w:pPr>
              <w:pStyle w:val="MDPI31text"/>
              <w:ind w:left="0" w:firstLine="0"/>
              <w:rPr>
                <w:rFonts w:ascii="Verdana" w:hAnsi="Verdana"/>
                <w:sz w:val="18"/>
                <w:szCs w:val="21"/>
              </w:rPr>
            </w:pPr>
            <w:r w:rsidRPr="00BD66CE">
              <w:rPr>
                <w:rFonts w:ascii="Verdana" w:hAnsi="Verdana"/>
                <w:sz w:val="18"/>
                <w:szCs w:val="21"/>
              </w:rPr>
              <w:t xml:space="preserve">Guidelines for the Management of Suspected or Confirmed COVID-19 Patients in Nursing Homes for the Elderly </w:t>
            </w:r>
            <w:r w:rsidR="000E3773" w:rsidRPr="00BD66CE">
              <w:rPr>
                <w:rFonts w:ascii="Verdana" w:hAnsi="Verdana"/>
                <w:sz w:val="18"/>
                <w:szCs w:val="21"/>
              </w:rPr>
              <w:t>[68].</w:t>
            </w:r>
          </w:p>
        </w:tc>
        <w:tc>
          <w:tcPr>
            <w:tcW w:w="6237" w:type="dxa"/>
          </w:tcPr>
          <w:p w14:paraId="423174D1" w14:textId="2CB7C3D2" w:rsidR="007C7895" w:rsidRPr="00BD66CE" w:rsidRDefault="007C7895" w:rsidP="003535E3">
            <w:pPr>
              <w:pStyle w:val="MDPI31text"/>
              <w:ind w:left="0" w:firstLine="0"/>
              <w:rPr>
                <w:rFonts w:ascii="Verdana" w:hAnsi="Verdana"/>
                <w:sz w:val="18"/>
                <w:szCs w:val="21"/>
              </w:rPr>
            </w:pPr>
            <w:r w:rsidRPr="00BD66CE">
              <w:rPr>
                <w:rFonts w:ascii="Verdana" w:hAnsi="Verdana"/>
                <w:sz w:val="18"/>
                <w:szCs w:val="21"/>
              </w:rPr>
              <w:t xml:space="preserve">It brings together the technical standards for dealing with symptomatic cases of elderly patients in group homes. It includes the procedures for prevention and mitigation of contagion and proposes an articulation of referral centers specialized in the health of the elderly, at local and national level. </w:t>
            </w:r>
          </w:p>
        </w:tc>
      </w:tr>
      <w:tr w:rsidR="007C7895" w:rsidRPr="00BD66CE" w14:paraId="3DA72084" w14:textId="77777777" w:rsidTr="00C97632">
        <w:tc>
          <w:tcPr>
            <w:tcW w:w="1129" w:type="dxa"/>
            <w:vMerge/>
          </w:tcPr>
          <w:p w14:paraId="7BB3E56E" w14:textId="77777777" w:rsidR="007C7895" w:rsidRPr="00BD66CE" w:rsidRDefault="007C7895" w:rsidP="003535E3">
            <w:pPr>
              <w:pStyle w:val="MDPI31text"/>
              <w:ind w:left="0" w:firstLine="0"/>
              <w:rPr>
                <w:rFonts w:ascii="Verdana" w:hAnsi="Verdana"/>
                <w:sz w:val="18"/>
                <w:szCs w:val="21"/>
              </w:rPr>
            </w:pPr>
          </w:p>
        </w:tc>
        <w:tc>
          <w:tcPr>
            <w:tcW w:w="3261" w:type="dxa"/>
          </w:tcPr>
          <w:p w14:paraId="3F75AE96" w14:textId="048A9705" w:rsidR="007C7895" w:rsidRPr="00BD66CE" w:rsidRDefault="007C7895" w:rsidP="003535E3">
            <w:pPr>
              <w:pStyle w:val="MDPI31text"/>
              <w:ind w:left="0" w:firstLine="0"/>
              <w:rPr>
                <w:rFonts w:ascii="Verdana" w:hAnsi="Verdana"/>
                <w:sz w:val="18"/>
                <w:szCs w:val="21"/>
              </w:rPr>
            </w:pPr>
            <w:r w:rsidRPr="00BD66CE">
              <w:rPr>
                <w:rFonts w:ascii="Verdana" w:hAnsi="Verdana"/>
                <w:sz w:val="18"/>
                <w:szCs w:val="21"/>
              </w:rPr>
              <w:t xml:space="preserve">Return to Normality Guide in the Development of the National Palliative Care Program in Ministry of Health Facilities </w:t>
            </w:r>
            <w:r w:rsidR="000E3773" w:rsidRPr="00BD66CE">
              <w:rPr>
                <w:rFonts w:ascii="Verdana" w:hAnsi="Verdana"/>
                <w:sz w:val="18"/>
                <w:szCs w:val="21"/>
              </w:rPr>
              <w:t>[69].</w:t>
            </w:r>
          </w:p>
        </w:tc>
        <w:tc>
          <w:tcPr>
            <w:tcW w:w="6237" w:type="dxa"/>
          </w:tcPr>
          <w:p w14:paraId="20B793A0" w14:textId="467A1024" w:rsidR="007C7895" w:rsidRPr="00BD66CE" w:rsidRDefault="00B412AB" w:rsidP="003535E3">
            <w:pPr>
              <w:pStyle w:val="MDPI31text"/>
              <w:ind w:left="0" w:firstLine="0"/>
              <w:rPr>
                <w:rFonts w:ascii="Verdana" w:hAnsi="Verdana"/>
                <w:sz w:val="18"/>
                <w:szCs w:val="21"/>
              </w:rPr>
            </w:pPr>
            <w:r w:rsidRPr="00BD66CE">
              <w:rPr>
                <w:rFonts w:ascii="Verdana" w:hAnsi="Verdana"/>
                <w:sz w:val="18"/>
                <w:szCs w:val="21"/>
              </w:rPr>
              <w:t xml:space="preserve">This document provides guidelines to be applied in the development of the National Palliative Care Program in the national territory in order to integrate biosecurity measures in palliative care for the benefit of all those involved. Palliative Care teams should have the basic elements required to comply with the precautions required for the care of all patients according to the risk identified in each modality of care and circumstance. </w:t>
            </w:r>
          </w:p>
        </w:tc>
      </w:tr>
    </w:tbl>
    <w:p w14:paraId="11AC68B1" w14:textId="34268912" w:rsidR="007C7895" w:rsidRPr="00BD66CE" w:rsidRDefault="007C7895" w:rsidP="001C5420">
      <w:pPr>
        <w:pStyle w:val="MDPI31text"/>
        <w:ind w:left="0" w:firstLine="0"/>
        <w:rPr>
          <w:rFonts w:ascii="Verdana" w:hAnsi="Verdana"/>
        </w:rPr>
      </w:pPr>
      <w:r w:rsidRPr="00BD66CE">
        <w:rPr>
          <w:rFonts w:ascii="Verdana" w:hAnsi="Verdana"/>
          <w:b/>
          <w:bCs/>
        </w:rPr>
        <w:t>Source</w:t>
      </w:r>
      <w:r w:rsidRPr="00BD66CE">
        <w:rPr>
          <w:rFonts w:ascii="Verdana" w:hAnsi="Verdana"/>
        </w:rPr>
        <w:t xml:space="preserve">: Elaborated by the authors (2022). </w:t>
      </w:r>
      <w:r w:rsidR="00C512E3" w:rsidRPr="00BD66CE">
        <w:rPr>
          <w:rFonts w:ascii="Verdana" w:hAnsi="Verdana"/>
        </w:rPr>
        <w:br/>
      </w:r>
      <w:r w:rsidR="00C512E3" w:rsidRPr="00BD66CE">
        <w:rPr>
          <w:rFonts w:ascii="Verdana" w:hAnsi="Verdana"/>
        </w:rPr>
        <w:br/>
      </w:r>
      <w:r w:rsidR="001C5420" w:rsidRPr="00BD66CE">
        <w:rPr>
          <w:rFonts w:ascii="Verdana" w:hAnsi="Verdana"/>
        </w:rPr>
        <w:t xml:space="preserve">     </w:t>
      </w:r>
      <w:r w:rsidR="001171F0" w:rsidRPr="00BD66CE">
        <w:rPr>
          <w:rFonts w:ascii="Verdana" w:hAnsi="Verdana"/>
        </w:rPr>
        <w:t>At the regional level, technical meetings with public and private institutions, together with the corresponding health authorities in each country, made it possible to establish intersectoral guidelines for gradually resuming social activities without involving greater risks for the elderly (Table 4</w:t>
      </w:r>
      <w:r w:rsidR="009300F7" w:rsidRPr="00BD66CE">
        <w:rPr>
          <w:rFonts w:ascii="Verdana" w:hAnsi="Verdana"/>
        </w:rPr>
        <w:t xml:space="preserve">). </w:t>
      </w:r>
      <w:r w:rsidR="005C6DB4" w:rsidRPr="00BD66CE">
        <w:rPr>
          <w:rFonts w:ascii="Verdana" w:hAnsi="Verdana"/>
        </w:rPr>
        <w:t>Through the Health Ministers' meetings, the countries shared their successful experiences and discussed the challenges that their public health systems encountered during the implementation phases of the national combat plans.</w:t>
      </w:r>
      <w:r w:rsidR="001E78F6" w:rsidRPr="00BD66CE">
        <w:rPr>
          <w:rFonts w:ascii="Verdana" w:hAnsi="Verdana"/>
        </w:rPr>
        <w:t xml:space="preserve"> </w:t>
      </w:r>
    </w:p>
    <w:p w14:paraId="534A2D1E" w14:textId="77777777" w:rsidR="001C5420" w:rsidRPr="00BD66CE" w:rsidRDefault="001C5420" w:rsidP="001C5420">
      <w:pPr>
        <w:pStyle w:val="MDPI31text"/>
        <w:ind w:left="0" w:firstLine="0"/>
        <w:rPr>
          <w:rFonts w:ascii="Verdana" w:hAnsi="Verdana"/>
        </w:rPr>
      </w:pPr>
    </w:p>
    <w:p w14:paraId="015CCCCF" w14:textId="77777777" w:rsidR="008B4E24" w:rsidRPr="00BD66CE" w:rsidRDefault="008B4E24" w:rsidP="00C85BDA">
      <w:pPr>
        <w:pStyle w:val="MDPI31text"/>
        <w:ind w:left="0" w:firstLine="0"/>
        <w:rPr>
          <w:rFonts w:ascii="Verdana" w:hAnsi="Verdana"/>
          <w:szCs w:val="20"/>
        </w:rPr>
      </w:pPr>
    </w:p>
    <w:p w14:paraId="5706A7DC" w14:textId="572D425E" w:rsidR="007C7895" w:rsidRPr="00BD66CE" w:rsidRDefault="008B4E24" w:rsidP="00C85BDA">
      <w:pPr>
        <w:pStyle w:val="MDPI31text"/>
        <w:ind w:left="0" w:firstLine="0"/>
        <w:rPr>
          <w:rFonts w:ascii="Verdana" w:hAnsi="Verdana"/>
          <w:szCs w:val="20"/>
        </w:rPr>
      </w:pPr>
      <w:r w:rsidRPr="00BD66CE">
        <w:rPr>
          <w:rFonts w:ascii="Verdana" w:hAnsi="Verdana"/>
          <w:b/>
          <w:bCs/>
        </w:rPr>
        <w:t>Table 4</w:t>
      </w:r>
      <w:r w:rsidRPr="00BD66CE">
        <w:rPr>
          <w:rFonts w:ascii="Verdana" w:hAnsi="Verdana"/>
        </w:rPr>
        <w:t xml:space="preserve">. List of regional legal-health documents enacted to address the COVID-19 pandemic in the geriatric population, Central </w:t>
      </w:r>
      <w:r w:rsidR="00414C02" w:rsidRPr="00BD66CE">
        <w:rPr>
          <w:rFonts w:ascii="Verdana" w:hAnsi="Verdana"/>
        </w:rPr>
        <w:t xml:space="preserve">America, 2020-2021. </w:t>
      </w:r>
    </w:p>
    <w:tbl>
      <w:tblPr>
        <w:tblStyle w:val="Tablaconcuadrcula"/>
        <w:tblW w:w="0" w:type="auto"/>
        <w:tblLook w:val="04A0" w:firstRow="1" w:lastRow="0" w:firstColumn="1" w:lastColumn="0" w:noHBand="0" w:noVBand="1"/>
      </w:tblPr>
      <w:tblGrid>
        <w:gridCol w:w="3397"/>
        <w:gridCol w:w="1560"/>
        <w:gridCol w:w="5499"/>
      </w:tblGrid>
      <w:tr w:rsidR="008B4E24" w:rsidRPr="00BD66CE" w14:paraId="75178A4F" w14:textId="77777777" w:rsidTr="008B4E24">
        <w:tc>
          <w:tcPr>
            <w:tcW w:w="3397" w:type="dxa"/>
            <w:shd w:val="clear" w:color="auto" w:fill="D9D9D9" w:themeFill="background1" w:themeFillShade="D9"/>
          </w:tcPr>
          <w:p w14:paraId="09049C23" w14:textId="0E8EC458" w:rsidR="008B4E24" w:rsidRPr="00BD66CE" w:rsidRDefault="008B4E24" w:rsidP="006D3D04">
            <w:pPr>
              <w:pStyle w:val="MDPI31text"/>
              <w:ind w:left="0" w:firstLine="0"/>
              <w:rPr>
                <w:rFonts w:ascii="Verdana" w:hAnsi="Verdana"/>
                <w:b/>
                <w:sz w:val="18"/>
                <w:szCs w:val="21"/>
              </w:rPr>
            </w:pPr>
            <w:r w:rsidRPr="00BD66CE">
              <w:rPr>
                <w:rFonts w:ascii="Verdana" w:hAnsi="Verdana"/>
                <w:b/>
                <w:sz w:val="18"/>
                <w:szCs w:val="21"/>
              </w:rPr>
              <w:t xml:space="preserve">Title and enacting date </w:t>
            </w:r>
          </w:p>
        </w:tc>
        <w:tc>
          <w:tcPr>
            <w:tcW w:w="1560" w:type="dxa"/>
            <w:shd w:val="clear" w:color="auto" w:fill="D9D9D9" w:themeFill="background1" w:themeFillShade="D9"/>
          </w:tcPr>
          <w:p w14:paraId="10E69341" w14:textId="6021AD18" w:rsidR="008B4E24" w:rsidRPr="00BD66CE" w:rsidRDefault="007927FA" w:rsidP="006D3D04">
            <w:pPr>
              <w:pStyle w:val="MDPI31text"/>
              <w:ind w:left="0" w:firstLine="0"/>
              <w:rPr>
                <w:rFonts w:ascii="Verdana" w:hAnsi="Verdana"/>
                <w:b/>
                <w:sz w:val="18"/>
                <w:szCs w:val="21"/>
              </w:rPr>
            </w:pPr>
            <w:r w:rsidRPr="00BD66CE">
              <w:rPr>
                <w:rFonts w:ascii="Verdana" w:hAnsi="Verdana"/>
                <w:b/>
                <w:sz w:val="18"/>
                <w:szCs w:val="21"/>
              </w:rPr>
              <w:t xml:space="preserve">Typology </w:t>
            </w:r>
          </w:p>
        </w:tc>
        <w:tc>
          <w:tcPr>
            <w:tcW w:w="5499" w:type="dxa"/>
            <w:shd w:val="clear" w:color="auto" w:fill="D9D9D9" w:themeFill="background1" w:themeFillShade="D9"/>
          </w:tcPr>
          <w:p w14:paraId="78ABE25A" w14:textId="77777777" w:rsidR="008B4E24" w:rsidRPr="00BD66CE" w:rsidRDefault="008B4E24" w:rsidP="006D3D04">
            <w:pPr>
              <w:pStyle w:val="MDPI31text"/>
              <w:ind w:left="0" w:firstLine="0"/>
              <w:rPr>
                <w:rFonts w:ascii="Verdana" w:hAnsi="Verdana"/>
                <w:b/>
                <w:sz w:val="18"/>
                <w:szCs w:val="21"/>
              </w:rPr>
            </w:pPr>
            <w:r w:rsidRPr="00BD66CE">
              <w:rPr>
                <w:rFonts w:ascii="Verdana" w:hAnsi="Verdana"/>
                <w:b/>
                <w:sz w:val="18"/>
                <w:szCs w:val="21"/>
              </w:rPr>
              <w:t>Implications for the geriatric population</w:t>
            </w:r>
          </w:p>
        </w:tc>
      </w:tr>
      <w:tr w:rsidR="008B4E24" w:rsidRPr="00BD66CE" w14:paraId="2E126E93" w14:textId="77777777" w:rsidTr="008B4E24">
        <w:tc>
          <w:tcPr>
            <w:tcW w:w="3397" w:type="dxa"/>
          </w:tcPr>
          <w:p w14:paraId="2321DD08" w14:textId="065A4CCD"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Declaration of the Heads of State and Government of Belize, Costa Rica, Guatemala, Honduras, Nicaragua, Panama and the Dominican Republic on the COVID-19 Pandemic: “Central America united against COVID-19”, March 2020, </w:t>
            </w:r>
            <w:r w:rsidR="009300F7" w:rsidRPr="00BD66CE">
              <w:rPr>
                <w:rFonts w:ascii="Verdana" w:hAnsi="Verdana"/>
                <w:sz w:val="18"/>
                <w:szCs w:val="21"/>
              </w:rPr>
              <w:t xml:space="preserve">[70]. </w:t>
            </w:r>
            <w:r w:rsidRPr="00BD66CE">
              <w:rPr>
                <w:rFonts w:ascii="Verdana" w:hAnsi="Verdana"/>
                <w:sz w:val="18"/>
                <w:szCs w:val="21"/>
              </w:rPr>
              <w:t xml:space="preserve"> </w:t>
            </w:r>
          </w:p>
        </w:tc>
        <w:tc>
          <w:tcPr>
            <w:tcW w:w="1560" w:type="dxa"/>
          </w:tcPr>
          <w:p w14:paraId="652937C6"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Specific regional guideline </w:t>
            </w:r>
          </w:p>
        </w:tc>
        <w:tc>
          <w:tcPr>
            <w:tcW w:w="5499" w:type="dxa"/>
          </w:tcPr>
          <w:p w14:paraId="794D85C9"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Main regional instrument for the intersectoral articulation of all CAIS-derived bodies. Urges CCAMH to: 1) use the Joint Negotiation within the framework of CAIS/CCAMH for the purchase of medicines and medical devices for the prevention, containment and treatment of COVID-19 and other rapidly spreading diseases within the framework of the actions and measures of the Regional Contingency Plan; and 2) develop intersectoral actions that guarantee the supply of raw materials and other goods necessary for the production and commercialization of medicines and supplies necessary for the integral care of the pandemic. Establishes socioeconomic protection mechanisms for vulnerable groups. </w:t>
            </w:r>
          </w:p>
        </w:tc>
      </w:tr>
      <w:tr w:rsidR="008B4E24" w:rsidRPr="00BD66CE" w14:paraId="15A2AA65" w14:textId="77777777" w:rsidTr="008B4E24">
        <w:tc>
          <w:tcPr>
            <w:tcW w:w="3397" w:type="dxa"/>
          </w:tcPr>
          <w:p w14:paraId="1428CF4D" w14:textId="03DB614F"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CCAMH 02-2020 Resolution regarding the approval of the Regional Contingency Plan aimed at complementing national efforts for prevention, containment, and treatment of COVID-19 and other rapidly spreading diseases, March 2020, </w:t>
            </w:r>
            <w:r w:rsidR="0095434F" w:rsidRPr="00BD66CE">
              <w:rPr>
                <w:rFonts w:ascii="Verdana" w:hAnsi="Verdana"/>
                <w:sz w:val="18"/>
                <w:szCs w:val="21"/>
              </w:rPr>
              <w:t xml:space="preserve">[71]. </w:t>
            </w:r>
          </w:p>
        </w:tc>
        <w:tc>
          <w:tcPr>
            <w:tcW w:w="1560" w:type="dxa"/>
          </w:tcPr>
          <w:p w14:paraId="7CA584E7"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Specific regional guideline</w:t>
            </w:r>
          </w:p>
        </w:tc>
        <w:tc>
          <w:tcPr>
            <w:tcW w:w="5499" w:type="dxa"/>
          </w:tcPr>
          <w:p w14:paraId="74E87A24"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Complements national efforts for prevention, containment, treatment, and recovery of COVID-19 and other rapidly spreading diseases in CAIS member states. It structures health actions in five components, being: 1) prevention and containment measures, 2) patient management measures in each type of case, 3) harmonization of informative, preventive, and educational messages, 4) access to medicines, medical devices, and other goods of health interest, and 5) joint negotiation to strengthen preparedness, mitigation, response, and humanitarian assistance capacity. </w:t>
            </w:r>
          </w:p>
        </w:tc>
      </w:tr>
      <w:tr w:rsidR="008B4E24" w:rsidRPr="00BD66CE" w14:paraId="1E258538" w14:textId="77777777" w:rsidTr="008B4E24">
        <w:tc>
          <w:tcPr>
            <w:tcW w:w="3397" w:type="dxa"/>
          </w:tcPr>
          <w:p w14:paraId="1C6FAD26" w14:textId="399F7EEB"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Regional Contingency Plan Aimed at complementing national efforts for prevention, containment, and treatment of COVID-19), March 2020, </w:t>
            </w:r>
            <w:r w:rsidR="0095434F" w:rsidRPr="00BD66CE">
              <w:rPr>
                <w:rFonts w:ascii="Verdana" w:hAnsi="Verdana"/>
                <w:sz w:val="18"/>
                <w:szCs w:val="21"/>
              </w:rPr>
              <w:t xml:space="preserve">[72]. </w:t>
            </w:r>
          </w:p>
        </w:tc>
        <w:tc>
          <w:tcPr>
            <w:tcW w:w="1560" w:type="dxa"/>
          </w:tcPr>
          <w:p w14:paraId="03525716"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Sectoral protocol</w:t>
            </w:r>
          </w:p>
        </w:tc>
        <w:tc>
          <w:tcPr>
            <w:tcW w:w="5499" w:type="dxa"/>
          </w:tcPr>
          <w:p w14:paraId="08E39706"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It is structured in five axes, three central axes: 1) health and risk management, 2) trade and finance, 3) security, justice, and migration, and two of a transversal nature: 1) strategic communication and 2) management of international cooperation, identifying the set of actions to be carried out in each of them, which group by components. It had a dynamic character and experienced modifications according to the evolution of the situation of the pandemic. Also, established continuous training for healthcare professionals involving the most updated knowledge of clinical manifestations in the elderly according to the International Health Regulations. </w:t>
            </w:r>
          </w:p>
        </w:tc>
      </w:tr>
      <w:tr w:rsidR="008B4E24" w:rsidRPr="00BD66CE" w14:paraId="629581DC" w14:textId="77777777" w:rsidTr="008B4E24">
        <w:tc>
          <w:tcPr>
            <w:tcW w:w="3397" w:type="dxa"/>
          </w:tcPr>
          <w:p w14:paraId="20747D1E" w14:textId="0CFF699F"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lastRenderedPageBreak/>
              <w:t xml:space="preserve">Report 1: Central America united against COVID-19, March 2020, </w:t>
            </w:r>
            <w:r w:rsidR="0095434F" w:rsidRPr="00BD66CE">
              <w:rPr>
                <w:rFonts w:ascii="Verdana" w:hAnsi="Verdana"/>
                <w:sz w:val="18"/>
                <w:szCs w:val="21"/>
              </w:rPr>
              <w:t xml:space="preserve">[73]. </w:t>
            </w:r>
          </w:p>
        </w:tc>
        <w:tc>
          <w:tcPr>
            <w:tcW w:w="1560" w:type="dxa"/>
          </w:tcPr>
          <w:p w14:paraId="2FF0B2F1"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Situational and epidemiological bulletin </w:t>
            </w:r>
          </w:p>
        </w:tc>
        <w:tc>
          <w:tcPr>
            <w:tcW w:w="5499" w:type="dxa"/>
          </w:tcPr>
          <w:p w14:paraId="400D8AE0"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It provides the first epidemiological summary for the region up to March 13, 2020, indicating a total of 63 cases and a single death. It defines a case fatality rate of 1.59% and a geriatric infection rate of 61.9%. The document called for an extraordinary meeting to fine-tune the national strategies in each country, intending to immediately implement the Contingency Plan. Gerontologists and geriatricians reinforced the epidemiological impact on older adults, demanding more rigid interventions to contain the peaks of contagion. </w:t>
            </w:r>
          </w:p>
        </w:tc>
      </w:tr>
      <w:tr w:rsidR="008B4E24" w:rsidRPr="00BD66CE" w14:paraId="04C81D1A" w14:textId="77777777" w:rsidTr="008B4E24">
        <w:tc>
          <w:tcPr>
            <w:tcW w:w="3397" w:type="dxa"/>
          </w:tcPr>
          <w:p w14:paraId="1CA3CC36" w14:textId="236BD00D"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Recommendations for healthy eating during COVID-19, March 2020, </w:t>
            </w:r>
            <w:r w:rsidR="0095434F" w:rsidRPr="00BD66CE">
              <w:rPr>
                <w:rFonts w:ascii="Verdana" w:hAnsi="Verdana"/>
                <w:sz w:val="18"/>
                <w:szCs w:val="21"/>
              </w:rPr>
              <w:t xml:space="preserve">[74]. </w:t>
            </w:r>
          </w:p>
        </w:tc>
        <w:tc>
          <w:tcPr>
            <w:tcW w:w="1560" w:type="dxa"/>
          </w:tcPr>
          <w:p w14:paraId="52DDEDB0"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Health regulations, strategies and technical recommendations </w:t>
            </w:r>
          </w:p>
        </w:tc>
        <w:tc>
          <w:tcPr>
            <w:tcW w:w="5499" w:type="dxa"/>
          </w:tcPr>
          <w:p w14:paraId="26F44A03" w14:textId="7FFC987A"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Gathers recommendations for maintaining adequate diets among groups vulnerable to food shortages (highlighting the elderly). It highlights the need to plan food supply and consumption at the household level and include healthy foods from each country's dietary guidelines and store them properly. It also provides information on hydration and physical activity in the elderly under the gerontological provisions of each country. Application of the international scale of the integrated phased classification of acute and chronic FNS (IPC) that guides humanitarian aid. Indicators of household FNS food and nutrition security and nutrition status. </w:t>
            </w:r>
          </w:p>
        </w:tc>
      </w:tr>
      <w:tr w:rsidR="008B4E24" w:rsidRPr="00BD66CE" w14:paraId="0DDC272F" w14:textId="77777777" w:rsidTr="008B4E24">
        <w:tc>
          <w:tcPr>
            <w:tcW w:w="3397" w:type="dxa"/>
          </w:tcPr>
          <w:p w14:paraId="0C1110EA" w14:textId="3BD46F29"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Shelter management considerations in the COVID-19 context, June 2020, </w:t>
            </w:r>
            <w:r w:rsidR="00E44681" w:rsidRPr="00BD66CE">
              <w:rPr>
                <w:rFonts w:ascii="Verdana" w:hAnsi="Verdana"/>
                <w:sz w:val="18"/>
                <w:szCs w:val="21"/>
              </w:rPr>
              <w:t xml:space="preserve">[75]. </w:t>
            </w:r>
          </w:p>
        </w:tc>
        <w:tc>
          <w:tcPr>
            <w:tcW w:w="1560" w:type="dxa"/>
          </w:tcPr>
          <w:p w14:paraId="05C2A9C4"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Health regulations, strategies and technical recommendations </w:t>
            </w:r>
          </w:p>
        </w:tc>
        <w:tc>
          <w:tcPr>
            <w:tcW w:w="5499" w:type="dxa"/>
          </w:tcPr>
          <w:p w14:paraId="17F785FE" w14:textId="0C175704"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The document provides technical recommendations for SARS-CoV-2 infections</w:t>
            </w:r>
            <w:r w:rsidRPr="00BD66CE">
              <w:rPr>
                <w:rFonts w:ascii="Verdana" w:hAnsi="Verdana"/>
                <w:bCs/>
                <w:sz w:val="18"/>
                <w:szCs w:val="21"/>
              </w:rPr>
              <w:t>'</w:t>
            </w:r>
            <w:r w:rsidRPr="00BD66CE">
              <w:rPr>
                <w:rFonts w:ascii="Verdana" w:hAnsi="Verdana"/>
                <w:sz w:val="18"/>
                <w:szCs w:val="21"/>
              </w:rPr>
              <w:t xml:space="preserve"> management in group settings. It divides itself into six areas: management of the physical environment, infection control and prevention, sanitation and hygiene, waste management, coordination with health services, and human dignity and vulnerable populations. The elderly </w:t>
            </w:r>
            <w:r w:rsidR="00D4628F" w:rsidRPr="00BD66CE">
              <w:rPr>
                <w:rFonts w:ascii="Verdana" w:hAnsi="Verdana"/>
                <w:sz w:val="18"/>
                <w:szCs w:val="21"/>
              </w:rPr>
              <w:t>is</w:t>
            </w:r>
            <w:r w:rsidRPr="00BD66CE">
              <w:rPr>
                <w:rFonts w:ascii="Verdana" w:hAnsi="Verdana"/>
                <w:sz w:val="18"/>
                <w:szCs w:val="21"/>
              </w:rPr>
              <w:t xml:space="preserve"> understood to be the main risk group. The articulation with primary and tertiary care services establishes through care flows with red, yellow, and green risk flags. </w:t>
            </w:r>
          </w:p>
        </w:tc>
      </w:tr>
      <w:tr w:rsidR="008B4E24" w:rsidRPr="00BD66CE" w14:paraId="53E97438" w14:textId="77777777" w:rsidTr="008B4E24">
        <w:tc>
          <w:tcPr>
            <w:tcW w:w="3397" w:type="dxa"/>
          </w:tcPr>
          <w:p w14:paraId="51D7FB9B" w14:textId="51F9C861"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Letter for the Future of Central American Integration - Vinicio Cerezo, Secretary-General of the CAIS, October 2020,</w:t>
            </w:r>
            <w:r w:rsidR="00E44681" w:rsidRPr="00BD66CE">
              <w:rPr>
                <w:rFonts w:ascii="Verdana" w:hAnsi="Verdana"/>
                <w:sz w:val="18"/>
                <w:szCs w:val="21"/>
              </w:rPr>
              <w:t xml:space="preserve"> [76]. </w:t>
            </w:r>
          </w:p>
        </w:tc>
        <w:tc>
          <w:tcPr>
            <w:tcW w:w="1560" w:type="dxa"/>
          </w:tcPr>
          <w:p w14:paraId="65DC58BA"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Situational and epidemiological bulletin</w:t>
            </w:r>
          </w:p>
        </w:tc>
        <w:tc>
          <w:tcPr>
            <w:tcW w:w="5499" w:type="dxa"/>
          </w:tcPr>
          <w:p w14:paraId="5144B53B"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In the words of the Secretary-General: "The economic, political, social, environmental and now also health crises that our countries are experiencing, must propitiate, in the face of adversity, an integration that promotes tools to face these challenges together, generating new knowledge and actions that lead to more democratic, plural, just, peaceful, inclusive, equitable and socially cohesive societies" (p. 4). It further explains that "the common future must be based on the respect, protection and promotion of human rights; on gender equality and the empowerment of women and girls; on the construction of a Central American identity; on solidarity; on the promotion of peace and democracy; on respect for the cultural and ethnic diversity of the region; in the greater inclusion of indigenous peoples and Afro-descendant population; in the respect, harmony and conservation of nature in a vision of ecodevelopment; in the creation of more spaces for dialogue and effective participation for youth; in a greater projection as a region; in the strategic and effective management of international cooperation" (p. 6).</w:t>
            </w:r>
          </w:p>
        </w:tc>
      </w:tr>
      <w:tr w:rsidR="008B4E24" w:rsidRPr="00BD66CE" w14:paraId="36FAA371" w14:textId="77777777" w:rsidTr="008B4E24">
        <w:tc>
          <w:tcPr>
            <w:tcW w:w="3397" w:type="dxa"/>
          </w:tcPr>
          <w:p w14:paraId="3E1C75BD" w14:textId="0068EE44"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Progress Report on the Implementation of the CAIS Regional Contingency Plan against Coronavirus: Implementation of actions </w:t>
            </w:r>
            <w:r w:rsidR="00EA53B5" w:rsidRPr="00BD66CE">
              <w:rPr>
                <w:rFonts w:ascii="Verdana" w:hAnsi="Verdana"/>
                <w:sz w:val="18"/>
                <w:szCs w:val="21"/>
              </w:rPr>
              <w:t>A</w:t>
            </w:r>
            <w:r w:rsidRPr="00BD66CE">
              <w:rPr>
                <w:rFonts w:ascii="Verdana" w:hAnsi="Verdana"/>
                <w:sz w:val="18"/>
                <w:szCs w:val="21"/>
              </w:rPr>
              <w:t xml:space="preserve">imed at </w:t>
            </w:r>
            <w:r w:rsidR="00EA53B5" w:rsidRPr="00BD66CE">
              <w:rPr>
                <w:rFonts w:ascii="Verdana" w:hAnsi="Verdana"/>
                <w:sz w:val="18"/>
                <w:szCs w:val="21"/>
              </w:rPr>
              <w:t>C</w:t>
            </w:r>
            <w:r w:rsidRPr="00BD66CE">
              <w:rPr>
                <w:rFonts w:ascii="Verdana" w:hAnsi="Verdana"/>
                <w:sz w:val="18"/>
                <w:szCs w:val="21"/>
              </w:rPr>
              <w:t xml:space="preserve">omplementing </w:t>
            </w:r>
            <w:r w:rsidR="00EA53B5" w:rsidRPr="00BD66CE">
              <w:rPr>
                <w:rFonts w:ascii="Verdana" w:hAnsi="Verdana"/>
                <w:sz w:val="18"/>
                <w:szCs w:val="21"/>
              </w:rPr>
              <w:t>N</w:t>
            </w:r>
            <w:r w:rsidRPr="00BD66CE">
              <w:rPr>
                <w:rFonts w:ascii="Verdana" w:hAnsi="Verdana"/>
                <w:sz w:val="18"/>
                <w:szCs w:val="21"/>
              </w:rPr>
              <w:t xml:space="preserve">ational </w:t>
            </w:r>
            <w:r w:rsidR="00EA53B5" w:rsidRPr="00BD66CE">
              <w:rPr>
                <w:rFonts w:ascii="Verdana" w:hAnsi="Verdana"/>
                <w:sz w:val="18"/>
                <w:szCs w:val="21"/>
              </w:rPr>
              <w:t>E</w:t>
            </w:r>
            <w:r w:rsidRPr="00BD66CE">
              <w:rPr>
                <w:rFonts w:ascii="Verdana" w:hAnsi="Verdana"/>
                <w:sz w:val="18"/>
                <w:szCs w:val="21"/>
              </w:rPr>
              <w:t xml:space="preserve">fforts, December 2020, </w:t>
            </w:r>
            <w:r w:rsidR="00E44681" w:rsidRPr="00BD66CE">
              <w:rPr>
                <w:rFonts w:ascii="Verdana" w:hAnsi="Verdana"/>
                <w:sz w:val="18"/>
                <w:szCs w:val="21"/>
              </w:rPr>
              <w:t xml:space="preserve">[77]. </w:t>
            </w:r>
          </w:p>
        </w:tc>
        <w:tc>
          <w:tcPr>
            <w:tcW w:w="1560" w:type="dxa"/>
          </w:tcPr>
          <w:p w14:paraId="64DDB4FD"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Situational and epidemiological bulletin </w:t>
            </w:r>
          </w:p>
        </w:tc>
        <w:tc>
          <w:tcPr>
            <w:tcW w:w="5499" w:type="dxa"/>
          </w:tcPr>
          <w:p w14:paraId="28754C3E"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It highlights the regional scenario of the first pandemic year. Overall, it indicates that the percentages of progress by the axis of implementation of the regional contingency plan are: health and risk management (85%), trade and finance (83%), security, justice and migration (83%), strategic communication (100%) and cooperation management (88%). It reported more than 123 interventions adopted by the countries, related to sanitary and epidemiological measures, medical-hospital infrastructure, training of medical personnel and scientific research. </w:t>
            </w:r>
          </w:p>
        </w:tc>
      </w:tr>
      <w:tr w:rsidR="008B4E24" w:rsidRPr="00BD66CE" w14:paraId="5A0C0931" w14:textId="77777777" w:rsidTr="008B4E24">
        <w:tc>
          <w:tcPr>
            <w:tcW w:w="3397" w:type="dxa"/>
          </w:tcPr>
          <w:p w14:paraId="485CF360" w14:textId="056976AC"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CCAMH 02-2021 Resolution, regarding the approval of the Central American and Dominican Republic </w:t>
            </w:r>
            <w:r w:rsidRPr="00BD66CE">
              <w:rPr>
                <w:rFonts w:ascii="Verdana" w:hAnsi="Verdana"/>
                <w:sz w:val="18"/>
                <w:szCs w:val="21"/>
              </w:rPr>
              <w:lastRenderedPageBreak/>
              <w:t xml:space="preserve">Health Plan 2021-2025), June 2021, </w:t>
            </w:r>
            <w:r w:rsidR="005A7AFB" w:rsidRPr="00BD66CE">
              <w:rPr>
                <w:rFonts w:ascii="Verdana" w:hAnsi="Verdana"/>
                <w:sz w:val="18"/>
                <w:szCs w:val="21"/>
              </w:rPr>
              <w:t xml:space="preserve">[78]. </w:t>
            </w:r>
          </w:p>
        </w:tc>
        <w:tc>
          <w:tcPr>
            <w:tcW w:w="1560" w:type="dxa"/>
          </w:tcPr>
          <w:p w14:paraId="30F19519"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lastRenderedPageBreak/>
              <w:t xml:space="preserve">Specific regional guideline </w:t>
            </w:r>
          </w:p>
        </w:tc>
        <w:tc>
          <w:tcPr>
            <w:tcW w:w="5499" w:type="dxa"/>
          </w:tcPr>
          <w:p w14:paraId="3EF1B726" w14:textId="77777777" w:rsidR="008B4E24" w:rsidRPr="00BD66CE" w:rsidRDefault="008B4E24" w:rsidP="006D3D04">
            <w:pPr>
              <w:pStyle w:val="MDPI31text"/>
              <w:ind w:left="0" w:firstLine="0"/>
              <w:rPr>
                <w:rFonts w:ascii="Verdana" w:hAnsi="Verdana"/>
                <w:sz w:val="18"/>
                <w:szCs w:val="21"/>
              </w:rPr>
            </w:pPr>
            <w:r w:rsidRPr="00BD66CE">
              <w:rPr>
                <w:rFonts w:ascii="Verdana" w:hAnsi="Verdana"/>
                <w:sz w:val="18"/>
                <w:szCs w:val="21"/>
              </w:rPr>
              <w:t xml:space="preserve">The document acts structurally, functionally, and operationally to fulfill the post-COVID-19 Central American Health Agenda without neglecting the pre-existing and re-emerging socio-health challenges in all human life cycles. </w:t>
            </w:r>
            <w:r w:rsidRPr="00BD66CE">
              <w:rPr>
                <w:rFonts w:ascii="Verdana" w:hAnsi="Verdana"/>
                <w:sz w:val="18"/>
                <w:szCs w:val="21"/>
              </w:rPr>
              <w:lastRenderedPageBreak/>
              <w:t xml:space="preserve">It reinforces the need to strengthen intersectorality among all CAIS-derived bodies, taking a comprehensive view of health and its determinants. Moreover, it emphasizes the discussion of the SDGs and the individual commitment of each country to achieve the regional goals, which should be achieved through a population-based approach to public health and increased social awareness. </w:t>
            </w:r>
          </w:p>
        </w:tc>
      </w:tr>
    </w:tbl>
    <w:p w14:paraId="5BD0A91E" w14:textId="07AD628E" w:rsidR="00D15067" w:rsidRPr="00BD66CE" w:rsidRDefault="008B4E24" w:rsidP="00247BD2">
      <w:pPr>
        <w:pStyle w:val="MDPI31text"/>
        <w:ind w:left="0" w:firstLine="0"/>
        <w:rPr>
          <w:rFonts w:ascii="Verdana" w:hAnsi="Verdana"/>
        </w:rPr>
        <w:sectPr w:rsidR="00D15067" w:rsidRPr="00BD66CE" w:rsidSect="008B4E24">
          <w:headerReference w:type="even" r:id="rId15"/>
          <w:headerReference w:type="default" r:id="rId16"/>
          <w:headerReference w:type="first" r:id="rId17"/>
          <w:footerReference w:type="first" r:id="rId18"/>
          <w:type w:val="continuous"/>
          <w:pgSz w:w="11906" w:h="16838" w:code="9"/>
          <w:pgMar w:top="1077" w:right="720" w:bottom="1418" w:left="720" w:header="1021" w:footer="340" w:gutter="0"/>
          <w:lnNumType w:countBy="1" w:distance="255" w:restart="continuous"/>
          <w:pgNumType w:start="1"/>
          <w:cols w:space="425"/>
          <w:titlePg/>
          <w:bidi/>
          <w:docGrid w:type="linesAndChars" w:linePitch="326"/>
        </w:sectPr>
      </w:pPr>
      <w:r w:rsidRPr="00BD66CE">
        <w:rPr>
          <w:rFonts w:ascii="Verdana" w:hAnsi="Verdana"/>
          <w:b/>
          <w:bCs/>
          <w:szCs w:val="20"/>
        </w:rPr>
        <w:lastRenderedPageBreak/>
        <w:t>Source</w:t>
      </w:r>
      <w:r w:rsidRPr="00BD66CE">
        <w:rPr>
          <w:rFonts w:ascii="Verdana" w:hAnsi="Verdana"/>
          <w:szCs w:val="20"/>
        </w:rPr>
        <w:t>: Elaborated by the authors (2022)</w:t>
      </w:r>
      <w:r w:rsidR="00B06990" w:rsidRPr="00BD66CE">
        <w:rPr>
          <w:rFonts w:ascii="Verdana" w:hAnsi="Verdana"/>
          <w:szCs w:val="20"/>
        </w:rPr>
        <w:t xml:space="preserve">. </w:t>
      </w:r>
    </w:p>
    <w:p w14:paraId="2ADEB6B5" w14:textId="671EBEB1" w:rsidR="007B692C" w:rsidRPr="00BD66CE" w:rsidRDefault="007B692C" w:rsidP="00247BD2">
      <w:pPr>
        <w:pStyle w:val="MDPI31text"/>
        <w:ind w:left="0" w:firstLine="0"/>
        <w:rPr>
          <w:rFonts w:ascii="Verdana" w:hAnsi="Verdana"/>
        </w:rPr>
      </w:pPr>
    </w:p>
    <w:p w14:paraId="218675BA" w14:textId="3A863DB0" w:rsidR="00034EF5" w:rsidRPr="00BD66CE" w:rsidRDefault="00CD3EE0" w:rsidP="001C5420">
      <w:pPr>
        <w:pStyle w:val="MDPI31text"/>
        <w:ind w:left="0" w:firstLine="510"/>
        <w:rPr>
          <w:rFonts w:ascii="Verdana" w:hAnsi="Verdana"/>
        </w:rPr>
      </w:pPr>
      <w:r w:rsidRPr="00BD66CE">
        <w:rPr>
          <w:rFonts w:ascii="Verdana" w:hAnsi="Verdana"/>
        </w:rPr>
        <w:t>The above</w:t>
      </w:r>
      <w:r w:rsidR="00034EF5" w:rsidRPr="00BD66CE">
        <w:rPr>
          <w:rFonts w:ascii="Verdana" w:hAnsi="Verdana"/>
        </w:rPr>
        <w:t xml:space="preserve"> instruments only follow</w:t>
      </w:r>
      <w:r w:rsidR="00A3714C" w:rsidRPr="00BD66CE">
        <w:rPr>
          <w:rFonts w:ascii="Verdana" w:hAnsi="Verdana"/>
        </w:rPr>
        <w:t>ed</w:t>
      </w:r>
      <w:r w:rsidR="00034EF5" w:rsidRPr="00BD66CE">
        <w:rPr>
          <w:rFonts w:ascii="Verdana" w:hAnsi="Verdana"/>
        </w:rPr>
        <w:t xml:space="preserve"> a technocratic line of work once their rationale is in accordance with the canons of international and administrative law that govern the CAIS's institutional framework and therefore do not superimpose the final decisions adopted internally in each country. In the context of the pandemic, they function</w:t>
      </w:r>
      <w:r w:rsidR="00CF2B83" w:rsidRPr="00BD66CE">
        <w:rPr>
          <w:rFonts w:ascii="Verdana" w:hAnsi="Verdana"/>
        </w:rPr>
        <w:t>ed</w:t>
      </w:r>
      <w:r w:rsidR="00034EF5" w:rsidRPr="00BD66CE">
        <w:rPr>
          <w:rFonts w:ascii="Verdana" w:hAnsi="Verdana"/>
        </w:rPr>
        <w:t xml:space="preserve"> more as pieces of advice from a multitasked team.</w:t>
      </w:r>
      <w:r w:rsidR="004C51F9" w:rsidRPr="00BD66CE">
        <w:rPr>
          <w:rFonts w:ascii="Verdana" w:hAnsi="Verdana"/>
        </w:rPr>
        <w:t xml:space="preserve"> </w:t>
      </w:r>
    </w:p>
    <w:p w14:paraId="4AF95165" w14:textId="77777777" w:rsidR="004C51F9" w:rsidRPr="00BD66CE" w:rsidRDefault="004C51F9" w:rsidP="00034EF5">
      <w:pPr>
        <w:pStyle w:val="MDPI31text"/>
        <w:ind w:left="2550" w:firstLine="510"/>
        <w:rPr>
          <w:rFonts w:ascii="Verdana" w:hAnsi="Verdana"/>
        </w:rPr>
      </w:pPr>
    </w:p>
    <w:p w14:paraId="14EBC851" w14:textId="0AE25BB4" w:rsidR="0060279F" w:rsidRPr="00BD66CE" w:rsidRDefault="005C4D87" w:rsidP="001C5420">
      <w:pPr>
        <w:pStyle w:val="MDPI21heading1"/>
        <w:ind w:left="0"/>
        <w:rPr>
          <w:rFonts w:ascii="Verdana" w:hAnsi="Verdana"/>
        </w:rPr>
      </w:pPr>
      <w:r w:rsidRPr="00BD66CE">
        <w:rPr>
          <w:rFonts w:ascii="Verdana" w:hAnsi="Verdana"/>
        </w:rPr>
        <w:t>4. Discussion</w:t>
      </w:r>
    </w:p>
    <w:p w14:paraId="252CFAFB" w14:textId="77777777" w:rsidR="001C5420" w:rsidRPr="00BD66CE" w:rsidRDefault="001C5420" w:rsidP="001C5420">
      <w:pPr>
        <w:pStyle w:val="MDPI31text"/>
        <w:ind w:left="0" w:firstLine="510"/>
        <w:rPr>
          <w:rFonts w:ascii="Verdana" w:hAnsi="Verdana"/>
        </w:rPr>
      </w:pPr>
    </w:p>
    <w:p w14:paraId="7AC4493B" w14:textId="19A334CA" w:rsidR="006A1A22" w:rsidRPr="00BD66CE" w:rsidRDefault="00CC4325" w:rsidP="001C5420">
      <w:pPr>
        <w:pStyle w:val="MDPI31text"/>
        <w:ind w:left="0" w:firstLine="510"/>
        <w:rPr>
          <w:rFonts w:ascii="Verdana" w:hAnsi="Verdana"/>
        </w:rPr>
      </w:pPr>
      <w:r w:rsidRPr="00BD66CE">
        <w:rPr>
          <w:rFonts w:ascii="Verdana" w:hAnsi="Verdana"/>
        </w:rPr>
        <w:t>The advent of the COVID-19 pandemic highlighted the deteriorated public health services and programs worldwide by revealing high unsolvability to deal with situations involving health calamities and unsound leadership. Incidentally, we did not intend to give a weighting to Central American public health systems or rank countries on a quality index in this work. We are aware that the ranking may be attractive to public health practitioners and, at times, could improve State accountability, leading to respect for human rights and improved health services for the aged. Such an event resumed the issue of the quality of public health services that was the focus of extensive discussions covenanted in the WHO</w:t>
      </w:r>
      <w:r w:rsidR="00123A66" w:rsidRPr="00BD66CE">
        <w:rPr>
          <w:rFonts w:ascii="Verdana" w:hAnsi="Verdana"/>
          <w:bCs/>
        </w:rPr>
        <w:t>'</w:t>
      </w:r>
      <w:r w:rsidRPr="00BD66CE">
        <w:rPr>
          <w:rFonts w:ascii="Verdana" w:hAnsi="Verdana"/>
        </w:rPr>
        <w:t xml:space="preserve">s report </w:t>
      </w:r>
      <w:r w:rsidR="00A544AD" w:rsidRPr="00BD66CE">
        <w:rPr>
          <w:rFonts w:ascii="Verdana" w:hAnsi="Verdana"/>
        </w:rPr>
        <w:t>[79]</w:t>
      </w:r>
      <w:r w:rsidRPr="00BD66CE">
        <w:rPr>
          <w:rFonts w:ascii="Verdana" w:hAnsi="Verdana"/>
        </w:rPr>
        <w:t xml:space="preserve"> published in 2018</w:t>
      </w:r>
      <w:r w:rsidR="00E147FD" w:rsidRPr="00BD66CE">
        <w:rPr>
          <w:rFonts w:ascii="Verdana" w:hAnsi="Verdana"/>
        </w:rPr>
        <w:t>, which considers that “effective governance of health systems comprises several tasks, including maintaining strategic of goals and priorities; generating the information and analysis required to track whether goals are being met; designing rules, policies and processes to steer the system in the desired direction; and creating and nurturing collaborations within and beyond the system” (p. 52).</w:t>
      </w:r>
      <w:r w:rsidR="009E7DFD" w:rsidRPr="00BD66CE">
        <w:rPr>
          <w:rFonts w:ascii="Verdana" w:hAnsi="Verdana"/>
        </w:rPr>
        <w:t xml:space="preserve"> </w:t>
      </w:r>
    </w:p>
    <w:p w14:paraId="0541A571" w14:textId="77777777" w:rsidR="001C5420" w:rsidRPr="00BD66CE" w:rsidRDefault="001C5420" w:rsidP="001C5420">
      <w:pPr>
        <w:pStyle w:val="MDPI31text"/>
        <w:ind w:left="0" w:firstLine="510"/>
        <w:rPr>
          <w:rFonts w:ascii="Verdana" w:hAnsi="Verdana"/>
        </w:rPr>
      </w:pPr>
    </w:p>
    <w:p w14:paraId="00FAF3A0" w14:textId="33C41AB7" w:rsidR="008762F3" w:rsidRPr="00BD66CE" w:rsidRDefault="007740BD" w:rsidP="001C5420">
      <w:pPr>
        <w:pStyle w:val="MDPI31text"/>
        <w:ind w:left="0" w:firstLine="510"/>
        <w:rPr>
          <w:rFonts w:ascii="Verdana" w:hAnsi="Verdana"/>
        </w:rPr>
      </w:pPr>
      <w:r w:rsidRPr="00BD66CE">
        <w:rPr>
          <w:rFonts w:ascii="Verdana" w:hAnsi="Verdana"/>
        </w:rPr>
        <w:t xml:space="preserve">Regional coordination strategies for the containment and mitigation of the virus during the first months of the pandemic received significant contributions from the sanitary sovereignty channels proposed by CAIS. </w:t>
      </w:r>
      <w:r w:rsidR="007977E9" w:rsidRPr="00BD66CE">
        <w:rPr>
          <w:rFonts w:ascii="Verdana" w:hAnsi="Verdana"/>
        </w:rPr>
        <w:t xml:space="preserve">During the first </w:t>
      </w:r>
      <w:r w:rsidR="00386779" w:rsidRPr="00BD66CE">
        <w:rPr>
          <w:rFonts w:ascii="Verdana" w:hAnsi="Verdana"/>
        </w:rPr>
        <w:t>month</w:t>
      </w:r>
      <w:r w:rsidR="007977E9" w:rsidRPr="00BD66CE">
        <w:rPr>
          <w:rFonts w:ascii="Verdana" w:hAnsi="Verdana"/>
        </w:rPr>
        <w:t xml:space="preserve"> of the pandemic, each country set national strategies that differed from one another. Before confirming the first contagions, countries such as Costa Rica, Panama, El Salvador, and Gu</w:t>
      </w:r>
      <w:r w:rsidR="000973EF" w:rsidRPr="00BD66CE">
        <w:rPr>
          <w:rFonts w:ascii="Verdana" w:hAnsi="Verdana"/>
        </w:rPr>
        <w:t xml:space="preserve">atemala had incorporated merely containment measures. Paradoxically, the high socioeconomic vulnerability and structural weaknesses that characterize these countries (except for Costa Rica and Panama) did not act as a constraint to keep case fatality rates below 5% until September 2020 </w:t>
      </w:r>
      <w:r w:rsidR="00A544AD" w:rsidRPr="00BD66CE">
        <w:rPr>
          <w:rFonts w:ascii="Verdana" w:hAnsi="Verdana"/>
        </w:rPr>
        <w:t>[80]</w:t>
      </w:r>
      <w:r w:rsidR="000973EF" w:rsidRPr="00BD66CE">
        <w:rPr>
          <w:rFonts w:ascii="Verdana" w:hAnsi="Verdana"/>
        </w:rPr>
        <w:t>. I</w:t>
      </w:r>
      <w:r w:rsidRPr="00BD66CE">
        <w:rPr>
          <w:rFonts w:ascii="Verdana" w:hAnsi="Verdana"/>
        </w:rPr>
        <w:t>t became possible to draw a network of social actors committed to striking immediate responses to the massive requests observed in the axis</w:t>
      </w:r>
      <w:r w:rsidR="000973EF" w:rsidRPr="00BD66CE">
        <w:rPr>
          <w:rFonts w:ascii="Verdana" w:hAnsi="Verdana"/>
        </w:rPr>
        <w:t xml:space="preserve"> through the virtual meetings of the Central American Ministers of Health and the corresponding National Heads Offices</w:t>
      </w:r>
      <w:r w:rsidRPr="00BD66CE">
        <w:rPr>
          <w:rFonts w:ascii="Verdana" w:hAnsi="Verdana"/>
        </w:rPr>
        <w:t xml:space="preserve">. In that vein, we </w:t>
      </w:r>
      <w:r w:rsidR="00EA6CF9" w:rsidRPr="00BD66CE">
        <w:rPr>
          <w:rFonts w:ascii="Verdana" w:hAnsi="Verdana"/>
        </w:rPr>
        <w:t>believe</w:t>
      </w:r>
      <w:r w:rsidRPr="00BD66CE">
        <w:rPr>
          <w:rFonts w:ascii="Verdana" w:hAnsi="Verdana"/>
        </w:rPr>
        <w:t xml:space="preserve"> the existence of the C</w:t>
      </w:r>
      <w:r w:rsidR="00823C96" w:rsidRPr="00BD66CE">
        <w:rPr>
          <w:rFonts w:ascii="Verdana" w:hAnsi="Verdana"/>
        </w:rPr>
        <w:t>AI</w:t>
      </w:r>
      <w:r w:rsidRPr="00BD66CE">
        <w:rPr>
          <w:rFonts w:ascii="Verdana" w:hAnsi="Verdana"/>
        </w:rPr>
        <w:t xml:space="preserve">S/CCAMH positively </w:t>
      </w:r>
      <w:r w:rsidR="001410B1" w:rsidRPr="00BD66CE">
        <w:rPr>
          <w:rFonts w:ascii="Verdana" w:hAnsi="Verdana"/>
        </w:rPr>
        <w:t>drew</w:t>
      </w:r>
      <w:r w:rsidRPr="00BD66CE">
        <w:rPr>
          <w:rFonts w:ascii="Verdana" w:hAnsi="Verdana"/>
        </w:rPr>
        <w:t xml:space="preserve"> a regional approach to population aging during the pandemic amid the hardships already known, an argument that we support through the following key points for reflection.</w:t>
      </w:r>
      <w:r w:rsidR="001410B1" w:rsidRPr="00BD66CE">
        <w:rPr>
          <w:rFonts w:ascii="Verdana" w:hAnsi="Verdana"/>
        </w:rPr>
        <w:t xml:space="preserve"> </w:t>
      </w:r>
      <w:r w:rsidR="0018646E" w:rsidRPr="00BD66CE">
        <w:rPr>
          <w:rFonts w:ascii="Verdana" w:hAnsi="Verdana"/>
        </w:rPr>
        <w:t xml:space="preserve"> </w:t>
      </w:r>
    </w:p>
    <w:p w14:paraId="27F59BA0" w14:textId="77777777" w:rsidR="005107EE" w:rsidRPr="00BD66CE" w:rsidRDefault="005107EE" w:rsidP="005107EE">
      <w:pPr>
        <w:pStyle w:val="MDPI31text"/>
        <w:ind w:left="0" w:firstLine="510"/>
        <w:rPr>
          <w:rFonts w:ascii="Verdana" w:hAnsi="Verdana"/>
        </w:rPr>
      </w:pPr>
    </w:p>
    <w:p w14:paraId="5011D06E" w14:textId="7F0618E2" w:rsidR="004B6A65" w:rsidRPr="00BD66CE" w:rsidRDefault="00B40ACB" w:rsidP="005107EE">
      <w:pPr>
        <w:pStyle w:val="MDPI31text"/>
        <w:ind w:left="0" w:firstLine="510"/>
        <w:rPr>
          <w:rFonts w:ascii="Verdana" w:hAnsi="Verdana"/>
        </w:rPr>
      </w:pPr>
      <w:r w:rsidRPr="00BD66CE">
        <w:rPr>
          <w:rFonts w:ascii="Verdana" w:hAnsi="Verdana"/>
        </w:rPr>
        <w:t xml:space="preserve">From the pandemic onset, the guidelines </w:t>
      </w:r>
      <w:r w:rsidR="005501CD" w:rsidRPr="00BD66CE">
        <w:rPr>
          <w:rFonts w:ascii="Verdana" w:hAnsi="Verdana"/>
        </w:rPr>
        <w:t xml:space="preserve">were </w:t>
      </w:r>
      <w:r w:rsidRPr="00BD66CE">
        <w:rPr>
          <w:rFonts w:ascii="Verdana" w:hAnsi="Verdana"/>
        </w:rPr>
        <w:t>update</w:t>
      </w:r>
      <w:r w:rsidR="005501CD" w:rsidRPr="00BD66CE">
        <w:rPr>
          <w:rFonts w:ascii="Verdana" w:hAnsi="Verdana"/>
        </w:rPr>
        <w:t>d</w:t>
      </w:r>
      <w:r w:rsidRPr="00BD66CE">
        <w:rPr>
          <w:rFonts w:ascii="Verdana" w:hAnsi="Verdana"/>
        </w:rPr>
        <w:t xml:space="preserve"> based on international recommendations and changes approved by local health authorities</w:t>
      </w:r>
      <w:r w:rsidR="00167572" w:rsidRPr="00BD66CE">
        <w:rPr>
          <w:rFonts w:ascii="Verdana" w:hAnsi="Verdana"/>
        </w:rPr>
        <w:t xml:space="preserve"> </w:t>
      </w:r>
      <w:r w:rsidR="00A544AD" w:rsidRPr="00BD66CE">
        <w:rPr>
          <w:rFonts w:ascii="Verdana" w:hAnsi="Verdana"/>
        </w:rPr>
        <w:t>[81]</w:t>
      </w:r>
      <w:r w:rsidRPr="00BD66CE">
        <w:rPr>
          <w:rFonts w:ascii="Verdana" w:hAnsi="Verdana"/>
        </w:rPr>
        <w:t xml:space="preserve">. Accordingly, the commitment to follow the most up-to-date knowledge is evident through a perspective of evidence-based medicine, which underpins the actions proposed by public health practitioners and policy-makers and requires a solid interrelation between countries to </w:t>
      </w:r>
      <w:r w:rsidR="00024BAB" w:rsidRPr="00BD66CE">
        <w:rPr>
          <w:rFonts w:ascii="Verdana" w:hAnsi="Verdana"/>
        </w:rPr>
        <w:t xml:space="preserve">achieve meaningful outcomes. </w:t>
      </w:r>
      <w:r w:rsidR="00094ECB" w:rsidRPr="00BD66CE">
        <w:rPr>
          <w:rFonts w:ascii="Verdana" w:hAnsi="Verdana"/>
        </w:rPr>
        <w:t>Nevertheless</w:t>
      </w:r>
      <w:r w:rsidR="00024BAB" w:rsidRPr="00BD66CE">
        <w:rPr>
          <w:rFonts w:ascii="Verdana" w:hAnsi="Verdana"/>
        </w:rPr>
        <w:t>, the</w:t>
      </w:r>
      <w:r w:rsidRPr="00BD66CE">
        <w:rPr>
          <w:rFonts w:ascii="Verdana" w:hAnsi="Verdana"/>
        </w:rPr>
        <w:t xml:space="preserve"> actions of Central American health authorities followed a consistent behavior only during the first eight months of the pandemic, once the governments of Nicaragua </w:t>
      </w:r>
      <w:r w:rsidR="000B38D8" w:rsidRPr="00BD66CE">
        <w:rPr>
          <w:rFonts w:ascii="Verdana" w:hAnsi="Verdana"/>
        </w:rPr>
        <w:t xml:space="preserve">(President Ortega) </w:t>
      </w:r>
      <w:r w:rsidRPr="00BD66CE">
        <w:rPr>
          <w:rFonts w:ascii="Verdana" w:hAnsi="Verdana"/>
        </w:rPr>
        <w:t xml:space="preserve">and El Salvador </w:t>
      </w:r>
      <w:r w:rsidR="000B38D8" w:rsidRPr="00BD66CE">
        <w:rPr>
          <w:rFonts w:ascii="Verdana" w:hAnsi="Verdana"/>
        </w:rPr>
        <w:t xml:space="preserve">(President Bukele) </w:t>
      </w:r>
      <w:r w:rsidRPr="00BD66CE">
        <w:rPr>
          <w:rFonts w:ascii="Verdana" w:hAnsi="Verdana"/>
        </w:rPr>
        <w:t xml:space="preserve">decided </w:t>
      </w:r>
      <w:r w:rsidR="001D5115" w:rsidRPr="00BD66CE">
        <w:rPr>
          <w:rFonts w:ascii="Verdana" w:hAnsi="Verdana"/>
        </w:rPr>
        <w:t>on</w:t>
      </w:r>
      <w:r w:rsidRPr="00BD66CE">
        <w:rPr>
          <w:rFonts w:ascii="Verdana" w:hAnsi="Verdana"/>
        </w:rPr>
        <w:t xml:space="preserve"> health measures that gainsaid the regional agreements</w:t>
      </w:r>
      <w:r w:rsidR="008E45E6" w:rsidRPr="00BD66CE">
        <w:rPr>
          <w:rFonts w:ascii="Verdana" w:hAnsi="Verdana"/>
        </w:rPr>
        <w:t xml:space="preserve"> </w:t>
      </w:r>
      <w:r w:rsidR="00CD1634" w:rsidRPr="00BD66CE">
        <w:rPr>
          <w:rFonts w:ascii="Verdana" w:hAnsi="Verdana"/>
        </w:rPr>
        <w:t>[82,83]</w:t>
      </w:r>
      <w:r w:rsidR="008E45E6" w:rsidRPr="00BD66CE">
        <w:rPr>
          <w:rFonts w:ascii="Verdana" w:hAnsi="Verdana"/>
        </w:rPr>
        <w:t>.</w:t>
      </w:r>
      <w:r w:rsidRPr="00BD66CE">
        <w:rPr>
          <w:rFonts w:ascii="Verdana" w:hAnsi="Verdana"/>
        </w:rPr>
        <w:t xml:space="preserve"> Justifications offered by these nations relied on the socioeconomic instability the countries were suffering because of the curtailment of </w:t>
      </w:r>
      <w:r w:rsidR="00682D85" w:rsidRPr="00BD66CE">
        <w:rPr>
          <w:rFonts w:ascii="Verdana" w:hAnsi="Verdana"/>
        </w:rPr>
        <w:t>trade</w:t>
      </w:r>
      <w:r w:rsidRPr="00BD66CE">
        <w:rPr>
          <w:rFonts w:ascii="Verdana" w:hAnsi="Verdana"/>
        </w:rPr>
        <w:t xml:space="preserve"> activities</w:t>
      </w:r>
      <w:r w:rsidR="00CD1634" w:rsidRPr="00BD66CE">
        <w:rPr>
          <w:rFonts w:ascii="Verdana" w:hAnsi="Verdana"/>
        </w:rPr>
        <w:t xml:space="preserve"> [84]</w:t>
      </w:r>
      <w:r w:rsidR="00682D85" w:rsidRPr="00BD66CE">
        <w:rPr>
          <w:rFonts w:ascii="Verdana" w:hAnsi="Verdana"/>
        </w:rPr>
        <w:t xml:space="preserve">, echoing voices of a necropolitical </w:t>
      </w:r>
      <w:r w:rsidR="004B6A65" w:rsidRPr="00BD66CE">
        <w:rPr>
          <w:rFonts w:ascii="Verdana" w:hAnsi="Verdana"/>
        </w:rPr>
        <w:t>vision of the pandemic</w:t>
      </w:r>
      <w:r w:rsidR="00682D85" w:rsidRPr="00BD66CE">
        <w:rPr>
          <w:rFonts w:ascii="Verdana" w:hAnsi="Verdana"/>
        </w:rPr>
        <w:t xml:space="preserve"> that wounded the basic principles of democracy and health sovereignty</w:t>
      </w:r>
      <w:r w:rsidR="001D5115" w:rsidRPr="00BD66CE">
        <w:rPr>
          <w:rFonts w:ascii="Verdana" w:hAnsi="Verdana"/>
        </w:rPr>
        <w:t xml:space="preserve"> </w:t>
      </w:r>
      <w:r w:rsidR="00CD1634" w:rsidRPr="00BD66CE">
        <w:rPr>
          <w:rFonts w:ascii="Verdana" w:hAnsi="Verdana"/>
        </w:rPr>
        <w:t>[85]</w:t>
      </w:r>
      <w:r w:rsidRPr="00BD66CE">
        <w:rPr>
          <w:rFonts w:ascii="Verdana" w:hAnsi="Verdana"/>
        </w:rPr>
        <w:t>.</w:t>
      </w:r>
      <w:r w:rsidR="005501CD" w:rsidRPr="00BD66CE">
        <w:rPr>
          <w:rFonts w:ascii="Verdana" w:hAnsi="Verdana"/>
        </w:rPr>
        <w:t xml:space="preserve"> This </w:t>
      </w:r>
      <w:r w:rsidR="00AC3EF6" w:rsidRPr="00BD66CE">
        <w:rPr>
          <w:rFonts w:ascii="Verdana" w:hAnsi="Verdana"/>
        </w:rPr>
        <w:t>negligence</w:t>
      </w:r>
      <w:r w:rsidR="004B6A65" w:rsidRPr="00BD66CE">
        <w:rPr>
          <w:rFonts w:ascii="Verdana" w:hAnsi="Verdana"/>
        </w:rPr>
        <w:t xml:space="preserve"> </w:t>
      </w:r>
      <w:r w:rsidR="005501CD" w:rsidRPr="00BD66CE">
        <w:rPr>
          <w:rFonts w:ascii="Verdana" w:hAnsi="Verdana"/>
        </w:rPr>
        <w:t xml:space="preserve">resulted in an exponential increase in contagion and </w:t>
      </w:r>
      <w:r w:rsidR="008A14C7" w:rsidRPr="00BD66CE">
        <w:rPr>
          <w:rFonts w:ascii="Verdana" w:hAnsi="Verdana"/>
        </w:rPr>
        <w:t>case fatality</w:t>
      </w:r>
      <w:r w:rsidR="00034BBD" w:rsidRPr="00BD66CE">
        <w:rPr>
          <w:rFonts w:ascii="Verdana" w:hAnsi="Verdana"/>
        </w:rPr>
        <w:t xml:space="preserve"> rates</w:t>
      </w:r>
      <w:r w:rsidR="005501CD" w:rsidRPr="00BD66CE">
        <w:rPr>
          <w:rFonts w:ascii="Verdana" w:hAnsi="Verdana"/>
        </w:rPr>
        <w:t xml:space="preserve">, the latter being </w:t>
      </w:r>
      <w:r w:rsidR="00034BBD" w:rsidRPr="00BD66CE">
        <w:rPr>
          <w:rFonts w:ascii="Verdana" w:hAnsi="Verdana"/>
        </w:rPr>
        <w:t>unrestrained</w:t>
      </w:r>
      <w:r w:rsidR="005501CD" w:rsidRPr="00BD66CE">
        <w:rPr>
          <w:rFonts w:ascii="Verdana" w:hAnsi="Verdana"/>
        </w:rPr>
        <w:t xml:space="preserve"> in the </w:t>
      </w:r>
      <w:r w:rsidR="0021404E" w:rsidRPr="00BD66CE">
        <w:rPr>
          <w:rFonts w:ascii="Verdana" w:hAnsi="Verdana"/>
        </w:rPr>
        <w:t>aged</w:t>
      </w:r>
      <w:r w:rsidR="00094ECB" w:rsidRPr="00BD66CE">
        <w:rPr>
          <w:rFonts w:ascii="Verdana" w:hAnsi="Verdana"/>
        </w:rPr>
        <w:t xml:space="preserve">. </w:t>
      </w:r>
    </w:p>
    <w:p w14:paraId="09E8CF08" w14:textId="77777777" w:rsidR="005107EE" w:rsidRPr="00BD66CE" w:rsidRDefault="005107EE" w:rsidP="005107EE">
      <w:pPr>
        <w:pStyle w:val="MDPI31text"/>
        <w:ind w:left="0" w:firstLine="510"/>
        <w:rPr>
          <w:rFonts w:ascii="Verdana" w:hAnsi="Verdana"/>
        </w:rPr>
      </w:pPr>
    </w:p>
    <w:p w14:paraId="17CA8C3E" w14:textId="4AB7D811" w:rsidR="009176B4" w:rsidRPr="00BD66CE" w:rsidRDefault="00034BBD" w:rsidP="005107EE">
      <w:pPr>
        <w:pStyle w:val="MDPI31text"/>
        <w:ind w:left="0" w:firstLine="510"/>
        <w:rPr>
          <w:rFonts w:ascii="Verdana" w:hAnsi="Verdana"/>
        </w:rPr>
      </w:pPr>
      <w:r w:rsidRPr="00BD66CE">
        <w:rPr>
          <w:rFonts w:ascii="Verdana" w:hAnsi="Verdana"/>
        </w:rPr>
        <w:t xml:space="preserve">Despite the numerous calls to reflect on the consequences that such </w:t>
      </w:r>
      <w:r w:rsidR="006A5246" w:rsidRPr="00BD66CE">
        <w:rPr>
          <w:rFonts w:ascii="Verdana" w:hAnsi="Verdana"/>
        </w:rPr>
        <w:t xml:space="preserve">hostile </w:t>
      </w:r>
      <w:r w:rsidRPr="00BD66CE">
        <w:rPr>
          <w:rFonts w:ascii="Verdana" w:hAnsi="Verdana"/>
        </w:rPr>
        <w:t>acts would</w:t>
      </w:r>
      <w:r w:rsidR="00F26A7B" w:rsidRPr="00BD66CE">
        <w:rPr>
          <w:rFonts w:ascii="Verdana" w:hAnsi="Verdana"/>
        </w:rPr>
        <w:t xml:space="preserve"> bring to the inhabitants, the Heads of S</w:t>
      </w:r>
      <w:r w:rsidRPr="00BD66CE">
        <w:rPr>
          <w:rFonts w:ascii="Verdana" w:hAnsi="Verdana"/>
        </w:rPr>
        <w:t xml:space="preserve">tate were forceful by warning that although they were part of the regional agreements, the </w:t>
      </w:r>
      <w:r w:rsidR="004B6A65" w:rsidRPr="00BD66CE">
        <w:rPr>
          <w:rFonts w:ascii="Verdana" w:hAnsi="Verdana"/>
        </w:rPr>
        <w:t>inward</w:t>
      </w:r>
      <w:r w:rsidRPr="00BD66CE">
        <w:rPr>
          <w:rFonts w:ascii="Verdana" w:hAnsi="Verdana"/>
        </w:rPr>
        <w:t xml:space="preserve"> management of the pandemic was</w:t>
      </w:r>
      <w:r w:rsidR="004B6A65" w:rsidRPr="00BD66CE">
        <w:rPr>
          <w:rFonts w:ascii="Verdana" w:hAnsi="Verdana"/>
        </w:rPr>
        <w:t xml:space="preserve"> the sole </w:t>
      </w:r>
      <w:r w:rsidRPr="00BD66CE">
        <w:rPr>
          <w:rFonts w:ascii="Verdana" w:hAnsi="Verdana"/>
        </w:rPr>
        <w:t xml:space="preserve">responsibility of the </w:t>
      </w:r>
      <w:r w:rsidR="00B5731C" w:rsidRPr="00BD66CE">
        <w:rPr>
          <w:rFonts w:ascii="Verdana" w:hAnsi="Verdana"/>
        </w:rPr>
        <w:t>states</w:t>
      </w:r>
      <w:r w:rsidR="00EF5C28" w:rsidRPr="00BD66CE">
        <w:rPr>
          <w:rFonts w:ascii="Verdana" w:hAnsi="Verdana"/>
        </w:rPr>
        <w:t xml:space="preserve"> </w:t>
      </w:r>
      <w:r w:rsidR="00CD1634" w:rsidRPr="00BD66CE">
        <w:rPr>
          <w:rFonts w:ascii="Verdana" w:hAnsi="Verdana"/>
        </w:rPr>
        <w:t>[86]</w:t>
      </w:r>
      <w:r w:rsidRPr="00BD66CE">
        <w:rPr>
          <w:rFonts w:ascii="Verdana" w:hAnsi="Verdana"/>
        </w:rPr>
        <w:t xml:space="preserve">. It occurs because the </w:t>
      </w:r>
      <w:r w:rsidR="00AC3EF6" w:rsidRPr="00BD66CE">
        <w:rPr>
          <w:rFonts w:ascii="Verdana" w:hAnsi="Verdana"/>
        </w:rPr>
        <w:t>CA</w:t>
      </w:r>
      <w:r w:rsidR="00472501" w:rsidRPr="00BD66CE">
        <w:rPr>
          <w:rFonts w:ascii="Verdana" w:hAnsi="Verdana"/>
        </w:rPr>
        <w:t>I</w:t>
      </w:r>
      <w:r w:rsidR="00AC3EF6" w:rsidRPr="00BD66CE">
        <w:rPr>
          <w:rFonts w:ascii="Verdana" w:hAnsi="Verdana"/>
        </w:rPr>
        <w:t xml:space="preserve">S/CCAMH </w:t>
      </w:r>
      <w:r w:rsidRPr="00BD66CE">
        <w:rPr>
          <w:rFonts w:ascii="Verdana" w:hAnsi="Verdana"/>
        </w:rPr>
        <w:t xml:space="preserve">does not have a legal </w:t>
      </w:r>
      <w:r w:rsidR="00B17BA9" w:rsidRPr="00BD66CE">
        <w:rPr>
          <w:rFonts w:ascii="Verdana" w:hAnsi="Verdana"/>
        </w:rPr>
        <w:t>path</w:t>
      </w:r>
      <w:r w:rsidRPr="00BD66CE">
        <w:rPr>
          <w:rFonts w:ascii="Verdana" w:hAnsi="Verdana"/>
        </w:rPr>
        <w:t xml:space="preserve"> that </w:t>
      </w:r>
      <w:r w:rsidR="0021404E" w:rsidRPr="00BD66CE">
        <w:rPr>
          <w:rFonts w:ascii="Verdana" w:hAnsi="Verdana"/>
        </w:rPr>
        <w:t>forewarns</w:t>
      </w:r>
      <w:r w:rsidRPr="00BD66CE">
        <w:rPr>
          <w:rFonts w:ascii="Verdana" w:hAnsi="Verdana"/>
        </w:rPr>
        <w:t xml:space="preserve"> administrative charges for </w:t>
      </w:r>
      <w:r w:rsidRPr="00BD66CE">
        <w:rPr>
          <w:rFonts w:ascii="Verdana" w:hAnsi="Verdana"/>
        </w:rPr>
        <w:lastRenderedPageBreak/>
        <w:t xml:space="preserve">the inconsideration of norms, thus </w:t>
      </w:r>
      <w:r w:rsidR="0046475A" w:rsidRPr="00BD66CE">
        <w:rPr>
          <w:rFonts w:ascii="Verdana" w:hAnsi="Verdana"/>
        </w:rPr>
        <w:t>fanning</w:t>
      </w:r>
      <w:r w:rsidRPr="00BD66CE">
        <w:rPr>
          <w:rFonts w:ascii="Verdana" w:hAnsi="Verdana"/>
        </w:rPr>
        <w:t xml:space="preserve"> </w:t>
      </w:r>
      <w:r w:rsidR="004F286B" w:rsidRPr="00BD66CE">
        <w:rPr>
          <w:rFonts w:ascii="Verdana" w:hAnsi="Verdana"/>
        </w:rPr>
        <w:t>gaps</w:t>
      </w:r>
      <w:r w:rsidRPr="00BD66CE">
        <w:rPr>
          <w:rFonts w:ascii="Verdana" w:hAnsi="Verdana"/>
        </w:rPr>
        <w:t xml:space="preserve"> for ideological divergences to override collective interests, as described above.</w:t>
      </w:r>
      <w:r w:rsidR="009176B4" w:rsidRPr="00BD66CE">
        <w:rPr>
          <w:rFonts w:ascii="Verdana" w:hAnsi="Verdana"/>
        </w:rPr>
        <w:t xml:space="preserve"> Taking into consideration Paisano's statements </w:t>
      </w:r>
      <w:r w:rsidR="00DE7C52" w:rsidRPr="00BD66CE">
        <w:rPr>
          <w:rFonts w:ascii="Verdana" w:hAnsi="Verdana"/>
        </w:rPr>
        <w:t>[87]</w:t>
      </w:r>
      <w:r w:rsidR="009176B4" w:rsidRPr="00BD66CE">
        <w:rPr>
          <w:rFonts w:ascii="Verdana" w:hAnsi="Verdana"/>
        </w:rPr>
        <w:t>, it reads</w:t>
      </w:r>
      <w:r w:rsidR="009F7528" w:rsidRPr="00BD66CE">
        <w:rPr>
          <w:rFonts w:ascii="Verdana" w:hAnsi="Verdana"/>
        </w:rPr>
        <w:t xml:space="preserve"> that</w:t>
      </w:r>
      <w:r w:rsidR="009176B4" w:rsidRPr="00BD66CE">
        <w:rPr>
          <w:rFonts w:ascii="Verdana" w:hAnsi="Verdana"/>
        </w:rPr>
        <w:t xml:space="preserve">: </w:t>
      </w:r>
    </w:p>
    <w:p w14:paraId="4719D24F" w14:textId="77777777" w:rsidR="009176B4" w:rsidRPr="00BD66CE" w:rsidRDefault="009176B4" w:rsidP="009176B4">
      <w:pPr>
        <w:pStyle w:val="MDPI31text"/>
        <w:rPr>
          <w:rFonts w:ascii="Verdana" w:hAnsi="Verdana"/>
        </w:rPr>
      </w:pPr>
    </w:p>
    <w:p w14:paraId="4E3031D0" w14:textId="461016CC" w:rsidR="009176B4" w:rsidRPr="00BD66CE" w:rsidRDefault="009176B4" w:rsidP="008B22E3">
      <w:pPr>
        <w:pStyle w:val="MDPI31text"/>
        <w:ind w:left="1530" w:firstLine="0"/>
        <w:rPr>
          <w:rFonts w:ascii="Verdana" w:hAnsi="Verdana"/>
        </w:rPr>
      </w:pPr>
      <w:r w:rsidRPr="00BD66CE">
        <w:rPr>
          <w:rFonts w:ascii="Verdana" w:hAnsi="Verdana"/>
        </w:rPr>
        <w:t xml:space="preserve">"In the application of this decision-making model, the Central American governments sustain the CAIS's institutionality under a system of legal and political relations centered on the control of the common bodies through their official representatives. The Consensus implies that only through the participation of national officials each State expresses its assent so that the normative acts have full application in the internal scope or can be adapted by internal acts in a unitary way" </w:t>
      </w:r>
      <w:r w:rsidR="00094ECB" w:rsidRPr="00BD66CE">
        <w:rPr>
          <w:rFonts w:ascii="Verdana" w:hAnsi="Verdana"/>
        </w:rPr>
        <w:t xml:space="preserve">[87 </w:t>
      </w:r>
      <w:r w:rsidRPr="00BD66CE">
        <w:rPr>
          <w:rFonts w:ascii="Verdana" w:hAnsi="Verdana"/>
        </w:rPr>
        <w:t>(p. 167)</w:t>
      </w:r>
      <w:r w:rsidR="00094ECB" w:rsidRPr="00BD66CE">
        <w:rPr>
          <w:rFonts w:ascii="Verdana" w:hAnsi="Verdana"/>
        </w:rPr>
        <w:t>]</w:t>
      </w:r>
      <w:r w:rsidRPr="00BD66CE">
        <w:rPr>
          <w:rFonts w:ascii="Verdana" w:hAnsi="Verdana"/>
        </w:rPr>
        <w:t xml:space="preserve">. </w:t>
      </w:r>
    </w:p>
    <w:p w14:paraId="72477C01" w14:textId="77777777" w:rsidR="005107EE" w:rsidRPr="00BD66CE" w:rsidRDefault="005107EE" w:rsidP="0018646E">
      <w:pPr>
        <w:pStyle w:val="MDPI31text"/>
        <w:ind w:left="3402" w:firstLine="0"/>
        <w:rPr>
          <w:rFonts w:ascii="Verdana" w:hAnsi="Verdana"/>
        </w:rPr>
      </w:pPr>
    </w:p>
    <w:p w14:paraId="320240FF" w14:textId="32B0D6D4" w:rsidR="00351F9A" w:rsidRPr="00BD66CE" w:rsidRDefault="00F9444F" w:rsidP="005107EE">
      <w:pPr>
        <w:pStyle w:val="MDPI31text"/>
        <w:ind w:left="0" w:firstLine="510"/>
        <w:rPr>
          <w:rFonts w:ascii="Verdana" w:hAnsi="Verdana"/>
        </w:rPr>
      </w:pPr>
      <w:r w:rsidRPr="00BD66CE">
        <w:rPr>
          <w:rFonts w:ascii="Verdana" w:hAnsi="Verdana"/>
        </w:rPr>
        <w:t xml:space="preserve">Forsooth, the COVID-19 pandemic has been just one more of many regional </w:t>
      </w:r>
      <w:r w:rsidR="0021404E" w:rsidRPr="00BD66CE">
        <w:rPr>
          <w:rFonts w:ascii="Verdana" w:hAnsi="Verdana"/>
        </w:rPr>
        <w:t>misunderstandings</w:t>
      </w:r>
      <w:r w:rsidRPr="00BD66CE">
        <w:rPr>
          <w:rFonts w:ascii="Verdana" w:hAnsi="Verdana"/>
        </w:rPr>
        <w:t xml:space="preserve"> to test the response of governments to </w:t>
      </w:r>
      <w:r w:rsidR="0046475A" w:rsidRPr="00BD66CE">
        <w:rPr>
          <w:rFonts w:ascii="Verdana" w:hAnsi="Verdana"/>
        </w:rPr>
        <w:t>disturbing</w:t>
      </w:r>
      <w:r w:rsidRPr="00BD66CE">
        <w:rPr>
          <w:rFonts w:ascii="Verdana" w:hAnsi="Verdana"/>
        </w:rPr>
        <w:t xml:space="preserve"> </w:t>
      </w:r>
      <w:r w:rsidR="0046475A" w:rsidRPr="00BD66CE">
        <w:rPr>
          <w:rFonts w:ascii="Verdana" w:hAnsi="Verdana"/>
        </w:rPr>
        <w:t>pictures</w:t>
      </w:r>
      <w:r w:rsidRPr="00BD66CE">
        <w:rPr>
          <w:rFonts w:ascii="Verdana" w:hAnsi="Verdana"/>
        </w:rPr>
        <w:t xml:space="preserve"> that </w:t>
      </w:r>
      <w:r w:rsidR="00970179" w:rsidRPr="00BD66CE">
        <w:rPr>
          <w:rFonts w:ascii="Verdana" w:hAnsi="Verdana"/>
        </w:rPr>
        <w:t>ask for</w:t>
      </w:r>
      <w:r w:rsidRPr="00BD66CE">
        <w:rPr>
          <w:rFonts w:ascii="Verdana" w:hAnsi="Verdana"/>
        </w:rPr>
        <w:t xml:space="preserve"> a well-articulated policy response.</w:t>
      </w:r>
      <w:r w:rsidR="0046475A" w:rsidRPr="00BD66CE">
        <w:rPr>
          <w:rFonts w:ascii="Verdana" w:hAnsi="Verdana"/>
        </w:rPr>
        <w:t xml:space="preserve"> </w:t>
      </w:r>
      <w:r w:rsidR="00700A16" w:rsidRPr="00BD66CE">
        <w:rPr>
          <w:rFonts w:ascii="Verdana" w:hAnsi="Verdana"/>
        </w:rPr>
        <w:t>As seen, there is a long road ahead for the CAIS to strengthen its integration pillars, especially those related to democratic security, social integration</w:t>
      </w:r>
      <w:r w:rsidR="00970179" w:rsidRPr="00BD66CE">
        <w:rPr>
          <w:rFonts w:ascii="Verdana" w:hAnsi="Verdana"/>
        </w:rPr>
        <w:t>,</w:t>
      </w:r>
      <w:r w:rsidR="00700A16" w:rsidRPr="00BD66CE">
        <w:rPr>
          <w:rFonts w:ascii="Verdana" w:hAnsi="Verdana"/>
        </w:rPr>
        <w:t xml:space="preserve"> and regional institutionality.</w:t>
      </w:r>
      <w:r w:rsidR="009176B4" w:rsidRPr="00BD66CE">
        <w:rPr>
          <w:rFonts w:ascii="Verdana" w:hAnsi="Verdana"/>
        </w:rPr>
        <w:t xml:space="preserve"> </w:t>
      </w:r>
      <w:r w:rsidR="00AC3EF6" w:rsidRPr="00BD66CE">
        <w:rPr>
          <w:rFonts w:ascii="Verdana" w:hAnsi="Verdana"/>
        </w:rPr>
        <w:t xml:space="preserve">Some say history always repeats itself. Not differently, in countries with an anti-democratic </w:t>
      </w:r>
      <w:r w:rsidR="00B5731C" w:rsidRPr="00BD66CE">
        <w:rPr>
          <w:rFonts w:ascii="Verdana" w:hAnsi="Verdana"/>
        </w:rPr>
        <w:t>background</w:t>
      </w:r>
      <w:r w:rsidR="00AC3EF6" w:rsidRPr="00BD66CE">
        <w:rPr>
          <w:rFonts w:ascii="Verdana" w:hAnsi="Verdana"/>
        </w:rPr>
        <w:t xml:space="preserve">, such as El Salvador, Nicaragua, and Honduras, the </w:t>
      </w:r>
      <w:r w:rsidR="00A67911" w:rsidRPr="00BD66CE">
        <w:rPr>
          <w:rFonts w:ascii="Verdana" w:hAnsi="Verdana"/>
        </w:rPr>
        <w:t xml:space="preserve">haphazard </w:t>
      </w:r>
      <w:r w:rsidR="00AC3EF6" w:rsidRPr="00BD66CE">
        <w:rPr>
          <w:rFonts w:ascii="Verdana" w:hAnsi="Verdana"/>
        </w:rPr>
        <w:t xml:space="preserve">approach to the pandemic </w:t>
      </w:r>
      <w:r w:rsidR="00B17BA9" w:rsidRPr="00BD66CE">
        <w:rPr>
          <w:rFonts w:ascii="Verdana" w:hAnsi="Verdana"/>
        </w:rPr>
        <w:t>made</w:t>
      </w:r>
      <w:r w:rsidR="00AC3EF6" w:rsidRPr="00BD66CE">
        <w:rPr>
          <w:rFonts w:ascii="Verdana" w:hAnsi="Verdana"/>
        </w:rPr>
        <w:t xml:space="preserve"> notoriously marked by the lack of public governance, which unfortunately </w:t>
      </w:r>
      <w:r w:rsidR="00B17BA9" w:rsidRPr="00BD66CE">
        <w:rPr>
          <w:rFonts w:ascii="Verdana" w:hAnsi="Verdana"/>
        </w:rPr>
        <w:t>led to the inability to identify cluster transmissions, resulting</w:t>
      </w:r>
      <w:r w:rsidR="00AC3EF6" w:rsidRPr="00BD66CE">
        <w:rPr>
          <w:rFonts w:ascii="Verdana" w:hAnsi="Verdana"/>
        </w:rPr>
        <w:t xml:space="preserve"> in the avoidabl</w:t>
      </w:r>
      <w:r w:rsidR="00A67911" w:rsidRPr="00BD66CE">
        <w:rPr>
          <w:rFonts w:ascii="Verdana" w:hAnsi="Verdana"/>
        </w:rPr>
        <w:t>e deaths of thousands of people, mostly older adults</w:t>
      </w:r>
      <w:r w:rsidR="0021404E" w:rsidRPr="00BD66CE">
        <w:rPr>
          <w:rFonts w:ascii="Verdana" w:hAnsi="Verdana"/>
        </w:rPr>
        <w:t xml:space="preserve"> </w:t>
      </w:r>
      <w:r w:rsidR="00DE7C52" w:rsidRPr="00BD66CE">
        <w:rPr>
          <w:rFonts w:ascii="Verdana" w:hAnsi="Verdana"/>
        </w:rPr>
        <w:t>[88]</w:t>
      </w:r>
      <w:r w:rsidR="0021404E" w:rsidRPr="00BD66CE">
        <w:rPr>
          <w:rFonts w:ascii="Verdana" w:hAnsi="Verdana"/>
        </w:rPr>
        <w:t>.</w:t>
      </w:r>
      <w:r w:rsidR="00B936F5" w:rsidRPr="00BD66CE">
        <w:rPr>
          <w:rFonts w:ascii="Verdana" w:hAnsi="Verdana"/>
        </w:rPr>
        <w:t xml:space="preserve"> </w:t>
      </w:r>
      <w:r w:rsidR="00A437E2" w:rsidRPr="00BD66CE">
        <w:rPr>
          <w:rFonts w:ascii="Verdana" w:hAnsi="Verdana"/>
        </w:rPr>
        <w:t>Political and territorial factors play decisive roles during turbulent events. For instance, a recent study that sought to understand the efficiency of health resources to cope with the pandemic found that countries that still face significant difficulties in dealing with pandemic diseases</w:t>
      </w:r>
      <w:r w:rsidR="00EC6114" w:rsidRPr="00BD66CE">
        <w:rPr>
          <w:rFonts w:ascii="Verdana" w:hAnsi="Verdana"/>
        </w:rPr>
        <w:t xml:space="preserve"> (</w:t>
      </w:r>
      <w:r w:rsidR="00A437E2" w:rsidRPr="00BD66CE">
        <w:rPr>
          <w:rFonts w:ascii="Verdana" w:hAnsi="Verdana"/>
        </w:rPr>
        <w:t xml:space="preserve">e.g., HIV, </w:t>
      </w:r>
      <w:r w:rsidR="00EC6114" w:rsidRPr="00BD66CE">
        <w:rPr>
          <w:rFonts w:ascii="Verdana" w:hAnsi="Verdana"/>
        </w:rPr>
        <w:t xml:space="preserve">Tuberculosis, Dengue, and Influenza) </w:t>
      </w:r>
      <w:r w:rsidR="00A437E2" w:rsidRPr="00BD66CE">
        <w:rPr>
          <w:rFonts w:ascii="Verdana" w:hAnsi="Verdana"/>
        </w:rPr>
        <w:t xml:space="preserve">constitute the country group with the worst responsiveness capacity </w:t>
      </w:r>
      <w:r w:rsidR="00DE7C52" w:rsidRPr="00BD66CE">
        <w:rPr>
          <w:rFonts w:ascii="Verdana" w:hAnsi="Verdana"/>
        </w:rPr>
        <w:t>[89]</w:t>
      </w:r>
      <w:r w:rsidR="000326CC" w:rsidRPr="00BD66CE">
        <w:rPr>
          <w:rFonts w:ascii="Verdana" w:hAnsi="Verdana"/>
        </w:rPr>
        <w:t>.</w:t>
      </w:r>
      <w:r w:rsidR="00CA1D85" w:rsidRPr="00BD66CE">
        <w:rPr>
          <w:rFonts w:ascii="Verdana" w:hAnsi="Verdana"/>
        </w:rPr>
        <w:t xml:space="preserve"> </w:t>
      </w:r>
      <w:r w:rsidR="003869AA" w:rsidRPr="00BD66CE">
        <w:rPr>
          <w:rFonts w:ascii="Verdana" w:hAnsi="Verdana"/>
        </w:rPr>
        <w:t>Nonetheless, CAIS/CCAMH expressed its goal to continue advancing in the consolidation of regional strategies to mitigate and contain the spread of the vi</w:t>
      </w:r>
      <w:r w:rsidR="00B17BA9" w:rsidRPr="00BD66CE">
        <w:rPr>
          <w:rFonts w:ascii="Verdana" w:hAnsi="Verdana"/>
        </w:rPr>
        <w:t>rus within neighboring members.</w:t>
      </w:r>
      <w:r w:rsidR="008F76BB" w:rsidRPr="00BD66CE">
        <w:rPr>
          <w:rFonts w:ascii="Verdana" w:hAnsi="Verdana"/>
        </w:rPr>
        <w:t xml:space="preserve"> </w:t>
      </w:r>
      <w:r w:rsidR="00B17BA9" w:rsidRPr="00BD66CE">
        <w:rPr>
          <w:rFonts w:ascii="Verdana" w:hAnsi="Verdana"/>
        </w:rPr>
        <w:t xml:space="preserve"> </w:t>
      </w:r>
    </w:p>
    <w:p w14:paraId="7F8BAE85" w14:textId="77777777" w:rsidR="00351F9A" w:rsidRPr="00BD66CE" w:rsidRDefault="00351F9A" w:rsidP="00351F9A">
      <w:pPr>
        <w:pStyle w:val="MDPI31text"/>
        <w:rPr>
          <w:rFonts w:ascii="Verdana" w:hAnsi="Verdana"/>
        </w:rPr>
      </w:pPr>
    </w:p>
    <w:p w14:paraId="32714944" w14:textId="754369AC" w:rsidR="00967CBF" w:rsidRPr="00BD66CE" w:rsidRDefault="00351F9A" w:rsidP="005107EE">
      <w:pPr>
        <w:pStyle w:val="MDPI31text"/>
        <w:ind w:left="0" w:firstLine="510"/>
        <w:rPr>
          <w:rFonts w:ascii="Verdana" w:hAnsi="Verdana"/>
        </w:rPr>
      </w:pPr>
      <w:r w:rsidRPr="00BD66CE">
        <w:rPr>
          <w:rFonts w:ascii="Verdana" w:hAnsi="Verdana"/>
        </w:rPr>
        <w:t xml:space="preserve">As in the rest of the world, the infodemic waves hit Central American countries </w:t>
      </w:r>
      <w:r w:rsidR="008E6578" w:rsidRPr="00BD66CE">
        <w:rPr>
          <w:rFonts w:ascii="Verdana" w:hAnsi="Verdana"/>
        </w:rPr>
        <w:t>bringing</w:t>
      </w:r>
      <w:r w:rsidRPr="00BD66CE">
        <w:rPr>
          <w:rFonts w:ascii="Verdana" w:hAnsi="Verdana"/>
        </w:rPr>
        <w:t xml:space="preserve"> some </w:t>
      </w:r>
      <w:r w:rsidR="008F018E" w:rsidRPr="00BD66CE">
        <w:rPr>
          <w:rFonts w:ascii="Verdana" w:hAnsi="Verdana"/>
        </w:rPr>
        <w:t>misconduct</w:t>
      </w:r>
      <w:r w:rsidRPr="00BD66CE">
        <w:rPr>
          <w:rFonts w:ascii="Verdana" w:hAnsi="Verdana"/>
        </w:rPr>
        <w:t xml:space="preserve"> to</w:t>
      </w:r>
      <w:r w:rsidR="008F018E" w:rsidRPr="00BD66CE">
        <w:rPr>
          <w:rFonts w:ascii="Verdana" w:hAnsi="Verdana"/>
        </w:rPr>
        <w:t>ward</w:t>
      </w:r>
      <w:r w:rsidRPr="00BD66CE">
        <w:rPr>
          <w:rFonts w:ascii="Verdana" w:hAnsi="Verdana"/>
        </w:rPr>
        <w:t xml:space="preserve"> the aged. Ministries of Health</w:t>
      </w:r>
      <w:r w:rsidR="00D4628F" w:rsidRPr="00BD66CE">
        <w:rPr>
          <w:rFonts w:ascii="Verdana" w:hAnsi="Verdana"/>
        </w:rPr>
        <w:t>, in particular,</w:t>
      </w:r>
      <w:r w:rsidRPr="00BD66CE">
        <w:rPr>
          <w:rFonts w:ascii="Verdana" w:hAnsi="Verdana"/>
        </w:rPr>
        <w:t xml:space="preserve"> had to deal with the shot, the message, and the messenger </w:t>
      </w:r>
      <w:r w:rsidR="00EB790B" w:rsidRPr="00BD66CE">
        <w:rPr>
          <w:rFonts w:ascii="Verdana" w:hAnsi="Verdana"/>
        </w:rPr>
        <w:t>concomitantly</w:t>
      </w:r>
      <w:r w:rsidRPr="00BD66CE">
        <w:rPr>
          <w:rFonts w:ascii="Verdana" w:hAnsi="Verdana"/>
        </w:rPr>
        <w:t xml:space="preserve">, since the dissemination of fake news linking the image of older adults and the pandemic meant to distort the epidemiological reality and jeopardize the role of public health in those territories. </w:t>
      </w:r>
      <w:r w:rsidR="00A0062E" w:rsidRPr="00BD66CE">
        <w:rPr>
          <w:rFonts w:ascii="Verdana" w:hAnsi="Verdana"/>
        </w:rPr>
        <w:t xml:space="preserve">Likewise, </w:t>
      </w:r>
      <w:r w:rsidR="00554FD5" w:rsidRPr="00BD66CE">
        <w:rPr>
          <w:rFonts w:ascii="Verdana" w:hAnsi="Verdana"/>
        </w:rPr>
        <w:t>Nieves-Cuervo</w:t>
      </w:r>
      <w:r w:rsidR="008237BE" w:rsidRPr="00BD66CE">
        <w:rPr>
          <w:rFonts w:ascii="Verdana" w:hAnsi="Verdana"/>
        </w:rPr>
        <w:t xml:space="preserve"> and colleagues </w:t>
      </w:r>
      <w:r w:rsidR="00DE7C52" w:rsidRPr="00BD66CE">
        <w:rPr>
          <w:rFonts w:ascii="Verdana" w:hAnsi="Verdana"/>
        </w:rPr>
        <w:t>[90]</w:t>
      </w:r>
      <w:r w:rsidR="00554FD5" w:rsidRPr="00BD66CE">
        <w:rPr>
          <w:rFonts w:ascii="Verdana" w:hAnsi="Verdana"/>
        </w:rPr>
        <w:t xml:space="preserve"> described similar circumstances in six South</w:t>
      </w:r>
      <w:r w:rsidR="00E72436" w:rsidRPr="00BD66CE">
        <w:rPr>
          <w:rFonts w:ascii="Verdana" w:hAnsi="Verdana"/>
        </w:rPr>
        <w:t>ern</w:t>
      </w:r>
      <w:r w:rsidR="00554FD5" w:rsidRPr="00BD66CE">
        <w:rPr>
          <w:rFonts w:ascii="Verdana" w:hAnsi="Verdana"/>
        </w:rPr>
        <w:t xml:space="preserve"> American countries</w:t>
      </w:r>
      <w:r w:rsidR="00A0062E" w:rsidRPr="00BD66CE">
        <w:rPr>
          <w:rFonts w:ascii="Verdana" w:hAnsi="Verdana"/>
        </w:rPr>
        <w:t>, in which a</w:t>
      </w:r>
      <w:r w:rsidR="00700A16" w:rsidRPr="00BD66CE">
        <w:rPr>
          <w:rFonts w:ascii="Verdana" w:hAnsi="Verdana"/>
        </w:rPr>
        <w:t xml:space="preserve"> large volume of information </w:t>
      </w:r>
      <w:r w:rsidR="000326CC" w:rsidRPr="00BD66CE">
        <w:rPr>
          <w:rFonts w:ascii="Verdana" w:hAnsi="Verdana"/>
        </w:rPr>
        <w:t>propagated</w:t>
      </w:r>
      <w:r w:rsidR="00700A16" w:rsidRPr="00BD66CE">
        <w:rPr>
          <w:rFonts w:ascii="Verdana" w:hAnsi="Verdana"/>
        </w:rPr>
        <w:t xml:space="preserve"> untruthful </w:t>
      </w:r>
      <w:r w:rsidR="003B0AB8" w:rsidRPr="00BD66CE">
        <w:rPr>
          <w:rFonts w:ascii="Verdana" w:hAnsi="Verdana"/>
        </w:rPr>
        <w:t>news about the causes of the diseas</w:t>
      </w:r>
      <w:r w:rsidR="00E14BF3" w:rsidRPr="00BD66CE">
        <w:rPr>
          <w:rFonts w:ascii="Verdana" w:hAnsi="Verdana"/>
        </w:rPr>
        <w:t>e</w:t>
      </w:r>
      <w:r w:rsidR="003B0AB8" w:rsidRPr="00BD66CE">
        <w:rPr>
          <w:rFonts w:ascii="Verdana" w:hAnsi="Verdana"/>
        </w:rPr>
        <w:t xml:space="preserve">, symptoms, available </w:t>
      </w:r>
      <w:r w:rsidR="00E14BF3" w:rsidRPr="00BD66CE">
        <w:rPr>
          <w:rFonts w:ascii="Verdana" w:hAnsi="Verdana"/>
        </w:rPr>
        <w:t>therapeutics</w:t>
      </w:r>
      <w:r w:rsidR="003B0AB8" w:rsidRPr="00BD66CE">
        <w:rPr>
          <w:rFonts w:ascii="Verdana" w:hAnsi="Verdana"/>
        </w:rPr>
        <w:t xml:space="preserve">, and the actions of the authorities. </w:t>
      </w:r>
      <w:r w:rsidRPr="00BD66CE">
        <w:rPr>
          <w:rFonts w:ascii="Verdana" w:hAnsi="Verdana"/>
        </w:rPr>
        <w:t xml:space="preserve">In response, the </w:t>
      </w:r>
      <w:r w:rsidR="008F018E" w:rsidRPr="00BD66CE">
        <w:rPr>
          <w:rFonts w:ascii="Verdana" w:hAnsi="Verdana"/>
        </w:rPr>
        <w:t>Pan American Health Organization</w:t>
      </w:r>
      <w:r w:rsidRPr="00BD66CE">
        <w:rPr>
          <w:rFonts w:ascii="Verdana" w:hAnsi="Verdana"/>
        </w:rPr>
        <w:t xml:space="preserve"> admitted that there is no quality control in what is published, and sometimes there is no quality control in the information used to take action and make a decision </w:t>
      </w:r>
      <w:r w:rsidR="00F3057B" w:rsidRPr="00BD66CE">
        <w:rPr>
          <w:rFonts w:ascii="Verdana" w:hAnsi="Verdana"/>
        </w:rPr>
        <w:t>[91]</w:t>
      </w:r>
      <w:r w:rsidR="002C45EF" w:rsidRPr="00BD66CE">
        <w:rPr>
          <w:rFonts w:ascii="Verdana" w:hAnsi="Verdana"/>
        </w:rPr>
        <w:t xml:space="preserve">. </w:t>
      </w:r>
    </w:p>
    <w:p w14:paraId="21BCCB61" w14:textId="77777777" w:rsidR="00967CBF" w:rsidRPr="00BD66CE" w:rsidRDefault="00967CBF" w:rsidP="003B0AB8">
      <w:pPr>
        <w:pStyle w:val="MDPI31text"/>
        <w:rPr>
          <w:rFonts w:ascii="Verdana" w:hAnsi="Verdana"/>
        </w:rPr>
      </w:pPr>
    </w:p>
    <w:p w14:paraId="5CF9B9A7" w14:textId="268B5FE5" w:rsidR="00A001D6" w:rsidRPr="00BD66CE" w:rsidRDefault="00FA12FB" w:rsidP="005107EE">
      <w:pPr>
        <w:pStyle w:val="MDPI31text"/>
        <w:ind w:left="0" w:firstLine="510"/>
        <w:rPr>
          <w:rFonts w:ascii="Verdana" w:hAnsi="Verdana"/>
        </w:rPr>
      </w:pPr>
      <w:r w:rsidRPr="00BD66CE">
        <w:rPr>
          <w:rFonts w:ascii="Verdana" w:hAnsi="Verdana"/>
        </w:rPr>
        <w:t xml:space="preserve">In light of this, CAIS/CCAMH proposed structuring a technical committee to advise and clarify emerging doubts in the official channels of all Central American countries. Geriatrics and gerontological societies, universities, and organized civil society groups established partnerships and collaborations to fight against ageism while understanding that such behaviors would only promote a phenomenon of double violence against the elderly. In addition, the National Councils for Older Persons played a leading role in knowledge refinement, mainly from the infodemiology perspective. In doing so, these public agencies had to predict effective health communication to </w:t>
      </w:r>
      <w:r w:rsidR="00EB790B" w:rsidRPr="00BD66CE">
        <w:rPr>
          <w:rFonts w:ascii="Verdana" w:hAnsi="Verdana"/>
        </w:rPr>
        <w:t>weasel</w:t>
      </w:r>
      <w:r w:rsidRPr="00BD66CE">
        <w:rPr>
          <w:rFonts w:ascii="Verdana" w:hAnsi="Verdana"/>
        </w:rPr>
        <w:t xml:space="preserve"> unhealthy behavior and, on occasion, strengthen health promotion practices in the geriatric community, with </w:t>
      </w:r>
      <w:r w:rsidR="002C45EF" w:rsidRPr="00BD66CE">
        <w:rPr>
          <w:rFonts w:ascii="Verdana" w:hAnsi="Verdana"/>
        </w:rPr>
        <w:t>topics</w:t>
      </w:r>
      <w:r w:rsidRPr="00BD66CE">
        <w:rPr>
          <w:rFonts w:ascii="Verdana" w:hAnsi="Verdana"/>
        </w:rPr>
        <w:t xml:space="preserve"> not limited to nutrition, mental health, and physical activity.</w:t>
      </w:r>
      <w:r w:rsidR="009E7DFD" w:rsidRPr="00BD66CE">
        <w:rPr>
          <w:rFonts w:ascii="Verdana" w:hAnsi="Verdana"/>
        </w:rPr>
        <w:t xml:space="preserve"> Therein, National Councils for Older Persons provided reliable and up-to-date information through two main channels: on the official websites and social networks. </w:t>
      </w:r>
    </w:p>
    <w:p w14:paraId="6C24175A" w14:textId="77777777" w:rsidR="00FA12FB" w:rsidRPr="00BD66CE" w:rsidRDefault="00FA12FB" w:rsidP="00A001D6">
      <w:pPr>
        <w:pStyle w:val="MDPI31text"/>
        <w:rPr>
          <w:rFonts w:ascii="Verdana" w:hAnsi="Verdana"/>
        </w:rPr>
      </w:pPr>
    </w:p>
    <w:p w14:paraId="5B1991E1" w14:textId="32428599" w:rsidR="00162ACC" w:rsidRPr="00BD66CE" w:rsidRDefault="00A001D6" w:rsidP="005107EE">
      <w:pPr>
        <w:pStyle w:val="MDPI31text"/>
        <w:ind w:left="0" w:firstLine="510"/>
        <w:rPr>
          <w:rFonts w:ascii="Verdana" w:hAnsi="Verdana"/>
        </w:rPr>
      </w:pPr>
      <w:r w:rsidRPr="00BD66CE">
        <w:rPr>
          <w:rFonts w:ascii="Verdana" w:hAnsi="Verdana"/>
        </w:rPr>
        <w:t xml:space="preserve">Interestingly, the pandemic brought about changes in Central American countries that </w:t>
      </w:r>
      <w:r w:rsidR="00582246" w:rsidRPr="00BD66CE">
        <w:rPr>
          <w:rFonts w:ascii="Verdana" w:hAnsi="Verdana"/>
        </w:rPr>
        <w:t>perhaps</w:t>
      </w:r>
      <w:r w:rsidRPr="00BD66CE">
        <w:rPr>
          <w:rFonts w:ascii="Verdana" w:hAnsi="Verdana"/>
        </w:rPr>
        <w:t xml:space="preserve"> would have taken many more years. In most countries, the </w:t>
      </w:r>
      <w:r w:rsidR="00582246" w:rsidRPr="00BD66CE">
        <w:rPr>
          <w:rFonts w:ascii="Verdana" w:hAnsi="Verdana"/>
        </w:rPr>
        <w:t>practice</w:t>
      </w:r>
      <w:r w:rsidRPr="00BD66CE">
        <w:rPr>
          <w:rFonts w:ascii="Verdana" w:hAnsi="Verdana"/>
        </w:rPr>
        <w:t xml:space="preserve"> of telemedicine/telehealth/e-health before the pandemic was more of an exception to the rule</w:t>
      </w:r>
      <w:r w:rsidR="00036CCE" w:rsidRPr="00BD66CE">
        <w:rPr>
          <w:rFonts w:ascii="Verdana" w:hAnsi="Verdana"/>
        </w:rPr>
        <w:t xml:space="preserve">; </w:t>
      </w:r>
      <w:r w:rsidR="00BE1A57" w:rsidRPr="00BD66CE">
        <w:rPr>
          <w:rFonts w:ascii="Verdana" w:hAnsi="Verdana"/>
        </w:rPr>
        <w:t xml:space="preserve">few countries </w:t>
      </w:r>
      <w:r w:rsidR="00036CCE" w:rsidRPr="00BD66CE">
        <w:rPr>
          <w:rFonts w:ascii="Verdana" w:hAnsi="Verdana"/>
        </w:rPr>
        <w:t xml:space="preserve">currently </w:t>
      </w:r>
      <w:r w:rsidR="00BE1A57" w:rsidRPr="00BD66CE">
        <w:rPr>
          <w:rFonts w:ascii="Verdana" w:hAnsi="Verdana"/>
        </w:rPr>
        <w:t>have regulatory frameworks for its implementation</w:t>
      </w:r>
      <w:r w:rsidR="00F3057B" w:rsidRPr="00BD66CE">
        <w:rPr>
          <w:rFonts w:ascii="Verdana" w:hAnsi="Verdana"/>
        </w:rPr>
        <w:t xml:space="preserve"> [92,93]</w:t>
      </w:r>
      <w:r w:rsidRPr="00BD66CE">
        <w:rPr>
          <w:rFonts w:ascii="Verdana" w:hAnsi="Verdana"/>
        </w:rPr>
        <w:t>. Still and all, the health crisis demanded split-second responses, including information and communication technologies endorsement in public sector</w:t>
      </w:r>
      <w:r w:rsidR="00865285" w:rsidRPr="00BD66CE">
        <w:rPr>
          <w:rFonts w:ascii="Verdana" w:hAnsi="Verdana"/>
        </w:rPr>
        <w:t xml:space="preserve">s such as health and education. </w:t>
      </w:r>
      <w:r w:rsidRPr="00BD66CE">
        <w:rPr>
          <w:rFonts w:ascii="Verdana" w:hAnsi="Verdana"/>
        </w:rPr>
        <w:t xml:space="preserve">Gradually, this type of tool became commonplace in the daily lives of healthcare professionals, to the point where its dearth came to condition the healthcare provided to </w:t>
      </w:r>
      <w:r w:rsidR="00A325FF" w:rsidRPr="00BD66CE">
        <w:rPr>
          <w:rFonts w:ascii="Verdana" w:hAnsi="Verdana"/>
        </w:rPr>
        <w:t>older adults</w:t>
      </w:r>
      <w:r w:rsidRPr="00BD66CE">
        <w:rPr>
          <w:rFonts w:ascii="Verdana" w:hAnsi="Verdana"/>
        </w:rPr>
        <w:t>.</w:t>
      </w:r>
      <w:r w:rsidR="00AE4B8F" w:rsidRPr="00BD66CE">
        <w:rPr>
          <w:rFonts w:ascii="Verdana" w:hAnsi="Verdana"/>
        </w:rPr>
        <w:t xml:space="preserve"> On the one hand, this allowed complying with social isolation measures while outstretching an active bond with the elderly, the public health system, and health professionals. </w:t>
      </w:r>
      <w:r w:rsidR="00A325FF" w:rsidRPr="00BD66CE">
        <w:rPr>
          <w:rFonts w:ascii="Verdana" w:hAnsi="Verdana"/>
        </w:rPr>
        <w:t>Although some countries took a little longer to set up COVID-19 e-</w:t>
      </w:r>
      <w:r w:rsidR="00914346" w:rsidRPr="00BD66CE">
        <w:rPr>
          <w:rFonts w:ascii="Verdana" w:hAnsi="Verdana"/>
        </w:rPr>
        <w:t>H</w:t>
      </w:r>
      <w:r w:rsidR="00A325FF" w:rsidRPr="00BD66CE">
        <w:rPr>
          <w:rFonts w:ascii="Verdana" w:hAnsi="Verdana"/>
        </w:rPr>
        <w:t xml:space="preserve">ealth </w:t>
      </w:r>
      <w:r w:rsidR="00914346" w:rsidRPr="00BD66CE">
        <w:rPr>
          <w:rFonts w:ascii="Verdana" w:hAnsi="Verdana"/>
        </w:rPr>
        <w:t>O</w:t>
      </w:r>
      <w:r w:rsidR="00375830" w:rsidRPr="00BD66CE">
        <w:rPr>
          <w:rFonts w:ascii="Verdana" w:hAnsi="Verdana"/>
        </w:rPr>
        <w:t>bservatories</w:t>
      </w:r>
      <w:r w:rsidR="00A325FF" w:rsidRPr="00BD66CE">
        <w:rPr>
          <w:rFonts w:ascii="Verdana" w:hAnsi="Verdana"/>
        </w:rPr>
        <w:t xml:space="preserve"> to </w:t>
      </w:r>
      <w:r w:rsidR="008E6578" w:rsidRPr="00BD66CE">
        <w:rPr>
          <w:rFonts w:ascii="Verdana" w:hAnsi="Verdana"/>
        </w:rPr>
        <w:t>monitor</w:t>
      </w:r>
      <w:r w:rsidR="00A325FF" w:rsidRPr="00BD66CE">
        <w:rPr>
          <w:rFonts w:ascii="Verdana" w:hAnsi="Verdana"/>
        </w:rPr>
        <w:t xml:space="preserve"> diagnosed and suspected cases, all nations saw overall profits in the short term. </w:t>
      </w:r>
    </w:p>
    <w:p w14:paraId="488D82FB" w14:textId="77777777" w:rsidR="00162ACC" w:rsidRPr="00BD66CE" w:rsidRDefault="00162ACC" w:rsidP="00840F36">
      <w:pPr>
        <w:pStyle w:val="MDPI31text"/>
        <w:rPr>
          <w:rFonts w:ascii="Verdana" w:hAnsi="Verdana"/>
        </w:rPr>
      </w:pPr>
    </w:p>
    <w:p w14:paraId="705D3F2C" w14:textId="34903D87" w:rsidR="00A001D6" w:rsidRPr="00BD66CE" w:rsidRDefault="008B7738" w:rsidP="005107EE">
      <w:pPr>
        <w:pStyle w:val="MDPI31text"/>
        <w:ind w:left="0" w:firstLine="510"/>
        <w:rPr>
          <w:rFonts w:ascii="Verdana" w:hAnsi="Verdana"/>
        </w:rPr>
      </w:pPr>
      <w:r w:rsidRPr="00BD66CE">
        <w:rPr>
          <w:rFonts w:ascii="Verdana" w:hAnsi="Verdana"/>
        </w:rPr>
        <w:t>The concern</w:t>
      </w:r>
      <w:r w:rsidR="002F1582" w:rsidRPr="00BD66CE">
        <w:rPr>
          <w:rFonts w:ascii="Verdana" w:hAnsi="Verdana"/>
        </w:rPr>
        <w:t>, however,</w:t>
      </w:r>
      <w:r w:rsidRPr="00BD66CE">
        <w:rPr>
          <w:rFonts w:ascii="Verdana" w:hAnsi="Verdana"/>
        </w:rPr>
        <w:t xml:space="preserve"> remained with those technologically illiterate seniors without access to an internet network at home or a smart device</w:t>
      </w:r>
      <w:r w:rsidR="00D00C3F" w:rsidRPr="00BD66CE">
        <w:rPr>
          <w:rFonts w:ascii="Verdana" w:hAnsi="Verdana"/>
        </w:rPr>
        <w:t xml:space="preserve"> once going digital became necessary for all</w:t>
      </w:r>
      <w:r w:rsidRPr="00BD66CE">
        <w:rPr>
          <w:rFonts w:ascii="Verdana" w:hAnsi="Verdana"/>
        </w:rPr>
        <w:t xml:space="preserve">. In Latin America, </w:t>
      </w:r>
      <w:r w:rsidRPr="00BD66CE">
        <w:rPr>
          <w:rFonts w:ascii="Verdana" w:hAnsi="Verdana"/>
        </w:rPr>
        <w:lastRenderedPageBreak/>
        <w:t xml:space="preserve">the profile of the users who </w:t>
      </w:r>
      <w:r w:rsidR="00783E2B" w:rsidRPr="00BD66CE">
        <w:rPr>
          <w:rFonts w:ascii="Verdana" w:hAnsi="Verdana"/>
        </w:rPr>
        <w:t>browse</w:t>
      </w:r>
      <w:r w:rsidRPr="00BD66CE">
        <w:rPr>
          <w:rFonts w:ascii="Verdana" w:hAnsi="Verdana"/>
        </w:rPr>
        <w:t xml:space="preserve"> the Internet the most are </w:t>
      </w:r>
      <w:r w:rsidR="008237BE" w:rsidRPr="00BD66CE">
        <w:rPr>
          <w:rFonts w:ascii="Verdana" w:hAnsi="Verdana"/>
        </w:rPr>
        <w:t xml:space="preserve">adolescents </w:t>
      </w:r>
      <w:r w:rsidRPr="00BD66CE">
        <w:rPr>
          <w:rFonts w:ascii="Verdana" w:hAnsi="Verdana"/>
        </w:rPr>
        <w:t xml:space="preserve">and adults </w:t>
      </w:r>
      <w:r w:rsidR="00F3057B" w:rsidRPr="00BD66CE">
        <w:rPr>
          <w:rFonts w:ascii="Verdana" w:hAnsi="Verdana"/>
        </w:rPr>
        <w:t>[94]</w:t>
      </w:r>
      <w:r w:rsidRPr="00BD66CE">
        <w:rPr>
          <w:rFonts w:ascii="Verdana" w:hAnsi="Verdana"/>
        </w:rPr>
        <w:t>; about 47% of the Central American inhabitants (except Costa Rica, 10.2%) do not have this se</w:t>
      </w:r>
      <w:r w:rsidR="00162ACC" w:rsidRPr="00BD66CE">
        <w:rPr>
          <w:rFonts w:ascii="Verdana" w:hAnsi="Verdana"/>
        </w:rPr>
        <w:t>rvice in their homes (</w:t>
      </w:r>
      <w:r w:rsidR="00E653C7" w:rsidRPr="00BD66CE">
        <w:rPr>
          <w:rFonts w:ascii="Verdana" w:hAnsi="Verdana"/>
        </w:rPr>
        <w:t xml:space="preserve">See </w:t>
      </w:r>
      <w:r w:rsidR="00162ACC" w:rsidRPr="00BD66CE">
        <w:rPr>
          <w:rFonts w:ascii="Verdana" w:hAnsi="Verdana"/>
        </w:rPr>
        <w:t xml:space="preserve">Table 1). </w:t>
      </w:r>
      <w:r w:rsidR="006C68C0" w:rsidRPr="00BD66CE">
        <w:rPr>
          <w:rFonts w:ascii="Verdana" w:hAnsi="Verdana"/>
        </w:rPr>
        <w:t>In this respect</w:t>
      </w:r>
      <w:r w:rsidR="00162ACC" w:rsidRPr="00BD66CE">
        <w:rPr>
          <w:rFonts w:ascii="Verdana" w:hAnsi="Verdana"/>
        </w:rPr>
        <w:t xml:space="preserve">, </w:t>
      </w:r>
      <w:r w:rsidR="00F3057B" w:rsidRPr="00BD66CE">
        <w:rPr>
          <w:rFonts w:ascii="Verdana" w:hAnsi="Verdana"/>
        </w:rPr>
        <w:t>Seifert</w:t>
      </w:r>
      <w:r w:rsidR="00162ACC" w:rsidRPr="00BD66CE">
        <w:rPr>
          <w:rFonts w:ascii="Verdana" w:hAnsi="Verdana"/>
        </w:rPr>
        <w:t xml:space="preserve"> and </w:t>
      </w:r>
      <w:r w:rsidR="00F3057B" w:rsidRPr="00BD66CE">
        <w:rPr>
          <w:rFonts w:ascii="Verdana" w:hAnsi="Verdana"/>
        </w:rPr>
        <w:t>colleagues</w:t>
      </w:r>
      <w:r w:rsidR="00162ACC" w:rsidRPr="00BD66CE">
        <w:rPr>
          <w:rFonts w:ascii="Verdana" w:hAnsi="Verdana"/>
        </w:rPr>
        <w:t xml:space="preserve"> </w:t>
      </w:r>
      <w:r w:rsidR="00F3057B" w:rsidRPr="00BD66CE">
        <w:rPr>
          <w:rFonts w:ascii="Verdana" w:hAnsi="Verdana"/>
        </w:rPr>
        <w:t>[95]</w:t>
      </w:r>
      <w:r w:rsidR="00D00C3F" w:rsidRPr="00BD66CE">
        <w:rPr>
          <w:rFonts w:ascii="Verdana" w:hAnsi="Verdana"/>
        </w:rPr>
        <w:t xml:space="preserve"> </w:t>
      </w:r>
      <w:r w:rsidR="006C68C0" w:rsidRPr="00BD66CE">
        <w:rPr>
          <w:rFonts w:ascii="Verdana" w:hAnsi="Verdana"/>
        </w:rPr>
        <w:t>discuss a double burden of exclusion (the digital and social ones)</w:t>
      </w:r>
      <w:r w:rsidR="00162ACC" w:rsidRPr="00BD66CE">
        <w:rPr>
          <w:rFonts w:ascii="Verdana" w:hAnsi="Verdana"/>
        </w:rPr>
        <w:t xml:space="preserve"> by understanding that the lack of </w:t>
      </w:r>
      <w:r w:rsidR="00D00C3F" w:rsidRPr="00BD66CE">
        <w:rPr>
          <w:rFonts w:ascii="Verdana" w:hAnsi="Verdana"/>
        </w:rPr>
        <w:t xml:space="preserve">necessary </w:t>
      </w:r>
      <w:r w:rsidR="00162ACC" w:rsidRPr="00BD66CE">
        <w:rPr>
          <w:rFonts w:ascii="Verdana" w:hAnsi="Verdana"/>
        </w:rPr>
        <w:t xml:space="preserve">devices and network connectivity or even the very inexperience of their use marked a </w:t>
      </w:r>
      <w:r w:rsidR="00E653C7" w:rsidRPr="00BD66CE">
        <w:rPr>
          <w:rFonts w:ascii="Verdana" w:hAnsi="Verdana"/>
        </w:rPr>
        <w:t>deep</w:t>
      </w:r>
      <w:r w:rsidR="00162ACC" w:rsidRPr="00BD66CE">
        <w:rPr>
          <w:rFonts w:ascii="Verdana" w:hAnsi="Verdana"/>
        </w:rPr>
        <w:t xml:space="preserve"> inequality among older adults, especially institutionalized ones.</w:t>
      </w:r>
      <w:r w:rsidR="00D00C3F" w:rsidRPr="00BD66CE">
        <w:rPr>
          <w:rFonts w:ascii="Verdana" w:hAnsi="Verdana"/>
        </w:rPr>
        <w:t xml:space="preserve"> </w:t>
      </w:r>
      <w:r w:rsidR="00CD7463" w:rsidRPr="00BD66CE">
        <w:rPr>
          <w:rFonts w:ascii="Verdana" w:hAnsi="Verdana"/>
        </w:rPr>
        <w:t xml:space="preserve">Given those </w:t>
      </w:r>
      <w:r w:rsidR="00D00C3F" w:rsidRPr="00BD66CE">
        <w:rPr>
          <w:rFonts w:ascii="Verdana" w:hAnsi="Verdana"/>
        </w:rPr>
        <w:t>scenarios</w:t>
      </w:r>
      <w:r w:rsidR="00CD7463" w:rsidRPr="00BD66CE">
        <w:rPr>
          <w:rFonts w:ascii="Verdana" w:hAnsi="Verdana"/>
        </w:rPr>
        <w:t>, the community health teams approached the elderly residents to gather information on the</w:t>
      </w:r>
      <w:r w:rsidR="000457BA" w:rsidRPr="00BD66CE">
        <w:rPr>
          <w:rFonts w:ascii="Verdana" w:hAnsi="Verdana"/>
        </w:rPr>
        <w:t>ir</w:t>
      </w:r>
      <w:r w:rsidR="00CD7463" w:rsidRPr="00BD66CE">
        <w:rPr>
          <w:rFonts w:ascii="Verdana" w:hAnsi="Verdana"/>
        </w:rPr>
        <w:t xml:space="preserve"> symptomatologic </w:t>
      </w:r>
      <w:r w:rsidR="00783E2B" w:rsidRPr="00BD66CE">
        <w:rPr>
          <w:rFonts w:ascii="Verdana" w:hAnsi="Verdana"/>
        </w:rPr>
        <w:t>progress</w:t>
      </w:r>
      <w:r w:rsidR="00CD7463" w:rsidRPr="00BD66CE">
        <w:rPr>
          <w:rFonts w:ascii="Verdana" w:hAnsi="Verdana"/>
        </w:rPr>
        <w:t xml:space="preserve"> and provide appropriate guidance. In addition, collected data made it possible to update the databases of the Geographic Health Information Systems, subsequently used in the daily epidemiological bulletins. Some authors perceive the successful experiences of COVID-19 management as opportunities </w:t>
      </w:r>
      <w:r w:rsidR="000457BA" w:rsidRPr="00BD66CE">
        <w:rPr>
          <w:rFonts w:ascii="Verdana" w:hAnsi="Verdana"/>
        </w:rPr>
        <w:t xml:space="preserve">routing onto </w:t>
      </w:r>
      <w:r w:rsidR="00CD7463" w:rsidRPr="00BD66CE">
        <w:rPr>
          <w:rFonts w:ascii="Verdana" w:hAnsi="Verdana"/>
        </w:rPr>
        <w:t>the digit</w:t>
      </w:r>
      <w:r w:rsidR="004B6D8C" w:rsidRPr="00BD66CE">
        <w:rPr>
          <w:rFonts w:ascii="Verdana" w:hAnsi="Verdana"/>
        </w:rPr>
        <w:t>ali</w:t>
      </w:r>
      <w:r w:rsidR="00CD7463" w:rsidRPr="00BD66CE">
        <w:rPr>
          <w:rFonts w:ascii="Verdana" w:hAnsi="Verdana"/>
        </w:rPr>
        <w:t>zation of Central American public health systems</w:t>
      </w:r>
      <w:r w:rsidR="00487442" w:rsidRPr="00BD66CE">
        <w:rPr>
          <w:rFonts w:ascii="Verdana" w:hAnsi="Verdana"/>
        </w:rPr>
        <w:t xml:space="preserve"> </w:t>
      </w:r>
      <w:r w:rsidR="0030750A" w:rsidRPr="00BD66CE">
        <w:rPr>
          <w:rFonts w:ascii="Verdana" w:hAnsi="Verdana"/>
        </w:rPr>
        <w:t>[</w:t>
      </w:r>
      <w:r w:rsidR="0054485F" w:rsidRPr="00BD66CE">
        <w:rPr>
          <w:rFonts w:ascii="Verdana" w:hAnsi="Verdana"/>
        </w:rPr>
        <w:t>96</w:t>
      </w:r>
      <w:r w:rsidR="0030750A" w:rsidRPr="00BD66CE">
        <w:rPr>
          <w:rFonts w:ascii="Verdana" w:hAnsi="Verdana"/>
        </w:rPr>
        <w:t>-</w:t>
      </w:r>
      <w:r w:rsidR="0054485F" w:rsidRPr="00BD66CE">
        <w:rPr>
          <w:rFonts w:ascii="Verdana" w:hAnsi="Verdana"/>
        </w:rPr>
        <w:t>100</w:t>
      </w:r>
      <w:r w:rsidR="0030750A" w:rsidRPr="00BD66CE">
        <w:rPr>
          <w:rFonts w:ascii="Verdana" w:hAnsi="Verdana"/>
        </w:rPr>
        <w:t>]</w:t>
      </w:r>
      <w:r w:rsidR="00E1213F" w:rsidRPr="00BD66CE">
        <w:rPr>
          <w:rFonts w:ascii="Verdana" w:hAnsi="Verdana"/>
        </w:rPr>
        <w:t xml:space="preserve">. </w:t>
      </w:r>
      <w:r w:rsidR="006C68C0" w:rsidRPr="00BD66CE">
        <w:rPr>
          <w:rFonts w:ascii="Verdana" w:hAnsi="Verdana"/>
        </w:rPr>
        <w:t>Indeed, i</w:t>
      </w:r>
      <w:r w:rsidR="00545B49" w:rsidRPr="00BD66CE">
        <w:rPr>
          <w:rFonts w:ascii="Verdana" w:hAnsi="Verdana"/>
        </w:rPr>
        <w:t xml:space="preserve">t is not </w:t>
      </w:r>
      <w:r w:rsidR="00CD7463" w:rsidRPr="00BD66CE">
        <w:rPr>
          <w:rFonts w:ascii="Verdana" w:hAnsi="Verdana"/>
        </w:rPr>
        <w:t xml:space="preserve">a recent reflection for Latin American countries, given the First Regional Conference on Health Research and Innovation, held in </w:t>
      </w:r>
      <w:r w:rsidR="00487442" w:rsidRPr="00BD66CE">
        <w:rPr>
          <w:rFonts w:ascii="Verdana" w:hAnsi="Verdana"/>
        </w:rPr>
        <w:t>2008 in Rio de Janeiro</w:t>
      </w:r>
      <w:r w:rsidR="00CD7463" w:rsidRPr="00BD66CE">
        <w:rPr>
          <w:rFonts w:ascii="Verdana" w:hAnsi="Verdana"/>
        </w:rPr>
        <w:t xml:space="preserve">, </w:t>
      </w:r>
      <w:r w:rsidR="006C68C0" w:rsidRPr="00BD66CE">
        <w:rPr>
          <w:rFonts w:ascii="Verdana" w:hAnsi="Verdana"/>
        </w:rPr>
        <w:t>whereby</w:t>
      </w:r>
      <w:r w:rsidR="00CD7463" w:rsidRPr="00BD66CE">
        <w:rPr>
          <w:rFonts w:ascii="Verdana" w:hAnsi="Verdana"/>
        </w:rPr>
        <w:t xml:space="preserve"> the topic already echoed</w:t>
      </w:r>
      <w:r w:rsidR="00487442" w:rsidRPr="00BD66CE">
        <w:rPr>
          <w:rFonts w:ascii="Verdana" w:hAnsi="Verdana"/>
        </w:rPr>
        <w:t xml:space="preserve"> </w:t>
      </w:r>
      <w:r w:rsidR="0030750A" w:rsidRPr="00BD66CE">
        <w:rPr>
          <w:rFonts w:ascii="Verdana" w:hAnsi="Verdana"/>
        </w:rPr>
        <w:t xml:space="preserve">[101]. </w:t>
      </w:r>
    </w:p>
    <w:p w14:paraId="19D1BD55" w14:textId="77777777" w:rsidR="009F7528" w:rsidRPr="00BD66CE" w:rsidRDefault="009F7528" w:rsidP="009F7528">
      <w:pPr>
        <w:pStyle w:val="MDPI31text"/>
        <w:rPr>
          <w:rFonts w:ascii="Verdana" w:hAnsi="Verdana"/>
        </w:rPr>
      </w:pPr>
    </w:p>
    <w:p w14:paraId="5BB0CBEC" w14:textId="6287A762" w:rsidR="001C3A56" w:rsidRPr="00BD66CE" w:rsidRDefault="008762F3" w:rsidP="005107EE">
      <w:pPr>
        <w:pStyle w:val="MDPI31text"/>
        <w:ind w:left="0" w:firstLine="510"/>
        <w:rPr>
          <w:rFonts w:ascii="Verdana" w:hAnsi="Verdana"/>
        </w:rPr>
      </w:pPr>
      <w:r w:rsidRPr="00BD66CE">
        <w:rPr>
          <w:rFonts w:ascii="Verdana" w:hAnsi="Verdana"/>
        </w:rPr>
        <w:t xml:space="preserve">Building gerontological assistance with strength and agility -two institutional </w:t>
      </w:r>
      <w:r w:rsidR="0075110F" w:rsidRPr="00BD66CE">
        <w:rPr>
          <w:rFonts w:ascii="Verdana" w:hAnsi="Verdana"/>
        </w:rPr>
        <w:t>pillars</w:t>
      </w:r>
      <w:r w:rsidRPr="00BD66CE">
        <w:rPr>
          <w:rFonts w:ascii="Verdana" w:hAnsi="Verdana"/>
        </w:rPr>
        <w:t xml:space="preserve"> required for a comprehensive approach to population aging- implies, for </w:t>
      </w:r>
      <w:r w:rsidR="0016373B" w:rsidRPr="00BD66CE">
        <w:rPr>
          <w:rFonts w:ascii="Verdana" w:hAnsi="Verdana"/>
        </w:rPr>
        <w:t>instance</w:t>
      </w:r>
      <w:r w:rsidRPr="00BD66CE">
        <w:rPr>
          <w:rFonts w:ascii="Verdana" w:hAnsi="Verdana"/>
        </w:rPr>
        <w:t>, the collective effort of Central American countries to achieve active and healthy aging in the region</w:t>
      </w:r>
      <w:r w:rsidR="0016373B" w:rsidRPr="00BD66CE">
        <w:rPr>
          <w:rFonts w:ascii="Verdana" w:hAnsi="Verdana"/>
        </w:rPr>
        <w:t>, even during times of socioeconomic tenseness</w:t>
      </w:r>
      <w:r w:rsidRPr="00BD66CE">
        <w:rPr>
          <w:rFonts w:ascii="Verdana" w:hAnsi="Verdana"/>
        </w:rPr>
        <w:t xml:space="preserve">. </w:t>
      </w:r>
      <w:r w:rsidR="009C2DAD" w:rsidRPr="00BD66CE">
        <w:rPr>
          <w:rFonts w:ascii="Verdana" w:hAnsi="Verdana"/>
        </w:rPr>
        <w:t>In contrast</w:t>
      </w:r>
      <w:r w:rsidRPr="00BD66CE">
        <w:rPr>
          <w:rFonts w:ascii="Verdana" w:hAnsi="Verdana"/>
        </w:rPr>
        <w:t>,</w:t>
      </w:r>
      <w:r w:rsidR="00AD66B1" w:rsidRPr="00BD66CE">
        <w:rPr>
          <w:rFonts w:ascii="Verdana" w:hAnsi="Verdana"/>
        </w:rPr>
        <w:t xml:space="preserve"> </w:t>
      </w:r>
      <w:r w:rsidRPr="00BD66CE">
        <w:rPr>
          <w:rFonts w:ascii="Verdana" w:hAnsi="Verdana"/>
        </w:rPr>
        <w:t xml:space="preserve">not all nations </w:t>
      </w:r>
      <w:r w:rsidR="00831CF8" w:rsidRPr="00BD66CE">
        <w:rPr>
          <w:rFonts w:ascii="Verdana" w:hAnsi="Verdana"/>
        </w:rPr>
        <w:t>own</w:t>
      </w:r>
      <w:r w:rsidRPr="00BD66CE">
        <w:rPr>
          <w:rFonts w:ascii="Verdana" w:hAnsi="Verdana"/>
        </w:rPr>
        <w:t xml:space="preserve"> a well-established institutional structure and internal mechanisms for the multi</w:t>
      </w:r>
      <w:r w:rsidR="002D4D66" w:rsidRPr="00BD66CE">
        <w:rPr>
          <w:rFonts w:ascii="Verdana" w:hAnsi="Verdana"/>
        </w:rPr>
        <w:t>faceted</w:t>
      </w:r>
      <w:r w:rsidRPr="00BD66CE">
        <w:rPr>
          <w:rFonts w:ascii="Verdana" w:hAnsi="Verdana"/>
        </w:rPr>
        <w:t xml:space="preserve"> challenges posed by the exponential increase in their populations.</w:t>
      </w:r>
      <w:r w:rsidR="00AD66B1" w:rsidRPr="00BD66CE">
        <w:rPr>
          <w:rFonts w:ascii="Verdana" w:hAnsi="Verdana"/>
        </w:rPr>
        <w:t xml:space="preserve"> On the other hand, despite recent efforts in the region, mainly aimed at reducing poverty rates and social inequality among societal groups</w:t>
      </w:r>
      <w:r w:rsidR="00B1001C" w:rsidRPr="00BD66CE">
        <w:rPr>
          <w:rFonts w:ascii="Verdana" w:hAnsi="Verdana"/>
        </w:rPr>
        <w:t xml:space="preserve"> </w:t>
      </w:r>
      <w:r w:rsidR="0030750A" w:rsidRPr="00BD66CE">
        <w:rPr>
          <w:rFonts w:ascii="Verdana" w:hAnsi="Verdana"/>
        </w:rPr>
        <w:t>[102]</w:t>
      </w:r>
      <w:r w:rsidR="00AD66B1" w:rsidRPr="00BD66CE">
        <w:rPr>
          <w:rFonts w:ascii="Verdana" w:hAnsi="Verdana"/>
        </w:rPr>
        <w:t xml:space="preserve">, there are still significant gaps in the role that older adults play in contemporary Central American societies. </w:t>
      </w:r>
    </w:p>
    <w:p w14:paraId="3324BDA2" w14:textId="77777777" w:rsidR="001C3A56" w:rsidRPr="00BD66CE" w:rsidRDefault="001C3A56" w:rsidP="000F0952">
      <w:pPr>
        <w:pStyle w:val="MDPI31text"/>
        <w:rPr>
          <w:rFonts w:ascii="Verdana" w:hAnsi="Verdana"/>
        </w:rPr>
      </w:pPr>
    </w:p>
    <w:p w14:paraId="05E5B111" w14:textId="035FFC32" w:rsidR="00C929FB" w:rsidRPr="00BD66CE" w:rsidRDefault="00AD66B1" w:rsidP="005107EE">
      <w:pPr>
        <w:pStyle w:val="MDPI31text"/>
        <w:ind w:left="0" w:firstLine="510"/>
        <w:rPr>
          <w:rFonts w:ascii="Verdana" w:hAnsi="Verdana"/>
        </w:rPr>
      </w:pPr>
      <w:r w:rsidRPr="00BD66CE">
        <w:rPr>
          <w:rFonts w:ascii="Verdana" w:hAnsi="Verdana"/>
        </w:rPr>
        <w:t xml:space="preserve">The above-described scenario becomes even more salient when considering the socioeconomic impacts </w:t>
      </w:r>
      <w:r w:rsidR="00354051" w:rsidRPr="00BD66CE">
        <w:rPr>
          <w:rFonts w:ascii="Verdana" w:hAnsi="Verdana"/>
        </w:rPr>
        <w:t>levied</w:t>
      </w:r>
      <w:r w:rsidRPr="00BD66CE">
        <w:rPr>
          <w:rFonts w:ascii="Verdana" w:hAnsi="Verdana"/>
        </w:rPr>
        <w:t xml:space="preserve"> by the </w:t>
      </w:r>
      <w:r w:rsidR="00CE4401" w:rsidRPr="00BD66CE">
        <w:rPr>
          <w:rFonts w:ascii="Verdana" w:hAnsi="Verdana"/>
        </w:rPr>
        <w:t xml:space="preserve">health </w:t>
      </w:r>
      <w:r w:rsidRPr="00BD66CE">
        <w:rPr>
          <w:rFonts w:ascii="Verdana" w:hAnsi="Verdana"/>
        </w:rPr>
        <w:t>crisis</w:t>
      </w:r>
      <w:r w:rsidR="009A0291" w:rsidRPr="00BD66CE">
        <w:rPr>
          <w:rFonts w:ascii="Verdana" w:hAnsi="Verdana"/>
        </w:rPr>
        <w:t xml:space="preserve"> </w:t>
      </w:r>
      <w:r w:rsidR="0060001D" w:rsidRPr="00BD66CE">
        <w:rPr>
          <w:rFonts w:ascii="Verdana" w:hAnsi="Verdana"/>
        </w:rPr>
        <w:t>[103]</w:t>
      </w:r>
      <w:r w:rsidRPr="00BD66CE">
        <w:rPr>
          <w:rFonts w:ascii="Verdana" w:hAnsi="Verdana"/>
        </w:rPr>
        <w:t>.</w:t>
      </w:r>
      <w:r w:rsidR="002D4D66" w:rsidRPr="00BD66CE">
        <w:rPr>
          <w:rFonts w:ascii="Verdana" w:hAnsi="Verdana"/>
        </w:rPr>
        <w:t xml:space="preserve"> </w:t>
      </w:r>
      <w:r w:rsidR="001C3A56" w:rsidRPr="00BD66CE">
        <w:rPr>
          <w:rFonts w:ascii="Verdana" w:hAnsi="Verdana"/>
        </w:rPr>
        <w:t xml:space="preserve">In any case, the pandemic has raised a gerontological question, the advancement of </w:t>
      </w:r>
      <w:r w:rsidR="00AB7AC6" w:rsidRPr="00BD66CE">
        <w:rPr>
          <w:rFonts w:ascii="Verdana" w:hAnsi="Verdana"/>
        </w:rPr>
        <w:t xml:space="preserve">post-COVID-19 </w:t>
      </w:r>
      <w:r w:rsidR="001C3A56" w:rsidRPr="00BD66CE">
        <w:rPr>
          <w:rFonts w:ascii="Verdana" w:hAnsi="Verdana"/>
        </w:rPr>
        <w:t>inclusive social policy in these countries</w:t>
      </w:r>
      <w:r w:rsidR="00E34DB9" w:rsidRPr="00BD66CE">
        <w:rPr>
          <w:rFonts w:ascii="Verdana" w:hAnsi="Verdana"/>
        </w:rPr>
        <w:t xml:space="preserve"> </w:t>
      </w:r>
      <w:r w:rsidR="0060001D" w:rsidRPr="00BD66CE">
        <w:rPr>
          <w:rFonts w:ascii="Verdana" w:hAnsi="Verdana"/>
        </w:rPr>
        <w:t>[104]</w:t>
      </w:r>
      <w:r w:rsidR="001C3A56" w:rsidRPr="00BD66CE">
        <w:rPr>
          <w:rFonts w:ascii="Verdana" w:hAnsi="Verdana"/>
        </w:rPr>
        <w:t xml:space="preserve">. The deepening of the collateral effects makes it critical to join forces so that the protectionist frameworks of the rights of the elderly do not suffer seizures by the neoliberal waves, which commonly endanger the maintenance of social agendas for </w:t>
      </w:r>
      <w:r w:rsidR="00FA048C" w:rsidRPr="00BD66CE">
        <w:rPr>
          <w:rFonts w:ascii="Verdana" w:hAnsi="Verdana"/>
        </w:rPr>
        <w:t>older persons</w:t>
      </w:r>
      <w:r w:rsidR="0065481E" w:rsidRPr="00BD66CE">
        <w:rPr>
          <w:rFonts w:ascii="Verdana" w:hAnsi="Verdana"/>
        </w:rPr>
        <w:t xml:space="preserve">. </w:t>
      </w:r>
      <w:r w:rsidRPr="00BD66CE">
        <w:rPr>
          <w:rFonts w:ascii="Verdana" w:hAnsi="Verdana"/>
        </w:rPr>
        <w:t xml:space="preserve">In a global picture, older individuals, due to their stigmatized condition in the labor market and, all the more, due to the changes in social roles resulting from old age, </w:t>
      </w:r>
      <w:r w:rsidR="008E2454" w:rsidRPr="00BD66CE">
        <w:rPr>
          <w:rFonts w:ascii="Verdana" w:hAnsi="Verdana"/>
        </w:rPr>
        <w:t>were</w:t>
      </w:r>
      <w:r w:rsidRPr="00BD66CE">
        <w:rPr>
          <w:rFonts w:ascii="Verdana" w:hAnsi="Verdana"/>
        </w:rPr>
        <w:t xml:space="preserve"> much more impacted than other age groups in society</w:t>
      </w:r>
      <w:r w:rsidR="00717127" w:rsidRPr="00BD66CE">
        <w:rPr>
          <w:rFonts w:ascii="Verdana" w:hAnsi="Verdana"/>
        </w:rPr>
        <w:t xml:space="preserve"> during the pandemic. </w:t>
      </w:r>
      <w:r w:rsidR="007A42D3" w:rsidRPr="00BD66CE">
        <w:rPr>
          <w:rFonts w:ascii="Verdana" w:hAnsi="Verdana"/>
        </w:rPr>
        <w:t>The</w:t>
      </w:r>
      <w:r w:rsidR="009F35E1" w:rsidRPr="00BD66CE">
        <w:rPr>
          <w:rFonts w:ascii="Verdana" w:hAnsi="Verdana"/>
        </w:rPr>
        <w:t xml:space="preserve"> regional positioning was to make it possible for families with at least one senior citizen to receive financial </w:t>
      </w:r>
      <w:r w:rsidR="002D4D66" w:rsidRPr="00BD66CE">
        <w:rPr>
          <w:rFonts w:ascii="Verdana" w:hAnsi="Verdana"/>
        </w:rPr>
        <w:t>aid</w:t>
      </w:r>
      <w:r w:rsidR="009F35E1" w:rsidRPr="00BD66CE">
        <w:rPr>
          <w:rFonts w:ascii="Verdana" w:hAnsi="Verdana"/>
        </w:rPr>
        <w:t xml:space="preserve"> from the government, with figures ranging from </w:t>
      </w:r>
      <w:r w:rsidR="00265781" w:rsidRPr="00BD66CE">
        <w:rPr>
          <w:rFonts w:ascii="Verdana" w:hAnsi="Verdana"/>
        </w:rPr>
        <w:t xml:space="preserve">half </w:t>
      </w:r>
      <w:r w:rsidR="00045AB8" w:rsidRPr="00BD66CE">
        <w:rPr>
          <w:rFonts w:ascii="Verdana" w:hAnsi="Verdana"/>
        </w:rPr>
        <w:t>to one</w:t>
      </w:r>
      <w:r w:rsidR="00265781" w:rsidRPr="00BD66CE">
        <w:rPr>
          <w:rFonts w:ascii="Verdana" w:hAnsi="Verdana"/>
        </w:rPr>
        <w:t xml:space="preserve"> minimum wage.</w:t>
      </w:r>
      <w:r w:rsidR="000D3583" w:rsidRPr="00BD66CE">
        <w:rPr>
          <w:rFonts w:ascii="Verdana" w:hAnsi="Verdana"/>
        </w:rPr>
        <w:t xml:space="preserve"> Although each country </w:t>
      </w:r>
      <w:r w:rsidR="0075110F" w:rsidRPr="00BD66CE">
        <w:rPr>
          <w:rFonts w:ascii="Verdana" w:hAnsi="Verdana"/>
        </w:rPr>
        <w:t>set</w:t>
      </w:r>
      <w:r w:rsidR="000D3583" w:rsidRPr="00BD66CE">
        <w:rPr>
          <w:rFonts w:ascii="Verdana" w:hAnsi="Verdana"/>
        </w:rPr>
        <w:t xml:space="preserve"> different criteria for such assistance, the </w:t>
      </w:r>
      <w:r w:rsidR="0065462A" w:rsidRPr="00BD66CE">
        <w:rPr>
          <w:rFonts w:ascii="Verdana" w:hAnsi="Verdana"/>
        </w:rPr>
        <w:t>focus</w:t>
      </w:r>
      <w:r w:rsidR="000D3583" w:rsidRPr="00BD66CE">
        <w:rPr>
          <w:rFonts w:ascii="Verdana" w:hAnsi="Verdana"/>
        </w:rPr>
        <w:t xml:space="preserve"> was to screen-out families undergoing functio</w:t>
      </w:r>
      <w:r w:rsidR="00EF4E6A" w:rsidRPr="00BD66CE">
        <w:rPr>
          <w:rFonts w:ascii="Verdana" w:hAnsi="Verdana"/>
        </w:rPr>
        <w:t xml:space="preserve">nal or socioeconomic fragility. </w:t>
      </w:r>
      <w:r w:rsidR="0061301D" w:rsidRPr="00BD66CE">
        <w:rPr>
          <w:rFonts w:ascii="Verdana" w:hAnsi="Verdana"/>
        </w:rPr>
        <w:t xml:space="preserve">According to the Inter-American Development Bank </w:t>
      </w:r>
      <w:r w:rsidR="004F7D60" w:rsidRPr="00BD66CE">
        <w:rPr>
          <w:rFonts w:ascii="Verdana" w:hAnsi="Verdana"/>
        </w:rPr>
        <w:t>[105]</w:t>
      </w:r>
      <w:r w:rsidR="0061301D" w:rsidRPr="00BD66CE">
        <w:rPr>
          <w:rFonts w:ascii="Verdana" w:hAnsi="Verdana"/>
        </w:rPr>
        <w:t>, the countries showed flexibility in sectoral and corporate policies that sought economic equilibrium in the region. It varied according to the response capacity installed, yet all countries opted to relax specific tariff and non-tariff restrictions</w:t>
      </w:r>
      <w:r w:rsidR="005D374B" w:rsidRPr="00BD66CE">
        <w:rPr>
          <w:rFonts w:ascii="Verdana" w:hAnsi="Verdana"/>
        </w:rPr>
        <w:t xml:space="preserve"> </w:t>
      </w:r>
      <w:r w:rsidR="004F7D60" w:rsidRPr="00BD66CE">
        <w:rPr>
          <w:rFonts w:ascii="Verdana" w:hAnsi="Verdana"/>
        </w:rPr>
        <w:t>[106]</w:t>
      </w:r>
      <w:r w:rsidR="0061301D" w:rsidRPr="00BD66CE">
        <w:rPr>
          <w:rFonts w:ascii="Verdana" w:hAnsi="Verdana"/>
        </w:rPr>
        <w:t xml:space="preserve">. </w:t>
      </w:r>
      <w:r w:rsidR="00BA5167" w:rsidRPr="00BD66CE">
        <w:rPr>
          <w:rFonts w:ascii="Verdana" w:hAnsi="Verdana"/>
        </w:rPr>
        <w:t>S</w:t>
      </w:r>
      <w:r w:rsidR="0061301D" w:rsidRPr="00BD66CE">
        <w:rPr>
          <w:rFonts w:ascii="Verdana" w:hAnsi="Verdana"/>
        </w:rPr>
        <w:t xml:space="preserve">pecial decrees </w:t>
      </w:r>
      <w:r w:rsidR="00BA5167" w:rsidRPr="00BD66CE">
        <w:rPr>
          <w:rFonts w:ascii="Verdana" w:hAnsi="Verdana"/>
        </w:rPr>
        <w:t xml:space="preserve">also </w:t>
      </w:r>
      <w:r w:rsidR="0061301D" w:rsidRPr="00BD66CE">
        <w:rPr>
          <w:rFonts w:ascii="Verdana" w:hAnsi="Verdana"/>
        </w:rPr>
        <w:t>aimed to avoid job losses or to allow temporary suspensions, accompanied</w:t>
      </w:r>
      <w:r w:rsidR="00BA5167" w:rsidRPr="00BD66CE">
        <w:rPr>
          <w:rFonts w:ascii="Verdana" w:hAnsi="Verdana"/>
        </w:rPr>
        <w:t xml:space="preserve"> by social protection programs for those older workers under inf</w:t>
      </w:r>
      <w:r w:rsidR="00A67644" w:rsidRPr="00BD66CE">
        <w:rPr>
          <w:rFonts w:ascii="Verdana" w:hAnsi="Verdana"/>
        </w:rPr>
        <w:t xml:space="preserve">ormal or precarious </w:t>
      </w:r>
      <w:r w:rsidR="009C4833" w:rsidRPr="00BD66CE">
        <w:rPr>
          <w:rFonts w:ascii="Verdana" w:hAnsi="Verdana"/>
        </w:rPr>
        <w:t xml:space="preserve">working </w:t>
      </w:r>
      <w:r w:rsidR="00A67644" w:rsidRPr="00BD66CE">
        <w:rPr>
          <w:rFonts w:ascii="Verdana" w:hAnsi="Verdana"/>
        </w:rPr>
        <w:t>conditions</w:t>
      </w:r>
      <w:r w:rsidR="003C5E3D" w:rsidRPr="00BD66CE">
        <w:rPr>
          <w:rFonts w:ascii="Verdana" w:hAnsi="Verdana"/>
        </w:rPr>
        <w:t xml:space="preserve"> </w:t>
      </w:r>
      <w:r w:rsidR="00383797" w:rsidRPr="00BD66CE">
        <w:rPr>
          <w:rFonts w:ascii="Verdana" w:hAnsi="Verdana"/>
        </w:rPr>
        <w:t>[107]</w:t>
      </w:r>
      <w:r w:rsidR="00A67644" w:rsidRPr="00BD66CE">
        <w:rPr>
          <w:rFonts w:ascii="Verdana" w:hAnsi="Verdana"/>
        </w:rPr>
        <w:t>. In addition, CAIS's performance was extremely valuable, since through the Central American Bank for Economic Integration, each country received US$1 million, thus strengthening the countries' crisis response and assistance capabilities</w:t>
      </w:r>
      <w:r w:rsidR="00383797" w:rsidRPr="00BD66CE">
        <w:rPr>
          <w:rFonts w:ascii="Verdana" w:hAnsi="Verdana"/>
        </w:rPr>
        <w:t xml:space="preserve"> [106]. </w:t>
      </w:r>
    </w:p>
    <w:p w14:paraId="285437E0" w14:textId="77777777" w:rsidR="00C929FB" w:rsidRPr="00BD66CE" w:rsidRDefault="00C929FB" w:rsidP="00C929FB">
      <w:pPr>
        <w:pStyle w:val="MDPI31text"/>
        <w:rPr>
          <w:rFonts w:ascii="Verdana" w:hAnsi="Verdana"/>
        </w:rPr>
      </w:pPr>
    </w:p>
    <w:p w14:paraId="6974439D" w14:textId="1063E6F6" w:rsidR="008762F3" w:rsidRPr="00BD66CE" w:rsidRDefault="00C929FB" w:rsidP="005107EE">
      <w:pPr>
        <w:pStyle w:val="MDPI31text"/>
        <w:ind w:left="0" w:firstLine="510"/>
        <w:rPr>
          <w:rFonts w:ascii="Verdana" w:hAnsi="Verdana"/>
        </w:rPr>
      </w:pPr>
      <w:r w:rsidRPr="00BD66CE">
        <w:rPr>
          <w:rFonts w:ascii="Verdana" w:hAnsi="Verdana"/>
        </w:rPr>
        <w:t xml:space="preserve">Social determinants of health demand sound judgment since </w:t>
      </w:r>
      <w:r w:rsidR="003859F7" w:rsidRPr="00BD66CE">
        <w:rPr>
          <w:rFonts w:ascii="Verdana" w:hAnsi="Verdana"/>
        </w:rPr>
        <w:t>older adults are quite</w:t>
      </w:r>
      <w:r w:rsidRPr="00BD66CE">
        <w:rPr>
          <w:rFonts w:ascii="Verdana" w:hAnsi="Verdana"/>
        </w:rPr>
        <w:t xml:space="preserve"> a heterogeneous population segment. Actions must start from a </w:t>
      </w:r>
      <w:r w:rsidR="00F23F89" w:rsidRPr="00BD66CE">
        <w:rPr>
          <w:rFonts w:ascii="Verdana" w:hAnsi="Verdana"/>
        </w:rPr>
        <w:t>person-centered</w:t>
      </w:r>
      <w:r w:rsidRPr="00BD66CE">
        <w:rPr>
          <w:rFonts w:ascii="Verdana" w:hAnsi="Verdana"/>
        </w:rPr>
        <w:t xml:space="preserve"> reading of the </w:t>
      </w:r>
      <w:r w:rsidR="00F23F89" w:rsidRPr="00BD66CE">
        <w:rPr>
          <w:rFonts w:ascii="Verdana" w:hAnsi="Verdana"/>
        </w:rPr>
        <w:t>aged</w:t>
      </w:r>
      <w:r w:rsidRPr="00BD66CE">
        <w:rPr>
          <w:rFonts w:ascii="Verdana" w:hAnsi="Verdana"/>
        </w:rPr>
        <w:t xml:space="preserve"> and all the intrinsic and extrinsic elements that this involves. The major obstacle for social assistance bodies in Central America is not only extinguishing the current fire of the pandemic in terms of guaranteeing a decent monthly income for the survival of older adults but also dearly inquiring about the efficiency of this </w:t>
      </w:r>
      <w:r w:rsidR="003859F7" w:rsidRPr="00BD66CE">
        <w:rPr>
          <w:rFonts w:ascii="Verdana" w:hAnsi="Verdana"/>
        </w:rPr>
        <w:t>kind</w:t>
      </w:r>
      <w:r w:rsidRPr="00BD66CE">
        <w:rPr>
          <w:rFonts w:ascii="Verdana" w:hAnsi="Verdana"/>
        </w:rPr>
        <w:t xml:space="preserve"> of time-bound program. Despite this, beyond simply providing minimum conditions to face the </w:t>
      </w:r>
      <w:r w:rsidR="00C116ED" w:rsidRPr="00BD66CE">
        <w:rPr>
          <w:rFonts w:ascii="Verdana" w:hAnsi="Verdana"/>
        </w:rPr>
        <w:t xml:space="preserve">ongoing </w:t>
      </w:r>
      <w:r w:rsidRPr="00BD66CE">
        <w:rPr>
          <w:rFonts w:ascii="Verdana" w:hAnsi="Verdana"/>
        </w:rPr>
        <w:t>health crisis, it is worth questioning the overall impact that the cutback in assistance will have on households</w:t>
      </w:r>
      <w:r w:rsidR="007610A4" w:rsidRPr="00BD66CE">
        <w:rPr>
          <w:rFonts w:ascii="Verdana" w:hAnsi="Verdana"/>
        </w:rPr>
        <w:t xml:space="preserve"> (</w:t>
      </w:r>
      <w:r w:rsidR="00C116ED" w:rsidRPr="00BD66CE">
        <w:rPr>
          <w:rFonts w:ascii="Verdana" w:hAnsi="Verdana"/>
        </w:rPr>
        <w:t xml:space="preserve">i.e., </w:t>
      </w:r>
      <w:r w:rsidR="007610A4" w:rsidRPr="00BD66CE">
        <w:rPr>
          <w:rFonts w:ascii="Verdana" w:hAnsi="Verdana"/>
        </w:rPr>
        <w:t>out-of-pocket health expenditures)</w:t>
      </w:r>
      <w:r w:rsidRPr="00BD66CE">
        <w:rPr>
          <w:rFonts w:ascii="Verdana" w:hAnsi="Verdana"/>
        </w:rPr>
        <w:t xml:space="preserve">, especially in families with the older adult being the provider of needs, or even more eerily, in single-person families. As voiced by Martínez-Franzoni and Sánchez-Ancochea </w:t>
      </w:r>
      <w:r w:rsidR="00864489" w:rsidRPr="00BD66CE">
        <w:rPr>
          <w:rFonts w:ascii="Verdana" w:hAnsi="Verdana"/>
        </w:rPr>
        <w:t>[108]</w:t>
      </w:r>
      <w:r w:rsidRPr="00BD66CE">
        <w:rPr>
          <w:rFonts w:ascii="Verdana" w:hAnsi="Verdana"/>
        </w:rPr>
        <w:t xml:space="preserve">, "inclusive social policy in Central </w:t>
      </w:r>
      <w:r w:rsidR="0031618D" w:rsidRPr="00BD66CE">
        <w:rPr>
          <w:rFonts w:ascii="Verdana" w:hAnsi="Verdana"/>
        </w:rPr>
        <w:t xml:space="preserve">America </w:t>
      </w:r>
      <w:r w:rsidRPr="00BD66CE">
        <w:rPr>
          <w:rFonts w:ascii="Verdana" w:hAnsi="Verdana"/>
        </w:rPr>
        <w:t>–and other regions of the global South–</w:t>
      </w:r>
      <w:r w:rsidR="0031618D" w:rsidRPr="00BD66CE">
        <w:rPr>
          <w:rFonts w:ascii="Verdana" w:hAnsi="Verdana"/>
        </w:rPr>
        <w:t xml:space="preserve"> </w:t>
      </w:r>
      <w:r w:rsidRPr="00BD66CE">
        <w:rPr>
          <w:rFonts w:ascii="Verdana" w:hAnsi="Verdana"/>
        </w:rPr>
        <w:t>necessarily calls for a significant redefinition of macroeconomic policies and a narrative around the state as a solution rather than a problem" (p. 5).</w:t>
      </w:r>
      <w:r w:rsidR="0031618D" w:rsidRPr="00BD66CE">
        <w:rPr>
          <w:rFonts w:ascii="Verdana" w:hAnsi="Verdana"/>
        </w:rPr>
        <w:t xml:space="preserve"> </w:t>
      </w:r>
    </w:p>
    <w:p w14:paraId="7E8FA863" w14:textId="58ADC2E4" w:rsidR="008C12EB" w:rsidRPr="00BD66CE" w:rsidRDefault="008C12EB" w:rsidP="000F3929">
      <w:pPr>
        <w:pStyle w:val="MDPI31text"/>
        <w:ind w:left="0" w:firstLine="0"/>
        <w:rPr>
          <w:rFonts w:ascii="Verdana" w:hAnsi="Verdana"/>
        </w:rPr>
      </w:pPr>
    </w:p>
    <w:p w14:paraId="7CA951E3" w14:textId="6D02841B" w:rsidR="00991148" w:rsidRPr="00BD66CE" w:rsidRDefault="00C929FB" w:rsidP="005107EE">
      <w:pPr>
        <w:pStyle w:val="MDPI31text"/>
        <w:ind w:left="0" w:firstLine="510"/>
        <w:rPr>
          <w:rFonts w:ascii="Verdana" w:hAnsi="Verdana"/>
        </w:rPr>
      </w:pPr>
      <w:r w:rsidRPr="00BD66CE">
        <w:rPr>
          <w:rFonts w:ascii="Verdana" w:hAnsi="Verdana"/>
        </w:rPr>
        <w:t>Another important observation is that techniques of obituary registry and notification of viral contagions disported suggestive dissimilarity between Central American countries, which makes it harsh to obtain a more accurate approximation regarding the case fatality among the elderly age groups. De facto, the WHO considers the low degrees of completeness and accuracy of hospital records recurring concerns across-the-board, not being di</w:t>
      </w:r>
      <w:r w:rsidR="00F23F89" w:rsidRPr="00BD66CE">
        <w:rPr>
          <w:rFonts w:ascii="Verdana" w:hAnsi="Verdana"/>
        </w:rPr>
        <w:t>fferent implications during COVID-19</w:t>
      </w:r>
      <w:r w:rsidRPr="00BD66CE">
        <w:rPr>
          <w:rFonts w:ascii="Verdana" w:hAnsi="Verdana"/>
        </w:rPr>
        <w:t xml:space="preserve">. Extraordinary conditions </w:t>
      </w:r>
      <w:r w:rsidRPr="00BD66CE">
        <w:rPr>
          <w:rFonts w:ascii="Verdana" w:hAnsi="Verdana"/>
        </w:rPr>
        <w:lastRenderedPageBreak/>
        <w:t xml:space="preserve">displayed by the pandemic have boosted talk about Public Health 3.0, notably when considering the objectives for sustainable development. Such a promising vision of new public health, now more efficient and adapted to the characteristics of the modern world, stresses five main components to achieve its goals, namely a chief health strategist, engaged community stakeholders, public health accreditation, improving data for decision-making, and an adequate public health funding </w:t>
      </w:r>
      <w:r w:rsidR="00864489" w:rsidRPr="00BD66CE">
        <w:rPr>
          <w:rFonts w:ascii="Verdana" w:hAnsi="Verdana"/>
        </w:rPr>
        <w:t>[109]</w:t>
      </w:r>
      <w:r w:rsidRPr="00BD66CE">
        <w:rPr>
          <w:rFonts w:ascii="Verdana" w:hAnsi="Verdana"/>
        </w:rPr>
        <w:t xml:space="preserve">. Together, these elements would provide better scenarios for </w:t>
      </w:r>
      <w:r w:rsidR="00F23F89" w:rsidRPr="00BD66CE">
        <w:rPr>
          <w:rFonts w:ascii="Verdana" w:hAnsi="Verdana"/>
        </w:rPr>
        <w:t>geriatric-gerontological care</w:t>
      </w:r>
      <w:r w:rsidRPr="00BD66CE">
        <w:rPr>
          <w:rFonts w:ascii="Verdana" w:hAnsi="Verdana"/>
        </w:rPr>
        <w:t xml:space="preserve"> management.</w:t>
      </w:r>
      <w:r w:rsidR="004B27BC" w:rsidRPr="00BD66CE">
        <w:rPr>
          <w:rFonts w:ascii="Verdana" w:hAnsi="Verdana"/>
        </w:rPr>
        <w:t xml:space="preserve"> </w:t>
      </w:r>
    </w:p>
    <w:p w14:paraId="61F62FFB" w14:textId="77777777" w:rsidR="00C929FB" w:rsidRPr="00BD66CE" w:rsidRDefault="00C929FB" w:rsidP="00B07A10">
      <w:pPr>
        <w:pStyle w:val="MDPI31text"/>
        <w:rPr>
          <w:rFonts w:ascii="Verdana" w:hAnsi="Verdana"/>
        </w:rPr>
      </w:pPr>
    </w:p>
    <w:p w14:paraId="513D97C1" w14:textId="54EC0089" w:rsidR="005E1899" w:rsidRPr="00BD66CE" w:rsidRDefault="00745D9C" w:rsidP="005107EE">
      <w:pPr>
        <w:pStyle w:val="MDPI31text"/>
        <w:ind w:left="0" w:firstLine="510"/>
        <w:rPr>
          <w:rFonts w:ascii="Verdana" w:hAnsi="Verdana"/>
          <w:highlight w:val="yellow"/>
        </w:rPr>
      </w:pPr>
      <w:r w:rsidRPr="00BD66CE">
        <w:rPr>
          <w:rFonts w:ascii="Verdana" w:hAnsi="Verdana"/>
        </w:rPr>
        <w:t>The</w:t>
      </w:r>
      <w:r w:rsidR="00EB3AC3" w:rsidRPr="00BD66CE">
        <w:rPr>
          <w:rFonts w:ascii="Verdana" w:hAnsi="Verdana"/>
        </w:rPr>
        <w:t xml:space="preserve"> performance of </w:t>
      </w:r>
      <w:r w:rsidRPr="00BD66CE">
        <w:rPr>
          <w:rFonts w:ascii="Verdana" w:hAnsi="Verdana"/>
        </w:rPr>
        <w:t xml:space="preserve">the Republics of </w:t>
      </w:r>
      <w:r w:rsidR="00EB3AC3" w:rsidRPr="00BD66CE">
        <w:rPr>
          <w:rFonts w:ascii="Verdana" w:hAnsi="Verdana"/>
        </w:rPr>
        <w:t>Costa Rica</w:t>
      </w:r>
      <w:r w:rsidR="00C91453" w:rsidRPr="00BD66CE">
        <w:rPr>
          <w:rFonts w:ascii="Verdana" w:hAnsi="Verdana"/>
        </w:rPr>
        <w:t xml:space="preserve"> </w:t>
      </w:r>
      <w:r w:rsidR="00EB3AC3" w:rsidRPr="00BD66CE">
        <w:rPr>
          <w:rFonts w:ascii="Verdana" w:hAnsi="Verdana"/>
        </w:rPr>
        <w:t>and Panama</w:t>
      </w:r>
      <w:r w:rsidR="00C91453" w:rsidRPr="00BD66CE">
        <w:rPr>
          <w:rFonts w:ascii="Verdana" w:hAnsi="Verdana"/>
        </w:rPr>
        <w:t xml:space="preserve"> </w:t>
      </w:r>
      <w:r w:rsidR="00EB3AC3" w:rsidRPr="00BD66CE">
        <w:rPr>
          <w:rFonts w:ascii="Verdana" w:hAnsi="Verdana"/>
        </w:rPr>
        <w:t xml:space="preserve">deserves merit since these countries have a higher degree of universal </w:t>
      </w:r>
      <w:r w:rsidR="006C3732" w:rsidRPr="00BD66CE">
        <w:rPr>
          <w:rFonts w:ascii="Verdana" w:hAnsi="Verdana"/>
        </w:rPr>
        <w:t xml:space="preserve">medical </w:t>
      </w:r>
      <w:r w:rsidR="00EB3AC3" w:rsidRPr="00BD66CE">
        <w:rPr>
          <w:rFonts w:ascii="Verdana" w:hAnsi="Verdana"/>
        </w:rPr>
        <w:t>coverage</w:t>
      </w:r>
      <w:r w:rsidR="00087DB5" w:rsidRPr="00BD66CE">
        <w:rPr>
          <w:rFonts w:ascii="Verdana" w:hAnsi="Verdana"/>
        </w:rPr>
        <w:t xml:space="preserve"> (80% and 72%, respectively)</w:t>
      </w:r>
      <w:r w:rsidR="00EB3AC3" w:rsidRPr="00BD66CE">
        <w:rPr>
          <w:rFonts w:ascii="Verdana" w:hAnsi="Verdana"/>
        </w:rPr>
        <w:t>, which facilitated a more comprehensive approach during the screening and follow-up campaigns for older persons.</w:t>
      </w:r>
      <w:r w:rsidR="000176E9" w:rsidRPr="00BD66CE">
        <w:rPr>
          <w:rFonts w:ascii="Verdana" w:hAnsi="Verdana"/>
        </w:rPr>
        <w:t xml:space="preserve"> </w:t>
      </w:r>
      <w:r w:rsidR="00677F9D" w:rsidRPr="00BD66CE">
        <w:rPr>
          <w:rFonts w:ascii="Verdana" w:hAnsi="Verdana"/>
        </w:rPr>
        <w:t>Furthermore</w:t>
      </w:r>
      <w:r w:rsidR="000176E9" w:rsidRPr="00BD66CE">
        <w:rPr>
          <w:rFonts w:ascii="Verdana" w:hAnsi="Verdana"/>
        </w:rPr>
        <w:t>, being the two wealthier countries</w:t>
      </w:r>
      <w:r w:rsidR="00CB0DB9" w:rsidRPr="00BD66CE">
        <w:rPr>
          <w:rFonts w:ascii="Verdana" w:hAnsi="Verdana"/>
        </w:rPr>
        <w:t>,</w:t>
      </w:r>
      <w:r w:rsidR="000176E9" w:rsidRPr="00BD66CE">
        <w:rPr>
          <w:rFonts w:ascii="Verdana" w:hAnsi="Verdana"/>
        </w:rPr>
        <w:t xml:space="preserve"> Costa Rica and Panama </w:t>
      </w:r>
      <w:r w:rsidR="00CB0DB9" w:rsidRPr="00BD66CE">
        <w:rPr>
          <w:rFonts w:ascii="Verdana" w:hAnsi="Verdana"/>
        </w:rPr>
        <w:t>stood</w:t>
      </w:r>
      <w:r w:rsidR="000176E9" w:rsidRPr="00BD66CE">
        <w:rPr>
          <w:rFonts w:ascii="Verdana" w:hAnsi="Verdana"/>
        </w:rPr>
        <w:t xml:space="preserve"> </w:t>
      </w:r>
      <w:r w:rsidR="00CB0DB9" w:rsidRPr="00BD66CE">
        <w:rPr>
          <w:rFonts w:ascii="Verdana" w:hAnsi="Verdana"/>
        </w:rPr>
        <w:t xml:space="preserve">in </w:t>
      </w:r>
      <w:r w:rsidR="000176E9" w:rsidRPr="00BD66CE">
        <w:rPr>
          <w:rFonts w:ascii="Verdana" w:hAnsi="Verdana"/>
        </w:rPr>
        <w:t>better conditions to perform more</w:t>
      </w:r>
      <w:r w:rsidR="00BE184F" w:rsidRPr="00BD66CE">
        <w:rPr>
          <w:rFonts w:ascii="Verdana" w:hAnsi="Verdana"/>
        </w:rPr>
        <w:t xml:space="preserve"> </w:t>
      </w:r>
      <w:r w:rsidR="000176E9" w:rsidRPr="00BD66CE">
        <w:rPr>
          <w:rFonts w:ascii="Verdana" w:hAnsi="Verdana"/>
        </w:rPr>
        <w:t xml:space="preserve">tests and make them available free of charge to the </w:t>
      </w:r>
      <w:r w:rsidR="00B07A10" w:rsidRPr="00BD66CE">
        <w:rPr>
          <w:rFonts w:ascii="Verdana" w:hAnsi="Verdana"/>
        </w:rPr>
        <w:t>neediest</w:t>
      </w:r>
      <w:r w:rsidR="000176E9" w:rsidRPr="00BD66CE">
        <w:rPr>
          <w:rFonts w:ascii="Verdana" w:hAnsi="Verdana"/>
        </w:rPr>
        <w:t xml:space="preserve">, as reflected in the higher testing rates reported </w:t>
      </w:r>
      <w:r w:rsidR="00B07A10" w:rsidRPr="00BD66CE">
        <w:rPr>
          <w:rFonts w:ascii="Verdana" w:hAnsi="Verdana"/>
        </w:rPr>
        <w:t xml:space="preserve">during the first pandemic year </w:t>
      </w:r>
      <w:r w:rsidR="00864489" w:rsidRPr="00BD66CE">
        <w:rPr>
          <w:rFonts w:ascii="Verdana" w:hAnsi="Verdana"/>
        </w:rPr>
        <w:t>[110]</w:t>
      </w:r>
      <w:r w:rsidR="00B07A10" w:rsidRPr="00BD66CE">
        <w:rPr>
          <w:rFonts w:ascii="Verdana" w:hAnsi="Verdana"/>
        </w:rPr>
        <w:t xml:space="preserve">. </w:t>
      </w:r>
      <w:r w:rsidR="00682B82" w:rsidRPr="00BD66CE">
        <w:rPr>
          <w:rFonts w:ascii="Verdana" w:hAnsi="Verdana"/>
        </w:rPr>
        <w:t xml:space="preserve">Public investment in Science, Technology, and Education, already salient in these two countries, was the key to </w:t>
      </w:r>
      <w:r w:rsidR="00332515" w:rsidRPr="00BD66CE">
        <w:rPr>
          <w:rFonts w:ascii="Verdana" w:hAnsi="Verdana"/>
        </w:rPr>
        <w:t>grasping</w:t>
      </w:r>
      <w:r w:rsidR="00682B82" w:rsidRPr="00BD66CE">
        <w:rPr>
          <w:rFonts w:ascii="Verdana" w:hAnsi="Verdana"/>
        </w:rPr>
        <w:t xml:space="preserve"> the health crisis</w:t>
      </w:r>
      <w:r w:rsidR="00962DAD" w:rsidRPr="00BD66CE">
        <w:rPr>
          <w:rFonts w:ascii="Verdana" w:hAnsi="Verdana"/>
        </w:rPr>
        <w:t xml:space="preserve"> </w:t>
      </w:r>
      <w:r w:rsidR="00864489" w:rsidRPr="00BD66CE">
        <w:rPr>
          <w:rFonts w:ascii="Verdana" w:hAnsi="Verdana"/>
        </w:rPr>
        <w:t>[111]</w:t>
      </w:r>
      <w:r w:rsidR="00682B82" w:rsidRPr="00BD66CE">
        <w:rPr>
          <w:rFonts w:ascii="Verdana" w:hAnsi="Verdana"/>
        </w:rPr>
        <w:t>. In the Panamanian case, the Gorgas Memorial Institute isolated SARS-CoV-2 strains circulating in the country during 2020, thus providing essential biomedical insights to understand the clinicopathological manifestations of the disease in geriatric cases</w:t>
      </w:r>
      <w:r w:rsidR="001D662F" w:rsidRPr="00BD66CE">
        <w:rPr>
          <w:rFonts w:ascii="Verdana" w:hAnsi="Verdana"/>
        </w:rPr>
        <w:t xml:space="preserve"> </w:t>
      </w:r>
      <w:r w:rsidR="007A5E22" w:rsidRPr="00BD66CE">
        <w:rPr>
          <w:rFonts w:ascii="Verdana" w:hAnsi="Verdana"/>
        </w:rPr>
        <w:t>[84]</w:t>
      </w:r>
      <w:r w:rsidR="00682B82" w:rsidRPr="00BD66CE">
        <w:rPr>
          <w:rFonts w:ascii="Verdana" w:hAnsi="Verdana"/>
        </w:rPr>
        <w:t xml:space="preserve">. </w:t>
      </w:r>
      <w:r w:rsidR="00962DAD" w:rsidRPr="00BD66CE">
        <w:rPr>
          <w:rFonts w:ascii="Verdana" w:hAnsi="Verdana"/>
        </w:rPr>
        <w:t xml:space="preserve">Likewise, </w:t>
      </w:r>
      <w:r w:rsidR="00EB3AC3" w:rsidRPr="00BD66CE">
        <w:rPr>
          <w:rFonts w:ascii="Verdana" w:hAnsi="Verdana"/>
        </w:rPr>
        <w:t>several reports and online newscasts recognized Costa Rica</w:t>
      </w:r>
      <w:r w:rsidR="00AB32EB" w:rsidRPr="00BD66CE">
        <w:rPr>
          <w:rFonts w:ascii="Verdana" w:hAnsi="Verdana"/>
        </w:rPr>
        <w:t>'</w:t>
      </w:r>
      <w:r w:rsidR="00DD6EDA" w:rsidRPr="00BD66CE">
        <w:rPr>
          <w:rFonts w:ascii="Verdana" w:hAnsi="Verdana"/>
        </w:rPr>
        <w:t>s</w:t>
      </w:r>
      <w:r w:rsidR="00EB3AC3" w:rsidRPr="00BD66CE">
        <w:rPr>
          <w:rFonts w:ascii="Verdana" w:hAnsi="Verdana"/>
        </w:rPr>
        <w:t xml:space="preserve"> role</w:t>
      </w:r>
      <w:r w:rsidR="00F46018" w:rsidRPr="00BD66CE">
        <w:rPr>
          <w:rFonts w:ascii="Verdana" w:hAnsi="Verdana"/>
        </w:rPr>
        <w:t xml:space="preserve"> in the coordinated management of all levels of care</w:t>
      </w:r>
      <w:r w:rsidR="00EB3AC3" w:rsidRPr="00BD66CE">
        <w:rPr>
          <w:rFonts w:ascii="Verdana" w:hAnsi="Verdana"/>
        </w:rPr>
        <w:t>, serving as an example for neighboring countries</w:t>
      </w:r>
      <w:r w:rsidR="00E10441" w:rsidRPr="00BD66CE">
        <w:rPr>
          <w:rFonts w:ascii="Verdana" w:hAnsi="Verdana"/>
        </w:rPr>
        <w:t xml:space="preserve"> </w:t>
      </w:r>
      <w:r w:rsidR="007A5E22" w:rsidRPr="00BD66CE">
        <w:rPr>
          <w:rFonts w:ascii="Verdana" w:hAnsi="Verdana"/>
        </w:rPr>
        <w:t>[112</w:t>
      </w:r>
      <w:r w:rsidR="004B61EE" w:rsidRPr="00BD66CE">
        <w:rPr>
          <w:rFonts w:ascii="Verdana" w:hAnsi="Verdana"/>
        </w:rPr>
        <w:t>-114]</w:t>
      </w:r>
      <w:r w:rsidR="00EB3AC3" w:rsidRPr="00BD66CE">
        <w:rPr>
          <w:rFonts w:ascii="Verdana" w:hAnsi="Verdana"/>
        </w:rPr>
        <w:t>.</w:t>
      </w:r>
      <w:r w:rsidR="00386779" w:rsidRPr="00BD66CE">
        <w:rPr>
          <w:rFonts w:ascii="Verdana" w:hAnsi="Verdana"/>
        </w:rPr>
        <w:t xml:space="preserve"> Although </w:t>
      </w:r>
      <w:r w:rsidR="00D8545D" w:rsidRPr="00BD66CE">
        <w:rPr>
          <w:rFonts w:ascii="Verdana" w:hAnsi="Verdana"/>
        </w:rPr>
        <w:t xml:space="preserve">Costa Rica has a unified healthcare model and Panama </w:t>
      </w:r>
      <w:r w:rsidR="00DF308A" w:rsidRPr="00BD66CE">
        <w:rPr>
          <w:rFonts w:ascii="Verdana" w:hAnsi="Verdana"/>
        </w:rPr>
        <w:t xml:space="preserve">is </w:t>
      </w:r>
      <w:r w:rsidR="00D8545D" w:rsidRPr="00BD66CE">
        <w:rPr>
          <w:rFonts w:ascii="Verdana" w:hAnsi="Verdana"/>
        </w:rPr>
        <w:t xml:space="preserve">a segmented one, these </w:t>
      </w:r>
      <w:r w:rsidR="00DF308A" w:rsidRPr="00BD66CE">
        <w:rPr>
          <w:rFonts w:ascii="Verdana" w:hAnsi="Verdana"/>
        </w:rPr>
        <w:t xml:space="preserve">nations </w:t>
      </w:r>
      <w:r w:rsidR="00F23F89" w:rsidRPr="00BD66CE">
        <w:rPr>
          <w:rFonts w:ascii="Verdana" w:hAnsi="Verdana"/>
        </w:rPr>
        <w:t>demonstrated</w:t>
      </w:r>
      <w:r w:rsidR="00DF308A" w:rsidRPr="00BD66CE">
        <w:rPr>
          <w:rFonts w:ascii="Verdana" w:hAnsi="Verdana"/>
        </w:rPr>
        <w:t xml:space="preserve"> </w:t>
      </w:r>
      <w:r w:rsidR="00332515" w:rsidRPr="00BD66CE">
        <w:rPr>
          <w:rFonts w:ascii="Verdana" w:hAnsi="Verdana"/>
        </w:rPr>
        <w:t>expertise</w:t>
      </w:r>
      <w:r w:rsidR="00DF308A" w:rsidRPr="00BD66CE">
        <w:rPr>
          <w:rFonts w:ascii="Verdana" w:hAnsi="Verdana"/>
        </w:rPr>
        <w:t xml:space="preserve"> in preparedness and mitigation plans, </w:t>
      </w:r>
      <w:r w:rsidR="00332515" w:rsidRPr="00BD66CE">
        <w:rPr>
          <w:rFonts w:ascii="Verdana" w:hAnsi="Verdana"/>
        </w:rPr>
        <w:t>just</w:t>
      </w:r>
      <w:r w:rsidR="00DF308A" w:rsidRPr="00BD66CE">
        <w:rPr>
          <w:rFonts w:ascii="Verdana" w:hAnsi="Verdana"/>
        </w:rPr>
        <w:t xml:space="preserve"> as in the co</w:t>
      </w:r>
      <w:r w:rsidR="00EF4E6A" w:rsidRPr="00BD66CE">
        <w:rPr>
          <w:rFonts w:ascii="Verdana" w:hAnsi="Verdana"/>
        </w:rPr>
        <w:t xml:space="preserve">nsecutive phases of suppression. </w:t>
      </w:r>
      <w:r w:rsidR="00332515" w:rsidRPr="00BD66CE">
        <w:rPr>
          <w:rFonts w:ascii="Verdana" w:hAnsi="Verdana"/>
        </w:rPr>
        <w:t xml:space="preserve"> </w:t>
      </w:r>
    </w:p>
    <w:p w14:paraId="31C0ACB4" w14:textId="77777777" w:rsidR="005E1899" w:rsidRPr="00BD66CE" w:rsidRDefault="005E1899" w:rsidP="004B039C">
      <w:pPr>
        <w:pStyle w:val="MDPI31text"/>
        <w:rPr>
          <w:rFonts w:ascii="Verdana" w:hAnsi="Verdana"/>
        </w:rPr>
      </w:pPr>
    </w:p>
    <w:p w14:paraId="6389BD46" w14:textId="711EE5AB" w:rsidR="006F3E91" w:rsidRPr="00BD66CE" w:rsidRDefault="00EB3AC3" w:rsidP="005107EE">
      <w:pPr>
        <w:pStyle w:val="MDPI31text"/>
        <w:ind w:left="0" w:firstLine="510"/>
        <w:rPr>
          <w:rFonts w:ascii="Verdana" w:hAnsi="Verdana"/>
        </w:rPr>
      </w:pPr>
      <w:r w:rsidRPr="00BD66CE">
        <w:rPr>
          <w:rFonts w:ascii="Verdana" w:hAnsi="Verdana"/>
        </w:rPr>
        <w:t xml:space="preserve">With a strong envisioning and organizational structure of the public health system, </w:t>
      </w:r>
      <w:r w:rsidR="00400641" w:rsidRPr="00BD66CE">
        <w:rPr>
          <w:rFonts w:ascii="Verdana" w:hAnsi="Verdana"/>
        </w:rPr>
        <w:t>Costa Rica</w:t>
      </w:r>
      <w:r w:rsidRPr="00BD66CE">
        <w:rPr>
          <w:rFonts w:ascii="Verdana" w:hAnsi="Verdana"/>
        </w:rPr>
        <w:t xml:space="preserve"> delivered geriatric-gerontological healthcare based on community medicine by establishing longitudinal </w:t>
      </w:r>
      <w:r w:rsidR="008B7738" w:rsidRPr="00BD66CE">
        <w:rPr>
          <w:rFonts w:ascii="Verdana" w:hAnsi="Verdana"/>
        </w:rPr>
        <w:t>pathways</w:t>
      </w:r>
      <w:r w:rsidRPr="00BD66CE">
        <w:rPr>
          <w:rFonts w:ascii="Verdana" w:hAnsi="Verdana"/>
        </w:rPr>
        <w:t xml:space="preserve"> with multi-professional health teams.</w:t>
      </w:r>
      <w:r w:rsidR="000038BD" w:rsidRPr="00BD66CE">
        <w:rPr>
          <w:rFonts w:ascii="Verdana" w:hAnsi="Verdana"/>
        </w:rPr>
        <w:t xml:space="preserve"> </w:t>
      </w:r>
      <w:r w:rsidR="005E1899" w:rsidRPr="00BD66CE">
        <w:rPr>
          <w:rFonts w:ascii="Verdana" w:hAnsi="Verdana"/>
        </w:rPr>
        <w:t xml:space="preserve">Historical </w:t>
      </w:r>
      <w:r w:rsidR="00666F27" w:rsidRPr="00BD66CE">
        <w:rPr>
          <w:rFonts w:ascii="Verdana" w:hAnsi="Verdana"/>
        </w:rPr>
        <w:t>landmarks</w:t>
      </w:r>
      <w:r w:rsidR="005E1899" w:rsidRPr="00BD66CE">
        <w:rPr>
          <w:rFonts w:ascii="Verdana" w:hAnsi="Verdana"/>
        </w:rPr>
        <w:t xml:space="preserve"> separate the vision of the Costa Rican government from that of its neighboring countries. In 1940, the country decided to abolish its army and thus direct considerable public spending to the health and education sectors </w:t>
      </w:r>
      <w:r w:rsidR="00C34B2D" w:rsidRPr="00BD66CE">
        <w:rPr>
          <w:rFonts w:ascii="Verdana" w:hAnsi="Verdana"/>
        </w:rPr>
        <w:t>[115]</w:t>
      </w:r>
      <w:r w:rsidR="005E1899" w:rsidRPr="00BD66CE">
        <w:rPr>
          <w:rFonts w:ascii="Verdana" w:hAnsi="Verdana"/>
        </w:rPr>
        <w:t xml:space="preserve">. It then became clear that the best path to social progress lay in the dignity and welfare of the population; an example of this is the creation of the Costa Rican Social Security </w:t>
      </w:r>
      <w:r w:rsidR="00565F9E" w:rsidRPr="00BD66CE">
        <w:rPr>
          <w:rFonts w:ascii="Verdana" w:hAnsi="Verdana"/>
        </w:rPr>
        <w:t>Fund, which</w:t>
      </w:r>
      <w:r w:rsidR="005E1899" w:rsidRPr="00BD66CE">
        <w:rPr>
          <w:rFonts w:ascii="Verdana" w:hAnsi="Verdana"/>
        </w:rPr>
        <w:t xml:space="preserve"> manages one of the most robust public health systems in Latin </w:t>
      </w:r>
      <w:r w:rsidR="00C34B2D" w:rsidRPr="00BD66CE">
        <w:rPr>
          <w:rFonts w:ascii="Verdana" w:hAnsi="Verdana"/>
        </w:rPr>
        <w:t>America [116]</w:t>
      </w:r>
      <w:r w:rsidR="005E1899" w:rsidRPr="00BD66CE">
        <w:rPr>
          <w:rFonts w:ascii="Verdana" w:hAnsi="Verdana"/>
        </w:rPr>
        <w:t xml:space="preserve">. The presence of this </w:t>
      </w:r>
      <w:r w:rsidR="00BC3BE9" w:rsidRPr="00BD66CE">
        <w:rPr>
          <w:rFonts w:ascii="Verdana" w:hAnsi="Verdana"/>
        </w:rPr>
        <w:t xml:space="preserve">emblematic </w:t>
      </w:r>
      <w:r w:rsidR="005E1899" w:rsidRPr="00BD66CE">
        <w:rPr>
          <w:rFonts w:ascii="Verdana" w:hAnsi="Verdana"/>
        </w:rPr>
        <w:t>institution has been responsible for the most solid model of primary care in Central America, frequently featured in international reports from the WHO</w:t>
      </w:r>
      <w:r w:rsidR="00BC3BE9" w:rsidRPr="00BD66CE">
        <w:rPr>
          <w:rFonts w:ascii="Verdana" w:hAnsi="Verdana"/>
        </w:rPr>
        <w:t>/</w:t>
      </w:r>
      <w:r w:rsidR="005E1899" w:rsidRPr="00BD66CE">
        <w:rPr>
          <w:rFonts w:ascii="Verdana" w:hAnsi="Verdana"/>
        </w:rPr>
        <w:t>PAHO</w:t>
      </w:r>
      <w:r w:rsidR="00C34B2D" w:rsidRPr="00BD66CE">
        <w:rPr>
          <w:rFonts w:ascii="Verdana" w:hAnsi="Verdana"/>
        </w:rPr>
        <w:t xml:space="preserve"> [117]. </w:t>
      </w:r>
    </w:p>
    <w:p w14:paraId="5511C9A9" w14:textId="73844936" w:rsidR="004E29A7" w:rsidRPr="00BD66CE" w:rsidRDefault="004E29A7" w:rsidP="004B039C">
      <w:pPr>
        <w:pStyle w:val="MDPI31text"/>
        <w:rPr>
          <w:rFonts w:ascii="Verdana" w:hAnsi="Verdana"/>
        </w:rPr>
      </w:pPr>
    </w:p>
    <w:p w14:paraId="006A6CB0" w14:textId="5E147F27" w:rsidR="00645167" w:rsidRPr="00BD66CE" w:rsidRDefault="008C41F5" w:rsidP="005107EE">
      <w:pPr>
        <w:pStyle w:val="MDPI31text"/>
        <w:ind w:left="0" w:firstLine="510"/>
        <w:rPr>
          <w:rFonts w:ascii="Verdana" w:hAnsi="Verdana"/>
        </w:rPr>
      </w:pPr>
      <w:r w:rsidRPr="00BD66CE">
        <w:rPr>
          <w:rFonts w:ascii="Verdana" w:hAnsi="Verdana"/>
        </w:rPr>
        <w:t xml:space="preserve">Transitional laws promoted the construction of field hospitals and third-level care units for the elderly. This measure sought to </w:t>
      </w:r>
      <w:r w:rsidR="008F5916" w:rsidRPr="00BD66CE">
        <w:rPr>
          <w:rFonts w:ascii="Verdana" w:hAnsi="Verdana"/>
        </w:rPr>
        <w:t>ameliorate</w:t>
      </w:r>
      <w:r w:rsidRPr="00BD66CE">
        <w:rPr>
          <w:rFonts w:ascii="Verdana" w:hAnsi="Verdana"/>
        </w:rPr>
        <w:t xml:space="preserve"> geriatric-gerontological management in most countries in at least </w:t>
      </w:r>
      <w:r w:rsidR="00645167" w:rsidRPr="00BD66CE">
        <w:rPr>
          <w:rFonts w:ascii="Verdana" w:hAnsi="Verdana"/>
        </w:rPr>
        <w:t>two</w:t>
      </w:r>
      <w:r w:rsidRPr="00BD66CE">
        <w:rPr>
          <w:rFonts w:ascii="Verdana" w:hAnsi="Verdana"/>
        </w:rPr>
        <w:t xml:space="preserve"> main ways </w:t>
      </w:r>
      <w:r w:rsidR="00B07625" w:rsidRPr="00BD66CE">
        <w:rPr>
          <w:rFonts w:ascii="Verdana" w:hAnsi="Verdana"/>
        </w:rPr>
        <w:t>[118]</w:t>
      </w:r>
      <w:r w:rsidRPr="00BD66CE">
        <w:rPr>
          <w:rFonts w:ascii="Verdana" w:hAnsi="Verdana"/>
        </w:rPr>
        <w:t>. Firstly, reference</w:t>
      </w:r>
      <w:r w:rsidR="00045AB8" w:rsidRPr="00BD66CE">
        <w:rPr>
          <w:rFonts w:ascii="Verdana" w:hAnsi="Verdana"/>
        </w:rPr>
        <w:t>d</w:t>
      </w:r>
      <w:r w:rsidRPr="00BD66CE">
        <w:rPr>
          <w:rFonts w:ascii="Verdana" w:hAnsi="Verdana"/>
        </w:rPr>
        <w:t xml:space="preserve"> points </w:t>
      </w:r>
      <w:r w:rsidR="008F5916" w:rsidRPr="00BD66CE">
        <w:rPr>
          <w:rFonts w:ascii="Verdana" w:hAnsi="Verdana"/>
        </w:rPr>
        <w:t>streamlined</w:t>
      </w:r>
      <w:r w:rsidRPr="00BD66CE">
        <w:rPr>
          <w:rFonts w:ascii="Verdana" w:hAnsi="Verdana"/>
        </w:rPr>
        <w:t xml:space="preserve"> the routing of older patients in more aggravated conditions and avoided contact with the rest of the population, thus </w:t>
      </w:r>
      <w:r w:rsidR="008F5916" w:rsidRPr="00BD66CE">
        <w:rPr>
          <w:rFonts w:ascii="Verdana" w:hAnsi="Verdana"/>
        </w:rPr>
        <w:t>ensuring</w:t>
      </w:r>
      <w:r w:rsidRPr="00BD66CE">
        <w:rPr>
          <w:rFonts w:ascii="Verdana" w:hAnsi="Verdana"/>
        </w:rPr>
        <w:t xml:space="preserve"> integrality on both sides. This intervention also </w:t>
      </w:r>
      <w:r w:rsidR="008F5916" w:rsidRPr="00BD66CE">
        <w:rPr>
          <w:rFonts w:ascii="Verdana" w:hAnsi="Verdana"/>
        </w:rPr>
        <w:t>furnished</w:t>
      </w:r>
      <w:r w:rsidRPr="00BD66CE">
        <w:rPr>
          <w:rFonts w:ascii="Verdana" w:hAnsi="Verdana"/>
        </w:rPr>
        <w:t xml:space="preserve"> the Pathology departments with better scenarios for forensic examinations and the handling of corpses per current </w:t>
      </w:r>
      <w:r w:rsidR="00045AB8" w:rsidRPr="00BD66CE">
        <w:rPr>
          <w:rFonts w:ascii="Verdana" w:hAnsi="Verdana"/>
        </w:rPr>
        <w:t>bio</w:t>
      </w:r>
      <w:r w:rsidRPr="00BD66CE">
        <w:rPr>
          <w:rFonts w:ascii="Verdana" w:hAnsi="Verdana"/>
        </w:rPr>
        <w:t xml:space="preserve"> standards. A second positive outcome shone concerning the approach to other types of patients </w:t>
      </w:r>
      <w:r w:rsidR="00AA25C5" w:rsidRPr="00BD66CE">
        <w:rPr>
          <w:rFonts w:ascii="Verdana" w:hAnsi="Verdana"/>
        </w:rPr>
        <w:t>deemed</w:t>
      </w:r>
      <w:r w:rsidRPr="00BD66CE">
        <w:rPr>
          <w:rFonts w:ascii="Verdana" w:hAnsi="Verdana"/>
        </w:rPr>
        <w:t xml:space="preserve"> at high risk, such as pregnant women and immunocompromised persons.</w:t>
      </w:r>
      <w:r w:rsidR="00EB547C" w:rsidRPr="00BD66CE">
        <w:rPr>
          <w:rFonts w:ascii="Verdana" w:hAnsi="Verdana"/>
        </w:rPr>
        <w:t xml:space="preserve"> Thus, referral of patients to these types of geriatric clinics for COVID-19 </w:t>
      </w:r>
      <w:r w:rsidR="008F5916" w:rsidRPr="00BD66CE">
        <w:rPr>
          <w:rFonts w:ascii="Verdana" w:hAnsi="Verdana"/>
        </w:rPr>
        <w:t>served</w:t>
      </w:r>
      <w:r w:rsidR="00EB547C" w:rsidRPr="00BD66CE">
        <w:rPr>
          <w:rFonts w:ascii="Verdana" w:hAnsi="Verdana"/>
        </w:rPr>
        <w:t xml:space="preserve"> as a decreasing factor for the bed occupancy rate in the other medical centers</w:t>
      </w:r>
      <w:r w:rsidR="00AC0407" w:rsidRPr="00BD66CE">
        <w:rPr>
          <w:rFonts w:ascii="Verdana" w:hAnsi="Verdana"/>
        </w:rPr>
        <w:t xml:space="preserve">, </w:t>
      </w:r>
      <w:r w:rsidR="001A0CBB" w:rsidRPr="00BD66CE">
        <w:rPr>
          <w:rFonts w:ascii="Verdana" w:hAnsi="Verdana"/>
        </w:rPr>
        <w:t>propping</w:t>
      </w:r>
      <w:r w:rsidR="00AC0407" w:rsidRPr="00BD66CE">
        <w:rPr>
          <w:rFonts w:ascii="Verdana" w:hAnsi="Verdana"/>
        </w:rPr>
        <w:t xml:space="preserve"> the care offered to the abovementioned groups.</w:t>
      </w:r>
      <w:r w:rsidR="00645167" w:rsidRPr="00BD66CE">
        <w:rPr>
          <w:rFonts w:ascii="Verdana" w:hAnsi="Verdana"/>
        </w:rPr>
        <w:t xml:space="preserve"> Similar actions were registered in </w:t>
      </w:r>
      <w:r w:rsidR="00BA08D8" w:rsidRPr="00BD66CE">
        <w:rPr>
          <w:rFonts w:ascii="Verdana" w:hAnsi="Verdana"/>
        </w:rPr>
        <w:t xml:space="preserve">Japan </w:t>
      </w:r>
      <w:r w:rsidR="00B07625" w:rsidRPr="00BD66CE">
        <w:rPr>
          <w:rFonts w:ascii="Verdana" w:hAnsi="Verdana"/>
        </w:rPr>
        <w:t>[119]</w:t>
      </w:r>
      <w:r w:rsidR="00645167" w:rsidRPr="00BD66CE">
        <w:rPr>
          <w:rFonts w:ascii="Verdana" w:hAnsi="Verdana"/>
        </w:rPr>
        <w:t>,</w:t>
      </w:r>
      <w:r w:rsidR="00BA08D8" w:rsidRPr="00BD66CE">
        <w:rPr>
          <w:rFonts w:ascii="Verdana" w:hAnsi="Verdana"/>
        </w:rPr>
        <w:t xml:space="preserve"> China</w:t>
      </w:r>
      <w:r w:rsidR="00B07625" w:rsidRPr="00BD66CE">
        <w:rPr>
          <w:rFonts w:ascii="Verdana" w:hAnsi="Verdana"/>
        </w:rPr>
        <w:t xml:space="preserve"> [120]</w:t>
      </w:r>
      <w:r w:rsidR="00E25BC6" w:rsidRPr="00BD66CE">
        <w:rPr>
          <w:rFonts w:ascii="Verdana" w:hAnsi="Verdana"/>
        </w:rPr>
        <w:t xml:space="preserve">, and the United States of </w:t>
      </w:r>
      <w:r w:rsidR="00B07625" w:rsidRPr="00BD66CE">
        <w:rPr>
          <w:rFonts w:ascii="Verdana" w:hAnsi="Verdana"/>
        </w:rPr>
        <w:t>America [121,122]</w:t>
      </w:r>
      <w:r w:rsidR="00E25BC6" w:rsidRPr="00BD66CE">
        <w:rPr>
          <w:rFonts w:ascii="Verdana" w:hAnsi="Verdana"/>
        </w:rPr>
        <w:t>, pointing</w:t>
      </w:r>
      <w:r w:rsidR="00645167" w:rsidRPr="00BD66CE">
        <w:rPr>
          <w:rFonts w:ascii="Verdana" w:hAnsi="Verdana"/>
        </w:rPr>
        <w:t xml:space="preserve"> to the same effects seen in Central America, i.e., a significant reduction in the demand for hospital admissions due to COVID-19, which in turn allowed the care </w:t>
      </w:r>
      <w:r w:rsidR="00BE124A" w:rsidRPr="00BD66CE">
        <w:rPr>
          <w:rFonts w:ascii="Verdana" w:hAnsi="Verdana"/>
        </w:rPr>
        <w:t xml:space="preserve">flow </w:t>
      </w:r>
      <w:r w:rsidR="00645167" w:rsidRPr="00BD66CE">
        <w:rPr>
          <w:rFonts w:ascii="Verdana" w:hAnsi="Verdana"/>
        </w:rPr>
        <w:t>for other sensitive chronic diseases to be maintained.</w:t>
      </w:r>
      <w:r w:rsidR="00AE447E" w:rsidRPr="00BD66CE">
        <w:rPr>
          <w:rFonts w:ascii="Verdana" w:hAnsi="Verdana"/>
        </w:rPr>
        <w:t xml:space="preserve"> </w:t>
      </w:r>
    </w:p>
    <w:p w14:paraId="06D5058C" w14:textId="77777777" w:rsidR="00645167" w:rsidRPr="00BD66CE" w:rsidRDefault="00645167" w:rsidP="00B07A10">
      <w:pPr>
        <w:pStyle w:val="MDPI31text"/>
        <w:rPr>
          <w:rFonts w:ascii="Verdana" w:hAnsi="Verdana"/>
        </w:rPr>
      </w:pPr>
    </w:p>
    <w:p w14:paraId="780956EA" w14:textId="04887487" w:rsidR="008C12EB" w:rsidRPr="00BD66CE" w:rsidRDefault="00CA4072" w:rsidP="005107EE">
      <w:pPr>
        <w:pStyle w:val="MDPI31text"/>
        <w:ind w:left="0" w:firstLine="510"/>
        <w:rPr>
          <w:rFonts w:ascii="Verdana" w:hAnsi="Verdana"/>
        </w:rPr>
      </w:pPr>
      <w:r w:rsidRPr="00BD66CE">
        <w:rPr>
          <w:rFonts w:ascii="Verdana" w:hAnsi="Verdana"/>
        </w:rPr>
        <w:t>Admittedly, the capacity to counter public health threats left much to desire in most countries, so b</w:t>
      </w:r>
      <w:r w:rsidR="00F23F89" w:rsidRPr="00BD66CE">
        <w:rPr>
          <w:rFonts w:ascii="Verdana" w:hAnsi="Verdana"/>
        </w:rPr>
        <w:t>oth</w:t>
      </w:r>
      <w:r w:rsidR="00705CB0" w:rsidRPr="00BD66CE">
        <w:rPr>
          <w:rFonts w:ascii="Verdana" w:hAnsi="Verdana"/>
        </w:rPr>
        <w:t xml:space="preserve"> sides of the coin</w:t>
      </w:r>
      <w:r w:rsidR="00201A1A" w:rsidRPr="00BD66CE">
        <w:rPr>
          <w:rFonts w:ascii="Verdana" w:hAnsi="Verdana"/>
        </w:rPr>
        <w:t xml:space="preserve"> </w:t>
      </w:r>
      <w:r w:rsidR="0022186E" w:rsidRPr="00BD66CE">
        <w:rPr>
          <w:rFonts w:ascii="Verdana" w:hAnsi="Verdana"/>
        </w:rPr>
        <w:t>deserve mentioning</w:t>
      </w:r>
      <w:r w:rsidR="00075AB4" w:rsidRPr="00BD66CE">
        <w:rPr>
          <w:rFonts w:ascii="Verdana" w:hAnsi="Verdana"/>
        </w:rPr>
        <w:t xml:space="preserve">. </w:t>
      </w:r>
      <w:r w:rsidR="00DC5D40" w:rsidRPr="00BD66CE">
        <w:rPr>
          <w:rFonts w:ascii="Verdana" w:hAnsi="Verdana"/>
        </w:rPr>
        <w:t>Primarily</w:t>
      </w:r>
      <w:r w:rsidR="004337AE" w:rsidRPr="00BD66CE">
        <w:rPr>
          <w:rFonts w:ascii="Verdana" w:hAnsi="Verdana"/>
        </w:rPr>
        <w:t xml:space="preserve">, health information systems in Central American countries </w:t>
      </w:r>
      <w:r w:rsidR="009A61C5" w:rsidRPr="00BD66CE">
        <w:rPr>
          <w:rFonts w:ascii="Verdana" w:hAnsi="Verdana"/>
        </w:rPr>
        <w:t>seem</w:t>
      </w:r>
      <w:r w:rsidR="004337AE" w:rsidRPr="00BD66CE">
        <w:rPr>
          <w:rFonts w:ascii="Verdana" w:hAnsi="Verdana"/>
        </w:rPr>
        <w:t xml:space="preserve"> designed </w:t>
      </w:r>
      <w:r w:rsidR="006D5BBB" w:rsidRPr="00BD66CE">
        <w:rPr>
          <w:rFonts w:ascii="Verdana" w:hAnsi="Verdana"/>
        </w:rPr>
        <w:t>to meet expected demand, and in some cases, an out</w:t>
      </w:r>
      <w:r w:rsidR="00F3575D" w:rsidRPr="00BD66CE">
        <w:rPr>
          <w:rFonts w:ascii="Verdana" w:hAnsi="Verdana"/>
        </w:rPr>
        <w:t>ranging</w:t>
      </w:r>
      <w:r w:rsidR="006D5BBB" w:rsidRPr="00BD66CE">
        <w:rPr>
          <w:rFonts w:ascii="Verdana" w:hAnsi="Verdana"/>
        </w:rPr>
        <w:t xml:space="preserve"> one, but they do not comport the capabilities to cope with exponentially unforeseen </w:t>
      </w:r>
      <w:r w:rsidR="003F5DAE" w:rsidRPr="00BD66CE">
        <w:rPr>
          <w:rFonts w:ascii="Verdana" w:hAnsi="Verdana"/>
        </w:rPr>
        <w:t>workflow</w:t>
      </w:r>
      <w:r w:rsidR="00075AB4" w:rsidRPr="00BD66CE">
        <w:rPr>
          <w:rFonts w:ascii="Verdana" w:hAnsi="Verdana"/>
        </w:rPr>
        <w:t xml:space="preserve"> </w:t>
      </w:r>
      <w:r w:rsidR="0088176D" w:rsidRPr="00BD66CE">
        <w:rPr>
          <w:rFonts w:ascii="Verdana" w:hAnsi="Verdana"/>
        </w:rPr>
        <w:t>[112]</w:t>
      </w:r>
      <w:r w:rsidR="006D5BBB" w:rsidRPr="00BD66CE">
        <w:rPr>
          <w:rFonts w:ascii="Verdana" w:hAnsi="Verdana"/>
        </w:rPr>
        <w:t xml:space="preserve">. </w:t>
      </w:r>
      <w:r w:rsidR="00500131" w:rsidRPr="00BD66CE">
        <w:rPr>
          <w:rFonts w:ascii="Verdana" w:hAnsi="Verdana"/>
        </w:rPr>
        <w:t xml:space="preserve">It should not come </w:t>
      </w:r>
      <w:r w:rsidR="00E65492" w:rsidRPr="00BD66CE">
        <w:rPr>
          <w:rFonts w:ascii="Verdana" w:hAnsi="Verdana"/>
        </w:rPr>
        <w:t>as</w:t>
      </w:r>
      <w:r w:rsidR="00500131" w:rsidRPr="00BD66CE">
        <w:rPr>
          <w:rFonts w:ascii="Verdana" w:hAnsi="Verdana"/>
        </w:rPr>
        <w:t xml:space="preserve"> a surprise</w:t>
      </w:r>
      <w:r w:rsidR="00E65492" w:rsidRPr="00BD66CE">
        <w:rPr>
          <w:rFonts w:ascii="Verdana" w:hAnsi="Verdana"/>
        </w:rPr>
        <w:t>,</w:t>
      </w:r>
      <w:r w:rsidR="00500131" w:rsidRPr="00BD66CE">
        <w:rPr>
          <w:rFonts w:ascii="Verdana" w:hAnsi="Verdana"/>
        </w:rPr>
        <w:t xml:space="preserve"> at least for two reasons</w:t>
      </w:r>
      <w:r w:rsidR="006D5BBB" w:rsidRPr="00BD66CE">
        <w:rPr>
          <w:rFonts w:ascii="Verdana" w:hAnsi="Verdana"/>
        </w:rPr>
        <w:t xml:space="preserve">. </w:t>
      </w:r>
      <w:r w:rsidR="00201A1A" w:rsidRPr="00BD66CE">
        <w:rPr>
          <w:rFonts w:ascii="Verdana" w:hAnsi="Verdana"/>
        </w:rPr>
        <w:t>The</w:t>
      </w:r>
      <w:r w:rsidR="006D5BBB" w:rsidRPr="00BD66CE">
        <w:rPr>
          <w:rFonts w:ascii="Verdana" w:hAnsi="Verdana"/>
        </w:rPr>
        <w:t xml:space="preserve"> first </w:t>
      </w:r>
      <w:r w:rsidR="007C5797" w:rsidRPr="00BD66CE">
        <w:rPr>
          <w:rFonts w:ascii="Verdana" w:hAnsi="Verdana"/>
        </w:rPr>
        <w:t>supports</w:t>
      </w:r>
      <w:r w:rsidR="006D5BBB" w:rsidRPr="00BD66CE">
        <w:rPr>
          <w:rFonts w:ascii="Verdana" w:hAnsi="Verdana"/>
        </w:rPr>
        <w:t xml:space="preserve"> demographic principles that describe the density of health professionals in contrast to the gross population. T</w:t>
      </w:r>
      <w:r w:rsidR="00E41F99" w:rsidRPr="00BD66CE">
        <w:rPr>
          <w:rFonts w:ascii="Verdana" w:hAnsi="Verdana"/>
        </w:rPr>
        <w:t>heoretically</w:t>
      </w:r>
      <w:r w:rsidR="006D5BBB" w:rsidRPr="00BD66CE">
        <w:rPr>
          <w:rFonts w:ascii="Verdana" w:hAnsi="Verdana"/>
        </w:rPr>
        <w:t xml:space="preserve">, countries with smaller populations </w:t>
      </w:r>
      <w:r w:rsidR="004846A6" w:rsidRPr="00BD66CE">
        <w:rPr>
          <w:rFonts w:ascii="Verdana" w:hAnsi="Verdana"/>
        </w:rPr>
        <w:t xml:space="preserve">(i.e., Belize, Costa Rica, and El Salvador) </w:t>
      </w:r>
      <w:r w:rsidR="006D5BBB" w:rsidRPr="00BD66CE">
        <w:rPr>
          <w:rFonts w:ascii="Verdana" w:hAnsi="Verdana"/>
        </w:rPr>
        <w:t xml:space="preserve">would require </w:t>
      </w:r>
      <w:r w:rsidR="009A61C5" w:rsidRPr="00BD66CE">
        <w:rPr>
          <w:rFonts w:ascii="Verdana" w:hAnsi="Verdana"/>
        </w:rPr>
        <w:t>fewer</w:t>
      </w:r>
      <w:r w:rsidR="006D5BBB" w:rsidRPr="00BD66CE">
        <w:rPr>
          <w:rFonts w:ascii="Verdana" w:hAnsi="Verdana"/>
        </w:rPr>
        <w:t xml:space="preserve"> </w:t>
      </w:r>
      <w:r w:rsidR="00E41F99" w:rsidRPr="00BD66CE">
        <w:rPr>
          <w:rFonts w:ascii="Verdana" w:hAnsi="Verdana"/>
        </w:rPr>
        <w:t xml:space="preserve">hospital admissions and </w:t>
      </w:r>
      <w:r w:rsidR="006D5BBB" w:rsidRPr="00BD66CE">
        <w:rPr>
          <w:rFonts w:ascii="Verdana" w:hAnsi="Verdana"/>
        </w:rPr>
        <w:t>reporting capacity than neighboring countries with larger populations</w:t>
      </w:r>
      <w:r w:rsidR="004846A6" w:rsidRPr="00BD66CE">
        <w:rPr>
          <w:rFonts w:ascii="Verdana" w:hAnsi="Verdana"/>
        </w:rPr>
        <w:t xml:space="preserve"> (i.e., Guatemala and Nicaragua)</w:t>
      </w:r>
      <w:r w:rsidR="006D5BBB" w:rsidRPr="00BD66CE">
        <w:rPr>
          <w:rFonts w:ascii="Verdana" w:hAnsi="Verdana"/>
        </w:rPr>
        <w:t>.</w:t>
      </w:r>
      <w:r w:rsidR="00DC5D40" w:rsidRPr="00BD66CE">
        <w:rPr>
          <w:rFonts w:ascii="Verdana" w:hAnsi="Verdana"/>
        </w:rPr>
        <w:t xml:space="preserve"> Notwithstanding, such an assumption </w:t>
      </w:r>
      <w:r w:rsidR="009A61C5" w:rsidRPr="00BD66CE">
        <w:rPr>
          <w:rFonts w:ascii="Verdana" w:hAnsi="Verdana"/>
        </w:rPr>
        <w:t>comes</w:t>
      </w:r>
      <w:r w:rsidR="00400641" w:rsidRPr="00BD66CE">
        <w:rPr>
          <w:rFonts w:ascii="Verdana" w:hAnsi="Verdana"/>
        </w:rPr>
        <w:t xml:space="preserve"> </w:t>
      </w:r>
      <w:r w:rsidR="00DC5D40" w:rsidRPr="00BD66CE">
        <w:rPr>
          <w:rFonts w:ascii="Verdana" w:hAnsi="Verdana"/>
        </w:rPr>
        <w:t>reject</w:t>
      </w:r>
      <w:r w:rsidR="00201A1A" w:rsidRPr="00BD66CE">
        <w:rPr>
          <w:rFonts w:ascii="Verdana" w:hAnsi="Verdana"/>
        </w:rPr>
        <w:t>able</w:t>
      </w:r>
      <w:r w:rsidR="00DC5D40" w:rsidRPr="00BD66CE">
        <w:rPr>
          <w:rFonts w:ascii="Verdana" w:hAnsi="Verdana"/>
        </w:rPr>
        <w:t xml:space="preserve"> when considering developed countries such as the United States</w:t>
      </w:r>
      <w:r w:rsidR="007C5797" w:rsidRPr="00BD66CE">
        <w:rPr>
          <w:rFonts w:ascii="Verdana" w:hAnsi="Verdana"/>
        </w:rPr>
        <w:t xml:space="preserve"> of America</w:t>
      </w:r>
      <w:r w:rsidR="00DC5D40" w:rsidRPr="00BD66CE">
        <w:rPr>
          <w:rFonts w:ascii="Verdana" w:hAnsi="Verdana"/>
        </w:rPr>
        <w:t>, England, Spain, Italy</w:t>
      </w:r>
      <w:r w:rsidR="00E65492" w:rsidRPr="00BD66CE">
        <w:rPr>
          <w:rFonts w:ascii="Verdana" w:hAnsi="Verdana"/>
        </w:rPr>
        <w:t>,</w:t>
      </w:r>
      <w:r w:rsidR="00DC5D40" w:rsidRPr="00BD66CE">
        <w:rPr>
          <w:rFonts w:ascii="Verdana" w:hAnsi="Verdana"/>
        </w:rPr>
        <w:t xml:space="preserve"> and Japan also </w:t>
      </w:r>
      <w:r w:rsidR="001436FB" w:rsidRPr="00BD66CE">
        <w:rPr>
          <w:rFonts w:ascii="Verdana" w:hAnsi="Verdana"/>
        </w:rPr>
        <w:t xml:space="preserve">acknowledged having the </w:t>
      </w:r>
      <w:r w:rsidR="003443CC" w:rsidRPr="00BD66CE">
        <w:rPr>
          <w:rFonts w:ascii="Verdana" w:hAnsi="Verdana"/>
        </w:rPr>
        <w:t>said</w:t>
      </w:r>
      <w:r w:rsidR="00E41F99" w:rsidRPr="00BD66CE">
        <w:rPr>
          <w:rFonts w:ascii="Verdana" w:hAnsi="Verdana"/>
        </w:rPr>
        <w:t xml:space="preserve"> difficulties</w:t>
      </w:r>
      <w:r w:rsidR="001436FB" w:rsidRPr="00BD66CE">
        <w:rPr>
          <w:rFonts w:ascii="Verdana" w:hAnsi="Verdana"/>
        </w:rPr>
        <w:t xml:space="preserve"> during the pandemic</w:t>
      </w:r>
      <w:r w:rsidR="0088176D" w:rsidRPr="00BD66CE">
        <w:rPr>
          <w:rFonts w:ascii="Verdana" w:hAnsi="Verdana"/>
        </w:rPr>
        <w:t xml:space="preserve"> [123,124]. </w:t>
      </w:r>
    </w:p>
    <w:p w14:paraId="52C41228" w14:textId="77777777" w:rsidR="00F23F89" w:rsidRPr="00BD66CE" w:rsidRDefault="00F23F89" w:rsidP="00F23F89">
      <w:pPr>
        <w:pStyle w:val="MDPI31text"/>
        <w:rPr>
          <w:rFonts w:ascii="Verdana" w:hAnsi="Verdana"/>
        </w:rPr>
      </w:pPr>
    </w:p>
    <w:p w14:paraId="5E4317F6" w14:textId="4C778EFA" w:rsidR="000F3929" w:rsidRPr="00BD66CE" w:rsidRDefault="001436FB" w:rsidP="005107EE">
      <w:pPr>
        <w:pStyle w:val="MDPI31text"/>
        <w:ind w:left="0" w:firstLine="510"/>
        <w:rPr>
          <w:rFonts w:ascii="Verdana" w:hAnsi="Verdana"/>
        </w:rPr>
      </w:pPr>
      <w:r w:rsidRPr="00BD66CE">
        <w:rPr>
          <w:rFonts w:ascii="Verdana" w:hAnsi="Verdana"/>
        </w:rPr>
        <w:t xml:space="preserve">A second explanation </w:t>
      </w:r>
      <w:r w:rsidR="00201A1A" w:rsidRPr="00BD66CE">
        <w:rPr>
          <w:rFonts w:ascii="Verdana" w:hAnsi="Verdana"/>
        </w:rPr>
        <w:t>of</w:t>
      </w:r>
      <w:r w:rsidRPr="00BD66CE">
        <w:rPr>
          <w:rFonts w:ascii="Verdana" w:hAnsi="Verdana"/>
        </w:rPr>
        <w:t xml:space="preserve"> the problem </w:t>
      </w:r>
      <w:r w:rsidR="004846A6" w:rsidRPr="00BD66CE">
        <w:rPr>
          <w:rFonts w:ascii="Verdana" w:hAnsi="Verdana"/>
        </w:rPr>
        <w:t>positioned</w:t>
      </w:r>
      <w:r w:rsidRPr="00BD66CE">
        <w:rPr>
          <w:rFonts w:ascii="Verdana" w:hAnsi="Verdana"/>
        </w:rPr>
        <w:t xml:space="preserve"> </w:t>
      </w:r>
      <w:r w:rsidR="004846A6" w:rsidRPr="00BD66CE">
        <w:rPr>
          <w:rFonts w:ascii="Verdana" w:hAnsi="Verdana"/>
        </w:rPr>
        <w:t>bears</w:t>
      </w:r>
      <w:r w:rsidR="003443CC" w:rsidRPr="00BD66CE">
        <w:rPr>
          <w:rFonts w:ascii="Verdana" w:hAnsi="Verdana"/>
        </w:rPr>
        <w:t xml:space="preserve"> precisely a </w:t>
      </w:r>
      <w:r w:rsidR="00F3575D" w:rsidRPr="00BD66CE">
        <w:rPr>
          <w:rFonts w:ascii="Verdana" w:hAnsi="Verdana"/>
        </w:rPr>
        <w:t>complementary</w:t>
      </w:r>
      <w:r w:rsidR="003443CC" w:rsidRPr="00BD66CE">
        <w:rPr>
          <w:rFonts w:ascii="Verdana" w:hAnsi="Verdana"/>
        </w:rPr>
        <w:t xml:space="preserve"> answer since </w:t>
      </w:r>
      <w:r w:rsidR="007440AA" w:rsidRPr="00BD66CE">
        <w:rPr>
          <w:rFonts w:ascii="Verdana" w:hAnsi="Verdana"/>
        </w:rPr>
        <w:t>some</w:t>
      </w:r>
      <w:r w:rsidR="003443CC" w:rsidRPr="00BD66CE">
        <w:rPr>
          <w:rFonts w:ascii="Verdana" w:hAnsi="Verdana"/>
        </w:rPr>
        <w:t xml:space="preserve"> authors defend the idea that the monitoring of infectious-contagious diseases, as in the case of </w:t>
      </w:r>
      <w:r w:rsidR="003443CC" w:rsidRPr="00BD66CE">
        <w:rPr>
          <w:rFonts w:ascii="Verdana" w:hAnsi="Verdana"/>
        </w:rPr>
        <w:lastRenderedPageBreak/>
        <w:t xml:space="preserve">COVID-19, is not </w:t>
      </w:r>
      <w:r w:rsidR="00DA0FFF" w:rsidRPr="00BD66CE">
        <w:rPr>
          <w:rFonts w:ascii="Verdana" w:hAnsi="Verdana"/>
        </w:rPr>
        <w:t xml:space="preserve">only </w:t>
      </w:r>
      <w:r w:rsidR="003443CC" w:rsidRPr="00BD66CE">
        <w:rPr>
          <w:rFonts w:ascii="Verdana" w:hAnsi="Verdana"/>
        </w:rPr>
        <w:t xml:space="preserve">dependent on the variables of completeness or accuracy of medical records. For them, the existing inequalities in the territories must be taken into account as they directly influence the </w:t>
      </w:r>
      <w:r w:rsidR="007440AA" w:rsidRPr="00BD66CE">
        <w:rPr>
          <w:rFonts w:ascii="Verdana" w:hAnsi="Verdana"/>
        </w:rPr>
        <w:t>underreporting</w:t>
      </w:r>
      <w:r w:rsidR="003443CC" w:rsidRPr="00BD66CE">
        <w:rPr>
          <w:rFonts w:ascii="Verdana" w:hAnsi="Verdana"/>
        </w:rPr>
        <w:t xml:space="preserve"> rates, as well as </w:t>
      </w:r>
      <w:r w:rsidR="007C5797" w:rsidRPr="00BD66CE">
        <w:rPr>
          <w:rFonts w:ascii="Verdana" w:hAnsi="Verdana"/>
        </w:rPr>
        <w:t>veil</w:t>
      </w:r>
      <w:r w:rsidR="003443CC" w:rsidRPr="00BD66CE">
        <w:rPr>
          <w:rFonts w:ascii="Verdana" w:hAnsi="Verdana"/>
        </w:rPr>
        <w:t xml:space="preserve"> the real impact of this type of </w:t>
      </w:r>
      <w:r w:rsidR="00500131" w:rsidRPr="00BD66CE">
        <w:rPr>
          <w:rFonts w:ascii="Verdana" w:hAnsi="Verdana"/>
        </w:rPr>
        <w:t>ailments</w:t>
      </w:r>
      <w:r w:rsidR="00A310B1" w:rsidRPr="00BD66CE">
        <w:rPr>
          <w:rFonts w:ascii="Verdana" w:hAnsi="Verdana"/>
        </w:rPr>
        <w:t xml:space="preserve"> </w:t>
      </w:r>
      <w:r w:rsidR="0088176D" w:rsidRPr="00BD66CE">
        <w:rPr>
          <w:rFonts w:ascii="Verdana" w:hAnsi="Verdana"/>
        </w:rPr>
        <w:t>[123,125,126]</w:t>
      </w:r>
      <w:r w:rsidR="003443CC" w:rsidRPr="00BD66CE">
        <w:rPr>
          <w:rFonts w:ascii="Verdana" w:hAnsi="Verdana"/>
        </w:rPr>
        <w:t xml:space="preserve">. Thus, the immediate </w:t>
      </w:r>
      <w:r w:rsidR="00D465F1" w:rsidRPr="00BD66CE">
        <w:rPr>
          <w:rFonts w:ascii="Verdana" w:hAnsi="Verdana"/>
        </w:rPr>
        <w:t>direction</w:t>
      </w:r>
      <w:r w:rsidR="003443CC" w:rsidRPr="00BD66CE">
        <w:rPr>
          <w:rFonts w:ascii="Verdana" w:hAnsi="Verdana"/>
        </w:rPr>
        <w:t xml:space="preserve"> would be to make notifications on a defined time basis, i.e., following the pattern of the epidemiological year, </w:t>
      </w:r>
      <w:r w:rsidR="007440AA" w:rsidRPr="00BD66CE">
        <w:rPr>
          <w:rFonts w:ascii="Verdana" w:hAnsi="Verdana"/>
        </w:rPr>
        <w:t>rendering</w:t>
      </w:r>
      <w:r w:rsidR="003443CC" w:rsidRPr="00BD66CE">
        <w:rPr>
          <w:rFonts w:ascii="Verdana" w:hAnsi="Verdana"/>
        </w:rPr>
        <w:t xml:space="preserve"> special attention to areas with lower health coverage and to underlying variables such as ethnicity, gender, age</w:t>
      </w:r>
      <w:r w:rsidR="00D465F1" w:rsidRPr="00BD66CE">
        <w:rPr>
          <w:rFonts w:ascii="Verdana" w:hAnsi="Verdana"/>
        </w:rPr>
        <w:t>,</w:t>
      </w:r>
      <w:r w:rsidR="003443CC" w:rsidRPr="00BD66CE">
        <w:rPr>
          <w:rFonts w:ascii="Verdana" w:hAnsi="Verdana"/>
        </w:rPr>
        <w:t xml:space="preserve"> and socioeconomic </w:t>
      </w:r>
      <w:r w:rsidR="00D465F1" w:rsidRPr="00BD66CE">
        <w:rPr>
          <w:rFonts w:ascii="Verdana" w:hAnsi="Verdana"/>
        </w:rPr>
        <w:t>menace</w:t>
      </w:r>
      <w:r w:rsidR="003443CC" w:rsidRPr="00BD66CE">
        <w:rPr>
          <w:rFonts w:ascii="Verdana" w:hAnsi="Verdana"/>
        </w:rPr>
        <w:t xml:space="preserve">. </w:t>
      </w:r>
      <w:r w:rsidR="00D465F1" w:rsidRPr="00BD66CE">
        <w:rPr>
          <w:rFonts w:ascii="Verdana" w:hAnsi="Verdana"/>
        </w:rPr>
        <w:t>T</w:t>
      </w:r>
      <w:r w:rsidR="003443CC" w:rsidRPr="00BD66CE">
        <w:rPr>
          <w:rFonts w:ascii="Verdana" w:hAnsi="Verdana"/>
        </w:rPr>
        <w:t xml:space="preserve">his way, epidemiological surveillance systems would </w:t>
      </w:r>
      <w:r w:rsidR="0022186E" w:rsidRPr="00BD66CE">
        <w:rPr>
          <w:rFonts w:ascii="Verdana" w:hAnsi="Verdana"/>
        </w:rPr>
        <w:t>benefit from</w:t>
      </w:r>
      <w:r w:rsidR="003443CC" w:rsidRPr="00BD66CE">
        <w:rPr>
          <w:rFonts w:ascii="Verdana" w:hAnsi="Verdana"/>
        </w:rPr>
        <w:t xml:space="preserve"> accurate national cutoffs </w:t>
      </w:r>
      <w:r w:rsidR="00F23F89" w:rsidRPr="00BD66CE">
        <w:rPr>
          <w:rFonts w:ascii="Verdana" w:hAnsi="Verdana"/>
        </w:rPr>
        <w:t>amid</w:t>
      </w:r>
      <w:r w:rsidR="003443CC" w:rsidRPr="00BD66CE">
        <w:rPr>
          <w:rFonts w:ascii="Verdana" w:hAnsi="Verdana"/>
        </w:rPr>
        <w:t xml:space="preserve"> unexpected emergencies.</w:t>
      </w:r>
      <w:r w:rsidR="00D465F1" w:rsidRPr="00BD66CE">
        <w:rPr>
          <w:rFonts w:ascii="Verdana" w:hAnsi="Verdana"/>
        </w:rPr>
        <w:t xml:space="preserve"> </w:t>
      </w:r>
    </w:p>
    <w:p w14:paraId="30FAAAEA" w14:textId="10228F67" w:rsidR="00705CB0" w:rsidRPr="00BD66CE" w:rsidRDefault="007440AA" w:rsidP="00201A1A">
      <w:pPr>
        <w:pStyle w:val="MDPI31text"/>
        <w:rPr>
          <w:rFonts w:ascii="Verdana" w:hAnsi="Verdana"/>
        </w:rPr>
      </w:pPr>
      <w:r w:rsidRPr="00BD66CE">
        <w:rPr>
          <w:rFonts w:ascii="Verdana" w:hAnsi="Verdana"/>
        </w:rPr>
        <w:t xml:space="preserve"> </w:t>
      </w:r>
    </w:p>
    <w:p w14:paraId="5F8E2E4E" w14:textId="2BA603CE" w:rsidR="00922C00" w:rsidRPr="00BD66CE" w:rsidRDefault="00090311" w:rsidP="005107EE">
      <w:pPr>
        <w:pStyle w:val="MDPI31text"/>
        <w:ind w:left="0" w:firstLine="510"/>
        <w:rPr>
          <w:rFonts w:ascii="Verdana" w:hAnsi="Verdana"/>
          <w:color w:val="000000" w:themeColor="text1"/>
        </w:rPr>
      </w:pPr>
      <w:r w:rsidRPr="00BD66CE">
        <w:rPr>
          <w:rFonts w:ascii="Verdana" w:hAnsi="Verdana"/>
          <w:color w:val="000000" w:themeColor="text1"/>
        </w:rPr>
        <w:t>In this review, we found regional and national guidelines for the complexity contained within the sociodemographic variable of race, although its inclusion in the several epidemiological bulletins surveyed was not corroborated. From a public health outlook, we consider this an extremely relevant element, as it allows public policymakers to infer the impact of infectious diseases among elderly individuals from diverse racial contexts. Along that thought, a recently published study estimated the ethnic diversity ongoing in Central America based on a comprehensive review of the last five censuses in each country. Its results point out the existence of 64 ethnic and 30 Afro-descendant groups, which amplifies the need to include the race variable as mandatory data in all public reports in the health and social field</w:t>
      </w:r>
      <w:r w:rsidR="00500131" w:rsidRPr="00BD66CE">
        <w:rPr>
          <w:rFonts w:ascii="Verdana" w:hAnsi="Verdana"/>
          <w:color w:val="000000" w:themeColor="text1"/>
        </w:rPr>
        <w:t>s</w:t>
      </w:r>
      <w:r w:rsidRPr="00BD66CE">
        <w:rPr>
          <w:rFonts w:ascii="Verdana" w:hAnsi="Verdana"/>
          <w:color w:val="000000" w:themeColor="text1"/>
        </w:rPr>
        <w:t xml:space="preserve"> </w:t>
      </w:r>
      <w:r w:rsidR="0088176D" w:rsidRPr="00BD66CE">
        <w:rPr>
          <w:rFonts w:ascii="Verdana" w:hAnsi="Verdana"/>
          <w:color w:val="000000" w:themeColor="text1"/>
        </w:rPr>
        <w:t xml:space="preserve">[127]. </w:t>
      </w:r>
    </w:p>
    <w:p w14:paraId="59A73D69" w14:textId="77777777" w:rsidR="008C12EB" w:rsidRPr="00BD66CE" w:rsidRDefault="008C12EB" w:rsidP="00F3575D">
      <w:pPr>
        <w:pStyle w:val="MDPI31text"/>
        <w:rPr>
          <w:rFonts w:ascii="Verdana" w:hAnsi="Verdana"/>
          <w:color w:val="000000" w:themeColor="text1"/>
        </w:rPr>
      </w:pPr>
    </w:p>
    <w:p w14:paraId="50F284EB" w14:textId="6F896EB8" w:rsidR="004252A4" w:rsidRPr="00BD66CE" w:rsidRDefault="002863E9" w:rsidP="005107EE">
      <w:pPr>
        <w:pStyle w:val="MDPI31text"/>
        <w:ind w:left="0" w:firstLine="510"/>
        <w:rPr>
          <w:rFonts w:ascii="Verdana" w:hAnsi="Verdana"/>
          <w:color w:val="000000" w:themeColor="text1"/>
        </w:rPr>
      </w:pPr>
      <w:r w:rsidRPr="00BD66CE">
        <w:rPr>
          <w:rFonts w:ascii="Verdana" w:hAnsi="Verdana"/>
          <w:color w:val="000000" w:themeColor="text1"/>
        </w:rPr>
        <w:t xml:space="preserve">This matter </w:t>
      </w:r>
      <w:r w:rsidR="00CF5600" w:rsidRPr="00BD66CE">
        <w:rPr>
          <w:rFonts w:ascii="Verdana" w:hAnsi="Verdana"/>
          <w:color w:val="000000" w:themeColor="text1"/>
        </w:rPr>
        <w:t xml:space="preserve">correspondingly </w:t>
      </w:r>
      <w:r w:rsidRPr="00BD66CE">
        <w:rPr>
          <w:rFonts w:ascii="Verdana" w:hAnsi="Verdana"/>
          <w:color w:val="000000" w:themeColor="text1"/>
        </w:rPr>
        <w:t xml:space="preserve">prompted ECLAC to make a swift pronouncement in the form of a guideline to Latin American countries so that they would not overlook the fact that the elderly, indigenous, and Afro-descendant peoples were at high hygienic risk for contagions and death </w:t>
      </w:r>
      <w:r w:rsidR="0088176D" w:rsidRPr="00BD66CE">
        <w:rPr>
          <w:rFonts w:ascii="Verdana" w:hAnsi="Verdana"/>
          <w:color w:val="000000" w:themeColor="text1"/>
        </w:rPr>
        <w:t>[128]</w:t>
      </w:r>
      <w:r w:rsidRPr="00BD66CE">
        <w:rPr>
          <w:rFonts w:ascii="Verdana" w:hAnsi="Verdana"/>
          <w:color w:val="000000" w:themeColor="text1"/>
        </w:rPr>
        <w:t xml:space="preserve">. Specifically, the document recognizes the productive dynamics within traditional cultures, where older persons play an active role until old age and the very understanding of old age itself gains a myriad of meanings, all equally valid. </w:t>
      </w:r>
      <w:r w:rsidR="00EE1360" w:rsidRPr="00BD66CE">
        <w:rPr>
          <w:rFonts w:ascii="Verdana" w:hAnsi="Verdana"/>
          <w:color w:val="000000" w:themeColor="text1"/>
        </w:rPr>
        <w:t xml:space="preserve">In addition to the loss of loved ones, COVID-19 triggered the discontinuity of the knowledge and social practices that constitute the heart of native Central American communities, given that elders are generally seen as the holders of ancestral knowledge, playing leadership roles, </w:t>
      </w:r>
      <w:r w:rsidR="000B505A" w:rsidRPr="00BD66CE">
        <w:rPr>
          <w:rFonts w:ascii="Verdana" w:hAnsi="Verdana"/>
          <w:color w:val="000000" w:themeColor="text1"/>
        </w:rPr>
        <w:t>also</w:t>
      </w:r>
      <w:r w:rsidR="00EE1360" w:rsidRPr="00BD66CE">
        <w:rPr>
          <w:rFonts w:ascii="Verdana" w:hAnsi="Verdana"/>
          <w:color w:val="000000" w:themeColor="text1"/>
        </w:rPr>
        <w:t xml:space="preserve"> as spiritual advisors</w:t>
      </w:r>
      <w:r w:rsidR="00CF5600" w:rsidRPr="00BD66CE">
        <w:rPr>
          <w:rFonts w:ascii="Verdana" w:hAnsi="Verdana"/>
          <w:color w:val="000000" w:themeColor="text1"/>
        </w:rPr>
        <w:t>,</w:t>
      </w:r>
      <w:r w:rsidR="00EE1360" w:rsidRPr="00BD66CE">
        <w:rPr>
          <w:rFonts w:ascii="Verdana" w:hAnsi="Verdana"/>
          <w:color w:val="000000" w:themeColor="text1"/>
        </w:rPr>
        <w:t xml:space="preserve"> and traditional medicine referents </w:t>
      </w:r>
      <w:r w:rsidR="00BA0D76" w:rsidRPr="00BD66CE">
        <w:rPr>
          <w:rFonts w:ascii="Verdana" w:hAnsi="Verdana"/>
          <w:color w:val="000000" w:themeColor="text1"/>
        </w:rPr>
        <w:t>[129]</w:t>
      </w:r>
      <w:r w:rsidR="00EE1360" w:rsidRPr="00BD66CE">
        <w:rPr>
          <w:rFonts w:ascii="Verdana" w:hAnsi="Verdana"/>
          <w:color w:val="000000" w:themeColor="text1"/>
        </w:rPr>
        <w:t>.</w:t>
      </w:r>
      <w:r w:rsidR="00586690" w:rsidRPr="00BD66CE">
        <w:rPr>
          <w:rFonts w:ascii="Verdana" w:hAnsi="Verdana"/>
          <w:color w:val="000000" w:themeColor="text1"/>
        </w:rPr>
        <w:t xml:space="preserve"> </w:t>
      </w:r>
      <w:r w:rsidR="008C12EB" w:rsidRPr="00BD66CE">
        <w:rPr>
          <w:rFonts w:ascii="Verdana" w:hAnsi="Verdana"/>
          <w:color w:val="000000" w:themeColor="text1"/>
        </w:rPr>
        <w:t xml:space="preserve">Nevertheless, the pandemic management in native populations has </w:t>
      </w:r>
      <w:r w:rsidR="00CF5600" w:rsidRPr="00BD66CE">
        <w:rPr>
          <w:rFonts w:ascii="Verdana" w:hAnsi="Verdana"/>
          <w:color w:val="000000" w:themeColor="text1"/>
        </w:rPr>
        <w:t>flagged</w:t>
      </w:r>
      <w:r w:rsidR="008C12EB" w:rsidRPr="00BD66CE">
        <w:rPr>
          <w:rFonts w:ascii="Verdana" w:hAnsi="Verdana"/>
          <w:color w:val="000000" w:themeColor="text1"/>
        </w:rPr>
        <w:t xml:space="preserve"> a series of anthropological and bioethical considerations, mainly due to</w:t>
      </w:r>
      <w:r w:rsidR="00B16116" w:rsidRPr="00BD66CE">
        <w:rPr>
          <w:rFonts w:ascii="Verdana" w:hAnsi="Verdana"/>
          <w:color w:val="000000" w:themeColor="text1"/>
        </w:rPr>
        <w:t xml:space="preserve"> </w:t>
      </w:r>
      <w:r w:rsidR="008C12EB" w:rsidRPr="00BD66CE">
        <w:rPr>
          <w:rFonts w:ascii="Verdana" w:hAnsi="Verdana"/>
          <w:color w:val="000000" w:themeColor="text1"/>
        </w:rPr>
        <w:t xml:space="preserve">vaccination being the </w:t>
      </w:r>
      <w:r w:rsidR="00500131" w:rsidRPr="00BD66CE">
        <w:rPr>
          <w:rFonts w:ascii="Verdana" w:hAnsi="Verdana"/>
          <w:color w:val="000000" w:themeColor="text1"/>
        </w:rPr>
        <w:t xml:space="preserve">most effective </w:t>
      </w:r>
      <w:r w:rsidR="008C12EB" w:rsidRPr="00BD66CE">
        <w:rPr>
          <w:rFonts w:ascii="Verdana" w:hAnsi="Verdana"/>
          <w:color w:val="000000" w:themeColor="text1"/>
        </w:rPr>
        <w:t xml:space="preserve">mechanism to reduce contagion </w:t>
      </w:r>
      <w:r w:rsidR="00500131" w:rsidRPr="00BD66CE">
        <w:rPr>
          <w:rFonts w:ascii="Verdana" w:hAnsi="Verdana"/>
          <w:color w:val="000000" w:themeColor="text1"/>
        </w:rPr>
        <w:t xml:space="preserve">waves </w:t>
      </w:r>
      <w:r w:rsidR="008C12EB" w:rsidRPr="00BD66CE">
        <w:rPr>
          <w:rFonts w:ascii="Verdana" w:hAnsi="Verdana"/>
          <w:color w:val="000000" w:themeColor="text1"/>
        </w:rPr>
        <w:t xml:space="preserve">and mortality peaks. </w:t>
      </w:r>
      <w:r w:rsidR="002475E5" w:rsidRPr="00BD66CE">
        <w:rPr>
          <w:rFonts w:ascii="Verdana" w:hAnsi="Verdana"/>
          <w:color w:val="000000" w:themeColor="text1"/>
        </w:rPr>
        <w:t>It is worth remembering that the approach with this population group demands greater sensitivity, absence of prejudice, and respect for the diversity of the other; for such individuals, the understanding of the health-illness continuum escapes the Western immediatism, that is, it lacks biomedical foundations</w:t>
      </w:r>
      <w:r w:rsidR="001C2B57" w:rsidRPr="00BD66CE">
        <w:rPr>
          <w:rFonts w:ascii="Verdana" w:hAnsi="Verdana"/>
          <w:color w:val="000000" w:themeColor="text1"/>
        </w:rPr>
        <w:t xml:space="preserve"> </w:t>
      </w:r>
      <w:r w:rsidR="004E2E6F" w:rsidRPr="00BD66CE">
        <w:rPr>
          <w:rFonts w:ascii="Verdana" w:hAnsi="Verdana"/>
          <w:color w:val="000000" w:themeColor="text1"/>
        </w:rPr>
        <w:t>[130].</w:t>
      </w:r>
      <w:r w:rsidR="00590CE2" w:rsidRPr="00BD66CE">
        <w:rPr>
          <w:rFonts w:ascii="Verdana" w:hAnsi="Verdana"/>
          <w:color w:val="000000" w:themeColor="text1"/>
        </w:rPr>
        <w:t xml:space="preserve"> </w:t>
      </w:r>
      <w:r w:rsidR="004E2E6F" w:rsidRPr="00BD66CE">
        <w:rPr>
          <w:rFonts w:ascii="Verdana" w:hAnsi="Verdana"/>
          <w:color w:val="000000" w:themeColor="text1"/>
        </w:rPr>
        <w:t xml:space="preserve"> </w:t>
      </w:r>
    </w:p>
    <w:p w14:paraId="5F4D7309" w14:textId="77777777" w:rsidR="0046743A" w:rsidRPr="00BD66CE" w:rsidRDefault="0046743A" w:rsidP="0046743A">
      <w:pPr>
        <w:pStyle w:val="MDPI31text"/>
        <w:rPr>
          <w:rFonts w:ascii="Verdana" w:hAnsi="Verdana"/>
          <w:color w:val="000000" w:themeColor="text1"/>
        </w:rPr>
      </w:pPr>
    </w:p>
    <w:p w14:paraId="42B41F82" w14:textId="44DCBF0D" w:rsidR="00F45C05" w:rsidRPr="00BD66CE" w:rsidRDefault="00DC5D40" w:rsidP="005107EE">
      <w:pPr>
        <w:pStyle w:val="MDPI31text"/>
        <w:ind w:left="0" w:firstLine="510"/>
        <w:rPr>
          <w:rFonts w:ascii="Verdana" w:hAnsi="Verdana"/>
        </w:rPr>
      </w:pPr>
      <w:r w:rsidRPr="00BD66CE">
        <w:rPr>
          <w:rFonts w:ascii="Verdana" w:hAnsi="Verdana"/>
        </w:rPr>
        <w:t>Whereas</w:t>
      </w:r>
      <w:r w:rsidR="003315FE" w:rsidRPr="00BD66CE">
        <w:rPr>
          <w:rFonts w:ascii="Verdana" w:hAnsi="Verdana"/>
        </w:rPr>
        <w:t xml:space="preserve"> it is still too early to draw inferences about a drastic change in the Central American population structure, it is plain that the COVID-19 pandemic produced a significant reduction in the number of older inhabitants. For older adult survivors, the effects extend beyond the pathological sequelae of the disease, as it is equally valid to consider the psychological burden of this historical event. Recent research has been alerting to the need to identify </w:t>
      </w:r>
      <w:r w:rsidR="00E75223" w:rsidRPr="00BD66CE">
        <w:rPr>
          <w:rFonts w:ascii="Verdana" w:hAnsi="Verdana"/>
        </w:rPr>
        <w:t>psychosocial</w:t>
      </w:r>
      <w:r w:rsidR="003315FE" w:rsidRPr="00BD66CE">
        <w:rPr>
          <w:rFonts w:ascii="Verdana" w:hAnsi="Verdana"/>
        </w:rPr>
        <w:t xml:space="preserve"> changes in this group, as this could be a sentinel factor for the early diagnosis of depression, </w:t>
      </w:r>
      <w:r w:rsidR="006A02AF" w:rsidRPr="00BD66CE">
        <w:rPr>
          <w:rFonts w:ascii="Verdana" w:hAnsi="Verdana"/>
        </w:rPr>
        <w:t>burnout</w:t>
      </w:r>
      <w:r w:rsidR="003315FE" w:rsidRPr="00BD66CE">
        <w:rPr>
          <w:rFonts w:ascii="Verdana" w:hAnsi="Verdana"/>
        </w:rPr>
        <w:t xml:space="preserve"> syndrome, and weakening</w:t>
      </w:r>
      <w:r w:rsidR="00832FF8" w:rsidRPr="00BD66CE">
        <w:rPr>
          <w:rFonts w:ascii="Verdana" w:hAnsi="Verdana"/>
        </w:rPr>
        <w:t>/rupture</w:t>
      </w:r>
      <w:r w:rsidR="003315FE" w:rsidRPr="00BD66CE">
        <w:rPr>
          <w:rFonts w:ascii="Verdana" w:hAnsi="Verdana"/>
        </w:rPr>
        <w:t xml:space="preserve"> of social ties.</w:t>
      </w:r>
      <w:r w:rsidR="00F3575D" w:rsidRPr="00BD66CE">
        <w:rPr>
          <w:rFonts w:ascii="Verdana" w:hAnsi="Verdana"/>
        </w:rPr>
        <w:t xml:space="preserve"> </w:t>
      </w:r>
      <w:r w:rsidR="006A02AF" w:rsidRPr="00BD66CE">
        <w:rPr>
          <w:rFonts w:ascii="Verdana" w:hAnsi="Verdana"/>
        </w:rPr>
        <w:t xml:space="preserve">For instance, Mendoza-Ruvalcaba </w:t>
      </w:r>
      <w:r w:rsidR="000D3837" w:rsidRPr="00BD66CE">
        <w:rPr>
          <w:rFonts w:ascii="Verdana" w:hAnsi="Verdana"/>
        </w:rPr>
        <w:t>and colleagues</w:t>
      </w:r>
      <w:r w:rsidR="004E2E6F" w:rsidRPr="00BD66CE">
        <w:rPr>
          <w:rFonts w:ascii="Verdana" w:hAnsi="Verdana"/>
        </w:rPr>
        <w:t xml:space="preserve"> [131]</w:t>
      </w:r>
      <w:r w:rsidR="00BA1294" w:rsidRPr="00BD66CE">
        <w:rPr>
          <w:rFonts w:ascii="Verdana" w:hAnsi="Verdana"/>
        </w:rPr>
        <w:t xml:space="preserve"> </w:t>
      </w:r>
      <w:r w:rsidR="006A02AF" w:rsidRPr="00BD66CE">
        <w:rPr>
          <w:rFonts w:ascii="Verdana" w:hAnsi="Verdana"/>
        </w:rPr>
        <w:t xml:space="preserve">found that quarantine due to COVID-19 negatively influenced physical and mental health as the lifestyle of 712 older adults from four Central American countries. </w:t>
      </w:r>
      <w:r w:rsidR="000E5DB9" w:rsidRPr="00BD66CE">
        <w:rPr>
          <w:rFonts w:ascii="Verdana" w:hAnsi="Verdana"/>
        </w:rPr>
        <w:t xml:space="preserve">In our study, we located guidelines to approach mental health issues in Costa Rica </w:t>
      </w:r>
      <w:r w:rsidR="004E2E6F" w:rsidRPr="00BD66CE">
        <w:rPr>
          <w:rFonts w:ascii="Verdana" w:hAnsi="Verdana"/>
        </w:rPr>
        <w:t>[132]</w:t>
      </w:r>
      <w:r w:rsidR="000E5DB9" w:rsidRPr="00BD66CE">
        <w:rPr>
          <w:rFonts w:ascii="Verdana" w:hAnsi="Verdana"/>
        </w:rPr>
        <w:t xml:space="preserve">, Panama </w:t>
      </w:r>
      <w:r w:rsidR="004E2E6F" w:rsidRPr="00BD66CE">
        <w:rPr>
          <w:rFonts w:ascii="Verdana" w:hAnsi="Verdana"/>
        </w:rPr>
        <w:t>[133]</w:t>
      </w:r>
      <w:r w:rsidR="000E5DB9" w:rsidRPr="00BD66CE">
        <w:rPr>
          <w:rFonts w:ascii="Verdana" w:hAnsi="Verdana"/>
        </w:rPr>
        <w:t xml:space="preserve">, and Guatemala </w:t>
      </w:r>
      <w:r w:rsidR="0031538F" w:rsidRPr="00BD66CE">
        <w:rPr>
          <w:rFonts w:ascii="Verdana" w:hAnsi="Verdana"/>
        </w:rPr>
        <w:t>[134]</w:t>
      </w:r>
      <w:r w:rsidR="000E5DB9" w:rsidRPr="00BD66CE">
        <w:rPr>
          <w:rFonts w:ascii="Verdana" w:hAnsi="Verdana"/>
        </w:rPr>
        <w:t>, formulated in a holistic perspective of the psychiatric, psychological</w:t>
      </w:r>
      <w:r w:rsidR="000008FB" w:rsidRPr="00BD66CE">
        <w:rPr>
          <w:rFonts w:ascii="Verdana" w:hAnsi="Verdana"/>
        </w:rPr>
        <w:t>,</w:t>
      </w:r>
      <w:r w:rsidR="000E5DB9" w:rsidRPr="00BD66CE">
        <w:rPr>
          <w:rFonts w:ascii="Verdana" w:hAnsi="Verdana"/>
        </w:rPr>
        <w:t xml:space="preserve"> and existential grounds. </w:t>
      </w:r>
    </w:p>
    <w:p w14:paraId="64618466" w14:textId="77777777" w:rsidR="00F45C05" w:rsidRPr="00BD66CE" w:rsidRDefault="00F45C05" w:rsidP="00831254">
      <w:pPr>
        <w:pStyle w:val="MDPI31text"/>
        <w:rPr>
          <w:rFonts w:ascii="Verdana" w:hAnsi="Verdana"/>
        </w:rPr>
      </w:pPr>
    </w:p>
    <w:p w14:paraId="3249BAEA" w14:textId="53F2DBDF" w:rsidR="004A5933" w:rsidRPr="00BD66CE" w:rsidRDefault="000E5DB9" w:rsidP="005107EE">
      <w:pPr>
        <w:pStyle w:val="MDPI31text"/>
        <w:ind w:left="0" w:firstLine="510"/>
        <w:rPr>
          <w:rFonts w:ascii="Verdana" w:hAnsi="Verdana"/>
        </w:rPr>
      </w:pPr>
      <w:r w:rsidRPr="00BD66CE">
        <w:rPr>
          <w:rFonts w:ascii="Verdana" w:hAnsi="Verdana"/>
        </w:rPr>
        <w:t xml:space="preserve">Even so, this field still presents multiple voids in countries such as </w:t>
      </w:r>
      <w:r w:rsidR="007F0E2B" w:rsidRPr="00BD66CE">
        <w:rPr>
          <w:rFonts w:ascii="Verdana" w:hAnsi="Verdana"/>
        </w:rPr>
        <w:t>Belize</w:t>
      </w:r>
      <w:r w:rsidRPr="00BD66CE">
        <w:rPr>
          <w:rFonts w:ascii="Verdana" w:hAnsi="Verdana"/>
        </w:rPr>
        <w:t xml:space="preserve">, El Salvador, and Nicaragua because all three nations do not have specific policies or intersectoral plans on mental health </w:t>
      </w:r>
      <w:r w:rsidR="0031538F" w:rsidRPr="00BD66CE">
        <w:rPr>
          <w:rFonts w:ascii="Verdana" w:hAnsi="Verdana"/>
        </w:rPr>
        <w:t>[135]</w:t>
      </w:r>
      <w:r w:rsidRPr="00BD66CE">
        <w:rPr>
          <w:rFonts w:ascii="Verdana" w:hAnsi="Verdana"/>
        </w:rPr>
        <w:t>. Hence, the actions that arose from the pandemic could provide positive experiences for framing the biopsychosocial concept of health.</w:t>
      </w:r>
      <w:r w:rsidR="00F45C05" w:rsidRPr="00BD66CE">
        <w:rPr>
          <w:rFonts w:ascii="Verdana" w:hAnsi="Verdana"/>
        </w:rPr>
        <w:t xml:space="preserve"> On December 11, 2020, the countries arranged, through joint negotiation channels, Resolution CCAMH 11-2020 </w:t>
      </w:r>
      <w:r w:rsidR="00B92BCD" w:rsidRPr="00BD66CE">
        <w:rPr>
          <w:rFonts w:ascii="Verdana" w:hAnsi="Verdana"/>
        </w:rPr>
        <w:t>[136]</w:t>
      </w:r>
      <w:r w:rsidR="00F45C05" w:rsidRPr="00BD66CE">
        <w:rPr>
          <w:rFonts w:ascii="Verdana" w:hAnsi="Verdana"/>
        </w:rPr>
        <w:t xml:space="preserve"> regarding a regional mental health strategy to promote a set of mental health interventions from a community perspective, differentiated by life cycles, vulnerability, and social risks. In doing so, the countries mold their discernment of health, delivering special awareness to biopsychosocial facets. </w:t>
      </w:r>
    </w:p>
    <w:p w14:paraId="691B1C30" w14:textId="6217EDAA" w:rsidR="00CC1B67" w:rsidRPr="00BD66CE" w:rsidRDefault="00832FF8" w:rsidP="00F3575D">
      <w:pPr>
        <w:pStyle w:val="MDPI31text"/>
        <w:rPr>
          <w:rFonts w:ascii="Verdana" w:hAnsi="Verdana"/>
        </w:rPr>
      </w:pPr>
      <w:r w:rsidRPr="00BD66CE">
        <w:rPr>
          <w:rFonts w:ascii="Verdana" w:hAnsi="Verdana"/>
        </w:rPr>
        <w:t xml:space="preserve"> </w:t>
      </w:r>
      <w:r w:rsidR="003315FE" w:rsidRPr="00BD66CE">
        <w:rPr>
          <w:rFonts w:ascii="Verdana" w:hAnsi="Verdana"/>
        </w:rPr>
        <w:t xml:space="preserve"> </w:t>
      </w:r>
      <w:r w:rsidR="002D4A1B" w:rsidRPr="00BD66CE">
        <w:rPr>
          <w:rFonts w:ascii="Verdana" w:hAnsi="Verdana"/>
        </w:rPr>
        <w:t xml:space="preserve"> </w:t>
      </w:r>
    </w:p>
    <w:p w14:paraId="1A948C2B" w14:textId="360F3232" w:rsidR="00EF1BA0" w:rsidRPr="00BD66CE" w:rsidRDefault="00343F10" w:rsidP="005107EE">
      <w:pPr>
        <w:pStyle w:val="MDPI31text"/>
        <w:ind w:left="0" w:firstLine="510"/>
        <w:rPr>
          <w:rFonts w:ascii="Verdana" w:hAnsi="Verdana"/>
        </w:rPr>
      </w:pPr>
      <w:r w:rsidRPr="00BD66CE">
        <w:rPr>
          <w:rFonts w:ascii="Verdana" w:hAnsi="Verdana"/>
        </w:rPr>
        <w:t xml:space="preserve">As if the challenge of taking control over the epidemiological behavior of the virus was not already of </w:t>
      </w:r>
      <w:r w:rsidR="008C7E40" w:rsidRPr="00BD66CE">
        <w:rPr>
          <w:rFonts w:ascii="Verdana" w:hAnsi="Verdana"/>
        </w:rPr>
        <w:t>outstanding</w:t>
      </w:r>
      <w:r w:rsidRPr="00BD66CE">
        <w:rPr>
          <w:rFonts w:ascii="Verdana" w:hAnsi="Verdana"/>
        </w:rPr>
        <w:t xml:space="preserve"> importance, there is no way to obviate the discouraging panorama that the pandemic imposed on the Central American economies</w:t>
      </w:r>
      <w:r w:rsidR="000B38D8" w:rsidRPr="00BD66CE">
        <w:rPr>
          <w:rFonts w:ascii="Verdana" w:hAnsi="Verdana"/>
        </w:rPr>
        <w:t xml:space="preserve"> </w:t>
      </w:r>
      <w:r w:rsidR="00B92BCD" w:rsidRPr="00BD66CE">
        <w:rPr>
          <w:rFonts w:ascii="Verdana" w:hAnsi="Verdana"/>
        </w:rPr>
        <w:t>[137]</w:t>
      </w:r>
      <w:r w:rsidRPr="00BD66CE">
        <w:rPr>
          <w:rFonts w:ascii="Verdana" w:hAnsi="Verdana"/>
        </w:rPr>
        <w:t xml:space="preserve">. </w:t>
      </w:r>
      <w:r w:rsidR="008C1825" w:rsidRPr="00BD66CE">
        <w:rPr>
          <w:rFonts w:ascii="Verdana" w:hAnsi="Verdana"/>
        </w:rPr>
        <w:t>It</w:t>
      </w:r>
      <w:r w:rsidRPr="00BD66CE">
        <w:rPr>
          <w:rFonts w:ascii="Verdana" w:hAnsi="Verdana"/>
        </w:rPr>
        <w:t xml:space="preserve"> is</w:t>
      </w:r>
      <w:r w:rsidR="008C7E40" w:rsidRPr="00BD66CE">
        <w:rPr>
          <w:rFonts w:ascii="Verdana" w:hAnsi="Verdana"/>
        </w:rPr>
        <w:t>,</w:t>
      </w:r>
      <w:r w:rsidRPr="00BD66CE">
        <w:rPr>
          <w:rFonts w:ascii="Verdana" w:hAnsi="Verdana"/>
        </w:rPr>
        <w:t xml:space="preserve"> </w:t>
      </w:r>
      <w:r w:rsidR="008C1825" w:rsidRPr="00BD66CE">
        <w:rPr>
          <w:rFonts w:ascii="Verdana" w:hAnsi="Verdana"/>
        </w:rPr>
        <w:t>therefore</w:t>
      </w:r>
      <w:r w:rsidR="008C7E40" w:rsidRPr="00BD66CE">
        <w:rPr>
          <w:rFonts w:ascii="Verdana" w:hAnsi="Verdana"/>
        </w:rPr>
        <w:t>,</w:t>
      </w:r>
      <w:r w:rsidR="008C1825" w:rsidRPr="00BD66CE">
        <w:rPr>
          <w:rFonts w:ascii="Verdana" w:hAnsi="Verdana"/>
        </w:rPr>
        <w:t xml:space="preserve"> </w:t>
      </w:r>
      <w:r w:rsidRPr="00BD66CE">
        <w:rPr>
          <w:rFonts w:ascii="Verdana" w:hAnsi="Verdana"/>
        </w:rPr>
        <w:t xml:space="preserve">imperative to propose approaches that are necessarily intersectoral and intergenerational in nature, contemplating an equal degree of responsibility in the public and private sectors. What may seem to be only a task for the Government, relatively speaking in terms of the State's obligations to care for the welfare and development of </w:t>
      </w:r>
      <w:r w:rsidR="00501B2E" w:rsidRPr="00BD66CE">
        <w:rPr>
          <w:rFonts w:ascii="Verdana" w:hAnsi="Verdana"/>
        </w:rPr>
        <w:t>the aging population</w:t>
      </w:r>
      <w:r w:rsidRPr="00BD66CE">
        <w:rPr>
          <w:rFonts w:ascii="Verdana" w:hAnsi="Verdana"/>
        </w:rPr>
        <w:t xml:space="preserve">, in practice requires efforts from both parties. With significantly less participation in </w:t>
      </w:r>
      <w:r w:rsidRPr="00BD66CE">
        <w:rPr>
          <w:rFonts w:ascii="Verdana" w:hAnsi="Verdana"/>
        </w:rPr>
        <w:lastRenderedPageBreak/>
        <w:t xml:space="preserve">recovery strategies, older citizens </w:t>
      </w:r>
      <w:r w:rsidR="00E10441" w:rsidRPr="00BD66CE">
        <w:rPr>
          <w:rFonts w:ascii="Verdana" w:hAnsi="Verdana"/>
        </w:rPr>
        <w:t>claim</w:t>
      </w:r>
      <w:r w:rsidRPr="00BD66CE">
        <w:rPr>
          <w:rFonts w:ascii="Verdana" w:hAnsi="Verdana"/>
        </w:rPr>
        <w:t xml:space="preserve"> inclusion with their health and social needs addressed in light of the differences between their age groups</w:t>
      </w:r>
      <w:r w:rsidR="00B92BCD" w:rsidRPr="00BD66CE">
        <w:rPr>
          <w:rFonts w:ascii="Verdana" w:hAnsi="Verdana"/>
        </w:rPr>
        <w:t xml:space="preserve"> [138-140]</w:t>
      </w:r>
      <w:r w:rsidRPr="00BD66CE">
        <w:rPr>
          <w:rFonts w:ascii="Verdana" w:hAnsi="Verdana"/>
        </w:rPr>
        <w:t>.</w:t>
      </w:r>
      <w:r w:rsidR="0017477E" w:rsidRPr="00BD66CE">
        <w:rPr>
          <w:rFonts w:ascii="Verdana" w:hAnsi="Verdana"/>
        </w:rPr>
        <w:t xml:space="preserve"> It is time for governments to focus their human development </w:t>
      </w:r>
      <w:r w:rsidR="009F57CA" w:rsidRPr="00BD66CE">
        <w:rPr>
          <w:rFonts w:ascii="Verdana" w:hAnsi="Verdana"/>
        </w:rPr>
        <w:t>goals</w:t>
      </w:r>
      <w:r w:rsidR="0017477E" w:rsidRPr="00BD66CE">
        <w:rPr>
          <w:rFonts w:ascii="Verdana" w:hAnsi="Verdana"/>
        </w:rPr>
        <w:t xml:space="preserve"> on their capacity as a region, providing </w:t>
      </w:r>
      <w:r w:rsidR="009A11B7" w:rsidRPr="00BD66CE">
        <w:rPr>
          <w:rFonts w:ascii="Verdana" w:hAnsi="Verdana"/>
        </w:rPr>
        <w:t>enhanced</w:t>
      </w:r>
      <w:r w:rsidR="0017477E" w:rsidRPr="00BD66CE">
        <w:rPr>
          <w:rFonts w:ascii="Verdana" w:hAnsi="Verdana"/>
        </w:rPr>
        <w:t xml:space="preserve"> support and visibility to CAIS-derived agencies. In particular, it is up to the health and social assistance </w:t>
      </w:r>
      <w:r w:rsidR="00501B2E" w:rsidRPr="00BD66CE">
        <w:rPr>
          <w:rFonts w:ascii="Verdana" w:hAnsi="Verdana"/>
        </w:rPr>
        <w:t>bodies</w:t>
      </w:r>
      <w:r w:rsidR="0017477E" w:rsidRPr="00BD66CE">
        <w:rPr>
          <w:rFonts w:ascii="Verdana" w:hAnsi="Verdana"/>
        </w:rPr>
        <w:t xml:space="preserve"> to strengthen the role of </w:t>
      </w:r>
      <w:r w:rsidR="00501B2E" w:rsidRPr="00BD66CE">
        <w:rPr>
          <w:rFonts w:ascii="Verdana" w:hAnsi="Verdana"/>
        </w:rPr>
        <w:t xml:space="preserve">older persons </w:t>
      </w:r>
      <w:r w:rsidR="0017477E" w:rsidRPr="00BD66CE">
        <w:rPr>
          <w:rFonts w:ascii="Verdana" w:hAnsi="Verdana"/>
        </w:rPr>
        <w:t>in the different programs and plans to be incorporated in</w:t>
      </w:r>
      <w:r w:rsidR="009A11B7" w:rsidRPr="00BD66CE">
        <w:rPr>
          <w:rFonts w:ascii="Verdana" w:hAnsi="Verdana"/>
        </w:rPr>
        <w:t>to</w:t>
      </w:r>
      <w:r w:rsidR="0017477E" w:rsidRPr="00BD66CE">
        <w:rPr>
          <w:rFonts w:ascii="Verdana" w:hAnsi="Verdana"/>
        </w:rPr>
        <w:t xml:space="preserve"> the strategic meetings.</w:t>
      </w:r>
      <w:r w:rsidR="00F81B95" w:rsidRPr="00BD66CE">
        <w:rPr>
          <w:rFonts w:ascii="Verdana" w:hAnsi="Verdana"/>
        </w:rPr>
        <w:t xml:space="preserve"> </w:t>
      </w:r>
      <w:r w:rsidR="009A4A03" w:rsidRPr="00BD66CE">
        <w:rPr>
          <w:rFonts w:ascii="Verdana" w:hAnsi="Verdana"/>
        </w:rPr>
        <w:t xml:space="preserve">We borrow Burgos's words </w:t>
      </w:r>
      <w:r w:rsidR="00B92BCD" w:rsidRPr="00BD66CE">
        <w:rPr>
          <w:rFonts w:ascii="Verdana" w:hAnsi="Verdana"/>
        </w:rPr>
        <w:t xml:space="preserve">[141] </w:t>
      </w:r>
      <w:r w:rsidR="009A4A03" w:rsidRPr="00BD66CE">
        <w:rPr>
          <w:rFonts w:ascii="Verdana" w:hAnsi="Verdana"/>
        </w:rPr>
        <w:t>to reinforce our statement</w:t>
      </w:r>
      <w:r w:rsidR="00376B46" w:rsidRPr="00BD66CE">
        <w:rPr>
          <w:rFonts w:ascii="Verdana" w:hAnsi="Verdana"/>
        </w:rPr>
        <w:t>:</w:t>
      </w:r>
      <w:r w:rsidR="009A4A03" w:rsidRPr="00BD66CE">
        <w:rPr>
          <w:rFonts w:ascii="Verdana" w:hAnsi="Verdana"/>
        </w:rPr>
        <w:t xml:space="preserve"> </w:t>
      </w:r>
    </w:p>
    <w:p w14:paraId="69A2E35B" w14:textId="7F89A2F7" w:rsidR="00376B46" w:rsidRPr="00BD66CE" w:rsidRDefault="00376B46" w:rsidP="000F0952">
      <w:pPr>
        <w:pStyle w:val="MDPI31text"/>
        <w:rPr>
          <w:rFonts w:ascii="Verdana" w:hAnsi="Verdana"/>
        </w:rPr>
      </w:pPr>
    </w:p>
    <w:p w14:paraId="5E3DE413" w14:textId="6E205756" w:rsidR="00376B46" w:rsidRPr="00BD66CE" w:rsidRDefault="00376B46" w:rsidP="008B22E3">
      <w:pPr>
        <w:pStyle w:val="MDPI31text"/>
        <w:ind w:left="1530" w:firstLine="0"/>
        <w:rPr>
          <w:rFonts w:ascii="Verdana" w:hAnsi="Verdana"/>
        </w:rPr>
      </w:pPr>
      <w:r w:rsidRPr="00BD66CE">
        <w:rPr>
          <w:rFonts w:ascii="Verdana" w:hAnsi="Verdana"/>
        </w:rPr>
        <w:t xml:space="preserve">“The re-emergence of a new political subject is crucial in these times of pandemic. The new scenarios allow men and women - protagonist subjects of history - to be responsible for ensuring that structural mechanisms do not become alienating or absolute. Political subjects are challenged to face the events that may occur, as long as they are mediated by ethical principles” (p. 107). </w:t>
      </w:r>
    </w:p>
    <w:p w14:paraId="3FCCB499" w14:textId="77777777" w:rsidR="008C12EB" w:rsidRPr="00BD66CE" w:rsidRDefault="008C12EB" w:rsidP="000F0952">
      <w:pPr>
        <w:pStyle w:val="MDPI31text"/>
        <w:rPr>
          <w:rFonts w:ascii="Verdana" w:hAnsi="Verdana"/>
        </w:rPr>
      </w:pPr>
    </w:p>
    <w:p w14:paraId="0937CF7C" w14:textId="2229F258" w:rsidR="00AD5FA9" w:rsidRPr="00BD66CE" w:rsidRDefault="0073206F" w:rsidP="005107EE">
      <w:pPr>
        <w:pStyle w:val="MDPI31text"/>
        <w:ind w:left="0" w:firstLine="510"/>
        <w:rPr>
          <w:rFonts w:ascii="Verdana" w:hAnsi="Verdana"/>
        </w:rPr>
      </w:pPr>
      <w:r w:rsidRPr="00BD66CE">
        <w:rPr>
          <w:rFonts w:ascii="Verdana" w:hAnsi="Verdana"/>
        </w:rPr>
        <w:t>For its part, the</w:t>
      </w:r>
      <w:r w:rsidR="00D41E60" w:rsidRPr="00BD66CE">
        <w:rPr>
          <w:rFonts w:ascii="Verdana" w:hAnsi="Verdana"/>
        </w:rPr>
        <w:t xml:space="preserve"> chaotic </w:t>
      </w:r>
      <w:r w:rsidR="00917CAF" w:rsidRPr="00BD66CE">
        <w:rPr>
          <w:rFonts w:ascii="Verdana" w:hAnsi="Verdana"/>
        </w:rPr>
        <w:t>landscape</w:t>
      </w:r>
      <w:r w:rsidR="00D41E60" w:rsidRPr="00BD66CE">
        <w:rPr>
          <w:rFonts w:ascii="Verdana" w:hAnsi="Verdana"/>
        </w:rPr>
        <w:t xml:space="preserve"> </w:t>
      </w:r>
      <w:r w:rsidR="00917CAF" w:rsidRPr="00BD66CE">
        <w:rPr>
          <w:rFonts w:ascii="Verdana" w:hAnsi="Verdana"/>
        </w:rPr>
        <w:t>drawn</w:t>
      </w:r>
      <w:r w:rsidR="00D41E60" w:rsidRPr="00BD66CE">
        <w:rPr>
          <w:rFonts w:ascii="Verdana" w:hAnsi="Verdana"/>
        </w:rPr>
        <w:t xml:space="preserve"> by the pandemic flourished setbacks that increased the tension in the performance of governments, including their capacity and form of public governance, infrastructure</w:t>
      </w:r>
      <w:r w:rsidR="00574E82" w:rsidRPr="00BD66CE">
        <w:rPr>
          <w:rFonts w:ascii="Verdana" w:hAnsi="Verdana"/>
        </w:rPr>
        <w:t>,</w:t>
      </w:r>
      <w:r w:rsidR="00D41E60" w:rsidRPr="00BD66CE">
        <w:rPr>
          <w:rFonts w:ascii="Verdana" w:hAnsi="Verdana"/>
        </w:rPr>
        <w:t xml:space="preserve"> and available resources (human and medical), and the establishment of financial forecasts for the critical recovery stages, and the degree of confidence of their inhabitants to adhere to the prevention and containment strategies decreed. As shown in Table 1, the </w:t>
      </w:r>
      <w:r w:rsidR="004153A4" w:rsidRPr="00BD66CE">
        <w:rPr>
          <w:rFonts w:ascii="Verdana" w:hAnsi="Verdana"/>
        </w:rPr>
        <w:t xml:space="preserve">overall </w:t>
      </w:r>
      <w:r w:rsidR="00D41E60" w:rsidRPr="00BD66CE">
        <w:rPr>
          <w:rFonts w:ascii="Verdana" w:hAnsi="Verdana"/>
        </w:rPr>
        <w:t xml:space="preserve">distrust in the State and public institutions is significantly high </w:t>
      </w:r>
      <w:r w:rsidR="001013F0" w:rsidRPr="00BD66CE">
        <w:rPr>
          <w:rFonts w:ascii="Verdana" w:hAnsi="Verdana"/>
        </w:rPr>
        <w:t xml:space="preserve">(75.2%) </w:t>
      </w:r>
      <w:r w:rsidR="00D41E60" w:rsidRPr="00BD66CE">
        <w:rPr>
          <w:rFonts w:ascii="Verdana" w:hAnsi="Verdana"/>
        </w:rPr>
        <w:t>in Central America, indicating people face more difficult</w:t>
      </w:r>
      <w:r w:rsidR="001E5046" w:rsidRPr="00BD66CE">
        <w:rPr>
          <w:rFonts w:ascii="Verdana" w:hAnsi="Verdana"/>
        </w:rPr>
        <w:t>ies accepting the impositions and</w:t>
      </w:r>
      <w:r w:rsidR="00D41E60" w:rsidRPr="00BD66CE">
        <w:rPr>
          <w:rFonts w:ascii="Verdana" w:hAnsi="Verdana"/>
        </w:rPr>
        <w:t xml:space="preserve"> incorporating them without subsequent questioning or disregard</w:t>
      </w:r>
      <w:r w:rsidR="0042700F" w:rsidRPr="00BD66CE">
        <w:rPr>
          <w:rFonts w:ascii="Verdana" w:hAnsi="Verdana"/>
        </w:rPr>
        <w:t>, especially in Honduras (85%) and Guatemala (78%).</w:t>
      </w:r>
      <w:r w:rsidR="00333F5E" w:rsidRPr="00BD66CE">
        <w:rPr>
          <w:rFonts w:ascii="Verdana" w:hAnsi="Verdana"/>
        </w:rPr>
        <w:t xml:space="preserve"> </w:t>
      </w:r>
    </w:p>
    <w:p w14:paraId="680A9AD3" w14:textId="77777777" w:rsidR="00AD5FA9" w:rsidRPr="00BD66CE" w:rsidRDefault="00AD5FA9" w:rsidP="00175C93">
      <w:pPr>
        <w:pStyle w:val="MDPI31text"/>
        <w:rPr>
          <w:rFonts w:ascii="Verdana" w:hAnsi="Verdana"/>
        </w:rPr>
      </w:pPr>
    </w:p>
    <w:p w14:paraId="584FDDB1" w14:textId="6E73C958" w:rsidR="009F57CA" w:rsidRPr="00BD66CE" w:rsidRDefault="00175C93" w:rsidP="005107EE">
      <w:pPr>
        <w:pStyle w:val="MDPI31text"/>
        <w:ind w:left="0" w:firstLine="510"/>
        <w:rPr>
          <w:rFonts w:ascii="Verdana" w:hAnsi="Verdana"/>
        </w:rPr>
      </w:pPr>
      <w:r w:rsidRPr="00BD66CE">
        <w:rPr>
          <w:rFonts w:ascii="Verdana" w:hAnsi="Verdana"/>
        </w:rPr>
        <w:t>Data published by ECLAC stress that the degree of confidence in the government's public policy to address the health crisis varie</w:t>
      </w:r>
      <w:r w:rsidR="00B90B06" w:rsidRPr="00BD66CE">
        <w:rPr>
          <w:rFonts w:ascii="Verdana" w:hAnsi="Verdana"/>
        </w:rPr>
        <w:t>d</w:t>
      </w:r>
      <w:r w:rsidRPr="00BD66CE">
        <w:rPr>
          <w:rFonts w:ascii="Verdana" w:hAnsi="Verdana"/>
        </w:rPr>
        <w:t xml:space="preserve"> abysmally among countries; the three highest degrees of confidence </w:t>
      </w:r>
      <w:r w:rsidR="00B90B06" w:rsidRPr="00BD66CE">
        <w:rPr>
          <w:rFonts w:ascii="Verdana" w:hAnsi="Verdana"/>
        </w:rPr>
        <w:t>were</w:t>
      </w:r>
      <w:r w:rsidRPr="00BD66CE">
        <w:rPr>
          <w:rFonts w:ascii="Verdana" w:hAnsi="Verdana"/>
        </w:rPr>
        <w:t xml:space="preserve"> found in Costa Rica (92%), Panama (77%), and El Salvador (72%). Conversely, the inhabitants of Honduras (25%) and Nicaragua (32%) indicated the least confidence in the government's ability to </w:t>
      </w:r>
      <w:r w:rsidR="00B90B06" w:rsidRPr="00BD66CE">
        <w:rPr>
          <w:rFonts w:ascii="Verdana" w:hAnsi="Verdana"/>
        </w:rPr>
        <w:t>remedy</w:t>
      </w:r>
      <w:r w:rsidRPr="00BD66CE">
        <w:rPr>
          <w:rFonts w:ascii="Verdana" w:hAnsi="Verdana"/>
        </w:rPr>
        <w:t xml:space="preserve"> the problem </w:t>
      </w:r>
      <w:r w:rsidR="00B92BCD" w:rsidRPr="00BD66CE">
        <w:rPr>
          <w:rFonts w:ascii="Verdana" w:hAnsi="Verdana"/>
        </w:rPr>
        <w:t>[142]</w:t>
      </w:r>
      <w:r w:rsidRPr="00BD66CE">
        <w:rPr>
          <w:rFonts w:ascii="Verdana" w:hAnsi="Verdana"/>
        </w:rPr>
        <w:t>.</w:t>
      </w:r>
      <w:r w:rsidR="00800E16" w:rsidRPr="00BD66CE">
        <w:rPr>
          <w:rFonts w:ascii="Verdana" w:hAnsi="Verdana"/>
        </w:rPr>
        <w:t xml:space="preserve"> The lack of hinged responses to the emergency coupled with the absence of transparency in management and public health expenditure </w:t>
      </w:r>
      <w:r w:rsidR="00AD5FA9" w:rsidRPr="00BD66CE">
        <w:rPr>
          <w:rFonts w:ascii="Verdana" w:hAnsi="Verdana"/>
        </w:rPr>
        <w:t>were</w:t>
      </w:r>
      <w:r w:rsidR="00800E16" w:rsidRPr="00BD66CE">
        <w:rPr>
          <w:rFonts w:ascii="Verdana" w:hAnsi="Verdana"/>
        </w:rPr>
        <w:t xml:space="preserve"> </w:t>
      </w:r>
      <w:r w:rsidR="00AD5FA9" w:rsidRPr="00BD66CE">
        <w:rPr>
          <w:rFonts w:ascii="Verdana" w:hAnsi="Verdana"/>
        </w:rPr>
        <w:t>supporting</w:t>
      </w:r>
      <w:r w:rsidR="00800E16" w:rsidRPr="00BD66CE">
        <w:rPr>
          <w:rFonts w:ascii="Verdana" w:hAnsi="Verdana"/>
        </w:rPr>
        <w:t xml:space="preserve"> </w:t>
      </w:r>
      <w:r w:rsidR="0018267B" w:rsidRPr="00BD66CE">
        <w:rPr>
          <w:rFonts w:ascii="Verdana" w:hAnsi="Verdana"/>
        </w:rPr>
        <w:t>variables</w:t>
      </w:r>
      <w:r w:rsidR="00800E16" w:rsidRPr="00BD66CE">
        <w:rPr>
          <w:rFonts w:ascii="Verdana" w:hAnsi="Verdana"/>
        </w:rPr>
        <w:t xml:space="preserve"> in the high degree of distrust in public authorities</w:t>
      </w:r>
      <w:r w:rsidR="00AD5FA9" w:rsidRPr="00BD66CE">
        <w:rPr>
          <w:rFonts w:ascii="Verdana" w:hAnsi="Verdana"/>
        </w:rPr>
        <w:t xml:space="preserve"> </w:t>
      </w:r>
      <w:r w:rsidR="00B92BCD" w:rsidRPr="00BD66CE">
        <w:rPr>
          <w:rFonts w:ascii="Verdana" w:hAnsi="Verdana"/>
        </w:rPr>
        <w:t>[143]</w:t>
      </w:r>
      <w:r w:rsidR="0018267B" w:rsidRPr="00BD66CE">
        <w:rPr>
          <w:rFonts w:ascii="Verdana" w:hAnsi="Verdana"/>
        </w:rPr>
        <w:t xml:space="preserve">. </w:t>
      </w:r>
      <w:r w:rsidR="00FE24DD" w:rsidRPr="00BD66CE">
        <w:rPr>
          <w:rFonts w:ascii="Verdana" w:hAnsi="Verdana"/>
        </w:rPr>
        <w:t xml:space="preserve">In Nicaragua, El Salvador and Guatemala, “unless extraordinary phenomena occur that force the governments to return to the democratic path, the possibilities of advancing in the solution of the political crisis through the development of social pacts are remote” </w:t>
      </w:r>
      <w:r w:rsidR="00B92BCD" w:rsidRPr="00BD66CE">
        <w:rPr>
          <w:rFonts w:ascii="Verdana" w:hAnsi="Verdana"/>
        </w:rPr>
        <w:t xml:space="preserve">[144, </w:t>
      </w:r>
      <w:r w:rsidR="00FE24DD" w:rsidRPr="00BD66CE">
        <w:rPr>
          <w:rFonts w:ascii="Verdana" w:hAnsi="Verdana"/>
        </w:rPr>
        <w:t>(p. 14)</w:t>
      </w:r>
      <w:r w:rsidR="00B92BCD" w:rsidRPr="00BD66CE">
        <w:rPr>
          <w:rFonts w:ascii="Verdana" w:hAnsi="Verdana"/>
        </w:rPr>
        <w:t>]</w:t>
      </w:r>
      <w:r w:rsidR="00FE24DD" w:rsidRPr="00BD66CE">
        <w:rPr>
          <w:rFonts w:ascii="Verdana" w:hAnsi="Verdana"/>
        </w:rPr>
        <w:t>.</w:t>
      </w:r>
      <w:r w:rsidR="00066A30" w:rsidRPr="00BD66CE">
        <w:rPr>
          <w:rFonts w:ascii="Verdana" w:hAnsi="Verdana"/>
        </w:rPr>
        <w:t xml:space="preserve"> </w:t>
      </w:r>
      <w:r w:rsidR="00FE24DD" w:rsidRPr="00BD66CE">
        <w:rPr>
          <w:rFonts w:ascii="Verdana" w:hAnsi="Verdana"/>
        </w:rPr>
        <w:t xml:space="preserve"> </w:t>
      </w:r>
    </w:p>
    <w:p w14:paraId="395B1941" w14:textId="77777777" w:rsidR="009F57CA" w:rsidRPr="00BD66CE" w:rsidRDefault="009F57CA" w:rsidP="00175C93">
      <w:pPr>
        <w:pStyle w:val="MDPI31text"/>
        <w:rPr>
          <w:rFonts w:ascii="Verdana" w:hAnsi="Verdana"/>
        </w:rPr>
      </w:pPr>
    </w:p>
    <w:p w14:paraId="10C53349" w14:textId="7DAF39FD" w:rsidR="00D41E60" w:rsidRPr="00BD66CE" w:rsidRDefault="00F21047" w:rsidP="005107EE">
      <w:pPr>
        <w:pStyle w:val="MDPI31text"/>
        <w:ind w:left="0" w:firstLine="510"/>
        <w:rPr>
          <w:rFonts w:ascii="Verdana" w:hAnsi="Verdana"/>
        </w:rPr>
      </w:pPr>
      <w:r w:rsidRPr="00BD66CE">
        <w:rPr>
          <w:rFonts w:ascii="Verdana" w:hAnsi="Verdana"/>
        </w:rPr>
        <w:t xml:space="preserve">All these impasses reaffirm the suitability of working from a community-based perspective, which advocates listening to the community itself, from its needs, its context, and its response capabilities once disadvantaged communities find hardships to comply with sanitary measures given the worse hygiene and healthy conditions for human development </w:t>
      </w:r>
      <w:r w:rsidR="00985733" w:rsidRPr="00BD66CE">
        <w:rPr>
          <w:rFonts w:ascii="Verdana" w:hAnsi="Verdana"/>
        </w:rPr>
        <w:t>[145,146]</w:t>
      </w:r>
      <w:r w:rsidRPr="00BD66CE">
        <w:rPr>
          <w:rFonts w:ascii="Verdana" w:hAnsi="Verdana"/>
        </w:rPr>
        <w:t xml:space="preserve">. Such a perspective can shed light on a new way of managing older people's health insofar as the idea of building greater confidence in science and public institutions in Central America goes hand in hand with collaborative work between the political and scientific fields. It is a well-known fact that the partisanship in these territories has created, so to speak, a conflictual environment that </w:t>
      </w:r>
      <w:r w:rsidR="0092003E" w:rsidRPr="00BD66CE">
        <w:rPr>
          <w:rFonts w:ascii="Verdana" w:hAnsi="Verdana"/>
        </w:rPr>
        <w:t>holds back</w:t>
      </w:r>
      <w:r w:rsidRPr="00BD66CE">
        <w:rPr>
          <w:rFonts w:ascii="Verdana" w:hAnsi="Verdana"/>
        </w:rPr>
        <w:t xml:space="preserve"> regional development strategies </w:t>
      </w:r>
      <w:r w:rsidR="00985733" w:rsidRPr="00BD66CE">
        <w:rPr>
          <w:rFonts w:ascii="Verdana" w:hAnsi="Verdana"/>
        </w:rPr>
        <w:t>[147]</w:t>
      </w:r>
      <w:r w:rsidRPr="00BD66CE">
        <w:rPr>
          <w:rFonts w:ascii="Verdana" w:hAnsi="Verdana"/>
        </w:rPr>
        <w:t xml:space="preserve">. </w:t>
      </w:r>
      <w:r w:rsidR="0092003E" w:rsidRPr="00BD66CE">
        <w:rPr>
          <w:rFonts w:ascii="Verdana" w:hAnsi="Verdana"/>
        </w:rPr>
        <w:t>More than ever, p</w:t>
      </w:r>
      <w:r w:rsidRPr="00BD66CE">
        <w:rPr>
          <w:rFonts w:ascii="Verdana" w:hAnsi="Verdana"/>
        </w:rPr>
        <w:t>eople call for transparent mechanisms to identify sources of bias and end suspicions that carry partisan ideologies overshadowing scientific evidence</w:t>
      </w:r>
      <w:r w:rsidR="005E05E1" w:rsidRPr="00BD66CE">
        <w:rPr>
          <w:rFonts w:ascii="Verdana" w:hAnsi="Verdana"/>
        </w:rPr>
        <w:t xml:space="preserve"> </w:t>
      </w:r>
      <w:r w:rsidR="00985733" w:rsidRPr="00BD66CE">
        <w:rPr>
          <w:rFonts w:ascii="Verdana" w:hAnsi="Verdana"/>
        </w:rPr>
        <w:t>[</w:t>
      </w:r>
      <w:r w:rsidR="005E72C6" w:rsidRPr="00BD66CE">
        <w:rPr>
          <w:rFonts w:ascii="Verdana" w:hAnsi="Verdana"/>
        </w:rPr>
        <w:t>148</w:t>
      </w:r>
      <w:r w:rsidR="00985733" w:rsidRPr="00BD66CE">
        <w:rPr>
          <w:rFonts w:ascii="Verdana" w:hAnsi="Verdana"/>
        </w:rPr>
        <w:t>]</w:t>
      </w:r>
      <w:r w:rsidRPr="00BD66CE">
        <w:rPr>
          <w:rFonts w:ascii="Verdana" w:hAnsi="Verdana"/>
        </w:rPr>
        <w:t xml:space="preserve">. Seemingly building bonds with community leaders proved to be an excellent way to increase adherence to hygienic measures, despite social inequality gaps. </w:t>
      </w:r>
    </w:p>
    <w:p w14:paraId="6DD1B35B" w14:textId="77777777" w:rsidR="008C12EB" w:rsidRPr="00BD66CE" w:rsidRDefault="008C12EB" w:rsidP="000F0952">
      <w:pPr>
        <w:pStyle w:val="MDPI31text"/>
        <w:rPr>
          <w:rFonts w:ascii="Verdana" w:hAnsi="Verdana"/>
        </w:rPr>
      </w:pPr>
    </w:p>
    <w:p w14:paraId="79B0EA3C" w14:textId="5FBC17B1" w:rsidR="00590190" w:rsidRPr="00BD66CE" w:rsidRDefault="00985284" w:rsidP="005107EE">
      <w:pPr>
        <w:pStyle w:val="MDPI31text"/>
        <w:ind w:left="0" w:firstLine="510"/>
        <w:rPr>
          <w:rFonts w:ascii="Verdana" w:hAnsi="Verdana"/>
        </w:rPr>
      </w:pPr>
      <w:r w:rsidRPr="00BD66CE">
        <w:rPr>
          <w:rFonts w:ascii="Verdana" w:hAnsi="Verdana"/>
        </w:rPr>
        <w:t xml:space="preserve">We are aware of some limitations that may have arisen in this </w:t>
      </w:r>
      <w:r w:rsidR="00C81EF7" w:rsidRPr="00BD66CE">
        <w:rPr>
          <w:rFonts w:ascii="Verdana" w:hAnsi="Verdana"/>
        </w:rPr>
        <w:t>work</w:t>
      </w:r>
      <w:r w:rsidRPr="00BD66CE">
        <w:rPr>
          <w:rFonts w:ascii="Verdana" w:hAnsi="Verdana"/>
        </w:rPr>
        <w:t xml:space="preserve"> due to its design. Epidemiological and sociodemographic data are subject to constant variations since they are retrospective data that tend to lose immediate significance when setting prospective explorations. There is also a possibility of underreporting COVID-19 cases due to asymptomatic clinical pictures reported in some patients that hinders diagnosis without biomolecular testing. Hence, the prospects shown in our study should only be from a static standpoint. In line with the above, we admit that the interpretation of our results should not be subject to generalizations precisely so as not to fall into the methodological error of the ecological fallacy. On the other hand, we assert the complexity of qualitative research and so, to reduce the degree of subjectivism, we opted to take the WHO guidelines as the interpretative framework in harmony with the local recommendations and guidelines of CA</w:t>
      </w:r>
      <w:r w:rsidR="00C81EF7" w:rsidRPr="00BD66CE">
        <w:rPr>
          <w:rFonts w:ascii="Verdana" w:hAnsi="Verdana"/>
        </w:rPr>
        <w:t>I</w:t>
      </w:r>
      <w:r w:rsidRPr="00BD66CE">
        <w:rPr>
          <w:rFonts w:ascii="Verdana" w:hAnsi="Verdana"/>
        </w:rPr>
        <w:t>S/CCAMH. Noteworthy, data included in this study are of official origin from public institutions, which infers the veracity of the information provided and, at the same time, serves as a methodological strength for this study.</w:t>
      </w:r>
      <w:r w:rsidR="005D374B" w:rsidRPr="00BD66CE">
        <w:rPr>
          <w:rFonts w:ascii="Verdana" w:hAnsi="Verdana"/>
        </w:rPr>
        <w:t xml:space="preserve"> </w:t>
      </w:r>
    </w:p>
    <w:p w14:paraId="46FA7368" w14:textId="77777777" w:rsidR="008C12EB" w:rsidRPr="00BD66CE" w:rsidRDefault="008C12EB" w:rsidP="00590190">
      <w:pPr>
        <w:pStyle w:val="MDPI31text"/>
        <w:rPr>
          <w:rFonts w:ascii="Verdana" w:hAnsi="Verdana"/>
        </w:rPr>
      </w:pPr>
    </w:p>
    <w:p w14:paraId="5C9D3460" w14:textId="7B4C4B70" w:rsidR="00831CF8" w:rsidRPr="00BD66CE" w:rsidRDefault="002C14AD" w:rsidP="005107EE">
      <w:pPr>
        <w:pStyle w:val="MDPI31text"/>
        <w:ind w:left="0" w:firstLine="510"/>
        <w:rPr>
          <w:rFonts w:ascii="Verdana" w:hAnsi="Verdana"/>
        </w:rPr>
      </w:pPr>
      <w:r w:rsidRPr="00BD66CE">
        <w:rPr>
          <w:rFonts w:ascii="Verdana" w:hAnsi="Verdana"/>
        </w:rPr>
        <w:t xml:space="preserve">To the best of our knowledge, this is the first study that sought to analyze in comparative perspective the strategies adopted by Central American countries to cope with population aging management </w:t>
      </w:r>
      <w:r w:rsidRPr="00BD66CE">
        <w:rPr>
          <w:rFonts w:ascii="Verdana" w:hAnsi="Verdana"/>
        </w:rPr>
        <w:lastRenderedPageBreak/>
        <w:t xml:space="preserve">during the first two years of the pandemic. We hope that the results shown in our study will serve as a reference to understand the leading role of Central American governments in accounting, according to the possibilities highlighted, for such an unimaginable phenomenon for the entire world. Similarly, we believe the work reinforces the regional debate on successful experiences in Latin America that embrace the aging population as a unit of analysis. In closing, we would like to highlight the urgency of developing studies aimed at the multidimensional impacts posed by the COVID-19 pandemic on Central American elders. </w:t>
      </w:r>
      <w:r w:rsidR="004025A6" w:rsidRPr="00BD66CE">
        <w:rPr>
          <w:rFonts w:ascii="Verdana" w:hAnsi="Verdana"/>
        </w:rPr>
        <w:t>W</w:t>
      </w:r>
      <w:r w:rsidRPr="00BD66CE">
        <w:rPr>
          <w:rFonts w:ascii="Verdana" w:hAnsi="Verdana"/>
        </w:rPr>
        <w:t xml:space="preserve">e raise the recommendation for scholars/colleagues to consider the development of empirical research through the perspective/experience of the older adult. It would give a voice to an essential element in geriatric-gerontological care, namely the recipient of multidisciplinary </w:t>
      </w:r>
      <w:r w:rsidR="007F4131" w:rsidRPr="00BD66CE">
        <w:rPr>
          <w:rFonts w:ascii="Verdana" w:hAnsi="Verdana"/>
        </w:rPr>
        <w:t>health</w:t>
      </w:r>
      <w:r w:rsidRPr="00BD66CE">
        <w:rPr>
          <w:rFonts w:ascii="Verdana" w:hAnsi="Verdana"/>
        </w:rPr>
        <w:t xml:space="preserve">care. </w:t>
      </w:r>
    </w:p>
    <w:p w14:paraId="03913B26" w14:textId="422F0327" w:rsidR="00326AA6" w:rsidRPr="00BD66CE" w:rsidRDefault="00326AA6" w:rsidP="00711D1E">
      <w:pPr>
        <w:pStyle w:val="MDPI31text"/>
        <w:rPr>
          <w:rFonts w:ascii="Verdana" w:hAnsi="Verdana"/>
        </w:rPr>
      </w:pPr>
    </w:p>
    <w:p w14:paraId="44335DA1" w14:textId="5A750BA6" w:rsidR="005C4D87" w:rsidRPr="00BD66CE" w:rsidRDefault="00326AA6" w:rsidP="005107EE">
      <w:pPr>
        <w:pStyle w:val="MDPI31text"/>
        <w:ind w:left="0" w:firstLine="510"/>
        <w:rPr>
          <w:rFonts w:ascii="Verdana" w:hAnsi="Verdana"/>
        </w:rPr>
      </w:pPr>
      <w:r w:rsidRPr="00BD66CE">
        <w:rPr>
          <w:rFonts w:ascii="Verdana" w:hAnsi="Verdana"/>
        </w:rPr>
        <w:t xml:space="preserve">We could not fail to give merit to those who deserve it. The response of all health professionals has been exemplary, especially those from geriatrics and gerontology, as they have had to face a heavier care load. To </w:t>
      </w:r>
      <w:r w:rsidR="000326CC" w:rsidRPr="00BD66CE">
        <w:rPr>
          <w:rFonts w:ascii="Verdana" w:hAnsi="Verdana"/>
        </w:rPr>
        <w:t xml:space="preserve">all of </w:t>
      </w:r>
      <w:r w:rsidRPr="00BD66CE">
        <w:rPr>
          <w:rFonts w:ascii="Verdana" w:hAnsi="Verdana"/>
        </w:rPr>
        <w:t xml:space="preserve">you our societies will </w:t>
      </w:r>
      <w:r w:rsidR="000326CC" w:rsidRPr="00BD66CE">
        <w:rPr>
          <w:rFonts w:ascii="Verdana" w:hAnsi="Verdana"/>
        </w:rPr>
        <w:t>forever</w:t>
      </w:r>
      <w:r w:rsidRPr="00BD66CE">
        <w:rPr>
          <w:rFonts w:ascii="Verdana" w:hAnsi="Verdana"/>
        </w:rPr>
        <w:t xml:space="preserve"> be </w:t>
      </w:r>
      <w:r w:rsidR="002309A9" w:rsidRPr="00BD66CE">
        <w:rPr>
          <w:rFonts w:ascii="Verdana" w:hAnsi="Verdana"/>
        </w:rPr>
        <w:t>indebted</w:t>
      </w:r>
      <w:r w:rsidR="000326CC" w:rsidRPr="00BD66CE">
        <w:rPr>
          <w:rFonts w:ascii="Verdana" w:hAnsi="Verdana"/>
        </w:rPr>
        <w:t xml:space="preserve">! </w:t>
      </w:r>
    </w:p>
    <w:p w14:paraId="574CC4E8" w14:textId="4BCAE977" w:rsidR="00735311" w:rsidRDefault="00735311" w:rsidP="0040359E">
      <w:pPr>
        <w:pStyle w:val="MDPI31text"/>
        <w:ind w:left="0" w:firstLine="0"/>
        <w:rPr>
          <w:rFonts w:ascii="Verdana" w:hAnsi="Verdana"/>
        </w:rPr>
      </w:pPr>
    </w:p>
    <w:p w14:paraId="426B63CE" w14:textId="3C1DD212" w:rsidR="0040359E" w:rsidRDefault="0040359E" w:rsidP="0040359E">
      <w:pPr>
        <w:pStyle w:val="MDPI31text"/>
        <w:ind w:left="0" w:firstLine="0"/>
        <w:rPr>
          <w:rFonts w:ascii="Verdana" w:hAnsi="Verdana"/>
        </w:rPr>
      </w:pPr>
    </w:p>
    <w:p w14:paraId="5F10D6E7" w14:textId="1EB29225" w:rsidR="0040359E" w:rsidRPr="0040359E" w:rsidRDefault="0040359E" w:rsidP="0040359E">
      <w:pPr>
        <w:pStyle w:val="MDPI31text"/>
        <w:ind w:left="0" w:firstLine="0"/>
        <w:rPr>
          <w:rFonts w:ascii="Verdana" w:hAnsi="Verdana"/>
          <w:b/>
          <w:bCs/>
        </w:rPr>
      </w:pPr>
      <w:r w:rsidRPr="0040359E">
        <w:rPr>
          <w:rFonts w:ascii="Verdana" w:hAnsi="Verdana"/>
          <w:b/>
          <w:bCs/>
        </w:rPr>
        <w:t xml:space="preserve">Declarations </w:t>
      </w:r>
    </w:p>
    <w:p w14:paraId="37AE3D9F" w14:textId="77777777" w:rsidR="00735311" w:rsidRPr="00BD66CE" w:rsidRDefault="00735311" w:rsidP="00735311">
      <w:pPr>
        <w:pStyle w:val="MDPI31text"/>
        <w:rPr>
          <w:rFonts w:ascii="Verdana" w:hAnsi="Verdana"/>
        </w:rPr>
      </w:pPr>
    </w:p>
    <w:p w14:paraId="019BC50E" w14:textId="46A6EE4A" w:rsidR="005C4D87" w:rsidRPr="00BD66CE" w:rsidRDefault="005C4D87" w:rsidP="005D5056">
      <w:pPr>
        <w:pStyle w:val="MDPI62BackMatter"/>
        <w:ind w:left="0"/>
        <w:rPr>
          <w:rFonts w:ascii="Verdana" w:hAnsi="Verdana"/>
        </w:rPr>
      </w:pPr>
      <w:r w:rsidRPr="00BD66CE">
        <w:rPr>
          <w:rFonts w:ascii="Verdana" w:hAnsi="Verdana"/>
          <w:b/>
        </w:rPr>
        <w:t>Author</w:t>
      </w:r>
      <w:r w:rsidR="0040359E">
        <w:rPr>
          <w:rFonts w:ascii="Verdana" w:hAnsi="Verdana"/>
          <w:b/>
        </w:rPr>
        <w:t>s</w:t>
      </w:r>
      <w:r w:rsidR="00290948" w:rsidRPr="00290948">
        <w:rPr>
          <w:rFonts w:ascii="Verdana" w:hAnsi="Verdana"/>
          <w:b/>
          <w:bCs/>
        </w:rPr>
        <w:t>'</w:t>
      </w:r>
      <w:r w:rsidRPr="00BD66CE">
        <w:rPr>
          <w:rFonts w:ascii="Verdana" w:hAnsi="Verdana"/>
          <w:b/>
        </w:rPr>
        <w:t xml:space="preserve"> Contributions:</w:t>
      </w:r>
      <w:r w:rsidRPr="00BD66CE">
        <w:rPr>
          <w:rFonts w:ascii="Verdana" w:hAnsi="Verdana"/>
        </w:rPr>
        <w:t xml:space="preserve"> Conceptualization, </w:t>
      </w:r>
      <w:r w:rsidR="00C62FCB" w:rsidRPr="00BD66CE">
        <w:rPr>
          <w:rFonts w:ascii="Verdana" w:hAnsi="Verdana"/>
        </w:rPr>
        <w:t>R.S.G.M</w:t>
      </w:r>
      <w:r w:rsidR="002B2C56" w:rsidRPr="00BD66CE">
        <w:rPr>
          <w:rFonts w:ascii="Verdana" w:hAnsi="Verdana"/>
        </w:rPr>
        <w:t>.</w:t>
      </w:r>
      <w:r w:rsidRPr="00BD66CE">
        <w:rPr>
          <w:rFonts w:ascii="Verdana" w:hAnsi="Verdana"/>
        </w:rPr>
        <w:t xml:space="preserve">; methodology, </w:t>
      </w:r>
      <w:r w:rsidR="002B2C56" w:rsidRPr="00BD66CE">
        <w:rPr>
          <w:rFonts w:ascii="Verdana" w:hAnsi="Verdana"/>
        </w:rPr>
        <w:t>R.S.G.M.</w:t>
      </w:r>
      <w:r w:rsidRPr="00BD66CE">
        <w:rPr>
          <w:rFonts w:ascii="Verdana" w:hAnsi="Verdana"/>
        </w:rPr>
        <w:t xml:space="preserve">; formal analysis, </w:t>
      </w:r>
      <w:r w:rsidR="002B2C56" w:rsidRPr="00BD66CE">
        <w:rPr>
          <w:rFonts w:ascii="Verdana" w:hAnsi="Verdana"/>
        </w:rPr>
        <w:t>R.S.G.M.</w:t>
      </w:r>
      <w:r w:rsidRPr="00BD66CE">
        <w:rPr>
          <w:rFonts w:ascii="Verdana" w:hAnsi="Verdana"/>
        </w:rPr>
        <w:t xml:space="preserve">; investigation, </w:t>
      </w:r>
      <w:r w:rsidR="002B2C56" w:rsidRPr="00BD66CE">
        <w:rPr>
          <w:rFonts w:ascii="Verdana" w:hAnsi="Verdana"/>
        </w:rPr>
        <w:t>R.S.G.M.</w:t>
      </w:r>
      <w:r w:rsidRPr="00BD66CE">
        <w:rPr>
          <w:rFonts w:ascii="Verdana" w:hAnsi="Verdana"/>
        </w:rPr>
        <w:t xml:space="preserve">; data curation, </w:t>
      </w:r>
      <w:r w:rsidR="002B2C56" w:rsidRPr="00BD66CE">
        <w:rPr>
          <w:rFonts w:ascii="Verdana" w:hAnsi="Verdana"/>
        </w:rPr>
        <w:t>R.S.G.M.</w:t>
      </w:r>
      <w:r w:rsidRPr="00BD66CE">
        <w:rPr>
          <w:rFonts w:ascii="Verdana" w:hAnsi="Verdana"/>
        </w:rPr>
        <w:t xml:space="preserve">; writing—original draft preparation, </w:t>
      </w:r>
      <w:r w:rsidR="002B2C56" w:rsidRPr="00BD66CE">
        <w:rPr>
          <w:rFonts w:ascii="Verdana" w:hAnsi="Verdana"/>
        </w:rPr>
        <w:t>R.S.G.M.</w:t>
      </w:r>
      <w:r w:rsidRPr="00BD66CE">
        <w:rPr>
          <w:rFonts w:ascii="Verdana" w:hAnsi="Verdana"/>
        </w:rPr>
        <w:t xml:space="preserve">; writing—review and editing, </w:t>
      </w:r>
      <w:r w:rsidR="002B2C56" w:rsidRPr="00BD66CE">
        <w:rPr>
          <w:rFonts w:ascii="Verdana" w:hAnsi="Verdana"/>
        </w:rPr>
        <w:t>R.S.G.M.; P.K.G</w:t>
      </w:r>
      <w:r w:rsidR="004C51F9" w:rsidRPr="00BD66CE">
        <w:rPr>
          <w:rFonts w:ascii="Verdana" w:hAnsi="Verdana"/>
        </w:rPr>
        <w:t xml:space="preserve">.; </w:t>
      </w:r>
      <w:r w:rsidR="002B2C56" w:rsidRPr="00BD66CE">
        <w:rPr>
          <w:rFonts w:ascii="Verdana" w:hAnsi="Verdana"/>
        </w:rPr>
        <w:t>A.J.G.B.</w:t>
      </w:r>
      <w:r w:rsidR="00E146C2" w:rsidRPr="00BD66CE">
        <w:rPr>
          <w:rFonts w:ascii="Verdana" w:hAnsi="Verdana"/>
        </w:rPr>
        <w:t>,</w:t>
      </w:r>
      <w:r w:rsidR="004C51F9" w:rsidRPr="00BD66CE">
        <w:rPr>
          <w:rFonts w:ascii="Verdana" w:hAnsi="Verdana"/>
        </w:rPr>
        <w:t xml:space="preserve"> and D.C.M.</w:t>
      </w:r>
      <w:r w:rsidRPr="00BD66CE">
        <w:rPr>
          <w:rFonts w:ascii="Verdana" w:hAnsi="Verdana"/>
        </w:rPr>
        <w:t xml:space="preserve">; visualization, </w:t>
      </w:r>
      <w:r w:rsidR="002B2C56" w:rsidRPr="00BD66CE">
        <w:rPr>
          <w:rFonts w:ascii="Verdana" w:hAnsi="Verdana"/>
        </w:rPr>
        <w:t>R.S.G.M.; P.K.G.</w:t>
      </w:r>
      <w:r w:rsidR="00E146C2" w:rsidRPr="00BD66CE">
        <w:rPr>
          <w:rFonts w:ascii="Verdana" w:hAnsi="Verdana"/>
        </w:rPr>
        <w:t xml:space="preserve">; </w:t>
      </w:r>
      <w:r w:rsidR="002B2C56" w:rsidRPr="00BD66CE">
        <w:rPr>
          <w:rFonts w:ascii="Verdana" w:hAnsi="Verdana"/>
        </w:rPr>
        <w:t>A.J.G.B.</w:t>
      </w:r>
      <w:r w:rsidR="00E146C2" w:rsidRPr="00BD66CE">
        <w:rPr>
          <w:rFonts w:ascii="Verdana" w:hAnsi="Verdana"/>
        </w:rPr>
        <w:t>, and D.C.M.</w:t>
      </w:r>
      <w:r w:rsidR="002B2C56" w:rsidRPr="00BD66CE">
        <w:rPr>
          <w:rFonts w:ascii="Verdana" w:hAnsi="Verdana"/>
        </w:rPr>
        <w:t>;</w:t>
      </w:r>
      <w:r w:rsidRPr="00BD66CE">
        <w:rPr>
          <w:rFonts w:ascii="Verdana" w:hAnsi="Verdana"/>
        </w:rPr>
        <w:t xml:space="preserve"> supervision, </w:t>
      </w:r>
      <w:r w:rsidR="002B2C56" w:rsidRPr="00BD66CE">
        <w:rPr>
          <w:rFonts w:ascii="Verdana" w:hAnsi="Verdana"/>
        </w:rPr>
        <w:t xml:space="preserve">P.K.G.; </w:t>
      </w:r>
      <w:r w:rsidRPr="00BD66CE">
        <w:rPr>
          <w:rFonts w:ascii="Verdana" w:hAnsi="Verdana"/>
        </w:rPr>
        <w:t xml:space="preserve">project administration, </w:t>
      </w:r>
      <w:r w:rsidR="002B2C56" w:rsidRPr="00BD66CE">
        <w:rPr>
          <w:rFonts w:ascii="Verdana" w:hAnsi="Verdana"/>
        </w:rPr>
        <w:t>R.S.G.M</w:t>
      </w:r>
      <w:r w:rsidRPr="00BD66CE">
        <w:rPr>
          <w:rFonts w:ascii="Verdana" w:hAnsi="Verdana"/>
        </w:rPr>
        <w:t>.</w:t>
      </w:r>
      <w:r w:rsidR="00E146C2" w:rsidRPr="00BD66CE">
        <w:rPr>
          <w:rFonts w:ascii="Verdana" w:hAnsi="Verdana"/>
        </w:rPr>
        <w:t>, and P.K.G</w:t>
      </w:r>
      <w:r w:rsidR="00E90F5A" w:rsidRPr="00BD66CE">
        <w:rPr>
          <w:rFonts w:ascii="Verdana" w:hAnsi="Verdana"/>
        </w:rPr>
        <w:t xml:space="preserve">.; final and critical review, </w:t>
      </w:r>
      <w:r w:rsidR="00A32E25" w:rsidRPr="00BD66CE">
        <w:rPr>
          <w:rFonts w:ascii="Verdana" w:hAnsi="Verdana"/>
        </w:rPr>
        <w:t xml:space="preserve">R.S.G.M.; P.K.G.; A.J.G.B., and </w:t>
      </w:r>
      <w:r w:rsidR="00E90F5A" w:rsidRPr="00BD66CE">
        <w:rPr>
          <w:rFonts w:ascii="Verdana" w:hAnsi="Verdana"/>
        </w:rPr>
        <w:t>D.C.M.</w:t>
      </w:r>
      <w:r w:rsidRPr="00BD66CE">
        <w:rPr>
          <w:rFonts w:ascii="Verdana" w:hAnsi="Verdana"/>
        </w:rPr>
        <w:t xml:space="preserve"> All authors have read and agreed to the published version of the manuscript.</w:t>
      </w:r>
      <w:r w:rsidR="00A32E25" w:rsidRPr="00BD66CE">
        <w:rPr>
          <w:rFonts w:ascii="Verdana" w:hAnsi="Verdana"/>
        </w:rPr>
        <w:t xml:space="preserve"> </w:t>
      </w:r>
      <w:r w:rsidR="002B2C56" w:rsidRPr="00BD66CE">
        <w:rPr>
          <w:rFonts w:ascii="Verdana" w:hAnsi="Verdana"/>
        </w:rPr>
        <w:t xml:space="preserve">  </w:t>
      </w:r>
    </w:p>
    <w:p w14:paraId="4FE35C36" w14:textId="055B98DF" w:rsidR="005C4D87" w:rsidRPr="00BD66CE" w:rsidRDefault="005C4D87" w:rsidP="005D5056">
      <w:pPr>
        <w:pStyle w:val="MDPI62BackMatter"/>
        <w:ind w:left="0"/>
        <w:rPr>
          <w:rFonts w:ascii="Verdana" w:hAnsi="Verdana"/>
          <w:lang w:val="pt-BR"/>
        </w:rPr>
      </w:pPr>
      <w:r w:rsidRPr="00BD66CE">
        <w:rPr>
          <w:rFonts w:ascii="Verdana" w:hAnsi="Verdana"/>
          <w:b/>
        </w:rPr>
        <w:t>Funding:</w:t>
      </w:r>
      <w:r w:rsidRPr="00BD66CE">
        <w:rPr>
          <w:rFonts w:ascii="Verdana" w:hAnsi="Verdana"/>
        </w:rPr>
        <w:t xml:space="preserve"> </w:t>
      </w:r>
      <w:r w:rsidR="00442BE0" w:rsidRPr="00BD66CE">
        <w:rPr>
          <w:rFonts w:ascii="Verdana" w:hAnsi="Verdana"/>
        </w:rPr>
        <w:t xml:space="preserve">This study was financed in part by the </w:t>
      </w:r>
      <w:r w:rsidR="00442BE0" w:rsidRPr="00BD66CE">
        <w:rPr>
          <w:rFonts w:ascii="Verdana" w:hAnsi="Verdana"/>
          <w:i/>
          <w:iCs/>
        </w:rPr>
        <w:t>Coordenação de Aperfeiçoamento de Pessoal de Nivel Superior – Bra</w:t>
      </w:r>
      <w:r w:rsidR="00DE5826" w:rsidRPr="00BD66CE">
        <w:rPr>
          <w:rFonts w:ascii="Verdana" w:hAnsi="Verdana"/>
          <w:i/>
          <w:iCs/>
        </w:rPr>
        <w:t>z</w:t>
      </w:r>
      <w:r w:rsidR="00442BE0" w:rsidRPr="00BD66CE">
        <w:rPr>
          <w:rFonts w:ascii="Verdana" w:hAnsi="Verdana"/>
          <w:i/>
          <w:iCs/>
        </w:rPr>
        <w:t xml:space="preserve">il </w:t>
      </w:r>
      <w:r w:rsidR="00442BE0" w:rsidRPr="00BD66CE">
        <w:rPr>
          <w:rFonts w:ascii="Verdana" w:hAnsi="Verdana"/>
        </w:rPr>
        <w:t>(CAPES) – Finance Code 001.</w:t>
      </w:r>
      <w:r w:rsidR="00CC2C98" w:rsidRPr="00BD66CE">
        <w:rPr>
          <w:rFonts w:ascii="Verdana" w:hAnsi="Verdana"/>
        </w:rPr>
        <w:t xml:space="preserve"> </w:t>
      </w:r>
      <w:r w:rsidR="00CC2C98" w:rsidRPr="00BD66CE">
        <w:rPr>
          <w:rFonts w:ascii="Verdana" w:hAnsi="Verdana"/>
          <w:lang w:val="pt-BR"/>
        </w:rPr>
        <w:t>Th</w:t>
      </w:r>
      <w:r w:rsidR="00AB4024" w:rsidRPr="00BD66CE">
        <w:rPr>
          <w:rFonts w:ascii="Verdana" w:hAnsi="Verdana"/>
          <w:lang w:val="pt-BR"/>
        </w:rPr>
        <w:t>e manuscript</w:t>
      </w:r>
      <w:r w:rsidR="00CC2C98" w:rsidRPr="00BD66CE">
        <w:rPr>
          <w:rFonts w:ascii="Verdana" w:hAnsi="Verdana"/>
          <w:lang w:val="pt-BR"/>
        </w:rPr>
        <w:t xml:space="preserve"> is an excerpt from the first author</w:t>
      </w:r>
      <w:r w:rsidR="009623F2" w:rsidRPr="00BD66CE">
        <w:rPr>
          <w:rFonts w:ascii="Verdana" w:hAnsi="Verdana"/>
          <w:lang w:val="pt-BR"/>
        </w:rPr>
        <w:t>'</w:t>
      </w:r>
      <w:r w:rsidR="00CC2C98" w:rsidRPr="00BD66CE">
        <w:rPr>
          <w:rFonts w:ascii="Verdana" w:hAnsi="Verdana"/>
          <w:lang w:val="pt-BR"/>
        </w:rPr>
        <w:t>s Ph.D thes</w:t>
      </w:r>
      <w:r w:rsidR="00AB4024" w:rsidRPr="00BD66CE">
        <w:rPr>
          <w:rFonts w:ascii="Verdana" w:hAnsi="Verdana"/>
          <w:lang w:val="pt-BR"/>
        </w:rPr>
        <w:t>i</w:t>
      </w:r>
      <w:r w:rsidR="00CC2C98" w:rsidRPr="00BD66CE">
        <w:rPr>
          <w:rFonts w:ascii="Verdana" w:hAnsi="Verdana"/>
          <w:lang w:val="pt-BR"/>
        </w:rPr>
        <w:t>s</w:t>
      </w:r>
      <w:r w:rsidR="00AB4024" w:rsidRPr="00BD66CE">
        <w:rPr>
          <w:rFonts w:ascii="Verdana" w:hAnsi="Verdana"/>
          <w:lang w:val="pt-BR"/>
        </w:rPr>
        <w:t>,</w:t>
      </w:r>
      <w:r w:rsidR="00CC2C98" w:rsidRPr="00BD66CE">
        <w:rPr>
          <w:rFonts w:ascii="Verdana" w:hAnsi="Verdana"/>
          <w:lang w:val="pt-BR"/>
        </w:rPr>
        <w:t xml:space="preserve"> entitled “</w:t>
      </w:r>
      <w:r w:rsidR="00CC2C98" w:rsidRPr="00BD66CE">
        <w:rPr>
          <w:rFonts w:ascii="Verdana" w:hAnsi="Verdana"/>
          <w:i/>
          <w:iCs/>
          <w:lang w:val="pt-BR"/>
        </w:rPr>
        <w:t>EnvelheSER na América Central Continental: Análise Jurídico-Sanitária Comparada dos Conselhos Nacionais Centro-Americanos da Pessoa Idosa</w:t>
      </w:r>
      <w:r w:rsidR="00CC2C98" w:rsidRPr="00BD66CE">
        <w:rPr>
          <w:rFonts w:ascii="Verdana" w:hAnsi="Verdana"/>
          <w:lang w:val="pt-BR"/>
        </w:rPr>
        <w:t>”, in progress (2022-2026).</w:t>
      </w:r>
      <w:r w:rsidR="00F776C7" w:rsidRPr="00BD66CE">
        <w:rPr>
          <w:rFonts w:ascii="Verdana" w:hAnsi="Verdana"/>
          <w:lang w:val="pt-BR"/>
        </w:rPr>
        <w:t xml:space="preserve"> </w:t>
      </w:r>
    </w:p>
    <w:p w14:paraId="2AC0B7FA" w14:textId="29070C61" w:rsidR="00811F37" w:rsidRPr="00BD66CE" w:rsidRDefault="002B1122" w:rsidP="005D5056">
      <w:pPr>
        <w:pStyle w:val="MDPI62BackMatter"/>
        <w:spacing w:after="0"/>
        <w:ind w:left="0"/>
        <w:rPr>
          <w:rFonts w:ascii="Verdana" w:hAnsi="Verdana"/>
        </w:rPr>
      </w:pPr>
      <w:bookmarkStart w:id="0" w:name="_Hlk60054323"/>
      <w:r>
        <w:rPr>
          <w:rFonts w:ascii="Verdana" w:hAnsi="Verdana"/>
          <w:b/>
        </w:rPr>
        <w:t>Ethical Approval and Consent to Participate</w:t>
      </w:r>
      <w:r w:rsidR="00811F37" w:rsidRPr="00BD66CE">
        <w:rPr>
          <w:rFonts w:ascii="Verdana" w:hAnsi="Verdana"/>
          <w:b/>
        </w:rPr>
        <w:t xml:space="preserve">: </w:t>
      </w:r>
      <w:r w:rsidR="00ED2A75" w:rsidRPr="00BD66CE">
        <w:rPr>
          <w:rFonts w:ascii="Verdana" w:hAnsi="Verdana"/>
        </w:rPr>
        <w:t>Not applicable.</w:t>
      </w:r>
    </w:p>
    <w:p w14:paraId="389CEB4C" w14:textId="77777777" w:rsidR="00391235" w:rsidRPr="00BD66CE" w:rsidRDefault="00391235" w:rsidP="00391235">
      <w:pPr>
        <w:pStyle w:val="MDPI62BackMatter"/>
        <w:spacing w:after="0"/>
        <w:rPr>
          <w:rFonts w:ascii="Verdana" w:hAnsi="Verdana"/>
        </w:rPr>
      </w:pPr>
    </w:p>
    <w:p w14:paraId="3E5EC5E4" w14:textId="5FD3F6CD" w:rsidR="00811F37" w:rsidRPr="00BD66CE" w:rsidRDefault="00811F37" w:rsidP="005D5056">
      <w:pPr>
        <w:pStyle w:val="MDPI62BackMatter"/>
        <w:ind w:left="0"/>
        <w:rPr>
          <w:rFonts w:ascii="Verdana" w:hAnsi="Verdana"/>
        </w:rPr>
      </w:pPr>
      <w:r w:rsidRPr="00BD66CE">
        <w:rPr>
          <w:rFonts w:ascii="Verdana" w:hAnsi="Verdana"/>
          <w:b/>
        </w:rPr>
        <w:t xml:space="preserve">Data </w:t>
      </w:r>
      <w:r w:rsidR="002B1122">
        <w:rPr>
          <w:rFonts w:ascii="Verdana" w:hAnsi="Verdana"/>
          <w:b/>
        </w:rPr>
        <w:t xml:space="preserve">and Materials </w:t>
      </w:r>
      <w:r w:rsidRPr="00BD66CE">
        <w:rPr>
          <w:rFonts w:ascii="Verdana" w:hAnsi="Verdana"/>
          <w:b/>
        </w:rPr>
        <w:t xml:space="preserve">Availability: </w:t>
      </w:r>
      <w:r w:rsidR="00AC2C3E" w:rsidRPr="00BD66CE">
        <w:rPr>
          <w:rFonts w:ascii="Verdana" w:hAnsi="Verdana"/>
        </w:rPr>
        <w:t xml:space="preserve">Not applicable. </w:t>
      </w:r>
    </w:p>
    <w:bookmarkEnd w:id="0"/>
    <w:p w14:paraId="54DA8E06" w14:textId="277E8E02" w:rsidR="005C4D87" w:rsidRPr="00BD66CE" w:rsidRDefault="005C4D87" w:rsidP="005D5056">
      <w:pPr>
        <w:pStyle w:val="MDPI62BackMatter"/>
        <w:ind w:left="0"/>
        <w:rPr>
          <w:rFonts w:ascii="Verdana" w:hAnsi="Verdana"/>
        </w:rPr>
      </w:pPr>
      <w:r w:rsidRPr="00BD66CE">
        <w:rPr>
          <w:rFonts w:ascii="Verdana" w:hAnsi="Verdana"/>
          <w:b/>
        </w:rPr>
        <w:t>Acknowledgments:</w:t>
      </w:r>
      <w:r w:rsidRPr="00BD66CE">
        <w:rPr>
          <w:rFonts w:ascii="Verdana" w:hAnsi="Verdana"/>
        </w:rPr>
        <w:t xml:space="preserve"> </w:t>
      </w:r>
      <w:r w:rsidR="00740A06" w:rsidRPr="00BD66CE">
        <w:rPr>
          <w:rFonts w:ascii="Verdana" w:hAnsi="Verdana"/>
        </w:rPr>
        <w:t>The authors extend their</w:t>
      </w:r>
      <w:r w:rsidR="00BD30D7" w:rsidRPr="00BD66CE">
        <w:rPr>
          <w:rFonts w:ascii="Verdana" w:hAnsi="Verdana"/>
        </w:rPr>
        <w:t xml:space="preserve"> appreciation to the</w:t>
      </w:r>
      <w:r w:rsidR="00442BE0" w:rsidRPr="00BD66CE">
        <w:rPr>
          <w:rFonts w:ascii="Verdana" w:hAnsi="Verdana"/>
        </w:rPr>
        <w:t xml:space="preserve"> CAIS</w:t>
      </w:r>
      <w:r w:rsidR="00BD30D7" w:rsidRPr="00BD66CE">
        <w:rPr>
          <w:rFonts w:ascii="Verdana" w:hAnsi="Verdana"/>
        </w:rPr>
        <w:t>,</w:t>
      </w:r>
      <w:r w:rsidR="00442BE0" w:rsidRPr="00BD66CE">
        <w:rPr>
          <w:rFonts w:ascii="Verdana" w:hAnsi="Verdana"/>
        </w:rPr>
        <w:t xml:space="preserve"> for prom</w:t>
      </w:r>
      <w:r w:rsidR="00BD30D7" w:rsidRPr="00BD66CE">
        <w:rPr>
          <w:rFonts w:ascii="Verdana" w:hAnsi="Verdana"/>
        </w:rPr>
        <w:t>pting</w:t>
      </w:r>
      <w:r w:rsidR="00442BE0" w:rsidRPr="00BD66CE">
        <w:rPr>
          <w:rFonts w:ascii="Verdana" w:hAnsi="Verdana"/>
        </w:rPr>
        <w:t xml:space="preserve"> data transparency in the public domains of each </w:t>
      </w:r>
      <w:r w:rsidR="00B83E08" w:rsidRPr="00BD66CE">
        <w:rPr>
          <w:rFonts w:ascii="Verdana" w:hAnsi="Verdana"/>
        </w:rPr>
        <w:t>derived</w:t>
      </w:r>
      <w:r w:rsidR="00442BE0" w:rsidRPr="00BD66CE">
        <w:rPr>
          <w:rFonts w:ascii="Verdana" w:hAnsi="Verdana"/>
        </w:rPr>
        <w:t xml:space="preserve"> </w:t>
      </w:r>
      <w:r w:rsidR="00BD30D7" w:rsidRPr="00BD66CE">
        <w:rPr>
          <w:rFonts w:ascii="Verdana" w:hAnsi="Verdana"/>
        </w:rPr>
        <w:t>body</w:t>
      </w:r>
      <w:r w:rsidR="00442BE0" w:rsidRPr="00BD66CE">
        <w:rPr>
          <w:rFonts w:ascii="Verdana" w:hAnsi="Verdana"/>
        </w:rPr>
        <w:t xml:space="preserve"> (secretariats).</w:t>
      </w:r>
      <w:r w:rsidR="00E76B92" w:rsidRPr="00BD66CE">
        <w:rPr>
          <w:rFonts w:ascii="Verdana" w:hAnsi="Verdana"/>
        </w:rPr>
        <w:t xml:space="preserve"> R.S.G.M. is a full-time scholarship recipient. The author is equally thankful to CAPES and PUCRS</w:t>
      </w:r>
      <w:r w:rsidR="00740A06" w:rsidRPr="00BD66CE">
        <w:rPr>
          <w:rFonts w:ascii="Verdana" w:hAnsi="Verdana"/>
        </w:rPr>
        <w:t>,</w:t>
      </w:r>
      <w:r w:rsidR="00E76B92" w:rsidRPr="00BD66CE">
        <w:rPr>
          <w:rFonts w:ascii="Verdana" w:hAnsi="Verdana"/>
        </w:rPr>
        <w:t xml:space="preserve"> for the financial aid granted during his doctorate studies. </w:t>
      </w:r>
    </w:p>
    <w:p w14:paraId="3C050C7C" w14:textId="77777777" w:rsidR="00BD66CE" w:rsidRPr="00BD66CE" w:rsidRDefault="005C4D87" w:rsidP="00BD66CE">
      <w:pPr>
        <w:pStyle w:val="MDPI62BackMatter"/>
        <w:ind w:left="0"/>
        <w:rPr>
          <w:rFonts w:ascii="Verdana" w:hAnsi="Verdana"/>
          <w:lang w:val="es-BR"/>
        </w:rPr>
      </w:pPr>
      <w:r w:rsidRPr="00BD66CE">
        <w:rPr>
          <w:rFonts w:ascii="Verdana" w:hAnsi="Verdana"/>
          <w:b/>
        </w:rPr>
        <w:t>Conflicts of Interest:</w:t>
      </w:r>
      <w:r w:rsidRPr="00BD66CE">
        <w:rPr>
          <w:rFonts w:ascii="Verdana" w:hAnsi="Verdana"/>
        </w:rPr>
        <w:t xml:space="preserve"> </w:t>
      </w:r>
      <w:r w:rsidR="00BD66CE" w:rsidRPr="00BD66CE">
        <w:rPr>
          <w:rFonts w:ascii="Verdana" w:hAnsi="Verdana"/>
          <w:lang w:val="es-BR"/>
        </w:rPr>
        <w:t>All authors declared that there are no conflicts of interest</w:t>
      </w:r>
    </w:p>
    <w:p w14:paraId="10CE59DD" w14:textId="28BCD800" w:rsidR="00E76B92" w:rsidRPr="008B22E3" w:rsidRDefault="00E76B92" w:rsidP="004C51F9">
      <w:pPr>
        <w:pStyle w:val="MDPI62BackMatter"/>
        <w:ind w:left="0"/>
        <w:rPr>
          <w:rFonts w:ascii="Verdana" w:hAnsi="Verdana"/>
          <w:lang w:val="es-BR"/>
        </w:rPr>
      </w:pPr>
    </w:p>
    <w:p w14:paraId="0A590632" w14:textId="77777777" w:rsidR="005C4D87" w:rsidRPr="008B22E3" w:rsidRDefault="005C4D87" w:rsidP="00877A56">
      <w:pPr>
        <w:pStyle w:val="MDPI21heading1"/>
        <w:ind w:left="0"/>
        <w:rPr>
          <w:rFonts w:ascii="Verdana" w:hAnsi="Verdana"/>
        </w:rPr>
      </w:pPr>
      <w:r w:rsidRPr="008B22E3">
        <w:rPr>
          <w:rFonts w:ascii="Verdana" w:hAnsi="Verdana"/>
        </w:rPr>
        <w:t>References</w:t>
      </w:r>
    </w:p>
    <w:p w14:paraId="70042F29" w14:textId="77777777" w:rsidR="003A20CC" w:rsidRPr="008B22E3" w:rsidRDefault="003A20CC" w:rsidP="005663D8">
      <w:pPr>
        <w:pStyle w:val="MDPI71References"/>
        <w:numPr>
          <w:ilvl w:val="0"/>
          <w:numId w:val="0"/>
        </w:numPr>
        <w:ind w:left="425" w:hanging="425"/>
        <w:rPr>
          <w:rFonts w:ascii="Verdana" w:hAnsi="Verdana"/>
        </w:rPr>
      </w:pPr>
    </w:p>
    <w:p w14:paraId="231BD516"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Pal, M.; Berhanu, G.; Desalegn, C.; Kandi, V. Severe acute respiratory syndrome coronavirus-2 (SARS-CoV-2): an update. </w:t>
      </w:r>
      <w:r w:rsidRPr="002F44E4">
        <w:rPr>
          <w:rFonts w:ascii="Verdana" w:hAnsi="Verdana"/>
          <w:i/>
          <w:iCs/>
        </w:rPr>
        <w:t>Cureus</w:t>
      </w:r>
      <w:r w:rsidRPr="002F44E4">
        <w:rPr>
          <w:rFonts w:ascii="Verdana" w:hAnsi="Verdana"/>
        </w:rPr>
        <w:t>, </w:t>
      </w:r>
      <w:r w:rsidRPr="002F44E4">
        <w:rPr>
          <w:rFonts w:ascii="Verdana" w:hAnsi="Verdana"/>
          <w:lang w:val="pt-PT"/>
        </w:rPr>
        <w:t xml:space="preserve">2020, </w:t>
      </w:r>
      <w:r w:rsidRPr="002F44E4">
        <w:rPr>
          <w:rFonts w:ascii="Verdana" w:hAnsi="Verdana"/>
          <w:i/>
          <w:iCs/>
        </w:rPr>
        <w:t>12</w:t>
      </w:r>
      <w:r w:rsidRPr="002F44E4">
        <w:rPr>
          <w:rFonts w:ascii="Verdana" w:hAnsi="Verdana"/>
          <w:lang w:val="pt-PT"/>
        </w:rPr>
        <w:t xml:space="preserve">, e7423. </w:t>
      </w:r>
    </w:p>
    <w:p w14:paraId="7DCA78BE"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Cucinotta, D.; Vanelli, M. WHO declares COVID-19 a pandemic. </w:t>
      </w:r>
      <w:r w:rsidRPr="002F44E4">
        <w:rPr>
          <w:rFonts w:ascii="Verdana" w:hAnsi="Verdana"/>
          <w:i/>
          <w:iCs/>
        </w:rPr>
        <w:t>Acta Biomed</w:t>
      </w:r>
      <w:r w:rsidRPr="002F44E4">
        <w:rPr>
          <w:rFonts w:ascii="Verdana" w:hAnsi="Verdana"/>
        </w:rPr>
        <w:t xml:space="preserve">, 2020, </w:t>
      </w:r>
      <w:r w:rsidRPr="002F44E4">
        <w:rPr>
          <w:rFonts w:ascii="Verdana" w:hAnsi="Verdana"/>
          <w:i/>
          <w:iCs/>
        </w:rPr>
        <w:t>91</w:t>
      </w:r>
      <w:r w:rsidRPr="002F44E4">
        <w:rPr>
          <w:rFonts w:ascii="Verdana" w:hAnsi="Verdana"/>
        </w:rPr>
        <w:t xml:space="preserve">, 157-160.  </w:t>
      </w:r>
    </w:p>
    <w:p w14:paraId="5B87035D"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Kang, S.J.; Jung, S.I. Age-related morbidity and mortality among patients with COVID-19. </w:t>
      </w:r>
      <w:r w:rsidRPr="002F44E4">
        <w:rPr>
          <w:rFonts w:ascii="Verdana" w:hAnsi="Verdana"/>
          <w:i/>
          <w:iCs/>
        </w:rPr>
        <w:t>Infect Chemother</w:t>
      </w:r>
      <w:r w:rsidRPr="002F44E4">
        <w:rPr>
          <w:rFonts w:ascii="Verdana" w:hAnsi="Verdana"/>
        </w:rPr>
        <w:t xml:space="preserve">, 2020, </w:t>
      </w:r>
      <w:r w:rsidRPr="002F44E4">
        <w:rPr>
          <w:rFonts w:ascii="Verdana" w:hAnsi="Verdana"/>
          <w:i/>
          <w:iCs/>
        </w:rPr>
        <w:t>52</w:t>
      </w:r>
      <w:r w:rsidRPr="002F44E4">
        <w:rPr>
          <w:rFonts w:ascii="Verdana" w:hAnsi="Verdana"/>
        </w:rPr>
        <w:t xml:space="preserve">, 154-164. </w:t>
      </w:r>
    </w:p>
    <w:p w14:paraId="6598E7D1"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Radwan, E.; Radwan, A.; Radwan, W. Challenges facing older adults during the COVID-19 outbreak. </w:t>
      </w:r>
      <w:r w:rsidRPr="002F44E4">
        <w:rPr>
          <w:rFonts w:ascii="Verdana" w:hAnsi="Verdana"/>
          <w:i/>
          <w:iCs/>
        </w:rPr>
        <w:t>European Journal of Environment and Public Health</w:t>
      </w:r>
      <w:r w:rsidRPr="002F44E4">
        <w:rPr>
          <w:rFonts w:ascii="Verdana" w:hAnsi="Verdana"/>
        </w:rPr>
        <w:t xml:space="preserve">, 2021, </w:t>
      </w:r>
      <w:r w:rsidRPr="002F44E4">
        <w:rPr>
          <w:rFonts w:ascii="Verdana" w:hAnsi="Verdana"/>
          <w:i/>
          <w:iCs/>
        </w:rPr>
        <w:t>5</w:t>
      </w:r>
      <w:r w:rsidRPr="002F44E4">
        <w:rPr>
          <w:rFonts w:ascii="Verdana" w:hAnsi="Verdana"/>
        </w:rPr>
        <w:t xml:space="preserve">, 1-6. </w:t>
      </w:r>
    </w:p>
    <w:p w14:paraId="36021F62"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Abramo, L.; Cecchini, S.; Ullmann, H. Addressing health inequalities in Latin America: the role of social protection. </w:t>
      </w:r>
      <w:r w:rsidRPr="002F44E4">
        <w:rPr>
          <w:rFonts w:ascii="Verdana" w:hAnsi="Verdana"/>
          <w:i/>
          <w:iCs/>
        </w:rPr>
        <w:t>Cien Saude Coletiva</w:t>
      </w:r>
      <w:r w:rsidRPr="002F44E4">
        <w:rPr>
          <w:rFonts w:ascii="Verdana" w:hAnsi="Verdana"/>
        </w:rPr>
        <w:t xml:space="preserve">, 2020, </w:t>
      </w:r>
      <w:r w:rsidRPr="002F44E4">
        <w:rPr>
          <w:rFonts w:ascii="Verdana" w:hAnsi="Verdana"/>
          <w:i/>
          <w:iCs/>
        </w:rPr>
        <w:t>25</w:t>
      </w:r>
      <w:r w:rsidRPr="002F44E4">
        <w:rPr>
          <w:rFonts w:ascii="Verdana" w:hAnsi="Verdana"/>
        </w:rPr>
        <w:t xml:space="preserve">, 1587-1598. </w:t>
      </w:r>
    </w:p>
    <w:p w14:paraId="0A7AC002"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Rodríguez-Apolinar, S.; Fernández-Arias, E. The productivity gap in Latin America: lessons from 50 years of development. IDB Working Paper ADB-WP-692. </w:t>
      </w:r>
      <w:r w:rsidRPr="002F44E4">
        <w:rPr>
          <w:rFonts w:ascii="Verdana" w:hAnsi="Verdana"/>
          <w:i/>
          <w:iCs/>
        </w:rPr>
        <w:t>Inter-American Development Bank</w:t>
      </w:r>
      <w:r w:rsidRPr="002F44E4">
        <w:rPr>
          <w:rFonts w:ascii="Verdana" w:hAnsi="Verdana"/>
        </w:rPr>
        <w:t xml:space="preserve">, 2016. </w:t>
      </w:r>
    </w:p>
    <w:p w14:paraId="2224B231"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Amarante, V.; Colacce, M.; Manzi, P. Aging and productivity in Latin America. </w:t>
      </w:r>
      <w:r w:rsidRPr="002F44E4">
        <w:rPr>
          <w:rFonts w:ascii="Verdana" w:hAnsi="Verdana"/>
          <w:i/>
          <w:iCs/>
        </w:rPr>
        <w:t>Latin American Research Review</w:t>
      </w:r>
      <w:r w:rsidRPr="002F44E4">
        <w:rPr>
          <w:rFonts w:ascii="Verdana" w:hAnsi="Verdana"/>
        </w:rPr>
        <w:t xml:space="preserve">, 2021, </w:t>
      </w:r>
      <w:r w:rsidRPr="002F44E4">
        <w:rPr>
          <w:rFonts w:ascii="Verdana" w:hAnsi="Verdana"/>
          <w:i/>
          <w:iCs/>
        </w:rPr>
        <w:t>56</w:t>
      </w:r>
      <w:r w:rsidRPr="002F44E4">
        <w:rPr>
          <w:rFonts w:ascii="Verdana" w:hAnsi="Verdana"/>
        </w:rPr>
        <w:t xml:space="preserve">, 844-866. </w:t>
      </w:r>
    </w:p>
    <w:p w14:paraId="74D4D4BE"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Dávila-Cervantes, C.; Agudelo-Botero, M. Health inequalities in Latin-America: persistent gaps in life expectancy. </w:t>
      </w:r>
      <w:r w:rsidRPr="002F44E4">
        <w:rPr>
          <w:rFonts w:ascii="Verdana" w:hAnsi="Verdana"/>
          <w:i/>
          <w:iCs/>
        </w:rPr>
        <w:t>The Lancet Planetary Health</w:t>
      </w:r>
      <w:r w:rsidRPr="002F44E4">
        <w:rPr>
          <w:rFonts w:ascii="Verdana" w:hAnsi="Verdana"/>
        </w:rPr>
        <w:t xml:space="preserve">, 2019, </w:t>
      </w:r>
      <w:r w:rsidRPr="002F44E4">
        <w:rPr>
          <w:rFonts w:ascii="Verdana" w:hAnsi="Verdana"/>
          <w:i/>
          <w:iCs/>
        </w:rPr>
        <w:t>3</w:t>
      </w:r>
      <w:r w:rsidRPr="002F44E4">
        <w:rPr>
          <w:rFonts w:ascii="Verdana" w:hAnsi="Verdana"/>
        </w:rPr>
        <w:t xml:space="preserve">, 492-493. </w:t>
      </w:r>
    </w:p>
    <w:p w14:paraId="23F28026"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Ali, I.; Alharbi, O.M.L. COVID-19: disease, management, treatment, and social impact. </w:t>
      </w:r>
      <w:r w:rsidRPr="002F44E4">
        <w:rPr>
          <w:rFonts w:ascii="Verdana" w:hAnsi="Verdana"/>
          <w:i/>
          <w:iCs/>
        </w:rPr>
        <w:t>Science of the Total Environment</w:t>
      </w:r>
      <w:r w:rsidRPr="002F44E4">
        <w:rPr>
          <w:rFonts w:ascii="Verdana" w:hAnsi="Verdana"/>
        </w:rPr>
        <w:t xml:space="preserve">, 2020, </w:t>
      </w:r>
      <w:r w:rsidRPr="002F44E4">
        <w:rPr>
          <w:rFonts w:ascii="Verdana" w:hAnsi="Verdana"/>
          <w:i/>
          <w:iCs/>
        </w:rPr>
        <w:t>728</w:t>
      </w:r>
      <w:r w:rsidRPr="002F44E4">
        <w:rPr>
          <w:rFonts w:ascii="Verdana" w:hAnsi="Verdana"/>
        </w:rPr>
        <w:t xml:space="preserve">, 1-6. </w:t>
      </w:r>
    </w:p>
    <w:p w14:paraId="292B06DA" w14:textId="77777777" w:rsidR="008D2ED2" w:rsidRPr="002F44E4" w:rsidRDefault="008D2ED2" w:rsidP="008D2ED2">
      <w:pPr>
        <w:pStyle w:val="MDPI71References"/>
        <w:numPr>
          <w:ilvl w:val="0"/>
          <w:numId w:val="24"/>
        </w:numPr>
        <w:rPr>
          <w:rFonts w:ascii="Verdana" w:hAnsi="Verdana"/>
          <w:lang w:val="es-ES"/>
        </w:rPr>
      </w:pPr>
      <w:r w:rsidRPr="002F44E4">
        <w:rPr>
          <w:rFonts w:ascii="Verdana" w:hAnsi="Verdana"/>
          <w:lang w:val="es-ES"/>
        </w:rPr>
        <w:t xml:space="preserve">Cervantes, A.; Matarrita, M.; Reca, S. Los estados de excepción en tiempos de pandemia: un estudio comparado en América Latina. </w:t>
      </w:r>
      <w:r w:rsidRPr="002F44E4">
        <w:rPr>
          <w:rFonts w:ascii="Verdana" w:hAnsi="Verdana"/>
          <w:i/>
          <w:iCs/>
          <w:lang w:val="es-ES"/>
        </w:rPr>
        <w:t>Cuadernos Manuel Giménez Abad</w:t>
      </w:r>
      <w:r w:rsidRPr="002F44E4">
        <w:rPr>
          <w:rFonts w:ascii="Verdana" w:hAnsi="Verdana"/>
          <w:lang w:val="es-ES"/>
        </w:rPr>
        <w:t xml:space="preserve">, 2020, </w:t>
      </w:r>
      <w:r w:rsidRPr="002F44E4">
        <w:rPr>
          <w:rFonts w:ascii="Verdana" w:hAnsi="Verdana"/>
          <w:i/>
          <w:iCs/>
          <w:lang w:val="es-ES"/>
        </w:rPr>
        <w:t>20</w:t>
      </w:r>
      <w:r w:rsidRPr="002F44E4">
        <w:rPr>
          <w:rFonts w:ascii="Verdana" w:hAnsi="Verdana"/>
          <w:lang w:val="es-ES"/>
        </w:rPr>
        <w:t>, 179-206.</w:t>
      </w:r>
    </w:p>
    <w:p w14:paraId="72B292E3"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Bonilla-Cruz, N.J.; Cudris-Torres, L.; Mendoza-Rincón, B.M.; Gamboa-Aldana, A.S.; Fiogiony-Santos, J. Health strategies in Latin America for the elderly in relation to COVID-19. </w:t>
      </w:r>
      <w:r w:rsidRPr="002F44E4">
        <w:rPr>
          <w:rFonts w:ascii="Verdana" w:hAnsi="Verdana"/>
          <w:i/>
          <w:iCs/>
        </w:rPr>
        <w:t>Gac Méd Caracas</w:t>
      </w:r>
      <w:r w:rsidRPr="002F44E4">
        <w:rPr>
          <w:rFonts w:ascii="Verdana" w:hAnsi="Verdana"/>
        </w:rPr>
        <w:t xml:space="preserve">, 2020, </w:t>
      </w:r>
      <w:r w:rsidRPr="002F44E4">
        <w:rPr>
          <w:rFonts w:ascii="Verdana" w:hAnsi="Verdana"/>
          <w:i/>
          <w:iCs/>
        </w:rPr>
        <w:t>128</w:t>
      </w:r>
      <w:r w:rsidRPr="002F44E4">
        <w:rPr>
          <w:rFonts w:ascii="Verdana" w:hAnsi="Verdana"/>
        </w:rPr>
        <w:t xml:space="preserve">, 301-311. </w:t>
      </w:r>
    </w:p>
    <w:p w14:paraId="47BA096C"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Quesada-Román, A.; Torres-Bernhard, L.; Ruíz-Álvarez, M.A.; Rodríguez-Maradiaga, M.; Velázquez-Espinoza, G.; et al. Geodiversity, geoconservation, and geoturism in Central America. </w:t>
      </w:r>
      <w:r w:rsidRPr="002F44E4">
        <w:rPr>
          <w:rFonts w:ascii="Verdana" w:hAnsi="Verdana"/>
          <w:i/>
          <w:iCs/>
        </w:rPr>
        <w:t>Land</w:t>
      </w:r>
      <w:r w:rsidRPr="002F44E4">
        <w:rPr>
          <w:rFonts w:ascii="Verdana" w:hAnsi="Verdana"/>
        </w:rPr>
        <w:t xml:space="preserve">, 2022, </w:t>
      </w:r>
      <w:r w:rsidRPr="002F44E4">
        <w:rPr>
          <w:rFonts w:ascii="Verdana" w:hAnsi="Verdana"/>
          <w:i/>
          <w:iCs/>
        </w:rPr>
        <w:t>11</w:t>
      </w:r>
      <w:r w:rsidRPr="002F44E4">
        <w:rPr>
          <w:rFonts w:ascii="Verdana" w:hAnsi="Verdana"/>
        </w:rPr>
        <w:t xml:space="preserve">, 1-16. </w:t>
      </w:r>
    </w:p>
    <w:p w14:paraId="470850EC"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lastRenderedPageBreak/>
        <w:t xml:space="preserve">Báez, R.R. The economic role of tourism in Central America. </w:t>
      </w:r>
      <w:r w:rsidRPr="002F44E4">
        <w:rPr>
          <w:rFonts w:ascii="Verdana" w:hAnsi="Verdana"/>
          <w:i/>
        </w:rPr>
        <w:t>SIECA's Directorate of Economic Intelligence: Policy Brief</w:t>
      </w:r>
      <w:r w:rsidRPr="002F44E4">
        <w:rPr>
          <w:rFonts w:ascii="Verdana" w:hAnsi="Verdana"/>
        </w:rPr>
        <w:t xml:space="preserve">, 2015, </w:t>
      </w:r>
      <w:r w:rsidRPr="002F44E4">
        <w:rPr>
          <w:rFonts w:ascii="Verdana" w:hAnsi="Verdana"/>
          <w:i/>
        </w:rPr>
        <w:t>13</w:t>
      </w:r>
      <w:r w:rsidRPr="002F44E4">
        <w:rPr>
          <w:rFonts w:ascii="Verdana" w:hAnsi="Verdana"/>
        </w:rPr>
        <w:t xml:space="preserve">, 1-12. </w:t>
      </w:r>
    </w:p>
    <w:p w14:paraId="25153BA9"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Alvarez, M.V. Latin American public opinion vis-à-vis regional integration (1995-2018). </w:t>
      </w:r>
      <w:r w:rsidRPr="002F44E4">
        <w:rPr>
          <w:rFonts w:ascii="Verdana" w:hAnsi="Verdana"/>
          <w:i/>
          <w:iCs/>
        </w:rPr>
        <w:t>Estudios Internacionales</w:t>
      </w:r>
      <w:r w:rsidRPr="002F44E4">
        <w:rPr>
          <w:rFonts w:ascii="Verdana" w:hAnsi="Verdana"/>
        </w:rPr>
        <w:t xml:space="preserve">, 2021, </w:t>
      </w:r>
      <w:r w:rsidRPr="002F44E4">
        <w:rPr>
          <w:rFonts w:ascii="Verdana" w:hAnsi="Verdana"/>
          <w:i/>
          <w:iCs/>
        </w:rPr>
        <w:t>53</w:t>
      </w:r>
      <w:r w:rsidRPr="002F44E4">
        <w:rPr>
          <w:rFonts w:ascii="Verdana" w:hAnsi="Verdana"/>
        </w:rPr>
        <w:t xml:space="preserve">, 33-60. </w:t>
      </w:r>
    </w:p>
    <w:p w14:paraId="3A9E98A3" w14:textId="71A4A320" w:rsidR="008D2ED2" w:rsidRPr="002F44E4" w:rsidRDefault="008D2ED2" w:rsidP="008D2ED2">
      <w:pPr>
        <w:pStyle w:val="MDPI71References"/>
        <w:numPr>
          <w:ilvl w:val="0"/>
          <w:numId w:val="24"/>
        </w:numPr>
        <w:rPr>
          <w:rFonts w:ascii="Verdana" w:hAnsi="Verdana"/>
        </w:rPr>
      </w:pPr>
      <w:r w:rsidRPr="002F44E4">
        <w:rPr>
          <w:rFonts w:ascii="Verdana" w:hAnsi="Verdana"/>
          <w:lang w:val="es-ES"/>
        </w:rPr>
        <w:t>Central American Integration Scheme (Sistema de Integración Centroamericana</w:t>
      </w:r>
      <w:r w:rsidR="007154F7" w:rsidRPr="002F44E4">
        <w:rPr>
          <w:rFonts w:ascii="Verdana" w:hAnsi="Verdana"/>
          <w:lang w:val="es-ES"/>
        </w:rPr>
        <w:t>,</w:t>
      </w:r>
      <w:r w:rsidRPr="002F44E4">
        <w:rPr>
          <w:rFonts w:ascii="Verdana" w:hAnsi="Verdana"/>
          <w:lang w:val="es-ES"/>
        </w:rPr>
        <w:t xml:space="preserve"> SICA). Protocolo de Tegucigalpa a la Carta de la Organización de Estados Centroamericanos (ODECA). </w:t>
      </w:r>
      <w:r w:rsidRPr="002F44E4">
        <w:rPr>
          <w:rFonts w:ascii="Verdana" w:hAnsi="Verdana"/>
        </w:rPr>
        <w:t xml:space="preserve">Available online: </w:t>
      </w:r>
      <w:hyperlink r:id="rId19" w:history="1">
        <w:r w:rsidRPr="002F44E4">
          <w:rPr>
            <w:rStyle w:val="Hipervnculo"/>
            <w:rFonts w:ascii="Verdana" w:hAnsi="Verdana"/>
          </w:rPr>
          <w:t>http://www.sice.oas.org/trade/sica/SG121391.asp</w:t>
        </w:r>
      </w:hyperlink>
      <w:r w:rsidRPr="002F44E4">
        <w:rPr>
          <w:rFonts w:ascii="Verdana" w:hAnsi="Verdana"/>
        </w:rPr>
        <w:t xml:space="preserve">. (Accessed on 10 October 2022). </w:t>
      </w:r>
    </w:p>
    <w:p w14:paraId="715281AC" w14:textId="4C72DAEF" w:rsidR="008D2ED2" w:rsidRPr="002F44E4" w:rsidRDefault="008D2ED2" w:rsidP="008D2ED2">
      <w:pPr>
        <w:pStyle w:val="MDPI71References"/>
        <w:numPr>
          <w:ilvl w:val="0"/>
          <w:numId w:val="24"/>
        </w:numPr>
        <w:rPr>
          <w:rFonts w:ascii="Verdana" w:hAnsi="Verdana"/>
        </w:rPr>
      </w:pPr>
      <w:r w:rsidRPr="002F44E4">
        <w:rPr>
          <w:rFonts w:ascii="Verdana" w:hAnsi="Verdana"/>
        </w:rPr>
        <w:t>Council of Central American Ministers of Health (Consejo Centroamericano de Minsitros de Salud</w:t>
      </w:r>
      <w:r w:rsidR="002434AC" w:rsidRPr="002F44E4">
        <w:rPr>
          <w:rFonts w:ascii="Verdana" w:hAnsi="Verdana"/>
        </w:rPr>
        <w:t>,</w:t>
      </w:r>
      <w:r w:rsidRPr="002F44E4">
        <w:rPr>
          <w:rFonts w:ascii="Verdana" w:hAnsi="Verdana"/>
        </w:rPr>
        <w:t xml:space="preserve"> COMISCA). Legal framework. Available online: </w:t>
      </w:r>
      <w:hyperlink r:id="rId20" w:history="1">
        <w:r w:rsidRPr="002F44E4">
          <w:rPr>
            <w:rStyle w:val="Hipervnculo"/>
            <w:rFonts w:ascii="Verdana" w:hAnsi="Verdana"/>
          </w:rPr>
          <w:t>https://www.sica.int/comisca/marco_juridico.aspx</w:t>
        </w:r>
      </w:hyperlink>
      <w:r w:rsidRPr="002F44E4">
        <w:rPr>
          <w:rFonts w:ascii="Verdana" w:hAnsi="Verdana"/>
        </w:rPr>
        <w:t xml:space="preserve">. (Accessed on 10 October 2022). </w:t>
      </w:r>
    </w:p>
    <w:p w14:paraId="0545A93C"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Monge, P.; Carmenate, L.; Piedra, N.; Aragón, A.; Partanen, T. Work and health in Central America. </w:t>
      </w:r>
      <w:r w:rsidRPr="002F44E4">
        <w:rPr>
          <w:rFonts w:ascii="Verdana" w:hAnsi="Verdana"/>
          <w:i/>
        </w:rPr>
        <w:t>Arch Prev Riesgos Labor</w:t>
      </w:r>
      <w:r w:rsidRPr="002F44E4">
        <w:rPr>
          <w:rFonts w:ascii="Verdana" w:hAnsi="Verdana"/>
        </w:rPr>
        <w:t xml:space="preserve">, 2010, </w:t>
      </w:r>
      <w:r w:rsidRPr="002F44E4">
        <w:rPr>
          <w:rFonts w:ascii="Verdana" w:hAnsi="Verdana"/>
          <w:i/>
        </w:rPr>
        <w:t>13</w:t>
      </w:r>
      <w:r w:rsidRPr="002F44E4">
        <w:rPr>
          <w:rFonts w:ascii="Verdana" w:hAnsi="Verdana"/>
        </w:rPr>
        <w:t xml:space="preserve">, 84-91.   </w:t>
      </w:r>
    </w:p>
    <w:p w14:paraId="5C7A1F1D"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Rubio, X.A.B.; Ugarte, V.S.R. Normativity and social vision about participatory public healthcare policies in Central America. </w:t>
      </w:r>
      <w:r w:rsidRPr="002F44E4">
        <w:rPr>
          <w:rFonts w:ascii="Verdana" w:hAnsi="Verdana"/>
          <w:i/>
        </w:rPr>
        <w:t>R. Katál.,</w:t>
      </w:r>
      <w:r w:rsidRPr="002F44E4">
        <w:rPr>
          <w:rFonts w:ascii="Verdana" w:hAnsi="Verdana"/>
        </w:rPr>
        <w:t xml:space="preserve"> 2014, </w:t>
      </w:r>
      <w:r w:rsidRPr="002F44E4">
        <w:rPr>
          <w:rFonts w:ascii="Verdana" w:hAnsi="Verdana"/>
          <w:i/>
        </w:rPr>
        <w:t>17</w:t>
      </w:r>
      <w:r w:rsidRPr="002F44E4">
        <w:rPr>
          <w:rFonts w:ascii="Verdana" w:hAnsi="Verdana"/>
        </w:rPr>
        <w:t xml:space="preserve">, 242-251. </w:t>
      </w:r>
    </w:p>
    <w:p w14:paraId="54087DD7"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Delgado, B.M.G.; Silva, AP.; Rodríguez, J.M. Concept map on health and intellectual property in Central America and the Dominican Republic. </w:t>
      </w:r>
      <w:r w:rsidRPr="002F44E4">
        <w:rPr>
          <w:rFonts w:ascii="Verdana" w:hAnsi="Verdana"/>
          <w:i/>
        </w:rPr>
        <w:t>Rev Panam Salud Publica</w:t>
      </w:r>
      <w:r w:rsidRPr="002F44E4">
        <w:rPr>
          <w:rFonts w:ascii="Verdana" w:hAnsi="Verdana"/>
        </w:rPr>
        <w:t xml:space="preserve">, 2019, </w:t>
      </w:r>
      <w:r w:rsidRPr="002F44E4">
        <w:rPr>
          <w:rFonts w:ascii="Verdana" w:hAnsi="Verdana"/>
          <w:i/>
        </w:rPr>
        <w:t>43</w:t>
      </w:r>
      <w:r w:rsidRPr="002F44E4">
        <w:rPr>
          <w:rFonts w:ascii="Verdana" w:hAnsi="Verdana"/>
        </w:rPr>
        <w:t>, 1-9.</w:t>
      </w:r>
    </w:p>
    <w:p w14:paraId="64D086EE"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Vega, J.; Frenz, P. Latin America: priorities for universal health coverage. </w:t>
      </w:r>
      <w:r w:rsidRPr="002F44E4">
        <w:rPr>
          <w:rFonts w:ascii="Verdana" w:hAnsi="Verdana"/>
          <w:i/>
          <w:iCs/>
        </w:rPr>
        <w:t>The Lancet</w:t>
      </w:r>
      <w:r w:rsidRPr="002F44E4">
        <w:rPr>
          <w:rFonts w:ascii="Verdana" w:hAnsi="Verdana"/>
        </w:rPr>
        <w:t xml:space="preserve">, 2014, </w:t>
      </w:r>
      <w:r w:rsidRPr="002F44E4">
        <w:rPr>
          <w:rFonts w:ascii="Verdana" w:hAnsi="Verdana"/>
          <w:i/>
          <w:iCs/>
        </w:rPr>
        <w:t>385</w:t>
      </w:r>
      <w:r w:rsidRPr="002F44E4">
        <w:rPr>
          <w:rFonts w:ascii="Verdana" w:hAnsi="Verdana"/>
        </w:rPr>
        <w:t>, e31-e32.</w:t>
      </w:r>
    </w:p>
    <w:p w14:paraId="2ED552E5"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Marzioni, S.C. Pandemic, aging and public policies in Latin America. Theoretical notes to think about the problem of unequal old age from the perspectives of the life course and the political economy of aging. </w:t>
      </w:r>
      <w:r w:rsidRPr="002F44E4">
        <w:rPr>
          <w:rFonts w:ascii="Verdana" w:hAnsi="Verdana"/>
          <w:i/>
          <w:iCs/>
        </w:rPr>
        <w:t>Anthropologica</w:t>
      </w:r>
      <w:r w:rsidRPr="002F44E4">
        <w:rPr>
          <w:rFonts w:ascii="Verdana" w:hAnsi="Verdana"/>
        </w:rPr>
        <w:t xml:space="preserve">, 2021, </w:t>
      </w:r>
      <w:r w:rsidRPr="002F44E4">
        <w:rPr>
          <w:rFonts w:ascii="Verdana" w:hAnsi="Verdana"/>
          <w:i/>
          <w:iCs/>
        </w:rPr>
        <w:t>39</w:t>
      </w:r>
      <w:r w:rsidRPr="002F44E4">
        <w:rPr>
          <w:rFonts w:ascii="Verdana" w:hAnsi="Verdana"/>
        </w:rPr>
        <w:t>, 157-181.</w:t>
      </w:r>
    </w:p>
    <w:p w14:paraId="48D9ED63"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Gutiérrez-Murillo, R.S. Health and social rights of older adults in continental Central America: a comparative historical and legal analysis. </w:t>
      </w:r>
      <w:r w:rsidRPr="002F44E4">
        <w:rPr>
          <w:rFonts w:ascii="Verdana" w:hAnsi="Verdana"/>
          <w:i/>
          <w:iCs/>
        </w:rPr>
        <w:t>J Aging Sci</w:t>
      </w:r>
      <w:r w:rsidRPr="002F44E4">
        <w:rPr>
          <w:rFonts w:ascii="Verdana" w:hAnsi="Verdana"/>
        </w:rPr>
        <w:t xml:space="preserve">, 2021, </w:t>
      </w:r>
      <w:r w:rsidRPr="002F44E4">
        <w:rPr>
          <w:rFonts w:ascii="Verdana" w:hAnsi="Verdana"/>
          <w:i/>
          <w:iCs/>
        </w:rPr>
        <w:t>9</w:t>
      </w:r>
      <w:r w:rsidRPr="002F44E4">
        <w:rPr>
          <w:rFonts w:ascii="Verdana" w:hAnsi="Verdana"/>
        </w:rPr>
        <w:t xml:space="preserve">, 1-10.  </w:t>
      </w:r>
    </w:p>
    <w:p w14:paraId="6B74D2C4"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Backman, G.; Hunt, P.; Khosla, R.; Jaramillo-Strouss, C.; Fikre, B.M.; Rumble, C.; et al. Health systems and the right to health: an assessment of 194 countries. </w:t>
      </w:r>
      <w:r w:rsidRPr="002F44E4">
        <w:rPr>
          <w:rFonts w:ascii="Verdana" w:hAnsi="Verdana"/>
          <w:i/>
          <w:iCs/>
        </w:rPr>
        <w:t>The Lancet</w:t>
      </w:r>
      <w:r w:rsidRPr="002F44E4">
        <w:rPr>
          <w:rFonts w:ascii="Verdana" w:hAnsi="Verdana"/>
        </w:rPr>
        <w:t xml:space="preserve">, 2008, </w:t>
      </w:r>
      <w:r w:rsidRPr="002F44E4">
        <w:rPr>
          <w:rFonts w:ascii="Verdana" w:hAnsi="Verdana"/>
          <w:i/>
          <w:iCs/>
        </w:rPr>
        <w:t>372</w:t>
      </w:r>
      <w:r w:rsidRPr="002F44E4">
        <w:rPr>
          <w:rFonts w:ascii="Verdana" w:hAnsi="Verdana"/>
        </w:rPr>
        <w:t xml:space="preserve">, 2047-2085.  </w:t>
      </w:r>
    </w:p>
    <w:p w14:paraId="7BC6A74E" w14:textId="79A9424A" w:rsidR="008D2ED2" w:rsidRPr="002F44E4" w:rsidRDefault="001214D8" w:rsidP="008D2ED2">
      <w:pPr>
        <w:pStyle w:val="MDPI71References"/>
        <w:numPr>
          <w:ilvl w:val="0"/>
          <w:numId w:val="24"/>
        </w:numPr>
        <w:rPr>
          <w:rFonts w:ascii="Verdana" w:hAnsi="Verdana"/>
        </w:rPr>
      </w:pPr>
      <w:r w:rsidRPr="002F44E4">
        <w:rPr>
          <w:rFonts w:ascii="Verdana" w:hAnsi="Verdana"/>
        </w:rPr>
        <w:t xml:space="preserve">CAIS's Regional Health Policy 2015-2022. </w:t>
      </w:r>
      <w:r w:rsidR="00992964" w:rsidRPr="002F44E4">
        <w:rPr>
          <w:rFonts w:ascii="Verdana" w:hAnsi="Verdana"/>
        </w:rPr>
        <w:t xml:space="preserve">Approved at the 44th Ordinary Meeting of Heads of State and Government of the Central American Integration Scheme, December 2014. </w:t>
      </w:r>
      <w:r w:rsidRPr="002F44E4">
        <w:rPr>
          <w:rFonts w:ascii="Verdana" w:hAnsi="Verdana"/>
        </w:rPr>
        <w:t xml:space="preserve">Available online: </w:t>
      </w:r>
      <w:hyperlink r:id="rId21" w:history="1">
        <w:r w:rsidRPr="002F44E4">
          <w:rPr>
            <w:rStyle w:val="Hipervnculo"/>
            <w:rFonts w:ascii="Verdana" w:hAnsi="Verdana"/>
          </w:rPr>
          <w:t>https://centro.observatoriorh.org/sites/centro.observatoriorh.org/files/webfiles/fulltext/2014/politica_salud_sica_15_22.pdf</w:t>
        </w:r>
      </w:hyperlink>
      <w:r w:rsidRPr="002F44E4">
        <w:rPr>
          <w:rFonts w:ascii="Verdana" w:hAnsi="Verdana"/>
        </w:rPr>
        <w:t xml:space="preserve">. (Accessed on 10 October 2022). </w:t>
      </w:r>
    </w:p>
    <w:p w14:paraId="0F0D5027"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Council of Central American Ministers of Health (CCAMH). Resolution CCAMH 08-2020, Regarding the final evaluation of the Central American and Dominican Republic Health Plan 2016-2020. Available online: </w:t>
      </w:r>
      <w:hyperlink r:id="rId22" w:history="1">
        <w:r w:rsidRPr="002F44E4">
          <w:rPr>
            <w:rStyle w:val="Hipervnculo"/>
            <w:rFonts w:ascii="Verdana" w:hAnsi="Verdana"/>
          </w:rPr>
          <w:t>https://www.sica.int/documentos/resolucion-comisca-08-2020-relativa-a-la-evaluacion-final-del-plan-de-salud-de-centroamerica-y-republica-dominicana-2016-2020_1_127447.html</w:t>
        </w:r>
      </w:hyperlink>
      <w:r w:rsidRPr="002F44E4">
        <w:rPr>
          <w:rFonts w:ascii="Verdana" w:hAnsi="Verdana"/>
        </w:rPr>
        <w:t>. (Accessed on 10 October 2022).</w:t>
      </w:r>
    </w:p>
    <w:p w14:paraId="0CC8A28A"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Hirakawa, Y. Defining and implementing value-based healthcare for older people from a geriatric and gerontological perspective. </w:t>
      </w:r>
      <w:r w:rsidRPr="002F44E4">
        <w:rPr>
          <w:rFonts w:ascii="Verdana" w:hAnsi="Verdana"/>
          <w:i/>
          <w:iCs/>
        </w:rPr>
        <w:t>Int J Environ Res Public Health</w:t>
      </w:r>
      <w:r w:rsidRPr="002F44E4">
        <w:rPr>
          <w:rFonts w:ascii="Verdana" w:hAnsi="Verdana"/>
        </w:rPr>
        <w:t xml:space="preserve">, 2022, </w:t>
      </w:r>
      <w:r w:rsidRPr="002F44E4">
        <w:rPr>
          <w:rFonts w:ascii="Verdana" w:hAnsi="Verdana"/>
          <w:i/>
          <w:iCs/>
        </w:rPr>
        <w:t>19</w:t>
      </w:r>
      <w:r w:rsidRPr="002F44E4">
        <w:rPr>
          <w:rFonts w:ascii="Verdana" w:hAnsi="Verdana"/>
        </w:rPr>
        <w:t>, 1-13.</w:t>
      </w:r>
    </w:p>
    <w:p w14:paraId="08104EB8"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Fortín-Magaña, M.; Gómez-Casanovas, J.; López-Saca, M. Current status of palliative medicine training in Central American universities. </w:t>
      </w:r>
      <w:r w:rsidRPr="002F44E4">
        <w:rPr>
          <w:rFonts w:ascii="Verdana" w:hAnsi="Verdana"/>
          <w:i/>
          <w:iCs/>
        </w:rPr>
        <w:t>Educ Med</w:t>
      </w:r>
      <w:r w:rsidRPr="002F44E4">
        <w:rPr>
          <w:rFonts w:ascii="Verdana" w:hAnsi="Verdana"/>
        </w:rPr>
        <w:t xml:space="preserve">, 2017, </w:t>
      </w:r>
      <w:r w:rsidRPr="002F44E4">
        <w:rPr>
          <w:rFonts w:ascii="Verdana" w:hAnsi="Verdana"/>
          <w:i/>
          <w:iCs/>
        </w:rPr>
        <w:t>18</w:t>
      </w:r>
      <w:r w:rsidRPr="002F44E4">
        <w:rPr>
          <w:rFonts w:ascii="Verdana" w:hAnsi="Verdana"/>
        </w:rPr>
        <w:t>, 242-248.</w:t>
      </w:r>
    </w:p>
    <w:p w14:paraId="74A8A05D"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Morales-Martínez, F.; Salazar-Sánchez, L. Teaching of geriatrics and gerontology in Latin American and the Caribbean. </w:t>
      </w:r>
      <w:r w:rsidRPr="002F44E4">
        <w:rPr>
          <w:rFonts w:ascii="Verdana" w:hAnsi="Verdana"/>
          <w:i/>
          <w:iCs/>
          <w:lang w:val="pt-BR"/>
        </w:rPr>
        <w:t>J Lat Am Geriat Med</w:t>
      </w:r>
      <w:r w:rsidRPr="002F44E4">
        <w:rPr>
          <w:rFonts w:ascii="Verdana" w:hAnsi="Verdana"/>
          <w:lang w:val="pt-BR"/>
        </w:rPr>
        <w:t xml:space="preserve">, 2020, </w:t>
      </w:r>
      <w:r w:rsidRPr="002F44E4">
        <w:rPr>
          <w:rFonts w:ascii="Verdana" w:hAnsi="Verdana"/>
          <w:i/>
          <w:iCs/>
          <w:lang w:val="pt-BR"/>
        </w:rPr>
        <w:t>6</w:t>
      </w:r>
      <w:r w:rsidRPr="002F44E4">
        <w:rPr>
          <w:rFonts w:ascii="Verdana" w:hAnsi="Verdana"/>
          <w:lang w:val="pt-BR"/>
        </w:rPr>
        <w:t>, 17-24.</w:t>
      </w:r>
    </w:p>
    <w:p w14:paraId="041D007B" w14:textId="77777777" w:rsidR="008D2ED2" w:rsidRPr="002F44E4" w:rsidRDefault="008D2ED2" w:rsidP="008D2ED2">
      <w:pPr>
        <w:pStyle w:val="MDPI71References"/>
        <w:numPr>
          <w:ilvl w:val="0"/>
          <w:numId w:val="24"/>
        </w:numPr>
        <w:rPr>
          <w:rFonts w:ascii="Verdana" w:hAnsi="Verdana"/>
        </w:rPr>
      </w:pPr>
      <w:r w:rsidRPr="002F44E4">
        <w:rPr>
          <w:rFonts w:ascii="Verdana" w:hAnsi="Verdana"/>
          <w:lang w:val="pt-BR"/>
        </w:rPr>
        <w:t xml:space="preserve">Freitas, M.T.A. A abordagem sócio-histórica como orientadora da pesquisa qualitativa. </w:t>
      </w:r>
      <w:r w:rsidRPr="002F44E4">
        <w:rPr>
          <w:rFonts w:ascii="Verdana" w:hAnsi="Verdana"/>
          <w:i/>
        </w:rPr>
        <w:t>Cadernos de Pesquisa</w:t>
      </w:r>
      <w:r w:rsidRPr="002F44E4">
        <w:rPr>
          <w:rFonts w:ascii="Verdana" w:hAnsi="Verdana"/>
        </w:rPr>
        <w:t xml:space="preserve">, 2002, </w:t>
      </w:r>
      <w:r w:rsidRPr="002F44E4">
        <w:rPr>
          <w:rFonts w:ascii="Verdana" w:hAnsi="Verdana"/>
          <w:i/>
        </w:rPr>
        <w:t>116</w:t>
      </w:r>
      <w:r w:rsidRPr="002F44E4">
        <w:rPr>
          <w:rFonts w:ascii="Verdana" w:hAnsi="Verdana"/>
        </w:rPr>
        <w:t xml:space="preserve">, 21-39. </w:t>
      </w:r>
    </w:p>
    <w:p w14:paraId="67A8295A"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Breihl, J. Introduction: Critical epidemiology – Bold scientific thinking and global irruption of inequity. In </w:t>
      </w:r>
      <w:r w:rsidRPr="002F44E4">
        <w:rPr>
          <w:rFonts w:ascii="Verdana" w:hAnsi="Verdana"/>
          <w:i/>
          <w:iCs/>
        </w:rPr>
        <w:t>Critical Epidemiology and the People's Health, SMALL BOOKS BIG IDEAS POPULATION HEALTH</w:t>
      </w:r>
      <w:r w:rsidRPr="002F44E4">
        <w:rPr>
          <w:rFonts w:ascii="Verdana" w:hAnsi="Verdana"/>
        </w:rPr>
        <w:t>. 1st ed.; Krieger, N.; Oxford Academic: United States, 2021; Volume 1; pp. 1-18.</w:t>
      </w:r>
    </w:p>
    <w:p w14:paraId="39474427"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Gietel-Basten, S</w:t>
      </w:r>
      <w:r w:rsidRPr="002F44E4">
        <w:rPr>
          <w:rFonts w:ascii="Verdana" w:hAnsi="Verdana"/>
          <w:szCs w:val="18"/>
        </w:rPr>
        <w:t xml:space="preserve">.; Giorguli-Saucedo, S.E.; Scherbov, S. Prospective measures of aging for Central and South America. </w:t>
      </w:r>
      <w:r w:rsidRPr="002F44E4">
        <w:rPr>
          <w:rFonts w:ascii="Verdana" w:hAnsi="Verdana"/>
          <w:i/>
          <w:iCs/>
          <w:szCs w:val="18"/>
        </w:rPr>
        <w:t>PLoS ONE</w:t>
      </w:r>
      <w:r w:rsidRPr="002F44E4">
        <w:rPr>
          <w:rFonts w:ascii="Verdana" w:hAnsi="Verdana"/>
          <w:szCs w:val="18"/>
        </w:rPr>
        <w:t xml:space="preserve">, 2020, </w:t>
      </w:r>
      <w:r w:rsidRPr="002F44E4">
        <w:rPr>
          <w:rFonts w:ascii="Verdana" w:hAnsi="Verdana"/>
          <w:i/>
          <w:iCs/>
          <w:szCs w:val="18"/>
        </w:rPr>
        <w:t>15</w:t>
      </w:r>
      <w:r w:rsidRPr="002F44E4">
        <w:rPr>
          <w:rFonts w:ascii="Verdana" w:hAnsi="Verdana"/>
          <w:szCs w:val="18"/>
        </w:rPr>
        <w:t>, 1-14.</w:t>
      </w:r>
    </w:p>
    <w:p w14:paraId="7E0E5991"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ECLAC. Statistics and indicators: demographic and social. Available online: </w:t>
      </w:r>
      <w:hyperlink r:id="rId23" w:history="1">
        <w:r w:rsidRPr="002F44E4">
          <w:rPr>
            <w:rStyle w:val="Hipervnculo"/>
            <w:rFonts w:ascii="Verdana" w:hAnsi="Verdana"/>
            <w:szCs w:val="18"/>
          </w:rPr>
          <w:t>https://statistics.cepal.org/portal/cepalstat/dashboard.html?theme=1&amp;lang=en</w:t>
        </w:r>
      </w:hyperlink>
      <w:r w:rsidRPr="002F44E4">
        <w:rPr>
          <w:rFonts w:ascii="Verdana" w:hAnsi="Verdana"/>
          <w:szCs w:val="18"/>
        </w:rPr>
        <w:t>. (Accessed on 10 October 2022).</w:t>
      </w:r>
    </w:p>
    <w:p w14:paraId="078F01DF"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Observatorio Regional SICA-COVID-19. Available online: </w:t>
      </w:r>
      <w:hyperlink r:id="rId24" w:history="1">
        <w:r w:rsidRPr="002F44E4">
          <w:rPr>
            <w:rStyle w:val="Hipervnculo"/>
            <w:rFonts w:ascii="Verdana" w:hAnsi="Verdana"/>
            <w:szCs w:val="18"/>
          </w:rPr>
          <w:t>https://www.sica.int/coronavirus/observatorioSICACOVID19</w:t>
        </w:r>
      </w:hyperlink>
      <w:r w:rsidRPr="002F44E4">
        <w:rPr>
          <w:rFonts w:ascii="Verdana" w:hAnsi="Verdana"/>
          <w:szCs w:val="18"/>
        </w:rPr>
        <w:t xml:space="preserve">. (Accessed on 10 October 2022). </w:t>
      </w:r>
    </w:p>
    <w:p w14:paraId="14477499"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PAHO/WHO. Geo-Hub COVID-19 Information System for the Region of the Americas: Central America COVID-19 Situation. Available online: </w:t>
      </w:r>
      <w:hyperlink r:id="rId25" w:history="1">
        <w:r w:rsidRPr="002F44E4">
          <w:rPr>
            <w:rStyle w:val="Hipervnculo"/>
            <w:rFonts w:ascii="Verdana" w:hAnsi="Verdana"/>
            <w:szCs w:val="18"/>
          </w:rPr>
          <w:t>https://paho-covid19-response-who.hub.arcgis.com/pages/paho-central-america-covid-19-response</w:t>
        </w:r>
      </w:hyperlink>
      <w:r w:rsidRPr="002F44E4">
        <w:rPr>
          <w:rFonts w:ascii="Verdana" w:hAnsi="Verdana"/>
          <w:szCs w:val="18"/>
        </w:rPr>
        <w:t xml:space="preserve">. (Accessed on 10 October 2022). </w:t>
      </w:r>
    </w:p>
    <w:p w14:paraId="1450C7FC" w14:textId="134A9038" w:rsidR="008D2ED2" w:rsidRPr="002F44E4" w:rsidRDefault="006463C1" w:rsidP="008D2ED2">
      <w:pPr>
        <w:pStyle w:val="MDPI71References"/>
        <w:numPr>
          <w:ilvl w:val="0"/>
          <w:numId w:val="24"/>
        </w:numPr>
        <w:rPr>
          <w:rFonts w:ascii="Verdana" w:hAnsi="Verdana"/>
          <w:szCs w:val="18"/>
        </w:rPr>
      </w:pPr>
      <w:r w:rsidRPr="002F44E4">
        <w:rPr>
          <w:rFonts w:ascii="Verdana" w:hAnsi="Verdana"/>
          <w:szCs w:val="18"/>
        </w:rPr>
        <w:t xml:space="preserve">WHO. Public Health and Social Measures Response to COVID-19. Available online: </w:t>
      </w:r>
      <w:hyperlink r:id="rId26" w:history="1">
        <w:r w:rsidRPr="002F44E4">
          <w:rPr>
            <w:rStyle w:val="Hipervnculo"/>
            <w:rFonts w:ascii="Verdana" w:hAnsi="Verdana"/>
            <w:szCs w:val="18"/>
          </w:rPr>
          <w:t>https://phsm.euro.who.int/</w:t>
        </w:r>
      </w:hyperlink>
      <w:r w:rsidRPr="002F44E4">
        <w:rPr>
          <w:rFonts w:ascii="Verdana" w:hAnsi="Verdana"/>
          <w:szCs w:val="18"/>
        </w:rPr>
        <w:t>. (Accessed on 10 October 2022).</w:t>
      </w:r>
      <w:r w:rsidR="00C90063" w:rsidRPr="002F44E4">
        <w:rPr>
          <w:rFonts w:ascii="Verdana" w:hAnsi="Verdana"/>
          <w:szCs w:val="18"/>
        </w:rPr>
        <w:t xml:space="preserve"> </w:t>
      </w:r>
    </w:p>
    <w:p w14:paraId="7A14BD13"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WHO. A systematic approach to monitoring and analysing public health and social measures (PHSM) in the context of the COVID-19 pandemic: underlying methodology and application of the PHSM database and PHSM Severity Index. Copenhagen: WHO Regional Office for Europe; 2020. </w:t>
      </w:r>
    </w:p>
    <w:p w14:paraId="08A67A64" w14:textId="5C309610"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Jiménez-Montero, J.G.; Villegas-Barakat, M.; Cerdas-Salas, O.; Coto-Hernández, M.; Sancho-Ugalde, H. COVID-19 in Costa Rica: achieved goals and imminent risks. </w:t>
      </w:r>
      <w:r w:rsidRPr="002F44E4">
        <w:rPr>
          <w:rFonts w:ascii="Verdana" w:hAnsi="Verdana"/>
          <w:i/>
          <w:iCs/>
          <w:szCs w:val="18"/>
        </w:rPr>
        <w:t>Int J Biomed Res Prac</w:t>
      </w:r>
      <w:r w:rsidRPr="002F44E4">
        <w:rPr>
          <w:rFonts w:ascii="Verdana" w:hAnsi="Verdana"/>
          <w:szCs w:val="18"/>
        </w:rPr>
        <w:t xml:space="preserve">, 2020, </w:t>
      </w:r>
      <w:r w:rsidRPr="002F44E4">
        <w:rPr>
          <w:rFonts w:ascii="Verdana" w:hAnsi="Verdana"/>
          <w:i/>
          <w:iCs/>
          <w:szCs w:val="18"/>
        </w:rPr>
        <w:t>1</w:t>
      </w:r>
      <w:r w:rsidRPr="002F44E4">
        <w:rPr>
          <w:rFonts w:ascii="Verdana" w:hAnsi="Verdana"/>
          <w:szCs w:val="18"/>
        </w:rPr>
        <w:t>, 1-4.</w:t>
      </w:r>
      <w:r w:rsidR="006463C1" w:rsidRPr="002F44E4">
        <w:rPr>
          <w:rFonts w:ascii="Verdana" w:hAnsi="Verdana"/>
          <w:szCs w:val="18"/>
        </w:rPr>
        <w:t xml:space="preserve"> </w:t>
      </w:r>
    </w:p>
    <w:p w14:paraId="75B204CC"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Salas, A.; Prado, A.M. The coronavirus pandemic and the Costa Rican health system (INCAE Business School). </w:t>
      </w:r>
      <w:r w:rsidRPr="002F44E4">
        <w:rPr>
          <w:rFonts w:ascii="Verdana" w:hAnsi="Verdana"/>
          <w:i/>
          <w:iCs/>
          <w:szCs w:val="18"/>
        </w:rPr>
        <w:t>Health Management, Policy and Innovation</w:t>
      </w:r>
      <w:r w:rsidRPr="002F44E4">
        <w:rPr>
          <w:rFonts w:ascii="Verdana" w:hAnsi="Verdana"/>
          <w:szCs w:val="18"/>
        </w:rPr>
        <w:t>, 2020, 5, 1-7.</w:t>
      </w:r>
    </w:p>
    <w:p w14:paraId="496F0856"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Barboza, L.A.; Vásquez, P.; Mery, G.; Sánchez, F.; García, Y.E.; Calvo, J.G.; et al. The role of mobility and sanitary measures on the delay of community transmission of COVID-19 in Costa Rica. </w:t>
      </w:r>
      <w:r w:rsidRPr="002F44E4">
        <w:rPr>
          <w:rFonts w:ascii="Verdana" w:hAnsi="Verdana"/>
          <w:i/>
          <w:iCs/>
          <w:szCs w:val="18"/>
        </w:rPr>
        <w:t>Epidemiologia</w:t>
      </w:r>
      <w:r w:rsidRPr="002F44E4">
        <w:rPr>
          <w:rFonts w:ascii="Verdana" w:hAnsi="Verdana"/>
          <w:szCs w:val="18"/>
        </w:rPr>
        <w:t xml:space="preserve">, 2021, </w:t>
      </w:r>
      <w:r w:rsidRPr="002F44E4">
        <w:rPr>
          <w:rFonts w:ascii="Verdana" w:hAnsi="Verdana"/>
          <w:i/>
          <w:iCs/>
          <w:szCs w:val="18"/>
        </w:rPr>
        <w:t>2</w:t>
      </w:r>
      <w:r w:rsidRPr="002F44E4">
        <w:rPr>
          <w:rFonts w:ascii="Verdana" w:hAnsi="Verdana"/>
          <w:szCs w:val="18"/>
        </w:rPr>
        <w:t>, 294-304.</w:t>
      </w:r>
    </w:p>
    <w:p w14:paraId="439F9964"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Sanchez, F.; Calvo, J.G.; García, Y.E.; Barboza, L.A.; Vásquez, P.; Mery, G.; et al. A multilayer network model of COVID-19: implications in public health policy in Costa Rica. </w:t>
      </w:r>
      <w:r w:rsidRPr="002F44E4">
        <w:rPr>
          <w:rFonts w:ascii="Verdana" w:hAnsi="Verdana"/>
          <w:i/>
          <w:iCs/>
          <w:szCs w:val="18"/>
        </w:rPr>
        <w:t>Epidemics</w:t>
      </w:r>
      <w:r w:rsidRPr="002F44E4">
        <w:rPr>
          <w:rFonts w:ascii="Verdana" w:hAnsi="Verdana"/>
          <w:szCs w:val="18"/>
        </w:rPr>
        <w:t>, 2022, 1-17.</w:t>
      </w:r>
    </w:p>
    <w:p w14:paraId="5CCC7C79"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lastRenderedPageBreak/>
        <w:t xml:space="preserve">Rivera, R.; Ramírez, M.; Rodríguez, A.; Hernández, J. COVID-19 in Panama and the world: literature review. </w:t>
      </w:r>
      <w:r w:rsidRPr="002F44E4">
        <w:rPr>
          <w:rFonts w:ascii="Verdana" w:hAnsi="Verdana"/>
          <w:i/>
          <w:szCs w:val="18"/>
        </w:rPr>
        <w:t>Rev Méd Cient</w:t>
      </w:r>
      <w:r w:rsidRPr="002F44E4">
        <w:rPr>
          <w:rFonts w:ascii="Verdana" w:hAnsi="Verdana"/>
          <w:szCs w:val="18"/>
        </w:rPr>
        <w:t xml:space="preserve">, 2021, </w:t>
      </w:r>
      <w:r w:rsidRPr="002F44E4">
        <w:rPr>
          <w:rFonts w:ascii="Verdana" w:hAnsi="Verdana"/>
          <w:i/>
          <w:szCs w:val="18"/>
        </w:rPr>
        <w:t>32</w:t>
      </w:r>
      <w:r w:rsidRPr="002F44E4">
        <w:rPr>
          <w:rFonts w:ascii="Verdana" w:hAnsi="Verdana"/>
          <w:szCs w:val="18"/>
        </w:rPr>
        <w:t>, 37-60.</w:t>
      </w:r>
    </w:p>
    <w:p w14:paraId="2BD0246C"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WHO COVID-19 Situation Report Edition 71, 2020. Available online: </w:t>
      </w:r>
      <w:hyperlink r:id="rId27" w:history="1">
        <w:r w:rsidRPr="002F44E4">
          <w:rPr>
            <w:rStyle w:val="Hipervnculo"/>
            <w:rFonts w:ascii="Verdana" w:hAnsi="Verdana"/>
            <w:szCs w:val="18"/>
          </w:rPr>
          <w:t>https://www.who.int/docs/default-source/coronaviruse/situation-reports/20200331-sitrep-71-covid-19.pdf?sfvrsn=4360e92b_8</w:t>
        </w:r>
      </w:hyperlink>
      <w:r w:rsidRPr="002F44E4">
        <w:rPr>
          <w:rFonts w:ascii="Verdana" w:hAnsi="Verdana"/>
          <w:szCs w:val="18"/>
        </w:rPr>
        <w:t>. (Accessed on 10 October 2022).</w:t>
      </w:r>
    </w:p>
    <w:p w14:paraId="6B11FD60"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Henriquez-Marquez, K.I.; Zambrano, L.I.; Orteaga-Livias, K.; Rodríguez-Morales, A.J. Prevention and early identification of COVID-19 suspected cases at the first level of care in Central America. </w:t>
      </w:r>
      <w:r w:rsidRPr="002F44E4">
        <w:rPr>
          <w:rFonts w:ascii="Verdana" w:hAnsi="Verdana"/>
          <w:i/>
          <w:iCs/>
          <w:szCs w:val="18"/>
        </w:rPr>
        <w:t>Aten Primaria</w:t>
      </w:r>
      <w:r w:rsidRPr="002F44E4">
        <w:rPr>
          <w:rFonts w:ascii="Verdana" w:hAnsi="Verdana"/>
          <w:szCs w:val="18"/>
        </w:rPr>
        <w:t xml:space="preserve">, 2021, </w:t>
      </w:r>
      <w:r w:rsidRPr="002F44E4">
        <w:rPr>
          <w:rFonts w:ascii="Verdana" w:hAnsi="Verdana"/>
          <w:i/>
          <w:iCs/>
          <w:szCs w:val="18"/>
        </w:rPr>
        <w:t>53</w:t>
      </w:r>
      <w:r w:rsidRPr="002F44E4">
        <w:rPr>
          <w:rFonts w:ascii="Verdana" w:hAnsi="Verdana"/>
          <w:szCs w:val="18"/>
        </w:rPr>
        <w:t>, 115-116.</w:t>
      </w:r>
    </w:p>
    <w:p w14:paraId="2C324A48"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Li, Guangdi.; Liu, Y.; Wang, Y.; Miao, M.; Toa, L.; Zhou, Z.; et al. Mortality risk of COVID-19 in elderly males with comorbidities: a multi-country study. </w:t>
      </w:r>
      <w:r w:rsidRPr="002F44E4">
        <w:rPr>
          <w:rFonts w:ascii="Verdana" w:hAnsi="Verdana"/>
          <w:i/>
          <w:iCs/>
          <w:szCs w:val="18"/>
        </w:rPr>
        <w:t>Aging-US</w:t>
      </w:r>
      <w:r w:rsidRPr="002F44E4">
        <w:rPr>
          <w:rFonts w:ascii="Verdana" w:hAnsi="Verdana"/>
          <w:szCs w:val="18"/>
        </w:rPr>
        <w:t xml:space="preserve">, 2021, </w:t>
      </w:r>
      <w:r w:rsidRPr="002F44E4">
        <w:rPr>
          <w:rFonts w:ascii="Verdana" w:hAnsi="Verdana"/>
          <w:i/>
          <w:iCs/>
          <w:szCs w:val="18"/>
        </w:rPr>
        <w:t>13</w:t>
      </w:r>
      <w:r w:rsidRPr="002F44E4">
        <w:rPr>
          <w:rFonts w:ascii="Verdana" w:hAnsi="Verdana"/>
          <w:szCs w:val="18"/>
        </w:rPr>
        <w:t>, 27-60.</w:t>
      </w:r>
    </w:p>
    <w:p w14:paraId="2058701E"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Andrus, J.K.; Evans-Gilbert, T.; Santos, J.I.; Guzman, M.G.; Rosenthal, P.J.; Toscano, C.; et al. Perspectives on battling COVID-19 in Latin America and the Caribbean. </w:t>
      </w:r>
      <w:r w:rsidRPr="002F44E4">
        <w:rPr>
          <w:rFonts w:ascii="Verdana" w:hAnsi="Verdana"/>
          <w:i/>
          <w:iCs/>
          <w:szCs w:val="18"/>
        </w:rPr>
        <w:t>Am J Trop Med Hyg</w:t>
      </w:r>
      <w:r w:rsidRPr="002F44E4">
        <w:rPr>
          <w:rFonts w:ascii="Verdana" w:hAnsi="Verdana"/>
          <w:szCs w:val="18"/>
        </w:rPr>
        <w:t xml:space="preserve">, 2020, 103, 593-596.  </w:t>
      </w:r>
    </w:p>
    <w:p w14:paraId="7BD1FF12"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Fantin, R.; Brenes-Camacho, G.; Barboza-Solís, C. COVID-19 deaths: distribution by age and universal medical coverage in 22 countries. </w:t>
      </w:r>
      <w:r w:rsidRPr="002F44E4">
        <w:rPr>
          <w:rFonts w:ascii="Verdana" w:hAnsi="Verdana"/>
          <w:i/>
          <w:iCs/>
          <w:szCs w:val="18"/>
        </w:rPr>
        <w:t>Rev Panam Salud Publica</w:t>
      </w:r>
      <w:r w:rsidRPr="002F44E4">
        <w:rPr>
          <w:rFonts w:ascii="Verdana" w:hAnsi="Verdana"/>
          <w:szCs w:val="18"/>
        </w:rPr>
        <w:t xml:space="preserve">, 2021, </w:t>
      </w:r>
      <w:r w:rsidRPr="002F44E4">
        <w:rPr>
          <w:rFonts w:ascii="Verdana" w:hAnsi="Verdana"/>
          <w:i/>
          <w:iCs/>
          <w:szCs w:val="18"/>
        </w:rPr>
        <w:t>45</w:t>
      </w:r>
      <w:r w:rsidRPr="002F44E4">
        <w:rPr>
          <w:rFonts w:ascii="Verdana" w:hAnsi="Verdana"/>
          <w:szCs w:val="18"/>
        </w:rPr>
        <w:t>, 1-9.</w:t>
      </w:r>
    </w:p>
    <w:p w14:paraId="42333D04"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Velásquez-García, E. Analysis of two age groups with COVID-19 to assess survival using the Kaplan-Meier tests. </w:t>
      </w:r>
      <w:r w:rsidRPr="002F44E4">
        <w:rPr>
          <w:rFonts w:ascii="Verdana" w:hAnsi="Verdana"/>
          <w:i/>
          <w:iCs/>
          <w:szCs w:val="18"/>
        </w:rPr>
        <w:t>Rev Méd (Col Méd Cir Guatem)</w:t>
      </w:r>
      <w:r w:rsidRPr="002F44E4">
        <w:rPr>
          <w:rFonts w:ascii="Verdana" w:hAnsi="Verdana"/>
          <w:szCs w:val="18"/>
        </w:rPr>
        <w:t xml:space="preserve">, 2021, </w:t>
      </w:r>
      <w:r w:rsidRPr="002F44E4">
        <w:rPr>
          <w:rFonts w:ascii="Verdana" w:hAnsi="Verdana"/>
          <w:i/>
          <w:iCs/>
          <w:szCs w:val="18"/>
        </w:rPr>
        <w:t>160</w:t>
      </w:r>
      <w:r w:rsidRPr="002F44E4">
        <w:rPr>
          <w:rFonts w:ascii="Verdana" w:hAnsi="Verdana"/>
          <w:szCs w:val="18"/>
        </w:rPr>
        <w:t>, 133-139.</w:t>
      </w:r>
    </w:p>
    <w:p w14:paraId="42B89673"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Bonilla-Carrión, R.; Zapata-Quintanilla, E.A. Geospatial analysis of COVID-19 in Honduras after 18 months of pandemic. </w:t>
      </w:r>
      <w:r w:rsidRPr="002F44E4">
        <w:rPr>
          <w:rFonts w:ascii="Verdana" w:hAnsi="Verdana"/>
          <w:i/>
          <w:iCs/>
          <w:szCs w:val="18"/>
          <w:lang w:val="pt-BR"/>
        </w:rPr>
        <w:t>Rev Méd (Col Méd Cir Guatem)</w:t>
      </w:r>
      <w:r w:rsidRPr="002F44E4">
        <w:rPr>
          <w:rFonts w:ascii="Verdana" w:hAnsi="Verdana"/>
          <w:szCs w:val="18"/>
          <w:lang w:val="pt-BR"/>
        </w:rPr>
        <w:t xml:space="preserve">, 2021, </w:t>
      </w:r>
      <w:r w:rsidRPr="002F44E4">
        <w:rPr>
          <w:rFonts w:ascii="Verdana" w:hAnsi="Verdana"/>
          <w:i/>
          <w:iCs/>
          <w:szCs w:val="18"/>
          <w:lang w:val="pt-BR"/>
        </w:rPr>
        <w:t>160</w:t>
      </w:r>
      <w:r w:rsidRPr="002F44E4">
        <w:rPr>
          <w:rFonts w:ascii="Verdana" w:hAnsi="Verdana"/>
          <w:szCs w:val="18"/>
          <w:lang w:val="pt-BR"/>
        </w:rPr>
        <w:t>, 212-223.</w:t>
      </w:r>
    </w:p>
    <w:p w14:paraId="3E708501"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Ioannidis, J.P.A.; Axfors, C.; Contopoulos-Ioannidis, D.G. Population-level COVID-19 mortality risk for non-elderly individuals overall and for non-elderly individuals without underlying diseases in pandemic epicenters. </w:t>
      </w:r>
      <w:r w:rsidRPr="002F44E4">
        <w:rPr>
          <w:rFonts w:ascii="Verdana" w:hAnsi="Verdana"/>
          <w:i/>
          <w:iCs/>
          <w:szCs w:val="18"/>
          <w:lang w:val="es-ES"/>
        </w:rPr>
        <w:t>Environmental Research</w:t>
      </w:r>
      <w:r w:rsidRPr="002F44E4">
        <w:rPr>
          <w:rFonts w:ascii="Verdana" w:hAnsi="Verdana"/>
          <w:szCs w:val="18"/>
          <w:lang w:val="es-ES"/>
        </w:rPr>
        <w:t xml:space="preserve">, 2020, </w:t>
      </w:r>
      <w:r w:rsidRPr="002F44E4">
        <w:rPr>
          <w:rFonts w:ascii="Verdana" w:hAnsi="Verdana"/>
          <w:i/>
          <w:iCs/>
          <w:szCs w:val="18"/>
          <w:lang w:val="es-ES"/>
        </w:rPr>
        <w:t>188</w:t>
      </w:r>
      <w:r w:rsidRPr="002F44E4">
        <w:rPr>
          <w:rFonts w:ascii="Verdana" w:hAnsi="Verdana"/>
          <w:szCs w:val="18"/>
          <w:lang w:val="es-ES"/>
        </w:rPr>
        <w:t xml:space="preserve">, 1-10. </w:t>
      </w:r>
    </w:p>
    <w:p w14:paraId="7DAB5F49"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lang w:val="pt-BR"/>
        </w:rPr>
        <w:t xml:space="preserve">Araujo-Banchon, W.; Aveiro-Róbalo, T.R.; Fernández, M.F.; Castro-Pacoricona, D.; Moncada-Mapelli, E.; Chanava, W.; et al. </w:t>
      </w:r>
      <w:r w:rsidRPr="002F44E4">
        <w:rPr>
          <w:rFonts w:ascii="Verdana" w:hAnsi="Verdana"/>
          <w:szCs w:val="18"/>
        </w:rPr>
        <w:t xml:space="preserve">Progression of coronavirus cases in Latin America: comparative analysis of one week after the start of the pandemic in each country. </w:t>
      </w:r>
      <w:r w:rsidRPr="002F44E4">
        <w:rPr>
          <w:rFonts w:ascii="Verdana" w:hAnsi="Verdana"/>
          <w:i/>
          <w:iCs/>
          <w:szCs w:val="18"/>
        </w:rPr>
        <w:t>Kasmera</w:t>
      </w:r>
      <w:r w:rsidRPr="002F44E4">
        <w:rPr>
          <w:rFonts w:ascii="Verdana" w:hAnsi="Verdana"/>
          <w:szCs w:val="18"/>
        </w:rPr>
        <w:t xml:space="preserve">, 2020, </w:t>
      </w:r>
      <w:r w:rsidRPr="002F44E4">
        <w:rPr>
          <w:rFonts w:ascii="Verdana" w:hAnsi="Verdana"/>
          <w:i/>
          <w:iCs/>
          <w:szCs w:val="18"/>
        </w:rPr>
        <w:t>48</w:t>
      </w:r>
      <w:r w:rsidRPr="002F44E4">
        <w:rPr>
          <w:rFonts w:ascii="Verdana" w:hAnsi="Verdana"/>
          <w:szCs w:val="18"/>
        </w:rPr>
        <w:t xml:space="preserve">, 1-11.  </w:t>
      </w:r>
    </w:p>
    <w:p w14:paraId="32737140"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lang w:val="es-ES"/>
        </w:rPr>
        <w:t xml:space="preserve">Hernández-Huerta, M.T.; Pérez-Campos, L.M.; Romero-Díaz, C.; Martínez-Cruz, M.; Mayoral-Andrade, G.; et al. </w:t>
      </w:r>
      <w:r w:rsidRPr="002F44E4">
        <w:rPr>
          <w:rFonts w:ascii="Verdana" w:hAnsi="Verdana"/>
          <w:szCs w:val="18"/>
        </w:rPr>
        <w:t xml:space="preserve">Analysis of SARS-CoV-2 mutations in Mexico, Belize, and isolated regions of Guatemala and its implication in the diagnosis. </w:t>
      </w:r>
      <w:r w:rsidRPr="002F44E4">
        <w:rPr>
          <w:rFonts w:ascii="Verdana" w:hAnsi="Verdana"/>
          <w:i/>
          <w:iCs/>
          <w:szCs w:val="18"/>
        </w:rPr>
        <w:t>J Med Virol</w:t>
      </w:r>
      <w:r w:rsidRPr="002F44E4">
        <w:rPr>
          <w:rFonts w:ascii="Verdana" w:hAnsi="Verdana"/>
          <w:szCs w:val="18"/>
        </w:rPr>
        <w:t xml:space="preserve">, 2021, </w:t>
      </w:r>
      <w:r w:rsidRPr="002F44E4">
        <w:rPr>
          <w:rFonts w:ascii="Verdana" w:hAnsi="Verdana"/>
          <w:i/>
          <w:iCs/>
          <w:szCs w:val="18"/>
        </w:rPr>
        <w:t>93</w:t>
      </w:r>
      <w:r w:rsidRPr="002F44E4">
        <w:rPr>
          <w:rFonts w:ascii="Verdana" w:hAnsi="Verdana"/>
          <w:szCs w:val="18"/>
        </w:rPr>
        <w:t>, 2099-2114.</w:t>
      </w:r>
    </w:p>
    <w:p w14:paraId="11CC764D"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Lundberg, A.L.; Lorenzo-Redondo, R.; Ozer, E.A.; Hawkins, C.A.; Hultquist, J.F.; Welch, S.B.; Prasad, P.V.S.; et al. Has Omicron changed the evolution of the pandemic? </w:t>
      </w:r>
      <w:r w:rsidRPr="002F44E4">
        <w:rPr>
          <w:rFonts w:ascii="Verdana" w:hAnsi="Verdana"/>
          <w:i/>
          <w:iCs/>
          <w:szCs w:val="18"/>
        </w:rPr>
        <w:t>JMIR Public Health Surveill</w:t>
      </w:r>
      <w:r w:rsidRPr="002F44E4">
        <w:rPr>
          <w:rFonts w:ascii="Verdana" w:hAnsi="Verdana"/>
          <w:szCs w:val="18"/>
        </w:rPr>
        <w:t xml:space="preserve">, 2022; </w:t>
      </w:r>
      <w:r w:rsidRPr="002F44E4">
        <w:rPr>
          <w:rFonts w:ascii="Verdana" w:hAnsi="Verdana"/>
          <w:i/>
          <w:iCs/>
          <w:szCs w:val="18"/>
        </w:rPr>
        <w:t>8</w:t>
      </w:r>
      <w:r w:rsidRPr="002F44E4">
        <w:rPr>
          <w:rFonts w:ascii="Verdana" w:hAnsi="Verdana"/>
          <w:szCs w:val="18"/>
        </w:rPr>
        <w:t xml:space="preserve">, e35763. </w:t>
      </w:r>
    </w:p>
    <w:p w14:paraId="6BE3177A"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Felix, P.T.; Ramos, R.S.; Venâncio, D.B.R.; da Silva, E.D.A.B.; Albuquerque, R.M. The new Coronavirus (SARS-CoV-2) in Central America: Demographic-spatial simulations, Analyses of Molecular Variance (AMOVA) and Neutrality Tests in complete genomes from Belize, Guatemala, Cuba, Jamaica and Puerto Rico. </w:t>
      </w:r>
      <w:r w:rsidRPr="002F44E4">
        <w:rPr>
          <w:rFonts w:ascii="Verdana" w:hAnsi="Verdana"/>
          <w:i/>
          <w:iCs/>
          <w:szCs w:val="18"/>
        </w:rPr>
        <w:t>medRxiv</w:t>
      </w:r>
      <w:r w:rsidRPr="002F44E4">
        <w:rPr>
          <w:rFonts w:ascii="Verdana" w:hAnsi="Verdana"/>
          <w:szCs w:val="18"/>
        </w:rPr>
        <w:t xml:space="preserve">, 2020, </w:t>
      </w:r>
      <w:r w:rsidRPr="002F44E4">
        <w:rPr>
          <w:rFonts w:ascii="Verdana" w:hAnsi="Verdana"/>
          <w:i/>
          <w:iCs/>
          <w:szCs w:val="18"/>
        </w:rPr>
        <w:t>12</w:t>
      </w:r>
      <w:r w:rsidRPr="002F44E4">
        <w:rPr>
          <w:rFonts w:ascii="Verdana" w:hAnsi="Verdana"/>
          <w:szCs w:val="18"/>
        </w:rPr>
        <w:t xml:space="preserve">, 1-17. </w:t>
      </w:r>
    </w:p>
    <w:p w14:paraId="0208834F"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WHO's COVID-19 Situation Report Edition 71, 2021. Available online: </w:t>
      </w:r>
      <w:hyperlink r:id="rId28" w:history="1">
        <w:r w:rsidRPr="002F44E4">
          <w:rPr>
            <w:rStyle w:val="Hipervnculo"/>
            <w:rFonts w:ascii="Verdana" w:hAnsi="Verdana"/>
            <w:szCs w:val="18"/>
          </w:rPr>
          <w:t>https://www.who.int/publications/m/item/weekly-epidemiological-update-on-covid-19---21-december-2021</w:t>
        </w:r>
      </w:hyperlink>
      <w:r w:rsidRPr="002F44E4">
        <w:rPr>
          <w:rFonts w:ascii="Verdana" w:hAnsi="Verdana"/>
          <w:szCs w:val="18"/>
        </w:rPr>
        <w:t xml:space="preserve">. (Accessed on 10 October 2022). </w:t>
      </w:r>
    </w:p>
    <w:p w14:paraId="1BA2150A" w14:textId="77777777"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szCs w:val="18"/>
          <w:lang w:val="es-ES"/>
        </w:rPr>
        <w:t xml:space="preserve">Malamud, C.; Núñez, R. Vacunas sin integración y geopolítica en América Latina. </w:t>
      </w:r>
      <w:r w:rsidRPr="002F44E4">
        <w:rPr>
          <w:rFonts w:ascii="Verdana" w:hAnsi="Verdana"/>
          <w:i/>
          <w:iCs/>
          <w:szCs w:val="18"/>
          <w:lang w:val="es-ES"/>
        </w:rPr>
        <w:t>ARI</w:t>
      </w:r>
      <w:r w:rsidRPr="002F44E4">
        <w:rPr>
          <w:rFonts w:ascii="Verdana" w:hAnsi="Verdana"/>
          <w:szCs w:val="18"/>
          <w:lang w:val="es-ES"/>
        </w:rPr>
        <w:t xml:space="preserve">, 2021, </w:t>
      </w:r>
      <w:r w:rsidRPr="002F44E4">
        <w:rPr>
          <w:rFonts w:ascii="Verdana" w:hAnsi="Verdana"/>
          <w:i/>
          <w:szCs w:val="18"/>
          <w:lang w:val="es-ES"/>
        </w:rPr>
        <w:t>21</w:t>
      </w:r>
      <w:r w:rsidRPr="002F44E4">
        <w:rPr>
          <w:rFonts w:ascii="Verdana" w:hAnsi="Verdana"/>
          <w:szCs w:val="18"/>
          <w:lang w:val="es-ES"/>
        </w:rPr>
        <w:t xml:space="preserve">, 1-12. </w:t>
      </w:r>
    </w:p>
    <w:p w14:paraId="340DE1F9" w14:textId="6C7E99EF"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szCs w:val="18"/>
          <w:lang w:val="es-ES"/>
        </w:rPr>
        <w:t>Castillo, Z.C.; Castillo, J.M. Estudio de distribución de vacunas contra el COVID-19 en América Latina y el Caribe: el caso de Panamá. Documentos de Proyectos (LC/TS.2022/67), Santiago, Comisión Económica para América Latina y el Caribe (CEPAL), 2022.</w:t>
      </w:r>
      <w:r w:rsidR="00066A30" w:rsidRPr="002F44E4">
        <w:rPr>
          <w:rFonts w:ascii="Verdana" w:hAnsi="Verdana"/>
          <w:szCs w:val="18"/>
          <w:lang w:val="es-ES"/>
        </w:rPr>
        <w:t xml:space="preserve"> </w:t>
      </w:r>
      <w:r w:rsidRPr="002F44E4">
        <w:rPr>
          <w:rFonts w:ascii="Verdana" w:hAnsi="Verdana"/>
          <w:szCs w:val="18"/>
          <w:lang w:val="es-ES"/>
        </w:rPr>
        <w:t xml:space="preserve"> </w:t>
      </w:r>
    </w:p>
    <w:p w14:paraId="13A2E6ED"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Zambrano, L.I.; Henríquez-Márquez, K.I.; Fuentes-Barahona, I.C.; Sierra-Santos, M.A.; Muñoz-Lara, F. Vaccination against COVID-19, challenges and challenges for the Honduran health system until May 2021. </w:t>
      </w:r>
      <w:r w:rsidRPr="002F44E4">
        <w:rPr>
          <w:rFonts w:ascii="Verdana" w:hAnsi="Verdana"/>
          <w:i/>
          <w:iCs/>
          <w:szCs w:val="18"/>
        </w:rPr>
        <w:t>Gac Méd Caracas</w:t>
      </w:r>
      <w:r w:rsidRPr="002F44E4">
        <w:rPr>
          <w:rFonts w:ascii="Verdana" w:hAnsi="Verdana"/>
          <w:szCs w:val="18"/>
        </w:rPr>
        <w:t xml:space="preserve">, 2022, </w:t>
      </w:r>
      <w:r w:rsidRPr="002F44E4">
        <w:rPr>
          <w:rFonts w:ascii="Verdana" w:hAnsi="Verdana"/>
          <w:i/>
          <w:iCs/>
          <w:szCs w:val="18"/>
        </w:rPr>
        <w:t>130</w:t>
      </w:r>
      <w:r w:rsidRPr="002F44E4">
        <w:rPr>
          <w:rFonts w:ascii="Verdana" w:hAnsi="Verdana"/>
          <w:szCs w:val="18"/>
        </w:rPr>
        <w:t xml:space="preserve">, 370-381. </w:t>
      </w:r>
    </w:p>
    <w:p w14:paraId="6B81C0ED"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Organisation for Economic Co-operation and Development. COVID-19 in Latin America and the Caribbean: An overview of government responses to the crisis. Available online: </w:t>
      </w:r>
      <w:hyperlink r:id="rId29" w:history="1">
        <w:r w:rsidRPr="002F44E4">
          <w:rPr>
            <w:rStyle w:val="Hipervnculo"/>
            <w:rFonts w:ascii="Verdana" w:hAnsi="Verdana"/>
            <w:szCs w:val="18"/>
          </w:rPr>
          <w:t>https://read.oecd-ilibrary.org/view/?ref=129_129907-eae84sciov&amp;title=COVID-19-in-Latin-Amercia-and-the-Caribbean_An-overview-of-government-responses-to-the-crisis</w:t>
        </w:r>
      </w:hyperlink>
      <w:r w:rsidRPr="002F44E4">
        <w:rPr>
          <w:rFonts w:ascii="Verdana" w:hAnsi="Verdana"/>
          <w:szCs w:val="18"/>
        </w:rPr>
        <w:t xml:space="preserve">. (Accessed on 10 October 2022). </w:t>
      </w:r>
    </w:p>
    <w:p w14:paraId="6BD33217"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Belize. Belize COVID-19 Response Project P177987. Available online: </w:t>
      </w:r>
      <w:hyperlink r:id="rId30" w:history="1">
        <w:r w:rsidRPr="002F44E4">
          <w:rPr>
            <w:rStyle w:val="Hipervnculo"/>
            <w:rFonts w:ascii="Verdana" w:hAnsi="Verdana"/>
            <w:szCs w:val="18"/>
          </w:rPr>
          <w:t>https://documents1.worldbank.org/curated/en/099140001122250774/pdf/Project0Inform0e0Project000P177987.pdf</w:t>
        </w:r>
      </w:hyperlink>
      <w:r w:rsidRPr="002F44E4">
        <w:rPr>
          <w:rFonts w:ascii="Verdana" w:hAnsi="Verdana"/>
          <w:szCs w:val="18"/>
        </w:rPr>
        <w:t>. (Accessed on 10 October 2022).</w:t>
      </w:r>
    </w:p>
    <w:p w14:paraId="20358F13" w14:textId="77777777" w:rsidR="008D2ED2" w:rsidRPr="002F44E4" w:rsidRDefault="008D2ED2" w:rsidP="008D2ED2">
      <w:pPr>
        <w:pStyle w:val="MDPI31text"/>
        <w:numPr>
          <w:ilvl w:val="0"/>
          <w:numId w:val="24"/>
        </w:numPr>
        <w:rPr>
          <w:rFonts w:ascii="Verdana" w:hAnsi="Verdana"/>
          <w:sz w:val="18"/>
          <w:szCs w:val="18"/>
        </w:rPr>
      </w:pPr>
      <w:r w:rsidRPr="002F44E4">
        <w:rPr>
          <w:rFonts w:ascii="Verdana" w:hAnsi="Verdana"/>
          <w:sz w:val="18"/>
          <w:szCs w:val="18"/>
        </w:rPr>
        <w:t xml:space="preserve">Costa Rica. Comprehensive proposal for the protection of the elderly before COVID-19. Available online: </w:t>
      </w:r>
      <w:hyperlink r:id="rId31" w:history="1">
        <w:r w:rsidRPr="002F44E4">
          <w:rPr>
            <w:rStyle w:val="Hipervnculo"/>
            <w:rFonts w:ascii="Verdana" w:hAnsi="Verdana"/>
            <w:sz w:val="18"/>
            <w:szCs w:val="18"/>
          </w:rPr>
          <w:t>https://www.ministeriodesalud.go.cr/index.php/biblioteca-de-archivos-left/documentos-ministerio-de-salud/vigilancia-de-la-salud/normas-protocolos-guias-y-lineamientos/situacion-nacional-covid-19/estrategias-guias-y-recomendaciones-covid-19/3192-version-1-22-de-abril-2020-estrategia-de-comunicacion-propuesta-integral-para-la-proteccion-de-personas-adultas-mayores-ante-lacovid-19/file</w:t>
        </w:r>
      </w:hyperlink>
      <w:r w:rsidRPr="002F44E4">
        <w:rPr>
          <w:rFonts w:ascii="Verdana" w:hAnsi="Verdana"/>
          <w:sz w:val="18"/>
          <w:szCs w:val="18"/>
        </w:rPr>
        <w:t xml:space="preserve">. (Accessed on 10 October 2022). </w:t>
      </w:r>
    </w:p>
    <w:p w14:paraId="41BE82FA"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Costa Rica. Guideline for the care of the elderly in the territory in the COVID-19 emergency. Available online: </w:t>
      </w:r>
      <w:hyperlink r:id="rId32" w:history="1">
        <w:r w:rsidRPr="002F44E4">
          <w:rPr>
            <w:rStyle w:val="Hipervnculo"/>
            <w:rFonts w:ascii="Verdana" w:hAnsi="Verdana"/>
            <w:szCs w:val="18"/>
          </w:rPr>
          <w:t>https://www.ministeriodesalud.go.cr/index.php/biblioteca-de-archivos-left/documentos-ministerio-de-salud/vigilancia-de-la-salud/normas-protocolos-guias-y-lineamientos/situacion-nacional-covid-19/estrategias-guias-y-recomendaciones-covid-19/3195-version-1-22-de-abril-2020-guia-para-la-atencion-a-las-personas-adultas-mayores-en-territorio-ante-la-emergencia-por-la-covid-19/file</w:t>
        </w:r>
      </w:hyperlink>
      <w:r w:rsidRPr="002F44E4">
        <w:rPr>
          <w:rFonts w:ascii="Verdana" w:hAnsi="Verdana"/>
          <w:szCs w:val="18"/>
        </w:rPr>
        <w:t>. (Accessed on 10 October 2022).</w:t>
      </w:r>
    </w:p>
    <w:p w14:paraId="44B377B4"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Costa Rica. Guideline for telephone follow-up of the elderly in the face of the pandemic by COVID-19. Available online: </w:t>
      </w:r>
      <w:hyperlink r:id="rId33" w:history="1">
        <w:r w:rsidRPr="002F44E4">
          <w:rPr>
            <w:rStyle w:val="Hipervnculo"/>
            <w:rFonts w:ascii="Verdana" w:hAnsi="Verdana"/>
            <w:szCs w:val="18"/>
          </w:rPr>
          <w:t>https://www.ministeriodesalud.go.cr/index.php/biblioteca-de-archivos-left/documentos-ministerio-de-salud/vigilancia-de-la-salud/normas-protocolos-guias-y-lineamientos/situacion-nacional-covid-</w:t>
        </w:r>
        <w:r w:rsidRPr="002F44E4">
          <w:rPr>
            <w:rStyle w:val="Hipervnculo"/>
            <w:rFonts w:ascii="Verdana" w:hAnsi="Verdana"/>
            <w:szCs w:val="18"/>
          </w:rPr>
          <w:lastRenderedPageBreak/>
          <w:t>19/estrategias-guias-y-recomendaciones-covid-19/3193-version-1-22-de-abril-2020-guia-para-el-seguimiento-telefonico-y-acompanamiento-en-territorio-a-las-personas-adultas-mayores-segun-riesgo-ante-la-covid-19/file</w:t>
        </w:r>
      </w:hyperlink>
      <w:r w:rsidRPr="002F44E4">
        <w:rPr>
          <w:rFonts w:ascii="Verdana" w:hAnsi="Verdana"/>
          <w:szCs w:val="18"/>
        </w:rPr>
        <w:t>. (Accessed on 10 October 2022).</w:t>
      </w:r>
    </w:p>
    <w:p w14:paraId="340407C9" w14:textId="77777777" w:rsidR="008D2ED2" w:rsidRPr="002F44E4" w:rsidRDefault="008D2ED2" w:rsidP="008D2ED2">
      <w:pPr>
        <w:pStyle w:val="MDPI31text"/>
        <w:numPr>
          <w:ilvl w:val="0"/>
          <w:numId w:val="24"/>
        </w:numPr>
        <w:rPr>
          <w:rFonts w:ascii="Verdana" w:hAnsi="Verdana"/>
          <w:sz w:val="18"/>
          <w:szCs w:val="18"/>
        </w:rPr>
      </w:pPr>
      <w:r w:rsidRPr="002F44E4">
        <w:rPr>
          <w:rFonts w:ascii="Verdana" w:hAnsi="Verdana"/>
          <w:sz w:val="18"/>
          <w:szCs w:val="18"/>
        </w:rPr>
        <w:t xml:space="preserve">El Salvador. National preparedness and response plan for Novel Coronavirus (2019 - nCov), El Salvador 2020. Available online: </w:t>
      </w:r>
      <w:hyperlink r:id="rId34" w:history="1">
        <w:r w:rsidRPr="002F44E4">
          <w:rPr>
            <w:rStyle w:val="Hipervnculo"/>
            <w:rFonts w:ascii="Verdana" w:hAnsi="Verdana"/>
            <w:sz w:val="18"/>
            <w:szCs w:val="18"/>
          </w:rPr>
          <w:t>https://recursos.elsalvador.com/documentos/2020/04/20200401-plan-nacional-respuesta-covid19.pdf</w:t>
        </w:r>
      </w:hyperlink>
      <w:r w:rsidRPr="002F44E4">
        <w:rPr>
          <w:rFonts w:ascii="Verdana" w:hAnsi="Verdana"/>
          <w:sz w:val="18"/>
          <w:szCs w:val="18"/>
        </w:rPr>
        <w:t xml:space="preserve">. (Accessed on 10 October 2022). </w:t>
      </w:r>
    </w:p>
    <w:p w14:paraId="19AB8A3B"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Guatemala. Plan for the Prevention, Containment and Response to cases of Coronavirus (COVID-19) in Guatemala. Available online: </w:t>
      </w:r>
      <w:hyperlink r:id="rId35" w:history="1">
        <w:r w:rsidRPr="002F44E4">
          <w:rPr>
            <w:rStyle w:val="Hipervnculo"/>
            <w:rFonts w:ascii="Verdana" w:hAnsi="Verdana"/>
            <w:szCs w:val="18"/>
          </w:rPr>
          <w:t>https://covid19-evidence.paho.org/handle/20.500.12663/772</w:t>
        </w:r>
      </w:hyperlink>
      <w:r w:rsidRPr="002F44E4">
        <w:rPr>
          <w:rFonts w:ascii="Verdana" w:hAnsi="Verdana"/>
          <w:szCs w:val="18"/>
        </w:rPr>
        <w:t>. (Accessed on 10 October 2022).</w:t>
      </w:r>
    </w:p>
    <w:p w14:paraId="64E2B599"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Guatemala. COVID-19 humanitarian response plan. Available online: </w:t>
      </w:r>
      <w:hyperlink r:id="rId36" w:history="1">
        <w:r w:rsidRPr="002F44E4">
          <w:rPr>
            <w:rStyle w:val="Hipervnculo"/>
            <w:rFonts w:ascii="Verdana" w:hAnsi="Verdana"/>
            <w:szCs w:val="18"/>
          </w:rPr>
          <w:t>https://guatemala.un.org/es/92048-plan-de-respuesta-humanitaria-covid-19-guatemala</w:t>
        </w:r>
      </w:hyperlink>
      <w:r w:rsidRPr="002F44E4">
        <w:rPr>
          <w:rFonts w:ascii="Verdana" w:hAnsi="Verdana"/>
          <w:szCs w:val="18"/>
        </w:rPr>
        <w:t>. (Accessed on 10 October 2022).</w:t>
      </w:r>
    </w:p>
    <w:p w14:paraId="685DA950" w14:textId="44EBBFEC"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Honduras. COVID-19's National Risk Communication and Social Participation Plan in Honduras. Available online: </w:t>
      </w:r>
      <w:hyperlink r:id="rId37" w:history="1">
        <w:r w:rsidRPr="002F44E4">
          <w:rPr>
            <w:rStyle w:val="Hipervnculo"/>
            <w:rFonts w:ascii="Verdana" w:hAnsi="Verdana"/>
            <w:szCs w:val="18"/>
          </w:rPr>
          <w:t>http://www.salud.gob.hn/site/index.php/component/edocman/plan-comunicacion-de-riesgo-covid-19</w:t>
        </w:r>
      </w:hyperlink>
      <w:r w:rsidRPr="002F44E4">
        <w:rPr>
          <w:rFonts w:ascii="Verdana" w:hAnsi="Verdana"/>
          <w:szCs w:val="18"/>
        </w:rPr>
        <w:t>. (Accessed on 10 October 2022).</w:t>
      </w:r>
      <w:r w:rsidR="00066A30" w:rsidRPr="002F44E4">
        <w:rPr>
          <w:rFonts w:ascii="Verdana" w:hAnsi="Verdana"/>
          <w:szCs w:val="18"/>
        </w:rPr>
        <w:t xml:space="preserve"> </w:t>
      </w:r>
    </w:p>
    <w:p w14:paraId="6C355021"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Honduras. Guidelines for the implementation of temporary shelters in emergency and disaster situations in the context of COVID-19. Available online: </w:t>
      </w:r>
      <w:hyperlink r:id="rId38" w:history="1">
        <w:r w:rsidRPr="002F44E4">
          <w:rPr>
            <w:rStyle w:val="Hipervnculo"/>
            <w:rFonts w:ascii="Verdana" w:hAnsi="Verdana"/>
            <w:szCs w:val="18"/>
          </w:rPr>
          <w:t>http://www.salud.gob.hn/site/index.php/component/edocman/sesal-lineamientos-implementacio-n-de-albergues-covid-19-honduras-091120-1</w:t>
        </w:r>
      </w:hyperlink>
      <w:r w:rsidRPr="002F44E4">
        <w:rPr>
          <w:rFonts w:ascii="Verdana" w:hAnsi="Verdana"/>
          <w:szCs w:val="18"/>
        </w:rPr>
        <w:t>. (Accessed on 10 October 2022).</w:t>
      </w:r>
    </w:p>
    <w:p w14:paraId="544FFBAC"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Panama. Guidelines for the Management of Suspected or Confirmed COVID-19 Patients in Nursing Homes for the Elderly. Available online: </w:t>
      </w:r>
      <w:hyperlink r:id="rId39" w:history="1">
        <w:r w:rsidRPr="002F44E4">
          <w:rPr>
            <w:rStyle w:val="Hipervnculo"/>
            <w:rFonts w:ascii="Verdana" w:hAnsi="Verdana"/>
            <w:szCs w:val="18"/>
          </w:rPr>
          <w:t>https://www.minsa.gob.pa/sites/default/files/publicacion-general/guia_para_el_manejo_de_pacientes_sospechosos_o_confirmados_por_covid-19_en_casas_hogares_para_personas_adulta_mayores_def_0.pdf</w:t>
        </w:r>
      </w:hyperlink>
      <w:r w:rsidRPr="002F44E4">
        <w:rPr>
          <w:rFonts w:ascii="Verdana" w:hAnsi="Verdana"/>
          <w:szCs w:val="18"/>
        </w:rPr>
        <w:t>. (Accessed on 10 October 2022).</w:t>
      </w:r>
    </w:p>
    <w:p w14:paraId="1B76CEBA"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18"/>
        </w:rPr>
        <w:t xml:space="preserve">Panama. Return to Normality Guide in the Development of the National Palliative Care Program in Ministry of Health Facilities. Available online: </w:t>
      </w:r>
      <w:hyperlink r:id="rId40" w:history="1">
        <w:r w:rsidRPr="002F44E4">
          <w:rPr>
            <w:rStyle w:val="Hipervnculo"/>
            <w:rFonts w:ascii="Verdana" w:hAnsi="Verdana"/>
            <w:szCs w:val="18"/>
          </w:rPr>
          <w:t>https://www.minsa.gob.pa/sites/default/files/publicacion-general/guia_de_cuidados_paliativos.pdf</w:t>
        </w:r>
      </w:hyperlink>
      <w:r w:rsidRPr="002F44E4">
        <w:rPr>
          <w:rFonts w:ascii="Verdana" w:hAnsi="Verdana"/>
          <w:szCs w:val="18"/>
        </w:rPr>
        <w:t>. (Accessed on 10 October 2022).</w:t>
      </w:r>
    </w:p>
    <w:p w14:paraId="37E575DC"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21"/>
        </w:rPr>
        <w:t xml:space="preserve">Declaration of the Heads of State and Government of Belize, Costa Rica, Guatemala, Honduras, Nicaragua, Panama and the Dominican Republic on the COVID-19 Pandemic: “Central America united against COVID-19. Available online: </w:t>
      </w:r>
      <w:hyperlink r:id="rId41" w:history="1">
        <w:r w:rsidRPr="002F44E4">
          <w:rPr>
            <w:rStyle w:val="Hipervnculo"/>
            <w:rFonts w:ascii="Verdana" w:hAnsi="Verdana"/>
            <w:szCs w:val="21"/>
          </w:rPr>
          <w:t>https://www.sica.int/coronavirus/declaracion</w:t>
        </w:r>
      </w:hyperlink>
      <w:r w:rsidRPr="002F44E4">
        <w:rPr>
          <w:rFonts w:ascii="Verdana" w:hAnsi="Verdana"/>
          <w:szCs w:val="21"/>
        </w:rPr>
        <w:t xml:space="preserve">. </w:t>
      </w:r>
      <w:r w:rsidRPr="002F44E4">
        <w:rPr>
          <w:rFonts w:ascii="Verdana" w:hAnsi="Verdana"/>
          <w:szCs w:val="18"/>
        </w:rPr>
        <w:t>(Accessed on 10 October 2022).</w:t>
      </w:r>
    </w:p>
    <w:p w14:paraId="78E74CEA"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21"/>
        </w:rPr>
        <w:t xml:space="preserve">CCAMH 02-2020 Resolution regarding the approval of the Regional Contingency Plan aimed at complementing national efforts for prevention, containment, and treatment of COVID-19 and other rapidly spreading diseases. Available online: </w:t>
      </w:r>
      <w:hyperlink r:id="rId42" w:history="1">
        <w:r w:rsidRPr="002F44E4">
          <w:rPr>
            <w:rStyle w:val="Hipervnculo"/>
            <w:rFonts w:ascii="Verdana" w:hAnsi="Verdana"/>
            <w:szCs w:val="21"/>
          </w:rPr>
          <w:t>https://www.sica.int/documentos/resolucion-comisca-02-2020-relativa-a-la-aprobacion-del-plan-de-contingencia-regional-orientado-a-complementar-los-esfuerzos-nacionales-para-la-prevencion-contencion-y-tratamiento-del-covid-19-y-otras-enfermedades-de-rapida-propagacion_1_121785.html</w:t>
        </w:r>
      </w:hyperlink>
      <w:r w:rsidRPr="002F44E4">
        <w:rPr>
          <w:rFonts w:ascii="Verdana" w:hAnsi="Verdana"/>
          <w:szCs w:val="21"/>
        </w:rPr>
        <w:t xml:space="preserve">. </w:t>
      </w:r>
      <w:r w:rsidRPr="002F44E4">
        <w:rPr>
          <w:rFonts w:ascii="Verdana" w:hAnsi="Verdana"/>
          <w:szCs w:val="18"/>
        </w:rPr>
        <w:t>(Accessed on 10 October 2022).</w:t>
      </w:r>
    </w:p>
    <w:p w14:paraId="5C7E9E99"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21"/>
        </w:rPr>
        <w:t xml:space="preserve">Regional Contingency Plan Aimed at complementing national efforts for prevention, containment, and treatment of COVID-19). Available online: </w:t>
      </w:r>
      <w:hyperlink r:id="rId43" w:history="1">
        <w:r w:rsidRPr="002F44E4">
          <w:rPr>
            <w:rStyle w:val="Hipervnculo"/>
            <w:rFonts w:ascii="Verdana" w:hAnsi="Verdana"/>
            <w:szCs w:val="21"/>
          </w:rPr>
          <w:t>https://www.sica.int/coronavirus/plan</w:t>
        </w:r>
      </w:hyperlink>
      <w:r w:rsidRPr="002F44E4">
        <w:rPr>
          <w:rFonts w:ascii="Verdana" w:hAnsi="Verdana"/>
          <w:szCs w:val="21"/>
        </w:rPr>
        <w:t xml:space="preserve">. </w:t>
      </w:r>
      <w:r w:rsidRPr="002F44E4">
        <w:rPr>
          <w:rFonts w:ascii="Verdana" w:hAnsi="Verdana"/>
          <w:szCs w:val="18"/>
        </w:rPr>
        <w:t>(Accessed on 10 October 2022).</w:t>
      </w:r>
    </w:p>
    <w:p w14:paraId="00973B83"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21"/>
        </w:rPr>
        <w:t xml:space="preserve">Report 1: Central America united against COVID-19. Available online: </w:t>
      </w:r>
      <w:hyperlink r:id="rId44" w:history="1">
        <w:r w:rsidRPr="002F44E4">
          <w:rPr>
            <w:rStyle w:val="Hipervnculo"/>
            <w:rFonts w:ascii="Verdana" w:hAnsi="Verdana"/>
            <w:szCs w:val="21"/>
          </w:rPr>
          <w:t>https://hica.csuca.org/attachments/article/295/Informe%201-%20Centroamerica%20unida%20contra%20el%20coronavirus%20(COVID-19).pdf</w:t>
        </w:r>
      </w:hyperlink>
      <w:r w:rsidRPr="002F44E4">
        <w:rPr>
          <w:rFonts w:ascii="Verdana" w:hAnsi="Verdana"/>
          <w:szCs w:val="21"/>
        </w:rPr>
        <w:t xml:space="preserve">. </w:t>
      </w:r>
      <w:r w:rsidRPr="002F44E4">
        <w:rPr>
          <w:rFonts w:ascii="Verdana" w:hAnsi="Verdana"/>
          <w:szCs w:val="18"/>
        </w:rPr>
        <w:t>(Accessed on 10 October 2022).</w:t>
      </w:r>
    </w:p>
    <w:p w14:paraId="44D2C198"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21"/>
        </w:rPr>
        <w:t xml:space="preserve">Institute of Nutrition of Central America and Panama. Recommendations for healthy eating during COVID-19. Available online: </w:t>
      </w:r>
      <w:hyperlink r:id="rId45" w:history="1">
        <w:r w:rsidRPr="002F44E4">
          <w:rPr>
            <w:rStyle w:val="Hipervnculo"/>
            <w:rFonts w:ascii="Verdana" w:hAnsi="Verdana"/>
            <w:szCs w:val="21"/>
          </w:rPr>
          <w:t>http://www.incap.int/index.php/es/noticias/213-recomendaciones-alim-saludable-covid19</w:t>
        </w:r>
      </w:hyperlink>
      <w:r w:rsidRPr="002F44E4">
        <w:rPr>
          <w:rFonts w:ascii="Verdana" w:hAnsi="Verdana"/>
          <w:szCs w:val="21"/>
        </w:rPr>
        <w:t xml:space="preserve">. </w:t>
      </w:r>
      <w:r w:rsidRPr="002F44E4">
        <w:rPr>
          <w:rFonts w:ascii="Verdana" w:hAnsi="Verdana"/>
          <w:szCs w:val="18"/>
        </w:rPr>
        <w:t>(Accessed on 10 October 2022).</w:t>
      </w:r>
    </w:p>
    <w:p w14:paraId="6459B61D"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21"/>
        </w:rPr>
        <w:t xml:space="preserve">Shelter management considerations in the COVID-19 context. Available online: </w:t>
      </w:r>
      <w:hyperlink r:id="rId46" w:history="1">
        <w:r w:rsidRPr="002F44E4">
          <w:rPr>
            <w:rStyle w:val="Hipervnculo"/>
            <w:rFonts w:ascii="Verdana" w:hAnsi="Verdana"/>
            <w:szCs w:val="21"/>
          </w:rPr>
          <w:t>https://www.sica.int/documentos/cepredenac-consideraciones-para-manejo-de-albergues-en-contexto-covid-19_1_122357.html</w:t>
        </w:r>
      </w:hyperlink>
      <w:r w:rsidRPr="002F44E4">
        <w:rPr>
          <w:rFonts w:ascii="Verdana" w:hAnsi="Verdana"/>
          <w:szCs w:val="21"/>
        </w:rPr>
        <w:t xml:space="preserve">. </w:t>
      </w:r>
      <w:r w:rsidRPr="002F44E4">
        <w:rPr>
          <w:rFonts w:ascii="Verdana" w:hAnsi="Verdana"/>
          <w:szCs w:val="18"/>
        </w:rPr>
        <w:t>(Accessed on 10 October 2022).</w:t>
      </w:r>
    </w:p>
    <w:p w14:paraId="60AC704B"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21"/>
        </w:rPr>
        <w:t xml:space="preserve">Letter for the Future of Central American Integration - Vinicio Cerezo, Secretary-General of the CAIS. Available online: </w:t>
      </w:r>
      <w:hyperlink r:id="rId47" w:anchor=":~:text=La%20carta%20se%20divide%20en,Honduras%2C%20Nicaragua%2C%20Costa%20Rica%2C" w:history="1">
        <w:r w:rsidRPr="002F44E4">
          <w:rPr>
            <w:rStyle w:val="Hipervnculo"/>
            <w:rFonts w:ascii="Verdana" w:hAnsi="Verdana"/>
            <w:szCs w:val="21"/>
          </w:rPr>
          <w:t>https://www.sica.int/integracion/2020/carta#:~:text=La%20carta%20se%20divide%20en,Honduras%2C%20Nicaragua%2C%20Costa%20Rica%2C</w:t>
        </w:r>
      </w:hyperlink>
      <w:r w:rsidRPr="002F44E4">
        <w:rPr>
          <w:rFonts w:ascii="Verdana" w:hAnsi="Verdana"/>
          <w:szCs w:val="21"/>
        </w:rPr>
        <w:t xml:space="preserve">. </w:t>
      </w:r>
      <w:r w:rsidRPr="002F44E4">
        <w:rPr>
          <w:rFonts w:ascii="Verdana" w:hAnsi="Verdana"/>
          <w:szCs w:val="18"/>
        </w:rPr>
        <w:t>(Accessed on 10 October 2022).</w:t>
      </w:r>
    </w:p>
    <w:p w14:paraId="525CCD74"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21"/>
        </w:rPr>
        <w:t xml:space="preserve">Progress Report on the Implementation of the CAIS Regional Contingency Plan against Coronavirus: Implementation of actions aimed at complementing national efforts. Available online: </w:t>
      </w:r>
      <w:hyperlink r:id="rId48" w:history="1">
        <w:r w:rsidRPr="002F44E4">
          <w:rPr>
            <w:rStyle w:val="Hipervnculo"/>
            <w:rFonts w:ascii="Verdana" w:hAnsi="Verdana"/>
            <w:szCs w:val="21"/>
          </w:rPr>
          <w:t>https://www.sica.int/documentos/sica-informe-de-9-meses-del-plan-de-contingencia-frente-al-coronavirus_1_125857.html</w:t>
        </w:r>
      </w:hyperlink>
      <w:r w:rsidRPr="002F44E4">
        <w:rPr>
          <w:rFonts w:ascii="Verdana" w:hAnsi="Verdana"/>
          <w:szCs w:val="21"/>
        </w:rPr>
        <w:t xml:space="preserve">. </w:t>
      </w:r>
      <w:r w:rsidRPr="002F44E4">
        <w:rPr>
          <w:rFonts w:ascii="Verdana" w:hAnsi="Verdana"/>
          <w:szCs w:val="18"/>
        </w:rPr>
        <w:t>(Accessed on 10 October 2022).</w:t>
      </w:r>
    </w:p>
    <w:p w14:paraId="4D42BDAC"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szCs w:val="21"/>
        </w:rPr>
        <w:t xml:space="preserve">CCAMH 02-2021 Resolution, regarding the approval of the Central American and Dominican Republic Health Plan 2021-2025). Available online: </w:t>
      </w:r>
      <w:hyperlink r:id="rId49" w:history="1">
        <w:r w:rsidRPr="002F44E4">
          <w:rPr>
            <w:rStyle w:val="Hipervnculo"/>
            <w:rFonts w:ascii="Verdana" w:hAnsi="Verdana"/>
            <w:szCs w:val="21"/>
          </w:rPr>
          <w:t>https://www.sica.int/documentos/informe-de-gestion-de-la-secretaria-ejecutiva-del-comisca-02-2021_1_129042.html</w:t>
        </w:r>
      </w:hyperlink>
      <w:r w:rsidRPr="002F44E4">
        <w:rPr>
          <w:rFonts w:ascii="Verdana" w:hAnsi="Verdana"/>
          <w:szCs w:val="21"/>
        </w:rPr>
        <w:t xml:space="preserve">. </w:t>
      </w:r>
      <w:r w:rsidRPr="002F44E4">
        <w:rPr>
          <w:rFonts w:ascii="Verdana" w:hAnsi="Verdana"/>
          <w:szCs w:val="18"/>
        </w:rPr>
        <w:t>(Accessed on 10 October 2022).</w:t>
      </w:r>
    </w:p>
    <w:p w14:paraId="147343DB"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World Health Organization. </w:t>
      </w:r>
      <w:r w:rsidRPr="002F44E4">
        <w:rPr>
          <w:rFonts w:ascii="Verdana" w:hAnsi="Verdana"/>
          <w:i/>
          <w:iCs/>
        </w:rPr>
        <w:t>Delivering quality health services: a global imperative for universal health coverage</w:t>
      </w:r>
      <w:r w:rsidRPr="002F44E4">
        <w:rPr>
          <w:rFonts w:ascii="Verdana" w:hAnsi="Verdana"/>
        </w:rPr>
        <w:t>. 1st Ed. World Health Organization, Organisation for Economic Co-operation and Development, and the World Bank. Geneva, Switzerland, 2018, pp. 1-100.</w:t>
      </w:r>
    </w:p>
    <w:p w14:paraId="24FEF044"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Parthenay, K. Uniting (regionally) against COVID-19: SICA and CARICOM. </w:t>
      </w:r>
      <w:r w:rsidRPr="002F44E4">
        <w:rPr>
          <w:rFonts w:ascii="Verdana" w:hAnsi="Verdana"/>
          <w:i/>
          <w:lang w:val="es-ES"/>
        </w:rPr>
        <w:t>Foro Internacional (FI)</w:t>
      </w:r>
      <w:r w:rsidRPr="002F44E4">
        <w:rPr>
          <w:rFonts w:ascii="Verdana" w:hAnsi="Verdana"/>
          <w:lang w:val="es-ES"/>
        </w:rPr>
        <w:t xml:space="preserve">, 2021, </w:t>
      </w:r>
      <w:r w:rsidRPr="002F44E4">
        <w:rPr>
          <w:rFonts w:ascii="Verdana" w:hAnsi="Verdana"/>
          <w:i/>
          <w:lang w:val="es-ES"/>
        </w:rPr>
        <w:t>61</w:t>
      </w:r>
      <w:r w:rsidRPr="002F44E4">
        <w:rPr>
          <w:rFonts w:ascii="Verdana" w:hAnsi="Verdana"/>
          <w:lang w:val="es-ES"/>
        </w:rPr>
        <w:t xml:space="preserve">, 387-425.  </w:t>
      </w:r>
    </w:p>
    <w:p w14:paraId="63543406" w14:textId="77777777"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lang w:val="es-ES"/>
        </w:rPr>
        <w:t>Huenchuan, S. COVID-19: Recomendaciones generales para la atención a personas mayores desde una perspectiva de derechos humanos (LC/MEX/TS.2020/6/Rev.1), Ciudad de México, Comisión Económica para América Latina y el Caribe (CEPAL), 2020.</w:t>
      </w:r>
    </w:p>
    <w:p w14:paraId="305CA36C"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Berg, L.; Alm, E. A conversation about the state in pandemic times: necropolitics and the legacy of social democracy in Sweden and Nicaragua. </w:t>
      </w:r>
      <w:r w:rsidRPr="002F44E4">
        <w:rPr>
          <w:rFonts w:ascii="Verdana" w:hAnsi="Verdana"/>
          <w:i/>
        </w:rPr>
        <w:t>Kulturella Perspektiv – Svensk Etnologisk Tidskkrift</w:t>
      </w:r>
      <w:r w:rsidRPr="002F44E4">
        <w:rPr>
          <w:rFonts w:ascii="Verdana" w:hAnsi="Verdana"/>
        </w:rPr>
        <w:t xml:space="preserve">, 2021, </w:t>
      </w:r>
      <w:r w:rsidRPr="002F44E4">
        <w:rPr>
          <w:rFonts w:ascii="Verdana" w:hAnsi="Verdana"/>
          <w:i/>
        </w:rPr>
        <w:t>30</w:t>
      </w:r>
      <w:r w:rsidRPr="002F44E4">
        <w:rPr>
          <w:rFonts w:ascii="Verdana" w:hAnsi="Verdana"/>
        </w:rPr>
        <w:t>, 1-9.</w:t>
      </w:r>
    </w:p>
    <w:p w14:paraId="6CF62685"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Jarquín, M.C. COVID-19 and the state: Nicaragua case study. World Institute for Development Economics Research. </w:t>
      </w:r>
      <w:r w:rsidRPr="002F44E4">
        <w:rPr>
          <w:rFonts w:ascii="Verdana" w:hAnsi="Verdana"/>
          <w:i/>
          <w:iCs/>
        </w:rPr>
        <w:t>WIDER Working Paper</w:t>
      </w:r>
      <w:r w:rsidRPr="002F44E4">
        <w:rPr>
          <w:rFonts w:ascii="Verdana" w:hAnsi="Verdana"/>
        </w:rPr>
        <w:t xml:space="preserve">, 2022, </w:t>
      </w:r>
      <w:r w:rsidRPr="002F44E4">
        <w:rPr>
          <w:rFonts w:ascii="Verdana" w:hAnsi="Verdana"/>
          <w:i/>
          <w:iCs/>
        </w:rPr>
        <w:t>41</w:t>
      </w:r>
      <w:r w:rsidRPr="002F44E4">
        <w:rPr>
          <w:rFonts w:ascii="Verdana" w:hAnsi="Verdana"/>
        </w:rPr>
        <w:t>, 1-21.</w:t>
      </w:r>
    </w:p>
    <w:p w14:paraId="3A30B6AD"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lastRenderedPageBreak/>
        <w:t xml:space="preserve">Chaves, F.L.; Friberg, M.D.; Hurtado, L.A.; Marín-Rodríguez, R.; O’Sullivan, D.; et al. Trade, uneven development and people in motion: used territories and the initial spread of COVID-19 in Mesoamerica and the Caribbean. </w:t>
      </w:r>
      <w:r w:rsidRPr="002F44E4">
        <w:rPr>
          <w:rFonts w:ascii="Verdana" w:hAnsi="Verdana"/>
          <w:i/>
          <w:iCs/>
        </w:rPr>
        <w:t>Socio-Economic Planning Sciences</w:t>
      </w:r>
      <w:r w:rsidRPr="002F44E4">
        <w:rPr>
          <w:rFonts w:ascii="Verdana" w:hAnsi="Verdana"/>
        </w:rPr>
        <w:t xml:space="preserve">, 2022, </w:t>
      </w:r>
      <w:r w:rsidRPr="002F44E4">
        <w:rPr>
          <w:rFonts w:ascii="Verdana" w:hAnsi="Verdana"/>
          <w:i/>
          <w:iCs/>
        </w:rPr>
        <w:t>80</w:t>
      </w:r>
      <w:r w:rsidRPr="002F44E4">
        <w:rPr>
          <w:rFonts w:ascii="Verdana" w:hAnsi="Verdana"/>
        </w:rPr>
        <w:t>, 1-14.</w:t>
      </w:r>
    </w:p>
    <w:p w14:paraId="79DCD626"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Thaler, K.M. Nicaragua and COVID-19: Authoritarian indifferences. In </w:t>
      </w:r>
      <w:r w:rsidRPr="002F44E4">
        <w:rPr>
          <w:rFonts w:ascii="Verdana" w:hAnsi="Verdana"/>
          <w:i/>
          <w:iCs/>
        </w:rPr>
        <w:t>COVID-19 and Governance</w:t>
      </w:r>
      <w:r w:rsidRPr="002F44E4">
        <w:rPr>
          <w:rFonts w:ascii="Verdana" w:hAnsi="Verdana"/>
        </w:rPr>
        <w:t>. 1st Ed; Pieterse, J.N.; Lim, H.; Khondker, H. Routledge: London, United Kingdom, 2021, Volume 1, pp. 229-241.</w:t>
      </w:r>
    </w:p>
    <w:p w14:paraId="28105EB3"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Hotez, P.J.; Huete-Pérez, J.A.; Bottazzi, M.E. COVID-19 in the Americas and the erosion of human rights for the poor. </w:t>
      </w:r>
      <w:r w:rsidRPr="002F44E4">
        <w:rPr>
          <w:rFonts w:ascii="Verdana" w:hAnsi="Verdana"/>
          <w:i/>
          <w:iCs/>
          <w:lang w:val="es-ES"/>
        </w:rPr>
        <w:t>PLoS Negl Trop Dis</w:t>
      </w:r>
      <w:r w:rsidRPr="002F44E4">
        <w:rPr>
          <w:rFonts w:ascii="Verdana" w:hAnsi="Verdana"/>
          <w:lang w:val="es-ES"/>
        </w:rPr>
        <w:t xml:space="preserve">, 2020, </w:t>
      </w:r>
      <w:r w:rsidRPr="002F44E4">
        <w:rPr>
          <w:rFonts w:ascii="Verdana" w:hAnsi="Verdana"/>
          <w:i/>
          <w:iCs/>
          <w:lang w:val="es-ES"/>
        </w:rPr>
        <w:t>14</w:t>
      </w:r>
      <w:r w:rsidRPr="002F44E4">
        <w:rPr>
          <w:rFonts w:ascii="Verdana" w:hAnsi="Verdana"/>
          <w:lang w:val="es-ES"/>
        </w:rPr>
        <w:t>, 1-7.</w:t>
      </w:r>
    </w:p>
    <w:p w14:paraId="170DCC47"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lang w:val="es-ES"/>
        </w:rPr>
        <w:t xml:space="preserve">Paisano, D.C.S. Antecedentes y desafíos actuales de la gobernanza en el proceso de integración centroamericano. </w:t>
      </w:r>
      <w:r w:rsidRPr="002F44E4">
        <w:rPr>
          <w:rFonts w:ascii="Verdana" w:hAnsi="Verdana"/>
          <w:i/>
          <w:lang w:val="es-ES"/>
        </w:rPr>
        <w:t>Revista de Estudios Europeos</w:t>
      </w:r>
      <w:r w:rsidRPr="002F44E4">
        <w:rPr>
          <w:rFonts w:ascii="Verdana" w:hAnsi="Verdana"/>
          <w:lang w:val="es-ES"/>
        </w:rPr>
        <w:t xml:space="preserve">, 2018, </w:t>
      </w:r>
      <w:r w:rsidRPr="002F44E4">
        <w:rPr>
          <w:rFonts w:ascii="Verdana" w:hAnsi="Verdana"/>
          <w:i/>
          <w:lang w:val="es-ES"/>
        </w:rPr>
        <w:t>72</w:t>
      </w:r>
      <w:r w:rsidRPr="002F44E4">
        <w:rPr>
          <w:rFonts w:ascii="Verdana" w:hAnsi="Verdana"/>
          <w:lang w:val="es-ES"/>
        </w:rPr>
        <w:t>, 161-184.</w:t>
      </w:r>
    </w:p>
    <w:p w14:paraId="07626BB4"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Salazar-Mather, T.P.; Gallo-Marin, B.; Medina-Pérez, G.; Christophers, B.; Paiva, M.L.; et al. Love in time of COVID-19: negligence in the Nicaraguan response. </w:t>
      </w:r>
      <w:r w:rsidRPr="002F44E4">
        <w:rPr>
          <w:rFonts w:ascii="Verdana" w:hAnsi="Verdana"/>
          <w:i/>
        </w:rPr>
        <w:t>The Lancet Global Health</w:t>
      </w:r>
      <w:r w:rsidRPr="002F44E4">
        <w:rPr>
          <w:rFonts w:ascii="Verdana" w:hAnsi="Verdana"/>
        </w:rPr>
        <w:t xml:space="preserve">, 2020, </w:t>
      </w:r>
      <w:r w:rsidRPr="002F44E4">
        <w:rPr>
          <w:rFonts w:ascii="Verdana" w:hAnsi="Verdana"/>
          <w:i/>
        </w:rPr>
        <w:t>8</w:t>
      </w:r>
      <w:r w:rsidRPr="002F44E4">
        <w:rPr>
          <w:rFonts w:ascii="Verdana" w:hAnsi="Verdana"/>
        </w:rPr>
        <w:t>, e773.</w:t>
      </w:r>
    </w:p>
    <w:p w14:paraId="65CA9CCC"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Martínez-Córdoba, P.J.; Benito, B.; García-Sánchez, I.M. Efficiency in the governance of the COVID-19 pandemic: political and territorial factors. </w:t>
      </w:r>
      <w:r w:rsidRPr="002F44E4">
        <w:rPr>
          <w:rFonts w:ascii="Verdana" w:hAnsi="Verdana"/>
          <w:i/>
        </w:rPr>
        <w:t>Globalization and Health</w:t>
      </w:r>
      <w:r w:rsidRPr="002F44E4">
        <w:rPr>
          <w:rFonts w:ascii="Verdana" w:hAnsi="Verdana"/>
        </w:rPr>
        <w:t xml:space="preserve">, 2021, </w:t>
      </w:r>
      <w:r w:rsidRPr="002F44E4">
        <w:rPr>
          <w:rFonts w:ascii="Verdana" w:hAnsi="Verdana"/>
          <w:i/>
        </w:rPr>
        <w:t>17</w:t>
      </w:r>
      <w:r w:rsidRPr="002F44E4">
        <w:rPr>
          <w:rFonts w:ascii="Verdana" w:hAnsi="Verdana"/>
        </w:rPr>
        <w:t>, 1-13.</w:t>
      </w:r>
    </w:p>
    <w:p w14:paraId="28EE3818"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Nieves-Cuervo, G.M.; Manrique-Hernández, E.F.; Robledo-Colonia, A.F.; Grillo-Ardila, E.K. Infodemia: fake news and COVID-19 mortality trends in six Latin American countries. </w:t>
      </w:r>
      <w:r w:rsidRPr="002F44E4">
        <w:rPr>
          <w:rFonts w:ascii="Verdana" w:hAnsi="Verdana"/>
          <w:i/>
          <w:iCs/>
        </w:rPr>
        <w:t>Rev Panam Salud Publica</w:t>
      </w:r>
      <w:r w:rsidRPr="002F44E4">
        <w:rPr>
          <w:rFonts w:ascii="Verdana" w:hAnsi="Verdana"/>
        </w:rPr>
        <w:t xml:space="preserve">, 2021, </w:t>
      </w:r>
      <w:r w:rsidRPr="002F44E4">
        <w:rPr>
          <w:rFonts w:ascii="Verdana" w:hAnsi="Verdana"/>
          <w:i/>
          <w:iCs/>
        </w:rPr>
        <w:t>45</w:t>
      </w:r>
      <w:r w:rsidRPr="002F44E4">
        <w:rPr>
          <w:rFonts w:ascii="Verdana" w:hAnsi="Verdana"/>
        </w:rPr>
        <w:t>, 1-8.</w:t>
      </w:r>
    </w:p>
    <w:p w14:paraId="55EABF78" w14:textId="33C7DCE4"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Pan American Health Organization. Fact sheets: understanding infodemic and misinformation in the fight against COVID-19. </w:t>
      </w:r>
      <w:r w:rsidRPr="002F44E4">
        <w:rPr>
          <w:rFonts w:ascii="Verdana" w:hAnsi="Verdana"/>
          <w:lang w:val="es-ES"/>
        </w:rPr>
        <w:t>Washington, DC: PAHO/WHO, 2020.</w:t>
      </w:r>
      <w:r w:rsidR="00066A30" w:rsidRPr="002F44E4">
        <w:rPr>
          <w:rFonts w:ascii="Verdana" w:hAnsi="Verdana"/>
          <w:lang w:val="es-ES"/>
        </w:rPr>
        <w:t xml:space="preserve"> </w:t>
      </w:r>
    </w:p>
    <w:p w14:paraId="29C034C3"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lang w:val="es-ES"/>
        </w:rPr>
        <w:t xml:space="preserve">Durón, R.M.; Salavarría, N.; Hesse, H.; Summer, A.; Holden, K. Perspectivas de la telemedicina como alternativa para la atención en salud en Honduras. </w:t>
      </w:r>
      <w:r w:rsidRPr="002F44E4">
        <w:rPr>
          <w:rFonts w:ascii="Verdana" w:hAnsi="Verdana"/>
          <w:i/>
          <w:iCs/>
        </w:rPr>
        <w:t>Innovare</w:t>
      </w:r>
      <w:r w:rsidRPr="002F44E4">
        <w:rPr>
          <w:rFonts w:ascii="Verdana" w:hAnsi="Verdana"/>
        </w:rPr>
        <w:t xml:space="preserve">, 2016, </w:t>
      </w:r>
      <w:r w:rsidRPr="002F44E4">
        <w:rPr>
          <w:rFonts w:ascii="Verdana" w:hAnsi="Verdana"/>
          <w:i/>
          <w:iCs/>
        </w:rPr>
        <w:t>5</w:t>
      </w:r>
      <w:r w:rsidRPr="002F44E4">
        <w:rPr>
          <w:rFonts w:ascii="Verdana" w:hAnsi="Verdana"/>
        </w:rPr>
        <w:t>, 49-55.</w:t>
      </w:r>
    </w:p>
    <w:p w14:paraId="4DB4F255"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Valerio-Monge, C.J. Telemedicine. A look at international ethical and legal best practices. In particular, confidentiality and informed consent in Latin American legislation. </w:t>
      </w:r>
      <w:r w:rsidRPr="002F44E4">
        <w:rPr>
          <w:rFonts w:ascii="Verdana" w:hAnsi="Verdana"/>
          <w:i/>
          <w:iCs/>
        </w:rPr>
        <w:t>Bioderecho.es</w:t>
      </w:r>
      <w:r w:rsidRPr="002F44E4">
        <w:rPr>
          <w:rFonts w:ascii="Verdana" w:hAnsi="Verdana"/>
        </w:rPr>
        <w:t xml:space="preserve">, 2021, </w:t>
      </w:r>
      <w:r w:rsidRPr="002F44E4">
        <w:rPr>
          <w:rFonts w:ascii="Verdana" w:hAnsi="Verdana"/>
          <w:i/>
          <w:iCs/>
        </w:rPr>
        <w:t>14</w:t>
      </w:r>
      <w:r w:rsidRPr="002F44E4">
        <w:rPr>
          <w:rFonts w:ascii="Verdana" w:hAnsi="Verdana"/>
        </w:rPr>
        <w:t xml:space="preserve">, 1-21.  </w:t>
      </w:r>
    </w:p>
    <w:p w14:paraId="31C18A63"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Siles, I. The Internet as a transnational project: connecting Central America through computer networks (1990–1996). </w:t>
      </w:r>
      <w:r w:rsidRPr="002F44E4">
        <w:rPr>
          <w:rFonts w:ascii="Verdana" w:hAnsi="Verdana"/>
          <w:i/>
        </w:rPr>
        <w:t>Internet Histories</w:t>
      </w:r>
      <w:r w:rsidRPr="002F44E4">
        <w:rPr>
          <w:rFonts w:ascii="Verdana" w:hAnsi="Verdana"/>
        </w:rPr>
        <w:t xml:space="preserve">, 2018, </w:t>
      </w:r>
      <w:r w:rsidRPr="002F44E4">
        <w:rPr>
          <w:rFonts w:ascii="Verdana" w:hAnsi="Verdana"/>
          <w:i/>
        </w:rPr>
        <w:t>2</w:t>
      </w:r>
      <w:r w:rsidRPr="002F44E4">
        <w:rPr>
          <w:rFonts w:ascii="Verdana" w:hAnsi="Verdana"/>
        </w:rPr>
        <w:t>, 230-246.</w:t>
      </w:r>
    </w:p>
    <w:p w14:paraId="68E6B3D5"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Seifert, A.; Cotton, S.R.; Xie, B. A double burden of exclusion? Digital and social exclusion of older adults in times of COVID-19. </w:t>
      </w:r>
      <w:r w:rsidRPr="002F44E4">
        <w:rPr>
          <w:rFonts w:ascii="Verdana" w:hAnsi="Verdana"/>
          <w:i/>
        </w:rPr>
        <w:t>J Gerontol B Pyschol Sci Soc</w:t>
      </w:r>
      <w:r w:rsidRPr="002F44E4">
        <w:rPr>
          <w:rFonts w:ascii="Verdana" w:hAnsi="Verdana"/>
        </w:rPr>
        <w:t xml:space="preserve">, 2021, </w:t>
      </w:r>
      <w:r w:rsidRPr="002F44E4">
        <w:rPr>
          <w:rFonts w:ascii="Verdana" w:hAnsi="Verdana"/>
          <w:i/>
        </w:rPr>
        <w:t>76</w:t>
      </w:r>
      <w:r w:rsidRPr="002F44E4">
        <w:rPr>
          <w:rFonts w:ascii="Verdana" w:hAnsi="Verdana"/>
        </w:rPr>
        <w:t>, 99-103.</w:t>
      </w:r>
    </w:p>
    <w:p w14:paraId="758DD13C"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Barrantes-Sotela, O.; Solano-Mayorga, M.A. Spatial behavior of COVID-19 pandemic in Costa Rica during the months of March and April 2020 through a spatial autocorrelation analysis. </w:t>
      </w:r>
      <w:r w:rsidRPr="002F44E4">
        <w:rPr>
          <w:rFonts w:ascii="Verdana" w:hAnsi="Verdana"/>
          <w:i/>
          <w:iCs/>
          <w:lang w:val="es-ES"/>
        </w:rPr>
        <w:t>Posicion</w:t>
      </w:r>
      <w:r w:rsidRPr="002F44E4">
        <w:rPr>
          <w:rFonts w:ascii="Verdana" w:hAnsi="Verdana"/>
          <w:lang w:val="es-ES"/>
        </w:rPr>
        <w:t xml:space="preserve">, 2020, </w:t>
      </w:r>
      <w:r w:rsidRPr="002F44E4">
        <w:rPr>
          <w:rFonts w:ascii="Verdana" w:hAnsi="Verdana"/>
          <w:i/>
          <w:iCs/>
          <w:lang w:val="es-ES"/>
        </w:rPr>
        <w:t>3</w:t>
      </w:r>
      <w:r w:rsidRPr="002F44E4">
        <w:rPr>
          <w:rFonts w:ascii="Verdana" w:hAnsi="Verdana"/>
          <w:lang w:val="es-ES"/>
        </w:rPr>
        <w:t>, 1-17.</w:t>
      </w:r>
    </w:p>
    <w:p w14:paraId="5CA0E959"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lang w:val="es-ES"/>
        </w:rPr>
        <w:t xml:space="preserve">Durón, R.M.; Sánchez, E.; Choi, J.N.; Peralta, G.; Ventura, S.G.; Soto, R.J.; et al. </w:t>
      </w:r>
      <w:r w:rsidRPr="002F44E4">
        <w:rPr>
          <w:rFonts w:ascii="Verdana" w:hAnsi="Verdana"/>
        </w:rPr>
        <w:t xml:space="preserve">Honduras: two hurricanes, COVID-19, dengue and the need for a new digital health surveillance system. </w:t>
      </w:r>
      <w:r w:rsidRPr="002F44E4">
        <w:rPr>
          <w:rFonts w:ascii="Verdana" w:hAnsi="Verdana"/>
          <w:i/>
          <w:iCs/>
        </w:rPr>
        <w:t>Journal of Public Health</w:t>
      </w:r>
      <w:r w:rsidRPr="002F44E4">
        <w:rPr>
          <w:rFonts w:ascii="Verdana" w:hAnsi="Verdana"/>
        </w:rPr>
        <w:t xml:space="preserve">, 2021, </w:t>
      </w:r>
      <w:r w:rsidRPr="002F44E4">
        <w:rPr>
          <w:rFonts w:ascii="Verdana" w:hAnsi="Verdana"/>
          <w:i/>
          <w:iCs/>
        </w:rPr>
        <w:t>43</w:t>
      </w:r>
      <w:r w:rsidRPr="002F44E4">
        <w:rPr>
          <w:rFonts w:ascii="Verdana" w:hAnsi="Verdana"/>
        </w:rPr>
        <w:t>, e297-e298.</w:t>
      </w:r>
    </w:p>
    <w:p w14:paraId="2424F398"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Chaves, L.F.; Hurtado, L.A.; Ramírez-Rojas, M.; Friberg, M.D.; Maríz-Rodríguez, R.; et al. COVID-19 basic reproduction number and assessment of initial suppression policies in Costa Rica. </w:t>
      </w:r>
      <w:r w:rsidRPr="002F44E4">
        <w:rPr>
          <w:rFonts w:ascii="Verdana" w:hAnsi="Verdana"/>
          <w:i/>
          <w:iCs/>
        </w:rPr>
        <w:t>Math Model Nat Phenom</w:t>
      </w:r>
      <w:r w:rsidRPr="002F44E4">
        <w:rPr>
          <w:rFonts w:ascii="Verdana" w:hAnsi="Verdana"/>
        </w:rPr>
        <w:t xml:space="preserve">, 2020, </w:t>
      </w:r>
      <w:r w:rsidRPr="002F44E4">
        <w:rPr>
          <w:rFonts w:ascii="Verdana" w:hAnsi="Verdana"/>
          <w:i/>
          <w:iCs/>
        </w:rPr>
        <w:t>15</w:t>
      </w:r>
      <w:r w:rsidRPr="002F44E4">
        <w:rPr>
          <w:rFonts w:ascii="Verdana" w:hAnsi="Verdana"/>
        </w:rPr>
        <w:t>, 1-13.</w:t>
      </w:r>
    </w:p>
    <w:p w14:paraId="38A1D627"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Galán-Rodas, E.; Zamora, A. e-Health literacy for strengthen the health systems in Central America. </w:t>
      </w:r>
      <w:r w:rsidRPr="002F44E4">
        <w:rPr>
          <w:rFonts w:ascii="Verdana" w:hAnsi="Verdana"/>
          <w:i/>
          <w:iCs/>
          <w:lang w:val="es-ES"/>
        </w:rPr>
        <w:t>Rev Hisp Cienc Salud</w:t>
      </w:r>
      <w:r w:rsidRPr="002F44E4">
        <w:rPr>
          <w:rFonts w:ascii="Verdana" w:hAnsi="Verdana"/>
          <w:lang w:val="es-ES"/>
        </w:rPr>
        <w:t xml:space="preserve">, 2015, </w:t>
      </w:r>
      <w:r w:rsidRPr="002F44E4">
        <w:rPr>
          <w:rFonts w:ascii="Verdana" w:hAnsi="Verdana"/>
          <w:i/>
          <w:iCs/>
          <w:lang w:val="es-ES"/>
        </w:rPr>
        <w:t>1</w:t>
      </w:r>
      <w:r w:rsidRPr="002F44E4">
        <w:rPr>
          <w:rFonts w:ascii="Verdana" w:hAnsi="Verdana"/>
          <w:lang w:val="es-ES"/>
        </w:rPr>
        <w:t>, 29-33.</w:t>
      </w:r>
    </w:p>
    <w:p w14:paraId="33A15808"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lang w:val="es-ES"/>
        </w:rPr>
        <w:t xml:space="preserve">Pineda, G.M.; Sánchez, E.; Bardales, J.; Rodríguez, G.; Rodríguez, O.; Peralta, G.; et al. </w:t>
      </w:r>
      <w:r w:rsidRPr="002F44E4">
        <w:rPr>
          <w:rFonts w:ascii="Verdana" w:hAnsi="Verdana"/>
        </w:rPr>
        <w:t xml:space="preserve">Data management for departmental epidemiology and local actions against COVID-19 in Honduras. </w:t>
      </w:r>
      <w:r w:rsidRPr="002F44E4">
        <w:rPr>
          <w:rFonts w:ascii="Verdana" w:hAnsi="Verdana"/>
          <w:i/>
          <w:iCs/>
          <w:lang w:val="es-ES"/>
        </w:rPr>
        <w:t>INNOVARE Revista de Ciencia y Tecnología</w:t>
      </w:r>
      <w:r w:rsidRPr="002F44E4">
        <w:rPr>
          <w:rFonts w:ascii="Verdana" w:hAnsi="Verdana"/>
          <w:lang w:val="es-ES"/>
        </w:rPr>
        <w:t xml:space="preserve">, 2021, </w:t>
      </w:r>
      <w:r w:rsidRPr="002F44E4">
        <w:rPr>
          <w:rFonts w:ascii="Verdana" w:hAnsi="Verdana"/>
          <w:i/>
          <w:iCs/>
          <w:lang w:val="es-ES"/>
        </w:rPr>
        <w:t>10</w:t>
      </w:r>
      <w:r w:rsidRPr="002F44E4">
        <w:rPr>
          <w:rFonts w:ascii="Verdana" w:hAnsi="Verdana"/>
          <w:lang w:val="es-ES"/>
        </w:rPr>
        <w:t>, 120-123.</w:t>
      </w:r>
    </w:p>
    <w:p w14:paraId="4FBAF7C8"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lang w:val="es-ES"/>
        </w:rPr>
        <w:t xml:space="preserve">Alger, J.; Espinoza-Salvadó.; Valenzuela, R.; De Haan, S.; Cuervo, L.G.; et al. Primera conferencia Latinoamericana sobre investigación e innovación en salud, Rio de Janeiro, Brasil, abril 14-18, 20008. </w:t>
      </w:r>
      <w:r w:rsidRPr="002F44E4">
        <w:rPr>
          <w:rFonts w:ascii="Verdana" w:hAnsi="Verdana"/>
          <w:i/>
          <w:iCs/>
        </w:rPr>
        <w:t>Rev Med Hondur</w:t>
      </w:r>
      <w:r w:rsidRPr="002F44E4">
        <w:rPr>
          <w:rFonts w:ascii="Verdana" w:hAnsi="Verdana"/>
        </w:rPr>
        <w:t xml:space="preserve">, 2008, </w:t>
      </w:r>
      <w:r w:rsidRPr="002F44E4">
        <w:rPr>
          <w:rFonts w:ascii="Verdana" w:hAnsi="Verdana"/>
          <w:i/>
          <w:iCs/>
        </w:rPr>
        <w:t>76</w:t>
      </w:r>
      <w:r w:rsidRPr="002F44E4">
        <w:rPr>
          <w:rFonts w:ascii="Verdana" w:hAnsi="Verdana"/>
        </w:rPr>
        <w:t>, 88-93.</w:t>
      </w:r>
    </w:p>
    <w:p w14:paraId="52C09B6E"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Mothe, J.; Vacaflor, L.E.; Castro-Arroyave, D.M.; Cuervo, L.G.; Gore-Saravia, N. Exploring social innovation in health in Central America and the Caribbean. </w:t>
      </w:r>
      <w:r w:rsidRPr="002F44E4">
        <w:rPr>
          <w:rFonts w:ascii="Verdana" w:hAnsi="Verdana"/>
          <w:i/>
          <w:iCs/>
        </w:rPr>
        <w:t>Rev Panam Salud Publica</w:t>
      </w:r>
      <w:r w:rsidRPr="002F44E4">
        <w:rPr>
          <w:rFonts w:ascii="Verdana" w:hAnsi="Verdana"/>
        </w:rPr>
        <w:t xml:space="preserve">, 2020, </w:t>
      </w:r>
      <w:r w:rsidRPr="002F44E4">
        <w:rPr>
          <w:rFonts w:ascii="Verdana" w:hAnsi="Verdana"/>
          <w:i/>
          <w:iCs/>
        </w:rPr>
        <w:t>44</w:t>
      </w:r>
      <w:r w:rsidRPr="002F44E4">
        <w:rPr>
          <w:rFonts w:ascii="Verdana" w:hAnsi="Verdana"/>
        </w:rPr>
        <w:t>, 1-6.</w:t>
      </w:r>
    </w:p>
    <w:p w14:paraId="4217BAC1"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Hechavarría-Cabrera, C.L. Balance of the commercial and productive integration of the Central American Common Market. The impact of the pandemic. </w:t>
      </w:r>
      <w:r w:rsidRPr="002F44E4">
        <w:rPr>
          <w:rFonts w:ascii="Verdana" w:hAnsi="Verdana"/>
          <w:i/>
          <w:iCs/>
        </w:rPr>
        <w:t>Revista Cubana de Economía Internacional</w:t>
      </w:r>
      <w:r w:rsidRPr="002F44E4">
        <w:rPr>
          <w:rFonts w:ascii="Verdana" w:hAnsi="Verdana"/>
        </w:rPr>
        <w:t xml:space="preserve">, 2021, </w:t>
      </w:r>
      <w:r w:rsidRPr="002F44E4">
        <w:rPr>
          <w:rFonts w:ascii="Verdana" w:hAnsi="Verdana"/>
          <w:i/>
          <w:iCs/>
        </w:rPr>
        <w:t>8</w:t>
      </w:r>
      <w:r w:rsidRPr="002F44E4">
        <w:rPr>
          <w:rFonts w:ascii="Verdana" w:hAnsi="Verdana"/>
        </w:rPr>
        <w:t xml:space="preserve">, 160-177.  </w:t>
      </w:r>
    </w:p>
    <w:p w14:paraId="23645841"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World Bank. Post COVID-19 - Building a Resilient and More Sustainable Recovery in El Salvador, Guatemala, and Honduras. Central America Competitiveness Report, 2022. Available online: </w:t>
      </w:r>
      <w:hyperlink r:id="rId50" w:history="1">
        <w:r w:rsidRPr="002F44E4">
          <w:rPr>
            <w:rStyle w:val="Hipervnculo"/>
            <w:rFonts w:ascii="Verdana" w:hAnsi="Verdana"/>
          </w:rPr>
          <w:t>https://elibrary.worldbank.org/doi/pdf/10.1596/37689</w:t>
        </w:r>
      </w:hyperlink>
      <w:r w:rsidRPr="002F44E4">
        <w:rPr>
          <w:rFonts w:ascii="Verdana" w:hAnsi="Verdana"/>
        </w:rPr>
        <w:t xml:space="preserve">. </w:t>
      </w:r>
      <w:r w:rsidRPr="002F44E4">
        <w:rPr>
          <w:rFonts w:ascii="Verdana" w:hAnsi="Verdana"/>
          <w:szCs w:val="18"/>
        </w:rPr>
        <w:t>(Accessed on 10 October 2022).</w:t>
      </w:r>
    </w:p>
    <w:p w14:paraId="5B9A7CCB"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lang w:val="es-ES"/>
        </w:rPr>
        <w:t xml:space="preserve">Inter-American Development Bank. El impacto del COVID-19 en las economías de la región (Centroamérica). </w:t>
      </w:r>
      <w:r w:rsidRPr="002F44E4">
        <w:rPr>
          <w:rFonts w:ascii="Verdana" w:hAnsi="Verdana"/>
        </w:rPr>
        <w:t xml:space="preserve">Official Report, 2021. Available online: </w:t>
      </w:r>
      <w:hyperlink r:id="rId51" w:history="1">
        <w:r w:rsidRPr="002F44E4">
          <w:rPr>
            <w:rStyle w:val="Hipervnculo"/>
            <w:rFonts w:ascii="Verdana" w:hAnsi="Verdana"/>
          </w:rPr>
          <w:t>https://publications.iadb.org/es/el-impacto-del-covid-19-en-las-economias-de-la-region-centroamerica</w:t>
        </w:r>
      </w:hyperlink>
      <w:r w:rsidRPr="002F44E4">
        <w:rPr>
          <w:rFonts w:ascii="Verdana" w:hAnsi="Verdana"/>
        </w:rPr>
        <w:t xml:space="preserve">. </w:t>
      </w:r>
      <w:r w:rsidRPr="002F44E4">
        <w:rPr>
          <w:rFonts w:ascii="Verdana" w:hAnsi="Verdana"/>
          <w:szCs w:val="18"/>
        </w:rPr>
        <w:t>(Accessed on 10 October 2022).</w:t>
      </w:r>
    </w:p>
    <w:p w14:paraId="50B26704"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Prunier, D.M.; Salazar, S. Central American borders and mobility in 2020. A region of fractures and inequalities impacted by COVID-19. </w:t>
      </w:r>
      <w:r w:rsidRPr="002F44E4">
        <w:rPr>
          <w:rFonts w:ascii="Verdana" w:hAnsi="Verdana"/>
          <w:i/>
          <w:iCs/>
        </w:rPr>
        <w:t>Estudios Fronterizos</w:t>
      </w:r>
      <w:r w:rsidRPr="002F44E4">
        <w:rPr>
          <w:rFonts w:ascii="Verdana" w:hAnsi="Verdana"/>
        </w:rPr>
        <w:t xml:space="preserve">, 2021, </w:t>
      </w:r>
      <w:r w:rsidRPr="002F44E4">
        <w:rPr>
          <w:rFonts w:ascii="Verdana" w:hAnsi="Verdana"/>
          <w:i/>
          <w:iCs/>
        </w:rPr>
        <w:t>22</w:t>
      </w:r>
      <w:r w:rsidRPr="002F44E4">
        <w:rPr>
          <w:rFonts w:ascii="Verdana" w:hAnsi="Verdana"/>
        </w:rPr>
        <w:t xml:space="preserve">, 1-31.  </w:t>
      </w:r>
    </w:p>
    <w:p w14:paraId="6726D42D"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Webster, A.; Khorana, S.; Pastore, F. The effects of COVID-19 on employment, labor markets, and gender equality in Central America. </w:t>
      </w:r>
      <w:r w:rsidRPr="002F44E4">
        <w:rPr>
          <w:rFonts w:ascii="Verdana" w:hAnsi="Verdana"/>
          <w:i/>
          <w:iCs/>
        </w:rPr>
        <w:t>IZA Journal of Development and Migration</w:t>
      </w:r>
      <w:r w:rsidRPr="002F44E4">
        <w:rPr>
          <w:rFonts w:ascii="Verdana" w:hAnsi="Verdana"/>
        </w:rPr>
        <w:t xml:space="preserve">, 2022, </w:t>
      </w:r>
      <w:r w:rsidRPr="002F44E4">
        <w:rPr>
          <w:rFonts w:ascii="Verdana" w:hAnsi="Verdana"/>
          <w:i/>
          <w:iCs/>
        </w:rPr>
        <w:t>13</w:t>
      </w:r>
      <w:r w:rsidRPr="002F44E4">
        <w:rPr>
          <w:rFonts w:ascii="Verdana" w:hAnsi="Verdana"/>
        </w:rPr>
        <w:t>, 1-43.</w:t>
      </w:r>
    </w:p>
    <w:p w14:paraId="57A6A660"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Martínez-Franzoni, J.; Sánchez-Ancochea, D. A lost opportunity to build social protection for all? Scenarios following emergency transfers in Central America. </w:t>
      </w:r>
      <w:r w:rsidRPr="002F44E4">
        <w:rPr>
          <w:rFonts w:ascii="Verdana" w:hAnsi="Verdana"/>
          <w:i/>
        </w:rPr>
        <w:t>United Nations Research Institute for Social Development</w:t>
      </w:r>
      <w:r w:rsidRPr="002F44E4">
        <w:rPr>
          <w:rFonts w:ascii="Verdana" w:hAnsi="Verdana"/>
        </w:rPr>
        <w:t>, 2022, 1-5.</w:t>
      </w:r>
    </w:p>
    <w:p w14:paraId="2F499D86"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Benjamin, G.C. Ensuring health equity during the COVID-19 pandemic: the role of public health infrastructure. </w:t>
      </w:r>
      <w:r w:rsidRPr="002F44E4">
        <w:rPr>
          <w:rFonts w:ascii="Verdana" w:hAnsi="Verdana"/>
          <w:i/>
        </w:rPr>
        <w:t>Rev Panam Salud Publica</w:t>
      </w:r>
      <w:r w:rsidRPr="002F44E4">
        <w:rPr>
          <w:rFonts w:ascii="Verdana" w:hAnsi="Verdana"/>
        </w:rPr>
        <w:t xml:space="preserve">, 2020, </w:t>
      </w:r>
      <w:r w:rsidRPr="002F44E4">
        <w:rPr>
          <w:rFonts w:ascii="Verdana" w:hAnsi="Verdana"/>
          <w:i/>
        </w:rPr>
        <w:t>44</w:t>
      </w:r>
      <w:r w:rsidRPr="002F44E4">
        <w:rPr>
          <w:rFonts w:ascii="Verdana" w:hAnsi="Verdana"/>
        </w:rPr>
        <w:t>, 1-4.</w:t>
      </w:r>
    </w:p>
    <w:p w14:paraId="362CDFB1"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Pearson, A.A.; Prado, A.M.; Colburn, F.D. Nicaragua's surprising response to COVID-19. </w:t>
      </w:r>
      <w:r w:rsidRPr="002F44E4">
        <w:rPr>
          <w:rFonts w:ascii="Verdana" w:hAnsi="Verdana"/>
          <w:i/>
          <w:iCs/>
          <w:lang w:val="es-ES"/>
        </w:rPr>
        <w:t>J Global Health</w:t>
      </w:r>
      <w:r w:rsidRPr="002F44E4">
        <w:rPr>
          <w:rFonts w:ascii="Verdana" w:hAnsi="Verdana"/>
          <w:lang w:val="es-ES"/>
        </w:rPr>
        <w:t xml:space="preserve">, 2020, </w:t>
      </w:r>
      <w:r w:rsidRPr="002F44E4">
        <w:rPr>
          <w:rFonts w:ascii="Verdana" w:hAnsi="Verdana"/>
          <w:i/>
          <w:iCs/>
          <w:lang w:val="es-ES"/>
        </w:rPr>
        <w:t>10</w:t>
      </w:r>
      <w:r w:rsidRPr="002F44E4">
        <w:rPr>
          <w:rFonts w:ascii="Verdana" w:hAnsi="Verdana"/>
          <w:lang w:val="es-ES"/>
        </w:rPr>
        <w:t>, 1-5.</w:t>
      </w:r>
    </w:p>
    <w:p w14:paraId="728E641C"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Leite, J.A.; Vicari, A.; Perez, E.; Siqueira, M.; Resende, P.; Motta, F.C.; et al. Implementation of a COVID-19 Genomic Surveillance Regional Network for Latin America and Caribbean region. </w:t>
      </w:r>
      <w:r w:rsidRPr="002F44E4">
        <w:rPr>
          <w:rFonts w:ascii="Verdana" w:hAnsi="Verdana"/>
          <w:i/>
          <w:iCs/>
          <w:lang w:val="es-ES"/>
        </w:rPr>
        <w:t>PLoS ONE</w:t>
      </w:r>
      <w:r w:rsidRPr="002F44E4">
        <w:rPr>
          <w:rFonts w:ascii="Verdana" w:hAnsi="Verdana"/>
          <w:lang w:val="es-ES"/>
        </w:rPr>
        <w:t xml:space="preserve">, 2022, </w:t>
      </w:r>
      <w:r w:rsidRPr="002F44E4">
        <w:rPr>
          <w:rFonts w:ascii="Verdana" w:hAnsi="Verdana"/>
          <w:i/>
          <w:iCs/>
          <w:lang w:val="es-ES"/>
        </w:rPr>
        <w:t>17</w:t>
      </w:r>
      <w:r w:rsidRPr="002F44E4">
        <w:rPr>
          <w:rFonts w:ascii="Verdana" w:hAnsi="Verdana"/>
          <w:lang w:val="es-ES"/>
        </w:rPr>
        <w:t>, 1-12.</w:t>
      </w:r>
    </w:p>
    <w:p w14:paraId="5BA38C11"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lastRenderedPageBreak/>
        <w:t xml:space="preserve">Díaz-Arias, D.; Viales-Hurtado, R. Central America: neoliberalism and COVID-19. </w:t>
      </w:r>
      <w:r w:rsidRPr="002F44E4">
        <w:rPr>
          <w:rFonts w:ascii="Verdana" w:hAnsi="Verdana"/>
          <w:i/>
          <w:iCs/>
        </w:rPr>
        <w:t>Geopolítica(s)</w:t>
      </w:r>
      <w:r w:rsidRPr="002F44E4">
        <w:rPr>
          <w:rFonts w:ascii="Verdana" w:hAnsi="Verdana"/>
        </w:rPr>
        <w:t xml:space="preserve">, 2020, </w:t>
      </w:r>
      <w:r w:rsidRPr="002F44E4">
        <w:rPr>
          <w:rFonts w:ascii="Verdana" w:hAnsi="Verdana"/>
          <w:i/>
          <w:iCs/>
        </w:rPr>
        <w:t>11</w:t>
      </w:r>
      <w:r w:rsidRPr="002F44E4">
        <w:rPr>
          <w:rFonts w:ascii="Verdana" w:hAnsi="Verdana"/>
        </w:rPr>
        <w:t>, 53-59.</w:t>
      </w:r>
    </w:p>
    <w:p w14:paraId="2C4158CB"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Abbas, M.Z. Treatment of novel COVID-19: why Costa Rica’s proposal for the creation of global pooling mechanism deserves serious considerations? </w:t>
      </w:r>
      <w:r w:rsidRPr="002F44E4">
        <w:rPr>
          <w:rFonts w:ascii="Verdana" w:hAnsi="Verdana"/>
          <w:i/>
          <w:iCs/>
        </w:rPr>
        <w:t>J Law Biosci</w:t>
      </w:r>
      <w:r w:rsidRPr="002F44E4">
        <w:rPr>
          <w:rFonts w:ascii="Verdana" w:hAnsi="Verdana"/>
        </w:rPr>
        <w:t xml:space="preserve">, 2020, </w:t>
      </w:r>
      <w:r w:rsidRPr="002F44E4">
        <w:rPr>
          <w:rFonts w:ascii="Verdana" w:hAnsi="Verdana"/>
          <w:i/>
          <w:iCs/>
        </w:rPr>
        <w:t>26</w:t>
      </w:r>
      <w:r w:rsidRPr="002F44E4">
        <w:rPr>
          <w:rFonts w:ascii="Verdana" w:hAnsi="Verdana"/>
        </w:rPr>
        <w:t>, 1-10.</w:t>
      </w:r>
    </w:p>
    <w:p w14:paraId="61F83DCF"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Pearson, A.A.; Prado, A.M.; Colburn, F.D. The puzzle of COVID-19 in Central America and Panama. </w:t>
      </w:r>
      <w:r w:rsidRPr="002F44E4">
        <w:rPr>
          <w:rFonts w:ascii="Verdana" w:hAnsi="Verdana"/>
          <w:i/>
          <w:iCs/>
        </w:rPr>
        <w:t>J Global Health</w:t>
      </w:r>
      <w:r w:rsidRPr="002F44E4">
        <w:rPr>
          <w:rFonts w:ascii="Verdana" w:hAnsi="Verdana"/>
        </w:rPr>
        <w:t xml:space="preserve">, 2021, </w:t>
      </w:r>
      <w:r w:rsidRPr="002F44E4">
        <w:rPr>
          <w:rFonts w:ascii="Verdana" w:hAnsi="Verdana"/>
          <w:i/>
          <w:iCs/>
        </w:rPr>
        <w:t>11</w:t>
      </w:r>
      <w:r w:rsidRPr="002F44E4">
        <w:rPr>
          <w:rFonts w:ascii="Verdana" w:hAnsi="Verdana"/>
        </w:rPr>
        <w:t>, 1-7.</w:t>
      </w:r>
    </w:p>
    <w:p w14:paraId="0B6814C8"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Campbell-Barr, E.; Marmot, M. Leadership, social determinants of health and health equity: the case of Costa Rica. </w:t>
      </w:r>
      <w:r w:rsidRPr="002F44E4">
        <w:rPr>
          <w:rFonts w:ascii="Verdana" w:hAnsi="Verdana"/>
          <w:i/>
        </w:rPr>
        <w:t>Rev Panam Salud Publica</w:t>
      </w:r>
      <w:r w:rsidRPr="002F44E4">
        <w:rPr>
          <w:rFonts w:ascii="Verdana" w:hAnsi="Verdana"/>
        </w:rPr>
        <w:t xml:space="preserve">, 2020, </w:t>
      </w:r>
      <w:r w:rsidRPr="002F44E4">
        <w:rPr>
          <w:rFonts w:ascii="Verdana" w:hAnsi="Verdana"/>
          <w:i/>
        </w:rPr>
        <w:t>44</w:t>
      </w:r>
      <w:r w:rsidRPr="002F44E4">
        <w:rPr>
          <w:rFonts w:ascii="Verdana" w:hAnsi="Verdana"/>
        </w:rPr>
        <w:t>, 1-4.</w:t>
      </w:r>
    </w:p>
    <w:p w14:paraId="32F1E352"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Martínez-Franzoni, J.; Sánchez-Ancochea, D. Good jobs and social services: how Costa Rica achieved the elusive double incorporation. 1st Ed. Palgrave Macmillan London. Geneva, Switzerland, 2013, pp. 1-176.</w:t>
      </w:r>
    </w:p>
    <w:p w14:paraId="04AA9024"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Pan American Health Organization. </w:t>
      </w:r>
      <w:r w:rsidRPr="002F44E4">
        <w:rPr>
          <w:rFonts w:ascii="Verdana" w:hAnsi="Verdana"/>
          <w:i/>
          <w:iCs/>
        </w:rPr>
        <w:t>Health in the Americas+</w:t>
      </w:r>
      <w:r w:rsidRPr="002F44E4">
        <w:rPr>
          <w:rFonts w:ascii="Verdana" w:hAnsi="Verdana"/>
        </w:rPr>
        <w:t>, 2017 Edition. Summary: Regional outlook and Country profiles. Washington, D.C.: PAHO; 2017.</w:t>
      </w:r>
    </w:p>
    <w:p w14:paraId="1E687645"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lang w:val="es-ES"/>
        </w:rPr>
        <w:t xml:space="preserve">Bello, M.; Segura, V.; Camputaro, L.; Hoyos, W.; Maza, M.; Sandoval, X.; et al. </w:t>
      </w:r>
      <w:r w:rsidRPr="002F44E4">
        <w:rPr>
          <w:rFonts w:ascii="Verdana" w:hAnsi="Verdana"/>
        </w:rPr>
        <w:t xml:space="preserve">Hospital El Salvador: a novel paradigm of intensive care in response to COVID-19 in Central America. </w:t>
      </w:r>
      <w:r w:rsidRPr="002F44E4">
        <w:rPr>
          <w:rFonts w:ascii="Verdana" w:hAnsi="Verdana"/>
          <w:i/>
          <w:iCs/>
        </w:rPr>
        <w:t>The Lancet Global Health</w:t>
      </w:r>
      <w:r w:rsidRPr="002F44E4">
        <w:rPr>
          <w:rFonts w:ascii="Verdana" w:hAnsi="Verdana"/>
        </w:rPr>
        <w:t xml:space="preserve">, 2021, </w:t>
      </w:r>
      <w:r w:rsidRPr="002F44E4">
        <w:rPr>
          <w:rFonts w:ascii="Verdana" w:hAnsi="Verdana"/>
          <w:i/>
          <w:iCs/>
        </w:rPr>
        <w:t>9</w:t>
      </w:r>
      <w:r w:rsidRPr="002F44E4">
        <w:rPr>
          <w:rFonts w:ascii="Verdana" w:hAnsi="Verdana"/>
        </w:rPr>
        <w:t>, 241-242.</w:t>
      </w:r>
    </w:p>
    <w:p w14:paraId="288DE998"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Kim, M.H.; Son, N-H.; Park, Y.S.; Lee, J.H.; Kim, D.A.; Kim, Y.C. Effect of a hospital-wide campaign on COVID-19 vaccination uptake among healthcare workers in the context of raised concerns for life-threatening side effects. </w:t>
      </w:r>
      <w:r w:rsidRPr="002F44E4">
        <w:rPr>
          <w:rFonts w:ascii="Verdana" w:hAnsi="Verdana"/>
          <w:i/>
          <w:iCs/>
        </w:rPr>
        <w:t>PLoS ONE</w:t>
      </w:r>
      <w:r w:rsidRPr="002F44E4">
        <w:rPr>
          <w:rFonts w:ascii="Verdana" w:hAnsi="Verdana"/>
        </w:rPr>
        <w:t xml:space="preserve">, 2021, </w:t>
      </w:r>
      <w:r w:rsidRPr="002F44E4">
        <w:rPr>
          <w:rFonts w:ascii="Verdana" w:hAnsi="Verdana"/>
          <w:i/>
          <w:iCs/>
        </w:rPr>
        <w:t>16</w:t>
      </w:r>
      <w:r w:rsidRPr="002F44E4">
        <w:rPr>
          <w:rFonts w:ascii="Verdana" w:hAnsi="Verdana"/>
        </w:rPr>
        <w:t>, 1-14.</w:t>
      </w:r>
    </w:p>
    <w:p w14:paraId="67472C5B"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Cao, Y.; B, Li, Q.; Chen, J.; Guo, X.; Miao, C.; Yang.; et al. Hospital emergency management plan during the COVID-19 epidemic. </w:t>
      </w:r>
      <w:r w:rsidRPr="002F44E4">
        <w:rPr>
          <w:rFonts w:ascii="Verdana" w:hAnsi="Verdana"/>
          <w:i/>
          <w:iCs/>
        </w:rPr>
        <w:t>Academic Emergency Medicine</w:t>
      </w:r>
      <w:r w:rsidRPr="002F44E4">
        <w:rPr>
          <w:rFonts w:ascii="Verdana" w:hAnsi="Verdana"/>
        </w:rPr>
        <w:t xml:space="preserve">, 2020, </w:t>
      </w:r>
      <w:r w:rsidRPr="002F44E4">
        <w:rPr>
          <w:rFonts w:ascii="Verdana" w:hAnsi="Verdana"/>
          <w:i/>
          <w:iCs/>
        </w:rPr>
        <w:t>27</w:t>
      </w:r>
      <w:r w:rsidRPr="002F44E4">
        <w:rPr>
          <w:rFonts w:ascii="Verdana" w:hAnsi="Verdana"/>
        </w:rPr>
        <w:t>, 309-311.</w:t>
      </w:r>
    </w:p>
    <w:p w14:paraId="307D8B7B"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Baum, A.; Schwartz, M.D. Admissions to veterans affairs hospitals for emergency conditions during the COVID-19 pandemic. </w:t>
      </w:r>
      <w:r w:rsidRPr="002F44E4">
        <w:rPr>
          <w:rFonts w:ascii="Verdana" w:hAnsi="Verdana"/>
          <w:i/>
          <w:iCs/>
        </w:rPr>
        <w:t>JAMA</w:t>
      </w:r>
      <w:r w:rsidRPr="002F44E4">
        <w:rPr>
          <w:rFonts w:ascii="Verdana" w:hAnsi="Verdana"/>
        </w:rPr>
        <w:t xml:space="preserve">, 2020, 324, 96-99. </w:t>
      </w:r>
    </w:p>
    <w:p w14:paraId="5B5CC127"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Nourazari, S.; Davis, S.R.; Granovsky, R.; Austin, R.; Straff, D.J.; Joseph, J.W.; et al. Decreased hospital admissions through emergency departments during the COVID-19 pandemic. </w:t>
      </w:r>
      <w:r w:rsidRPr="002F44E4">
        <w:rPr>
          <w:rFonts w:ascii="Verdana" w:hAnsi="Verdana"/>
          <w:i/>
          <w:iCs/>
          <w:lang w:val="es-ES"/>
        </w:rPr>
        <w:t>American Journal of Emergency Medicine</w:t>
      </w:r>
      <w:r w:rsidRPr="002F44E4">
        <w:rPr>
          <w:rFonts w:ascii="Verdana" w:hAnsi="Verdana"/>
          <w:lang w:val="es-ES"/>
        </w:rPr>
        <w:t xml:space="preserve">, 2021, </w:t>
      </w:r>
      <w:r w:rsidRPr="002F44E4">
        <w:rPr>
          <w:rFonts w:ascii="Verdana" w:hAnsi="Verdana"/>
          <w:i/>
          <w:iCs/>
          <w:lang w:val="es-ES"/>
        </w:rPr>
        <w:t>42</w:t>
      </w:r>
      <w:r w:rsidRPr="002F44E4">
        <w:rPr>
          <w:rFonts w:ascii="Verdana" w:hAnsi="Verdana"/>
          <w:lang w:val="es-ES"/>
        </w:rPr>
        <w:t>, 203-210.</w:t>
      </w:r>
    </w:p>
    <w:p w14:paraId="106ADC59"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Fryers, P.T.; Barnard, S.; Burton, P.R.; Fox, S.; Waller, Z.; Fitzpatrick, J. Excess mortality in England during the COVID-19 pandemic. In Proceedings of the 14th European Public Health Conference, Brussels, Belgium, 10 November 2021.</w:t>
      </w:r>
    </w:p>
    <w:p w14:paraId="6E93FA60"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Andrasfay, T.; Goldman, N. Reductions in 2020 US life expectancy due to COVID-19 and the disproportionate impact on the Black and Latino populations. </w:t>
      </w:r>
      <w:r w:rsidRPr="002F44E4">
        <w:rPr>
          <w:rFonts w:ascii="Verdana" w:hAnsi="Verdana"/>
          <w:i/>
          <w:iCs/>
        </w:rPr>
        <w:t>Proc Natl Acad Sci</w:t>
      </w:r>
      <w:r w:rsidRPr="002F44E4">
        <w:rPr>
          <w:rFonts w:ascii="Verdana" w:hAnsi="Verdana"/>
        </w:rPr>
        <w:t xml:space="preserve">, 2021, </w:t>
      </w:r>
      <w:r w:rsidRPr="002F44E4">
        <w:rPr>
          <w:rFonts w:ascii="Verdana" w:hAnsi="Verdana"/>
          <w:i/>
          <w:iCs/>
        </w:rPr>
        <w:t>118</w:t>
      </w:r>
      <w:r w:rsidRPr="002F44E4">
        <w:rPr>
          <w:rFonts w:ascii="Verdana" w:hAnsi="Verdana"/>
        </w:rPr>
        <w:t xml:space="preserve">, 1-6.  </w:t>
      </w:r>
    </w:p>
    <w:p w14:paraId="3DF92FFC" w14:textId="77777777" w:rsidR="008D2ED2" w:rsidRPr="002F44E4" w:rsidRDefault="008D2ED2" w:rsidP="008D2ED2">
      <w:pPr>
        <w:pStyle w:val="MDPI71References"/>
        <w:numPr>
          <w:ilvl w:val="0"/>
          <w:numId w:val="24"/>
        </w:numPr>
        <w:rPr>
          <w:rFonts w:ascii="Verdana" w:hAnsi="Verdana"/>
        </w:rPr>
      </w:pPr>
      <w:r w:rsidRPr="002F44E4">
        <w:rPr>
          <w:rFonts w:ascii="Verdana" w:hAnsi="Verdana"/>
        </w:rPr>
        <w:t xml:space="preserve">Aburto, J.M.; Schöley, J.; Kashnitsky, I.; Zhang, L.; Rahal, C.; Missov, T.I.; et al. Quantifying impacts of the COVID.19 pandemic though life-expectancy losses: a population-level study of 29 countries. </w:t>
      </w:r>
      <w:r w:rsidRPr="002F44E4">
        <w:rPr>
          <w:rFonts w:ascii="Verdana" w:hAnsi="Verdana"/>
          <w:i/>
          <w:iCs/>
        </w:rPr>
        <w:t>International Journal of Epidemiology</w:t>
      </w:r>
      <w:r w:rsidRPr="002F44E4">
        <w:rPr>
          <w:rFonts w:ascii="Verdana" w:hAnsi="Verdana"/>
        </w:rPr>
        <w:t xml:space="preserve">, 2022, </w:t>
      </w:r>
      <w:r w:rsidRPr="002F44E4">
        <w:rPr>
          <w:rFonts w:ascii="Verdana" w:hAnsi="Verdana"/>
          <w:i/>
          <w:iCs/>
        </w:rPr>
        <w:t>51</w:t>
      </w:r>
      <w:r w:rsidRPr="002F44E4">
        <w:rPr>
          <w:rFonts w:ascii="Verdana" w:hAnsi="Verdana"/>
        </w:rPr>
        <w:t>, 63-74.</w:t>
      </w:r>
    </w:p>
    <w:p w14:paraId="1BB29ACF"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Goldstein, J.R.; Lee, R.D. Demographic perspectives on the mortality of COVID-19 and other epidemics. </w:t>
      </w:r>
      <w:r w:rsidRPr="002F44E4">
        <w:rPr>
          <w:rFonts w:ascii="Verdana" w:hAnsi="Verdana"/>
          <w:i/>
          <w:iCs/>
        </w:rPr>
        <w:t>Proc Natl Acad Sci</w:t>
      </w:r>
      <w:r w:rsidRPr="002F44E4">
        <w:rPr>
          <w:rFonts w:ascii="Verdana" w:hAnsi="Verdana"/>
        </w:rPr>
        <w:t xml:space="preserve">, 2020, </w:t>
      </w:r>
      <w:r w:rsidRPr="002F44E4">
        <w:rPr>
          <w:rFonts w:ascii="Verdana" w:hAnsi="Verdana"/>
          <w:i/>
          <w:iCs/>
        </w:rPr>
        <w:t>117</w:t>
      </w:r>
      <w:r w:rsidRPr="002F44E4">
        <w:rPr>
          <w:rFonts w:ascii="Verdana" w:hAnsi="Verdana"/>
        </w:rPr>
        <w:t>, 22035-22041.</w:t>
      </w:r>
    </w:p>
    <w:p w14:paraId="2DE9BCE2"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Flores, K.L. Rescuing the identity of indigenous and Afro-descendant peoples in Central America as a tool for integration after 200 years of independence. </w:t>
      </w:r>
      <w:r w:rsidRPr="002F44E4">
        <w:rPr>
          <w:rFonts w:ascii="Verdana" w:hAnsi="Verdana"/>
          <w:i/>
          <w:iCs/>
        </w:rPr>
        <w:t>Revista de Fomento Social</w:t>
      </w:r>
      <w:r w:rsidRPr="002F44E4">
        <w:rPr>
          <w:rFonts w:ascii="Verdana" w:hAnsi="Verdana"/>
        </w:rPr>
        <w:t xml:space="preserve">, 2022, </w:t>
      </w:r>
      <w:r w:rsidRPr="002F44E4">
        <w:rPr>
          <w:rFonts w:ascii="Verdana" w:hAnsi="Verdana"/>
          <w:i/>
          <w:iCs/>
        </w:rPr>
        <w:t>302</w:t>
      </w:r>
      <w:r w:rsidRPr="002F44E4">
        <w:rPr>
          <w:rFonts w:ascii="Verdana" w:hAnsi="Verdana"/>
        </w:rPr>
        <w:t>, 73-86.</w:t>
      </w:r>
    </w:p>
    <w:p w14:paraId="7B000117"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Economic Commission for Latin America and the Caribbean. </w:t>
      </w:r>
      <w:r w:rsidRPr="002F44E4">
        <w:rPr>
          <w:rFonts w:ascii="Verdana" w:hAnsi="Verdana"/>
          <w:i/>
          <w:iCs/>
        </w:rPr>
        <w:t>The impact of COVID-19 on indigenous peoples in Latin America-Abya Yala: Between invisibilization and collective resistance</w:t>
      </w:r>
      <w:r w:rsidRPr="002F44E4">
        <w:rPr>
          <w:rFonts w:ascii="Verdana" w:hAnsi="Verdana"/>
        </w:rPr>
        <w:t xml:space="preserve">. </w:t>
      </w:r>
      <w:r w:rsidRPr="002F44E4">
        <w:rPr>
          <w:rFonts w:ascii="Verdana" w:hAnsi="Verdana"/>
          <w:lang w:val="es-ES"/>
        </w:rPr>
        <w:t>Project Documents (LC/TS.2020/171), Santiago, 2020, 1-87.</w:t>
      </w:r>
    </w:p>
    <w:p w14:paraId="4A36CB23" w14:textId="77777777"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lang w:val="es-ES"/>
        </w:rPr>
        <w:t xml:space="preserve">Acosta, M.L. Pueblos indígenas y afrodescendientes y las medidas para enfrentar el COVID-19. In </w:t>
      </w:r>
      <w:r w:rsidRPr="002F44E4">
        <w:rPr>
          <w:rFonts w:ascii="Verdana" w:hAnsi="Verdana"/>
          <w:i/>
          <w:iCs/>
          <w:lang w:val="es-ES"/>
        </w:rPr>
        <w:t>COVID-19, el caso de Nicaragua: aportes para enfrentar la pandemia</w:t>
      </w:r>
      <w:r w:rsidRPr="002F44E4">
        <w:rPr>
          <w:rFonts w:ascii="Verdana" w:hAnsi="Verdana"/>
          <w:lang w:val="es-ES"/>
        </w:rPr>
        <w:t>, 2nd ed; Huete-Pérez, J.A.; Ortega-Hegg, M.; ACN Academia de Ciencias de Nicaragua: Managua, Nicaragua, 2020, Volume 1, pp. 23-30.</w:t>
      </w:r>
    </w:p>
    <w:p w14:paraId="331BDA41" w14:textId="77777777"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rPr>
        <w:t xml:space="preserve">Junior, D.S.; Leivas, P.G.C. The right to health of indigenous peoples and the paradigm of recognition. </w:t>
      </w:r>
      <w:r w:rsidRPr="002F44E4">
        <w:rPr>
          <w:rFonts w:ascii="Verdana" w:hAnsi="Verdana"/>
          <w:i/>
          <w:iCs/>
        </w:rPr>
        <w:t>Rev. Direito e Práx.</w:t>
      </w:r>
      <w:r w:rsidRPr="002F44E4">
        <w:rPr>
          <w:rFonts w:ascii="Verdana" w:hAnsi="Verdana"/>
        </w:rPr>
        <w:t xml:space="preserve">, 2017, </w:t>
      </w:r>
      <w:r w:rsidRPr="002F44E4">
        <w:rPr>
          <w:rFonts w:ascii="Verdana" w:hAnsi="Verdana"/>
          <w:i/>
          <w:iCs/>
        </w:rPr>
        <w:t>8</w:t>
      </w:r>
      <w:r w:rsidRPr="002F44E4">
        <w:rPr>
          <w:rFonts w:ascii="Verdana" w:hAnsi="Verdana"/>
        </w:rPr>
        <w:t>, 86-117.</w:t>
      </w:r>
    </w:p>
    <w:p w14:paraId="4E90AF9A" w14:textId="77777777"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lang w:val="es-ES"/>
        </w:rPr>
        <w:t xml:space="preserve">Mendoza-Ruvalcaba, N.M.; Gutiérrez-Herrera, R.; López, C.; Hesse, H.; Soto-Añari, M.; et al. </w:t>
      </w:r>
      <w:r w:rsidRPr="002F44E4">
        <w:rPr>
          <w:rFonts w:ascii="Verdana" w:hAnsi="Verdana"/>
        </w:rPr>
        <w:t xml:space="preserve">Impact of quarantine due to COVID-19 pandemic on health and lifestyle conditions in older adults from Centro American countries. </w:t>
      </w:r>
      <w:r w:rsidRPr="002F44E4">
        <w:rPr>
          <w:rFonts w:ascii="Verdana" w:hAnsi="Verdana"/>
          <w:i/>
        </w:rPr>
        <w:t>PLoS One</w:t>
      </w:r>
      <w:r w:rsidRPr="002F44E4">
        <w:rPr>
          <w:rFonts w:ascii="Verdana" w:hAnsi="Verdana"/>
        </w:rPr>
        <w:t xml:space="preserve">, 2022, </w:t>
      </w:r>
      <w:r w:rsidRPr="002F44E4">
        <w:rPr>
          <w:rFonts w:ascii="Verdana" w:hAnsi="Verdana"/>
          <w:i/>
        </w:rPr>
        <w:t>17</w:t>
      </w:r>
      <w:r w:rsidRPr="002F44E4">
        <w:rPr>
          <w:rFonts w:ascii="Verdana" w:hAnsi="Verdana"/>
        </w:rPr>
        <w:t>, 1-11.</w:t>
      </w:r>
    </w:p>
    <w:p w14:paraId="1FAD856F" w14:textId="77777777"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rPr>
        <w:t xml:space="preserve">Leandro-Astorga, G.; Barrientos-Calvo, I. COVID-19 infection in the elderly: recommendations for professionals. </w:t>
      </w:r>
      <w:r w:rsidRPr="002F44E4">
        <w:rPr>
          <w:rFonts w:ascii="Verdana" w:hAnsi="Verdana"/>
          <w:i/>
          <w:iCs/>
        </w:rPr>
        <w:t>Rev Med Cos Cen</w:t>
      </w:r>
      <w:r w:rsidRPr="002F44E4">
        <w:rPr>
          <w:rFonts w:ascii="Verdana" w:hAnsi="Verdana"/>
        </w:rPr>
        <w:t xml:space="preserve">, 2020, </w:t>
      </w:r>
      <w:r w:rsidRPr="002F44E4">
        <w:rPr>
          <w:rFonts w:ascii="Verdana" w:hAnsi="Verdana"/>
          <w:i/>
          <w:iCs/>
        </w:rPr>
        <w:t>85</w:t>
      </w:r>
      <w:r w:rsidRPr="002F44E4">
        <w:rPr>
          <w:rFonts w:ascii="Verdana" w:hAnsi="Verdana"/>
        </w:rPr>
        <w:t xml:space="preserve">, 44-50.  </w:t>
      </w:r>
    </w:p>
    <w:p w14:paraId="5EE4A8AC" w14:textId="77777777"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rPr>
        <w:t>Republic of Panama. Public Defender’s Office. Report of visits made to elderly care centers. April-May, 2021, 1-35.</w:t>
      </w:r>
    </w:p>
    <w:p w14:paraId="0527B4EA" w14:textId="77777777"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rPr>
        <w:t xml:space="preserve">Osorio-Figueroa, C.D. Guatemala's primary healthcare role in COVID-19: limits and potentialities. </w:t>
      </w:r>
      <w:r w:rsidRPr="002F44E4">
        <w:rPr>
          <w:rFonts w:ascii="Verdana" w:hAnsi="Verdana"/>
          <w:i/>
        </w:rPr>
        <w:t>Saude Debate</w:t>
      </w:r>
      <w:r w:rsidRPr="002F44E4">
        <w:rPr>
          <w:rFonts w:ascii="Verdana" w:hAnsi="Verdana"/>
        </w:rPr>
        <w:t xml:space="preserve">, 2021, </w:t>
      </w:r>
      <w:r w:rsidRPr="002F44E4">
        <w:rPr>
          <w:rFonts w:ascii="Verdana" w:hAnsi="Verdana"/>
          <w:i/>
        </w:rPr>
        <w:t>45</w:t>
      </w:r>
      <w:r w:rsidRPr="002F44E4">
        <w:rPr>
          <w:rFonts w:ascii="Verdana" w:hAnsi="Verdana"/>
        </w:rPr>
        <w:t>, 778-794.</w:t>
      </w:r>
    </w:p>
    <w:p w14:paraId="5F543419"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Rodríguez, J.J.; Barrett, T.; Narváez, S.; Caldas, J.M.; Levak, I.; Saxena, S. Mental health systems in El Salvador, Guatemala, and Nicaragua: results of a WHO-AIMS evaluation. </w:t>
      </w:r>
      <w:r w:rsidRPr="002F44E4">
        <w:rPr>
          <w:rFonts w:ascii="Verdana" w:hAnsi="Verdana"/>
          <w:i/>
          <w:iCs/>
        </w:rPr>
        <w:t>Rev Panam Salud Publica</w:t>
      </w:r>
      <w:r w:rsidRPr="002F44E4">
        <w:rPr>
          <w:rFonts w:ascii="Verdana" w:hAnsi="Verdana"/>
        </w:rPr>
        <w:t xml:space="preserve">, 2007, </w:t>
      </w:r>
      <w:r w:rsidRPr="002F44E4">
        <w:rPr>
          <w:rFonts w:ascii="Verdana" w:hAnsi="Verdana"/>
          <w:i/>
          <w:iCs/>
        </w:rPr>
        <w:t>25</w:t>
      </w:r>
      <w:r w:rsidRPr="002F44E4">
        <w:rPr>
          <w:rFonts w:ascii="Verdana" w:hAnsi="Verdana"/>
        </w:rPr>
        <w:t xml:space="preserve">, 348-357.  </w:t>
      </w:r>
    </w:p>
    <w:p w14:paraId="3C5F7AAC"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Council of Central American Ministers of Health (CCAMH). Resolution CCAMH 11-2020, Regarding the CCAMH Regional Strategy for Mental Health. Available online: </w:t>
      </w:r>
      <w:hyperlink r:id="rId52" w:history="1">
        <w:r w:rsidRPr="002F44E4">
          <w:rPr>
            <w:rStyle w:val="Hipervnculo"/>
            <w:rFonts w:ascii="Verdana" w:hAnsi="Verdana"/>
          </w:rPr>
          <w:t>https://www.sica.int/documentos/resolucion-comisca-11-2020-relativa-a-la-estrategia-regional-de-salud-mental-del-comisca_1_127449.html</w:t>
        </w:r>
      </w:hyperlink>
      <w:r w:rsidRPr="002F44E4">
        <w:rPr>
          <w:rFonts w:ascii="Verdana" w:hAnsi="Verdana"/>
        </w:rPr>
        <w:t xml:space="preserve">. </w:t>
      </w:r>
      <w:r w:rsidRPr="002F44E4">
        <w:rPr>
          <w:rFonts w:ascii="Verdana" w:hAnsi="Verdana"/>
          <w:szCs w:val="18"/>
        </w:rPr>
        <w:t>(Accessed on 10 October 2022).</w:t>
      </w:r>
    </w:p>
    <w:p w14:paraId="35F1FF49"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Caruso, G.D.; Cucagna, M.E.; Ladronis, J. The distributional impacts of the reduction in remittances in Central America in COVID-19 times. </w:t>
      </w:r>
      <w:r w:rsidRPr="002F44E4">
        <w:rPr>
          <w:rFonts w:ascii="Verdana" w:hAnsi="Verdana"/>
          <w:i/>
        </w:rPr>
        <w:t>Research in Social Stratification and Mobility</w:t>
      </w:r>
      <w:r w:rsidRPr="002F44E4">
        <w:rPr>
          <w:rFonts w:ascii="Verdana" w:hAnsi="Verdana"/>
        </w:rPr>
        <w:t xml:space="preserve">, 2021, </w:t>
      </w:r>
      <w:r w:rsidRPr="002F44E4">
        <w:rPr>
          <w:rFonts w:ascii="Verdana" w:hAnsi="Verdana"/>
          <w:i/>
        </w:rPr>
        <w:t>71</w:t>
      </w:r>
      <w:r w:rsidRPr="002F44E4">
        <w:rPr>
          <w:rFonts w:ascii="Verdana" w:hAnsi="Verdana"/>
        </w:rPr>
        <w:t>, 1-5.</w:t>
      </w:r>
    </w:p>
    <w:p w14:paraId="1FDB7574"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Child, J. Organizational participation in post-covid society- its contributions and enabling conditions. </w:t>
      </w:r>
      <w:r w:rsidRPr="002F44E4">
        <w:rPr>
          <w:rFonts w:ascii="Verdana" w:hAnsi="Verdana"/>
          <w:i/>
          <w:iCs/>
        </w:rPr>
        <w:t>International Review of Applied Economics</w:t>
      </w:r>
      <w:r w:rsidRPr="002F44E4">
        <w:rPr>
          <w:rFonts w:ascii="Verdana" w:hAnsi="Verdana"/>
        </w:rPr>
        <w:t xml:space="preserve">, 2021, </w:t>
      </w:r>
      <w:r w:rsidRPr="002F44E4">
        <w:rPr>
          <w:rFonts w:ascii="Verdana" w:hAnsi="Verdana"/>
          <w:i/>
          <w:iCs/>
        </w:rPr>
        <w:t>35</w:t>
      </w:r>
      <w:r w:rsidRPr="002F44E4">
        <w:rPr>
          <w:rFonts w:ascii="Verdana" w:hAnsi="Verdana"/>
        </w:rPr>
        <w:t>, 117-146.</w:t>
      </w:r>
    </w:p>
    <w:p w14:paraId="4135A620"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Robles, C.; Rossel, C. Social protection tools for copings with the impacts of the COVID-19 pandemic: the Latin American experience. Project Documents (LC/TS.2021/135), Santiago, Economic Commission for Latin America and the Caribbean (ECLAC), 2022, 1-73.</w:t>
      </w:r>
    </w:p>
    <w:p w14:paraId="4233024D"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lastRenderedPageBreak/>
        <w:t>Juárez-Padilla, F.; Machorro, L.; Pira, M.S. Priorities for a fair recovery from COVID-19 in Latin America. Policy Brief Nº. 6. Santiago, Economic Commission for Latin America and the Caribbean (ECLAC), 2021, 1-22.</w:t>
      </w:r>
    </w:p>
    <w:p w14:paraId="39EC144C"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Burgos, J.A.B. A new political concept for post-covid political culture: reflections from democracy and citizen participation. </w:t>
      </w:r>
      <w:r w:rsidRPr="002F44E4">
        <w:rPr>
          <w:rFonts w:ascii="Verdana" w:hAnsi="Verdana"/>
          <w:i/>
          <w:iCs/>
          <w:lang w:val="es-ES"/>
        </w:rPr>
        <w:t>Estado &amp; Comunes, Revista de Políticas y Problemas Públicos</w:t>
      </w:r>
      <w:r w:rsidRPr="002F44E4">
        <w:rPr>
          <w:rFonts w:ascii="Verdana" w:hAnsi="Verdana"/>
          <w:lang w:val="es-ES"/>
        </w:rPr>
        <w:t xml:space="preserve">, 2022, </w:t>
      </w:r>
      <w:r w:rsidRPr="002F44E4">
        <w:rPr>
          <w:rFonts w:ascii="Verdana" w:hAnsi="Verdana"/>
          <w:i/>
          <w:iCs/>
          <w:lang w:val="es-ES"/>
        </w:rPr>
        <w:t>15</w:t>
      </w:r>
      <w:r w:rsidRPr="002F44E4">
        <w:rPr>
          <w:rFonts w:ascii="Verdana" w:hAnsi="Verdana"/>
          <w:lang w:val="es-ES"/>
        </w:rPr>
        <w:t>, 101-113.</w:t>
      </w:r>
    </w:p>
    <w:p w14:paraId="30D376A9" w14:textId="2B8DE540"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rPr>
        <w:t xml:space="preserve">Economic Commission for Latin America and the Caribbean. </w:t>
      </w:r>
      <w:r w:rsidRPr="002F44E4">
        <w:rPr>
          <w:rFonts w:ascii="Verdana" w:hAnsi="Verdana"/>
          <w:lang w:val="es-ES"/>
        </w:rPr>
        <w:t>Enríquez, A.; Sáenz, C. Primeras lecciones y desafíos de la pandemia de COVID-19 para los países del SICA. Serie de Estudios y Perspectivas – Sede Subregional de la CEPAL en México, Nº 189 (LC/TS.2021/38; LC/MEX/TS.2121/5), Ciudad de México, 2021, 1-106.</w:t>
      </w:r>
    </w:p>
    <w:p w14:paraId="3B7BFD13" w14:textId="77777777"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lang w:val="es-ES"/>
        </w:rPr>
        <w:t xml:space="preserve">Segovia, A. Las respuestas de Centroamérica ante la pandemia: distintas prioridades y apuestas riesgosas. </w:t>
      </w:r>
      <w:r w:rsidRPr="002F44E4">
        <w:rPr>
          <w:rFonts w:ascii="Verdana" w:hAnsi="Verdana"/>
          <w:i/>
          <w:iCs/>
          <w:lang w:val="es-ES"/>
        </w:rPr>
        <w:t>Canálisis Carolina</w:t>
      </w:r>
      <w:r w:rsidRPr="002F44E4">
        <w:rPr>
          <w:rFonts w:ascii="Verdana" w:hAnsi="Verdana"/>
          <w:lang w:val="es-ES"/>
        </w:rPr>
        <w:t xml:space="preserve">, 2020, </w:t>
      </w:r>
      <w:r w:rsidRPr="002F44E4">
        <w:rPr>
          <w:rFonts w:ascii="Verdana" w:hAnsi="Verdana"/>
          <w:i/>
          <w:iCs/>
          <w:lang w:val="es-ES"/>
        </w:rPr>
        <w:t>14</w:t>
      </w:r>
      <w:r w:rsidRPr="002F44E4">
        <w:rPr>
          <w:rFonts w:ascii="Verdana" w:hAnsi="Verdana"/>
          <w:lang w:val="es-ES"/>
        </w:rPr>
        <w:t xml:space="preserve">, 1-12. </w:t>
      </w:r>
    </w:p>
    <w:p w14:paraId="1EA886EA" w14:textId="77777777"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lang w:val="es-ES"/>
        </w:rPr>
        <w:t xml:space="preserve">Segovia, A. Centroamérica en su laberinto: reflexiones sobre la naturaleza de la crisis y criterios para abordarla. Documentos de trabajo N.º 72 (2ª época), Madrid, Fundación Carolina, 2022, 1-24. </w:t>
      </w:r>
    </w:p>
    <w:p w14:paraId="424C7DA6" w14:textId="77777777" w:rsidR="008D2ED2" w:rsidRPr="002F44E4" w:rsidRDefault="008D2ED2" w:rsidP="008D2ED2">
      <w:pPr>
        <w:pStyle w:val="MDPI71References"/>
        <w:numPr>
          <w:ilvl w:val="0"/>
          <w:numId w:val="24"/>
        </w:numPr>
        <w:rPr>
          <w:rFonts w:ascii="Verdana" w:hAnsi="Verdana"/>
          <w:szCs w:val="18"/>
        </w:rPr>
      </w:pPr>
      <w:r w:rsidRPr="002F44E4">
        <w:rPr>
          <w:rFonts w:ascii="Verdana" w:hAnsi="Verdana"/>
        </w:rPr>
        <w:t xml:space="preserve">Moran, C.; Campbell, D.J.T.; Campbell, T.S.; Roach, P.; Bourassa, L.; et al. Predictors of attitudes and adherence to COVID-19 public health guidelines in Western countries: a rapid review of the emerging literature. </w:t>
      </w:r>
      <w:r w:rsidRPr="002F44E4">
        <w:rPr>
          <w:rFonts w:ascii="Verdana" w:hAnsi="Verdana"/>
          <w:i/>
          <w:iCs/>
        </w:rPr>
        <w:t>J Public Health</w:t>
      </w:r>
      <w:r w:rsidRPr="002F44E4">
        <w:rPr>
          <w:rFonts w:ascii="Verdana" w:hAnsi="Verdana"/>
        </w:rPr>
        <w:t xml:space="preserve">, 2021, </w:t>
      </w:r>
      <w:r w:rsidRPr="002F44E4">
        <w:rPr>
          <w:rFonts w:ascii="Verdana" w:hAnsi="Verdana"/>
          <w:i/>
          <w:iCs/>
        </w:rPr>
        <w:t>43</w:t>
      </w:r>
      <w:r w:rsidRPr="002F44E4">
        <w:rPr>
          <w:rFonts w:ascii="Verdana" w:hAnsi="Verdana"/>
        </w:rPr>
        <w:t>, 739-753.</w:t>
      </w:r>
    </w:p>
    <w:p w14:paraId="0B7D1D74" w14:textId="77777777"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rPr>
        <w:t xml:space="preserve">Weiss, B.D.; Paasche-Orlow, M.K. Disparities in adherence to COVID-19 public health recommendations. </w:t>
      </w:r>
      <w:r w:rsidRPr="002F44E4">
        <w:rPr>
          <w:rFonts w:ascii="Verdana" w:hAnsi="Verdana"/>
          <w:i/>
          <w:iCs/>
        </w:rPr>
        <w:t>Health Lit Res Pract</w:t>
      </w:r>
      <w:r w:rsidRPr="002F44E4">
        <w:rPr>
          <w:rFonts w:ascii="Verdana" w:hAnsi="Verdana"/>
        </w:rPr>
        <w:t xml:space="preserve">, 2020, </w:t>
      </w:r>
      <w:r w:rsidRPr="002F44E4">
        <w:rPr>
          <w:rFonts w:ascii="Verdana" w:hAnsi="Verdana"/>
          <w:i/>
          <w:iCs/>
        </w:rPr>
        <w:t>4</w:t>
      </w:r>
      <w:r w:rsidRPr="002F44E4">
        <w:rPr>
          <w:rFonts w:ascii="Verdana" w:hAnsi="Verdana"/>
        </w:rPr>
        <w:t>, 171-173.</w:t>
      </w:r>
    </w:p>
    <w:p w14:paraId="078D83BA" w14:textId="77777777" w:rsidR="008D2ED2" w:rsidRPr="002F44E4" w:rsidRDefault="008D2ED2" w:rsidP="008D2ED2">
      <w:pPr>
        <w:pStyle w:val="MDPI71References"/>
        <w:numPr>
          <w:ilvl w:val="0"/>
          <w:numId w:val="24"/>
        </w:numPr>
        <w:rPr>
          <w:rFonts w:ascii="Verdana" w:hAnsi="Verdana"/>
          <w:szCs w:val="18"/>
          <w:lang w:val="es-ES"/>
        </w:rPr>
      </w:pPr>
      <w:r w:rsidRPr="002F44E4">
        <w:rPr>
          <w:rFonts w:ascii="Verdana" w:hAnsi="Verdana"/>
        </w:rPr>
        <w:t xml:space="preserve">Pignataro, A.; Treminio, I.; Chavarría-Mora, E. Democracy, citizen support, and new generations in the face of democratic blacksliding in Central America. </w:t>
      </w:r>
      <w:r w:rsidRPr="002F44E4">
        <w:rPr>
          <w:rFonts w:ascii="Verdana" w:hAnsi="Verdana"/>
          <w:i/>
          <w:iCs/>
        </w:rPr>
        <w:t>Anuario de Estudos Centroamericanos</w:t>
      </w:r>
      <w:r w:rsidRPr="002F44E4">
        <w:rPr>
          <w:rFonts w:ascii="Verdana" w:hAnsi="Verdana"/>
        </w:rPr>
        <w:t xml:space="preserve">, 2021, </w:t>
      </w:r>
      <w:r w:rsidRPr="002F44E4">
        <w:rPr>
          <w:rFonts w:ascii="Verdana" w:hAnsi="Verdana"/>
          <w:i/>
          <w:iCs/>
        </w:rPr>
        <w:t>47</w:t>
      </w:r>
      <w:r w:rsidRPr="002F44E4">
        <w:rPr>
          <w:rFonts w:ascii="Verdana" w:hAnsi="Verdana"/>
        </w:rPr>
        <w:t>, 1-30.</w:t>
      </w:r>
    </w:p>
    <w:p w14:paraId="7E1A5773" w14:textId="597CD667" w:rsidR="00B93C35" w:rsidRPr="002F44E4" w:rsidRDefault="008D2ED2" w:rsidP="008D2ED2">
      <w:pPr>
        <w:pStyle w:val="MDPI71References"/>
        <w:numPr>
          <w:ilvl w:val="0"/>
          <w:numId w:val="24"/>
        </w:numPr>
        <w:rPr>
          <w:rFonts w:ascii="Verdana" w:hAnsi="Verdana"/>
          <w:szCs w:val="18"/>
        </w:rPr>
      </w:pPr>
      <w:r w:rsidRPr="002F44E4">
        <w:rPr>
          <w:rFonts w:ascii="Verdana" w:hAnsi="Verdana"/>
        </w:rPr>
        <w:t xml:space="preserve">Cortés-Zea, C. Bringing forward the 2030 development agenda to revitalise Central American integration. </w:t>
      </w:r>
      <w:r w:rsidRPr="002F44E4">
        <w:rPr>
          <w:rFonts w:ascii="Verdana" w:hAnsi="Verdana"/>
          <w:i/>
        </w:rPr>
        <w:t>Revista Fomento Social</w:t>
      </w:r>
      <w:r w:rsidRPr="002F44E4">
        <w:rPr>
          <w:rFonts w:ascii="Verdana" w:hAnsi="Verdana"/>
        </w:rPr>
        <w:t xml:space="preserve">, 2022, </w:t>
      </w:r>
      <w:r w:rsidRPr="002F44E4">
        <w:rPr>
          <w:rFonts w:ascii="Verdana" w:hAnsi="Verdana"/>
          <w:i/>
        </w:rPr>
        <w:t>77</w:t>
      </w:r>
      <w:r w:rsidRPr="002F44E4">
        <w:rPr>
          <w:rFonts w:ascii="Verdana" w:hAnsi="Verdana"/>
        </w:rPr>
        <w:t>, 57-72.</w:t>
      </w:r>
    </w:p>
    <w:p w14:paraId="253A1C2A" w14:textId="3EA9B131" w:rsidR="008D2ED2" w:rsidRDefault="008D2ED2" w:rsidP="008D2ED2">
      <w:pPr>
        <w:pStyle w:val="MDPI71References"/>
        <w:numPr>
          <w:ilvl w:val="0"/>
          <w:numId w:val="0"/>
        </w:numPr>
        <w:ind w:left="425" w:hanging="425"/>
      </w:pPr>
    </w:p>
    <w:p w14:paraId="0EFF7773" w14:textId="6049F5B4" w:rsidR="008D2ED2" w:rsidRDefault="008D2ED2" w:rsidP="008D2ED2">
      <w:pPr>
        <w:pStyle w:val="MDPI71References"/>
        <w:numPr>
          <w:ilvl w:val="0"/>
          <w:numId w:val="0"/>
        </w:numPr>
        <w:ind w:left="425" w:hanging="425"/>
      </w:pPr>
    </w:p>
    <w:p w14:paraId="1063E7A4" w14:textId="77777777" w:rsidR="008D2ED2" w:rsidRPr="008D2ED2" w:rsidRDefault="008D2ED2" w:rsidP="008D2ED2">
      <w:pPr>
        <w:pStyle w:val="MDPI71References"/>
        <w:numPr>
          <w:ilvl w:val="0"/>
          <w:numId w:val="0"/>
        </w:numPr>
        <w:ind w:left="425" w:hanging="425"/>
        <w:rPr>
          <w:szCs w:val="18"/>
        </w:rPr>
      </w:pPr>
    </w:p>
    <w:sectPr w:rsidR="008D2ED2" w:rsidRPr="008D2ED2" w:rsidSect="00C512E3">
      <w:type w:val="continuous"/>
      <w:pgSz w:w="11906" w:h="16838" w:code="9"/>
      <w:pgMar w:top="1418" w:right="720" w:bottom="1077" w:left="720" w:header="1021"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DC4B" w14:textId="77777777" w:rsidR="003E66BC" w:rsidRDefault="003E66BC">
      <w:pPr>
        <w:spacing w:line="240" w:lineRule="auto"/>
      </w:pPr>
      <w:r>
        <w:separator/>
      </w:r>
    </w:p>
  </w:endnote>
  <w:endnote w:type="continuationSeparator" w:id="0">
    <w:p w14:paraId="4BB577EA" w14:textId="77777777" w:rsidR="003E66BC" w:rsidRDefault="003E6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2819" w14:textId="3E55C90D" w:rsidR="003B3DCD" w:rsidRPr="00372FCD" w:rsidRDefault="003B3DCD" w:rsidP="00CD6F7B">
    <w:pPr>
      <w:tabs>
        <w:tab w:val="right" w:pos="10466"/>
      </w:tabs>
      <w:adjustRightInd w:val="0"/>
      <w:snapToGrid w:val="0"/>
      <w:spacing w:line="240" w:lineRule="auto"/>
      <w:rPr>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04D0" w14:textId="77777777" w:rsidR="003E66BC" w:rsidRDefault="003E66BC">
      <w:pPr>
        <w:spacing w:line="240" w:lineRule="auto"/>
      </w:pPr>
      <w:r>
        <w:separator/>
      </w:r>
    </w:p>
  </w:footnote>
  <w:footnote w:type="continuationSeparator" w:id="0">
    <w:p w14:paraId="7F9AEE87" w14:textId="77777777" w:rsidR="003E66BC" w:rsidRDefault="003E66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C3C5" w14:textId="77777777" w:rsidR="003B3DCD" w:rsidRDefault="003B3DCD" w:rsidP="003E0936">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1254" w14:textId="2BC1C5C3" w:rsidR="003B3DCD" w:rsidRPr="0004249F" w:rsidRDefault="003B3DCD" w:rsidP="0004249F">
    <w:pPr>
      <w:tabs>
        <w:tab w:val="right" w:pos="8844"/>
      </w:tabs>
      <w:adjustRightInd w:val="0"/>
      <w:snapToGrid w:val="0"/>
      <w:spacing w:after="480" w:line="100" w:lineRule="exact"/>
      <w:jc w:val="left"/>
      <w:rPr>
        <w:sz w:val="16"/>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E60A" w14:textId="77777777" w:rsidR="003B3DCD" w:rsidRPr="005D5056" w:rsidRDefault="003B3DCD" w:rsidP="0004249F">
    <w:pPr>
      <w:pStyle w:val="Encabezado"/>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EFF"/>
    <w:multiLevelType w:val="hybridMultilevel"/>
    <w:tmpl w:val="34F86D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468F5"/>
    <w:multiLevelType w:val="hybridMultilevel"/>
    <w:tmpl w:val="4AFACE66"/>
    <w:lvl w:ilvl="0" w:tplc="DD0811F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9691B"/>
    <w:multiLevelType w:val="hybridMultilevel"/>
    <w:tmpl w:val="34F86DD2"/>
    <w:lvl w:ilvl="0" w:tplc="261C7E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52386"/>
    <w:multiLevelType w:val="hybridMultilevel"/>
    <w:tmpl w:val="33BE6CDA"/>
    <w:lvl w:ilvl="0" w:tplc="BF64DED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D9E371B"/>
    <w:multiLevelType w:val="hybridMultilevel"/>
    <w:tmpl w:val="920C5C3C"/>
    <w:lvl w:ilvl="0" w:tplc="98323F3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D1475"/>
    <w:multiLevelType w:val="hybridMultilevel"/>
    <w:tmpl w:val="F8487326"/>
    <w:lvl w:ilvl="0" w:tplc="3816F622">
      <w:start w:val="1"/>
      <w:numFmt w:val="decimal"/>
      <w:lvlText w:val="%1."/>
      <w:lvlJc w:val="left"/>
      <w:pPr>
        <w:ind w:left="2968" w:hanging="360"/>
      </w:pPr>
      <w:rPr>
        <w:rFonts w:hint="default"/>
      </w:rPr>
    </w:lvl>
    <w:lvl w:ilvl="1" w:tplc="04160019" w:tentative="1">
      <w:start w:val="1"/>
      <w:numFmt w:val="lowerLetter"/>
      <w:lvlText w:val="%2."/>
      <w:lvlJc w:val="left"/>
      <w:pPr>
        <w:ind w:left="3688" w:hanging="360"/>
      </w:pPr>
    </w:lvl>
    <w:lvl w:ilvl="2" w:tplc="0416001B" w:tentative="1">
      <w:start w:val="1"/>
      <w:numFmt w:val="lowerRoman"/>
      <w:lvlText w:val="%3."/>
      <w:lvlJc w:val="right"/>
      <w:pPr>
        <w:ind w:left="4408" w:hanging="180"/>
      </w:pPr>
    </w:lvl>
    <w:lvl w:ilvl="3" w:tplc="0416000F" w:tentative="1">
      <w:start w:val="1"/>
      <w:numFmt w:val="decimal"/>
      <w:lvlText w:val="%4."/>
      <w:lvlJc w:val="left"/>
      <w:pPr>
        <w:ind w:left="5128" w:hanging="360"/>
      </w:pPr>
    </w:lvl>
    <w:lvl w:ilvl="4" w:tplc="04160019" w:tentative="1">
      <w:start w:val="1"/>
      <w:numFmt w:val="lowerLetter"/>
      <w:lvlText w:val="%5."/>
      <w:lvlJc w:val="left"/>
      <w:pPr>
        <w:ind w:left="5848" w:hanging="360"/>
      </w:pPr>
    </w:lvl>
    <w:lvl w:ilvl="5" w:tplc="0416001B" w:tentative="1">
      <w:start w:val="1"/>
      <w:numFmt w:val="lowerRoman"/>
      <w:lvlText w:val="%6."/>
      <w:lvlJc w:val="right"/>
      <w:pPr>
        <w:ind w:left="6568" w:hanging="180"/>
      </w:pPr>
    </w:lvl>
    <w:lvl w:ilvl="6" w:tplc="0416000F" w:tentative="1">
      <w:start w:val="1"/>
      <w:numFmt w:val="decimal"/>
      <w:lvlText w:val="%7."/>
      <w:lvlJc w:val="left"/>
      <w:pPr>
        <w:ind w:left="7288" w:hanging="360"/>
      </w:pPr>
    </w:lvl>
    <w:lvl w:ilvl="7" w:tplc="04160019" w:tentative="1">
      <w:start w:val="1"/>
      <w:numFmt w:val="lowerLetter"/>
      <w:lvlText w:val="%8."/>
      <w:lvlJc w:val="left"/>
      <w:pPr>
        <w:ind w:left="8008" w:hanging="360"/>
      </w:pPr>
    </w:lvl>
    <w:lvl w:ilvl="8" w:tplc="0416001B" w:tentative="1">
      <w:start w:val="1"/>
      <w:numFmt w:val="lowerRoman"/>
      <w:lvlText w:val="%9."/>
      <w:lvlJc w:val="right"/>
      <w:pPr>
        <w:ind w:left="8728" w:hanging="180"/>
      </w:pPr>
    </w:lvl>
  </w:abstractNum>
  <w:abstractNum w:abstractNumId="13" w15:restartNumberingAfterBreak="0">
    <w:nsid w:val="685F5913"/>
    <w:multiLevelType w:val="hybridMultilevel"/>
    <w:tmpl w:val="83527DC6"/>
    <w:lvl w:ilvl="0" w:tplc="D930B3E2">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4"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134347">
    <w:abstractNumId w:val="5"/>
  </w:num>
  <w:num w:numId="2" w16cid:durableId="124667797">
    <w:abstractNumId w:val="7"/>
  </w:num>
  <w:num w:numId="3" w16cid:durableId="250701374">
    <w:abstractNumId w:val="4"/>
  </w:num>
  <w:num w:numId="4" w16cid:durableId="17266419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7585194">
    <w:abstractNumId w:val="6"/>
  </w:num>
  <w:num w:numId="6" w16cid:durableId="839582037">
    <w:abstractNumId w:val="10"/>
  </w:num>
  <w:num w:numId="7" w16cid:durableId="400834947">
    <w:abstractNumId w:val="3"/>
  </w:num>
  <w:num w:numId="8" w16cid:durableId="1323970648">
    <w:abstractNumId w:val="10"/>
  </w:num>
  <w:num w:numId="9" w16cid:durableId="1234776740">
    <w:abstractNumId w:val="3"/>
  </w:num>
  <w:num w:numId="10" w16cid:durableId="192615320">
    <w:abstractNumId w:val="10"/>
  </w:num>
  <w:num w:numId="11" w16cid:durableId="2020741584">
    <w:abstractNumId w:val="3"/>
  </w:num>
  <w:num w:numId="12" w16cid:durableId="1399354731">
    <w:abstractNumId w:val="14"/>
  </w:num>
  <w:num w:numId="13" w16cid:durableId="1167790239">
    <w:abstractNumId w:val="10"/>
  </w:num>
  <w:num w:numId="14" w16cid:durableId="1193032342">
    <w:abstractNumId w:val="3"/>
  </w:num>
  <w:num w:numId="15" w16cid:durableId="641037358">
    <w:abstractNumId w:val="1"/>
  </w:num>
  <w:num w:numId="16" w16cid:durableId="1869684706">
    <w:abstractNumId w:val="8"/>
  </w:num>
  <w:num w:numId="17" w16cid:durableId="1679038503">
    <w:abstractNumId w:val="1"/>
  </w:num>
  <w:num w:numId="18" w16cid:durableId="707949766">
    <w:abstractNumId w:val="10"/>
  </w:num>
  <w:num w:numId="19" w16cid:durableId="1980644317">
    <w:abstractNumId w:val="3"/>
  </w:num>
  <w:num w:numId="20" w16cid:durableId="525605248">
    <w:abstractNumId w:val="1"/>
  </w:num>
  <w:num w:numId="21" w16cid:durableId="1328094063">
    <w:abstractNumId w:val="9"/>
  </w:num>
  <w:num w:numId="22" w16cid:durableId="227111967">
    <w:abstractNumId w:val="13"/>
  </w:num>
  <w:num w:numId="23" w16cid:durableId="1937207761">
    <w:abstractNumId w:val="11"/>
  </w:num>
  <w:num w:numId="24" w16cid:durableId="880362794">
    <w:abstractNumId w:val="2"/>
  </w:num>
  <w:num w:numId="25" w16cid:durableId="2133936948">
    <w:abstractNumId w:val="12"/>
  </w:num>
  <w:num w:numId="26" w16cid:durableId="80041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s-CO" w:vendorID="64" w:dllVersion="6" w:nlCheck="1" w:checkStyle="0"/>
  <w:activeWritingStyle w:appName="MSWord" w:lang="pt-PT"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9C"/>
    <w:rsid w:val="0000078F"/>
    <w:rsid w:val="000008FB"/>
    <w:rsid w:val="000038BD"/>
    <w:rsid w:val="00003CD1"/>
    <w:rsid w:val="00004CB4"/>
    <w:rsid w:val="000129E2"/>
    <w:rsid w:val="00014339"/>
    <w:rsid w:val="0001476D"/>
    <w:rsid w:val="000176E9"/>
    <w:rsid w:val="00020701"/>
    <w:rsid w:val="00020DCF"/>
    <w:rsid w:val="00021CB4"/>
    <w:rsid w:val="0002322A"/>
    <w:rsid w:val="00023B2A"/>
    <w:rsid w:val="00024BAB"/>
    <w:rsid w:val="0002553F"/>
    <w:rsid w:val="00025F21"/>
    <w:rsid w:val="00027C12"/>
    <w:rsid w:val="000326CC"/>
    <w:rsid w:val="00034BBD"/>
    <w:rsid w:val="00034EF5"/>
    <w:rsid w:val="00036CCE"/>
    <w:rsid w:val="0004249F"/>
    <w:rsid w:val="00042547"/>
    <w:rsid w:val="000457BA"/>
    <w:rsid w:val="00045AB8"/>
    <w:rsid w:val="00045D57"/>
    <w:rsid w:val="00045F44"/>
    <w:rsid w:val="000465D9"/>
    <w:rsid w:val="000470F4"/>
    <w:rsid w:val="00047164"/>
    <w:rsid w:val="000479A8"/>
    <w:rsid w:val="00053E65"/>
    <w:rsid w:val="000544EB"/>
    <w:rsid w:val="00056733"/>
    <w:rsid w:val="00056924"/>
    <w:rsid w:val="00060F96"/>
    <w:rsid w:val="00066A30"/>
    <w:rsid w:val="00070269"/>
    <w:rsid w:val="00072BD2"/>
    <w:rsid w:val="00074BA2"/>
    <w:rsid w:val="000758E1"/>
    <w:rsid w:val="00075AB4"/>
    <w:rsid w:val="0008505F"/>
    <w:rsid w:val="0008689E"/>
    <w:rsid w:val="00087DB5"/>
    <w:rsid w:val="00090311"/>
    <w:rsid w:val="00093983"/>
    <w:rsid w:val="00093F5B"/>
    <w:rsid w:val="00094524"/>
    <w:rsid w:val="00094ECB"/>
    <w:rsid w:val="00095833"/>
    <w:rsid w:val="00096E21"/>
    <w:rsid w:val="000973EF"/>
    <w:rsid w:val="00097572"/>
    <w:rsid w:val="000A0724"/>
    <w:rsid w:val="000A25B6"/>
    <w:rsid w:val="000A28AE"/>
    <w:rsid w:val="000A31F9"/>
    <w:rsid w:val="000A4A23"/>
    <w:rsid w:val="000A4A80"/>
    <w:rsid w:val="000A58EA"/>
    <w:rsid w:val="000B0A1F"/>
    <w:rsid w:val="000B0FA9"/>
    <w:rsid w:val="000B1790"/>
    <w:rsid w:val="000B21C0"/>
    <w:rsid w:val="000B38D8"/>
    <w:rsid w:val="000B3CD8"/>
    <w:rsid w:val="000B505A"/>
    <w:rsid w:val="000B702D"/>
    <w:rsid w:val="000C0FA6"/>
    <w:rsid w:val="000C1F01"/>
    <w:rsid w:val="000D0C4A"/>
    <w:rsid w:val="000D235F"/>
    <w:rsid w:val="000D23CB"/>
    <w:rsid w:val="000D2A2A"/>
    <w:rsid w:val="000D3583"/>
    <w:rsid w:val="000D3837"/>
    <w:rsid w:val="000E2B15"/>
    <w:rsid w:val="000E3773"/>
    <w:rsid w:val="000E5DB9"/>
    <w:rsid w:val="000E64A0"/>
    <w:rsid w:val="000E6FD0"/>
    <w:rsid w:val="000F0952"/>
    <w:rsid w:val="000F140F"/>
    <w:rsid w:val="000F3929"/>
    <w:rsid w:val="000F4F9A"/>
    <w:rsid w:val="000F5B63"/>
    <w:rsid w:val="000F72DD"/>
    <w:rsid w:val="0010079C"/>
    <w:rsid w:val="00101029"/>
    <w:rsid w:val="001013F0"/>
    <w:rsid w:val="00103107"/>
    <w:rsid w:val="00106156"/>
    <w:rsid w:val="001061BF"/>
    <w:rsid w:val="00107D43"/>
    <w:rsid w:val="001122A2"/>
    <w:rsid w:val="001124A6"/>
    <w:rsid w:val="001145BC"/>
    <w:rsid w:val="00116A41"/>
    <w:rsid w:val="001170B0"/>
    <w:rsid w:val="001171F0"/>
    <w:rsid w:val="00120008"/>
    <w:rsid w:val="00120D64"/>
    <w:rsid w:val="00120D9C"/>
    <w:rsid w:val="001214D8"/>
    <w:rsid w:val="00123A66"/>
    <w:rsid w:val="00123E14"/>
    <w:rsid w:val="00126168"/>
    <w:rsid w:val="00126AC6"/>
    <w:rsid w:val="001278DD"/>
    <w:rsid w:val="001300DD"/>
    <w:rsid w:val="00130F75"/>
    <w:rsid w:val="00131BB8"/>
    <w:rsid w:val="001321F3"/>
    <w:rsid w:val="00133BFD"/>
    <w:rsid w:val="001377D9"/>
    <w:rsid w:val="00140377"/>
    <w:rsid w:val="001403AE"/>
    <w:rsid w:val="001410B1"/>
    <w:rsid w:val="001436FB"/>
    <w:rsid w:val="00144DA7"/>
    <w:rsid w:val="00145F30"/>
    <w:rsid w:val="00152A3C"/>
    <w:rsid w:val="001534E1"/>
    <w:rsid w:val="00153F46"/>
    <w:rsid w:val="00155B81"/>
    <w:rsid w:val="00155D68"/>
    <w:rsid w:val="00156532"/>
    <w:rsid w:val="00162ACC"/>
    <w:rsid w:val="0016373B"/>
    <w:rsid w:val="001647DF"/>
    <w:rsid w:val="00164A47"/>
    <w:rsid w:val="0016641B"/>
    <w:rsid w:val="00166A1B"/>
    <w:rsid w:val="00167572"/>
    <w:rsid w:val="00167B23"/>
    <w:rsid w:val="0017036F"/>
    <w:rsid w:val="001723F0"/>
    <w:rsid w:val="00172D87"/>
    <w:rsid w:val="0017477E"/>
    <w:rsid w:val="00175C93"/>
    <w:rsid w:val="00175E34"/>
    <w:rsid w:val="00176933"/>
    <w:rsid w:val="00176F8D"/>
    <w:rsid w:val="0018267B"/>
    <w:rsid w:val="00182771"/>
    <w:rsid w:val="00182AFE"/>
    <w:rsid w:val="0018646E"/>
    <w:rsid w:val="00187702"/>
    <w:rsid w:val="00187E96"/>
    <w:rsid w:val="00191AF9"/>
    <w:rsid w:val="00191EC6"/>
    <w:rsid w:val="0019208E"/>
    <w:rsid w:val="00194D68"/>
    <w:rsid w:val="001A0CBB"/>
    <w:rsid w:val="001A185C"/>
    <w:rsid w:val="001A2E9B"/>
    <w:rsid w:val="001A3479"/>
    <w:rsid w:val="001A3F56"/>
    <w:rsid w:val="001A5175"/>
    <w:rsid w:val="001A6014"/>
    <w:rsid w:val="001B24ED"/>
    <w:rsid w:val="001B318D"/>
    <w:rsid w:val="001B4974"/>
    <w:rsid w:val="001B57F2"/>
    <w:rsid w:val="001B750D"/>
    <w:rsid w:val="001C0A71"/>
    <w:rsid w:val="001C1A99"/>
    <w:rsid w:val="001C2A10"/>
    <w:rsid w:val="001C2B57"/>
    <w:rsid w:val="001C3891"/>
    <w:rsid w:val="001C3A56"/>
    <w:rsid w:val="001C4960"/>
    <w:rsid w:val="001C5420"/>
    <w:rsid w:val="001C6465"/>
    <w:rsid w:val="001C6DBB"/>
    <w:rsid w:val="001C78E2"/>
    <w:rsid w:val="001D0009"/>
    <w:rsid w:val="001D00F5"/>
    <w:rsid w:val="001D5090"/>
    <w:rsid w:val="001D5115"/>
    <w:rsid w:val="001D662F"/>
    <w:rsid w:val="001E05AE"/>
    <w:rsid w:val="001E2AEB"/>
    <w:rsid w:val="001E5046"/>
    <w:rsid w:val="001E6DAA"/>
    <w:rsid w:val="001E74B4"/>
    <w:rsid w:val="001E775F"/>
    <w:rsid w:val="001E78F6"/>
    <w:rsid w:val="001F0154"/>
    <w:rsid w:val="001F4356"/>
    <w:rsid w:val="00201126"/>
    <w:rsid w:val="00201586"/>
    <w:rsid w:val="00201846"/>
    <w:rsid w:val="00201A1A"/>
    <w:rsid w:val="00203AB8"/>
    <w:rsid w:val="00205D4C"/>
    <w:rsid w:val="00207EF5"/>
    <w:rsid w:val="0021404E"/>
    <w:rsid w:val="00217D82"/>
    <w:rsid w:val="0022186E"/>
    <w:rsid w:val="00222E7B"/>
    <w:rsid w:val="00223AE7"/>
    <w:rsid w:val="002242A2"/>
    <w:rsid w:val="002260BF"/>
    <w:rsid w:val="002309A9"/>
    <w:rsid w:val="00234EFE"/>
    <w:rsid w:val="002369A6"/>
    <w:rsid w:val="00236E53"/>
    <w:rsid w:val="0024156D"/>
    <w:rsid w:val="00241AB4"/>
    <w:rsid w:val="002434AC"/>
    <w:rsid w:val="0024599B"/>
    <w:rsid w:val="002475E5"/>
    <w:rsid w:val="00247701"/>
    <w:rsid w:val="00247BD2"/>
    <w:rsid w:val="0025043C"/>
    <w:rsid w:val="0025194C"/>
    <w:rsid w:val="00254706"/>
    <w:rsid w:val="00255DE2"/>
    <w:rsid w:val="00256ED7"/>
    <w:rsid w:val="00257752"/>
    <w:rsid w:val="0026306B"/>
    <w:rsid w:val="00263EC1"/>
    <w:rsid w:val="0026499C"/>
    <w:rsid w:val="00265781"/>
    <w:rsid w:val="00265D10"/>
    <w:rsid w:val="00267A28"/>
    <w:rsid w:val="00270E1E"/>
    <w:rsid w:val="0027277D"/>
    <w:rsid w:val="002735AE"/>
    <w:rsid w:val="0027670F"/>
    <w:rsid w:val="0028328C"/>
    <w:rsid w:val="00283F7A"/>
    <w:rsid w:val="00285B8E"/>
    <w:rsid w:val="00285F9A"/>
    <w:rsid w:val="002863E9"/>
    <w:rsid w:val="002871F3"/>
    <w:rsid w:val="00290948"/>
    <w:rsid w:val="002943B2"/>
    <w:rsid w:val="00295925"/>
    <w:rsid w:val="002A0060"/>
    <w:rsid w:val="002A049E"/>
    <w:rsid w:val="002A126A"/>
    <w:rsid w:val="002A35E2"/>
    <w:rsid w:val="002A439D"/>
    <w:rsid w:val="002A448E"/>
    <w:rsid w:val="002A5583"/>
    <w:rsid w:val="002B00AD"/>
    <w:rsid w:val="002B1122"/>
    <w:rsid w:val="002B2984"/>
    <w:rsid w:val="002B2C56"/>
    <w:rsid w:val="002C14AD"/>
    <w:rsid w:val="002C2D13"/>
    <w:rsid w:val="002C367D"/>
    <w:rsid w:val="002C3C17"/>
    <w:rsid w:val="002C3D10"/>
    <w:rsid w:val="002C45EF"/>
    <w:rsid w:val="002C6C4F"/>
    <w:rsid w:val="002C7B47"/>
    <w:rsid w:val="002D1915"/>
    <w:rsid w:val="002D2EC0"/>
    <w:rsid w:val="002D3AF0"/>
    <w:rsid w:val="002D4A1B"/>
    <w:rsid w:val="002D4D66"/>
    <w:rsid w:val="002D7605"/>
    <w:rsid w:val="002D772A"/>
    <w:rsid w:val="002D7E61"/>
    <w:rsid w:val="002E01C5"/>
    <w:rsid w:val="002E1478"/>
    <w:rsid w:val="002E209B"/>
    <w:rsid w:val="002E2845"/>
    <w:rsid w:val="002E50DF"/>
    <w:rsid w:val="002E74F8"/>
    <w:rsid w:val="002E79F3"/>
    <w:rsid w:val="002F061C"/>
    <w:rsid w:val="002F0BC3"/>
    <w:rsid w:val="002F1582"/>
    <w:rsid w:val="002F26FC"/>
    <w:rsid w:val="002F3401"/>
    <w:rsid w:val="002F3B16"/>
    <w:rsid w:val="002F44E4"/>
    <w:rsid w:val="002F54FC"/>
    <w:rsid w:val="003011E2"/>
    <w:rsid w:val="00305A10"/>
    <w:rsid w:val="00305A55"/>
    <w:rsid w:val="0030750A"/>
    <w:rsid w:val="0031538F"/>
    <w:rsid w:val="00315D89"/>
    <w:rsid w:val="0031618D"/>
    <w:rsid w:val="00321283"/>
    <w:rsid w:val="00324304"/>
    <w:rsid w:val="00326141"/>
    <w:rsid w:val="00326AA6"/>
    <w:rsid w:val="003304E0"/>
    <w:rsid w:val="00330CF7"/>
    <w:rsid w:val="00330E53"/>
    <w:rsid w:val="003315FE"/>
    <w:rsid w:val="00332515"/>
    <w:rsid w:val="00333F5E"/>
    <w:rsid w:val="00336B2D"/>
    <w:rsid w:val="00336C4C"/>
    <w:rsid w:val="0034189C"/>
    <w:rsid w:val="00343F10"/>
    <w:rsid w:val="003443CC"/>
    <w:rsid w:val="003458EC"/>
    <w:rsid w:val="00345D6B"/>
    <w:rsid w:val="00347227"/>
    <w:rsid w:val="00347BDB"/>
    <w:rsid w:val="00350484"/>
    <w:rsid w:val="00350D89"/>
    <w:rsid w:val="00351F04"/>
    <w:rsid w:val="00351F49"/>
    <w:rsid w:val="00351F9A"/>
    <w:rsid w:val="00352524"/>
    <w:rsid w:val="003535E3"/>
    <w:rsid w:val="00354051"/>
    <w:rsid w:val="0035497A"/>
    <w:rsid w:val="0036150B"/>
    <w:rsid w:val="00361EF3"/>
    <w:rsid w:val="00362D84"/>
    <w:rsid w:val="00363DA3"/>
    <w:rsid w:val="0036474E"/>
    <w:rsid w:val="0036495F"/>
    <w:rsid w:val="00370CA7"/>
    <w:rsid w:val="00371BCC"/>
    <w:rsid w:val="00372FB4"/>
    <w:rsid w:val="00373522"/>
    <w:rsid w:val="00375830"/>
    <w:rsid w:val="00376B46"/>
    <w:rsid w:val="00380E9C"/>
    <w:rsid w:val="003816FE"/>
    <w:rsid w:val="00382E5B"/>
    <w:rsid w:val="00383797"/>
    <w:rsid w:val="00383C12"/>
    <w:rsid w:val="003845A1"/>
    <w:rsid w:val="00385124"/>
    <w:rsid w:val="003859F7"/>
    <w:rsid w:val="00386779"/>
    <w:rsid w:val="003869AA"/>
    <w:rsid w:val="00386BF1"/>
    <w:rsid w:val="00386CFF"/>
    <w:rsid w:val="00387159"/>
    <w:rsid w:val="00391110"/>
    <w:rsid w:val="00391235"/>
    <w:rsid w:val="00393E69"/>
    <w:rsid w:val="00394FAE"/>
    <w:rsid w:val="00395C7D"/>
    <w:rsid w:val="00396ABB"/>
    <w:rsid w:val="003A01BC"/>
    <w:rsid w:val="003A1441"/>
    <w:rsid w:val="003A14F6"/>
    <w:rsid w:val="003A20CC"/>
    <w:rsid w:val="003A3042"/>
    <w:rsid w:val="003A5542"/>
    <w:rsid w:val="003A6701"/>
    <w:rsid w:val="003B0AB8"/>
    <w:rsid w:val="003B1CE5"/>
    <w:rsid w:val="003B2AAA"/>
    <w:rsid w:val="003B3DCD"/>
    <w:rsid w:val="003B4920"/>
    <w:rsid w:val="003B7029"/>
    <w:rsid w:val="003C168D"/>
    <w:rsid w:val="003C293D"/>
    <w:rsid w:val="003C5E3D"/>
    <w:rsid w:val="003D18F5"/>
    <w:rsid w:val="003D7C1B"/>
    <w:rsid w:val="003E0936"/>
    <w:rsid w:val="003E2A9E"/>
    <w:rsid w:val="003E3A5B"/>
    <w:rsid w:val="003E66BC"/>
    <w:rsid w:val="003E7996"/>
    <w:rsid w:val="003F2735"/>
    <w:rsid w:val="003F5DAE"/>
    <w:rsid w:val="00400641"/>
    <w:rsid w:val="00401D30"/>
    <w:rsid w:val="004025A6"/>
    <w:rsid w:val="004033B5"/>
    <w:rsid w:val="0040359E"/>
    <w:rsid w:val="00403633"/>
    <w:rsid w:val="004049DC"/>
    <w:rsid w:val="0040656D"/>
    <w:rsid w:val="004136AF"/>
    <w:rsid w:val="004143BB"/>
    <w:rsid w:val="0041458A"/>
    <w:rsid w:val="0041472F"/>
    <w:rsid w:val="00414C02"/>
    <w:rsid w:val="004153A4"/>
    <w:rsid w:val="00417ED7"/>
    <w:rsid w:val="00420B1E"/>
    <w:rsid w:val="0042141A"/>
    <w:rsid w:val="00421EE3"/>
    <w:rsid w:val="0042354D"/>
    <w:rsid w:val="004252A4"/>
    <w:rsid w:val="0042618E"/>
    <w:rsid w:val="0042700F"/>
    <w:rsid w:val="004307DD"/>
    <w:rsid w:val="00431C40"/>
    <w:rsid w:val="004328D2"/>
    <w:rsid w:val="004337AE"/>
    <w:rsid w:val="004354D6"/>
    <w:rsid w:val="0044196E"/>
    <w:rsid w:val="00441A6C"/>
    <w:rsid w:val="0044249C"/>
    <w:rsid w:val="00442BE0"/>
    <w:rsid w:val="00443CC7"/>
    <w:rsid w:val="00453C47"/>
    <w:rsid w:val="00454244"/>
    <w:rsid w:val="00454BDD"/>
    <w:rsid w:val="00455653"/>
    <w:rsid w:val="00455A9A"/>
    <w:rsid w:val="00455C65"/>
    <w:rsid w:val="00455CE9"/>
    <w:rsid w:val="0046065E"/>
    <w:rsid w:val="00460930"/>
    <w:rsid w:val="004612DC"/>
    <w:rsid w:val="0046154C"/>
    <w:rsid w:val="00462D20"/>
    <w:rsid w:val="00463F1F"/>
    <w:rsid w:val="0046475A"/>
    <w:rsid w:val="004659B1"/>
    <w:rsid w:val="0046743A"/>
    <w:rsid w:val="00472501"/>
    <w:rsid w:val="00474477"/>
    <w:rsid w:val="0047776E"/>
    <w:rsid w:val="0048301F"/>
    <w:rsid w:val="004838F4"/>
    <w:rsid w:val="004846A6"/>
    <w:rsid w:val="004850FF"/>
    <w:rsid w:val="00485FA4"/>
    <w:rsid w:val="00487442"/>
    <w:rsid w:val="00491FFC"/>
    <w:rsid w:val="00494E02"/>
    <w:rsid w:val="004959AE"/>
    <w:rsid w:val="0049736C"/>
    <w:rsid w:val="004A3921"/>
    <w:rsid w:val="004A5933"/>
    <w:rsid w:val="004A614C"/>
    <w:rsid w:val="004B039C"/>
    <w:rsid w:val="004B27BC"/>
    <w:rsid w:val="004B56C0"/>
    <w:rsid w:val="004B61EE"/>
    <w:rsid w:val="004B6A65"/>
    <w:rsid w:val="004B6D8C"/>
    <w:rsid w:val="004C4A4E"/>
    <w:rsid w:val="004C51F9"/>
    <w:rsid w:val="004D1EFA"/>
    <w:rsid w:val="004D29EE"/>
    <w:rsid w:val="004E29A7"/>
    <w:rsid w:val="004E2E6F"/>
    <w:rsid w:val="004E3326"/>
    <w:rsid w:val="004E400F"/>
    <w:rsid w:val="004E5762"/>
    <w:rsid w:val="004F03C9"/>
    <w:rsid w:val="004F14E0"/>
    <w:rsid w:val="004F14EF"/>
    <w:rsid w:val="004F18D2"/>
    <w:rsid w:val="004F1CAC"/>
    <w:rsid w:val="004F286B"/>
    <w:rsid w:val="004F2A97"/>
    <w:rsid w:val="004F2F13"/>
    <w:rsid w:val="004F38F8"/>
    <w:rsid w:val="004F769C"/>
    <w:rsid w:val="004F7D60"/>
    <w:rsid w:val="00500131"/>
    <w:rsid w:val="00501B2E"/>
    <w:rsid w:val="00503F3A"/>
    <w:rsid w:val="0050572F"/>
    <w:rsid w:val="00505F2A"/>
    <w:rsid w:val="00507907"/>
    <w:rsid w:val="005107EE"/>
    <w:rsid w:val="0051122D"/>
    <w:rsid w:val="00524D1B"/>
    <w:rsid w:val="0052724A"/>
    <w:rsid w:val="00527A33"/>
    <w:rsid w:val="005364C7"/>
    <w:rsid w:val="005364C9"/>
    <w:rsid w:val="0053768E"/>
    <w:rsid w:val="005377BF"/>
    <w:rsid w:val="005408FC"/>
    <w:rsid w:val="005415BC"/>
    <w:rsid w:val="0054410E"/>
    <w:rsid w:val="0054485F"/>
    <w:rsid w:val="005457FA"/>
    <w:rsid w:val="00545B49"/>
    <w:rsid w:val="00546FA7"/>
    <w:rsid w:val="0054767C"/>
    <w:rsid w:val="00547F88"/>
    <w:rsid w:val="005501CD"/>
    <w:rsid w:val="00551DAB"/>
    <w:rsid w:val="00554FD5"/>
    <w:rsid w:val="0055557B"/>
    <w:rsid w:val="00560B2B"/>
    <w:rsid w:val="005652B0"/>
    <w:rsid w:val="00565F9E"/>
    <w:rsid w:val="005663D8"/>
    <w:rsid w:val="005704A3"/>
    <w:rsid w:val="0057269E"/>
    <w:rsid w:val="00574E82"/>
    <w:rsid w:val="00582246"/>
    <w:rsid w:val="00584247"/>
    <w:rsid w:val="00586690"/>
    <w:rsid w:val="005876E8"/>
    <w:rsid w:val="00587889"/>
    <w:rsid w:val="00590190"/>
    <w:rsid w:val="00590CE2"/>
    <w:rsid w:val="005A18E3"/>
    <w:rsid w:val="005A282B"/>
    <w:rsid w:val="005A7AFB"/>
    <w:rsid w:val="005A7BB9"/>
    <w:rsid w:val="005B064C"/>
    <w:rsid w:val="005B6468"/>
    <w:rsid w:val="005B6824"/>
    <w:rsid w:val="005C23F5"/>
    <w:rsid w:val="005C24E1"/>
    <w:rsid w:val="005C27EA"/>
    <w:rsid w:val="005C361B"/>
    <w:rsid w:val="005C4D87"/>
    <w:rsid w:val="005C697B"/>
    <w:rsid w:val="005C6DB4"/>
    <w:rsid w:val="005D089A"/>
    <w:rsid w:val="005D1D34"/>
    <w:rsid w:val="005D374B"/>
    <w:rsid w:val="005D4F1F"/>
    <w:rsid w:val="005D5056"/>
    <w:rsid w:val="005D77A0"/>
    <w:rsid w:val="005E05E1"/>
    <w:rsid w:val="005E1899"/>
    <w:rsid w:val="005E19E9"/>
    <w:rsid w:val="005E1BE0"/>
    <w:rsid w:val="005E313B"/>
    <w:rsid w:val="005E3A13"/>
    <w:rsid w:val="005E564B"/>
    <w:rsid w:val="005E5791"/>
    <w:rsid w:val="005E72C6"/>
    <w:rsid w:val="005F0309"/>
    <w:rsid w:val="005F0B5F"/>
    <w:rsid w:val="005F4A4F"/>
    <w:rsid w:val="005F51B2"/>
    <w:rsid w:val="005F56A1"/>
    <w:rsid w:val="005F792C"/>
    <w:rsid w:val="005F7D4F"/>
    <w:rsid w:val="0060001D"/>
    <w:rsid w:val="00600E25"/>
    <w:rsid w:val="006013DC"/>
    <w:rsid w:val="006026D0"/>
    <w:rsid w:val="0060279F"/>
    <w:rsid w:val="00604647"/>
    <w:rsid w:val="00604695"/>
    <w:rsid w:val="00606086"/>
    <w:rsid w:val="006079D4"/>
    <w:rsid w:val="00607CAB"/>
    <w:rsid w:val="00610B34"/>
    <w:rsid w:val="0061301D"/>
    <w:rsid w:val="00617D82"/>
    <w:rsid w:val="00622FB5"/>
    <w:rsid w:val="00624295"/>
    <w:rsid w:val="00625BF7"/>
    <w:rsid w:val="00626165"/>
    <w:rsid w:val="006326DC"/>
    <w:rsid w:val="006329BB"/>
    <w:rsid w:val="00633020"/>
    <w:rsid w:val="00634521"/>
    <w:rsid w:val="00634FC2"/>
    <w:rsid w:val="00635C19"/>
    <w:rsid w:val="006364A5"/>
    <w:rsid w:val="00640FB4"/>
    <w:rsid w:val="00642D3D"/>
    <w:rsid w:val="00645167"/>
    <w:rsid w:val="006463C1"/>
    <w:rsid w:val="00646D5E"/>
    <w:rsid w:val="0065462A"/>
    <w:rsid w:val="0065481E"/>
    <w:rsid w:val="00654DB1"/>
    <w:rsid w:val="00655EE9"/>
    <w:rsid w:val="006578EC"/>
    <w:rsid w:val="006623FB"/>
    <w:rsid w:val="006626C6"/>
    <w:rsid w:val="00662C7A"/>
    <w:rsid w:val="00664DD4"/>
    <w:rsid w:val="00666F27"/>
    <w:rsid w:val="00670C39"/>
    <w:rsid w:val="00671C6F"/>
    <w:rsid w:val="0067397B"/>
    <w:rsid w:val="006741B3"/>
    <w:rsid w:val="006742DE"/>
    <w:rsid w:val="00674ED0"/>
    <w:rsid w:val="0067592F"/>
    <w:rsid w:val="00676C9F"/>
    <w:rsid w:val="00677674"/>
    <w:rsid w:val="00677F9D"/>
    <w:rsid w:val="006804FA"/>
    <w:rsid w:val="0068160F"/>
    <w:rsid w:val="00681EB9"/>
    <w:rsid w:val="00682B82"/>
    <w:rsid w:val="00682D85"/>
    <w:rsid w:val="0068400D"/>
    <w:rsid w:val="006851BD"/>
    <w:rsid w:val="0068739F"/>
    <w:rsid w:val="006875FA"/>
    <w:rsid w:val="006913E7"/>
    <w:rsid w:val="00692393"/>
    <w:rsid w:val="006929FA"/>
    <w:rsid w:val="00694A2E"/>
    <w:rsid w:val="00695549"/>
    <w:rsid w:val="00697A8E"/>
    <w:rsid w:val="006A02AF"/>
    <w:rsid w:val="006A03E4"/>
    <w:rsid w:val="006A1A22"/>
    <w:rsid w:val="006A1EA6"/>
    <w:rsid w:val="006A2A83"/>
    <w:rsid w:val="006A5246"/>
    <w:rsid w:val="006A5B12"/>
    <w:rsid w:val="006B18EB"/>
    <w:rsid w:val="006B3CCA"/>
    <w:rsid w:val="006B5CE8"/>
    <w:rsid w:val="006C3038"/>
    <w:rsid w:val="006C3732"/>
    <w:rsid w:val="006C51AC"/>
    <w:rsid w:val="006C68C0"/>
    <w:rsid w:val="006D1BAC"/>
    <w:rsid w:val="006D4019"/>
    <w:rsid w:val="006D4351"/>
    <w:rsid w:val="006D4380"/>
    <w:rsid w:val="006D5BBB"/>
    <w:rsid w:val="006D5E16"/>
    <w:rsid w:val="006E1265"/>
    <w:rsid w:val="006E24E9"/>
    <w:rsid w:val="006E4F96"/>
    <w:rsid w:val="006E5E3C"/>
    <w:rsid w:val="006F272D"/>
    <w:rsid w:val="006F3578"/>
    <w:rsid w:val="006F3BE5"/>
    <w:rsid w:val="006F3E91"/>
    <w:rsid w:val="006F4379"/>
    <w:rsid w:val="006F703B"/>
    <w:rsid w:val="006F7E13"/>
    <w:rsid w:val="00700A16"/>
    <w:rsid w:val="00703578"/>
    <w:rsid w:val="00704CA7"/>
    <w:rsid w:val="00705CB0"/>
    <w:rsid w:val="00711D1E"/>
    <w:rsid w:val="00714078"/>
    <w:rsid w:val="007154F7"/>
    <w:rsid w:val="00716512"/>
    <w:rsid w:val="00717127"/>
    <w:rsid w:val="00717581"/>
    <w:rsid w:val="0072123E"/>
    <w:rsid w:val="00722F24"/>
    <w:rsid w:val="0072306B"/>
    <w:rsid w:val="00724380"/>
    <w:rsid w:val="0072745A"/>
    <w:rsid w:val="007315FD"/>
    <w:rsid w:val="0073206F"/>
    <w:rsid w:val="007338E6"/>
    <w:rsid w:val="00734494"/>
    <w:rsid w:val="007347C5"/>
    <w:rsid w:val="00735311"/>
    <w:rsid w:val="007360BD"/>
    <w:rsid w:val="00740219"/>
    <w:rsid w:val="00740A06"/>
    <w:rsid w:val="00740EB0"/>
    <w:rsid w:val="007415A6"/>
    <w:rsid w:val="00741761"/>
    <w:rsid w:val="007426FF"/>
    <w:rsid w:val="0074357F"/>
    <w:rsid w:val="00743BF1"/>
    <w:rsid w:val="007440AA"/>
    <w:rsid w:val="00745251"/>
    <w:rsid w:val="00745D9C"/>
    <w:rsid w:val="00747387"/>
    <w:rsid w:val="0075110F"/>
    <w:rsid w:val="00756B02"/>
    <w:rsid w:val="00756FAE"/>
    <w:rsid w:val="0075757F"/>
    <w:rsid w:val="00757F52"/>
    <w:rsid w:val="007610A4"/>
    <w:rsid w:val="007635E1"/>
    <w:rsid w:val="0076461E"/>
    <w:rsid w:val="007662A6"/>
    <w:rsid w:val="007670D5"/>
    <w:rsid w:val="00767AB2"/>
    <w:rsid w:val="00770175"/>
    <w:rsid w:val="007703C9"/>
    <w:rsid w:val="00771F80"/>
    <w:rsid w:val="00773467"/>
    <w:rsid w:val="007740BD"/>
    <w:rsid w:val="00775A19"/>
    <w:rsid w:val="0077698D"/>
    <w:rsid w:val="00777FB3"/>
    <w:rsid w:val="00780579"/>
    <w:rsid w:val="0078069C"/>
    <w:rsid w:val="00781FD3"/>
    <w:rsid w:val="0078373F"/>
    <w:rsid w:val="00783A5B"/>
    <w:rsid w:val="00783E2B"/>
    <w:rsid w:val="00787E4D"/>
    <w:rsid w:val="00792300"/>
    <w:rsid w:val="007927FA"/>
    <w:rsid w:val="00792C37"/>
    <w:rsid w:val="007944DD"/>
    <w:rsid w:val="00796451"/>
    <w:rsid w:val="00796B49"/>
    <w:rsid w:val="00796C00"/>
    <w:rsid w:val="007977E9"/>
    <w:rsid w:val="007A0C00"/>
    <w:rsid w:val="007A1FE8"/>
    <w:rsid w:val="007A42D3"/>
    <w:rsid w:val="007A4985"/>
    <w:rsid w:val="007A5E22"/>
    <w:rsid w:val="007A6987"/>
    <w:rsid w:val="007A7948"/>
    <w:rsid w:val="007B24BC"/>
    <w:rsid w:val="007B3181"/>
    <w:rsid w:val="007B36DA"/>
    <w:rsid w:val="007B3943"/>
    <w:rsid w:val="007B692C"/>
    <w:rsid w:val="007B78E7"/>
    <w:rsid w:val="007B7FB7"/>
    <w:rsid w:val="007C055C"/>
    <w:rsid w:val="007C2277"/>
    <w:rsid w:val="007C28A5"/>
    <w:rsid w:val="007C450F"/>
    <w:rsid w:val="007C45EE"/>
    <w:rsid w:val="007C467A"/>
    <w:rsid w:val="007C5797"/>
    <w:rsid w:val="007C7286"/>
    <w:rsid w:val="007C762D"/>
    <w:rsid w:val="007C7895"/>
    <w:rsid w:val="007D482B"/>
    <w:rsid w:val="007D4A75"/>
    <w:rsid w:val="007D5146"/>
    <w:rsid w:val="007D5E82"/>
    <w:rsid w:val="007E0C0D"/>
    <w:rsid w:val="007E6F45"/>
    <w:rsid w:val="007F0E2B"/>
    <w:rsid w:val="007F1ACD"/>
    <w:rsid w:val="007F2982"/>
    <w:rsid w:val="007F4131"/>
    <w:rsid w:val="007F4C06"/>
    <w:rsid w:val="007F53A4"/>
    <w:rsid w:val="007F6B8F"/>
    <w:rsid w:val="007F7C4B"/>
    <w:rsid w:val="007F7E66"/>
    <w:rsid w:val="00800E16"/>
    <w:rsid w:val="008019E1"/>
    <w:rsid w:val="008026F9"/>
    <w:rsid w:val="00802DA9"/>
    <w:rsid w:val="00803229"/>
    <w:rsid w:val="00811743"/>
    <w:rsid w:val="00811F37"/>
    <w:rsid w:val="00813DA1"/>
    <w:rsid w:val="00817BB2"/>
    <w:rsid w:val="00823249"/>
    <w:rsid w:val="008237BE"/>
    <w:rsid w:val="00823C96"/>
    <w:rsid w:val="008253C3"/>
    <w:rsid w:val="00826A37"/>
    <w:rsid w:val="0083099A"/>
    <w:rsid w:val="00831254"/>
    <w:rsid w:val="00831CF8"/>
    <w:rsid w:val="0083262A"/>
    <w:rsid w:val="00832C53"/>
    <w:rsid w:val="00832FF8"/>
    <w:rsid w:val="00840F36"/>
    <w:rsid w:val="00845FCF"/>
    <w:rsid w:val="008506CA"/>
    <w:rsid w:val="00850E9F"/>
    <w:rsid w:val="008510AC"/>
    <w:rsid w:val="00852A63"/>
    <w:rsid w:val="008555C4"/>
    <w:rsid w:val="00855C63"/>
    <w:rsid w:val="008613C9"/>
    <w:rsid w:val="00863F3F"/>
    <w:rsid w:val="00864043"/>
    <w:rsid w:val="008641FF"/>
    <w:rsid w:val="00864489"/>
    <w:rsid w:val="008651AE"/>
    <w:rsid w:val="00865285"/>
    <w:rsid w:val="00865F7C"/>
    <w:rsid w:val="0087153A"/>
    <w:rsid w:val="00875FA5"/>
    <w:rsid w:val="008762F3"/>
    <w:rsid w:val="0087733E"/>
    <w:rsid w:val="00877A56"/>
    <w:rsid w:val="0088176D"/>
    <w:rsid w:val="00882846"/>
    <w:rsid w:val="00883F70"/>
    <w:rsid w:val="0088418E"/>
    <w:rsid w:val="008849DA"/>
    <w:rsid w:val="008864BD"/>
    <w:rsid w:val="00891437"/>
    <w:rsid w:val="00897838"/>
    <w:rsid w:val="008A04CC"/>
    <w:rsid w:val="008A14C7"/>
    <w:rsid w:val="008A22AF"/>
    <w:rsid w:val="008A4DCB"/>
    <w:rsid w:val="008A6836"/>
    <w:rsid w:val="008A7343"/>
    <w:rsid w:val="008A781B"/>
    <w:rsid w:val="008B19B2"/>
    <w:rsid w:val="008B22E3"/>
    <w:rsid w:val="008B23EF"/>
    <w:rsid w:val="008B267C"/>
    <w:rsid w:val="008B3C05"/>
    <w:rsid w:val="008B3EF6"/>
    <w:rsid w:val="008B4E24"/>
    <w:rsid w:val="008B6087"/>
    <w:rsid w:val="008B7738"/>
    <w:rsid w:val="008C12EB"/>
    <w:rsid w:val="008C1825"/>
    <w:rsid w:val="008C41F5"/>
    <w:rsid w:val="008C50A4"/>
    <w:rsid w:val="008C586D"/>
    <w:rsid w:val="008C74A6"/>
    <w:rsid w:val="008C7E40"/>
    <w:rsid w:val="008D06F7"/>
    <w:rsid w:val="008D0F42"/>
    <w:rsid w:val="008D13BD"/>
    <w:rsid w:val="008D2ED2"/>
    <w:rsid w:val="008D3CFF"/>
    <w:rsid w:val="008D49AF"/>
    <w:rsid w:val="008D783E"/>
    <w:rsid w:val="008E2454"/>
    <w:rsid w:val="008E34DF"/>
    <w:rsid w:val="008E4108"/>
    <w:rsid w:val="008E45E6"/>
    <w:rsid w:val="008E583C"/>
    <w:rsid w:val="008E6578"/>
    <w:rsid w:val="008E7D72"/>
    <w:rsid w:val="008F018E"/>
    <w:rsid w:val="008F0F7B"/>
    <w:rsid w:val="008F406E"/>
    <w:rsid w:val="008F5916"/>
    <w:rsid w:val="008F76BB"/>
    <w:rsid w:val="0090012F"/>
    <w:rsid w:val="0090203F"/>
    <w:rsid w:val="0090325E"/>
    <w:rsid w:val="0090490D"/>
    <w:rsid w:val="00905D21"/>
    <w:rsid w:val="00907C22"/>
    <w:rsid w:val="00910A1F"/>
    <w:rsid w:val="00912710"/>
    <w:rsid w:val="00912E81"/>
    <w:rsid w:val="00914346"/>
    <w:rsid w:val="009176B4"/>
    <w:rsid w:val="009179A3"/>
    <w:rsid w:val="00917CAF"/>
    <w:rsid w:val="0092003E"/>
    <w:rsid w:val="00920CB9"/>
    <w:rsid w:val="00922C00"/>
    <w:rsid w:val="00922DB6"/>
    <w:rsid w:val="00923356"/>
    <w:rsid w:val="009234E7"/>
    <w:rsid w:val="00923D6C"/>
    <w:rsid w:val="0092707A"/>
    <w:rsid w:val="009300F7"/>
    <w:rsid w:val="00931010"/>
    <w:rsid w:val="00931E54"/>
    <w:rsid w:val="00931E95"/>
    <w:rsid w:val="0093293F"/>
    <w:rsid w:val="00934052"/>
    <w:rsid w:val="00937CE3"/>
    <w:rsid w:val="00942B44"/>
    <w:rsid w:val="009456ED"/>
    <w:rsid w:val="00945DEE"/>
    <w:rsid w:val="00947B69"/>
    <w:rsid w:val="0095434F"/>
    <w:rsid w:val="0095487C"/>
    <w:rsid w:val="00954FA0"/>
    <w:rsid w:val="0095776D"/>
    <w:rsid w:val="009623F2"/>
    <w:rsid w:val="00962544"/>
    <w:rsid w:val="00962DAD"/>
    <w:rsid w:val="009668ED"/>
    <w:rsid w:val="00967CBF"/>
    <w:rsid w:val="00970179"/>
    <w:rsid w:val="00970B71"/>
    <w:rsid w:val="00971E0C"/>
    <w:rsid w:val="009729B9"/>
    <w:rsid w:val="009734C6"/>
    <w:rsid w:val="00985284"/>
    <w:rsid w:val="00985733"/>
    <w:rsid w:val="00985E37"/>
    <w:rsid w:val="009878FB"/>
    <w:rsid w:val="009905AC"/>
    <w:rsid w:val="00991148"/>
    <w:rsid w:val="00992964"/>
    <w:rsid w:val="009A0061"/>
    <w:rsid w:val="009A01DA"/>
    <w:rsid w:val="009A0291"/>
    <w:rsid w:val="009A0881"/>
    <w:rsid w:val="009A11B7"/>
    <w:rsid w:val="009A17E9"/>
    <w:rsid w:val="009A458C"/>
    <w:rsid w:val="009A4A03"/>
    <w:rsid w:val="009A61C5"/>
    <w:rsid w:val="009B301C"/>
    <w:rsid w:val="009B66E6"/>
    <w:rsid w:val="009B72A0"/>
    <w:rsid w:val="009B7FBC"/>
    <w:rsid w:val="009C2DAD"/>
    <w:rsid w:val="009C4833"/>
    <w:rsid w:val="009D053D"/>
    <w:rsid w:val="009D08E8"/>
    <w:rsid w:val="009D24DF"/>
    <w:rsid w:val="009D7A11"/>
    <w:rsid w:val="009D7DB2"/>
    <w:rsid w:val="009E0FD2"/>
    <w:rsid w:val="009E47E4"/>
    <w:rsid w:val="009E624A"/>
    <w:rsid w:val="009E6FEA"/>
    <w:rsid w:val="009E7DFD"/>
    <w:rsid w:val="009F0A99"/>
    <w:rsid w:val="009F1CF4"/>
    <w:rsid w:val="009F35E1"/>
    <w:rsid w:val="009F3C85"/>
    <w:rsid w:val="009F416A"/>
    <w:rsid w:val="009F57CA"/>
    <w:rsid w:val="009F5A52"/>
    <w:rsid w:val="009F70E6"/>
    <w:rsid w:val="009F7528"/>
    <w:rsid w:val="00A001D6"/>
    <w:rsid w:val="00A0062E"/>
    <w:rsid w:val="00A05393"/>
    <w:rsid w:val="00A054E9"/>
    <w:rsid w:val="00A05E93"/>
    <w:rsid w:val="00A06284"/>
    <w:rsid w:val="00A07EB4"/>
    <w:rsid w:val="00A11042"/>
    <w:rsid w:val="00A1276B"/>
    <w:rsid w:val="00A15961"/>
    <w:rsid w:val="00A1767F"/>
    <w:rsid w:val="00A22B5B"/>
    <w:rsid w:val="00A22CA5"/>
    <w:rsid w:val="00A244C8"/>
    <w:rsid w:val="00A24CE2"/>
    <w:rsid w:val="00A26D92"/>
    <w:rsid w:val="00A27BCD"/>
    <w:rsid w:val="00A27BD6"/>
    <w:rsid w:val="00A300C9"/>
    <w:rsid w:val="00A310B1"/>
    <w:rsid w:val="00A325FF"/>
    <w:rsid w:val="00A32E25"/>
    <w:rsid w:val="00A33052"/>
    <w:rsid w:val="00A3714C"/>
    <w:rsid w:val="00A37ABB"/>
    <w:rsid w:val="00A40863"/>
    <w:rsid w:val="00A41B49"/>
    <w:rsid w:val="00A4287A"/>
    <w:rsid w:val="00A42ED3"/>
    <w:rsid w:val="00A42F21"/>
    <w:rsid w:val="00A43032"/>
    <w:rsid w:val="00A437E2"/>
    <w:rsid w:val="00A452CE"/>
    <w:rsid w:val="00A453DE"/>
    <w:rsid w:val="00A4734B"/>
    <w:rsid w:val="00A52087"/>
    <w:rsid w:val="00A524E9"/>
    <w:rsid w:val="00A544AD"/>
    <w:rsid w:val="00A56D71"/>
    <w:rsid w:val="00A61C5D"/>
    <w:rsid w:val="00A61FDD"/>
    <w:rsid w:val="00A62A52"/>
    <w:rsid w:val="00A6599C"/>
    <w:rsid w:val="00A65BBC"/>
    <w:rsid w:val="00A66362"/>
    <w:rsid w:val="00A67644"/>
    <w:rsid w:val="00A67911"/>
    <w:rsid w:val="00A7210C"/>
    <w:rsid w:val="00A72A5A"/>
    <w:rsid w:val="00A77038"/>
    <w:rsid w:val="00A77FD7"/>
    <w:rsid w:val="00A80978"/>
    <w:rsid w:val="00A82637"/>
    <w:rsid w:val="00A84C3F"/>
    <w:rsid w:val="00A92FDC"/>
    <w:rsid w:val="00A94A12"/>
    <w:rsid w:val="00A9613B"/>
    <w:rsid w:val="00A96767"/>
    <w:rsid w:val="00A9698C"/>
    <w:rsid w:val="00A974AB"/>
    <w:rsid w:val="00AA25C5"/>
    <w:rsid w:val="00AA3CA7"/>
    <w:rsid w:val="00AA642B"/>
    <w:rsid w:val="00AB119D"/>
    <w:rsid w:val="00AB14A0"/>
    <w:rsid w:val="00AB19E8"/>
    <w:rsid w:val="00AB32EB"/>
    <w:rsid w:val="00AB4024"/>
    <w:rsid w:val="00AB5D4B"/>
    <w:rsid w:val="00AB7AC6"/>
    <w:rsid w:val="00AC0407"/>
    <w:rsid w:val="00AC202C"/>
    <w:rsid w:val="00AC2C3E"/>
    <w:rsid w:val="00AC3EF6"/>
    <w:rsid w:val="00AC6AA0"/>
    <w:rsid w:val="00AD1629"/>
    <w:rsid w:val="00AD1AC6"/>
    <w:rsid w:val="00AD4872"/>
    <w:rsid w:val="00AD5FA9"/>
    <w:rsid w:val="00AD66B1"/>
    <w:rsid w:val="00AD6B85"/>
    <w:rsid w:val="00AD7DA3"/>
    <w:rsid w:val="00AE0927"/>
    <w:rsid w:val="00AE2D9B"/>
    <w:rsid w:val="00AE31AB"/>
    <w:rsid w:val="00AE447E"/>
    <w:rsid w:val="00AE4B8F"/>
    <w:rsid w:val="00AF4E6B"/>
    <w:rsid w:val="00AF509E"/>
    <w:rsid w:val="00AF54E9"/>
    <w:rsid w:val="00AF5593"/>
    <w:rsid w:val="00AF69F8"/>
    <w:rsid w:val="00AF7A5F"/>
    <w:rsid w:val="00B00ECC"/>
    <w:rsid w:val="00B01EEE"/>
    <w:rsid w:val="00B02A27"/>
    <w:rsid w:val="00B02B1F"/>
    <w:rsid w:val="00B02C56"/>
    <w:rsid w:val="00B02DBF"/>
    <w:rsid w:val="00B0571E"/>
    <w:rsid w:val="00B06990"/>
    <w:rsid w:val="00B07625"/>
    <w:rsid w:val="00B07A10"/>
    <w:rsid w:val="00B1001C"/>
    <w:rsid w:val="00B1016B"/>
    <w:rsid w:val="00B13B86"/>
    <w:rsid w:val="00B16116"/>
    <w:rsid w:val="00B1671C"/>
    <w:rsid w:val="00B17BA9"/>
    <w:rsid w:val="00B20E98"/>
    <w:rsid w:val="00B21257"/>
    <w:rsid w:val="00B21ACD"/>
    <w:rsid w:val="00B225DE"/>
    <w:rsid w:val="00B23257"/>
    <w:rsid w:val="00B23881"/>
    <w:rsid w:val="00B37659"/>
    <w:rsid w:val="00B40ACB"/>
    <w:rsid w:val="00B412AB"/>
    <w:rsid w:val="00B421F2"/>
    <w:rsid w:val="00B4734C"/>
    <w:rsid w:val="00B47ABF"/>
    <w:rsid w:val="00B50CC0"/>
    <w:rsid w:val="00B522EA"/>
    <w:rsid w:val="00B52884"/>
    <w:rsid w:val="00B5485B"/>
    <w:rsid w:val="00B56F70"/>
    <w:rsid w:val="00B5731C"/>
    <w:rsid w:val="00B578C4"/>
    <w:rsid w:val="00B60C04"/>
    <w:rsid w:val="00B6183D"/>
    <w:rsid w:val="00B62900"/>
    <w:rsid w:val="00B63CC1"/>
    <w:rsid w:val="00B65228"/>
    <w:rsid w:val="00B665F8"/>
    <w:rsid w:val="00B70B01"/>
    <w:rsid w:val="00B71B96"/>
    <w:rsid w:val="00B80E81"/>
    <w:rsid w:val="00B811C3"/>
    <w:rsid w:val="00B81425"/>
    <w:rsid w:val="00B83E08"/>
    <w:rsid w:val="00B852B7"/>
    <w:rsid w:val="00B85CFA"/>
    <w:rsid w:val="00B90AC8"/>
    <w:rsid w:val="00B90B06"/>
    <w:rsid w:val="00B912C3"/>
    <w:rsid w:val="00B9207C"/>
    <w:rsid w:val="00B92BCD"/>
    <w:rsid w:val="00B936F5"/>
    <w:rsid w:val="00B93C35"/>
    <w:rsid w:val="00B95E75"/>
    <w:rsid w:val="00BA08CA"/>
    <w:rsid w:val="00BA08D8"/>
    <w:rsid w:val="00BA0D76"/>
    <w:rsid w:val="00BA105A"/>
    <w:rsid w:val="00BA1294"/>
    <w:rsid w:val="00BA24C4"/>
    <w:rsid w:val="00BA3680"/>
    <w:rsid w:val="00BA44A7"/>
    <w:rsid w:val="00BA4D42"/>
    <w:rsid w:val="00BA5167"/>
    <w:rsid w:val="00BB0E90"/>
    <w:rsid w:val="00BB125C"/>
    <w:rsid w:val="00BB1FF3"/>
    <w:rsid w:val="00BB26FF"/>
    <w:rsid w:val="00BB7D5A"/>
    <w:rsid w:val="00BB7D77"/>
    <w:rsid w:val="00BC1592"/>
    <w:rsid w:val="00BC25D2"/>
    <w:rsid w:val="00BC3BE9"/>
    <w:rsid w:val="00BC4C03"/>
    <w:rsid w:val="00BC63D9"/>
    <w:rsid w:val="00BC6AB5"/>
    <w:rsid w:val="00BC7BE8"/>
    <w:rsid w:val="00BD05D7"/>
    <w:rsid w:val="00BD27E9"/>
    <w:rsid w:val="00BD30D7"/>
    <w:rsid w:val="00BD4595"/>
    <w:rsid w:val="00BD66CE"/>
    <w:rsid w:val="00BD7887"/>
    <w:rsid w:val="00BD7D33"/>
    <w:rsid w:val="00BD7DEA"/>
    <w:rsid w:val="00BE093A"/>
    <w:rsid w:val="00BE124A"/>
    <w:rsid w:val="00BE184F"/>
    <w:rsid w:val="00BE1A57"/>
    <w:rsid w:val="00BE30D8"/>
    <w:rsid w:val="00BE61E2"/>
    <w:rsid w:val="00BE673B"/>
    <w:rsid w:val="00BF1720"/>
    <w:rsid w:val="00BF548D"/>
    <w:rsid w:val="00BF6203"/>
    <w:rsid w:val="00C00F7F"/>
    <w:rsid w:val="00C06B36"/>
    <w:rsid w:val="00C1024E"/>
    <w:rsid w:val="00C10889"/>
    <w:rsid w:val="00C116ED"/>
    <w:rsid w:val="00C15EA2"/>
    <w:rsid w:val="00C1777E"/>
    <w:rsid w:val="00C21839"/>
    <w:rsid w:val="00C2260C"/>
    <w:rsid w:val="00C247E9"/>
    <w:rsid w:val="00C25311"/>
    <w:rsid w:val="00C30ED2"/>
    <w:rsid w:val="00C31A4E"/>
    <w:rsid w:val="00C34790"/>
    <w:rsid w:val="00C34B2D"/>
    <w:rsid w:val="00C36538"/>
    <w:rsid w:val="00C376A4"/>
    <w:rsid w:val="00C40585"/>
    <w:rsid w:val="00C40AA3"/>
    <w:rsid w:val="00C4251C"/>
    <w:rsid w:val="00C45D01"/>
    <w:rsid w:val="00C464D6"/>
    <w:rsid w:val="00C47499"/>
    <w:rsid w:val="00C512E3"/>
    <w:rsid w:val="00C5409C"/>
    <w:rsid w:val="00C5424F"/>
    <w:rsid w:val="00C54BE9"/>
    <w:rsid w:val="00C5794C"/>
    <w:rsid w:val="00C60742"/>
    <w:rsid w:val="00C62FCB"/>
    <w:rsid w:val="00C63499"/>
    <w:rsid w:val="00C67651"/>
    <w:rsid w:val="00C70031"/>
    <w:rsid w:val="00C70583"/>
    <w:rsid w:val="00C742E7"/>
    <w:rsid w:val="00C74515"/>
    <w:rsid w:val="00C814EF"/>
    <w:rsid w:val="00C81EF7"/>
    <w:rsid w:val="00C828DF"/>
    <w:rsid w:val="00C844FA"/>
    <w:rsid w:val="00C85BDA"/>
    <w:rsid w:val="00C90063"/>
    <w:rsid w:val="00C91453"/>
    <w:rsid w:val="00C915ED"/>
    <w:rsid w:val="00C9179E"/>
    <w:rsid w:val="00C929FB"/>
    <w:rsid w:val="00C93573"/>
    <w:rsid w:val="00C93AD6"/>
    <w:rsid w:val="00C97632"/>
    <w:rsid w:val="00CA09A0"/>
    <w:rsid w:val="00CA1D85"/>
    <w:rsid w:val="00CA1F45"/>
    <w:rsid w:val="00CA215D"/>
    <w:rsid w:val="00CA2F7D"/>
    <w:rsid w:val="00CA4072"/>
    <w:rsid w:val="00CA6649"/>
    <w:rsid w:val="00CA6DA6"/>
    <w:rsid w:val="00CB0DB9"/>
    <w:rsid w:val="00CB1DC7"/>
    <w:rsid w:val="00CB41C4"/>
    <w:rsid w:val="00CB43B7"/>
    <w:rsid w:val="00CC0233"/>
    <w:rsid w:val="00CC0A0D"/>
    <w:rsid w:val="00CC107A"/>
    <w:rsid w:val="00CC1B67"/>
    <w:rsid w:val="00CC2C98"/>
    <w:rsid w:val="00CC4325"/>
    <w:rsid w:val="00CD00DB"/>
    <w:rsid w:val="00CD1634"/>
    <w:rsid w:val="00CD3A5E"/>
    <w:rsid w:val="00CD3EE0"/>
    <w:rsid w:val="00CD42A0"/>
    <w:rsid w:val="00CD50C8"/>
    <w:rsid w:val="00CD6F7B"/>
    <w:rsid w:val="00CD7463"/>
    <w:rsid w:val="00CD7F97"/>
    <w:rsid w:val="00CE2597"/>
    <w:rsid w:val="00CE32C7"/>
    <w:rsid w:val="00CE4401"/>
    <w:rsid w:val="00CF2B83"/>
    <w:rsid w:val="00CF42AB"/>
    <w:rsid w:val="00CF4337"/>
    <w:rsid w:val="00CF5459"/>
    <w:rsid w:val="00CF5600"/>
    <w:rsid w:val="00D00C3F"/>
    <w:rsid w:val="00D03FC0"/>
    <w:rsid w:val="00D047B1"/>
    <w:rsid w:val="00D04EA5"/>
    <w:rsid w:val="00D07338"/>
    <w:rsid w:val="00D10B5B"/>
    <w:rsid w:val="00D14080"/>
    <w:rsid w:val="00D15067"/>
    <w:rsid w:val="00D16659"/>
    <w:rsid w:val="00D213AE"/>
    <w:rsid w:val="00D241FF"/>
    <w:rsid w:val="00D2420C"/>
    <w:rsid w:val="00D24CE7"/>
    <w:rsid w:val="00D2548D"/>
    <w:rsid w:val="00D257F2"/>
    <w:rsid w:val="00D274A6"/>
    <w:rsid w:val="00D30AB2"/>
    <w:rsid w:val="00D30DC0"/>
    <w:rsid w:val="00D34E00"/>
    <w:rsid w:val="00D37840"/>
    <w:rsid w:val="00D37A76"/>
    <w:rsid w:val="00D40630"/>
    <w:rsid w:val="00D418A4"/>
    <w:rsid w:val="00D41E60"/>
    <w:rsid w:val="00D43EEB"/>
    <w:rsid w:val="00D4594F"/>
    <w:rsid w:val="00D4628F"/>
    <w:rsid w:val="00D465F1"/>
    <w:rsid w:val="00D47DFA"/>
    <w:rsid w:val="00D5082B"/>
    <w:rsid w:val="00D5354A"/>
    <w:rsid w:val="00D55EEB"/>
    <w:rsid w:val="00D61653"/>
    <w:rsid w:val="00D64E85"/>
    <w:rsid w:val="00D71EB8"/>
    <w:rsid w:val="00D72267"/>
    <w:rsid w:val="00D7299E"/>
    <w:rsid w:val="00D73619"/>
    <w:rsid w:val="00D77653"/>
    <w:rsid w:val="00D80E75"/>
    <w:rsid w:val="00D8545D"/>
    <w:rsid w:val="00D86DA4"/>
    <w:rsid w:val="00D90273"/>
    <w:rsid w:val="00D91171"/>
    <w:rsid w:val="00D91878"/>
    <w:rsid w:val="00D9213D"/>
    <w:rsid w:val="00D93440"/>
    <w:rsid w:val="00D93CE5"/>
    <w:rsid w:val="00DA0FFF"/>
    <w:rsid w:val="00DA280F"/>
    <w:rsid w:val="00DA5D4A"/>
    <w:rsid w:val="00DA7719"/>
    <w:rsid w:val="00DB42A6"/>
    <w:rsid w:val="00DB530A"/>
    <w:rsid w:val="00DC1FC4"/>
    <w:rsid w:val="00DC35DF"/>
    <w:rsid w:val="00DC4287"/>
    <w:rsid w:val="00DC5D2E"/>
    <w:rsid w:val="00DC5D40"/>
    <w:rsid w:val="00DC6588"/>
    <w:rsid w:val="00DD080D"/>
    <w:rsid w:val="00DD2912"/>
    <w:rsid w:val="00DD2CDD"/>
    <w:rsid w:val="00DD30CC"/>
    <w:rsid w:val="00DD4149"/>
    <w:rsid w:val="00DD6EDA"/>
    <w:rsid w:val="00DD7B49"/>
    <w:rsid w:val="00DE01A3"/>
    <w:rsid w:val="00DE0930"/>
    <w:rsid w:val="00DE366D"/>
    <w:rsid w:val="00DE3B8A"/>
    <w:rsid w:val="00DE44D6"/>
    <w:rsid w:val="00DE4A51"/>
    <w:rsid w:val="00DE5826"/>
    <w:rsid w:val="00DE638A"/>
    <w:rsid w:val="00DE7C52"/>
    <w:rsid w:val="00DF0A30"/>
    <w:rsid w:val="00DF1A97"/>
    <w:rsid w:val="00DF308A"/>
    <w:rsid w:val="00DF61F1"/>
    <w:rsid w:val="00E01A8B"/>
    <w:rsid w:val="00E06181"/>
    <w:rsid w:val="00E10441"/>
    <w:rsid w:val="00E1213F"/>
    <w:rsid w:val="00E12CAC"/>
    <w:rsid w:val="00E146C2"/>
    <w:rsid w:val="00E147FD"/>
    <w:rsid w:val="00E14BF3"/>
    <w:rsid w:val="00E15D2B"/>
    <w:rsid w:val="00E16A86"/>
    <w:rsid w:val="00E1709C"/>
    <w:rsid w:val="00E176D0"/>
    <w:rsid w:val="00E221B6"/>
    <w:rsid w:val="00E22F19"/>
    <w:rsid w:val="00E25622"/>
    <w:rsid w:val="00E2573A"/>
    <w:rsid w:val="00E25BC6"/>
    <w:rsid w:val="00E30455"/>
    <w:rsid w:val="00E311B8"/>
    <w:rsid w:val="00E34DB9"/>
    <w:rsid w:val="00E4095C"/>
    <w:rsid w:val="00E409AE"/>
    <w:rsid w:val="00E41F99"/>
    <w:rsid w:val="00E44681"/>
    <w:rsid w:val="00E45071"/>
    <w:rsid w:val="00E45B7F"/>
    <w:rsid w:val="00E46C07"/>
    <w:rsid w:val="00E61A77"/>
    <w:rsid w:val="00E61C49"/>
    <w:rsid w:val="00E653C7"/>
    <w:rsid w:val="00E65492"/>
    <w:rsid w:val="00E67882"/>
    <w:rsid w:val="00E72436"/>
    <w:rsid w:val="00E75223"/>
    <w:rsid w:val="00E76471"/>
    <w:rsid w:val="00E7651B"/>
    <w:rsid w:val="00E76B92"/>
    <w:rsid w:val="00E900B9"/>
    <w:rsid w:val="00E90F5A"/>
    <w:rsid w:val="00E916B3"/>
    <w:rsid w:val="00E93B32"/>
    <w:rsid w:val="00E95467"/>
    <w:rsid w:val="00E96A0B"/>
    <w:rsid w:val="00E97A3B"/>
    <w:rsid w:val="00EA313A"/>
    <w:rsid w:val="00EA4B2C"/>
    <w:rsid w:val="00EA5019"/>
    <w:rsid w:val="00EA53B5"/>
    <w:rsid w:val="00EA5CED"/>
    <w:rsid w:val="00EA6CF9"/>
    <w:rsid w:val="00EA7F15"/>
    <w:rsid w:val="00EB1FE5"/>
    <w:rsid w:val="00EB31B3"/>
    <w:rsid w:val="00EB3AC3"/>
    <w:rsid w:val="00EB4FEE"/>
    <w:rsid w:val="00EB547C"/>
    <w:rsid w:val="00EB5A6C"/>
    <w:rsid w:val="00EB790B"/>
    <w:rsid w:val="00EC0EA4"/>
    <w:rsid w:val="00EC133B"/>
    <w:rsid w:val="00EC15F0"/>
    <w:rsid w:val="00EC163F"/>
    <w:rsid w:val="00EC2245"/>
    <w:rsid w:val="00EC2440"/>
    <w:rsid w:val="00EC265F"/>
    <w:rsid w:val="00EC4F48"/>
    <w:rsid w:val="00EC6114"/>
    <w:rsid w:val="00EC665B"/>
    <w:rsid w:val="00ED23AE"/>
    <w:rsid w:val="00ED2A75"/>
    <w:rsid w:val="00ED591E"/>
    <w:rsid w:val="00ED69DB"/>
    <w:rsid w:val="00ED6AD5"/>
    <w:rsid w:val="00EE0B04"/>
    <w:rsid w:val="00EE1360"/>
    <w:rsid w:val="00EE1C18"/>
    <w:rsid w:val="00EE3F5C"/>
    <w:rsid w:val="00EE5550"/>
    <w:rsid w:val="00EF1611"/>
    <w:rsid w:val="00EF1BA0"/>
    <w:rsid w:val="00EF33BC"/>
    <w:rsid w:val="00EF3494"/>
    <w:rsid w:val="00EF4E6A"/>
    <w:rsid w:val="00EF5C28"/>
    <w:rsid w:val="00EF61D7"/>
    <w:rsid w:val="00EF626B"/>
    <w:rsid w:val="00F003A6"/>
    <w:rsid w:val="00F020A5"/>
    <w:rsid w:val="00F0493C"/>
    <w:rsid w:val="00F056A6"/>
    <w:rsid w:val="00F05AC3"/>
    <w:rsid w:val="00F06017"/>
    <w:rsid w:val="00F06DD9"/>
    <w:rsid w:val="00F07731"/>
    <w:rsid w:val="00F11256"/>
    <w:rsid w:val="00F11611"/>
    <w:rsid w:val="00F1390F"/>
    <w:rsid w:val="00F1543F"/>
    <w:rsid w:val="00F162B4"/>
    <w:rsid w:val="00F171C2"/>
    <w:rsid w:val="00F21047"/>
    <w:rsid w:val="00F22807"/>
    <w:rsid w:val="00F22814"/>
    <w:rsid w:val="00F22AEB"/>
    <w:rsid w:val="00F235E3"/>
    <w:rsid w:val="00F23F89"/>
    <w:rsid w:val="00F24DC3"/>
    <w:rsid w:val="00F251E4"/>
    <w:rsid w:val="00F26723"/>
    <w:rsid w:val="00F26A7B"/>
    <w:rsid w:val="00F3057B"/>
    <w:rsid w:val="00F3207B"/>
    <w:rsid w:val="00F33AB1"/>
    <w:rsid w:val="00F3575D"/>
    <w:rsid w:val="00F3593B"/>
    <w:rsid w:val="00F35CDC"/>
    <w:rsid w:val="00F37D6D"/>
    <w:rsid w:val="00F37EA6"/>
    <w:rsid w:val="00F404A6"/>
    <w:rsid w:val="00F40FAF"/>
    <w:rsid w:val="00F42356"/>
    <w:rsid w:val="00F444EF"/>
    <w:rsid w:val="00F45C05"/>
    <w:rsid w:val="00F46018"/>
    <w:rsid w:val="00F46487"/>
    <w:rsid w:val="00F46F78"/>
    <w:rsid w:val="00F47500"/>
    <w:rsid w:val="00F4790D"/>
    <w:rsid w:val="00F47E79"/>
    <w:rsid w:val="00F5146F"/>
    <w:rsid w:val="00F53725"/>
    <w:rsid w:val="00F6106B"/>
    <w:rsid w:val="00F618CE"/>
    <w:rsid w:val="00F62508"/>
    <w:rsid w:val="00F62C0C"/>
    <w:rsid w:val="00F641C1"/>
    <w:rsid w:val="00F64248"/>
    <w:rsid w:val="00F66AA8"/>
    <w:rsid w:val="00F67CBD"/>
    <w:rsid w:val="00F71445"/>
    <w:rsid w:val="00F71E91"/>
    <w:rsid w:val="00F730A1"/>
    <w:rsid w:val="00F73EBD"/>
    <w:rsid w:val="00F743FB"/>
    <w:rsid w:val="00F745E9"/>
    <w:rsid w:val="00F748EC"/>
    <w:rsid w:val="00F776C7"/>
    <w:rsid w:val="00F817D8"/>
    <w:rsid w:val="00F81B13"/>
    <w:rsid w:val="00F81B95"/>
    <w:rsid w:val="00F90184"/>
    <w:rsid w:val="00F9057A"/>
    <w:rsid w:val="00F908F3"/>
    <w:rsid w:val="00F91865"/>
    <w:rsid w:val="00F9444F"/>
    <w:rsid w:val="00F954D0"/>
    <w:rsid w:val="00F955FD"/>
    <w:rsid w:val="00FA048C"/>
    <w:rsid w:val="00FA12FB"/>
    <w:rsid w:val="00FA1B0C"/>
    <w:rsid w:val="00FA1DD5"/>
    <w:rsid w:val="00FA2059"/>
    <w:rsid w:val="00FA2E2E"/>
    <w:rsid w:val="00FA33B5"/>
    <w:rsid w:val="00FA5C7A"/>
    <w:rsid w:val="00FA6465"/>
    <w:rsid w:val="00FA7C5D"/>
    <w:rsid w:val="00FB118A"/>
    <w:rsid w:val="00FB2031"/>
    <w:rsid w:val="00FB5343"/>
    <w:rsid w:val="00FC3AD2"/>
    <w:rsid w:val="00FC3B59"/>
    <w:rsid w:val="00FC589D"/>
    <w:rsid w:val="00FC61FE"/>
    <w:rsid w:val="00FC6672"/>
    <w:rsid w:val="00FD1052"/>
    <w:rsid w:val="00FD272B"/>
    <w:rsid w:val="00FD30CC"/>
    <w:rsid w:val="00FD4284"/>
    <w:rsid w:val="00FD4E7F"/>
    <w:rsid w:val="00FD5972"/>
    <w:rsid w:val="00FD6782"/>
    <w:rsid w:val="00FD731D"/>
    <w:rsid w:val="00FE087C"/>
    <w:rsid w:val="00FE24DD"/>
    <w:rsid w:val="00FE25E9"/>
    <w:rsid w:val="00FE34F4"/>
    <w:rsid w:val="00FE5D07"/>
    <w:rsid w:val="00FF164C"/>
    <w:rsid w:val="00FF4B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439E"/>
  <w15:chartTrackingRefBased/>
  <w15:docId w15:val="{A59D7EA0-562A-4A46-A112-0A375C59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D87"/>
    <w:pPr>
      <w:spacing w:line="260" w:lineRule="atLeast"/>
      <w:jc w:val="both"/>
    </w:pPr>
    <w:rPr>
      <w:rFonts w:ascii="Palatino Linotype" w:hAnsi="Palatino Linotype"/>
      <w:noProof/>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5C4D87"/>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C4D8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C4D87"/>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C4D87"/>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C4D87"/>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C4D87"/>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C4D87"/>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C4D8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anormal"/>
    <w:uiPriority w:val="99"/>
    <w:rsid w:val="007D4A75"/>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39"/>
    <w:rsid w:val="005C4D8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C4D87"/>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5C4D87"/>
    <w:rPr>
      <w:rFonts w:ascii="Palatino Linotype" w:hAnsi="Palatino Linotype"/>
      <w:noProof/>
      <w:color w:val="000000"/>
      <w:szCs w:val="18"/>
    </w:rPr>
  </w:style>
  <w:style w:type="paragraph" w:customStyle="1" w:styleId="MDPIheaderjournallogo">
    <w:name w:val="MDPI_header_journal_logo"/>
    <w:qFormat/>
    <w:rsid w:val="005C4D87"/>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C4D87"/>
    <w:pPr>
      <w:ind w:firstLine="0"/>
    </w:pPr>
  </w:style>
  <w:style w:type="paragraph" w:customStyle="1" w:styleId="MDPI31text">
    <w:name w:val="MDPI_3.1_text"/>
    <w:qFormat/>
    <w:rsid w:val="00F730A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C4D87"/>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C4D87"/>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C4D8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C4D87"/>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30DC0"/>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30DC0"/>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C4D87"/>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C4D87"/>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C4D87"/>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F6250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C4D87"/>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C4D87"/>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5C4D87"/>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C4D87"/>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C4D87"/>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5C4D87"/>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C4D87"/>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C4D87"/>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4049DC"/>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odeglobo">
    <w:name w:val="Balloon Text"/>
    <w:basedOn w:val="Normal"/>
    <w:link w:val="TextodegloboCar"/>
    <w:uiPriority w:val="99"/>
    <w:rsid w:val="005C4D87"/>
    <w:rPr>
      <w:rFonts w:cs="Tahoma"/>
      <w:szCs w:val="18"/>
    </w:rPr>
  </w:style>
  <w:style w:type="character" w:customStyle="1" w:styleId="TextodegloboCar">
    <w:name w:val="Texto de globo Car"/>
    <w:link w:val="Textodeglobo"/>
    <w:uiPriority w:val="99"/>
    <w:rsid w:val="005C4D87"/>
    <w:rPr>
      <w:rFonts w:ascii="Palatino Linotype" w:hAnsi="Palatino Linotype" w:cs="Tahoma"/>
      <w:noProof/>
      <w:color w:val="000000"/>
      <w:szCs w:val="18"/>
    </w:rPr>
  </w:style>
  <w:style w:type="character" w:styleId="Nmerodelnea">
    <w:name w:val="line number"/>
    <w:uiPriority w:val="99"/>
    <w:rsid w:val="002E50DF"/>
    <w:rPr>
      <w:rFonts w:ascii="Palatino Linotype" w:hAnsi="Palatino Linotype"/>
      <w:sz w:val="16"/>
    </w:rPr>
  </w:style>
  <w:style w:type="table" w:customStyle="1" w:styleId="MDPI41threelinetable">
    <w:name w:val="MDPI_4.1_three_line_table"/>
    <w:basedOn w:val="Tablanormal"/>
    <w:uiPriority w:val="99"/>
    <w:rsid w:val="005C4D8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5C4D87"/>
    <w:rPr>
      <w:color w:val="0000FF"/>
      <w:u w:val="single"/>
    </w:rPr>
  </w:style>
  <w:style w:type="character" w:customStyle="1" w:styleId="Mencinsinresolver1">
    <w:name w:val="Mención sin resolver1"/>
    <w:uiPriority w:val="99"/>
    <w:semiHidden/>
    <w:unhideWhenUsed/>
    <w:rsid w:val="00116A41"/>
    <w:rPr>
      <w:color w:val="605E5C"/>
      <w:shd w:val="clear" w:color="auto" w:fill="E1DFDD"/>
    </w:rPr>
  </w:style>
  <w:style w:type="paragraph" w:styleId="Piedepgina">
    <w:name w:val="footer"/>
    <w:basedOn w:val="Normal"/>
    <w:link w:val="PiedepginaCar"/>
    <w:uiPriority w:val="99"/>
    <w:rsid w:val="005C4D87"/>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5C4D87"/>
    <w:rPr>
      <w:rFonts w:ascii="Palatino Linotype" w:hAnsi="Palatino Linotype"/>
      <w:noProof/>
      <w:color w:val="000000"/>
      <w:szCs w:val="18"/>
    </w:rPr>
  </w:style>
  <w:style w:type="table" w:styleId="Tablanormal4">
    <w:name w:val="Plain Table 4"/>
    <w:basedOn w:val="Tablanormal"/>
    <w:uiPriority w:val="44"/>
    <w:rsid w:val="003E79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C4D87"/>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C4D87"/>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C4D87"/>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140377"/>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C4D87"/>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C4D87"/>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C4D87"/>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C4D87"/>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C4D87"/>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C4D87"/>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C4D87"/>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5C4D87"/>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5C4D87"/>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C4D87"/>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C4D87"/>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anormal"/>
    <w:uiPriority w:val="99"/>
    <w:rsid w:val="005C4D87"/>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C4D87"/>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C4D87"/>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C4D87"/>
  </w:style>
  <w:style w:type="paragraph" w:styleId="Bibliografa">
    <w:name w:val="Bibliography"/>
    <w:basedOn w:val="Normal"/>
    <w:next w:val="Normal"/>
    <w:uiPriority w:val="37"/>
    <w:semiHidden/>
    <w:unhideWhenUsed/>
    <w:rsid w:val="005C4D87"/>
  </w:style>
  <w:style w:type="paragraph" w:styleId="Textoindependiente">
    <w:name w:val="Body Text"/>
    <w:link w:val="TextoindependienteCar"/>
    <w:rsid w:val="005C4D87"/>
    <w:pPr>
      <w:spacing w:after="120" w:line="340" w:lineRule="atLeast"/>
      <w:jc w:val="both"/>
    </w:pPr>
    <w:rPr>
      <w:rFonts w:ascii="Palatino Linotype" w:hAnsi="Palatino Linotype"/>
      <w:color w:val="000000"/>
      <w:sz w:val="24"/>
      <w:lang w:eastAsia="de-DE"/>
    </w:rPr>
  </w:style>
  <w:style w:type="character" w:customStyle="1" w:styleId="TextoindependienteCar">
    <w:name w:val="Texto independiente Car"/>
    <w:link w:val="Textoindependiente"/>
    <w:rsid w:val="005C4D87"/>
    <w:rPr>
      <w:rFonts w:ascii="Palatino Linotype" w:hAnsi="Palatino Linotype"/>
      <w:color w:val="000000"/>
      <w:sz w:val="24"/>
      <w:lang w:eastAsia="de-DE"/>
    </w:rPr>
  </w:style>
  <w:style w:type="character" w:styleId="Refdecomentario">
    <w:name w:val="annotation reference"/>
    <w:rsid w:val="005C4D87"/>
    <w:rPr>
      <w:sz w:val="21"/>
      <w:szCs w:val="21"/>
    </w:rPr>
  </w:style>
  <w:style w:type="paragraph" w:styleId="Textocomentario">
    <w:name w:val="annotation text"/>
    <w:basedOn w:val="Normal"/>
    <w:link w:val="TextocomentarioCar"/>
    <w:rsid w:val="005C4D87"/>
  </w:style>
  <w:style w:type="character" w:customStyle="1" w:styleId="TextocomentarioCar">
    <w:name w:val="Texto comentario Car"/>
    <w:link w:val="Textocomentario"/>
    <w:rsid w:val="005C4D87"/>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5C4D87"/>
    <w:rPr>
      <w:b/>
      <w:bCs/>
    </w:rPr>
  </w:style>
  <w:style w:type="character" w:customStyle="1" w:styleId="AsuntodelcomentarioCar">
    <w:name w:val="Asunto del comentario Car"/>
    <w:link w:val="Asuntodelcomentario"/>
    <w:rsid w:val="005C4D87"/>
    <w:rPr>
      <w:rFonts w:ascii="Palatino Linotype" w:hAnsi="Palatino Linotype"/>
      <w:b/>
      <w:bCs/>
      <w:noProof/>
      <w:color w:val="000000"/>
    </w:rPr>
  </w:style>
  <w:style w:type="character" w:styleId="Refdenotaalfinal">
    <w:name w:val="endnote reference"/>
    <w:rsid w:val="005C4D87"/>
    <w:rPr>
      <w:vertAlign w:val="superscript"/>
    </w:rPr>
  </w:style>
  <w:style w:type="paragraph" w:styleId="Textonotaalfinal">
    <w:name w:val="endnote text"/>
    <w:basedOn w:val="Normal"/>
    <w:link w:val="TextonotaalfinalCar"/>
    <w:semiHidden/>
    <w:unhideWhenUsed/>
    <w:rsid w:val="005C4D87"/>
    <w:pPr>
      <w:spacing w:line="240" w:lineRule="auto"/>
    </w:pPr>
  </w:style>
  <w:style w:type="character" w:customStyle="1" w:styleId="TextonotaalfinalCar">
    <w:name w:val="Texto nota al final Car"/>
    <w:link w:val="Textonotaalfinal"/>
    <w:semiHidden/>
    <w:rsid w:val="005C4D87"/>
    <w:rPr>
      <w:rFonts w:ascii="Palatino Linotype" w:hAnsi="Palatino Linotype"/>
      <w:noProof/>
      <w:color w:val="000000"/>
    </w:rPr>
  </w:style>
  <w:style w:type="character" w:styleId="Hipervnculovisitado">
    <w:name w:val="FollowedHyperlink"/>
    <w:rsid w:val="005C4D87"/>
    <w:rPr>
      <w:color w:val="954F72"/>
      <w:u w:val="single"/>
    </w:rPr>
  </w:style>
  <w:style w:type="paragraph" w:styleId="Textonotapie">
    <w:name w:val="footnote text"/>
    <w:basedOn w:val="Normal"/>
    <w:link w:val="TextonotapieCar"/>
    <w:semiHidden/>
    <w:unhideWhenUsed/>
    <w:rsid w:val="005C4D87"/>
    <w:pPr>
      <w:spacing w:line="240" w:lineRule="auto"/>
    </w:pPr>
  </w:style>
  <w:style w:type="character" w:customStyle="1" w:styleId="TextonotapieCar">
    <w:name w:val="Texto nota pie Car"/>
    <w:link w:val="Textonotapie"/>
    <w:semiHidden/>
    <w:rsid w:val="005C4D87"/>
    <w:rPr>
      <w:rFonts w:ascii="Palatino Linotype" w:hAnsi="Palatino Linotype"/>
      <w:noProof/>
      <w:color w:val="000000"/>
    </w:rPr>
  </w:style>
  <w:style w:type="paragraph" w:styleId="NormalWeb">
    <w:name w:val="Normal (Web)"/>
    <w:basedOn w:val="Normal"/>
    <w:uiPriority w:val="99"/>
    <w:rsid w:val="005C4D87"/>
    <w:rPr>
      <w:szCs w:val="24"/>
    </w:rPr>
  </w:style>
  <w:style w:type="paragraph" w:customStyle="1" w:styleId="MsoFootnoteText0">
    <w:name w:val="MsoFootnoteText"/>
    <w:basedOn w:val="NormalWeb"/>
    <w:qFormat/>
    <w:rsid w:val="005C4D87"/>
    <w:rPr>
      <w:rFonts w:ascii="Times New Roman" w:hAnsi="Times New Roman"/>
    </w:rPr>
  </w:style>
  <w:style w:type="character" w:styleId="Nmerodepgina">
    <w:name w:val="page number"/>
    <w:rsid w:val="005C4D87"/>
  </w:style>
  <w:style w:type="character" w:styleId="Textodelmarcadordeposicin">
    <w:name w:val="Placeholder Text"/>
    <w:uiPriority w:val="99"/>
    <w:semiHidden/>
    <w:rsid w:val="005C4D87"/>
    <w:rPr>
      <w:color w:val="808080"/>
    </w:rPr>
  </w:style>
  <w:style w:type="paragraph" w:customStyle="1" w:styleId="MDPI71FootNotes">
    <w:name w:val="MDPI_7.1_FootNotes"/>
    <w:qFormat/>
    <w:rsid w:val="00BF548D"/>
    <w:pPr>
      <w:numPr>
        <w:numId w:val="21"/>
      </w:numPr>
      <w:adjustRightInd w:val="0"/>
      <w:snapToGrid w:val="0"/>
      <w:spacing w:line="228" w:lineRule="auto"/>
    </w:pPr>
    <w:rPr>
      <w:rFonts w:ascii="Palatino Linotype" w:eastAsiaTheme="minorEastAsia" w:hAnsi="Palatino Linotype"/>
      <w:noProof/>
      <w:color w:val="000000"/>
      <w:sz w:val="18"/>
    </w:rPr>
  </w:style>
  <w:style w:type="character" w:customStyle="1" w:styleId="Mencinsinresolver2">
    <w:name w:val="Mención sin resolver2"/>
    <w:basedOn w:val="Fuentedeprrafopredeter"/>
    <w:uiPriority w:val="99"/>
    <w:semiHidden/>
    <w:unhideWhenUsed/>
    <w:rsid w:val="00635C19"/>
    <w:rPr>
      <w:color w:val="605E5C"/>
      <w:shd w:val="clear" w:color="auto" w:fill="E1DFDD"/>
    </w:rPr>
  </w:style>
  <w:style w:type="character" w:customStyle="1" w:styleId="Mencinsinresolver3">
    <w:name w:val="Mención sin resolver3"/>
    <w:basedOn w:val="Fuentedeprrafopredeter"/>
    <w:uiPriority w:val="99"/>
    <w:semiHidden/>
    <w:unhideWhenUsed/>
    <w:rsid w:val="00560B2B"/>
    <w:rPr>
      <w:color w:val="605E5C"/>
      <w:shd w:val="clear" w:color="auto" w:fill="E1DFDD"/>
    </w:rPr>
  </w:style>
  <w:style w:type="character" w:customStyle="1" w:styleId="Mencinsinresolver4">
    <w:name w:val="Mención sin resolver4"/>
    <w:basedOn w:val="Fuentedeprrafopredeter"/>
    <w:uiPriority w:val="99"/>
    <w:semiHidden/>
    <w:unhideWhenUsed/>
    <w:rsid w:val="00257752"/>
    <w:rPr>
      <w:color w:val="605E5C"/>
      <w:shd w:val="clear" w:color="auto" w:fill="E1DFDD"/>
    </w:rPr>
  </w:style>
  <w:style w:type="character" w:styleId="Mencinsinresolver">
    <w:name w:val="Unresolved Mention"/>
    <w:basedOn w:val="Fuentedeprrafopredeter"/>
    <w:uiPriority w:val="99"/>
    <w:semiHidden/>
    <w:unhideWhenUsed/>
    <w:rsid w:val="003A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98697">
      <w:bodyDiv w:val="1"/>
      <w:marLeft w:val="0"/>
      <w:marRight w:val="0"/>
      <w:marTop w:val="0"/>
      <w:marBottom w:val="0"/>
      <w:divBdr>
        <w:top w:val="none" w:sz="0" w:space="0" w:color="auto"/>
        <w:left w:val="none" w:sz="0" w:space="0" w:color="auto"/>
        <w:bottom w:val="none" w:sz="0" w:space="0" w:color="auto"/>
        <w:right w:val="none" w:sz="0" w:space="0" w:color="auto"/>
      </w:divBdr>
    </w:div>
    <w:div w:id="261425316">
      <w:bodyDiv w:val="1"/>
      <w:marLeft w:val="0"/>
      <w:marRight w:val="0"/>
      <w:marTop w:val="0"/>
      <w:marBottom w:val="0"/>
      <w:divBdr>
        <w:top w:val="none" w:sz="0" w:space="0" w:color="auto"/>
        <w:left w:val="none" w:sz="0" w:space="0" w:color="auto"/>
        <w:bottom w:val="none" w:sz="0" w:space="0" w:color="auto"/>
        <w:right w:val="none" w:sz="0" w:space="0" w:color="auto"/>
      </w:divBdr>
    </w:div>
    <w:div w:id="410201727">
      <w:bodyDiv w:val="1"/>
      <w:marLeft w:val="0"/>
      <w:marRight w:val="0"/>
      <w:marTop w:val="0"/>
      <w:marBottom w:val="0"/>
      <w:divBdr>
        <w:top w:val="none" w:sz="0" w:space="0" w:color="auto"/>
        <w:left w:val="none" w:sz="0" w:space="0" w:color="auto"/>
        <w:bottom w:val="none" w:sz="0" w:space="0" w:color="auto"/>
        <w:right w:val="none" w:sz="0" w:space="0" w:color="auto"/>
      </w:divBdr>
    </w:div>
    <w:div w:id="553736315">
      <w:bodyDiv w:val="1"/>
      <w:marLeft w:val="0"/>
      <w:marRight w:val="0"/>
      <w:marTop w:val="0"/>
      <w:marBottom w:val="0"/>
      <w:divBdr>
        <w:top w:val="none" w:sz="0" w:space="0" w:color="auto"/>
        <w:left w:val="none" w:sz="0" w:space="0" w:color="auto"/>
        <w:bottom w:val="none" w:sz="0" w:space="0" w:color="auto"/>
        <w:right w:val="none" w:sz="0" w:space="0" w:color="auto"/>
      </w:divBdr>
    </w:div>
    <w:div w:id="621763799">
      <w:bodyDiv w:val="1"/>
      <w:marLeft w:val="0"/>
      <w:marRight w:val="0"/>
      <w:marTop w:val="0"/>
      <w:marBottom w:val="0"/>
      <w:divBdr>
        <w:top w:val="none" w:sz="0" w:space="0" w:color="auto"/>
        <w:left w:val="none" w:sz="0" w:space="0" w:color="auto"/>
        <w:bottom w:val="none" w:sz="0" w:space="0" w:color="auto"/>
        <w:right w:val="none" w:sz="0" w:space="0" w:color="auto"/>
      </w:divBdr>
    </w:div>
    <w:div w:id="649292767">
      <w:bodyDiv w:val="1"/>
      <w:marLeft w:val="0"/>
      <w:marRight w:val="0"/>
      <w:marTop w:val="0"/>
      <w:marBottom w:val="0"/>
      <w:divBdr>
        <w:top w:val="none" w:sz="0" w:space="0" w:color="auto"/>
        <w:left w:val="none" w:sz="0" w:space="0" w:color="auto"/>
        <w:bottom w:val="none" w:sz="0" w:space="0" w:color="auto"/>
        <w:right w:val="none" w:sz="0" w:space="0" w:color="auto"/>
      </w:divBdr>
    </w:div>
    <w:div w:id="862980700">
      <w:bodyDiv w:val="1"/>
      <w:marLeft w:val="0"/>
      <w:marRight w:val="0"/>
      <w:marTop w:val="0"/>
      <w:marBottom w:val="0"/>
      <w:divBdr>
        <w:top w:val="none" w:sz="0" w:space="0" w:color="auto"/>
        <w:left w:val="none" w:sz="0" w:space="0" w:color="auto"/>
        <w:bottom w:val="none" w:sz="0" w:space="0" w:color="auto"/>
        <w:right w:val="none" w:sz="0" w:space="0" w:color="auto"/>
      </w:divBdr>
    </w:div>
    <w:div w:id="1344698420">
      <w:bodyDiv w:val="1"/>
      <w:marLeft w:val="0"/>
      <w:marRight w:val="0"/>
      <w:marTop w:val="0"/>
      <w:marBottom w:val="0"/>
      <w:divBdr>
        <w:top w:val="none" w:sz="0" w:space="0" w:color="auto"/>
        <w:left w:val="none" w:sz="0" w:space="0" w:color="auto"/>
        <w:bottom w:val="none" w:sz="0" w:space="0" w:color="auto"/>
        <w:right w:val="none" w:sz="0" w:space="0" w:color="auto"/>
      </w:divBdr>
    </w:div>
    <w:div w:id="1377119605">
      <w:bodyDiv w:val="1"/>
      <w:marLeft w:val="0"/>
      <w:marRight w:val="0"/>
      <w:marTop w:val="0"/>
      <w:marBottom w:val="0"/>
      <w:divBdr>
        <w:top w:val="none" w:sz="0" w:space="0" w:color="auto"/>
        <w:left w:val="none" w:sz="0" w:space="0" w:color="auto"/>
        <w:bottom w:val="none" w:sz="0" w:space="0" w:color="auto"/>
        <w:right w:val="none" w:sz="0" w:space="0" w:color="auto"/>
      </w:divBdr>
    </w:div>
    <w:div w:id="1382746720">
      <w:bodyDiv w:val="1"/>
      <w:marLeft w:val="0"/>
      <w:marRight w:val="0"/>
      <w:marTop w:val="0"/>
      <w:marBottom w:val="0"/>
      <w:divBdr>
        <w:top w:val="none" w:sz="0" w:space="0" w:color="auto"/>
        <w:left w:val="none" w:sz="0" w:space="0" w:color="auto"/>
        <w:bottom w:val="none" w:sz="0" w:space="0" w:color="auto"/>
        <w:right w:val="none" w:sz="0" w:space="0" w:color="auto"/>
      </w:divBdr>
    </w:div>
    <w:div w:id="168947831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s://phsm.euro.who.int/" TargetMode="External"/><Relationship Id="rId39" Type="http://schemas.openxmlformats.org/officeDocument/2006/relationships/hyperlink" Target="https://www.minsa.gob.pa/sites/default/files/publicacion-general/guia_para_el_manejo_de_pacientes_sospechosos_o_confirmados_por_covid-19_en_casas_hogares_para_personas_adulta_mayores_def_0.pdf" TargetMode="External"/><Relationship Id="rId21" Type="http://schemas.openxmlformats.org/officeDocument/2006/relationships/hyperlink" Target="https://centro.observatoriorh.org/sites/centro.observatoriorh.org/files/webfiles/fulltext/2014/politica_salud_sica_15_22.pdf" TargetMode="External"/><Relationship Id="rId34" Type="http://schemas.openxmlformats.org/officeDocument/2006/relationships/hyperlink" Target="https://recursos.elsalvador.com/documentos/2020/04/20200401-plan-nacional-respuesta-covid19.pdf" TargetMode="External"/><Relationship Id="rId42" Type="http://schemas.openxmlformats.org/officeDocument/2006/relationships/hyperlink" Target="https://www.sica.int/documentos/resolucion-comisca-02-2020-relativa-a-la-aprobacion-del-plan-de-contingencia-regional-orientado-a-complementar-los-esfuerzos-nacionales-para-la-prevencion-contencion-y-tratamiento-del-covid-19-y-otras-enfermedades-de-rapida-propagacion_1_121785.html" TargetMode="External"/><Relationship Id="rId47" Type="http://schemas.openxmlformats.org/officeDocument/2006/relationships/hyperlink" Target="https://www.sica.int/integracion/2020/carta" TargetMode="External"/><Relationship Id="rId50" Type="http://schemas.openxmlformats.org/officeDocument/2006/relationships/hyperlink" Target="https://elibrary.worldbank.org/doi/pdf/10.1596/37689" TargetMode="External"/><Relationship Id="rId7" Type="http://schemas.openxmlformats.org/officeDocument/2006/relationships/hyperlink" Target="mailto:roberth.murillo@edu.pucrs.br" TargetMode="Externa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s://read.oecd-ilibrary.org/view/?ref=129_129907-eae84sciov&amp;title=COVID-19-in-Latin-Amercia-and-the-Caribbean_An-overview-of-government-responses-to-the-crisis" TargetMode="External"/><Relationship Id="rId11" Type="http://schemas.openxmlformats.org/officeDocument/2006/relationships/hyperlink" Target="mailto:roberth.murillo@edu.pucrs.br" TargetMode="External"/><Relationship Id="rId24" Type="http://schemas.openxmlformats.org/officeDocument/2006/relationships/hyperlink" Target="https://www.sica.int/coronavirus/observatorioSICACOVID19" TargetMode="External"/><Relationship Id="rId32" Type="http://schemas.openxmlformats.org/officeDocument/2006/relationships/hyperlink" Target="https://www.ministeriodesalud.go.cr/index.php/biblioteca-de-archivos-left/documentos-ministerio-de-salud/vigilancia-de-la-salud/normas-protocolos-guias-y-lineamientos/situacion-nacional-covid-19/estrategias-guias-y-recomendaciones-covid-19/3195-version-1-22-de-abril-2020-guia-para-la-atencion-a-las-personas-adultas-mayores-en-territorio-ante-la-emergencia-por-la-covid-19/file" TargetMode="External"/><Relationship Id="rId37" Type="http://schemas.openxmlformats.org/officeDocument/2006/relationships/hyperlink" Target="http://www.salud.gob.hn/site/index.php/component/edocman/plan-comunicacion-de-riesgo-covid-19" TargetMode="External"/><Relationship Id="rId40" Type="http://schemas.openxmlformats.org/officeDocument/2006/relationships/hyperlink" Target="https://www.minsa.gob.pa/sites/default/files/publicacion-general/guia_de_cuidados_paliativos.pdf" TargetMode="External"/><Relationship Id="rId45" Type="http://schemas.openxmlformats.org/officeDocument/2006/relationships/hyperlink" Target="http://www.incap.int/index.php/es/noticias/213-recomendaciones-alim-saludable-covid19"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cm@pucrs.br" TargetMode="External"/><Relationship Id="rId19" Type="http://schemas.openxmlformats.org/officeDocument/2006/relationships/hyperlink" Target="http://www.sice.oas.org/trade/sica/SG121391.asp" TargetMode="External"/><Relationship Id="rId31" Type="http://schemas.openxmlformats.org/officeDocument/2006/relationships/hyperlink" Target="https://www.ministeriodesalud.go.cr/index.php/biblioteca-de-archivos-left/documentos-ministerio-de-salud/vigilancia-de-la-salud/normas-protocolos-guias-y-lineamientos/situacion-nacional-covid-19/estrategias-guias-y-recomendaciones-covid-19/3192-version-1-22-de-abril-2020-estrategia-de-comunicacion-propuesta-integral-para-la-proteccion-de-personas-adultas-mayores-ante-lacovid-19/file" TargetMode="External"/><Relationship Id="rId44" Type="http://schemas.openxmlformats.org/officeDocument/2006/relationships/hyperlink" Target="https://hica.csuca.org/attachments/article/295/Informe%201-%20Centroamerica%20unida%20contra%20el%20coronavirus%20(COVID-19).pdf" TargetMode="External"/><Relationship Id="rId52" Type="http://schemas.openxmlformats.org/officeDocument/2006/relationships/hyperlink" Target="https://www.sica.int/documentos/resolucion-comisca-11-2020-relativa-a-la-estrategia-regional-de-salud-mental-del-comisca_1_127449.html" TargetMode="External"/><Relationship Id="rId4" Type="http://schemas.openxmlformats.org/officeDocument/2006/relationships/webSettings" Target="webSettings.xml"/><Relationship Id="rId9" Type="http://schemas.openxmlformats.org/officeDocument/2006/relationships/hyperlink" Target="mailto:angelo.bos@pucrs.br" TargetMode="External"/><Relationship Id="rId14" Type="http://schemas.openxmlformats.org/officeDocument/2006/relationships/image" Target="media/image3.png"/><Relationship Id="rId22" Type="http://schemas.openxmlformats.org/officeDocument/2006/relationships/hyperlink" Target="https://www.sica.int/documentos/resolucion-comisca-08-2020-relativa-a-la-evaluacion-final-del-plan-de-salud-de-centroamerica-y-republica-dominicana-2016-2020_1_127447.html" TargetMode="External"/><Relationship Id="rId27" Type="http://schemas.openxmlformats.org/officeDocument/2006/relationships/hyperlink" Target="https://www.who.int/docs/default-source/coronaviruse/situation-reports/20200331-sitrep-71-covid-19.pdf?sfvrsn=4360e92b_8" TargetMode="External"/><Relationship Id="rId30" Type="http://schemas.openxmlformats.org/officeDocument/2006/relationships/hyperlink" Target="https://documents1.worldbank.org/curated/en/099140001122250774/pdf/Project0Inform0e0Project000P177987.pdf" TargetMode="External"/><Relationship Id="rId35" Type="http://schemas.openxmlformats.org/officeDocument/2006/relationships/hyperlink" Target="https://covid19-evidence.paho.org/handle/20.500.12663/772" TargetMode="External"/><Relationship Id="rId43" Type="http://schemas.openxmlformats.org/officeDocument/2006/relationships/hyperlink" Target="https://www.sica.int/coronavirus/plan" TargetMode="External"/><Relationship Id="rId48" Type="http://schemas.openxmlformats.org/officeDocument/2006/relationships/hyperlink" Target="https://www.sica.int/documentos/sica-informe-de-9-meses-del-plan-de-contingencia-frente-al-coronavirus_1_125857.html" TargetMode="External"/><Relationship Id="rId8" Type="http://schemas.openxmlformats.org/officeDocument/2006/relationships/hyperlink" Target="mailto:pkgrossi@pucrs.br" TargetMode="External"/><Relationship Id="rId51" Type="http://schemas.openxmlformats.org/officeDocument/2006/relationships/hyperlink" Target="https://publications.iadb.org/es/el-impacto-del-covid-19-en-las-economias-de-la-region-centroamerica"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paho-covid19-response-who.hub.arcgis.com/pages/paho-central-america-covid-19-response" TargetMode="External"/><Relationship Id="rId33" Type="http://schemas.openxmlformats.org/officeDocument/2006/relationships/hyperlink" Target="https://www.ministeriodesalud.go.cr/index.php/biblioteca-de-archivos-left/documentos-ministerio-de-salud/vigilancia-de-la-salud/normas-protocolos-guias-y-lineamientos/situacion-nacional-covid-19/estrategias-guias-y-recomendaciones-covid-19/3193-version-1-22-de-abril-2020-guia-para-el-seguimiento-telefonico-y-acompanamiento-en-territorio-a-las-personas-adultas-mayores-segun-riesgo-ante-la-covid-19/file" TargetMode="External"/><Relationship Id="rId38" Type="http://schemas.openxmlformats.org/officeDocument/2006/relationships/hyperlink" Target="http://www.salud.gob.hn/site/index.php/component/edocman/sesal-lineamientos-implementacio-n-de-albergues-covid-19-honduras-091120-1" TargetMode="External"/><Relationship Id="rId46" Type="http://schemas.openxmlformats.org/officeDocument/2006/relationships/hyperlink" Target="https://www.sica.int/documentos/cepredenac-consideraciones-para-manejo-de-albergues-en-contexto-covid-19_1_122357.html" TargetMode="External"/><Relationship Id="rId20" Type="http://schemas.openxmlformats.org/officeDocument/2006/relationships/hyperlink" Target="https://www.sica.int/comisca/marco_juridico.aspx" TargetMode="External"/><Relationship Id="rId41" Type="http://schemas.openxmlformats.org/officeDocument/2006/relationships/hyperlink" Target="https://www.sica.int/coronavirus/declaracio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statistics.cepal.org/portal/cepalstat/dashboard.html?theme=1&amp;lang=en" TargetMode="External"/><Relationship Id="rId28" Type="http://schemas.openxmlformats.org/officeDocument/2006/relationships/hyperlink" Target="https://www.who.int/publications/m/item/weekly-epidemiological-update-on-covid-19---21-december-2021" TargetMode="External"/><Relationship Id="rId36" Type="http://schemas.openxmlformats.org/officeDocument/2006/relationships/hyperlink" Target="https://guatemala.un.org/es/92048-plan-de-respuesta-humanitaria-covid-19-guatemala" TargetMode="External"/><Relationship Id="rId49" Type="http://schemas.openxmlformats.org/officeDocument/2006/relationships/hyperlink" Target="https://www.sica.int/documentos/informe-de-gestion-de-la-secretaria-ejecutiva-del-comisca-02-2021_1_12904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sulta3c.PORTOALEGRE.005\Downloads\geriatri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C:\Users\consulta3c.PORTOALEGRE.005\Downloads\geriatrics-template.dot</Template>
  <TotalTime>7819</TotalTime>
  <Pages>25</Pages>
  <Words>17769</Words>
  <Characters>97735</Characters>
  <Application>Microsoft Office Word</Application>
  <DocSecurity>0</DocSecurity>
  <Lines>814</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consulta3c</dc:creator>
  <cp:keywords/>
  <dc:description/>
  <cp:lastModifiedBy>Roberth Steven Gutiérrez Murillo</cp:lastModifiedBy>
  <cp:revision>790</cp:revision>
  <dcterms:created xsi:type="dcterms:W3CDTF">2022-08-15T20:04:00Z</dcterms:created>
  <dcterms:modified xsi:type="dcterms:W3CDTF">2022-11-26T16:25:00Z</dcterms:modified>
</cp:coreProperties>
</file>