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96A1" w14:textId="27414ABD" w:rsidR="00D54168" w:rsidRDefault="00D54168" w:rsidP="00B01E7F">
      <w:pPr>
        <w:pStyle w:val="HTML"/>
        <w:shd w:val="clear" w:color="auto" w:fill="FFFFFF"/>
        <w:rPr>
          <w:rFonts w:ascii="Times New Roman" w:hAnsi="Times New Roman" w:cs="Times New Roman"/>
          <w:b/>
          <w:bCs/>
          <w:color w:val="000000" w:themeColor="text1"/>
          <w:sz w:val="24"/>
          <w:szCs w:val="24"/>
          <w:lang w:val="en-US"/>
        </w:rPr>
      </w:pPr>
      <w:r w:rsidRPr="00D54168">
        <w:rPr>
          <w:rFonts w:ascii="Times New Roman" w:hAnsi="Times New Roman" w:cs="Times New Roman"/>
          <w:b/>
          <w:bCs/>
          <w:color w:val="000000" w:themeColor="text1"/>
          <w:sz w:val="24"/>
          <w:szCs w:val="24"/>
          <w:lang w:val="en-US"/>
        </w:rPr>
        <w:t>Research Article</w:t>
      </w:r>
    </w:p>
    <w:p w14:paraId="1869D086" w14:textId="707C02FD" w:rsidR="00D54168" w:rsidRPr="0066269D" w:rsidRDefault="00D54168" w:rsidP="00B01E7F">
      <w:pPr>
        <w:pStyle w:val="HTML"/>
        <w:shd w:val="clear" w:color="auto" w:fill="FFFFFF"/>
        <w:rPr>
          <w:rFonts w:ascii="Times New Roman" w:hAnsi="Times New Roman" w:cs="Times New Roman"/>
          <w:b/>
          <w:bCs/>
          <w:color w:val="000000" w:themeColor="text1"/>
          <w:sz w:val="28"/>
          <w:szCs w:val="28"/>
          <w:lang w:val="en-US"/>
        </w:rPr>
      </w:pPr>
      <w:r w:rsidRPr="0066269D">
        <w:rPr>
          <w:rFonts w:ascii="Times New Roman" w:hAnsi="Times New Roman" w:cs="Times New Roman"/>
          <w:b/>
          <w:bCs/>
          <w:color w:val="000000" w:themeColor="text1"/>
          <w:sz w:val="28"/>
          <w:szCs w:val="28"/>
          <w:lang w:val="en-US"/>
        </w:rPr>
        <w:t xml:space="preserve">Title: </w:t>
      </w:r>
      <w:r w:rsidR="0066269D" w:rsidRPr="0066269D">
        <w:rPr>
          <w:rFonts w:ascii="Times New Roman" w:hAnsi="Times New Roman" w:cs="Times New Roman"/>
          <w:b/>
          <w:bCs/>
          <w:color w:val="000000" w:themeColor="text1"/>
          <w:sz w:val="28"/>
          <w:szCs w:val="28"/>
          <w:lang w:val="en-US"/>
        </w:rPr>
        <w:t>Effects of mitochondrial fusion and fission regulation on mouse hippocampal primary cultures: relevance to Alzheimer's disease</w:t>
      </w:r>
    </w:p>
    <w:p w14:paraId="55860EDF" w14:textId="40BDA1F2" w:rsidR="00EF53F3" w:rsidRPr="00B95E8E" w:rsidRDefault="00EF53F3" w:rsidP="00B01E7F">
      <w:pPr>
        <w:pStyle w:val="HTML"/>
        <w:shd w:val="clear" w:color="auto" w:fill="FFFFFF"/>
        <w:rPr>
          <w:rFonts w:ascii="Times New Roman" w:hAnsi="Times New Roman" w:cs="Times New Roman"/>
          <w:b/>
          <w:bCs/>
          <w:color w:val="000000" w:themeColor="text1"/>
          <w:sz w:val="24"/>
          <w:szCs w:val="24"/>
          <w:lang w:val="en-US"/>
        </w:rPr>
      </w:pPr>
      <w:r w:rsidRPr="00B95E8E">
        <w:rPr>
          <w:rFonts w:ascii="Times New Roman" w:hAnsi="Times New Roman" w:cs="Times New Roman"/>
          <w:b/>
          <w:bCs/>
          <w:color w:val="000000" w:themeColor="text1"/>
          <w:sz w:val="24"/>
          <w:szCs w:val="24"/>
          <w:lang w:val="en-US"/>
        </w:rPr>
        <w:t>Abstract.</w:t>
      </w:r>
    </w:p>
    <w:p w14:paraId="3465F199" w14:textId="7BACBA6B" w:rsidR="00075881"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color w:val="000000" w:themeColor="text1"/>
          <w:sz w:val="24"/>
          <w:szCs w:val="24"/>
          <w:lang w:val="en-US"/>
        </w:rPr>
        <w:t>Background:</w:t>
      </w:r>
      <w:r w:rsidRPr="00EC3E53">
        <w:rPr>
          <w:rFonts w:ascii="Times New Roman" w:hAnsi="Times New Roman" w:cs="Times New Roman"/>
          <w:color w:val="000000" w:themeColor="text1"/>
          <w:sz w:val="24"/>
          <w:szCs w:val="24"/>
          <w:lang w:val="en-US"/>
        </w:rPr>
        <w:t xml:space="preserve"> </w:t>
      </w:r>
      <w:r w:rsidRPr="00EC3E53">
        <w:rPr>
          <w:rFonts w:ascii="Times New Roman" w:hAnsi="Times New Roman" w:cs="Times New Roman"/>
          <w:sz w:val="24"/>
          <w:szCs w:val="24"/>
          <w:lang w:val="en-US"/>
        </w:rPr>
        <w:t>Alzheimer's disease is a complex disease that begins long before the first well-known pathophysiological signs appear and requires, among other things, new diagnostic approaches. This is primarily due to the lack of effective treatment due to the lack of understanding of the disease mechanisms and the absence of correct biological models reflecting the cause-and-effect relationships in pathogenesis. One of the dysfunctional changes in AD is the disruption of mitochondrial fission and fusion processes.</w:t>
      </w:r>
    </w:p>
    <w:p w14:paraId="62CA365D" w14:textId="2A53AF23" w:rsidR="00EF53F3"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Methods:</w:t>
      </w:r>
      <w:r w:rsidRPr="00EC3E53">
        <w:rPr>
          <w:rFonts w:ascii="Times New Roman" w:hAnsi="Times New Roman" w:cs="Times New Roman"/>
          <w:sz w:val="24"/>
          <w:szCs w:val="24"/>
          <w:lang w:val="en-US"/>
        </w:rPr>
        <w:t xml:space="preserve"> In this study, mitochondrial fusion and fission were regulated in primary neuro-astrocytic cultures of mouse hippocampus using mitochondrial fission inhibitor, mitochondrial fusion promoter and exogenous zinc. Changes in mitochondrial and cellular morphology were assessed, as well as lipofuscin levels as an early marker of mitochondrial dysfunction. Primary neuro-astrocytic hippocampal cultures of </w:t>
      </w:r>
      <w:r w:rsidR="00B82255" w:rsidRPr="00EC3E53">
        <w:rPr>
          <w:rFonts w:ascii="Times New Roman" w:hAnsi="Times New Roman" w:cs="Times New Roman"/>
          <w:sz w:val="24"/>
          <w:szCs w:val="24"/>
          <w:lang w:val="en-US"/>
        </w:rPr>
        <w:t xml:space="preserve">5xFAD </w:t>
      </w:r>
      <w:r w:rsidRPr="00EC3E53">
        <w:rPr>
          <w:rFonts w:ascii="Times New Roman" w:hAnsi="Times New Roman" w:cs="Times New Roman"/>
          <w:sz w:val="24"/>
          <w:szCs w:val="24"/>
          <w:lang w:val="en-US"/>
        </w:rPr>
        <w:t xml:space="preserve">mice, </w:t>
      </w:r>
      <w:r w:rsidR="009C4122" w:rsidRPr="009C4122">
        <w:rPr>
          <w:rFonts w:ascii="Times New Roman" w:hAnsi="Times New Roman" w:cs="Times New Roman"/>
          <w:sz w:val="24"/>
          <w:szCs w:val="24"/>
          <w:lang w:val="en-US"/>
        </w:rPr>
        <w:t xml:space="preserve">representing a model of hereditary </w:t>
      </w:r>
      <w:r w:rsidR="009C4122">
        <w:rPr>
          <w:rFonts w:ascii="Times New Roman" w:hAnsi="Times New Roman" w:cs="Times New Roman"/>
          <w:sz w:val="24"/>
          <w:szCs w:val="24"/>
          <w:lang w:val="en-US"/>
        </w:rPr>
        <w:t>AD</w:t>
      </w:r>
      <w:r w:rsidRPr="00EC3E53">
        <w:rPr>
          <w:rFonts w:ascii="Times New Roman" w:hAnsi="Times New Roman" w:cs="Times New Roman"/>
          <w:sz w:val="24"/>
          <w:szCs w:val="24"/>
          <w:lang w:val="en-US"/>
        </w:rPr>
        <w:t>, were used for comparison.</w:t>
      </w:r>
    </w:p>
    <w:p w14:paraId="162A0AF7" w14:textId="313B268B" w:rsidR="00EF53F3"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Results:</w:t>
      </w:r>
      <w:r w:rsidRPr="00EC3E53">
        <w:rPr>
          <w:rFonts w:ascii="Times New Roman" w:hAnsi="Times New Roman" w:cs="Times New Roman"/>
          <w:sz w:val="24"/>
          <w:szCs w:val="24"/>
          <w:lang w:val="en-US"/>
        </w:rPr>
        <w:t xml:space="preserve"> Use of the mitochondrial fusion promoter converts the mitochondrial network to a pool of fused mitochondria and results in a drop in neuronal density by day 5 of exposure with a concomitant drop in astrocyte density by days 1 and 5 of exposure, accompanied by a drop in lipofuscin fluorescence intensity in culture. The use of mitochondrial fission inhibitor resulted in the appearance of fused mitochondria and disappearance of the pool of smallest mitochondria. This was accompanied by a decrease in neuronal density and an increase in astrocyte density with a concomitant increase in lipofuscin fluorescence intensity to the level of 5xFAD culture. Exogenous zinc induces mitochondrial fragmentation and at high concentrations leads to compensatory astrogliosis and neurodegeneration, while at low concentrations it decreases lipofuscin fluorescence intensity and affects culture morphology and changes in astrocyte immunoreactivity to GFAP.</w:t>
      </w:r>
    </w:p>
    <w:p w14:paraId="25F25FBF" w14:textId="67D563CC" w:rsidR="00B95E8E" w:rsidRPr="00EC3E53"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Conclusions:</w:t>
      </w:r>
      <w:r w:rsidRPr="00EC3E53">
        <w:rPr>
          <w:rFonts w:ascii="Times New Roman" w:hAnsi="Times New Roman" w:cs="Times New Roman"/>
          <w:sz w:val="24"/>
          <w:szCs w:val="24"/>
          <w:lang w:val="en-US"/>
        </w:rPr>
        <w:t xml:space="preserve"> The study demonstrates that changing the processes of mitochondrial dynamics affects the morphology </w:t>
      </w:r>
      <w:r w:rsidRPr="00D1548A">
        <w:rPr>
          <w:rFonts w:ascii="Times New Roman" w:hAnsi="Times New Roman" w:cs="Times New Roman"/>
          <w:sz w:val="24"/>
          <w:szCs w:val="24"/>
          <w:lang w:val="en-US"/>
        </w:rPr>
        <w:t>of adult cell cultures and can lead to processes similar to those observed in 5xFAD transgenic cultures.</w:t>
      </w:r>
    </w:p>
    <w:p w14:paraId="7421CCD3" w14:textId="77777777" w:rsidR="00431E91" w:rsidRDefault="00EF53F3" w:rsidP="00B01E7F">
      <w:pPr>
        <w:spacing w:line="240" w:lineRule="auto"/>
        <w:rPr>
          <w:rFonts w:ascii="Times New Roman" w:hAnsi="Times New Roman" w:cs="Times New Roman"/>
          <w:sz w:val="24"/>
          <w:szCs w:val="24"/>
          <w:lang w:val="en-US"/>
        </w:rPr>
      </w:pPr>
      <w:r w:rsidRPr="00B95E8E">
        <w:rPr>
          <w:rFonts w:ascii="Times New Roman" w:hAnsi="Times New Roman" w:cs="Times New Roman"/>
          <w:b/>
          <w:bCs/>
          <w:sz w:val="24"/>
          <w:szCs w:val="24"/>
          <w:lang w:val="en-US"/>
        </w:rPr>
        <w:t>Keywords:</w:t>
      </w:r>
      <w:r w:rsidRPr="00EC3E53">
        <w:rPr>
          <w:rFonts w:ascii="Times New Roman" w:hAnsi="Times New Roman" w:cs="Times New Roman"/>
          <w:sz w:val="24"/>
          <w:szCs w:val="24"/>
          <w:lang w:val="en-US"/>
        </w:rPr>
        <w:t xml:space="preserve"> mitochondria, mitochondrial fusion and fission, 5xFAD, lipofuscin, Alzheimer's disease, primary hippocampal culture</w:t>
      </w:r>
    </w:p>
    <w:p w14:paraId="1B767B0A" w14:textId="1BB1911B" w:rsidR="00431E91" w:rsidRPr="00431E91" w:rsidRDefault="00431E91" w:rsidP="00B01E7F">
      <w:pPr>
        <w:spacing w:line="24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1. </w:t>
      </w:r>
      <w:r w:rsidR="00B95E8E" w:rsidRPr="00431E91">
        <w:rPr>
          <w:rFonts w:ascii="Times New Roman" w:hAnsi="Times New Roman" w:cs="Times New Roman"/>
          <w:b/>
          <w:bCs/>
          <w:color w:val="000000" w:themeColor="text1"/>
          <w:sz w:val="24"/>
          <w:szCs w:val="24"/>
          <w:lang w:val="en-US"/>
        </w:rPr>
        <w:t>INTRODUCTION</w:t>
      </w:r>
    </w:p>
    <w:p w14:paraId="577DA68D" w14:textId="4AB84D33" w:rsidR="00EF53F3" w:rsidRPr="00431E91" w:rsidRDefault="00EF53F3" w:rsidP="00B01E7F">
      <w:pPr>
        <w:spacing w:line="240" w:lineRule="auto"/>
        <w:rPr>
          <w:rFonts w:ascii="Times New Roman" w:hAnsi="Times New Roman" w:cs="Times New Roman"/>
          <w:color w:val="000000" w:themeColor="text1"/>
          <w:sz w:val="24"/>
          <w:szCs w:val="24"/>
          <w:lang w:val="en-US"/>
        </w:rPr>
      </w:pPr>
      <w:r w:rsidRPr="00431E91">
        <w:rPr>
          <w:rFonts w:ascii="Times New Roman" w:hAnsi="Times New Roman" w:cs="Times New Roman"/>
          <w:sz w:val="24"/>
          <w:szCs w:val="24"/>
          <w:lang w:val="en-US"/>
        </w:rPr>
        <w:t xml:space="preserve">Alzheimer's disease (AD) is one of the most common neurodegenerative diseases associated with impaired cognitive function and progressive neuronal loss. Currently, researchers have no doubts that mitochondria are involved in the pathogenesis of AD; moreover, there are hypotheses that place mitochondrial dysfunction in the leading role in the onset of AD </w:t>
      </w:r>
      <w:r w:rsidR="001E2BA3"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{"citationItems":[{"id":"ITEM-1","itemData":{"DOI":"10.1186/s13024-020-00376-6","ISSN":"1750-1326 (Electronic)","PMID":"32471464","abstract":"Alzheimer's disease (AD) is one of the most prevalent neurodegenerative diseases,  characterized by impaired cognitive function due to progressive loss of neurons in the brain. Under the microscope, neuronal accumulation of abnormal tau proteins and amyloid plaques are two pathological hallmarks in affected brain regions. Although the detailed mechanism of the pathogenesis of AD is still elusive, a large body of evidence suggests that damaged mitochondria likely play fundamental roles in the pathogenesis of AD. It is believed that a healthy pool of mitochondria not only supports neuronal activity by providing enough energy supply and other related mitochondrial functions to neurons, but also guards neurons by minimizing mitochondrial related oxidative damage. In this regard, exploration of the multitude of mitochondrial mechanisms altered in the pathogenesis of AD constitutes novel promising therapeutic targets for the disease. In this review, we will summarize recent progress that underscores the essential role of mitochondria dysfunction in the pathogenesis of AD and discuss mechanisms underlying mitochondrial dysfunction with a focus on the loss of mitochondrial structural and functional integrity in AD including mitochondrial biogenesis and dynamics, axonal transport, ER-mitochondria interaction, mitophagy and mitochondrial proteostasis.","author":[{"dropping-particle":"","family":"Wang","given":"Wenzhang","non-dropping-particle":"","parse-names":false,"suffix":""},{"dropping-particle":"","family":"Zhao","given":"Fanpeng","non-dropping-particle":"","parse-names":false,"suffix":""},{"dropping-particle":"","family":"Ma","given":"Xiaopin","non-dropping-particle":"","parse-names":false,"suffix":""},{"dropping-particle":"","family":"Perry","given":"George","non-dropping-particle":"","parse-names":false,"suffix":""},{"dropping-particle":"","family":"Zhu","given":"Xiongwei","non-dropping-particle":"","parse-names":false,"suffix":""}],"container-title":"Molecular neurodegeneration","id":"ITEM-1","issue":"1","issued":{"date-parts":[["2020","5"]]},"language":"eng","page":"30","publisher-place":"England","title":"Mitochondria dysfunction in the pathogenesis of Alzheimer's disease: recent  advances.","type":"article-journal","volume":"15"},"uris":["http://www.mendeley.com/documents/?uuid=50ea7172-4cac-4026-beb2-bc22d6fc5747"]},{"id":"ITEM-2","itemData":{"DOI":"10.1089/ars.2019.7763","ISSN":"1557-7716 (Electronic)","PMID":"32050773","abstract":"Significance: Epidemiological studies indicate that metabolic disorders are  associated with an increased risk for Alzheimer's disease (AD). Metabolic remodeling occurs in the central nervous system (CNS) and periphery, even in the early stages of AD. Mitochondrial dysfunction has been widely accepted as a molecular mechanism underlying metabolic disorders. Therefore, focusing on early metabolic changes, especially from the perspective of mitochondria, could be of interest for early AD diagnosis and intervention. Recent Advances: We and others have identified that the levels of several metabolites are fluctuated in the periphery before their accumulation in the CNS, which plays an important role in the pathogenesis of AD. Mitochondrial remodeling is likely one of the earliest signs of AD, linking nutritional imbalance to cognitive deficits. Notably, by improving mitochondrial function, mitochondrial nutrients efficiently rescue cellular metabolic dysfunction in the CNS and periphery in individuals with AD. Critical Issues: Peripheral metabolic disorders should be intensively explored and evaluated for the early diagnosis of AD. The circulating metabolites derived from mitochondrial remodeling represent novel potential diagnostic biomarkers for AD that are more readily detected than CNS-oriented biomarkers. Moreover, mitochondrial nutrients provide a promising approach to preventing and delaying AD progression. Future Directions: Abnormal mitochondrial metabolism in the CNS and periphery is involved in AD pathogenesis. More clinical studies provide evidence for the suitability and reliability of circulating metabolites and cytokines for the early diagnosis of AD. Targeting mitochondria to rewire cellular metabolism is a promising approach to preventing AD and ameliorating AD-related metabolic disorders.","author":[{"dropping-particle":"","family":"Peng","given":"Yunhua","non-dropping-particle":"","parse-names":false,"suffix":""},{"dropping-particle":"","family":"Gao","given":"Peipei","non-dropping-particle":"","parse-names":false,"suffix":""},{"dropping-particle":"","family":"Shi","given":"Le","non-dropping-particle":"","parse-names":false,"suffix":""},{"dropping-particle":"","family":"Chen","given":"Lei","non-dropping-particle":"","parse-names":false,"suffix":""},{"dropping-particle":"","family":"Liu","given":"Jiankang","non-dropping-particle":"","parse-names":false,"suffix":""},{"dropping-particle":"","family":"Long","given":"Jiangang","non-dropping-particle":"","parse-names":false,"suffix":""}],"container-title":"Antioxidants &amp; redox signaling","id":"ITEM-2","issue":"16","issued":{"date-parts":[["2020","6"]]},"language":"eng","page":"1188-1236","publisher-place":"United States","title":"Central and Peripheral Metabolic Defects Contribute to the Pathogenesis of  Alzheimer's Disease: Targeting Mitochondria for Diagnosis and Prevention.","type":"article-journal","volume":"32"},"uris":["http://www.mendeley.com/documents/?uuid=47816f52-ff5e-4ec0-9f7d-b679a6e14d6c"]}],"mendeley":{"formattedCitation":"[1,2]","plainTextFormattedCitation":"[1,2]","previouslyFormattedCitation":"[1,2]"},"properties":{"noteIndex":0},"schema":"https://github.com/citation-style-language/schema/raw/master/csl-citation.json"}</w:instrText>
      </w:r>
      <w:r w:rsidR="001E2BA3" w:rsidRPr="00431E91">
        <w:rPr>
          <w:rFonts w:ascii="Times New Roman" w:hAnsi="Times New Roman" w:cs="Times New Roman"/>
          <w:color w:val="000000" w:themeColor="text1"/>
          <w:sz w:val="24"/>
          <w:szCs w:val="24"/>
          <w:lang w:val="en-US"/>
        </w:rPr>
        <w:fldChar w:fldCharType="separate"/>
      </w:r>
      <w:r w:rsidR="001E2BA3" w:rsidRPr="00431E91">
        <w:rPr>
          <w:rFonts w:ascii="Times New Roman" w:hAnsi="Times New Roman" w:cs="Times New Roman"/>
          <w:noProof/>
          <w:color w:val="000000" w:themeColor="text1"/>
          <w:sz w:val="24"/>
          <w:szCs w:val="24"/>
          <w:lang w:val="en-US"/>
        </w:rPr>
        <w:t>[1,2]</w:t>
      </w:r>
      <w:r w:rsidR="001E2BA3"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lang w:val="en-US"/>
        </w:rPr>
        <w:t xml:space="preserve">. Decreased respiratory capacity, increased mitochondrial fragmentation, and fractures in mitochondrial cristae structure occur in the brain in Alzheimer's disease, and abnormalities in mitochondria appear before deposition of pathologic Aβ plaques </w:t>
      </w:r>
      <w:r w:rsidR="00846CBD"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{"citationItems":[{"id":"ITEM-1","itemData":{"DOI":"10.1038/nature25143","ISSN":"1476-4687 (Electronic)","PMID":"29211722","abstract":"Alzheimer's disease is a common and devastating disease characterized by  aggregation of the amyloid-β peptide. However, we know relatively little about the underlying molecular mechanisms or how to treat patients with Alzheimer's disease. Here we provide bioinformatic and experimental evidence of a conserved mitochondrial stress response signature present in diseases involving amyloid-β proteotoxicity in human, mouse and Caenorhabditis elegans that involves the mitochondrial unfolded protein response and mitophagy pathways. Using a worm model of amyloid-β proteotoxicity, GMC101, we recapitulated mitochondrial features and confirmed that the induction of this mitochondrial stress response was essential for the maintenance of mitochondrial proteostasis and health. Notably, increasing mitochondrial proteostasis by pharmacologically and genetically targeting mitochondrial translation and mitophagy increases the fitness and lifespan of GMC101 worms and reduces amyloid aggregation in cells, worms and in transgenic mouse models of Alzheimer's disease. Our data support the relevance of enhancing mitochondrial proteostasis to delay amyloid-β proteotoxic diseases, such as Alzheimer's disease.","author":[{"dropping-particle":"","family":"Sorrentino","given":"Vincenzo","non-dropping-particle":"","parse-names":false,"suffix":""},{"dropping-particle":"","family":"Romani","given":"Mario","non-dropping-particle":"","parse-names":false,"suffix":""},{"dropping-particle":"","family":"Mouchiroud","given":"Laurent","non-dropping-particle":"","parse-names":false,"suffix":""},{"dropping-particle":"","family":"Beck","given":"John S","non-dropping-particle":"","parse-names":false,"suffix":""},{"dropping-particle":"","family":"Zhang","given":"Hongbo","non-dropping-particle":"","parse-names":false,"suffix":""},{"dropping-particle":"","family":"D'Amico","given":"Davide","non-dropping-particle":"","parse-names":false,"suffix":""},{"dropping-particle":"","family":"Moullan","given":"Norman","non-dropping-particle":"","parse-names":false,"suffix":""},{"dropping-particle":"","family":"Potenza","given":"Francesca","non-dropping-particle":"","parse-names":false,"suffix":""},{"dropping-particle":"","family":"Schmid","given":"Adrien W","non-dropping-particle":"","parse-names":false,"suffix":""},{"dropping-particle":"","family":"Rietsch","given":"Solène","non-dropping-particle":"","parse-names":false,"suffix":""},{"dropping-particle":"","family":"Counts","given":"Scott E","non-dropping-particle":"","parse-names":false,"suffix":""},{"dropping-particle":"","family":"Auwerx","given":"Johan","non-dropping-particle":"","parse-names":false,"suffix":""}],"container-title":"Nature","id":"ITEM-1","issue":"7684","issued":{"date-parts":[["2017","12"]]},"language":"eng","page":"187-193","publisher-place":"England","title":"Enhancing mitochondrial proteostasis reduces amyloid-β proteotoxicity.","type":"article-journal","volume":"552"},"uris":["http://www.mendeley.com/documents/?uuid=776b2cc5-6d7f-4eee-9ef2-67303a46a830"]}],"mendeley":{"formattedCitation":"[3]","plainTextFormattedCitation":"[3]","previouslyFormattedCitation":"[3]"},"properties":{"noteIndex":0},"schema":"https://github.com/citation-style-language/schema/raw/master/csl-citation.json"}</w:instrText>
      </w:r>
      <w:r w:rsidR="00846CBD" w:rsidRPr="00431E91">
        <w:rPr>
          <w:rFonts w:ascii="Times New Roman" w:hAnsi="Times New Roman" w:cs="Times New Roman"/>
          <w:color w:val="000000" w:themeColor="text1"/>
          <w:sz w:val="24"/>
          <w:szCs w:val="24"/>
          <w:lang w:val="en-US"/>
        </w:rPr>
        <w:fldChar w:fldCharType="separate"/>
      </w:r>
      <w:r w:rsidR="00846CBD" w:rsidRPr="00431E91">
        <w:rPr>
          <w:rFonts w:ascii="Times New Roman" w:hAnsi="Times New Roman" w:cs="Times New Roman"/>
          <w:noProof/>
          <w:color w:val="000000" w:themeColor="text1"/>
          <w:sz w:val="24"/>
          <w:szCs w:val="24"/>
          <w:lang w:val="en-US"/>
        </w:rPr>
        <w:t>[3]</w:t>
      </w:r>
      <w:r w:rsidR="00846CBD"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lang w:val="en-US"/>
        </w:rPr>
        <w:t xml:space="preserve"> Consistent with the observation that impaired energy metabolism invariably precedes the clinical onset of Alzheimer's disease, mitochondrial dysfunction has been established as an early and prominent feature of the disease</w:t>
      </w:r>
      <w:r w:rsidR="00846CBD" w:rsidRPr="00431E91">
        <w:rPr>
          <w:rFonts w:ascii="Times New Roman" w:hAnsi="Times New Roman" w:cs="Times New Roman"/>
          <w:color w:val="000000" w:themeColor="text1"/>
          <w:sz w:val="24"/>
          <w:szCs w:val="24"/>
          <w:lang w:val="en-US"/>
        </w:rPr>
        <w:t xml:space="preserve"> </w:t>
      </w:r>
      <w:r w:rsidR="00846CBD" w:rsidRPr="00431E91">
        <w:rPr>
          <w:rFonts w:ascii="Times New Roman" w:hAnsi="Times New Roman" w:cs="Times New Roman"/>
          <w:color w:val="000000" w:themeColor="text1"/>
          <w:sz w:val="24"/>
          <w:szCs w:val="24"/>
          <w:lang w:val="en-US"/>
        </w:rPr>
        <w:fldChar w:fldCharType="begin" w:fldLock="1"/>
      </w:r>
      <w:r w:rsidR="00846CBD" w:rsidRPr="00431E91">
        <w:rPr>
          <w:rFonts w:ascii="Times New Roman" w:hAnsi="Times New Roman" w:cs="Times New Roman"/>
          <w:color w:val="000000" w:themeColor="text1"/>
          <w:sz w:val="24"/>
          <w:szCs w:val="24"/>
          <w:lang w:val="en-US"/>
        </w:rPr>
        <w:instrText>ADDIN CSL_CITATION {"citationItems":[{"id":"ITEM-1","itemData":{"DOI":"https://doi.org/10.1016/j.bbadis.2013.10.015","ISSN":"0925-4439","abstract":"Alzheimer's disease (AD) exhibits extensive oxidative stress throughout the body, being detected peripherally as well as associated with the vulnerable regions of the brain affected in disease. Abundant evidence not only demonstrates the full spectrum of oxidative damage to neuronal macromolecules, but also reveals the occurrence of oxidative events early in the course of the disease and prior to the formation of the pathology, which support an important role of oxidative stress in AD. As a disease of abnormal aging, AD demonstrates oxidative damage at levels that significantly surpass that of elderly controls, which suggests the involvement of additional factor(s). Structurally and functionally damaged mitochondria, which are more proficient at producing reactive oxygen species but less so in ATP, are also an early and prominent feature of the disease. Since mitochondria are also vulnerable to oxidative stress, it is likely that a vicious downward spiral involving the interactions between mitochondrial dysfunction and oxidative stress contributes to the initiation and/or amplification of reactive oxygen species that is critical to the pathogenesis of AD. This article is part of a Special Issue entitled: Misfolded Proteins, Mitochondrial Dysfunction and Neurodegenerative Diseases.","author":[{"dropping-particle":"","family":"Wang","given":"Xinglong","non-dropping-particle":"","parse-names":false,"suffix":""},{"dropping-particle":"","family":"Wang","given":"Wenzhang","non-dropping-particle":"","parse-names":false,"suffix":""},{"dropping-particle":"","family":"Li","given":"Li","non-dropping-particle":"","parse-names":false,"suffix":""},{"dropping-particle":"","family":"Perry","given":"George","non-dropping-particle":"","parse-names":false,"suffix":""},{"dropping-particle":"","family":"Lee","given":"Hyoung-gon","non-dropping-particle":"","parse-names":false,"suffix":""},{"dropping-particle":"","family":"Zhu","given":"Xiongwei","non-dropping-particle":"","parse-names":false,"suffix":""}],"container-title":"Biochimica et Biophysica Acta (BBA) - Molecular Basis of Disease","id":"ITEM-1","issue":"8","issued":{"date-parts":[["2014"]]},"note":"Misfolded Proteins, Mitochondrial Dysfunction, and Neurodegenerative Diseases","page":"1240-1247","title":"Oxidative stress and mitochondrial dysfunction in Alzheimer's disease","type":"article-journal","volume":"1842"},"uris":["http://www.mendeley.com/documents/?uuid=17c33f34-ec7f-446e-939c-7d0afba8fc3e"]}],"mendeley":{"formattedCitation":"[4]","plainTextFormattedCitation":"[4]","previouslyFormattedCitation":"[4]"},"properties":{"noteIndex":0},"schema":"https://github.com/citation-style-language/schema/raw/master/csl-citation.json"}</w:instrText>
      </w:r>
      <w:r w:rsidR="00846CBD" w:rsidRPr="00431E91">
        <w:rPr>
          <w:rFonts w:ascii="Times New Roman" w:hAnsi="Times New Roman" w:cs="Times New Roman"/>
          <w:color w:val="000000" w:themeColor="text1"/>
          <w:sz w:val="24"/>
          <w:szCs w:val="24"/>
          <w:lang w:val="en-US"/>
        </w:rPr>
        <w:fldChar w:fldCharType="separate"/>
      </w:r>
      <w:r w:rsidR="00846CBD" w:rsidRPr="00431E91">
        <w:rPr>
          <w:rFonts w:ascii="Times New Roman" w:hAnsi="Times New Roman" w:cs="Times New Roman"/>
          <w:noProof/>
          <w:color w:val="000000" w:themeColor="text1"/>
          <w:sz w:val="24"/>
          <w:szCs w:val="24"/>
          <w:lang w:val="en-US"/>
        </w:rPr>
        <w:t>[4]</w:t>
      </w:r>
      <w:r w:rsidR="00846CBD" w:rsidRPr="00431E91">
        <w:rPr>
          <w:rFonts w:ascii="Times New Roman" w:hAnsi="Times New Roman" w:cs="Times New Roman"/>
          <w:color w:val="000000" w:themeColor="text1"/>
          <w:sz w:val="24"/>
          <w:szCs w:val="24"/>
          <w:lang w:val="en-US"/>
        </w:rPr>
        <w:fldChar w:fldCharType="end"/>
      </w:r>
      <w:r w:rsidRPr="00431E91">
        <w:rPr>
          <w:rFonts w:ascii="Times New Roman" w:hAnsi="Times New Roman" w:cs="Times New Roman"/>
          <w:color w:val="000000" w:themeColor="text1"/>
          <w:sz w:val="24"/>
          <w:szCs w:val="24"/>
          <w:shd w:val="clear" w:color="auto" w:fill="FFFFFF"/>
          <w:lang w:val="en-US"/>
        </w:rPr>
        <w:t xml:space="preserve">. </w:t>
      </w:r>
    </w:p>
    <w:p w14:paraId="5B6DD207" w14:textId="38B0A6E3" w:rsidR="00EF53F3" w:rsidRPr="00EC3E53"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Cell functionality is highly dependent on the state of mitochondria, which are essential for ATP production (general support of cell metabolism) and for maintaining calcium homeostasis (regulation of neurotransmitters and communication with other cells). There are different </w:t>
      </w:r>
      <w:r w:rsidRPr="00EC3E53">
        <w:rPr>
          <w:rFonts w:ascii="Times New Roman" w:hAnsi="Times New Roman" w:cs="Times New Roman"/>
          <w:sz w:val="24"/>
          <w:szCs w:val="24"/>
          <w:lang w:val="en-US"/>
        </w:rPr>
        <w:lastRenderedPageBreak/>
        <w:t xml:space="preserve">fractions of mitochondria in different parts of the cell at the same time, performing different functions. These fractions must be in constant turnover, which maintains the normal physiological state of the cell. </w:t>
      </w:r>
      <w:r w:rsidRPr="00B95E8E">
        <w:rPr>
          <w:rFonts w:ascii="Times New Roman" w:hAnsi="Times New Roman" w:cs="Times New Roman"/>
          <w:sz w:val="24"/>
          <w:szCs w:val="24"/>
          <w:lang w:val="en-US"/>
        </w:rPr>
        <w:t xml:space="preserve">This form of mitochondrial dynamics is known as mitochondrial fission and fusion processes </w:t>
      </w:r>
      <w:r w:rsidR="00846CBD" w:rsidRPr="00B95E8E">
        <w:rPr>
          <w:rFonts w:ascii="Times New Roman" w:hAnsi="Times New Roman" w:cs="Times New Roman"/>
          <w:sz w:val="24"/>
          <w:szCs w:val="24"/>
          <w:lang w:val="en-US"/>
        </w:rPr>
        <w:fldChar w:fldCharType="begin" w:fldLock="1"/>
      </w:r>
      <w:r w:rsidR="001C1DEE" w:rsidRPr="00B95E8E">
        <w:rPr>
          <w:rFonts w:ascii="Times New Roman" w:hAnsi="Times New Roman" w:cs="Times New Roman"/>
          <w:sz w:val="24"/>
          <w:szCs w:val="24"/>
          <w:lang w:val="en-US"/>
        </w:rPr>
        <w:instrText>ADDIN CSL_CITATION {"citationItems":[{"id":"ITEM-1","itemData":{"DOI":"10.1056/NEJMra1215233","ISSN":"1533-4406 (Electronic)","PMID":"24304053","author":[{"dropping-particle":"","family":"Archer","given":"Stephen L","non-dropping-particle":"","parse-names":false,"suffix":""}],"container-title":"The New England journal of medicine","id":"ITEM-1","issue":"23","issued":{"date-parts":[["2013","12"]]},"language":"eng","page":"2236-2251","publisher-place":"United States","title":"Mitochondrial dynamics--mitochondrial fission and fusion in human diseases.","type":"article-journal","volume":"369"},"uris":["http://www.mendeley.com/documents/?uuid=c24737cc-5c79-4d89-8a7d-0129519127a0"]}],"mendeley":{"formattedCitation":"[5]","plainTextFormattedCitation":"[5]","previouslyFormattedCitation":"[5]"},"properties":{"noteIndex":0},"schema":"https://github.com/citation-style-language/schema/raw/master/csl-citation.json"}</w:instrText>
      </w:r>
      <w:r w:rsidR="00846CBD" w:rsidRPr="00B95E8E">
        <w:rPr>
          <w:rFonts w:ascii="Times New Roman" w:hAnsi="Times New Roman" w:cs="Times New Roman"/>
          <w:sz w:val="24"/>
          <w:szCs w:val="24"/>
          <w:lang w:val="en-US"/>
        </w:rPr>
        <w:fldChar w:fldCharType="separate"/>
      </w:r>
      <w:r w:rsidR="00846CBD" w:rsidRPr="00B95E8E">
        <w:rPr>
          <w:rFonts w:ascii="Times New Roman" w:hAnsi="Times New Roman" w:cs="Times New Roman"/>
          <w:noProof/>
          <w:sz w:val="24"/>
          <w:szCs w:val="24"/>
          <w:lang w:val="en-US"/>
        </w:rPr>
        <w:t>[5]</w:t>
      </w:r>
      <w:r w:rsidR="00846CBD" w:rsidRPr="00B95E8E">
        <w:rPr>
          <w:rFonts w:ascii="Times New Roman" w:hAnsi="Times New Roman" w:cs="Times New Roman"/>
          <w:sz w:val="24"/>
          <w:szCs w:val="24"/>
          <w:lang w:val="en-US"/>
        </w:rPr>
        <w:fldChar w:fldCharType="end"/>
      </w:r>
      <w:r w:rsidRPr="00B95E8E">
        <w:rPr>
          <w:rFonts w:ascii="Times New Roman" w:hAnsi="Times New Roman" w:cs="Times New Roman"/>
          <w:color w:val="000000" w:themeColor="text1"/>
          <w:sz w:val="24"/>
          <w:szCs w:val="24"/>
          <w:lang w:val="en-US"/>
        </w:rPr>
        <w:t>.</w:t>
      </w:r>
      <w:r w:rsidRPr="00EC3E53">
        <w:rPr>
          <w:rFonts w:ascii="Times New Roman" w:hAnsi="Times New Roman" w:cs="Times New Roman"/>
          <w:color w:val="000000" w:themeColor="text1"/>
          <w:sz w:val="24"/>
          <w:szCs w:val="24"/>
          <w:lang w:val="en-US"/>
        </w:rPr>
        <w:t xml:space="preserve"> In normal conditions, mitochondrial fusion and fission occur continuously. A constant balance is maintained between mitochondria in the fusion-division process, which deviates from one side to the other in response to the energy and metabolic needs of the cell. </w:t>
      </w:r>
    </w:p>
    <w:p w14:paraId="56E72017" w14:textId="48493107" w:rsidR="001C1DEE" w:rsidRPr="00EC3E53"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color w:val="000000" w:themeColor="text1"/>
          <w:sz w:val="24"/>
          <w:szCs w:val="24"/>
          <w:lang w:val="en-US"/>
        </w:rPr>
        <w:t xml:space="preserve">The search for a model of sporadic AD is incomplete, primarily due to the inability to understand and reproduce the mechanism of disease development. This leads researchers to the fact that one obvious imbalance process is reproduced on models (disturbance of balance in the systems of generation and detoxification of reactive oxygen species in rats of OXYS line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{"citationItems":[{"id":"ITEM-1","itemData":{"DOI":"10.4161/cc.28255","ISSN":"1551-4005 (Electronic)","PMID":"24552807","abstract":"Senescence-accelerated OXYS rats are an experimental model of accelerated aging  that was established from Wistar stock via selection for susceptibility to cataractogenic effects of a galactose-rich diet and via subsequent inbreeding of highly susceptible rats. Currently, we have the 102nd generation of OXYS rats with spontaneously developing cataract and accelerated senescence syndrome, which means early development of a phenotype similar to human geriatric disorders, including accelerated brain aging. In recent years, our group found strong evidence that OXYS rats are a promising model for studies of the mechanisms of brain aging and neurodegenerative processes similar to those seen in Alzheimer disease (AD). The manifestation of behavioral alterations and learning and memory deficits develop since the fourth week of age, i.e., simultaneously with first signs of neurodegeneration detectable on magnetic resonance imaging and under a light microscope. In addition, impaired long-term potentiation has been demonstrated in OXYS rats by the age of 3 months. With age, neurodegenerative changes in the brain of OXYS rats become amplified. We have shown that this deterioration happens against the background of overproduction of amyloid precursor protein (AβPP), accumulation of β-amyloid (Aβ), and hyperphosphorylation of the tau protein in the hippocampus and cortex. The development of AMD-like retinopathy in OXYS rats is also accompanied by increased accumulation of Aβ in the retina. These published data suggest that the OXYS strain may serve as a spontaneous rat model of AD-like pathology and could help to decipher the pathogenesis of AD.","author":[{"dropping-particle":"","family":"Stefanova","given":"Natalia A","non-dropping-particle":"","parse-names":false,"suffix":""},{"dropping-particle":"","family":"Kozhevnikova","given":"Oyuna S","non-dropping-particle":"","parse-names":false,"suffix":""},{"dropping-particle":"","family":"Vitovtov","given":"Anton O","non-dropping-particle":"","parse-names":false,"suffix":""},{"dropping-particle":"","family":"Maksimova","given":"Kseniya Yi","non-dropping-particle":"","parse-names":false,"suffix":""},{"dropping-particle":"V","family":"Logvinov","given":"Sergey","non-dropping-particle":"","parse-names":false,"suffix":""},{"dropping-particle":"","family":"Rudnitskaya","given":"Ekaterina A","non-dropping-particle":"","parse-names":false,"suffix":""},{"dropping-particle":"","family":"Korbolina","given":"Elena E","non-dropping-particle":"","parse-names":false,"suffix":""},{"dropping-particle":"","family":"Muraleva","given":"Natalia A","non-dropping-particle":"","parse-names":false,"suffix":""},{"dropping-particle":"","family":"Kolosova","given":"Nataliya G","non-dropping-particle":"","parse-names":false,"suffix":""}],"container-title":"Cell cycle (Georgetown, Tex.)","id":"ITEM-1","issue":"6","issued":{"date-parts":[["2014"]]},"language":"eng","page":"898-909","publisher-place":"United States","title":"Senescence-accelerated OXYS rats: a model of age-related cognitive decline with  relevance to abnormalities in Alzheimer disease.","type":"article-journal","volume":"13"},"uris":["http://www.mendeley.com/documents/?uuid=22377b7f-0431-413f-9911-2e216ee4f91e"]}],"mendeley":{"formattedCitation":"[6]","plainTextFormattedCitation":"[6]","previouslyFormattedCitation":"[6]"},"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[6]</w:t>
      </w:r>
      <w:r w:rsidR="001C1DEE" w:rsidRPr="00EC3E53">
        <w:rPr>
          <w:rFonts w:ascii="Times New Roman" w:hAnsi="Times New Roman" w:cs="Times New Roman"/>
          <w:color w:val="000000" w:themeColor="text1"/>
          <w:sz w:val="24"/>
          <w:szCs w:val="24"/>
          <w:lang w:val="en-US"/>
        </w:rPr>
        <w:fldChar w:fldCharType="end"/>
      </w:r>
      <w:r w:rsidRPr="00EC3E53">
        <w:rPr>
          <w:rFonts w:ascii="Times New Roman" w:hAnsi="Times New Roman" w:cs="Times New Roman"/>
          <w:color w:val="000000" w:themeColor="text1"/>
          <w:sz w:val="24"/>
          <w:szCs w:val="24"/>
          <w:lang w:val="en-US"/>
        </w:rPr>
        <w:t xml:space="preserve">, </w:t>
      </w:r>
      <w:r w:rsidR="000D26B9" w:rsidRPr="000D26B9">
        <w:rPr>
          <w:rFonts w:ascii="Times New Roman" w:hAnsi="Times New Roman" w:cs="Times New Roman"/>
          <w:color w:val="000000" w:themeColor="text1"/>
          <w:sz w:val="24"/>
          <w:szCs w:val="24"/>
          <w:lang w:val="en-US"/>
        </w:rPr>
        <w:t>mice with surgically removed</w:t>
      </w:r>
      <w:r w:rsidR="000D26B9">
        <w:rPr>
          <w:rFonts w:ascii="Times New Roman" w:hAnsi="Times New Roman" w:cs="Times New Roman"/>
          <w:color w:val="000000" w:themeColor="text1"/>
          <w:sz w:val="24"/>
          <w:szCs w:val="24"/>
          <w:lang w:val="en-US"/>
        </w:rPr>
        <w:t xml:space="preserve"> </w:t>
      </w:r>
      <w:r w:rsidR="000D26B9" w:rsidRPr="000D26B9">
        <w:rPr>
          <w:rFonts w:ascii="Times New Roman" w:hAnsi="Times New Roman" w:cs="Times New Roman"/>
          <w:color w:val="000000" w:themeColor="text1"/>
          <w:sz w:val="24"/>
          <w:szCs w:val="24"/>
          <w:lang w:val="en-US"/>
        </w:rPr>
        <w:t xml:space="preserve">olfactory bulbs </w:t>
      </w:r>
      <w:r w:rsidR="000D26B9">
        <w:rPr>
          <w:rFonts w:ascii="Times New Roman" w:hAnsi="Times New Roman" w:cs="Times New Roman"/>
          <w:color w:val="000000" w:themeColor="text1"/>
          <w:sz w:val="24"/>
          <w:szCs w:val="24"/>
          <w:lang w:val="en-US"/>
        </w:rPr>
        <w:t>(o</w:t>
      </w:r>
      <w:r w:rsidR="000D26B9" w:rsidRPr="000D26B9">
        <w:rPr>
          <w:rFonts w:ascii="Times New Roman" w:hAnsi="Times New Roman" w:cs="Times New Roman"/>
          <w:color w:val="000000" w:themeColor="text1"/>
          <w:sz w:val="24"/>
          <w:szCs w:val="24"/>
          <w:lang w:val="en-US"/>
        </w:rPr>
        <w:t xml:space="preserve">lfactory </w:t>
      </w:r>
      <w:r w:rsidR="000D26B9">
        <w:rPr>
          <w:rFonts w:ascii="Times New Roman" w:hAnsi="Times New Roman" w:cs="Times New Roman"/>
          <w:color w:val="000000" w:themeColor="text1"/>
          <w:sz w:val="24"/>
          <w:szCs w:val="24"/>
          <w:lang w:val="en-US"/>
        </w:rPr>
        <w:t>b</w:t>
      </w:r>
      <w:r w:rsidR="000D26B9" w:rsidRPr="000D26B9">
        <w:rPr>
          <w:rFonts w:ascii="Times New Roman" w:hAnsi="Times New Roman" w:cs="Times New Roman"/>
          <w:color w:val="000000" w:themeColor="text1"/>
          <w:sz w:val="24"/>
          <w:szCs w:val="24"/>
          <w:lang w:val="en-US"/>
        </w:rPr>
        <w:t xml:space="preserve">ulbectomized </w:t>
      </w:r>
      <w:r w:rsidR="000D26B9">
        <w:rPr>
          <w:rFonts w:ascii="Times New Roman" w:hAnsi="Times New Roman" w:cs="Times New Roman"/>
          <w:color w:val="000000" w:themeColor="text1"/>
          <w:sz w:val="24"/>
          <w:szCs w:val="24"/>
          <w:lang w:val="en-US"/>
        </w:rPr>
        <w:t>m</w:t>
      </w:r>
      <w:r w:rsidR="000D26B9" w:rsidRPr="000D26B9">
        <w:rPr>
          <w:rFonts w:ascii="Times New Roman" w:hAnsi="Times New Roman" w:cs="Times New Roman"/>
          <w:color w:val="000000" w:themeColor="text1"/>
          <w:sz w:val="24"/>
          <w:szCs w:val="24"/>
          <w:lang w:val="en-US"/>
        </w:rPr>
        <w:t>ice</w:t>
      </w:r>
      <w:r w:rsidR="000D26B9">
        <w:rPr>
          <w:rFonts w:ascii="Times New Roman" w:hAnsi="Times New Roman" w:cs="Times New Roman"/>
          <w:color w:val="000000" w:themeColor="text1"/>
          <w:sz w:val="24"/>
          <w:szCs w:val="24"/>
          <w:lang w:val="en-US"/>
        </w:rPr>
        <w:t>)</w:t>
      </w:r>
      <w:r w:rsidR="000D26B9" w:rsidRPr="000D26B9">
        <w:rPr>
          <w:rFonts w:ascii="Times New Roman" w:hAnsi="Times New Roman" w:cs="Times New Roman"/>
          <w:color w:val="000000" w:themeColor="text1"/>
          <w:sz w:val="24"/>
          <w:szCs w:val="24"/>
          <w:lang w:val="en-US"/>
        </w:rPr>
        <w:t xml:space="preserv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{"citationItems":[{"id":"ITEM-1","itemData":{"DOI":"10.1134/S0006297916060080","ISSN":"1608-3040 (Electronic)","PMID":"27301290","abstract":"Structural and functional impairments of mitochondria in brain tissues in the  pathogenesis of Alzheimer's disease (AD) cause energy deficiency, increased generation of reactive oxygen species (ROS), and premature neuronal death. However, the causal relations between accumulation of beta-amyloid (Aβ) peptide in mitochondria and mitochondrial dysfunction, as well as molecular mechanisms underlying deleterious effects of both these factors in sporadic AD, the most common form in humans, remain unknown. Here we used olfactory bulbectomized (OBX) mice of NMRI strain as a model for sporadic AD. Five weeks after surgery, the OBX mice developed major behavioral and biochemical features of AD neurodegeneration, including spatial memory loss, increased brain levels of Aβ, and energy deficiency. Mitochondria isolated from the neocortex and hippocampus of OBX mice displayed severe functional impairments, such as low NADH oxidation rate, reduced transmembrane potential, and decreased cytochrome c oxidase (complex IV) activity that correlated with high levels of soluble Aβ1-40. Mitochondria from OBX mice showed increased contents of lipid peroxidation products, indicative of the development of oxidative stress. We found that neurodegeneration caused by olfactory bulbectomy is accompanied by energy metabolism disturbances and oxidative stress in brain mitochondria similar to those occurring in transgenic animals - familial AD models and patients with sporadic AD. Therefore, OBX mice can serve as a valid AD model for investigating the mechanisms of AD neurodegeneration, drug testing, and development of therapeutic strategies for AD treatment.","author":[{"dropping-particle":"V","family":"Avetisyan","given":"A","non-dropping-particle":"","parse-names":false,"suffix":""},{"dropping-particle":"","family":"Samokhin","given":"A N","non-dropping-particle":"","parse-names":false,"suffix":""},{"dropping-particle":"","family":"Alexandrova","given":"I Y","non-dropping-particle":"","parse-names":false,"suffix":""},{"dropping-particle":"","family":"Zinovkin","given":"R A","non-dropping-particle":"","parse-names":false,"suffix":""},{"dropping-particle":"","family":"Simonyan","given":"R A","non-dropping-particle":"","parse-names":false,"suffix":""},{"dropping-particle":"V","family":"Bobkova","given":"N","non-dropping-particle":"","parse-names":false,"suffix":""}],"container-title":"Biochemistry. Biokhimiia","id":"ITEM-1","issue":"6","issued":{"date-parts":[["2016","6"]]},"language":"eng","page":"615-623","publisher-place":"United States","title":"Mitochondrial Dysfunction in Neocortex and Hippocampus of Olfactory Bulbectomized  Mice, a Model of Alzheimer's Disease.","type":"article-journal","volume":"81"},"uris":["http://www.mendeley.com/documents/?uuid=b86451d0-fe02-4167-9c16-1de6bc1c69f3"]}],"mendeley":{"formattedCitation":"[7]","plainTextFormattedCitation":"[7]","previouslyFormattedCitation":"[7]"},"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[7]</w:t>
      </w:r>
      <w:r w:rsidR="001C1DEE" w:rsidRPr="00EC3E53">
        <w:rPr>
          <w:rFonts w:ascii="Times New Roman" w:hAnsi="Times New Roman" w:cs="Times New Roman"/>
          <w:color w:val="000000" w:themeColor="text1"/>
          <w:sz w:val="24"/>
          <w:szCs w:val="24"/>
          <w:lang w:val="en-US"/>
        </w:rPr>
        <w:fldChar w:fldCharType="end"/>
      </w:r>
      <w:r w:rsidRPr="00EC3E53">
        <w:rPr>
          <w:rFonts w:ascii="Times New Roman" w:hAnsi="Times New Roman" w:cs="Times New Roman"/>
          <w:color w:val="000000" w:themeColor="text1"/>
          <w:sz w:val="24"/>
          <w:szCs w:val="24"/>
          <w:lang w:val="en-US"/>
        </w:rPr>
        <w:t xml:space="preserve"> or direct introduction of pathological tau protein or beta-amyloid into the culture of neurons</w:t>
      </w:r>
      <w:r w:rsidR="001C1DEE" w:rsidRPr="00EC3E53">
        <w:rPr>
          <w:rFonts w:ascii="Times New Roman" w:hAnsi="Times New Roman" w:cs="Times New Roman"/>
          <w:color w:val="000000" w:themeColor="text1"/>
          <w:sz w:val="24"/>
          <w:szCs w:val="24"/>
          <w:lang w:val="en-US"/>
        </w:rPr>
        <w:t xml:space="preserve"> </w:t>
      </w:r>
      <w:r w:rsidR="001C1DEE" w:rsidRPr="00EC3E53">
        <w:rPr>
          <w:rFonts w:ascii="Times New Roman" w:hAnsi="Times New Roman" w:cs="Times New Roman"/>
          <w:color w:val="000000" w:themeColor="text1"/>
          <w:sz w:val="24"/>
          <w:szCs w:val="24"/>
          <w:lang w:val="en-US"/>
        </w:rPr>
        <w:fldChar w:fldCharType="begin" w:fldLock="1"/>
      </w:r>
      <w:r w:rsidR="001C1DEE" w:rsidRPr="00EC3E53">
        <w:rPr>
          <w:rFonts w:ascii="Times New Roman" w:hAnsi="Times New Roman" w:cs="Times New Roman"/>
          <w:color w:val="000000" w:themeColor="text1"/>
          <w:sz w:val="24"/>
          <w:szCs w:val="24"/>
          <w:lang w:val="en-US"/>
        </w:rPr>
        <w:instrText>ADDIN CSL_CITATION {"citationItems":[{"id":"ITEM-1","itemData":{"DOI":"10.1093/hmg/ddr381","ISSN":"1460-2083 (Electronic)","PMID":"21873260","abstract":"Increasing evidence suggests that the accumulation of amyloid beta (Aβ) in  synapses and synaptic mitochondria causes synaptic mitochondrial failure and synaptic degeneration in Alzheimer's disease (AD). The purpose of this study was to better understand the effects of Aβ in mitochondrial activity and synaptic alterations in neurons from a mouse model of AD. Using primary neurons from a well-characterized Aβ precursor protein transgenic (AβPP) mouse model (Tg2576 mouse line), for the first time, we studied mitochondrial activity, including axonal transport of mitochondria, mitochondrial dynamics, morphology and function. Further, we also studied the nature of Aβ-induced synaptic alterations, and cell death in primary neurons from Tg2576 mice, and we sought to determine whether the mitochondria-targeted antioxidant SS31 could mitigate the effects of oligomeric Aβ. We found significantly decreased anterograde mitochondrial movement, increased mitochondrial fission and decreased fusion, abnormal mitochondrial and synaptic proteins and defective mitochondrial function in primary neurons from AβPP mice compared with wild-type (WT) neurons. Transmission electron microscopy revealed a large number of small mitochondria and structurally damaged mitochondria, with broken cristae in AβPP primary neurons. We also found an increased accumulation of oligomeric Aβ and increased apoptotic neuronal death in the primary neurons from the AβPP mice relative to the WT neurons. Our results revealed an accumulation of intraneuronal oligomeric Aβ, leading to mitochondrial and synaptic deficiencies, and ultimately causing neurodegeneration in AβPP cultures. However, we found that the mitochondria-targeted antioxidant SS31 restored mitochondrial transport and synaptic viability, and decreased the percentage of defective mitochondria, indicating that SS31 protects mitochondria and synapses from Aβ toxicity.","author":[{"dropping-particle":"","family":"Calkins","given":"Marcus J","non-dropping-particle":"","parse-names":false,"suffix":""},{"dropping-particle":"","family":"Manczak","given":"Maria","non-dropping-particle":"","parse-names":false,"suffix":""},{"dropping-particle":"","family":"Mao","given":"Peizhong","non-dropping-particle":"","parse-names":false,"suffix":""},{"dropping-particle":"","family":"Shirendeb","given":"Ulziibat","non-dropping-particle":"","parse-names":false,"suffix":""},{"dropping-particle":"","family":"Reddy","given":"P Hemachandra","non-dropping-particle":"","parse-names":false,"suffix":""}],"container-title":"Human molecular genetics","id":"ITEM-1","issue":"23","issued":{"date-parts":[["2011","12"]]},"language":"eng","page":"4515-4529","publisher-place":"England","title":"Impaired mitochondrial biogenesis, defective axonal transport of mitochondria,  abnormal mitochondrial dynamics and synaptic degeneration in a mouse model of Alzheimer's disease.","type":"article-journal","volume":"20"},"uris":["http://www.mendeley.com/documents/?uuid=5658a2f1-1472-42d7-9760-39689819ac74"]},{"id":"ITEM-2","itemData":{"DOI":"10.1016/j.nbd.2018.02.003","ISSN":"1095-953X (Electronic)","PMID":"29477640","abstract":"Inhibition of mitochondrial axonal trafficking by amyloid beta (Aβ) peptides has  been implicated in early pathophysiology of Alzheimer's Disease (AD). Yet, it remains unclear whether the loss of motility inevitably induces the loss of mitochondrial function, and whether restoration of axonal trafficking represents a valid therapeutic target. Moreover, while some investigations identify Aβ oligomers as the culprit of trafficking inhibition, others propose that fibrils play the detrimental role. We have examined the effect of a panel of Aβ peptides with different mutations found in familial AD on mitochondrial motility in primary cortical mouse neurons. Peptides with higher propensity to aggregate inhibit mitochondrial trafficking to a greater extent with fibrils inducing the strongest inhibition. Binding of Aβ peptides to the plasma membrane was sufficient to induce trafficking inhibition where peptides with reduced plasma membrane binding and internalization had lesser effect on mitochondrial motility. We also found that Aβ peptide with Icelandic mutation A673T affects axonal trafficking of mitochondria but has very low rates of plasma membrane binding and internalization in neurons, which could explain its relatively low toxicity. Inhibition of mitochondrial dynamics caused by Aβ peptides or fibrils did not instantly affect mitochondrial bioenergetic and function. Our results support a mechanism where inhibition of axonal trafficking is initiated at the plasma membrane by soluble low molecular weight Aβ species and is exacerbated by fibrils. Since trafficking inhibition does not coincide with the loss of mitochondrial function, restoration of axonal transport could be beneficial at early stages of AD progression. However, strategies designed to block Aβ aggregation or fibril formation alone without ensuring the efficient clearance of soluble Aβ may not be sufficient to alleviate the trafficking phenotype.","author":[{"dropping-particle":"","family":"Zhang","given":"Liang","non-dropping-particle":"","parse-names":false,"suffix":""},{"dropping-particle":"","family":"Trushin","given":"Sergey","non-dropping-particle":"","parse-names":false,"suffix":""},{"dropping-particle":"","family":"Christensen","given":"Trace A","non-dropping-particle":"","parse-names":false,"suffix":""},{"dropping-particle":"","family":"Tripathi","given":"Utkarsh","non-dropping-particle":"","parse-names":false,"suffix":""},{"dropping-particle":"","family":"Hong","given":"Courtney","non-dropping-particle":"","parse-names":false,"suffix":""},{"dropping-particle":"","family":"Geroux","given":"Rachel E","non-dropping-particle":"","parse-names":false,"suffix":""},{"dropping-particle":"","family":"Howell","given":"Kyle G","non-dropping-particle":"","parse-names":false,"suffix":""},{"dropping-particle":"","family":"Poduslo","given":"Joseph F","non-dropping-particle":"","parse-names":false,"suffix":""},{"dropping-particle":"","family":"Trushina","given":"Eugenia","non-dropping-particle":"","parse-names":false,"suffix":""}],"container-title":"Neurobiology of disease","id":"ITEM-2","issued":{"date-parts":[["2018","6"]]},"language":"eng","page":"1-16","publisher-place":"United States","title":"Differential effect of amyloid beta peptides on mitochondrial axonal trafficking  depends on their state of aggregation and binding to the plasma membrane.","type":"article-journal","volume":"114"},"uris":["http://www.mendeley.com/documents/?uuid=dc4834c6-c7b7-4eec-8a93-8370e29d37c5"]}],"mendeley":{"formattedCitation":"[8,9]","plainTextFormattedCitation":"[8,9]","previouslyFormattedCitation":"[8,9]"},"properties":{"noteIndex":0},"schema":"https://github.com/citation-style-language/schema/raw/master/csl-citation.json"}</w:instrText>
      </w:r>
      <w:r w:rsidR="001C1DEE" w:rsidRPr="00EC3E53">
        <w:rPr>
          <w:rFonts w:ascii="Times New Roman" w:hAnsi="Times New Roman" w:cs="Times New Roman"/>
          <w:color w:val="000000" w:themeColor="text1"/>
          <w:sz w:val="24"/>
          <w:szCs w:val="24"/>
          <w:lang w:val="en-US"/>
        </w:rPr>
        <w:fldChar w:fldCharType="separate"/>
      </w:r>
      <w:r w:rsidR="001C1DEE" w:rsidRPr="00EC3E53">
        <w:rPr>
          <w:rFonts w:ascii="Times New Roman" w:hAnsi="Times New Roman" w:cs="Times New Roman"/>
          <w:noProof/>
          <w:color w:val="000000" w:themeColor="text1"/>
          <w:sz w:val="24"/>
          <w:szCs w:val="24"/>
          <w:lang w:val="en-US"/>
        </w:rPr>
        <w:t>[8,9]</w:t>
      </w:r>
      <w:r w:rsidR="001C1DEE" w:rsidRPr="00EC3E53">
        <w:rPr>
          <w:rFonts w:ascii="Times New Roman" w:hAnsi="Times New Roman" w:cs="Times New Roman"/>
          <w:color w:val="000000" w:themeColor="text1"/>
          <w:sz w:val="24"/>
          <w:szCs w:val="24"/>
          <w:lang w:val="en-US"/>
        </w:rPr>
        <w:fldChar w:fldCharType="end"/>
      </w:r>
      <w:r w:rsidR="001C1DEE" w:rsidRPr="00EC3E53">
        <w:rPr>
          <w:rFonts w:ascii="Times New Roman" w:hAnsi="Times New Roman" w:cs="Times New Roman"/>
          <w:color w:val="000000" w:themeColor="text1"/>
          <w:sz w:val="24"/>
          <w:szCs w:val="24"/>
          <w:lang w:val="en-US"/>
        </w:rPr>
        <w:t>.</w:t>
      </w:r>
    </w:p>
    <w:p w14:paraId="35C10B8B" w14:textId="375553B2" w:rsidR="00B95E8E"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In this work, we wanted to investigate whether disruption of mitochondrial dynamics in healthy cultures could lead to a </w:t>
      </w:r>
      <w:r w:rsidRPr="00A61548">
        <w:rPr>
          <w:rFonts w:ascii="Times New Roman" w:hAnsi="Times New Roman" w:cs="Times New Roman"/>
          <w:sz w:val="24"/>
          <w:szCs w:val="24"/>
          <w:lang w:val="en-US"/>
        </w:rPr>
        <w:t>process similar to the pathology manifestation in the 5xFAD mouse line.</w:t>
      </w:r>
      <w:r w:rsidRPr="00EC3E53">
        <w:rPr>
          <w:rFonts w:ascii="Times New Roman" w:hAnsi="Times New Roman" w:cs="Times New Roman"/>
          <w:sz w:val="24"/>
          <w:szCs w:val="24"/>
          <w:lang w:val="en-US"/>
        </w:rPr>
        <w:t xml:space="preserve"> </w:t>
      </w:r>
      <w:r w:rsidR="000D26B9">
        <w:rPr>
          <w:rFonts w:ascii="Times New Roman" w:hAnsi="Times New Roman" w:cs="Times New Roman"/>
          <w:sz w:val="24"/>
          <w:szCs w:val="24"/>
          <w:lang w:val="en-US"/>
        </w:rPr>
        <w:t>W</w:t>
      </w:r>
      <w:r w:rsidRPr="00EC3E53">
        <w:rPr>
          <w:rFonts w:ascii="Times New Roman" w:hAnsi="Times New Roman" w:cs="Times New Roman"/>
          <w:sz w:val="24"/>
          <w:szCs w:val="24"/>
          <w:lang w:val="en-US"/>
        </w:rPr>
        <w:t xml:space="preserve">e directly affect the mitochondrial fusion-division system in primary mixed neuro-astrocyte hippocampal cultures of mice by inducing shifts toward a prevalence of fusion, </w:t>
      </w:r>
      <w:r w:rsidRPr="00D1548A">
        <w:rPr>
          <w:rFonts w:ascii="Times New Roman" w:hAnsi="Times New Roman" w:cs="Times New Roman"/>
          <w:sz w:val="24"/>
          <w:szCs w:val="24"/>
          <w:lang w:val="en-US"/>
        </w:rPr>
        <w:t>or fission. We use</w:t>
      </w:r>
      <w:r w:rsidR="00D1548A" w:rsidRPr="00D1548A">
        <w:rPr>
          <w:rFonts w:ascii="Times New Roman" w:hAnsi="Times New Roman" w:cs="Times New Roman"/>
          <w:sz w:val="24"/>
          <w:szCs w:val="24"/>
          <w:lang w:val="en-US"/>
        </w:rPr>
        <w:t>d</w:t>
      </w:r>
      <w:r w:rsidRPr="00D1548A">
        <w:rPr>
          <w:rFonts w:ascii="Times New Roman" w:hAnsi="Times New Roman" w:cs="Times New Roman"/>
          <w:sz w:val="24"/>
          <w:szCs w:val="24"/>
          <w:lang w:val="en-US"/>
        </w:rPr>
        <w:t xml:space="preserve"> primary hippocampal cell culture of 5xFAD transgenic mice </w:t>
      </w:r>
      <w:r w:rsidR="00D1548A" w:rsidRPr="00D1548A">
        <w:rPr>
          <w:rFonts w:ascii="Times New Roman" w:hAnsi="Times New Roman" w:cs="Times New Roman"/>
          <w:sz w:val="24"/>
          <w:szCs w:val="24"/>
          <w:lang w:val="en-US"/>
        </w:rPr>
        <w:t>for comparison</w:t>
      </w:r>
      <w:r w:rsidRPr="00D1548A">
        <w:rPr>
          <w:rFonts w:ascii="Times New Roman" w:hAnsi="Times New Roman" w:cs="Times New Roman"/>
          <w:sz w:val="24"/>
          <w:szCs w:val="24"/>
          <w:lang w:val="en-US"/>
        </w:rPr>
        <w:t>. Cells</w:t>
      </w:r>
      <w:r w:rsidRPr="00EC3E53">
        <w:rPr>
          <w:rFonts w:ascii="Times New Roman" w:hAnsi="Times New Roman" w:cs="Times New Roman"/>
          <w:sz w:val="24"/>
          <w:szCs w:val="24"/>
          <w:lang w:val="en-US"/>
        </w:rPr>
        <w:t xml:space="preserve"> in the transgenic culture gradually accumulate high levels of the neurotoxic agent beta-amyloid from the beginning of their lives, causing neurodegeneration similar to AD</w:t>
      </w:r>
      <w:r w:rsidR="001C1DEE" w:rsidRPr="00EC3E53">
        <w:rPr>
          <w:rFonts w:ascii="Times New Roman" w:hAnsi="Times New Roman" w:cs="Times New Roman"/>
          <w:sz w:val="24"/>
          <w:szCs w:val="24"/>
          <w:lang w:val="en-US"/>
        </w:rPr>
        <w:t xml:space="preserve"> </w:t>
      </w:r>
      <w:r w:rsidR="001C1DEE" w:rsidRPr="00EC3E53">
        <w:rPr>
          <w:rFonts w:ascii="Times New Roman" w:hAnsi="Times New Roman" w:cs="Times New Roman"/>
          <w:sz w:val="24"/>
          <w:szCs w:val="24"/>
          <w:lang w:val="en-US"/>
        </w:rPr>
        <w:fldChar w:fldCharType="begin" w:fldLock="1"/>
      </w:r>
      <w:r w:rsidR="00AA17CB" w:rsidRPr="00EC3E53">
        <w:rPr>
          <w:rFonts w:ascii="Times New Roman" w:hAnsi="Times New Roman" w:cs="Times New Roman"/>
          <w:sz w:val="24"/>
          <w:szCs w:val="24"/>
          <w:lang w:val="en-US"/>
        </w:rPr>
        <w:instrText>ADDIN CSL_CITATION {"citationItems":[{"id":"ITEM-1","itemData":{"DOI":"10.1016/j.pharmthera.2013.12.009","ISSN":"1879-016X (Electronic)","PMID":"24362083","abstract":"Progression of brain ageing is influenced by a complex interaction of genetic and  environmental factors. Analysis of genetically modified animals with uniform genetic backgrounds in a standardised, controlled environment enables the dissection of critical determinants of brain ageing on a molecular level. Human and animal studies suggest that increased load of damaged macromolecules, efficacy of DNA maintenance, mitochondrial activity, and cellular stress defences are critical determinants of brain ageing. Surprisingly, mouse lines with genetic impairment of anti-oxidative capacity generally did not show enhanced cognitive ageing but rather an increased sensitivity to oxidative challenge. Mouse lines with impaired mitochondrial activity had critically short life spans or severe and rapidly progressing neurodegeneration. Strains with impaired clearance in damaged macromolecules or defects in the regulation of cellular stress defences showed alterations in the onset and progression of cognitive decline. Importantly, reduced insulin/insulin-like growth factor signalling generally increased life span but impaired cognitive functions revealing a complex interaction between ageing of the brain and of the body. Brain ageing is accompanied by an increased risk of developing Alzheimer's disease. Transgenic mouse models expressing high levels of mutant human amyloid precursor protein showed a number of symptoms and pathophysiological processes typical for early phase of Alzheimer's disease. Generally, therapeutic strategies effective against Alzheimer's disease in humans were also active in the Tg2576, APP23, APP/PS1 and 5xFAD lines, but a large number of false positive findings were also reported. The 3xtg AD model likely has the highest face and construct validity but further studies are needed.","author":[{"dropping-particle":"","family":"Bilkei-Gorzo","given":"Andras","non-dropping-particle":"","parse-names":false,"suffix":""}],"container-title":"Pharmacology &amp; therapeutics","id":"ITEM-1","issue":"2","issued":{"date-parts":[["2014","5"]]},"language":"eng","page":"244-257","publisher-place":"England","title":"Genetic mouse models of brain ageing and Alzheimer's disease.","type":"article-journal","volume":"142"},"uris":["http://www.mendeley.com/documents/?uuid=63f67971-2c0a-4ddb-bd82-f6e53a7ade56"]}],"mendeley":{"formattedCitation":"[10]","plainTextFormattedCitation":"[10]","previouslyFormattedCitation":"[10]"},"properties":{"noteIndex":0},"schema":"https://github.com/citation-style-language/schema/raw/master/csl-citation.json"}</w:instrText>
      </w:r>
      <w:r w:rsidR="001C1DEE" w:rsidRPr="00EC3E53">
        <w:rPr>
          <w:rFonts w:ascii="Times New Roman" w:hAnsi="Times New Roman" w:cs="Times New Roman"/>
          <w:sz w:val="24"/>
          <w:szCs w:val="24"/>
          <w:lang w:val="en-US"/>
        </w:rPr>
        <w:fldChar w:fldCharType="separate"/>
      </w:r>
      <w:r w:rsidR="001C1DEE" w:rsidRPr="00EC3E53">
        <w:rPr>
          <w:rFonts w:ascii="Times New Roman" w:hAnsi="Times New Roman" w:cs="Times New Roman"/>
          <w:noProof/>
          <w:sz w:val="24"/>
          <w:szCs w:val="24"/>
          <w:lang w:val="en-US"/>
        </w:rPr>
        <w:t>[10]</w:t>
      </w:r>
      <w:r w:rsidR="001C1DEE" w:rsidRPr="00EC3E53">
        <w:rPr>
          <w:rFonts w:ascii="Times New Roman" w:hAnsi="Times New Roman" w:cs="Times New Roman"/>
          <w:sz w:val="24"/>
          <w:szCs w:val="24"/>
          <w:lang w:val="en-US"/>
        </w:rPr>
        <w:fldChar w:fldCharType="end"/>
      </w:r>
      <w:hyperlink r:id="rId8" w:history="1"/>
      <w:r w:rsidRPr="00EC3E53">
        <w:rPr>
          <w:rFonts w:ascii="Times New Roman" w:hAnsi="Times New Roman" w:cs="Times New Roman"/>
          <w:color w:val="000000" w:themeColor="text1"/>
          <w:sz w:val="24"/>
          <w:szCs w:val="24"/>
          <w:lang w:val="en-US"/>
        </w:rPr>
        <w:t>. In addition to the formation of amyloid plaques, it is characterized by marked astrogliosis and loss of neuronal and synaptic density, as well as increased levels of lipofuscin, an early marker of cellular pathology</w:t>
      </w:r>
      <w:r w:rsidR="00AA17CB" w:rsidRPr="00EC3E53">
        <w:rPr>
          <w:rFonts w:ascii="Times New Roman" w:hAnsi="Times New Roman" w:cs="Times New Roman"/>
          <w:color w:val="000000" w:themeColor="text1"/>
          <w:sz w:val="24"/>
          <w:szCs w:val="24"/>
          <w:lang w:val="en-US"/>
        </w:rPr>
        <w:t xml:space="preserve"> </w:t>
      </w:r>
      <w:r w:rsidR="00AA17CB" w:rsidRPr="00B95E8E">
        <w:rPr>
          <w:rFonts w:ascii="Times New Roman" w:hAnsi="Times New Roman" w:cs="Times New Roman"/>
          <w:color w:val="000000" w:themeColor="text1"/>
          <w:sz w:val="24"/>
          <w:szCs w:val="24"/>
          <w:lang w:val="en-US"/>
        </w:rPr>
        <w:fldChar w:fldCharType="begin" w:fldLock="1"/>
      </w:r>
      <w:r w:rsidR="00AA17CB" w:rsidRPr="00B95E8E">
        <w:rPr>
          <w:rFonts w:ascii="Times New Roman" w:hAnsi="Times New Roman" w:cs="Times New Roman"/>
          <w:color w:val="000000" w:themeColor="text1"/>
          <w:sz w:val="24"/>
          <w:szCs w:val="24"/>
          <w:lang w:val="en-US"/>
        </w:rPr>
        <w:instrText>ADDIN CSL_CITATION {"citationItems":[{"id":"ITEM-1","itemData":{"ISSN":"1561-9125 (Print)","PMID":"38180372","abstract":"In this study, we evaluated the change in the level of lipofuscin, an  autofluorescent aging pigment, in brain and peripheral tissues in a transgenic mouse model of Alzheimer's disease (AD) - 5xFAD. A comparative analysis of the content of lipofuscin in homogenates of the liver, kidneys, heart, and various parts of the brain of 5xFAD mice, as well as control mice from the same litters of different ages, was carried out. The data obtained correlate well with the concept of lipofuscin as an aging pigment - its amount increases with age in both control and 5xFAD mice. We noted accumulation of lipofuscin progressive with age in 5xFAD mice, which is detected both in different parts of the brain and in peripheral organs. At the same time, the level of lipofuscin was increased even in newborn day-old mice 5xFAD. Thus, an increase in the level of lipofuscin in 5xFAD mice is one of the earliest disorders that manifests itself not only in the brain, but also in other organs.","author":[{"dropping-particle":"V","family":"Chaplygina","given":"A","non-dropping-particle":"","parse-names":false,"suffix":""},{"dropping-particle":"","family":"Kovalev","given":"V I","non-dropping-particle":"","parse-names":false,"suffix":""},{"dropping-particle":"","family":"Zhdanova","given":"D Y","non-dropping-particle":"","parse-names":false,"suffix":""}],"container-title":"Advances in gerontology = Uspekhi gerontologii","id":"ITEM-1","issue":"5","issued":{"date-parts":[["2023"]]},"language":"rus","page":"720-728","publisher-place":"Russia (Federation)","title":"[The study of lipofuscin levels in the 5xFAD mouse model of Alzheimer's  disease.].","type":"article-journal","volume":"36"},"uris":["http://www.mendeley.com/documents/?uuid=98d4c6b7-e75c-4fff-aac8-78efd035f7c5"]}],"mendeley":{"formattedCitation":"[11]","plainTextFormattedCitation":"[11]","previouslyFormattedCitation":"[11]"},"properties":{"noteIndex":0},"schema":"https://github.com/citation-style-language/schema/raw/master/csl-citation.json"}</w:instrText>
      </w:r>
      <w:r w:rsidR="00AA17CB" w:rsidRPr="00B95E8E">
        <w:rPr>
          <w:rFonts w:ascii="Times New Roman" w:hAnsi="Times New Roman" w:cs="Times New Roman"/>
          <w:color w:val="000000" w:themeColor="text1"/>
          <w:sz w:val="24"/>
          <w:szCs w:val="24"/>
          <w:lang w:val="en-US"/>
        </w:rPr>
        <w:fldChar w:fldCharType="separate"/>
      </w:r>
      <w:r w:rsidR="00AA17CB" w:rsidRPr="00B95E8E">
        <w:rPr>
          <w:rFonts w:ascii="Times New Roman" w:hAnsi="Times New Roman" w:cs="Times New Roman"/>
          <w:noProof/>
          <w:color w:val="000000" w:themeColor="text1"/>
          <w:sz w:val="24"/>
          <w:szCs w:val="24"/>
          <w:lang w:val="en-US"/>
        </w:rPr>
        <w:t>[11]</w:t>
      </w:r>
      <w:r w:rsidR="00AA17CB" w:rsidRPr="00B95E8E">
        <w:rPr>
          <w:rFonts w:ascii="Times New Roman" w:hAnsi="Times New Roman" w:cs="Times New Roman"/>
          <w:color w:val="000000" w:themeColor="text1"/>
          <w:sz w:val="24"/>
          <w:szCs w:val="24"/>
          <w:lang w:val="en-US"/>
        </w:rPr>
        <w:fldChar w:fldCharType="end"/>
      </w:r>
      <w:r w:rsidRPr="00B95E8E">
        <w:rPr>
          <w:rFonts w:ascii="Times New Roman" w:hAnsi="Times New Roman" w:cs="Times New Roman"/>
          <w:color w:val="000000" w:themeColor="text1"/>
          <w:sz w:val="24"/>
          <w:szCs w:val="24"/>
          <w:lang w:val="en-US"/>
        </w:rPr>
        <w:t>. Alteration</w:t>
      </w:r>
      <w:r w:rsidRPr="00EC3E53">
        <w:rPr>
          <w:rFonts w:ascii="Times New Roman" w:hAnsi="Times New Roman" w:cs="Times New Roman"/>
          <w:color w:val="000000" w:themeColor="text1"/>
          <w:sz w:val="24"/>
          <w:szCs w:val="24"/>
          <w:lang w:val="en-US"/>
        </w:rPr>
        <w:t xml:space="preserve"> of the balance of fusion-division processes in native primary cell cultures of the hippocampus creates conditions under which an already adult neuronal culture with no pathologies encounters a forced disturbance of cellular homeostasis. In 5xFAD mice, it is amyloid overproduction that triggers a cascade of reactions affecting cellular and subcellular morphology, modeling the typical visible processes occurring in Alzheimer's disease.</w:t>
      </w:r>
    </w:p>
    <w:p w14:paraId="245C8594" w14:textId="0B5C9611" w:rsid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 MATERIALS AND METHODS </w:t>
      </w:r>
    </w:p>
    <w:p w14:paraId="6E8DB666" w14:textId="5C25773F" w:rsid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2.1 Animal Models</w:t>
      </w:r>
    </w:p>
    <w:p w14:paraId="08656D37" w14:textId="30AD9551" w:rsidR="00EF53F3" w:rsidRPr="00786711" w:rsidRDefault="00EF53F3"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The work was performed on animals that are a model of Alzheimer's disease: transgenic mice of 5XFAD (TG6799) line and healthy littermates. Cells in the transgenic culture gradually accumulate high levels of the neurotoxic agent beta-amyloid, which causes neurodegeneration in AD, from the beginning of their life. Mice of the 5xFAD line</w:t>
      </w:r>
      <w:r w:rsidR="00501085">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 xml:space="preserve">were obtained on a congenic SJL/C57B16 background to minimize concerns related to allelic segregation and high variability in the original hybrid background. 5xFAD transgenic mice overexpress the following five FAD mutations: the </w:t>
      </w:r>
      <w:proofErr w:type="gramStart"/>
      <w:r w:rsidRPr="00EC3E53">
        <w:rPr>
          <w:rFonts w:ascii="Times New Roman" w:hAnsi="Times New Roman" w:cs="Times New Roman"/>
          <w:sz w:val="24"/>
          <w:szCs w:val="24"/>
          <w:lang w:val="en-US"/>
        </w:rPr>
        <w:t>APP(</w:t>
      </w:r>
      <w:proofErr w:type="gramEnd"/>
      <w:r w:rsidRPr="00EC3E53">
        <w:rPr>
          <w:rFonts w:ascii="Times New Roman" w:hAnsi="Times New Roman" w:cs="Times New Roman"/>
          <w:sz w:val="24"/>
          <w:szCs w:val="24"/>
          <w:lang w:val="en-US"/>
        </w:rPr>
        <w:t xml:space="preserve">695) transgene contains the Swedish (K670N, M671L), Florid (I716V), and London (V7171) mutations, and the PSEN1 transgene contains the M146L and L286V mutations. Expression of both transgenes is regulated by murine Thy1.promoter elements to drive their overexpression specifically in neurons. The transgenes are inserted at a single locus Chr3:6297836, where they have no effect on any known genes. Animals were kept in a </w:t>
      </w:r>
      <w:r w:rsidRPr="00A61548">
        <w:rPr>
          <w:rFonts w:ascii="Times New Roman" w:hAnsi="Times New Roman" w:cs="Times New Roman"/>
          <w:sz w:val="24"/>
          <w:szCs w:val="24"/>
          <w:lang w:val="en-US"/>
        </w:rPr>
        <w:t xml:space="preserve">specialized vivarium with free access to water and standardized feed at 22 - 24°C and natural light. </w:t>
      </w:r>
      <w:r w:rsidR="00786711" w:rsidRPr="00A61548">
        <w:rPr>
          <w:rFonts w:ascii="Times New Roman" w:hAnsi="Times New Roman" w:cs="Times New Roman"/>
          <w:color w:val="000000" w:themeColor="text1"/>
          <w:sz w:val="24"/>
          <w:szCs w:val="24"/>
          <w:lang w:val="en-US"/>
        </w:rPr>
        <w:t xml:space="preserve">The laboratory animals were treated in accordance with the European Convention for the Protection of Vertebrates used for experimental and other purposes (Strasbourg, 1986) and the principles of the Helsinki Declaration (2000). All animal procedures performed with </w:t>
      </w:r>
      <w:proofErr w:type="spellStart"/>
      <w:r w:rsidR="00786711" w:rsidRPr="00A61548">
        <w:rPr>
          <w:rFonts w:ascii="Times New Roman" w:hAnsi="Times New Roman" w:cs="Times New Roman"/>
          <w:color w:val="000000" w:themeColor="text1"/>
          <w:sz w:val="24"/>
          <w:szCs w:val="24"/>
          <w:lang w:val="en-US"/>
        </w:rPr>
        <w:t>mices</w:t>
      </w:r>
      <w:proofErr w:type="spellEnd"/>
      <w:r w:rsidR="00786711" w:rsidRPr="00A61548">
        <w:rPr>
          <w:rFonts w:ascii="Times New Roman" w:hAnsi="Times New Roman" w:cs="Times New Roman"/>
          <w:color w:val="000000" w:themeColor="text1"/>
          <w:sz w:val="24"/>
          <w:szCs w:val="24"/>
          <w:lang w:val="en-US"/>
        </w:rPr>
        <w:t xml:space="preserve"> were approved by the Commission on Biosafety and Bioethics (Institute of Cell Biophysics – </w:t>
      </w:r>
      <w:proofErr w:type="spellStart"/>
      <w:r w:rsidR="00786711" w:rsidRPr="00A61548">
        <w:rPr>
          <w:rFonts w:ascii="Times New Roman" w:hAnsi="Times New Roman" w:cs="Times New Roman"/>
          <w:color w:val="000000" w:themeColor="text1"/>
          <w:sz w:val="24"/>
          <w:szCs w:val="24"/>
          <w:lang w:val="en-US"/>
        </w:rPr>
        <w:t>Pushchino</w:t>
      </w:r>
      <w:proofErr w:type="spellEnd"/>
      <w:r w:rsidR="00786711" w:rsidRPr="00A61548">
        <w:rPr>
          <w:rFonts w:ascii="Times New Roman" w:hAnsi="Times New Roman" w:cs="Times New Roman"/>
          <w:color w:val="000000" w:themeColor="text1"/>
          <w:sz w:val="24"/>
          <w:szCs w:val="24"/>
          <w:lang w:val="en-US"/>
        </w:rPr>
        <w:t xml:space="preserve"> Scientific Center for Biological Research of the Russian Academy of Sciences) in accordance with Directive 2010/63/EU of the European Parliament.</w:t>
      </w:r>
    </w:p>
    <w:p w14:paraId="570A0DB7" w14:textId="1FF5D65C"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lastRenderedPageBreak/>
        <w:t xml:space="preserve">First, to form groups of animals for breeding, mice were genotyped by classical PCR using DNA isolated from ear biopsy specimens. The presence of a </w:t>
      </w:r>
      <w:proofErr w:type="spellStart"/>
      <w:r w:rsidRPr="00EC3E53">
        <w:rPr>
          <w:rFonts w:ascii="Times New Roman" w:hAnsi="Times New Roman" w:cs="Times New Roman"/>
          <w:sz w:val="24"/>
          <w:szCs w:val="24"/>
          <w:lang w:val="en-US"/>
        </w:rPr>
        <w:t>Tg</w:t>
      </w:r>
      <w:proofErr w:type="spellEnd"/>
      <w:r w:rsidRPr="00EC3E53">
        <w:rPr>
          <w:rFonts w:ascii="Times New Roman" w:hAnsi="Times New Roman" w:cs="Times New Roman"/>
          <w:sz w:val="24"/>
          <w:szCs w:val="24"/>
          <w:lang w:val="en-US"/>
        </w:rPr>
        <w:t xml:space="preserve"> cassette of 377 bp in length was detected using primers 5'-AGG ACT GAC CAC TCG ACC AG-3' and 5'-CGG GGG TCT AGT TCT GCA T-3', followed by electrophoretic visualization.</w:t>
      </w:r>
    </w:p>
    <w:p w14:paraId="74F4D8A2"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2.1 Primary culture of brain hippocampus.</w:t>
      </w:r>
    </w:p>
    <w:p w14:paraId="25F3DBCD" w14:textId="30E7E8AD"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After genotyping and formation of groups of healthy and 5xFAD animals for breeding, mice (age 0-1 day) were genotyped to further obtain primary hippocampal cell culture. For this purpose, the hippocampus was mechanically crushed and treated with Trypsin-EDTA solution (Gibco, USA). The cell suspension obtained by enzymatic and mechanical dissociation was then added to the wells of a 12-well plate coated with Poly-D-Lysine support substrate (Gibco, USA) or to slides, cells were added to 2 or 1 ml of Neurobasal Medium (Gibco, USA) containing 2% B-27 Supplement (Gibco, USA) and 1% Penicillin-Streptomycin-</w:t>
      </w:r>
      <w:r w:rsidRPr="00A61548">
        <w:rPr>
          <w:rFonts w:ascii="Times New Roman" w:hAnsi="Times New Roman" w:cs="Times New Roman"/>
          <w:sz w:val="24"/>
          <w:szCs w:val="24"/>
          <w:lang w:val="en-US"/>
        </w:rPr>
        <w:t>Glutamine (Gibco, USA), respectively. Half of the medium was replaced with new medium every five days. Cells</w:t>
      </w:r>
      <w:r w:rsidRPr="00EC3E53">
        <w:rPr>
          <w:rFonts w:ascii="Times New Roman" w:hAnsi="Times New Roman" w:cs="Times New Roman"/>
          <w:sz w:val="24"/>
          <w:szCs w:val="24"/>
          <w:lang w:val="en-US"/>
        </w:rPr>
        <w:t xml:space="preserve"> were cultured until the required time in a CO2 incubator at 37°C and 5% CO2. Thus, we obtained both control transgenic</w:t>
      </w:r>
      <w:r w:rsidR="00AA17CB" w:rsidRPr="00EC3E53">
        <w:rPr>
          <w:rFonts w:ascii="Times New Roman" w:hAnsi="Times New Roman" w:cs="Times New Roman"/>
          <w:sz w:val="24"/>
          <w:szCs w:val="24"/>
          <w:lang w:val="en-US"/>
        </w:rPr>
        <w:t xml:space="preserve"> (</w:t>
      </w:r>
      <w:proofErr w:type="spellStart"/>
      <w:r w:rsidR="00AA17CB" w:rsidRPr="00EC3E53">
        <w:rPr>
          <w:rFonts w:ascii="Times New Roman" w:hAnsi="Times New Roman" w:cs="Times New Roman"/>
          <w:sz w:val="24"/>
          <w:szCs w:val="24"/>
          <w:lang w:val="en-US"/>
        </w:rPr>
        <w:t>Tg</w:t>
      </w:r>
      <w:proofErr w:type="spellEnd"/>
      <w:r w:rsidR="00AA17CB" w:rsidRPr="00EC3E53">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culture and </w:t>
      </w:r>
      <w:proofErr w:type="spellStart"/>
      <w:r w:rsidRPr="00EC3E53">
        <w:rPr>
          <w:rFonts w:ascii="Times New Roman" w:hAnsi="Times New Roman" w:cs="Times New Roman"/>
          <w:sz w:val="24"/>
          <w:szCs w:val="24"/>
          <w:lang w:val="en-US"/>
        </w:rPr>
        <w:t>nontransgenic</w:t>
      </w:r>
      <w:proofErr w:type="spellEnd"/>
      <w:r w:rsidRPr="00EC3E53">
        <w:rPr>
          <w:rFonts w:ascii="Times New Roman" w:hAnsi="Times New Roman" w:cs="Times New Roman"/>
          <w:sz w:val="24"/>
          <w:szCs w:val="24"/>
          <w:lang w:val="en-US"/>
        </w:rPr>
        <w:t xml:space="preserve"> </w:t>
      </w:r>
      <w:r w:rsidR="00AA17CB" w:rsidRPr="00EC3E53">
        <w:rPr>
          <w:rFonts w:ascii="Times New Roman" w:hAnsi="Times New Roman" w:cs="Times New Roman"/>
          <w:sz w:val="24"/>
          <w:szCs w:val="24"/>
          <w:lang w:val="en-US"/>
        </w:rPr>
        <w:t>(</w:t>
      </w:r>
      <w:proofErr w:type="spellStart"/>
      <w:r w:rsidR="00AA17CB" w:rsidRPr="00EC3E53">
        <w:rPr>
          <w:rFonts w:ascii="Times New Roman" w:hAnsi="Times New Roman" w:cs="Times New Roman"/>
          <w:sz w:val="24"/>
          <w:szCs w:val="24"/>
          <w:lang w:val="en-US"/>
        </w:rPr>
        <w:t>nTg</w:t>
      </w:r>
      <w:proofErr w:type="spellEnd"/>
      <w:r w:rsidR="00AA17CB"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culture from hippocampi of littermate animals. Cultures 14 days old were used in the experiments. At this term transgenic cultures already well reproduce such characteristic features of AD as: decrease in neuronal density on the background of increase in astrocyte density, decrease in the number of synaptic contacts, as well as a significant increase in the concentration of beta-amyloid.</w:t>
      </w:r>
    </w:p>
    <w:p w14:paraId="07EA4409"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2.3 Regulation of mitochondrial fusion and fission processes.</w:t>
      </w:r>
    </w:p>
    <w:p w14:paraId="475BDD3B" w14:textId="7D373E68" w:rsidR="00431E91"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Two substances with similar functions but different pathways were selected for mitochondrial fusion shifts. The first substance, Mitochondrial Division Inhibitor 1 (Sigma-Aldrich 475856) (</w:t>
      </w:r>
      <w:r w:rsidR="0045186E">
        <w:rPr>
          <w:rFonts w:ascii="Times New Roman" w:hAnsi="Times New Roman" w:cs="Times New Roman"/>
          <w:sz w:val="24"/>
          <w:szCs w:val="24"/>
          <w:lang w:val="en-US"/>
        </w:rPr>
        <w:t>m</w:t>
      </w:r>
      <w:r w:rsidRPr="00EC3E53">
        <w:rPr>
          <w:rFonts w:ascii="Times New Roman" w:hAnsi="Times New Roman" w:cs="Times New Roman"/>
          <w:sz w:val="24"/>
          <w:szCs w:val="24"/>
          <w:lang w:val="en-US"/>
        </w:rPr>
        <w:t>divi-1), is a cell-permeable quinazolinone compound that reversibly inhibits dynamin-like proteins (Drp1) (dynamin-related GTPases) responsible for mitochondrial fission. The second substance: Mitochondrial Fusion Promoter M1 (Sigma-Aldrich SML0629)</w:t>
      </w:r>
      <w:r w:rsidR="0035486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(MFP), is a cell-permeable hydrazone that enhances mitochondrial fusion and does not affect the morphology of the endoplasmic network and lysosomes. Preparation of solutions of substances and application into wells was performed according to the manufacturer's recommendations. In our experiments, we used short (1 day) and long (5 days) observation after Mdivi-1 and MFP administration to evaluate the response and dynamics of changes in the structure of the primary hippocampal culture over time.</w:t>
      </w:r>
    </w:p>
    <w:p w14:paraId="23FDDE23" w14:textId="6AC29F0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Forcing mitochondrial fission seemed to be a much more difficult task. Currently, the commercial market cannot provide compounds capable of directly affecting mitochondrial fission processes. In our experiments we used the introduction of zinc chloride solution of high (1μM) and low concentration (0.1μM) into the cultures. "Overloading" the culture cells with zinc causes too much cellular and mitochondrial stress, which directly affects both mitochondrial and culture morphology, so this experiment was performed within a single day only. The concentration we chose allowed for effects on mitochondrial morphology without causing immediate cytotoxicity, which is primarily reflected in the integrity of the neurite structure. This experiment reflects short (1 day) and long (5 days) follow-up.</w:t>
      </w:r>
    </w:p>
    <w:p w14:paraId="10EC4461"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2.4 Visualization of mitochondria. </w:t>
      </w:r>
    </w:p>
    <w:p w14:paraId="530800FA" w14:textId="77777777" w:rsidR="003A36F2" w:rsidRPr="00EC3E53"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To visualize mitochondria in cells, we used transduction/transfection of cell cultures with the </w:t>
      </w:r>
      <w:proofErr w:type="spellStart"/>
      <w:r w:rsidRPr="00EC3E53">
        <w:rPr>
          <w:rFonts w:ascii="Times New Roman" w:hAnsi="Times New Roman" w:cs="Times New Roman"/>
          <w:sz w:val="24"/>
          <w:szCs w:val="24"/>
          <w:lang w:val="en-US"/>
        </w:rPr>
        <w:t>CellLight</w:t>
      </w:r>
      <w:proofErr w:type="spellEnd"/>
      <w:r w:rsidRPr="00EC3E53">
        <w:rPr>
          <w:rFonts w:ascii="Times New Roman" w:hAnsi="Times New Roman" w:cs="Times New Roman"/>
          <w:sz w:val="24"/>
          <w:szCs w:val="24"/>
          <w:lang w:val="en-US"/>
        </w:rPr>
        <w:t xml:space="preserve"> </w:t>
      </w:r>
      <w:proofErr w:type="spellStart"/>
      <w:r w:rsidRPr="00EC3E53">
        <w:rPr>
          <w:rFonts w:ascii="Times New Roman" w:hAnsi="Times New Roman" w:cs="Times New Roman"/>
          <w:sz w:val="24"/>
          <w:szCs w:val="24"/>
          <w:lang w:val="en-US"/>
        </w:rPr>
        <w:t>BacMam</w:t>
      </w:r>
      <w:proofErr w:type="spellEnd"/>
      <w:r w:rsidRPr="00EC3E53">
        <w:rPr>
          <w:rFonts w:ascii="Times New Roman" w:hAnsi="Times New Roman" w:cs="Times New Roman"/>
          <w:sz w:val="24"/>
          <w:szCs w:val="24"/>
          <w:lang w:val="en-US"/>
        </w:rPr>
        <w:t xml:space="preserve"> 2.0 Red system. This ready-to-use construct is transduced/transfected into cells using </w:t>
      </w:r>
      <w:proofErr w:type="spellStart"/>
      <w:r w:rsidRPr="00EC3E53">
        <w:rPr>
          <w:rFonts w:ascii="Times New Roman" w:hAnsi="Times New Roman" w:cs="Times New Roman"/>
          <w:sz w:val="24"/>
          <w:szCs w:val="24"/>
          <w:lang w:val="en-US"/>
        </w:rPr>
        <w:t>BacMam</w:t>
      </w:r>
      <w:proofErr w:type="spellEnd"/>
      <w:r w:rsidRPr="00EC3E53">
        <w:rPr>
          <w:rFonts w:ascii="Times New Roman" w:hAnsi="Times New Roman" w:cs="Times New Roman"/>
          <w:sz w:val="24"/>
          <w:szCs w:val="24"/>
          <w:lang w:val="en-US"/>
        </w:rPr>
        <w:t xml:space="preserve"> 2.0 technology, where it expresses a fluorescent protein fused to the E1-alpha-pyruvate dehydrogenase leader sequence. A suitable volume of reagent is injected into a cell culture of desired density (reagent calculation is based on the number of cells in the culture according to the manufacturer's recommendations) and gently mixed. The cells are returned to </w:t>
      </w:r>
      <w:r w:rsidRPr="00EC3E53">
        <w:rPr>
          <w:rFonts w:ascii="Times New Roman" w:hAnsi="Times New Roman" w:cs="Times New Roman"/>
          <w:sz w:val="24"/>
          <w:szCs w:val="24"/>
          <w:lang w:val="en-US"/>
        </w:rPr>
        <w:lastRenderedPageBreak/>
        <w:t xml:space="preserve">the culture incubator overnight, and after approximately 16 hours, the culture is ready for experiments. </w:t>
      </w:r>
    </w:p>
    <w:p w14:paraId="00BB210D" w14:textId="72859FA4"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Mitochondrial morphology was examined on a Leica DM IL LED microscope (Leica, Germany) using a x100 oil-immersion objective. We found that fixation of nerve cells disrupts mitochondrial morphology and triggers an immediate cascade of </w:t>
      </w:r>
      <w:proofErr w:type="spellStart"/>
      <w:r w:rsidRPr="00EC3E53">
        <w:rPr>
          <w:rFonts w:ascii="Times New Roman" w:hAnsi="Times New Roman" w:cs="Times New Roman"/>
          <w:sz w:val="24"/>
          <w:szCs w:val="24"/>
          <w:lang w:val="en-US"/>
        </w:rPr>
        <w:t>mitoptosis</w:t>
      </w:r>
      <w:proofErr w:type="spellEnd"/>
      <w:r w:rsidRPr="00EC3E53">
        <w:rPr>
          <w:rFonts w:ascii="Times New Roman" w:hAnsi="Times New Roman" w:cs="Times New Roman"/>
          <w:sz w:val="24"/>
          <w:szCs w:val="24"/>
          <w:lang w:val="en-US"/>
        </w:rPr>
        <w:t xml:space="preserve"> reactions with displacement of mitochondrial material together with fluorescent agent from the cell, which is especially noticeable when working with astrocyt</w:t>
      </w:r>
      <w:r w:rsidR="00AA701B">
        <w:rPr>
          <w:rFonts w:ascii="Times New Roman" w:hAnsi="Times New Roman" w:cs="Times New Roman"/>
          <w:sz w:val="24"/>
          <w:szCs w:val="24"/>
          <w:lang w:val="en-US"/>
        </w:rPr>
        <w:t>es</w:t>
      </w:r>
      <w:r w:rsidRPr="00EC3E53">
        <w:rPr>
          <w:rFonts w:ascii="Times New Roman" w:hAnsi="Times New Roman" w:cs="Times New Roman"/>
          <w:sz w:val="24"/>
          <w:szCs w:val="24"/>
          <w:lang w:val="en-US"/>
        </w:rPr>
        <w:t>. Therefore, all data on mitochondrial morphology were obtained on live, unfixed cell cultures.</w:t>
      </w:r>
    </w:p>
    <w:p w14:paraId="272DEE36"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2.5 Detection of intracellular lipofuscin</w:t>
      </w:r>
    </w:p>
    <w:p w14:paraId="2E59DFAF" w14:textId="4699FAFA" w:rsidR="003A36F2" w:rsidRPr="00EC3E53"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We also used spectrofluorimetric detection of lipofuscin, an </w:t>
      </w:r>
      <w:proofErr w:type="spellStart"/>
      <w:r w:rsidRPr="00EC3E53">
        <w:rPr>
          <w:rFonts w:ascii="Times New Roman" w:hAnsi="Times New Roman" w:cs="Times New Roman"/>
          <w:sz w:val="24"/>
          <w:szCs w:val="24"/>
          <w:lang w:val="en-US"/>
        </w:rPr>
        <w:t>autofluorescent</w:t>
      </w:r>
      <w:proofErr w:type="spellEnd"/>
      <w:r w:rsidRPr="00EC3E53">
        <w:rPr>
          <w:rFonts w:ascii="Times New Roman" w:hAnsi="Times New Roman" w:cs="Times New Roman"/>
          <w:sz w:val="24"/>
          <w:szCs w:val="24"/>
          <w:lang w:val="en-US"/>
        </w:rPr>
        <w:t xml:space="preserve"> aging pigment, as a marker of changes in cellular metabolism. For this purpose, culture plates with primary hippocampal cultures were washed three times from the medium with PBS and poured into a solution of 5% sodium dodecyl sulfate in water for 5 minutes with simultaneous stirring on a shaker equipped with a refrigerant, which allowed to completely destroy cell cultures and transfer them into solution. The resulting suspensions were frozen and further used for experiments. Sodium dodecyl sulfate, disintegrates protein complexes, destroying cell membranes, but does not destroy lipofuscin, due to its N-substituted imines - Schiff bases. The addition of detergent in our experiments, in addition to chemical dissociation, reduced light scattering and eliminated the effect of Tyndall-Rayleigh </w:t>
      </w:r>
      <w:proofErr w:type="spellStart"/>
      <w:r w:rsidRPr="00EC3E53">
        <w:rPr>
          <w:rFonts w:ascii="Times New Roman" w:hAnsi="Times New Roman" w:cs="Times New Roman"/>
          <w:sz w:val="24"/>
          <w:szCs w:val="24"/>
          <w:lang w:val="en-US"/>
        </w:rPr>
        <w:t>hypochromism</w:t>
      </w:r>
      <w:proofErr w:type="spellEnd"/>
      <w:r w:rsidRPr="00EC3E53">
        <w:rPr>
          <w:rFonts w:ascii="Times New Roman" w:hAnsi="Times New Roman" w:cs="Times New Roman"/>
          <w:sz w:val="24"/>
          <w:szCs w:val="24"/>
          <w:lang w:val="en-US"/>
        </w:rPr>
        <w:t xml:space="preserve">, directly affecting the registration of spectral characteristics. </w:t>
      </w:r>
    </w:p>
    <w:p w14:paraId="6454F26A" w14:textId="2E394718" w:rsidR="003A36F2" w:rsidRPr="00EC3E53" w:rsidRDefault="003A36F2" w:rsidP="00B01E7F">
      <w:pPr>
        <w:spacing w:line="240" w:lineRule="auto"/>
        <w:rPr>
          <w:rFonts w:ascii="Times New Roman" w:hAnsi="Times New Roman" w:cs="Times New Roman"/>
          <w:color w:val="000000" w:themeColor="text1"/>
          <w:sz w:val="24"/>
          <w:szCs w:val="24"/>
          <w:lang w:val="en-US"/>
        </w:rPr>
      </w:pPr>
      <w:r w:rsidRPr="00EC3E53">
        <w:rPr>
          <w:rFonts w:ascii="Times New Roman" w:hAnsi="Times New Roman" w:cs="Times New Roman"/>
          <w:sz w:val="24"/>
          <w:szCs w:val="24"/>
          <w:lang w:val="en-US"/>
        </w:rPr>
        <w:t xml:space="preserve">Protein concentration in the obtained suspensions was determined and equilibrated by the Lowry method and UV-express method by the optical density of tryptophan protein </w:t>
      </w:r>
      <w:r w:rsidRPr="00B95E8E">
        <w:rPr>
          <w:rFonts w:ascii="Times New Roman" w:hAnsi="Times New Roman" w:cs="Times New Roman"/>
          <w:sz w:val="24"/>
          <w:szCs w:val="24"/>
          <w:lang w:val="en-US"/>
        </w:rPr>
        <w:t xml:space="preserve">in ultraviolet at 286 nm </w:t>
      </w:r>
      <w:r w:rsidR="00AA17CB" w:rsidRPr="00B95E8E">
        <w:rPr>
          <w:rFonts w:ascii="Times New Roman" w:hAnsi="Times New Roman" w:cs="Times New Roman"/>
          <w:sz w:val="24"/>
          <w:szCs w:val="24"/>
          <w:lang w:val="en-US"/>
        </w:rPr>
        <w:fldChar w:fldCharType="begin" w:fldLock="1"/>
      </w:r>
      <w:r w:rsidR="00DA4C46" w:rsidRPr="00B95E8E">
        <w:rPr>
          <w:rFonts w:ascii="Times New Roman" w:hAnsi="Times New Roman" w:cs="Times New Roman"/>
          <w:sz w:val="24"/>
          <w:szCs w:val="24"/>
          <w:lang w:val="en-US"/>
        </w:rPr>
        <w:instrText>ADDIN CSL_CITATION {"citationItems":[{"id":"ITEM-1","itemData":{"ISSN":"1561-9125 (Print)","PMID":"30080326","abstract":"A comparison of the lipofuscin (aging pigment) content in four organs (liver,  kidney, heart, brain) of young and adult rats, as well as in a suspension of hepatic mitochondria, was made. It was demonstrated that mitochondrial lipofuscin - mitolipofuscin, fluorescing in the blue region, makes the main contribution to hepatic lipofuscin. It is assumed that mitolipofuscin in other organs also makes a significant contribution. It is shown that accumulation of lipofuscin with age occurs in all organs of rats, but least of all in the brain. In addition to fluorescent lipofuscin, non-fluorescent protein aggregates are found in all organs, the largest number of which is found in the heart. Among them, a significant proportion is covalently cross-linked aggregates that are not destroyed by detergents. Their number also increases with age.","author":[{"dropping-particle":"V","family":"Chaplygina","given":"A","non-dropping-particle":"","parse-names":false,"suffix":""},{"dropping-particle":"","family":"Vekshin","given":"N L","non-dropping-particle":"","parse-names":false,"suffix":""}],"container-title":"Advances in gerontology = Uspekhi gerontologii","id":"ITEM-1","issue":"2","issued":{"date-parts":[["2018"]]},"language":"rus","page":"197-202","publisher-place":"Russia (Federation)","title":"[Lipofuscin and mitolipofuscin in organs of young and adult rats.].","type":"article-journal","volume":"31"},"uris":["http://www.mendeley.com/documents/?uuid=b3ebcffd-107a-4edb-80a6-734bed615cba"]}],"mendeley":{"formattedCitation":"[12]","plainTextFormattedCitation":"[12]","previouslyFormattedCitation":"[12]"},"properties":{"noteIndex":0},"schema":"https://github.com/citation-style-language/schema/raw/master/csl-citation.json"}</w:instrText>
      </w:r>
      <w:r w:rsidR="00AA17CB" w:rsidRPr="00B95E8E">
        <w:rPr>
          <w:rFonts w:ascii="Times New Roman" w:hAnsi="Times New Roman" w:cs="Times New Roman"/>
          <w:sz w:val="24"/>
          <w:szCs w:val="24"/>
          <w:lang w:val="en-US"/>
        </w:rPr>
        <w:fldChar w:fldCharType="separate"/>
      </w:r>
      <w:r w:rsidR="00AA17CB" w:rsidRPr="00B95E8E">
        <w:rPr>
          <w:rFonts w:ascii="Times New Roman" w:hAnsi="Times New Roman" w:cs="Times New Roman"/>
          <w:noProof/>
          <w:sz w:val="24"/>
          <w:szCs w:val="24"/>
          <w:lang w:val="en-US"/>
        </w:rPr>
        <w:t>[12]</w:t>
      </w:r>
      <w:r w:rsidR="00AA17CB" w:rsidRPr="00B95E8E">
        <w:rPr>
          <w:rFonts w:ascii="Times New Roman" w:hAnsi="Times New Roman" w:cs="Times New Roman"/>
          <w:sz w:val="24"/>
          <w:szCs w:val="24"/>
          <w:lang w:val="en-US"/>
        </w:rPr>
        <w:fldChar w:fldCharType="end"/>
      </w:r>
      <w:r w:rsidRPr="00B95E8E">
        <w:rPr>
          <w:rFonts w:ascii="Times New Roman" w:hAnsi="Times New Roman" w:cs="Times New Roman"/>
          <w:color w:val="000000" w:themeColor="text1"/>
          <w:sz w:val="24"/>
          <w:szCs w:val="24"/>
          <w:lang w:val="en-US"/>
        </w:rPr>
        <w:t>. UV</w:t>
      </w:r>
      <w:r w:rsidRPr="00EC3E53">
        <w:rPr>
          <w:rFonts w:ascii="Times New Roman" w:hAnsi="Times New Roman" w:cs="Times New Roman"/>
          <w:color w:val="000000" w:themeColor="text1"/>
          <w:sz w:val="24"/>
          <w:szCs w:val="24"/>
          <w:lang w:val="en-US"/>
        </w:rPr>
        <w:t xml:space="preserve"> spectroscopy methods are based on the ability of solutions to absorb light at around 280 nm due to the presence of the </w:t>
      </w:r>
      <w:r w:rsidR="00AA17CB" w:rsidRPr="00EC3E53">
        <w:rPr>
          <w:rFonts w:ascii="Times New Roman" w:hAnsi="Times New Roman" w:cs="Times New Roman"/>
          <w:color w:val="000000" w:themeColor="text1"/>
          <w:sz w:val="24"/>
          <w:szCs w:val="24"/>
          <w:lang w:val="en-US"/>
        </w:rPr>
        <w:t>amino acids’</w:t>
      </w:r>
      <w:r w:rsidRPr="00EC3E53">
        <w:rPr>
          <w:rFonts w:ascii="Times New Roman" w:hAnsi="Times New Roman" w:cs="Times New Roman"/>
          <w:color w:val="000000" w:themeColor="text1"/>
          <w:sz w:val="24"/>
          <w:szCs w:val="24"/>
          <w:lang w:val="en-US"/>
        </w:rPr>
        <w:t xml:space="preserve"> tryptophan, tyrosine and phenylalanine in proteins. The detection results are directly proportional to the content of these amino acids in proteins. To obtain reliable and accurate results, the optical density values of the solutions must meet the requirements of linearity over the range of protein concentrations to be determined.</w:t>
      </w:r>
    </w:p>
    <w:p w14:paraId="73340AD8" w14:textId="36F87453"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Lipofuscin formation was detected by a characteristic fluorescence band at about 450 nm under excitation at a wavelength of 360 nm. Lipofuscin content in homogenates was determined on a Perkin Elmer MPF-44B </w:t>
      </w:r>
      <w:proofErr w:type="spellStart"/>
      <w:r w:rsidRPr="00EC3E53">
        <w:rPr>
          <w:rFonts w:ascii="Times New Roman" w:hAnsi="Times New Roman" w:cs="Times New Roman"/>
          <w:sz w:val="24"/>
          <w:szCs w:val="24"/>
          <w:lang w:val="en-US"/>
        </w:rPr>
        <w:t>spectrofluorimeter</w:t>
      </w:r>
      <w:proofErr w:type="spellEnd"/>
      <w:r w:rsidRPr="00EC3E53">
        <w:rPr>
          <w:rFonts w:ascii="Times New Roman" w:hAnsi="Times New Roman" w:cs="Times New Roman"/>
          <w:sz w:val="24"/>
          <w:szCs w:val="24"/>
          <w:lang w:val="en-US"/>
        </w:rPr>
        <w:t xml:space="preserve"> (USA) in multiway mirror microcuvettes for measuring fluorescence of weakly absorbing solutions. The cuvettes provide multiple enhancement of fluorescence intensity due to the increased optical path length of the excitation light and the added light collection of the emission. Excitation light entering through a narrow window in the frontal mirror wall of the cuvette passes through the solution and onto the mirror opposite side, is deflected and undergoes two or three reflections within the cuvette. The radiation is collected at right angles. Additional light collection of radiation is provided by a mirror side wall that directs the fluorescence into the registration channel. When it is used, light losses and artifact polarization are minimal compared to a conventional cuvette located near concave mirrors.</w:t>
      </w:r>
    </w:p>
    <w:p w14:paraId="402B4B94"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 xml:space="preserve">2.6 Immunocytochemistry </w:t>
      </w:r>
    </w:p>
    <w:p w14:paraId="54F591B5" w14:textId="57FF43E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For immunocytochemical staining for neuronal and astrocyte markers, cell cultures were fixed for 10 minutes with 4% paraformaldehyde. Membrane permeability was then increased using 0.2% Triton X-100 solution and nonspecific binding to antigens was blocked for one hour at room temperature in PBST (PBS+0.1% Tween 20) + 1% BSA solution using 10% normalized donkey serum (Abcam, ab7475) and 5% normalized goat serum (Invitrogen, 31872). Cultures were left overnight at 4°C for incubation with primary antibodies. After incubation with primary antibodies, binding was performed with appropriate secondary antibodies conjugated to </w:t>
      </w:r>
      <w:r w:rsidRPr="00EC3E53">
        <w:rPr>
          <w:rFonts w:ascii="Times New Roman" w:hAnsi="Times New Roman" w:cs="Times New Roman"/>
          <w:sz w:val="24"/>
          <w:szCs w:val="24"/>
          <w:lang w:val="en-US"/>
        </w:rPr>
        <w:lastRenderedPageBreak/>
        <w:t>fluorescent tags for 2 hours at room temperature. After each treatment, cells were washed 3 times with PBS solution (pH 7.4) for 5 minutes each. The following primary and secondary antibodies were used to stain for neurons - Anti-MAP2 antibody (ab32454, 1:200) and corresponding Alexa594nm (ab150080, 1:400); astrocytes - Anti-GFAP antibody (ab4674, 1:800); Alexa488nm (ab150169, 1:1000).</w:t>
      </w:r>
    </w:p>
    <w:p w14:paraId="27C4D567" w14:textId="77777777" w:rsidR="003A36F2" w:rsidRPr="00B95E8E" w:rsidRDefault="003A36F2"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2.7 Statistical Analysis</w:t>
      </w:r>
    </w:p>
    <w:p w14:paraId="17218783" w14:textId="0E3C0388" w:rsidR="003A36F2" w:rsidRDefault="003A36F2"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Statistical analysis of the results was performed using Sigma Plot 12.5 software. Data are presented as mean and standard error of mean for visual convenience. The hypothesis of normal distribution was tested using the Shapiro-Wilk test. One-factor ANOVA analysis of variance with a posteriori comparison of groups using Dunn's </w:t>
      </w:r>
      <w:r w:rsidR="00F0260F">
        <w:rPr>
          <w:rFonts w:ascii="Times New Roman" w:hAnsi="Times New Roman" w:cs="Times New Roman"/>
          <w:sz w:val="24"/>
          <w:szCs w:val="24"/>
          <w:lang w:val="en-US"/>
        </w:rPr>
        <w:t xml:space="preserve">and </w:t>
      </w:r>
      <w:r w:rsidR="00F0260F" w:rsidRPr="00831859">
        <w:rPr>
          <w:rFonts w:ascii="Times New Roman" w:hAnsi="Times New Roman" w:cs="Times New Roman"/>
          <w:sz w:val="24"/>
          <w:szCs w:val="24"/>
          <w:lang w:val="en-US"/>
        </w:rPr>
        <w:t>Bonferroni</w:t>
      </w:r>
      <w:r w:rsidR="00F0260F"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t>method</w:t>
      </w:r>
      <w:r w:rsidR="00F0260F">
        <w:rPr>
          <w:rFonts w:ascii="Times New Roman" w:hAnsi="Times New Roman" w:cs="Times New Roman"/>
          <w:sz w:val="24"/>
          <w:szCs w:val="24"/>
          <w:lang w:val="en-US"/>
        </w:rPr>
        <w:t>s</w:t>
      </w:r>
      <w:r w:rsidRPr="00EC3E53">
        <w:rPr>
          <w:rFonts w:ascii="Times New Roman" w:hAnsi="Times New Roman" w:cs="Times New Roman"/>
          <w:sz w:val="24"/>
          <w:szCs w:val="24"/>
          <w:lang w:val="en-US"/>
        </w:rPr>
        <w:t xml:space="preserve"> w</w:t>
      </w:r>
      <w:r w:rsidR="00F0260F">
        <w:rPr>
          <w:rFonts w:ascii="Times New Roman" w:hAnsi="Times New Roman" w:cs="Times New Roman"/>
          <w:sz w:val="24"/>
          <w:szCs w:val="24"/>
          <w:lang w:val="en-US"/>
        </w:rPr>
        <w:t xml:space="preserve">ere </w:t>
      </w:r>
      <w:r w:rsidRPr="00EC3E53">
        <w:rPr>
          <w:rFonts w:ascii="Times New Roman" w:hAnsi="Times New Roman" w:cs="Times New Roman"/>
          <w:sz w:val="24"/>
          <w:szCs w:val="24"/>
          <w:lang w:val="en-US"/>
        </w:rPr>
        <w:t>used to compare differences between groups and to determine statistical significance.</w:t>
      </w:r>
    </w:p>
    <w:p w14:paraId="2B7D70AA" w14:textId="4BF01215" w:rsidR="003A36F2" w:rsidRP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3. RESULTS</w:t>
      </w:r>
    </w:p>
    <w:p w14:paraId="6E1EED3E" w14:textId="0657FEF5" w:rsidR="003A36F2" w:rsidRPr="00431E91" w:rsidRDefault="003A36F2" w:rsidP="00B01E7F">
      <w:pPr>
        <w:spacing w:line="240" w:lineRule="auto"/>
        <w:rPr>
          <w:rFonts w:ascii="Times New Roman" w:hAnsi="Times New Roman" w:cs="Times New Roman"/>
          <w:b/>
          <w:bCs/>
          <w:sz w:val="24"/>
          <w:szCs w:val="24"/>
          <w:lang w:val="en-US"/>
        </w:rPr>
      </w:pPr>
      <w:r w:rsidRPr="00431E91">
        <w:rPr>
          <w:rFonts w:ascii="Times New Roman" w:hAnsi="Times New Roman" w:cs="Times New Roman"/>
          <w:b/>
          <w:bCs/>
          <w:sz w:val="24"/>
          <w:szCs w:val="24"/>
          <w:lang w:val="en-US"/>
        </w:rPr>
        <w:t>3.1 Forced activation of mitochondrial fusion leads to slow degradation of the culture.</w:t>
      </w:r>
    </w:p>
    <w:p w14:paraId="42B0AFC8" w14:textId="2AFF2760" w:rsidR="003A36F2" w:rsidRDefault="00D54168" w:rsidP="00B01E7F">
      <w:pPr>
        <w:spacing w:line="240" w:lineRule="auto"/>
        <w:rPr>
          <w:rFonts w:ascii="Times New Roman" w:hAnsi="Times New Roman" w:cs="Times New Roman"/>
          <w:sz w:val="24"/>
          <w:szCs w:val="24"/>
          <w:lang w:val="en-US"/>
        </w:rPr>
      </w:pPr>
      <w:r w:rsidRPr="00D54168">
        <w:rPr>
          <w:rFonts w:ascii="Times New Roman" w:hAnsi="Times New Roman" w:cs="Times New Roman"/>
          <w:sz w:val="24"/>
          <w:szCs w:val="24"/>
          <w:lang w:val="en-US"/>
        </w:rPr>
        <w:t xml:space="preserve">Utilization of the mitochondrial fusion promoter M1 (MFP) in astrocytes converts the mitochondrial network into a pool of fused and hyperfused mitochondria </w:t>
      </w:r>
      <w:r w:rsidR="003A36F2" w:rsidRPr="00EC3E53">
        <w:rPr>
          <w:rFonts w:ascii="Times New Roman" w:hAnsi="Times New Roman" w:cs="Times New Roman"/>
          <w:sz w:val="24"/>
          <w:szCs w:val="24"/>
          <w:lang w:val="en-US"/>
        </w:rPr>
        <w:t>(</w:t>
      </w:r>
      <w:r w:rsidR="003A36F2" w:rsidRPr="00D54168">
        <w:rPr>
          <w:rFonts w:ascii="Times New Roman" w:hAnsi="Times New Roman" w:cs="Times New Roman"/>
          <w:b/>
          <w:bCs/>
          <w:sz w:val="24"/>
          <w:szCs w:val="24"/>
          <w:lang w:val="en-US"/>
        </w:rPr>
        <w:t>Fig</w:t>
      </w:r>
      <w:r w:rsidRPr="00D54168">
        <w:rPr>
          <w:rFonts w:ascii="Times New Roman" w:hAnsi="Times New Roman" w:cs="Times New Roman"/>
          <w:b/>
          <w:bCs/>
          <w:sz w:val="24"/>
          <w:szCs w:val="24"/>
          <w:lang w:val="en-US"/>
        </w:rPr>
        <w:t>ure 1 C</w:t>
      </w:r>
      <w:r w:rsidR="003A36F2" w:rsidRPr="00EC3E53">
        <w:rPr>
          <w:rFonts w:ascii="Times New Roman" w:hAnsi="Times New Roman" w:cs="Times New Roman"/>
          <w:sz w:val="24"/>
          <w:szCs w:val="24"/>
          <w:lang w:val="en-US"/>
        </w:rPr>
        <w:t xml:space="preserve">). A similar pattern is observed in neurons, in which fused mitochondria become like elongated sticks or become large </w:t>
      </w:r>
      <w:r w:rsidR="003A36F2" w:rsidRPr="00117C40">
        <w:rPr>
          <w:rFonts w:ascii="Times New Roman" w:hAnsi="Times New Roman" w:cs="Times New Roman"/>
          <w:sz w:val="24"/>
          <w:szCs w:val="24"/>
          <w:lang w:val="en-US"/>
        </w:rPr>
        <w:t>fused mitochondria (</w:t>
      </w:r>
      <w:r w:rsidRPr="00117C40">
        <w:rPr>
          <w:rFonts w:ascii="Times New Roman" w:hAnsi="Times New Roman" w:cs="Times New Roman"/>
          <w:b/>
          <w:bCs/>
          <w:sz w:val="24"/>
          <w:szCs w:val="24"/>
          <w:lang w:val="en-US"/>
        </w:rPr>
        <w:t>Figure 1, C1</w:t>
      </w:r>
      <w:r w:rsidR="003A36F2" w:rsidRPr="00117C40">
        <w:rPr>
          <w:rFonts w:ascii="Times New Roman" w:hAnsi="Times New Roman" w:cs="Times New Roman"/>
          <w:sz w:val="24"/>
          <w:szCs w:val="24"/>
          <w:lang w:val="en-US"/>
        </w:rPr>
        <w:t xml:space="preserve">). </w:t>
      </w:r>
      <w:r w:rsidR="003A36F2" w:rsidRPr="00117C40">
        <w:rPr>
          <w:rFonts w:ascii="Times New Roman" w:hAnsi="Times New Roman" w:cs="Times New Roman"/>
          <w:b/>
          <w:bCs/>
          <w:sz w:val="24"/>
          <w:szCs w:val="24"/>
          <w:lang w:val="en-US"/>
        </w:rPr>
        <w:t>Fig</w:t>
      </w:r>
      <w:r w:rsidR="00431E91" w:rsidRPr="00117C40">
        <w:rPr>
          <w:rFonts w:ascii="Times New Roman" w:hAnsi="Times New Roman" w:cs="Times New Roman"/>
          <w:b/>
          <w:bCs/>
          <w:sz w:val="24"/>
          <w:szCs w:val="24"/>
          <w:lang w:val="en-US"/>
        </w:rPr>
        <w:t>ure</w:t>
      </w:r>
      <w:r w:rsidR="003A36F2" w:rsidRPr="00117C40">
        <w:rPr>
          <w:rFonts w:ascii="Times New Roman" w:hAnsi="Times New Roman" w:cs="Times New Roman"/>
          <w:b/>
          <w:bCs/>
          <w:sz w:val="24"/>
          <w:szCs w:val="24"/>
          <w:lang w:val="en-US"/>
        </w:rPr>
        <w:t xml:space="preserve"> 2, B-B1</w:t>
      </w:r>
      <w:r w:rsidR="00431E91" w:rsidRPr="00117C40">
        <w:rPr>
          <w:rFonts w:ascii="Times New Roman" w:hAnsi="Times New Roman" w:cs="Times New Roman"/>
          <w:sz w:val="24"/>
          <w:szCs w:val="24"/>
          <w:lang w:val="en-US"/>
        </w:rPr>
        <w:t xml:space="preserve"> is</w:t>
      </w:r>
      <w:r w:rsidR="003A36F2" w:rsidRPr="00117C40">
        <w:rPr>
          <w:rFonts w:ascii="Times New Roman" w:hAnsi="Times New Roman" w:cs="Times New Roman"/>
          <w:sz w:val="24"/>
          <w:szCs w:val="24"/>
          <w:lang w:val="en-US"/>
        </w:rPr>
        <w:t xml:space="preserve"> a tendency for neuronal density to fall by day 1 of exposure, and it falls significantly relative to the control native culture level by day 5 (47.4±</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 xml:space="preserve"> at native level, 3</w:t>
      </w:r>
      <w:r w:rsidR="009176BE" w:rsidRPr="00117C40">
        <w:rPr>
          <w:rFonts w:ascii="Times New Roman" w:hAnsi="Times New Roman" w:cs="Times New Roman"/>
          <w:sz w:val="24"/>
          <w:szCs w:val="24"/>
          <w:lang w:val="en-US"/>
        </w:rPr>
        <w:t>6</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7</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4</w:t>
      </w:r>
      <w:r w:rsidR="003A36F2" w:rsidRPr="00117C40">
        <w:rPr>
          <w:rFonts w:ascii="Times New Roman" w:hAnsi="Times New Roman" w:cs="Times New Roman"/>
          <w:sz w:val="24"/>
          <w:szCs w:val="24"/>
          <w:lang w:val="en-US"/>
        </w:rPr>
        <w:t xml:space="preserve"> at day 5, p &lt; 0.05, one-way ANOVA followed by Dunn's post-tests). There was a decrease in astrocytic density by day 1 (5</w:t>
      </w:r>
      <w:r w:rsidR="00F77476" w:rsidRPr="00117C40">
        <w:rPr>
          <w:rFonts w:ascii="Times New Roman" w:hAnsi="Times New Roman" w:cs="Times New Roman"/>
          <w:sz w:val="24"/>
          <w:szCs w:val="24"/>
          <w:lang w:val="en-US"/>
        </w:rPr>
        <w:t>2,3</w:t>
      </w:r>
      <w:r w:rsidR="003A36F2"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 xml:space="preserve"> in control, </w:t>
      </w:r>
      <w:r w:rsidR="00F77476" w:rsidRPr="00117C40">
        <w:rPr>
          <w:rFonts w:ascii="Times New Roman" w:hAnsi="Times New Roman" w:cs="Times New Roman"/>
          <w:sz w:val="24"/>
          <w:szCs w:val="24"/>
          <w:lang w:val="en-US"/>
        </w:rPr>
        <w:t>48,6</w:t>
      </w:r>
      <w:r w:rsidR="003A36F2" w:rsidRPr="00117C40">
        <w:rPr>
          <w:rFonts w:ascii="Times New Roman" w:hAnsi="Times New Roman" w:cs="Times New Roman"/>
          <w:sz w:val="24"/>
          <w:szCs w:val="24"/>
          <w:lang w:val="en-US"/>
        </w:rPr>
        <w:t>±1.6 at day 1, p &lt; 0.05, one-way ANOVA followed by Dunn's post-tests), and a further progressive decrease in density by day 5 (37.</w:t>
      </w:r>
      <w:r w:rsidR="00F77476" w:rsidRPr="00117C40">
        <w:rPr>
          <w:rFonts w:ascii="Times New Roman" w:hAnsi="Times New Roman" w:cs="Times New Roman"/>
          <w:sz w:val="24"/>
          <w:szCs w:val="24"/>
          <w:lang w:val="en-US"/>
        </w:rPr>
        <w:t>9</w:t>
      </w:r>
      <w:r w:rsidR="003A36F2" w:rsidRPr="00117C40">
        <w:rPr>
          <w:rFonts w:ascii="Times New Roman" w:hAnsi="Times New Roman" w:cs="Times New Roman"/>
          <w:sz w:val="24"/>
          <w:szCs w:val="24"/>
          <w:lang w:val="en-US"/>
        </w:rPr>
        <w:t>±</w:t>
      </w:r>
      <w:r w:rsidR="00F77476" w:rsidRPr="00117C40">
        <w:rPr>
          <w:rFonts w:ascii="Times New Roman" w:hAnsi="Times New Roman" w:cs="Times New Roman"/>
          <w:sz w:val="24"/>
          <w:szCs w:val="24"/>
          <w:lang w:val="en-US"/>
        </w:rPr>
        <w:t>1,5</w:t>
      </w:r>
      <w:r w:rsidR="003A36F2" w:rsidRPr="00117C40">
        <w:rPr>
          <w:rFonts w:ascii="Times New Roman" w:hAnsi="Times New Roman" w:cs="Times New Roman"/>
          <w:sz w:val="24"/>
          <w:szCs w:val="24"/>
          <w:lang w:val="en-US"/>
        </w:rPr>
        <w:t xml:space="preserve"> at day 5, p &lt; 0.05, one-way ANOVA followed by Dunn's post-tests). We also observe an interesting effect of decreasing lipofuscin fluorescence by day 1 (34</w:t>
      </w:r>
      <w:r w:rsidR="00831859" w:rsidRPr="00117C40">
        <w:rPr>
          <w:rFonts w:ascii="Times New Roman" w:hAnsi="Times New Roman" w:cs="Times New Roman"/>
          <w:sz w:val="24"/>
          <w:szCs w:val="24"/>
          <w:lang w:val="en-US"/>
        </w:rPr>
        <w:t>5</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003A36F2" w:rsidRPr="00117C40">
        <w:rPr>
          <w:rFonts w:ascii="Times New Roman" w:hAnsi="Times New Roman" w:cs="Times New Roman"/>
          <w:sz w:val="24"/>
          <w:szCs w:val="24"/>
          <w:lang w:val="en-US"/>
        </w:rPr>
        <w:t xml:space="preserve"> in native levels, 2</w:t>
      </w:r>
      <w:r w:rsidR="00831859" w:rsidRPr="00117C40">
        <w:rPr>
          <w:rFonts w:ascii="Times New Roman" w:hAnsi="Times New Roman" w:cs="Times New Roman"/>
          <w:sz w:val="24"/>
          <w:szCs w:val="24"/>
          <w:lang w:val="en-US"/>
        </w:rPr>
        <w:t>77</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003A36F2" w:rsidRPr="00117C40">
        <w:rPr>
          <w:rFonts w:ascii="Times New Roman" w:hAnsi="Times New Roman" w:cs="Times New Roman"/>
          <w:sz w:val="24"/>
          <w:szCs w:val="24"/>
          <w:lang w:val="en-US"/>
        </w:rPr>
        <w:t xml:space="preserve"> at day 1, p&lt;0.001 one-way ANOVA followed by </w:t>
      </w:r>
      <w:r w:rsidR="00831859" w:rsidRPr="00117C40">
        <w:rPr>
          <w:rFonts w:ascii="Times New Roman" w:hAnsi="Times New Roman" w:cs="Times New Roman"/>
          <w:sz w:val="24"/>
          <w:szCs w:val="24"/>
          <w:lang w:val="en-US"/>
        </w:rPr>
        <w:t>Dunn's</w:t>
      </w:r>
      <w:r w:rsidR="003A36F2" w:rsidRPr="00117C40">
        <w:rPr>
          <w:rFonts w:ascii="Times New Roman" w:hAnsi="Times New Roman" w:cs="Times New Roman"/>
          <w:sz w:val="24"/>
          <w:szCs w:val="24"/>
          <w:lang w:val="en-US"/>
        </w:rPr>
        <w:t xml:space="preserve"> post-tests) and day 5 (13</w:t>
      </w:r>
      <w:r w:rsidR="00831859" w:rsidRPr="00117C40">
        <w:rPr>
          <w:rFonts w:ascii="Times New Roman" w:hAnsi="Times New Roman" w:cs="Times New Roman"/>
          <w:sz w:val="24"/>
          <w:szCs w:val="24"/>
          <w:lang w:val="en-US"/>
        </w:rPr>
        <w:t>1</w:t>
      </w:r>
      <w:r w:rsidR="003A36F2"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1,5</w:t>
      </w:r>
      <w:r w:rsidR="003A36F2" w:rsidRPr="00117C40">
        <w:rPr>
          <w:rFonts w:ascii="Times New Roman" w:hAnsi="Times New Roman" w:cs="Times New Roman"/>
          <w:sz w:val="24"/>
          <w:szCs w:val="24"/>
          <w:lang w:val="en-US"/>
        </w:rPr>
        <w:t xml:space="preserve">, p&lt;0.001 one-way ANOVA followed by </w:t>
      </w:r>
      <w:r w:rsidR="00831859" w:rsidRPr="00117C40">
        <w:rPr>
          <w:rFonts w:ascii="Times New Roman" w:hAnsi="Times New Roman" w:cs="Times New Roman"/>
          <w:sz w:val="24"/>
          <w:szCs w:val="24"/>
          <w:lang w:val="en-US"/>
        </w:rPr>
        <w:t>Dunn's</w:t>
      </w:r>
      <w:r w:rsidR="003A36F2" w:rsidRPr="00117C40">
        <w:rPr>
          <w:rFonts w:ascii="Times New Roman" w:hAnsi="Times New Roman" w:cs="Times New Roman"/>
          <w:sz w:val="24"/>
          <w:szCs w:val="24"/>
          <w:lang w:val="en-US"/>
        </w:rPr>
        <w:t xml:space="preserve"> post-tests) of fusion activator exposure </w:t>
      </w:r>
      <w:r w:rsidR="00431E91" w:rsidRPr="00117C40">
        <w:rPr>
          <w:rFonts w:ascii="Times New Roman" w:hAnsi="Times New Roman" w:cs="Times New Roman"/>
          <w:sz w:val="24"/>
          <w:szCs w:val="24"/>
          <w:lang w:val="en-US"/>
        </w:rPr>
        <w:t xml:space="preserve">at </w:t>
      </w:r>
      <w:r w:rsidR="003A36F2" w:rsidRPr="00117C40">
        <w:rPr>
          <w:rFonts w:ascii="Times New Roman" w:hAnsi="Times New Roman" w:cs="Times New Roman"/>
          <w:b/>
          <w:bCs/>
          <w:sz w:val="24"/>
          <w:szCs w:val="24"/>
          <w:lang w:val="en-US"/>
        </w:rPr>
        <w:t>Fig</w:t>
      </w:r>
      <w:r w:rsidR="00431E91" w:rsidRPr="00117C40">
        <w:rPr>
          <w:rFonts w:ascii="Times New Roman" w:hAnsi="Times New Roman" w:cs="Times New Roman"/>
          <w:b/>
          <w:bCs/>
          <w:sz w:val="24"/>
          <w:szCs w:val="24"/>
          <w:lang w:val="en-US"/>
        </w:rPr>
        <w:t>ure</w:t>
      </w:r>
      <w:r w:rsidR="003A36F2" w:rsidRPr="00117C40">
        <w:rPr>
          <w:rFonts w:ascii="Times New Roman" w:hAnsi="Times New Roman" w:cs="Times New Roman"/>
          <w:b/>
          <w:bCs/>
          <w:sz w:val="24"/>
          <w:szCs w:val="24"/>
          <w:lang w:val="en-US"/>
        </w:rPr>
        <w:t xml:space="preserve"> 3, B.</w:t>
      </w:r>
      <w:r w:rsidR="003A36F2" w:rsidRPr="00117C40">
        <w:rPr>
          <w:rFonts w:ascii="Times New Roman" w:hAnsi="Times New Roman" w:cs="Times New Roman"/>
          <w:sz w:val="24"/>
          <w:szCs w:val="24"/>
          <w:lang w:val="en-US"/>
        </w:rPr>
        <w:t xml:space="preserve"> Overall, prolonged exposure to MFP resembles a depletion of internal culture resources.</w:t>
      </w:r>
    </w:p>
    <w:p w14:paraId="66BBD898" w14:textId="77777777" w:rsidR="00B01E7F" w:rsidRPr="009C5E07" w:rsidRDefault="00B01E7F" w:rsidP="00B01E7F">
      <w:pPr>
        <w:rPr>
          <w:rFonts w:ascii="Times New Roman" w:hAnsi="Times New Roman" w:cs="Times New Roman"/>
          <w:sz w:val="24"/>
          <w:szCs w:val="24"/>
        </w:rPr>
      </w:pPr>
      <w:r w:rsidRPr="009C5E07">
        <w:rPr>
          <w:rFonts w:ascii="Times New Roman" w:hAnsi="Times New Roman" w:cs="Times New Roman"/>
          <w:noProof/>
          <w:sz w:val="24"/>
          <w:szCs w:val="24"/>
        </w:rPr>
        <w:lastRenderedPageBreak/>
        <w:drawing>
          <wp:inline distT="0" distB="0" distL="0" distR="0" wp14:anchorId="463C082D" wp14:editId="08126E48">
            <wp:extent cx="5022850" cy="9245600"/>
            <wp:effectExtent l="0" t="0" r="6350" b="0"/>
            <wp:docPr id="1212370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850" cy="9245600"/>
                    </a:xfrm>
                    <a:prstGeom prst="rect">
                      <a:avLst/>
                    </a:prstGeom>
                    <a:noFill/>
                    <a:ln>
                      <a:noFill/>
                    </a:ln>
                  </pic:spPr>
                </pic:pic>
              </a:graphicData>
            </a:graphic>
          </wp:inline>
        </w:drawing>
      </w:r>
    </w:p>
    <w:p w14:paraId="4F713CF3" w14:textId="77777777" w:rsidR="00B01E7F" w:rsidRPr="005E3A19" w:rsidRDefault="00B01E7F" w:rsidP="00B01E7F">
      <w:pPr>
        <w:rPr>
          <w:rFonts w:ascii="Times New Roman" w:hAnsi="Times New Roman" w:cs="Times New Roman"/>
          <w:sz w:val="24"/>
          <w:szCs w:val="24"/>
          <w:lang w:val="en-US"/>
        </w:rPr>
      </w:pPr>
      <w:r w:rsidRPr="009C5E07">
        <w:rPr>
          <w:rFonts w:ascii="Times New Roman" w:hAnsi="Times New Roman" w:cs="Times New Roman"/>
          <w:b/>
          <w:bCs/>
          <w:sz w:val="24"/>
          <w:szCs w:val="24"/>
          <w:lang w:val="en-US"/>
        </w:rPr>
        <w:lastRenderedPageBreak/>
        <w:t>Figure 1.</w:t>
      </w:r>
      <w:r>
        <w:rPr>
          <w:rFonts w:ascii="Times New Roman" w:hAnsi="Times New Roman" w:cs="Times New Roman"/>
          <w:b/>
          <w:bCs/>
          <w:sz w:val="24"/>
          <w:szCs w:val="24"/>
          <w:lang w:val="en-US"/>
        </w:rPr>
        <w:t xml:space="preserve"> </w:t>
      </w:r>
      <w:r w:rsidRPr="00B01E7F">
        <w:rPr>
          <w:rFonts w:ascii="Times New Roman" w:hAnsi="Times New Roman" w:cs="Times New Roman"/>
          <w:i/>
          <w:iCs/>
          <w:sz w:val="24"/>
          <w:szCs w:val="24"/>
          <w:lang w:val="en-US"/>
        </w:rPr>
        <w:t xml:space="preserve">Alteration of mitochondrial morphology under the action of different fusion and fission modulators. Mitochondria staining was performed by transfection/transduction with the </w:t>
      </w:r>
      <w:proofErr w:type="spellStart"/>
      <w:r w:rsidRPr="00B01E7F">
        <w:rPr>
          <w:rFonts w:ascii="Times New Roman" w:hAnsi="Times New Roman" w:cs="Times New Roman"/>
          <w:i/>
          <w:iCs/>
          <w:sz w:val="24"/>
          <w:szCs w:val="24"/>
          <w:lang w:val="en-US"/>
        </w:rPr>
        <w:t>CellLight</w:t>
      </w:r>
      <w:proofErr w:type="spellEnd"/>
      <w:r w:rsidRPr="00B01E7F">
        <w:rPr>
          <w:rFonts w:ascii="Times New Roman" w:hAnsi="Times New Roman" w:cs="Times New Roman"/>
          <w:i/>
          <w:iCs/>
          <w:sz w:val="24"/>
          <w:szCs w:val="24"/>
          <w:lang w:val="en-US"/>
        </w:rPr>
        <w:t xml:space="preserve"> </w:t>
      </w:r>
      <w:proofErr w:type="spellStart"/>
      <w:r w:rsidRPr="00B01E7F">
        <w:rPr>
          <w:rFonts w:ascii="Times New Roman" w:hAnsi="Times New Roman" w:cs="Times New Roman"/>
          <w:i/>
          <w:iCs/>
          <w:sz w:val="24"/>
          <w:szCs w:val="24"/>
          <w:lang w:val="en-US"/>
        </w:rPr>
        <w:t>BacMam</w:t>
      </w:r>
      <w:proofErr w:type="spellEnd"/>
      <w:r w:rsidRPr="00B01E7F">
        <w:rPr>
          <w:rFonts w:ascii="Times New Roman" w:hAnsi="Times New Roman" w:cs="Times New Roman"/>
          <w:i/>
          <w:iCs/>
          <w:sz w:val="24"/>
          <w:szCs w:val="24"/>
          <w:lang w:val="en-US"/>
        </w:rPr>
        <w:t xml:space="preserve"> 2.0 system. Mitochondrial morphology was examined on a Leica DM IL LED microscope using a x100 oil-immersion objective. А - mitochondrial network with a tendency to mitochondrial fusion in 5xFAD astrocytes. А1 - mitochondria with a tendency to reduce their size in the neuron of cultures of 5xFAD mice (arrow indicates the body of the neuron). B - Mitochondrial network in healthy astrocytes, has more elongated mitochondria. B1 - Neurons in healthy cultures, you can see </w:t>
      </w:r>
      <w:proofErr w:type="spellStart"/>
      <w:r w:rsidRPr="00B01E7F">
        <w:rPr>
          <w:rFonts w:ascii="Times New Roman" w:hAnsi="Times New Roman" w:cs="Times New Roman"/>
          <w:i/>
          <w:iCs/>
          <w:sz w:val="24"/>
          <w:szCs w:val="24"/>
          <w:lang w:val="en-US"/>
        </w:rPr>
        <w:t>mitochordria</w:t>
      </w:r>
      <w:proofErr w:type="spellEnd"/>
      <w:r w:rsidRPr="00B01E7F">
        <w:rPr>
          <w:rFonts w:ascii="Times New Roman" w:hAnsi="Times New Roman" w:cs="Times New Roman"/>
          <w:i/>
          <w:iCs/>
          <w:sz w:val="24"/>
          <w:szCs w:val="24"/>
          <w:lang w:val="en-US"/>
        </w:rPr>
        <w:t xml:space="preserve"> of different sizes (arrow indicates the body of the neuron). C - Mitochondria under the action of MFP in astrocytes fuse into grouped round (fused) or hyperfused mitochondria. Bright examples are indicated by the arrow. C1 - Mitochondria in neurons become larger under the action of MFP (arrow indicates neuron bodies). D - Mitochondria in astrocytes under the action of mdivi-1 lose the shape of the mitochondrial network and the number of smallest mitochondria also decreases. D1 - Mitochondria in neurons under the influence of mdivi-1 become larger, the smallest mitochondria disappear (arrow indicates neuron bodies). E - Mitochondria in astrocytes under the action of zinc completely lose the shape of the network. E1 - Mitochondria in neurons under the action of zinc become small (arrow indicates neuron bodies).</w:t>
      </w:r>
    </w:p>
    <w:p w14:paraId="53793AD5" w14:textId="77777777" w:rsidR="00E02374" w:rsidRPr="00117C40" w:rsidRDefault="00E02374"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3.2 Inhibition of mitochondrial fission makes the culture similar to that of 5xFAD.</w:t>
      </w:r>
    </w:p>
    <w:p w14:paraId="7C839A25" w14:textId="5DC3C78A" w:rsidR="003A36F2"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 xml:space="preserve">Morphologically, the use of the mitochondrial fission inhibitor mdivi-1 resulted in larger mitochondria being found in neuron bodies and neurites. At the same time, in astrocytes there was fragmentation of the mitochondrial network and instead fused mitochondria were found in greater numbers. We also observed a decrease in the pool of smallest mitochondria, which almost completely disappeared in astrocytes and remained only in neurons </w:t>
      </w:r>
      <w:r w:rsidR="00D54168" w:rsidRPr="00117C40">
        <w:rPr>
          <w:rFonts w:ascii="Times New Roman" w:hAnsi="Times New Roman" w:cs="Times New Roman"/>
          <w:sz w:val="24"/>
          <w:szCs w:val="24"/>
          <w:lang w:val="en-US"/>
        </w:rPr>
        <w:t>(</w:t>
      </w:r>
      <w:r w:rsidR="00D54168" w:rsidRPr="00117C40">
        <w:rPr>
          <w:rFonts w:ascii="Times New Roman" w:hAnsi="Times New Roman" w:cs="Times New Roman"/>
          <w:b/>
          <w:bCs/>
          <w:sz w:val="24"/>
          <w:szCs w:val="24"/>
          <w:lang w:val="en-US"/>
        </w:rPr>
        <w:t>Figure 1, D-D1</w:t>
      </w:r>
      <w:r w:rsidR="00D54168"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 After one day of mitochondrial fission inhibition, neuronal density decreased relative to the control group (47</w:t>
      </w:r>
      <w:r w:rsidR="00F77476"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4±</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at native level, 3</w:t>
      </w:r>
      <w:r w:rsidR="00F77476" w:rsidRPr="00117C40">
        <w:rPr>
          <w:rFonts w:ascii="Times New Roman" w:hAnsi="Times New Roman" w:cs="Times New Roman"/>
          <w:sz w:val="24"/>
          <w:szCs w:val="24"/>
          <w:lang w:val="en-US"/>
        </w:rPr>
        <w:t>5</w:t>
      </w:r>
      <w:r w:rsidRPr="00117C40">
        <w:rPr>
          <w:rFonts w:ascii="Times New Roman" w:hAnsi="Times New Roman" w:cs="Times New Roman"/>
          <w:sz w:val="24"/>
          <w:szCs w:val="24"/>
          <w:lang w:val="en-US"/>
        </w:rPr>
        <w:t>±2 at day 1, p&lt;0.05, one-way ANOVA followed by Dunn's post-tests) and did not decrease further by day 5. There was an increase in astrocytic density by day 1, and by day 5 (5</w:t>
      </w:r>
      <w:r w:rsidR="00F77476"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±1.</w:t>
      </w:r>
      <w:r w:rsidR="00F77476"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 xml:space="preserve"> at native level, </w:t>
      </w:r>
      <w:r w:rsidR="00F77476" w:rsidRPr="00117C40">
        <w:rPr>
          <w:rFonts w:ascii="Times New Roman" w:hAnsi="Times New Roman" w:cs="Times New Roman"/>
          <w:sz w:val="24"/>
          <w:szCs w:val="24"/>
          <w:lang w:val="en-US"/>
        </w:rPr>
        <w:t xml:space="preserve">58,2±1,7 at day 1, </w:t>
      </w:r>
      <w:r w:rsidRPr="00117C40">
        <w:rPr>
          <w:rFonts w:ascii="Times New Roman" w:hAnsi="Times New Roman" w:cs="Times New Roman"/>
          <w:sz w:val="24"/>
          <w:szCs w:val="24"/>
          <w:lang w:val="en-US"/>
        </w:rPr>
        <w:t>6</w:t>
      </w:r>
      <w:r w:rsidR="00F77476" w:rsidRPr="00117C40">
        <w:rPr>
          <w:rFonts w:ascii="Times New Roman" w:hAnsi="Times New Roman" w:cs="Times New Roman"/>
          <w:sz w:val="24"/>
          <w:szCs w:val="24"/>
          <w:lang w:val="en-US"/>
        </w:rPr>
        <w:t>8,1</w:t>
      </w:r>
      <w:r w:rsidRPr="00117C40">
        <w:rPr>
          <w:rFonts w:ascii="Times New Roman" w:hAnsi="Times New Roman" w:cs="Times New Roman"/>
          <w:sz w:val="24"/>
          <w:szCs w:val="24"/>
          <w:lang w:val="en-US"/>
        </w:rPr>
        <w:t>±</w:t>
      </w:r>
      <w:r w:rsidR="00F77476" w:rsidRPr="00117C40">
        <w:rPr>
          <w:rFonts w:ascii="Times New Roman" w:hAnsi="Times New Roman" w:cs="Times New Roman"/>
          <w:sz w:val="24"/>
          <w:szCs w:val="24"/>
          <w:lang w:val="en-US"/>
        </w:rPr>
        <w:t>1,8</w:t>
      </w:r>
      <w:r w:rsidRPr="00117C40">
        <w:rPr>
          <w:rFonts w:ascii="Times New Roman" w:hAnsi="Times New Roman" w:cs="Times New Roman"/>
          <w:sz w:val="24"/>
          <w:szCs w:val="24"/>
          <w:lang w:val="en-US"/>
        </w:rPr>
        <w:t xml:space="preserve"> at day </w:t>
      </w:r>
      <w:r w:rsidR="00F77476" w:rsidRPr="00117C40">
        <w:rPr>
          <w:rFonts w:ascii="Times New Roman" w:hAnsi="Times New Roman" w:cs="Times New Roman"/>
          <w:sz w:val="24"/>
          <w:szCs w:val="24"/>
          <w:lang w:val="en-US"/>
        </w:rPr>
        <w:t>5,</w:t>
      </w:r>
      <w:r w:rsidRPr="00117C40">
        <w:rPr>
          <w:rFonts w:ascii="Times New Roman" w:hAnsi="Times New Roman" w:cs="Times New Roman"/>
          <w:sz w:val="24"/>
          <w:szCs w:val="24"/>
          <w:lang w:val="en-US"/>
        </w:rPr>
        <w:t xml:space="preserve"> p&lt;0.05, one-way ANOVA followed by Dunn's post-tests). In addition, there was a significant increase in lipofuscin fluorescence correlating with the time of mdivi-1 exposure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3, C</w:t>
      </w:r>
      <w:r w:rsidRPr="00117C40">
        <w:rPr>
          <w:rFonts w:ascii="Times New Roman" w:hAnsi="Times New Roman" w:cs="Times New Roman"/>
          <w:sz w:val="24"/>
          <w:szCs w:val="24"/>
          <w:lang w:val="en-US"/>
        </w:rPr>
        <w:t>). Moreover, by day 5 of mitochondrial fission inhibition, the intensity of lipofuscin fluorescence increased such that it was not significantly different from lipofuscin fluorescence in transgenic culture (57</w:t>
      </w:r>
      <w:r w:rsidR="00831859"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in </w:t>
      </w:r>
      <w:proofErr w:type="spellStart"/>
      <w:r w:rsidRPr="00117C40">
        <w:rPr>
          <w:rFonts w:ascii="Times New Roman" w:hAnsi="Times New Roman" w:cs="Times New Roman"/>
          <w:sz w:val="24"/>
          <w:szCs w:val="24"/>
          <w:lang w:val="en-US"/>
        </w:rPr>
        <w:t>Tg</w:t>
      </w:r>
      <w:proofErr w:type="spellEnd"/>
      <w:r w:rsidRPr="00117C40">
        <w:rPr>
          <w:rFonts w:ascii="Times New Roman" w:hAnsi="Times New Roman" w:cs="Times New Roman"/>
          <w:sz w:val="24"/>
          <w:szCs w:val="24"/>
          <w:lang w:val="en-US"/>
        </w:rPr>
        <w:t xml:space="preserve"> culture, </w:t>
      </w:r>
      <w:r w:rsidR="00831859" w:rsidRPr="00117C40">
        <w:rPr>
          <w:rFonts w:ascii="Times New Roman" w:hAnsi="Times New Roman" w:cs="Times New Roman"/>
          <w:sz w:val="24"/>
          <w:szCs w:val="24"/>
          <w:lang w:val="en-US"/>
        </w:rPr>
        <w:t>571</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 xml:space="preserve"> at day 5 p&lt;0.0</w:t>
      </w:r>
      <w:r w:rsidR="00831859" w:rsidRPr="00117C40">
        <w:rPr>
          <w:rFonts w:ascii="Times New Roman" w:hAnsi="Times New Roman" w:cs="Times New Roman"/>
          <w:sz w:val="24"/>
          <w:szCs w:val="24"/>
          <w:lang w:val="en-US"/>
        </w:rPr>
        <w:t>01</w:t>
      </w:r>
      <w:r w:rsidRPr="00117C40">
        <w:rPr>
          <w:rFonts w:ascii="Times New Roman" w:hAnsi="Times New Roman" w:cs="Times New Roman"/>
          <w:sz w:val="24"/>
          <w:szCs w:val="24"/>
          <w:lang w:val="en-US"/>
        </w:rPr>
        <w:t xml:space="preserve"> one-way ANOVA followed by </w:t>
      </w:r>
      <w:r w:rsidR="00831859" w:rsidRPr="00117C40">
        <w:rPr>
          <w:rFonts w:ascii="Times New Roman" w:hAnsi="Times New Roman" w:cs="Times New Roman"/>
          <w:sz w:val="24"/>
          <w:szCs w:val="24"/>
          <w:lang w:val="en-US"/>
        </w:rPr>
        <w:t>Bonferroni</w:t>
      </w:r>
      <w:r w:rsidRPr="00117C40">
        <w:rPr>
          <w:rFonts w:ascii="Times New Roman" w:hAnsi="Times New Roman" w:cs="Times New Roman"/>
          <w:sz w:val="24"/>
          <w:szCs w:val="24"/>
          <w:lang w:val="en-US"/>
        </w:rPr>
        <w:t xml:space="preserve"> post-tests). Thus, inhibition of mitochondrial fission in healthy cultures leads to a cascade of events reminiscent of those in transgenic culture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C</w:t>
      </w:r>
      <w:r w:rsidRPr="00117C40">
        <w:rPr>
          <w:rFonts w:ascii="Times New Roman" w:hAnsi="Times New Roman" w:cs="Times New Roman"/>
          <w:sz w:val="24"/>
          <w:szCs w:val="24"/>
          <w:lang w:val="en-US"/>
        </w:rPr>
        <w:t>).</w:t>
      </w:r>
    </w:p>
    <w:p w14:paraId="04E6F063" w14:textId="24AA3A3B" w:rsidR="00B01E7F" w:rsidRDefault="00B01E7F" w:rsidP="00B01E7F">
      <w:pPr>
        <w:spacing w:line="240" w:lineRule="auto"/>
        <w:rPr>
          <w:rFonts w:ascii="Times New Roman" w:hAnsi="Times New Roman" w:cs="Times New Roman"/>
          <w:sz w:val="24"/>
          <w:szCs w:val="24"/>
          <w:lang w:val="en-US"/>
        </w:rPr>
      </w:pPr>
      <w:r w:rsidRPr="009C5E07">
        <w:rPr>
          <w:rFonts w:ascii="Times New Roman" w:hAnsi="Times New Roman" w:cs="Times New Roman"/>
          <w:noProof/>
          <w:sz w:val="24"/>
          <w:szCs w:val="24"/>
        </w:rPr>
        <w:lastRenderedPageBreak/>
        <w:drawing>
          <wp:inline distT="0" distB="0" distL="0" distR="0" wp14:anchorId="3188BC88" wp14:editId="65B571BD">
            <wp:extent cx="5937250" cy="6946900"/>
            <wp:effectExtent l="0" t="0" r="6350" b="6350"/>
            <wp:docPr id="17462008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6946900"/>
                    </a:xfrm>
                    <a:prstGeom prst="rect">
                      <a:avLst/>
                    </a:prstGeom>
                    <a:noFill/>
                    <a:ln>
                      <a:noFill/>
                    </a:ln>
                  </pic:spPr>
                </pic:pic>
              </a:graphicData>
            </a:graphic>
          </wp:inline>
        </w:drawing>
      </w:r>
    </w:p>
    <w:p w14:paraId="5DD329DF" w14:textId="77777777" w:rsidR="00B01E7F" w:rsidRPr="005E3A19" w:rsidRDefault="00B01E7F" w:rsidP="00B01E7F">
      <w:pPr>
        <w:rPr>
          <w:rFonts w:ascii="Times New Roman" w:hAnsi="Times New Roman" w:cs="Times New Roman"/>
          <w:sz w:val="24"/>
          <w:szCs w:val="24"/>
          <w:lang w:val="en-US"/>
        </w:rPr>
      </w:pPr>
      <w:r w:rsidRPr="005E3A19">
        <w:rPr>
          <w:rFonts w:ascii="Times New Roman" w:hAnsi="Times New Roman" w:cs="Times New Roman"/>
          <w:b/>
          <w:bCs/>
          <w:sz w:val="24"/>
          <w:szCs w:val="24"/>
          <w:lang w:val="en-US"/>
        </w:rPr>
        <w:t xml:space="preserve">Figure 2. </w:t>
      </w:r>
      <w:r w:rsidRPr="00B01E7F">
        <w:rPr>
          <w:rFonts w:ascii="Times New Roman" w:hAnsi="Times New Roman" w:cs="Times New Roman"/>
          <w:i/>
          <w:iCs/>
          <w:sz w:val="24"/>
          <w:szCs w:val="24"/>
          <w:lang w:val="en-US"/>
        </w:rPr>
        <w:t>Immunopositivity to an astrocyte marker (GFAP in green) and a neuronal marker (MAP2 in red) in primary neuronal cultures under the influence of fusion and fission activators. A - Control transgenic 5xFAD culture that served as a reference for modeling pathogenesis and control healthy culture. B - Effect of MFP on culture morphology after 1 and 5 days of administration. B1 - Neuronal and astrocytic densities (in %) under the effect of MFP. C - Effect of mdivi-1 on culture morphology after 1 and 5 days of administration. C1 - Neuronal and astrocytic densities (in %) under the effect of mdivi-1. D1 - Effect of Zn on culture morphology after 1 and 5 days of administration. D1 - Neuronal and astrocytic densities (in %) under the effect of Zn.</w:t>
      </w:r>
    </w:p>
    <w:p w14:paraId="750C9B79" w14:textId="77777777" w:rsidR="00E02374" w:rsidRPr="00117C40" w:rsidRDefault="00E02374"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lastRenderedPageBreak/>
        <w:t>3.3 Exogenous zinc induces mitochondrial fission, alters cell culture morphology and induces GFAP aggregation.</w:t>
      </w:r>
    </w:p>
    <w:p w14:paraId="3403AEE3" w14:textId="149ACB83" w:rsidR="00E02374"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We used exogenous zinc chloride solution to modulate mitochondrial fission. In this case, zinc overload at high, rather uncomfortable concentrations for nerve cells, induces cellular and mitochondrial stress affecting mitochondrial morphology, which is consistent with the results of</w:t>
      </w:r>
      <w:r w:rsidR="00DA4C46" w:rsidRPr="00117C40">
        <w:rPr>
          <w:rFonts w:ascii="Times New Roman" w:hAnsi="Times New Roman" w:cs="Times New Roman"/>
          <w:sz w:val="24"/>
          <w:szCs w:val="24"/>
          <w:lang w:val="en-US"/>
        </w:rPr>
        <w:t xml:space="preserve"> </w:t>
      </w:r>
      <w:r w:rsidR="00DA4C46" w:rsidRPr="00117C40">
        <w:rPr>
          <w:rFonts w:ascii="Times New Roman" w:hAnsi="Times New Roman" w:cs="Times New Roman"/>
          <w:sz w:val="24"/>
          <w:szCs w:val="24"/>
          <w:lang w:val="en-US"/>
        </w:rPr>
        <w:fldChar w:fldCharType="begin" w:fldLock="1"/>
      </w:r>
      <w:r w:rsidR="00DA4C46" w:rsidRPr="00117C40">
        <w:rPr>
          <w:rFonts w:ascii="Times New Roman" w:hAnsi="Times New Roman" w:cs="Times New Roman"/>
          <w:sz w:val="24"/>
          <w:szCs w:val="24"/>
          <w:lang w:val="en-US"/>
        </w:rPr>
        <w:instrText>ADDIN CSL_CITATION {"citationItems":[{"id":"ITEM-1","itemData":{"ISSN":"1944-8171 (Print)","PMID":"34093965","abstract":"Zinc (Zn(2+)) is important in cellular processes. In the cell, free zinc is  tightly regulated and found in minuscule amounts. However, in an unhealthy cellular environment, such as hypoxia, zinc increases in the cell and zinc overload may occur. Studies have shown that zinc overload causes cellular and mitochondrial stress. Mitochondrial stress affects mitochondrial morphology. In normal cells, mitochondrial morphology resembles a long, tubular shape. In unhealthy cells, mitochondrial morphology resembles fragmented, circular shape. To address whether zinc overload contributes directly to the abnormal changes of mitochondrial morphology, we imaged and analyzed mitochondria that were treated with the application of exogenous zinc. In the first part of the study, exogenous zinc was applied to HeLa cells at 1 µM, 10 µM, 50 µM, 100 µM, or 200 µM zinc chloride along with 10 µM pyrithione. Mitochondrial morphology was analyzed with Mito-Morphology micro in ImageJ. Mitochondrial morphology changed from a healthy tubular shape to an unhealthy circular shape and fragmentation. Mitochondrial morphology changes were observed in a dose-dependent fashion. The second part of the study involved applying the metal ion chelator TPEN after applying 50 µM zinc chloride along with 10 µM pyrithione. TPEN reduced zinc-induced abnormal mitochondrial morphology after zinc treatment. This present study supports that zinc overload may cause morphology changes induced by mitochondrial stress that may lead to cell death.","author":[{"dropping-particle":"","family":"Knies","given":"Katherine A","non-dropping-particle":"","parse-names":false,"suffix":""},{"dropping-particle":"V","family":"Li","given":"Yang","non-dropping-particle":"","parse-names":false,"suffix":""}],"container-title":"International journal of physiology, pathophysiology and pharmacology","id":"ITEM-1","issue":"2","issued":{"date-parts":[["2021"]]},"language":"eng","page":"43-51","publisher-place":"United States","title":"Zinc cytotoxicity induces mitochondrial morphology changes in hela cell line.","type":"article-journal","volume":"13"},"uris":["http://www.mendeley.com/documents/?uuid=134fba87-a581-4c5b-a714-9c7862a48caf"]}],"mendeley":{"formattedCitation":"[13]","plainTextFormattedCitation":"[13]","previouslyFormattedCitation":"[13]"},"properties":{"noteIndex":0},"schema":"https://github.com/citation-style-language/schema/raw/master/csl-citation.json"}</w:instrText>
      </w:r>
      <w:r w:rsidR="00DA4C46" w:rsidRPr="00117C40">
        <w:rPr>
          <w:rFonts w:ascii="Times New Roman" w:hAnsi="Times New Roman" w:cs="Times New Roman"/>
          <w:sz w:val="24"/>
          <w:szCs w:val="24"/>
          <w:lang w:val="en-US"/>
        </w:rPr>
        <w:fldChar w:fldCharType="separate"/>
      </w:r>
      <w:r w:rsidR="00DA4C46" w:rsidRPr="00117C40">
        <w:rPr>
          <w:rFonts w:ascii="Times New Roman" w:hAnsi="Times New Roman" w:cs="Times New Roman"/>
          <w:noProof/>
          <w:sz w:val="24"/>
          <w:szCs w:val="24"/>
          <w:lang w:val="en-US"/>
        </w:rPr>
        <w:t>[13]</w:t>
      </w:r>
      <w:r w:rsidR="00DA4C46" w:rsidRPr="00117C40">
        <w:rPr>
          <w:rFonts w:ascii="Times New Roman" w:hAnsi="Times New Roman" w:cs="Times New Roman"/>
          <w:sz w:val="24"/>
          <w:szCs w:val="24"/>
          <w:lang w:val="en-US"/>
        </w:rPr>
        <w:fldChar w:fldCharType="end"/>
      </w:r>
      <w:r w:rsidRPr="00117C40">
        <w:rPr>
          <w:rFonts w:ascii="Times New Roman" w:hAnsi="Times New Roman" w:cs="Times New Roman"/>
          <w:sz w:val="24"/>
          <w:szCs w:val="24"/>
          <w:lang w:val="en-US"/>
        </w:rPr>
        <w:t xml:space="preserve">. </w:t>
      </w:r>
      <w:r w:rsidRPr="00D1548A">
        <w:rPr>
          <w:rFonts w:ascii="Times New Roman" w:hAnsi="Times New Roman" w:cs="Times New Roman"/>
          <w:sz w:val="24"/>
          <w:szCs w:val="24"/>
          <w:lang w:val="en-US"/>
        </w:rPr>
        <w:t xml:space="preserve">Primary culture neurons are the first to suffer from zinc overload, </w:t>
      </w:r>
      <w:r w:rsidR="001B6787" w:rsidRPr="001B6787">
        <w:rPr>
          <w:rFonts w:ascii="Times New Roman" w:hAnsi="Times New Roman" w:cs="Times New Roman"/>
          <w:sz w:val="24"/>
          <w:szCs w:val="24"/>
          <w:lang w:val="en-US"/>
        </w:rPr>
        <w:t>at the same time in culture</w:t>
      </w:r>
      <w:r w:rsidR="001B6787">
        <w:rPr>
          <w:rFonts w:ascii="Times New Roman" w:hAnsi="Times New Roman" w:cs="Times New Roman"/>
          <w:sz w:val="24"/>
          <w:szCs w:val="24"/>
          <w:lang w:val="en-US"/>
        </w:rPr>
        <w:t xml:space="preserve"> </w:t>
      </w:r>
      <w:r w:rsidR="001B6787" w:rsidRPr="001B6787">
        <w:rPr>
          <w:rFonts w:ascii="Times New Roman" w:hAnsi="Times New Roman" w:cs="Times New Roman"/>
          <w:sz w:val="24"/>
          <w:szCs w:val="24"/>
          <w:lang w:val="en-US"/>
        </w:rPr>
        <w:t xml:space="preserve">it was </w:t>
      </w:r>
      <w:r w:rsidR="001B6787" w:rsidRPr="00D1548A">
        <w:rPr>
          <w:rFonts w:ascii="Times New Roman" w:hAnsi="Times New Roman" w:cs="Times New Roman"/>
          <w:sz w:val="24"/>
          <w:szCs w:val="24"/>
          <w:lang w:val="en-US"/>
        </w:rPr>
        <w:t>observed</w:t>
      </w:r>
      <w:r w:rsidRPr="00D1548A">
        <w:rPr>
          <w:rFonts w:ascii="Times New Roman" w:hAnsi="Times New Roman" w:cs="Times New Roman"/>
          <w:sz w:val="24"/>
          <w:szCs w:val="24"/>
          <w:lang w:val="en-US"/>
        </w:rPr>
        <w:t xml:space="preserve"> compensatory astrogliosis</w:t>
      </w:r>
      <w:r w:rsidRPr="00117C40">
        <w:rPr>
          <w:rFonts w:ascii="Times New Roman" w:hAnsi="Times New Roman" w:cs="Times New Roman"/>
          <w:sz w:val="24"/>
          <w:szCs w:val="24"/>
          <w:lang w:val="en-US"/>
        </w:rPr>
        <w:t xml:space="preserve">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0045186E" w:rsidRPr="00117C40">
        <w:rPr>
          <w:rFonts w:ascii="Times New Roman" w:hAnsi="Times New Roman" w:cs="Times New Roman"/>
          <w:b/>
          <w:bCs/>
          <w:sz w:val="24"/>
          <w:szCs w:val="24"/>
          <w:lang w:val="en-US"/>
        </w:rPr>
        <w:t xml:space="preserve"> </w:t>
      </w:r>
      <w:r w:rsidR="00D54168" w:rsidRPr="00117C40">
        <w:rPr>
          <w:rFonts w:ascii="Times New Roman" w:hAnsi="Times New Roman" w:cs="Times New Roman"/>
          <w:b/>
          <w:bCs/>
          <w:sz w:val="24"/>
          <w:szCs w:val="24"/>
          <w:lang w:val="en-US"/>
        </w:rPr>
        <w:t>2</w:t>
      </w:r>
      <w:r w:rsidR="0045186E" w:rsidRPr="00117C40">
        <w:rPr>
          <w:rFonts w:ascii="Times New Roman" w:hAnsi="Times New Roman" w:cs="Times New Roman"/>
          <w:b/>
          <w:bCs/>
          <w:sz w:val="24"/>
          <w:szCs w:val="24"/>
          <w:lang w:val="en-US"/>
        </w:rPr>
        <w:t>, D</w:t>
      </w:r>
      <w:r w:rsidRPr="00117C40">
        <w:rPr>
          <w:rFonts w:ascii="Times New Roman" w:hAnsi="Times New Roman" w:cs="Times New Roman"/>
          <w:b/>
          <w:bCs/>
          <w:sz w:val="24"/>
          <w:szCs w:val="24"/>
          <w:lang w:val="en-US"/>
        </w:rPr>
        <w:t>).</w:t>
      </w:r>
      <w:r w:rsidRPr="00117C40">
        <w:rPr>
          <w:rFonts w:ascii="Times New Roman" w:hAnsi="Times New Roman" w:cs="Times New Roman"/>
          <w:sz w:val="24"/>
          <w:szCs w:val="24"/>
          <w:lang w:val="en-US"/>
        </w:rPr>
        <w:t xml:space="preserve"> Treatment of cultures with excessive zinc resulted in neurite destruction and a drop in neuronal density relative to control cultures (47</w:t>
      </w:r>
      <w:r w:rsidR="0045186E" w:rsidRPr="00117C40">
        <w:rPr>
          <w:rFonts w:ascii="Times New Roman" w:hAnsi="Times New Roman" w:cs="Times New Roman"/>
          <w:sz w:val="24"/>
          <w:szCs w:val="24"/>
          <w:lang w:val="en-US"/>
        </w:rPr>
        <w:t>,</w:t>
      </w:r>
      <w:r w:rsidRPr="00117C40">
        <w:rPr>
          <w:rFonts w:ascii="Times New Roman" w:hAnsi="Times New Roman" w:cs="Times New Roman"/>
          <w:sz w:val="24"/>
          <w:szCs w:val="24"/>
          <w:lang w:val="en-US"/>
        </w:rPr>
        <w:t>4±</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in native, 2</w:t>
      </w:r>
      <w:r w:rsidR="009176BE" w:rsidRPr="00117C40">
        <w:rPr>
          <w:rFonts w:ascii="Times New Roman" w:hAnsi="Times New Roman" w:cs="Times New Roman"/>
          <w:sz w:val="24"/>
          <w:szCs w:val="24"/>
          <w:lang w:val="en-US"/>
        </w:rPr>
        <w:t>9</w:t>
      </w:r>
      <w:r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5 under toxic influence, p &lt; 0.001, one-way ANOVA followed by Dunn's post-tests), while there was a strong compensatory astrocyte overgrowth (5</w:t>
      </w:r>
      <w:r w:rsidR="009176BE"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8±</w:t>
      </w:r>
      <w:r w:rsidR="009176BE" w:rsidRPr="00117C40">
        <w:rPr>
          <w:rFonts w:ascii="Times New Roman" w:hAnsi="Times New Roman" w:cs="Times New Roman"/>
          <w:sz w:val="24"/>
          <w:szCs w:val="24"/>
          <w:lang w:val="en-US"/>
        </w:rPr>
        <w:t>1</w:t>
      </w:r>
      <w:r w:rsidRPr="00117C40">
        <w:rPr>
          <w:rFonts w:ascii="Times New Roman" w:hAnsi="Times New Roman" w:cs="Times New Roman"/>
          <w:sz w:val="24"/>
          <w:szCs w:val="24"/>
          <w:lang w:val="en-US"/>
        </w:rPr>
        <w:t xml:space="preserve"> in native, 6</w:t>
      </w:r>
      <w:r w:rsidR="009176BE" w:rsidRPr="00117C40">
        <w:rPr>
          <w:rFonts w:ascii="Times New Roman" w:hAnsi="Times New Roman" w:cs="Times New Roman"/>
          <w:sz w:val="24"/>
          <w:szCs w:val="24"/>
          <w:lang w:val="en-US"/>
        </w:rPr>
        <w:t>2,</w:t>
      </w:r>
      <w:r w:rsidRPr="00117C40">
        <w:rPr>
          <w:rFonts w:ascii="Times New Roman" w:hAnsi="Times New Roman" w:cs="Times New Roman"/>
          <w:sz w:val="24"/>
          <w:szCs w:val="24"/>
          <w:lang w:val="en-US"/>
        </w:rPr>
        <w:t>7±</w:t>
      </w:r>
      <w:r w:rsidR="009176BE" w:rsidRPr="00117C40">
        <w:rPr>
          <w:rFonts w:ascii="Times New Roman" w:hAnsi="Times New Roman" w:cs="Times New Roman"/>
          <w:sz w:val="24"/>
          <w:szCs w:val="24"/>
          <w:lang w:val="en-US"/>
        </w:rPr>
        <w:t>2,2</w:t>
      </w:r>
      <w:r w:rsidRPr="00117C40">
        <w:rPr>
          <w:rFonts w:ascii="Times New Roman" w:hAnsi="Times New Roman" w:cs="Times New Roman"/>
          <w:sz w:val="24"/>
          <w:szCs w:val="24"/>
          <w:lang w:val="en-US"/>
        </w:rPr>
        <w:t xml:space="preserve"> under toxic influence, p&lt;0.0</w:t>
      </w:r>
      <w:r w:rsidR="00831859" w:rsidRPr="00117C40">
        <w:rPr>
          <w:rFonts w:ascii="Times New Roman" w:hAnsi="Times New Roman" w:cs="Times New Roman"/>
          <w:sz w:val="24"/>
          <w:szCs w:val="24"/>
          <w:lang w:val="en-US"/>
        </w:rPr>
        <w:t>01</w:t>
      </w:r>
      <w:r w:rsidRPr="00117C40">
        <w:rPr>
          <w:rFonts w:ascii="Times New Roman" w:hAnsi="Times New Roman" w:cs="Times New Roman"/>
          <w:sz w:val="24"/>
          <w:szCs w:val="24"/>
          <w:lang w:val="en-US"/>
        </w:rPr>
        <w:t>, one-way ANOVA followed by Dunn's post-tests) and an increase in lipofuscin fluorescence intensity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3, D</w:t>
      </w:r>
      <w:r w:rsidRPr="00117C40">
        <w:rPr>
          <w:rFonts w:ascii="Times New Roman" w:hAnsi="Times New Roman" w:cs="Times New Roman"/>
          <w:sz w:val="24"/>
          <w:szCs w:val="24"/>
          <w:lang w:val="en-US"/>
        </w:rPr>
        <w:t>) (</w:t>
      </w:r>
      <w:r w:rsidR="00831859" w:rsidRPr="00117C40">
        <w:rPr>
          <w:rFonts w:ascii="Times New Roman" w:hAnsi="Times New Roman" w:cs="Times New Roman"/>
          <w:sz w:val="24"/>
          <w:szCs w:val="24"/>
          <w:lang w:val="en-US"/>
        </w:rPr>
        <w:t>344,9</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2,7</w:t>
      </w:r>
      <w:r w:rsidRPr="00117C40">
        <w:rPr>
          <w:rFonts w:ascii="Times New Roman" w:hAnsi="Times New Roman" w:cs="Times New Roman"/>
          <w:sz w:val="24"/>
          <w:szCs w:val="24"/>
          <w:lang w:val="en-US"/>
        </w:rPr>
        <w:t xml:space="preserve"> in native, </w:t>
      </w:r>
      <w:r w:rsidR="00831859" w:rsidRPr="00117C40">
        <w:rPr>
          <w:rFonts w:ascii="Times New Roman" w:hAnsi="Times New Roman" w:cs="Times New Roman"/>
          <w:sz w:val="24"/>
          <w:szCs w:val="24"/>
          <w:lang w:val="en-US"/>
        </w:rPr>
        <w:t>440</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1,2</w:t>
      </w:r>
      <w:r w:rsidRPr="00117C40">
        <w:rPr>
          <w:rFonts w:ascii="Times New Roman" w:hAnsi="Times New Roman" w:cs="Times New Roman"/>
          <w:sz w:val="24"/>
          <w:szCs w:val="24"/>
          <w:lang w:val="en-US"/>
        </w:rPr>
        <w:t xml:space="preserve"> under toxic influence, p&lt;0.05 one-way ANOVA followed by Dunn's post-tests). Using lower concentrations of zinc chloride solution allowed us to achieve the same morphologically detectable mitochondrial fission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 1, E-E1</w:t>
      </w:r>
      <w:r w:rsidRPr="00117C40">
        <w:rPr>
          <w:rFonts w:ascii="Times New Roman" w:hAnsi="Times New Roman" w:cs="Times New Roman"/>
          <w:sz w:val="24"/>
          <w:szCs w:val="24"/>
          <w:lang w:val="en-US"/>
        </w:rPr>
        <w:t>), in which neurites do not receive such a high zinc overload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D).</w:t>
      </w:r>
      <w:r w:rsidRPr="00117C40">
        <w:rPr>
          <w:rFonts w:ascii="Times New Roman" w:hAnsi="Times New Roman" w:cs="Times New Roman"/>
          <w:sz w:val="24"/>
          <w:szCs w:val="24"/>
          <w:lang w:val="en-US"/>
        </w:rPr>
        <w:t xml:space="preserve"> Low zinc concentrations caused no significant change in neuronal and astrocytic density by day 1, but reduced lipofuscin fluorescence intensity (</w:t>
      </w:r>
      <w:r w:rsidR="00831859" w:rsidRPr="00117C40">
        <w:rPr>
          <w:rFonts w:ascii="Times New Roman" w:hAnsi="Times New Roman" w:cs="Times New Roman"/>
          <w:sz w:val="24"/>
          <w:szCs w:val="24"/>
          <w:lang w:val="en-US"/>
        </w:rPr>
        <w:t>265</w:t>
      </w:r>
      <w:r w:rsidRPr="00117C40">
        <w:rPr>
          <w:rFonts w:ascii="Times New Roman" w:hAnsi="Times New Roman" w:cs="Times New Roman"/>
          <w:sz w:val="24"/>
          <w:szCs w:val="24"/>
          <w:lang w:val="en-US"/>
        </w:rPr>
        <w:t>±1 at day 1, p&lt;0.05 one-way ANOVA followed by Dunn's post-tests). However, on day 5 (</w:t>
      </w:r>
      <w:r w:rsidRPr="00117C40">
        <w:rPr>
          <w:rFonts w:ascii="Times New Roman" w:hAnsi="Times New Roman" w:cs="Times New Roman"/>
          <w:b/>
          <w:bCs/>
          <w:sz w:val="24"/>
          <w:szCs w:val="24"/>
          <w:lang w:val="en-US"/>
        </w:rPr>
        <w:t>Fig</w:t>
      </w:r>
      <w:r w:rsidR="00D54168"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D1)</w:t>
      </w:r>
      <w:r w:rsidRPr="00117C40">
        <w:rPr>
          <w:rFonts w:ascii="Times New Roman" w:hAnsi="Times New Roman" w:cs="Times New Roman"/>
          <w:sz w:val="24"/>
          <w:szCs w:val="24"/>
          <w:lang w:val="en-US"/>
        </w:rPr>
        <w:t xml:space="preserve"> of the experiment, a fall in neuronal density was already again observed (47.4±1 at native, 27</w:t>
      </w:r>
      <w:r w:rsidR="009176BE" w:rsidRPr="00117C40">
        <w:rPr>
          <w:rFonts w:ascii="Times New Roman" w:hAnsi="Times New Roman" w:cs="Times New Roman"/>
          <w:sz w:val="24"/>
          <w:szCs w:val="24"/>
          <w:lang w:val="en-US"/>
        </w:rPr>
        <w:t>,7</w:t>
      </w:r>
      <w:r w:rsidRPr="00117C40">
        <w:rPr>
          <w:rFonts w:ascii="Times New Roman" w:hAnsi="Times New Roman" w:cs="Times New Roman"/>
          <w:sz w:val="24"/>
          <w:szCs w:val="24"/>
          <w:lang w:val="en-US"/>
        </w:rPr>
        <w:t>±1</w:t>
      </w:r>
      <w:r w:rsidR="009176BE"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at day 5, p&lt;0.001, one-way ANOVA followed by Dunn's post-tests) with a concomitant drop in astrocyte density (5</w:t>
      </w:r>
      <w:r w:rsidR="009176BE" w:rsidRPr="00117C40">
        <w:rPr>
          <w:rFonts w:ascii="Times New Roman" w:hAnsi="Times New Roman" w:cs="Times New Roman"/>
          <w:sz w:val="24"/>
          <w:szCs w:val="24"/>
          <w:lang w:val="en-US"/>
        </w:rPr>
        <w:t>2,3</w:t>
      </w:r>
      <w:r w:rsidRPr="00117C40">
        <w:rPr>
          <w:rFonts w:ascii="Times New Roman" w:hAnsi="Times New Roman" w:cs="Times New Roman"/>
          <w:sz w:val="24"/>
          <w:szCs w:val="24"/>
          <w:lang w:val="en-US"/>
        </w:rPr>
        <w:t>±1 at native, 3</w:t>
      </w:r>
      <w:r w:rsidR="009176BE" w:rsidRPr="00117C40">
        <w:rPr>
          <w:rFonts w:ascii="Times New Roman" w:hAnsi="Times New Roman" w:cs="Times New Roman"/>
          <w:sz w:val="24"/>
          <w:szCs w:val="24"/>
          <w:lang w:val="en-US"/>
        </w:rPr>
        <w:t>5,4</w:t>
      </w:r>
      <w:r w:rsidRPr="00117C40">
        <w:rPr>
          <w:rFonts w:ascii="Times New Roman" w:hAnsi="Times New Roman" w:cs="Times New Roman"/>
          <w:sz w:val="24"/>
          <w:szCs w:val="24"/>
          <w:lang w:val="en-US"/>
        </w:rPr>
        <w:t>±</w:t>
      </w:r>
      <w:r w:rsidR="009176BE" w:rsidRPr="00117C40">
        <w:rPr>
          <w:rFonts w:ascii="Times New Roman" w:hAnsi="Times New Roman" w:cs="Times New Roman"/>
          <w:sz w:val="24"/>
          <w:szCs w:val="24"/>
          <w:lang w:val="en-US"/>
        </w:rPr>
        <w:t>1,8</w:t>
      </w:r>
      <w:r w:rsidRPr="00117C40">
        <w:rPr>
          <w:rFonts w:ascii="Times New Roman" w:hAnsi="Times New Roman" w:cs="Times New Roman"/>
          <w:sz w:val="24"/>
          <w:szCs w:val="24"/>
          <w:lang w:val="en-US"/>
        </w:rPr>
        <w:t xml:space="preserve"> at day 5, p &lt; 0.001, one-way ANOVA followed by Dunn's post-tests), and the cluster morphology of the culture was impaired, neurons became less likely to assemble into clustered structures, and </w:t>
      </w:r>
      <w:r w:rsidR="00286D49" w:rsidRPr="00286D49">
        <w:rPr>
          <w:rFonts w:ascii="Times New Roman" w:hAnsi="Times New Roman" w:cs="Times New Roman"/>
          <w:sz w:val="24"/>
          <w:szCs w:val="24"/>
          <w:lang w:val="en-US"/>
        </w:rPr>
        <w:t>began to show altered immunoreactivity to glial fibrillary acidic protein, and pathologic aggregation of GFAP increased</w:t>
      </w:r>
      <w:r w:rsidRPr="00117C40">
        <w:rPr>
          <w:rFonts w:ascii="Times New Roman" w:hAnsi="Times New Roman" w:cs="Times New Roman"/>
          <w:sz w:val="24"/>
          <w:szCs w:val="24"/>
          <w:lang w:val="en-US"/>
        </w:rPr>
        <w:t>, however, lipofuscin fluorescence intensity was still reduced (19</w:t>
      </w:r>
      <w:r w:rsidR="00831859" w:rsidRPr="00117C40">
        <w:rPr>
          <w:rFonts w:ascii="Times New Roman" w:hAnsi="Times New Roman" w:cs="Times New Roman"/>
          <w:sz w:val="24"/>
          <w:szCs w:val="24"/>
          <w:lang w:val="en-US"/>
        </w:rPr>
        <w:t>0</w:t>
      </w:r>
      <w:r w:rsidRPr="00117C40">
        <w:rPr>
          <w:rFonts w:ascii="Times New Roman" w:hAnsi="Times New Roman" w:cs="Times New Roman"/>
          <w:sz w:val="24"/>
          <w:szCs w:val="24"/>
          <w:lang w:val="en-US"/>
        </w:rPr>
        <w:t>±</w:t>
      </w:r>
      <w:r w:rsidR="00831859" w:rsidRPr="00117C40">
        <w:rPr>
          <w:rFonts w:ascii="Times New Roman" w:hAnsi="Times New Roman" w:cs="Times New Roman"/>
          <w:sz w:val="24"/>
          <w:szCs w:val="24"/>
          <w:lang w:val="en-US"/>
        </w:rPr>
        <w:t>3</w:t>
      </w:r>
      <w:r w:rsidRPr="00117C40">
        <w:rPr>
          <w:rFonts w:ascii="Times New Roman" w:hAnsi="Times New Roman" w:cs="Times New Roman"/>
          <w:sz w:val="24"/>
          <w:szCs w:val="24"/>
          <w:lang w:val="en-US"/>
        </w:rPr>
        <w:t xml:space="preserve"> at day 5, p&lt;0.05 one-way ANOVA followed by Dunn's post-tests).</w:t>
      </w:r>
    </w:p>
    <w:p w14:paraId="54D8E340" w14:textId="5BF3A9C1" w:rsidR="00B01E7F" w:rsidRDefault="00B01E7F" w:rsidP="00B01E7F">
      <w:pPr>
        <w:spacing w:line="240" w:lineRule="auto"/>
        <w:rPr>
          <w:rFonts w:ascii="Times New Roman" w:hAnsi="Times New Roman" w:cs="Times New Roman"/>
          <w:sz w:val="24"/>
          <w:szCs w:val="24"/>
          <w:lang w:val="en-US"/>
        </w:rPr>
      </w:pPr>
      <w:r w:rsidRPr="009C5E07">
        <w:rPr>
          <w:rFonts w:ascii="Times New Roman" w:hAnsi="Times New Roman" w:cs="Times New Roman"/>
          <w:noProof/>
          <w:sz w:val="24"/>
          <w:szCs w:val="24"/>
        </w:rPr>
        <w:lastRenderedPageBreak/>
        <w:drawing>
          <wp:inline distT="0" distB="0" distL="0" distR="0" wp14:anchorId="2DC446FA" wp14:editId="5DE3B3F1">
            <wp:extent cx="5930900" cy="5981700"/>
            <wp:effectExtent l="0" t="0" r="0" b="0"/>
            <wp:docPr id="19358203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5981700"/>
                    </a:xfrm>
                    <a:prstGeom prst="rect">
                      <a:avLst/>
                    </a:prstGeom>
                    <a:noFill/>
                    <a:ln>
                      <a:noFill/>
                    </a:ln>
                  </pic:spPr>
                </pic:pic>
              </a:graphicData>
            </a:graphic>
          </wp:inline>
        </w:drawing>
      </w:r>
    </w:p>
    <w:p w14:paraId="761DC6DF" w14:textId="77777777" w:rsidR="00B01E7F" w:rsidRPr="005E3A19" w:rsidRDefault="00B01E7F" w:rsidP="00B01E7F">
      <w:pPr>
        <w:rPr>
          <w:rFonts w:ascii="Times New Roman" w:hAnsi="Times New Roman" w:cs="Times New Roman"/>
          <w:sz w:val="24"/>
          <w:szCs w:val="24"/>
          <w:lang w:val="en-US"/>
        </w:rPr>
      </w:pPr>
      <w:r w:rsidRPr="00B01E7F">
        <w:rPr>
          <w:rFonts w:ascii="Times New Roman" w:hAnsi="Times New Roman" w:cs="Times New Roman"/>
          <w:b/>
          <w:bCs/>
          <w:sz w:val="24"/>
          <w:szCs w:val="24"/>
          <w:lang w:val="en-US"/>
        </w:rPr>
        <w:t>Figure 3</w:t>
      </w:r>
      <w:r>
        <w:rPr>
          <w:rFonts w:ascii="Times New Roman" w:hAnsi="Times New Roman" w:cs="Times New Roman"/>
          <w:sz w:val="24"/>
          <w:szCs w:val="24"/>
          <w:lang w:val="en-US"/>
        </w:rPr>
        <w:t xml:space="preserve">. </w:t>
      </w:r>
      <w:r w:rsidRPr="00B01E7F">
        <w:rPr>
          <w:rFonts w:ascii="Times New Roman" w:hAnsi="Times New Roman" w:cs="Times New Roman"/>
          <w:i/>
          <w:iCs/>
          <w:sz w:val="24"/>
          <w:szCs w:val="24"/>
          <w:lang w:val="en-US"/>
        </w:rPr>
        <w:t>Emission spectra of lipofuscin fluorescence (360/450) and fluorescence intensity at the maximum point. A - Fluorescence emission spectra in 5xFAD hippocampal cultures and healthy cultures. B - Effect of MFP on lipofuscin fluorescence intensity. C - Effect of mdivi-1 on lipofuscin fluorescence intensity. D - Effect of Zn on the intensity of lipofuscin fluorescence. E - Suggested mechanism of lipofuscin formation from mitochondria.</w:t>
      </w:r>
    </w:p>
    <w:p w14:paraId="03899C9E" w14:textId="4F093342" w:rsidR="00E02374" w:rsidRPr="00117C40" w:rsidRDefault="00B95E8E"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4. DISCUSSION</w:t>
      </w:r>
    </w:p>
    <w:p w14:paraId="514A0FF2" w14:textId="197B31D1" w:rsidR="00E02374" w:rsidRPr="00EC3E53" w:rsidRDefault="00E02374"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 xml:space="preserve">Normal </w:t>
      </w:r>
      <w:r w:rsidRPr="00A61548">
        <w:rPr>
          <w:rFonts w:ascii="Times New Roman" w:hAnsi="Times New Roman" w:cs="Times New Roman"/>
          <w:sz w:val="24"/>
          <w:szCs w:val="24"/>
          <w:lang w:val="en-US"/>
        </w:rPr>
        <w:t>mitochondrial fusion and fission dynamics is the basis for maintaining a healthy mitochondrial pool also through mitophagy,</w:t>
      </w:r>
      <w:r w:rsidRPr="00117C40">
        <w:rPr>
          <w:rFonts w:ascii="Times New Roman" w:hAnsi="Times New Roman" w:cs="Times New Roman"/>
          <w:sz w:val="24"/>
          <w:szCs w:val="24"/>
          <w:lang w:val="en-US"/>
        </w:rPr>
        <w:t xml:space="preserve"> the disruption of which leads to the degradation of mitochondria into lipofuscin granules </w:t>
      </w:r>
      <w:r w:rsidR="00DA4C46" w:rsidRPr="00117C40">
        <w:rPr>
          <w:rFonts w:ascii="Times New Roman" w:hAnsi="Times New Roman" w:cs="Times New Roman"/>
          <w:sz w:val="24"/>
          <w:szCs w:val="24"/>
          <w:lang w:val="en-US"/>
        </w:rPr>
        <w:fldChar w:fldCharType="begin" w:fldLock="1"/>
      </w:r>
      <w:r w:rsidR="00DA4C46" w:rsidRPr="00117C40">
        <w:rPr>
          <w:rFonts w:ascii="Times New Roman" w:hAnsi="Times New Roman" w:cs="Times New Roman"/>
          <w:sz w:val="24"/>
          <w:szCs w:val="24"/>
          <w:lang w:val="en-US"/>
        </w:rPr>
        <w:instrText>ADDIN CSL_CITATION {"citationItems":[{"id":"ITEM-1","itemData":{"DOI":"10.1016/j.neuint.2017.08.004","ISSN":"1872-9754 (Electronic)","PMID":"28797885","abstract":"Neurodegenerative diseases, such as Parkinson's disease (PD), Alzheimer's disease  (AD), Huntington's disease (HD), and Amyotrophic Lateral Sclerosis (ALS), are a complex \"family\" of pathologies, characterised by the progressive loss of neurons and/or neuronal functions, leading to severe physical and cognitive inabilities in affected patients. These syndromes, despite differences in the causative events, the onset, and the progression of the disease, share as common features the presence of aggregate-prone neuro-toxic proteins, in the form of aggresomes and/or inclusion bodies, perturbing cellular homeostasis and neuronal function (Popovic et al., 2014), and the presence of dysfunctional mitochondria. The removal of protein aggregates and of damaged organelles, through the ubiquitin-proteasome system (UPS) and/or the autophagy/lysosome machinery, is a crucial step for the maintenance of neuronal homeostasis. Indeed, their impairment has been reported as associated with the development of these diseases. In this review, we focus on the role played by mitophagy, a specialised form of autophagy, in the onset and progression of major neurodegenerative diseases, as well as on possible therapeutic approaches involving mitophagy modulation.","author":[{"dropping-particle":"","family":"Rodolfo","given":"Carlo","non-dropping-particle":"","parse-names":false,"suffix":""},{"dropping-particle":"","family":"Campello","given":"Silvia","non-dropping-particle":"","parse-names":false,"suffix":""},{"dropping-particle":"","family":"Cecconi","given":"Francesco","non-dropping-particle":"","parse-names":false,"suffix":""}],"container-title":"Neurochemistry international","id":"ITEM-1","issued":{"date-parts":[["2018","7"]]},"language":"eng","page":"156-166","publisher-place":"England","title":"Mitophagy in neurodegenerative diseases.","type":"article-journal","volume":"117"},"uris":["http://www.mendeley.com/documents/?uuid=67130804-75bb-4341-b1ab-972c301d45d2"]}],"mendeley":{"formattedCitation":"[14]","plainTextFormattedCitation":"[14]","previouslyFormattedCitation":"[14]"},"properties":{"noteIndex":0},"schema":"https://github.com/citation-style-language/schema/raw/master/csl-citation.json"}</w:instrText>
      </w:r>
      <w:r w:rsidR="00DA4C46" w:rsidRPr="00117C40">
        <w:rPr>
          <w:rFonts w:ascii="Times New Roman" w:hAnsi="Times New Roman" w:cs="Times New Roman"/>
          <w:sz w:val="24"/>
          <w:szCs w:val="24"/>
          <w:lang w:val="en-US"/>
        </w:rPr>
        <w:fldChar w:fldCharType="separate"/>
      </w:r>
      <w:r w:rsidR="00DA4C46" w:rsidRPr="00117C40">
        <w:rPr>
          <w:rFonts w:ascii="Times New Roman" w:hAnsi="Times New Roman" w:cs="Times New Roman"/>
          <w:noProof/>
          <w:sz w:val="24"/>
          <w:szCs w:val="24"/>
          <w:lang w:val="en-US"/>
        </w:rPr>
        <w:t>[14]</w:t>
      </w:r>
      <w:r w:rsidR="00DA4C46" w:rsidRPr="00117C40">
        <w:rPr>
          <w:rFonts w:ascii="Times New Roman" w:hAnsi="Times New Roman" w:cs="Times New Roman"/>
          <w:sz w:val="24"/>
          <w:szCs w:val="24"/>
          <w:lang w:val="en-US"/>
        </w:rPr>
        <w:fldChar w:fldCharType="end"/>
      </w:r>
      <w:r w:rsidRPr="00117C40">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w:t>
      </w:r>
    </w:p>
    <w:p w14:paraId="25610766" w14:textId="19B05F24" w:rsidR="00E02374" w:rsidRPr="00EC3E53" w:rsidRDefault="00E02374"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First, we would like to talk about lipofuscin. It is a substance consisting of oxidized lipids, covalently cross-linked proteins, oligosaccharides and metals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{"citationItems":[{"id":"ITEM-1","itemData":{"DOI":"10.1007/978-1-4899-5339-1_25","ISSN":"0065-2598 (Print)","PMID":"2486162","abstract":"One of the mechanisms for the formation of lipofuscin-like fluorescent substances  is considered to be related to lipid oxidation of tissues. Induction of lipid oxidation in tissues or cells produces cross-links and borohydride-reducible functions together with fluorescence in proteins. In order to elucidate the structures of fluorophores, cross-links and borohydride-reducible functions produced in proteins by lipid oxidation, the reactions of a lipid peroxy free radical with amino acids and proteins, and those of an aldehyde with primary amines were investigated. We demonstrated here two possible types of the reactions that produce the modified proteins. A peroxy free radical generated during lipid oxidation may attack the tyrosine residue in proteins to form the tyrosine radical which may be in turn dimerized into fluorescent and cross-linked tyrosine dimer. aldehyde species formed by degradation of the peroxy free radical may be polymerized into dimer, trimer, tetramer and so on, which may react with the amino groups of protein to produce fluorescence, cross-links and borohydride-reducible functions. Cross-links can be produced by the formation of Schiff base between the tetrameric dialdehyde and the amino groups of proteins.","author":[{"dropping-particle":"","family":"Kikugawa","given":"K","non-dropping-particle":"","parse-names":false,"suffix":""},{"dropping-particle":"","family":"Kato","given":"T","non-dropping-particle":"","parse-names":false,"suffix":""},{"dropping-particle":"","family":"Beppu","given":"M","non-dropping-particle":"","parse-names":false,"suffix":""},{"dropping-particle":"","family":"Hayasaka","given":"A","non-dropping-particle":"","parse-names":false,"suffix":""}],"container-title":"Advances in experimental medicine and biology","id":"ITEM-1","issued":{"date-parts":[["1989"]]},"language":"eng","page":"345-56; discussion 357","publisher-place":"United States","title":"Fluorescent and cross-linked proteins formed by free radical and aldehyde species  generated during lipid oxidation.","type":"article-journal","volume":"266"},"uris":["http://www.mendeley.com/documents/?uuid=466ee736-bf2b-4825-ad04-79bae34968ed"]}],"mendeley":{"formattedCitation":"[15]","plainTextFormattedCitation":"[15]","previouslyFormattedCitation":"[15]"},"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[15]</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The composition of lipofuscin is largely dependent on the intracellular site of action of reactive oxygen species on proteins and lipids. Lipofuscin accumulation is directly proportional to pathologies of various genesis and also increases under conditions of oxidative stress and reactive oxygen species </w:t>
      </w:r>
      <w:r w:rsidRPr="00EC3E53">
        <w:rPr>
          <w:rFonts w:ascii="Times New Roman" w:hAnsi="Times New Roman" w:cs="Times New Roman"/>
          <w:sz w:val="24"/>
          <w:szCs w:val="24"/>
          <w:lang w:val="en-US"/>
        </w:rPr>
        <w:lastRenderedPageBreak/>
        <w:t xml:space="preserve">produced by damaged mitochondria </w:t>
      </w:r>
      <w:r w:rsidRPr="00117C40">
        <w:rPr>
          <w:rFonts w:ascii="Times New Roman" w:hAnsi="Times New Roman" w:cs="Times New Roman"/>
          <w:b/>
          <w:bCs/>
          <w:sz w:val="24"/>
          <w:szCs w:val="24"/>
          <w:lang w:val="en-US"/>
        </w:rPr>
        <w:t>(Fig</w:t>
      </w:r>
      <w:r w:rsidR="00117C40" w:rsidRPr="00117C40">
        <w:rPr>
          <w:rFonts w:ascii="Times New Roman" w:hAnsi="Times New Roman" w:cs="Times New Roman"/>
          <w:b/>
          <w:bCs/>
          <w:sz w:val="24"/>
          <w:szCs w:val="24"/>
          <w:lang w:val="en-US"/>
        </w:rPr>
        <w:t>ure</w:t>
      </w:r>
      <w:r w:rsidRPr="00117C40">
        <w:rPr>
          <w:rFonts w:ascii="Times New Roman" w:hAnsi="Times New Roman" w:cs="Times New Roman"/>
          <w:b/>
          <w:bCs/>
          <w:sz w:val="24"/>
          <w:szCs w:val="24"/>
          <w:lang w:val="en-US"/>
        </w:rPr>
        <w:t xml:space="preserve"> 2, E)</w:t>
      </w:r>
      <w:r w:rsidRPr="00EC3E53">
        <w:rPr>
          <w:rFonts w:ascii="Times New Roman" w:hAnsi="Times New Roman" w:cs="Times New Roman"/>
          <w:sz w:val="24"/>
          <w:szCs w:val="24"/>
          <w:lang w:val="en-US"/>
        </w:rPr>
        <w:t xml:space="preserve">. Although, lipofuscin is thought to be a marker of senescent cells, recent work shows its close association with pathologic tau protein and Aβ in AD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{"citationItems":[{"id":"ITEM-1","itemData":{"DOI":"10.1038/s43587-021-00142-3","ISSN":"2662-8465 (Electronic)","PMID":"35531351","abstract":"Senescent cells contribute to pathology and dysfunction in animal models(1).  Their sparse distribution and heterogenous phenotype have presented challenges for detecting them in human tissues. We developed a senescence eigengene approach to identify these rare cells within large, diverse populations of postmortem human brain cells. Eigengenes are useful when no single gene reliably captures a phenotype, like senescence; they also help to reduce noise, which is important in large transcriptomic datasets where subtle signals from low-expressing genes can be lost. Each of our eigengenes detected ~2% senescent cells from a population of ~140,000 single nuclei derived from 76 postmortem human brains with various levels of Alzheimer's disease (AD) pathology. More than 97% of the senescent cells were excitatory neurons and overlapped with tau-containing neurofibrillary tangles (NFTs). Cyclin dependent kinase inhibitor 2D (CDKN2D/p19) was predicted as the most significant contributor to the primary senescence eigengene. RNAscope and immunofluorescence confirmed its elevated expression in AD brain tissue whereby p19-expressing neurons had 1.8-fold larger nuclei and significantly more cells with lipofuscin than p19-negative neurons. These hallmark senescence phenotypes were further elevated in the presence of NFTs. Collectively, CDKN2D/p19-expressing neurons with NFTs represent a unique cellular population in human AD with a senescence phenotype. The eigengenes developed may be useful in future senescence profiling studies as they accurately identified senescent cells in snRNASeq datasets and predicted biomarkers for histological investigation.","author":[{"dropping-particle":"","family":"Dehkordi","given":"Shiva Kazempour","non-dropping-particle":"","parse-names":false,"suffix":""},{"dropping-particle":"","family":"Walker","given":"Jamie","non-dropping-particle":"","parse-names":false,"suffix":""},{"dropping-particle":"","family":"Sah","given":"Eric","non-dropping-particle":"","parse-names":false,"suffix":""},{"dropping-particle":"","family":"Bennett","given":"Emma","non-dropping-particle":"","parse-names":false,"suffix":""},{"dropping-particle":"","family":"Atrian","given":"Farzaneh","non-dropping-particle":"","parse-names":false,"suffix":""},{"dropping-particle":"","family":"Frost","given":"Bess","non-dropping-particle":"","parse-names":false,"suffix":""},{"dropping-particle":"","family":"Woost","given":"Benjamin","non-dropping-particle":"","parse-names":false,"suffix":""},{"dropping-particle":"","family":"Bennett","given":"Rachel E","non-dropping-particle":"","parse-names":false,"suffix":""},{"dropping-particle":"","family":"Orr","given":"Timothy C","non-dropping-particle":"","parse-names":false,"suffix":""},{"dropping-particle":"","family":"Zhou","given":"Yingyue","non-dropping-particle":"","parse-names":false,"suffix":""},{"dropping-particle":"","family":"Andhey","given":"Prabhakar S","non-dropping-particle":"","parse-names":false,"suffix":""},{"dropping-particle":"","family":"Colonna","given":"Marco","non-dropping-particle":"","parse-names":false,"suffix":""},{"dropping-particle":"","family":"Sudmant","given":"Peter H","non-dropping-particle":"","parse-names":false,"suffix":""},{"dropping-particle":"","family":"Xu","given":"Peng","non-dropping-particle":"","parse-names":false,"suffix":""},{"dropping-particle":"","family":"Wang","given":"Minghui","non-dropping-particle":"","parse-names":false,"suffix":""},{"dropping-particle":"","family":"Zhang","given":"Bin","non-dropping-particle":"","parse-names":false,"suffix":""},{"dropping-particle":"","family":"Zare","given":"Habil","non-dropping-particle":"","parse-names":false,"suffix":""},{"dropping-particle":"","family":"Orr","given":"Miranda E","non-dropping-particle":"","parse-names":false,"suffix":""}],"container-title":"Nature aging","id":"ITEM-1","issue":"12","issued":{"date-parts":[["2021","12"]]},"language":"eng","page":"1107-1116","publisher-place":"United States","title":"Profiling senescent cells in human brains reveals neurons with CDKN2D/p19 and tau  neuropathology.","type":"article","volume":"1"},"uris":["http://www.mendeley.com/documents/?uuid=e89306f8-bf51-4d02-9c38-f58d600cd6ce"]},{"id":"ITEM-2","itemData":{"DOI":"10.3389/fnins.2018.00464","ISSN":"1662-4548 (Print)","PMID":"30026686","abstract":"Despite aging being by far the greatest risk factor for highly prevalent  neurodegenerative disorders, the molecular underpinnings of age-related brain changes are still not well understood, particularly the transition from normal healthy brain aging to neuropathological aging. Aging is an extremely complex, multifactorial process involving the simultaneous interplay of several processes operating at many levels of the functional organization. The buildup of potentially toxic protein aggregates and their spreading through various brain regions has been identified as a major contributor to these pathologies. One of the most striking morphologic changes in neurons during normal aging is the accumulation of lipofuscin (LF) aggregates, as well as, neuromelanin pigments. LF is an autofluorescent lipopigment formed by lipids, metals and misfolded proteins, which is especially abundant in nerve cells, cardiac muscle cells and skin. Within the Central Nervous System (CNS), LF accumulates as aggregates, delineating a specific senescence pattern in both physiological and pathological states, altering neuronal cytoskeleton and cellular trafficking and metabolism, and being associated with neuronal loss, and glial proliferation and activation. Traditionally, the accumulation of LF in the CNS has been considered a secondary consequence of the aging process, being a mere bystander of the pathological buildup associated with different neurodegenerative disorders. Here, we discuss recent evidence suggesting the possibility that LF aggregates may have an active role in neurodegeneration. We argue that LF is a relevant effector of aging that represents a risk factor or driver for neurodegenerative disorders.","author":[{"dropping-particle":"","family":"Moreno-García","given":"Alexandra","non-dropping-particle":"","parse-names":false,"suffix":""},{"dropping-particle":"","family":"Kun","given":"Alejandra","non-dropping-particle":"","parse-names":false,"suffix":""},{"dropping-particle":"","family":"Calero","given":"Olga","non-dropping-particle":"","parse-names":false,"suffix":""},{"dropping-particle":"","family":"Medina","given":"Miguel","non-dropping-particle":"","parse-names":false,"suffix":""},{"dropping-particle":"","family":"Calero","given":"Miguel","non-dropping-particle":"","parse-names":false,"suffix":""}],"container-title":"Frontiers in neuroscience","id":"ITEM-2","issued":{"date-parts":[["2018"]]},"language":"eng","page":"464","publisher-place":"Switzerland","title":"An Overview of the Role of Lipofuscin in Age-Related Neurodegeneration.","type":"article-journal","volume":"12"},"uris":["http://www.mendeley.com/documents/?uuid=9062a065-5eb3-4ae7-bab5-7bf5143e7a86"]}],"mendeley":{"formattedCitation":"[16,17]","plainTextFormattedCitation":"[16,17]","previouslyFormattedCitation":"[16,17]"},"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[16,17]</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Moreover, a new study, shows that α-structured protein lipofuscin is a toxic component of β-structured amyloid plaques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{"citationItems":[{"id":"ITEM-1","itemData":{"DOI":"10.3233/JAD-220311","ISSN":"1875-8908 (Electronic)","PMID":"35662126","abstract":"Protein amyloid-β (Aβ) oligomers with β-sheet-like backbone (β-structured) form  extracellular amyloid plaques associated with Alzheimer's disease (AD). However, the relationship to AD is not known. Some investigations suggest that the toxic Aβ component has α-sheet-like backbone (α-structured) subsequently detoxified by intracellular α-to-β conversion before plaque formation. Our objective is to compare this latter hypothesis with observations made by electron microscopy of thin sections of AD-cerebral cortex. We observe irregular, 200-2,000 nm, intracellular, lipofuscin-like inclusions. Some are light-staining and smooth. Others are dark-staining and made granular by fibers that are usually overlapping and are sometimes individually seen. Aspects unusual for lipofuscin include 1) dark and light inclusions interlocking as though previously one inclusion, 2) dark inclusion-contained 2.6 nm thick sub-fibers that are bent as though α-structured, and 3) presence of inclusions in lysosomes and apparent transfer of dark inclusion material to damaged, nearby lysosomal membranes. These data suggest the following additions to α-structure-based hypotheses: 1) Lipofuscin-associated, α-structured protein toxicity to lysosomal membranes is in the chain of AD causation; 2) α-to-β detoxification of α-structured protein occurs in lipofuscin and causes dark-to-light transition that, when incomplete, is the origin of cell-to-cell transmission essential for development of AD.","author":[{"dropping-particle":"","family":"Serwer","given":"Philip","non-dropping-particle":"","parse-names":false,"suffix":""},{"dropping-particle":"","family":"Wright","given":"Elena T","non-dropping-particle":"","parse-names":false,"suffix":""},{"dropping-particle":"","family":"Hunter","given":"Barbara","non-dropping-particle":"","parse-names":false,"suffix":""}],"container-title":"Journal of Alzheimer's disease : JAD","id":"ITEM-1","issue":"2","issued":{"date-parts":[["2022"]]},"language":"eng","page":"429-438","publisher-place":"Netherlands","title":"Additions to Alpha-Sheet Based Hypotheses for the Cause of Alzheimer's Disease.","type":"article-journal","volume":"88"},"uris":["http://www.mendeley.com/documents/?uuid=cd869186-f89d-4dd3-b9e3-1c2452221747"]}],"mendeley":{"formattedCitation":"[18]","plainTextFormattedCitation":"[18]","previouslyFormattedCitation":"[18]"},"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[18]</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Since lipofuscin has the property of autofluorescence, it can be used as a marker of disorders even before the first morphologic manifestations. That said, one of the most frequent descriptions of lipofuscin sounds like "intracellular </w:t>
      </w:r>
      <w:r w:rsidR="00117C40" w:rsidRPr="00117C40">
        <w:rPr>
          <w:rFonts w:ascii="Times New Roman" w:hAnsi="Times New Roman" w:cs="Times New Roman"/>
          <w:sz w:val="24"/>
          <w:szCs w:val="24"/>
          <w:lang w:val="en-US"/>
        </w:rPr>
        <w:t>trash</w:t>
      </w:r>
      <w:r w:rsidRPr="00EC3E53">
        <w:rPr>
          <w:rFonts w:ascii="Times New Roman" w:hAnsi="Times New Roman" w:cs="Times New Roman"/>
          <w:sz w:val="24"/>
          <w:szCs w:val="24"/>
          <w:lang w:val="en-US"/>
        </w:rPr>
        <w:t>". This term denotes one of the interesting properties of lipofuscin - extreme resistance to cellular proteolysis, which is explained by "cross-linking" of aldehyde and amino groups of the peptide to form stable polymeric structures.</w:t>
      </w:r>
    </w:p>
    <w:p w14:paraId="0FDB8262" w14:textId="7A23C66A" w:rsidR="00E02374" w:rsidRPr="00EC3E53" w:rsidRDefault="00E02374"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We see that the accumulation of lipofuscin in our experiments occurs in two cases. The first is the toxic effect of high concentrations of exogenous zinc, which is quite explained by the activation of peroxidation and, in general, quite a common pathway of lipofuscin increase. The second is inhibition of mitochondrial fission. Thus, by day 5 of fission inhibition, the fluorescence intensity of lipofuscin in the experimental groups is compared to control 5xFAD transgenic animals. The </w:t>
      </w:r>
      <w:r w:rsidR="00DA4C46" w:rsidRPr="00EC3E53">
        <w:rPr>
          <w:rFonts w:ascii="Times New Roman" w:hAnsi="Times New Roman" w:cs="Times New Roman"/>
          <w:sz w:val="24"/>
          <w:szCs w:val="24"/>
          <w:lang w:val="en-US"/>
        </w:rPr>
        <w:t xml:space="preserve">issue </w:t>
      </w:r>
      <w:r w:rsidR="00DA4C46" w:rsidRPr="00EC3E53">
        <w:rPr>
          <w:rFonts w:ascii="Times New Roman" w:hAnsi="Times New Roman" w:cs="Times New Roman"/>
          <w:sz w:val="24"/>
          <w:szCs w:val="24"/>
          <w:lang w:val="en-US"/>
        </w:rPr>
        <w:fldChar w:fldCharType="begin" w:fldLock="1"/>
      </w:r>
      <w:r w:rsidR="00DA4C46" w:rsidRPr="00EC3E53">
        <w:rPr>
          <w:rFonts w:ascii="Times New Roman" w:hAnsi="Times New Roman" w:cs="Times New Roman"/>
          <w:sz w:val="24"/>
          <w:szCs w:val="24"/>
          <w:lang w:val="en-US"/>
        </w:rPr>
        <w:instrText>ADDIN CSL_CITATION {"citationItems":[{"id":"ITEM-1","itemData":{"DOI":"https://doi.org/10.1016/j.cmet.2013.03.002","ISSN":"1550-4131","abstract":"Mitochondrial fusion, fission, and mitophagy form an essential axis of mitochondrial quality control. However, quality control might not be the only task carried out by mitochondrial dynamics. Recent studies link mitochondrial dynamics to the balance between energy demand and nutrient supply, suggesting changes in mitochondrial architecture as a mechanism for bioenergetic adaptation to metabolic demands. By favoring either connected or fragmented architectures, mitochondrial dynamics regulates bioenergetic efficiency and energy expenditure. Placement of bioenergetic adaptation and quality control as competing tasks of mitochondrial dynamics might provide a new mechanism, linking excess nutrient environment to progressive mitochondrial dysfunction, common to age-related diseases.","author":[{"dropping-particle":"","family":"Liesa","given":"Marc","non-dropping-particle":"","parse-names":false,"suffix":""},{"dropping-particle":"","family":"Shirihai","given":"Orian S","non-dropping-particle":"","parse-names":false,"suffix":""}],"container-title":"Cell Metabolism","id":"ITEM-1","issue":"4","issued":{"date-parts":[["2013"]]},"page":"491-506","title":"Mitochondrial Dynamics in the Regulation of Nutrient Utilization and Energy Expenditure","type":"article-journal","volume":"17"},"uris":["http://www.mendeley.com/documents/?uuid=872b0710-cb15-49dc-baef-397d88af7eeb"]}],"mendeley":{"formattedCitation":"[19]","plainTextFormattedCitation":"[19]","previouslyFormattedCitation":"[19]"},"properties":{"noteIndex":0},"schema":"https://github.com/citation-style-language/schema/raw/master/csl-citation.json"}</w:instrText>
      </w:r>
      <w:r w:rsidR="00DA4C46" w:rsidRPr="00EC3E53">
        <w:rPr>
          <w:rFonts w:ascii="Times New Roman" w:hAnsi="Times New Roman" w:cs="Times New Roman"/>
          <w:sz w:val="24"/>
          <w:szCs w:val="24"/>
          <w:lang w:val="en-US"/>
        </w:rPr>
        <w:fldChar w:fldCharType="separate"/>
      </w:r>
      <w:r w:rsidR="00DA4C46" w:rsidRPr="00EC3E53">
        <w:rPr>
          <w:rFonts w:ascii="Times New Roman" w:hAnsi="Times New Roman" w:cs="Times New Roman"/>
          <w:noProof/>
          <w:sz w:val="24"/>
          <w:szCs w:val="24"/>
          <w:lang w:val="en-US"/>
        </w:rPr>
        <w:t>[19]</w:t>
      </w:r>
      <w:r w:rsidR="00DA4C46"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states that the normal mitochondrial fission cycle involves the formation of two daughter mitochondria, one of which has a higher membrane potential and goes on to the fusion-fission cycle, and the other, with a more depolarized membrane, remains separated until membrane potential is restored or until elimination by autophagy. And we can assume that the increase in lipofuscin in this case is a process of accumulation of intracellular debris associated with </w:t>
      </w:r>
      <w:r w:rsidRPr="00A61548">
        <w:rPr>
          <w:rFonts w:ascii="Times New Roman" w:hAnsi="Times New Roman" w:cs="Times New Roman"/>
          <w:sz w:val="24"/>
          <w:szCs w:val="24"/>
          <w:lang w:val="en-US"/>
        </w:rPr>
        <w:t>insufficient mitochondrial division and clearance.</w:t>
      </w:r>
      <w:r w:rsidRPr="00EC3E53">
        <w:rPr>
          <w:rFonts w:ascii="Times New Roman" w:hAnsi="Times New Roman" w:cs="Times New Roman"/>
          <w:sz w:val="24"/>
          <w:szCs w:val="24"/>
          <w:lang w:val="en-US"/>
        </w:rPr>
        <w:t xml:space="preserve"> And therefore, activation of fission by non-toxic concentrations of zinc, although leading to deleterious effects in culture, decreased the level of lipofuscin. At the same time, the activation of mitochondrial fusion, although leading to the degradation of the culture, did not lead to the formation of lipofuscin. On the contrary, it decreased over time. This can be taken to mean that by acting on the fusion </w:t>
      </w:r>
      <w:r w:rsidRPr="00A61548">
        <w:rPr>
          <w:rFonts w:ascii="Times New Roman" w:hAnsi="Times New Roman" w:cs="Times New Roman"/>
          <w:sz w:val="24"/>
          <w:szCs w:val="24"/>
          <w:lang w:val="en-US"/>
        </w:rPr>
        <w:t xml:space="preserve">promoter, we are not blocking fission, and mitochondria still have the ability to maintain </w:t>
      </w:r>
      <w:r w:rsidR="00286D49" w:rsidRPr="00A61548">
        <w:rPr>
          <w:rFonts w:ascii="Times New Roman" w:hAnsi="Times New Roman" w:cs="Times New Roman"/>
          <w:sz w:val="24"/>
          <w:szCs w:val="24"/>
          <w:lang w:val="en-US"/>
        </w:rPr>
        <w:t>fission dynamics</w:t>
      </w:r>
      <w:r w:rsidRPr="00A61548">
        <w:rPr>
          <w:rFonts w:ascii="Times New Roman" w:hAnsi="Times New Roman" w:cs="Times New Roman"/>
          <w:sz w:val="24"/>
          <w:szCs w:val="24"/>
          <w:lang w:val="en-US"/>
        </w:rPr>
        <w:t>. Also, given the close relationship between lipofuscin and peroxidation, we can assume that when mitochondria fuse, cells are not subjected to oxidative stress.</w:t>
      </w:r>
    </w:p>
    <w:p w14:paraId="247D0993" w14:textId="6E8AFE32" w:rsidR="00DA4C46" w:rsidRPr="00EC3E53" w:rsidRDefault="00DA4C46" w:rsidP="00B01E7F">
      <w:pPr>
        <w:spacing w:line="240" w:lineRule="auto"/>
        <w:rPr>
          <w:rFonts w:ascii="Times New Roman" w:hAnsi="Times New Roman" w:cs="Times New Roman"/>
          <w:color w:val="000000" w:themeColor="text1"/>
          <w:sz w:val="24"/>
          <w:szCs w:val="24"/>
          <w:shd w:val="clear" w:color="auto" w:fill="FFFFFF"/>
          <w:lang w:val="en-US"/>
        </w:rPr>
      </w:pPr>
      <w:r w:rsidRPr="00EC3E53">
        <w:rPr>
          <w:rFonts w:ascii="Times New Roman" w:hAnsi="Times New Roman" w:cs="Times New Roman"/>
          <w:sz w:val="24"/>
          <w:szCs w:val="24"/>
          <w:lang w:val="en-US"/>
        </w:rPr>
        <w:t xml:space="preserve">It has been reported that 5xFAD transgenic mice and a reproducible neuro-astrocytic culture from them, which we considered as a control, already have a shift in mitochondrial balance toward excess fission </w:t>
      </w: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ADDIN CSL_CITATION {"citationItems":[{"id":"ITEM-1","itemData":{"DOI":"10.1371/journal.pone.0150441","ISSN":"1932-6203 (Electronic)","PMID":"26942905","abstract":"Brain mitochondrial dysfunction is hallmark pathology of Alzheimer's disease  (AD). Recently, the role of synaptosomal mitochondrial dysfunction in the development of synaptic injury in AD has received increasing attention. Synaptosomal mitochondria are a subgroup of neuronal mitochondria specifically locating at synapses. They play an essential role in fueling synaptic functions by providing energy on the site; and their defects may lead to synaptic failure, which is an early and pronounced pathology in AD. In our previous studies we have determined early synaptosomal mitochondrial dysfunction in an AD animal model (J20 line) overexpressing human Amyloid beta (Aβ), the key mediator of AD. In view of the limitations of J20 line mice in representing the full aspects of amyloidopathy in AD cases, we employed 5xFAD mice which are thought to be a desirable paradigm of amyloidopathy as seen in AD subjects. In addition, we have also examined the status of synaptosomal mitochondrial dynamics as well as Parkin-mediated mitophagy which have not been previously investigated in this mouse model. In comparison to nontransgenic (nonTg mice), 5xFAD mice demonstrated prominent synaptosomal mitochondrial dysfunction. Moreover, synaptosomal mitochondria from the AD mouse model displayed imbalanced mitochondrial dynamics towards fission along with activated Parkin and LC3BII recruitment correlating to spatial learning &amp; memory impairments in 5xFAD mice in an age-dependent manner. These results suggest that synaptosomal mitochondrial deficits are primary pathology in Aβ-rich environments and further confirm the relevance of synaptosomal mitochondrial deficits to the development of AD.","author":[{"dropping-particle":"","family":"Wang","given":"Lu","non-dropping-particle":"","parse-names":false,"suffix":""},{"dropping-particle":"","family":"Guo","given":"Lan","non-dropping-particle":"","parse-names":false,"suffix":""},{"dropping-particle":"","family":"Lu","given":"Lin","non-dropping-particle":"","parse-names":false,"suffix":""},{"dropping-particle":"","family":"Sun","given":"Huili","non-dropping-particle":"","parse-names":false,"suffix":""},{"dropping-particle":"","family":"Shao","given":"Muming","non-dropping-particle":"","parse-names":false,"suffix":""},{"dropping-particle":"","family":"Beck","given":"Simon J","non-dropping-particle":"","parse-names":false,"suffix":""},{"dropping-particle":"","family":"Li","given":"Lin","non-dropping-particle":"","parse-names":false,"suffix":""},{"dropping-particle":"","family":"Ramachandran","given":"Janani","non-dropping-particle":"","parse-names":false,"suffix":""},{"dropping-particle":"","family":"Du","given":"Yifeng","non-dropping-particle":"","parse-names":false,"suffix":""},{"dropping-particle":"","family":"Du","given":"Heng","non-dropping-particle":"","parse-names":false,"suffix":""}],"container-title":"PloS one","id":"ITEM-1","issue":"3","issued":{"date-parts":[["2016"]]},"language":"eng","page":"e0150441","publisher-place":"United States","title":"Synaptosomal Mitochondrial Dysfunction in 5xFAD Mouse Model of Alzheimer's  Disease.","type":"article-journal","volume":"11"},"uris":["http://www.mendeley.com/documents/?uuid=14d373af-e6c6-466d-8b75-55cb5ca132ce"]}],"mendeley":{"formattedCitation":"[20]","plainTextFormattedCitation":"[20]","previouslyFormattedCitation":"[20]"},"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[20]</w:t>
      </w:r>
      <w:r w:rsidRPr="00EC3E53">
        <w:rPr>
          <w:rFonts w:ascii="Times New Roman" w:hAnsi="Times New Roman" w:cs="Times New Roman"/>
          <w:sz w:val="24"/>
          <w:szCs w:val="24"/>
          <w:lang w:val="en-US"/>
        </w:rPr>
        <w:fldChar w:fldCharType="end"/>
      </w:r>
      <w:r w:rsidR="00286D49">
        <w:rPr>
          <w:rFonts w:ascii="Times New Roman" w:hAnsi="Times New Roman" w:cs="Times New Roman"/>
          <w:sz w:val="24"/>
          <w:szCs w:val="24"/>
          <w:lang w:val="en-US"/>
        </w:rPr>
        <w:t>.</w:t>
      </w:r>
      <w:r w:rsidRPr="00EC3E53">
        <w:rPr>
          <w:rFonts w:ascii="Times New Roman" w:hAnsi="Times New Roman" w:cs="Times New Roman"/>
          <w:sz w:val="24"/>
          <w:szCs w:val="24"/>
          <w:lang w:val="en-US"/>
        </w:rPr>
        <w:t xml:space="preserve"> </w:t>
      </w:r>
      <w:r w:rsidR="00286D49" w:rsidRPr="00286D49">
        <w:rPr>
          <w:rFonts w:ascii="Times New Roman" w:hAnsi="Times New Roman" w:cs="Times New Roman"/>
          <w:sz w:val="24"/>
          <w:szCs w:val="24"/>
          <w:lang w:val="en-US"/>
        </w:rPr>
        <w:t xml:space="preserve">Also, loss of the central mitochondrial fission protein dynamin-related mitochondrial fission protein 1 (Drp1) increases the toxicity of mutant APP in vivo </w:t>
      </w:r>
      <w:r w:rsidRPr="00EC3E53">
        <w:rPr>
          <w:rFonts w:ascii="Times New Roman" w:hAnsi="Times New Roman" w:cs="Times New Roman"/>
          <w:sz w:val="24"/>
          <w:szCs w:val="24"/>
          <w:lang w:val="en-US"/>
        </w:rPr>
        <w:fldChar w:fldCharType="begin" w:fldLock="1"/>
      </w:r>
      <w:r w:rsidR="00EC3E53" w:rsidRPr="00EC3E53">
        <w:rPr>
          <w:rFonts w:ascii="Times New Roman" w:hAnsi="Times New Roman" w:cs="Times New Roman"/>
          <w:sz w:val="24"/>
          <w:szCs w:val="24"/>
          <w:lang w:val="en-US"/>
        </w:rPr>
        <w:instrText>ADDIN CSL_CITATION {"citationItems":[{"id":"ITEM-1","itemData":{"DOI":"10.1016/j.jbc.2021.100469","ISSN":"1083-351X (Electronic)","PMID":"33639169","abstract":"Alterations in mitochondrial fission may contribute to the pathophysiology of  several neurodegenerative diseases, including Alzheimer's disease (AD). However, we understand very little about the normal functions of fission or how fission disruption may interact with AD-associated proteins to modulate pathogenesis. Here we show that loss of the central mitochondrial fission protein dynamin-related protein 1 (Drp1) in CA1 and other forebrain neurons markedly worsens the learning and memory of mice expressing mutant human amyloid precursor protein (hAPP) in neurons. In cultured neurons, Drp1KO and hAPP converge to produce mitochondrial Ca(2+) (mitoCa(2+)) overload, despite decreasing mitochondria-associated ER membranes (MAMs) and cytosolic Ca(2+). This mitoCa(2+) overload occurs independently of ATP levels. These findings reveal a potential mechanism by which mitochondrial fission protects against hAPP-driven pathology.","author":[{"dropping-particle":"","family":"Shields","given":"Lauren Y","non-dropping-particle":"","parse-names":false,"suffix":""},{"dropping-particle":"","family":"Li","given":"Huihui","non-dropping-particle":"","parse-names":false,"suffix":""},{"dropping-particle":"","family":"Nguyen","given":"Kevin","non-dropping-particle":"","parse-names":false,"suffix":""},{"dropping-particle":"","family":"Kim","given":"Hwajin","non-dropping-particle":"","parse-names":false,"suffix":""},{"dropping-particle":"","family":"Doric","given":"Zak","non-dropping-particle":"","parse-names":false,"suffix":""},{"dropping-particle":"","family":"Garcia","given":"Joseph H","non-dropping-particle":"","parse-names":false,"suffix":""},{"dropping-particle":"","family":"Gill","given":"T Michael","non-dropping-particle":"","parse-names":false,"suffix":""},{"dropping-particle":"","family":"Haddad","given":"Dominik","non-dropping-particle":"","parse-names":false,"suffix":""},{"dropping-particle":"","family":"Vossel","given":"Keith","non-dropping-particle":"","parse-names":false,"suffix":""},{"dropping-particle":"","family":"Calvert","given":"Meredith","non-dropping-particle":"","parse-names":false,"suffix":""},{"dropping-particle":"","family":"Nakamura","given":"Ken","non-dropping-particle":"","parse-names":false,"suffix":""}],"container-title":"The Journal of biological chemistry","id":"ITEM-1","issued":{"date-parts":[["2021"]]},"language":"eng","page":"100469","publisher-place":"United States","title":"Mitochondrial fission is a critical modulator of mutant APP-induced neural  toxicity.","type":"article-journal","volume":"296"},"uris":["http://www.mendeley.com/documents/?uuid=49453f91-8bf5-481a-a48b-f2cdee0ca8fd"]}],"mendeley":{"formattedCitation":"[21]","plainTextFormattedCitation":"[21]","previouslyFormattedCitation":"[21]"},"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[21]</w:t>
      </w:r>
      <w:r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w:t>
      </w:r>
      <w:r w:rsidR="00EC3E53" w:rsidRPr="00EC3E53">
        <w:rPr>
          <w:rFonts w:ascii="Times New Roman" w:hAnsi="Times New Roman" w:cs="Times New Roman"/>
          <w:color w:val="000000" w:themeColor="text1"/>
          <w:sz w:val="24"/>
          <w:szCs w:val="24"/>
          <w:shd w:val="clear" w:color="auto" w:fill="FFFFFF"/>
          <w:lang w:val="en-US"/>
        </w:rPr>
        <w:t>In the 5xFAD mouse model, all mutations target the hyperproduction of human A</w:t>
      </w:r>
      <w:r w:rsidR="00EC3E53" w:rsidRPr="00EC3E53">
        <w:rPr>
          <w:rFonts w:ascii="Times New Roman" w:hAnsi="Times New Roman" w:cs="Times New Roman"/>
          <w:color w:val="000000" w:themeColor="text1"/>
          <w:sz w:val="24"/>
          <w:szCs w:val="24"/>
          <w:shd w:val="clear" w:color="auto" w:fill="FFFFFF"/>
        </w:rPr>
        <w:t>β</w:t>
      </w:r>
      <w:r w:rsidR="00EC3E53" w:rsidRPr="00EC3E53">
        <w:rPr>
          <w:rFonts w:ascii="Times New Roman" w:hAnsi="Times New Roman" w:cs="Times New Roman"/>
          <w:color w:val="000000" w:themeColor="text1"/>
          <w:sz w:val="24"/>
          <w:szCs w:val="24"/>
          <w:shd w:val="clear" w:color="auto" w:fill="FFFFFF"/>
          <w:lang w:val="en-US"/>
        </w:rPr>
        <w:t xml:space="preserve">1-42 </w:t>
      </w:r>
      <w:r w:rsidR="00EC3E53" w:rsidRPr="00EC3E53">
        <w:rPr>
          <w:rFonts w:ascii="Times New Roman" w:hAnsi="Times New Roman" w:cs="Times New Roman"/>
          <w:color w:val="000000" w:themeColor="text1"/>
          <w:sz w:val="24"/>
          <w:szCs w:val="24"/>
          <w:shd w:val="clear" w:color="auto" w:fill="FFFFFF"/>
          <w:lang w:val="en-US"/>
        </w:rPr>
        <w:fldChar w:fldCharType="begin" w:fldLock="1"/>
      </w:r>
      <w:r w:rsidR="00EC3E53" w:rsidRPr="00EC3E53">
        <w:rPr>
          <w:rFonts w:ascii="Times New Roman" w:hAnsi="Times New Roman" w:cs="Times New Roman"/>
          <w:color w:val="000000" w:themeColor="text1"/>
          <w:sz w:val="24"/>
          <w:szCs w:val="24"/>
          <w:shd w:val="clear" w:color="auto" w:fill="FFFFFF"/>
          <w:lang w:val="en-US"/>
        </w:rPr>
        <w:instrText>ADDIN CSL_CITATION {"citationItems":[{"id":"ITEM-1","itemData":{"DOI":"https://doi.org/10.1016/B978-0-12-815854-8.00013-6","ISBN":"978-0-12-815854-8","abstract":"Since 2000, a plethora of transgenic mouse models have been developed to reproduce the main features of Alzheimer's disease (AD). Due to the complexity of the disease, no ideal animal model exists to date. The 5×FAD mouse line recapitulates numerous neuropathological insults and cognitive alterations found in human AD patients: from amyloid deposits to intense gliosis and neuroinflammation, including neurotransmission alteration, synaptic loss, neurodegeneration, and behavioral and memory deficits. The extremely aggressive amyloid pathology of these mice makes them a suitable model for early-onset AD. This chapter describes and illustrates the main characteristics of the 5×FAD mouse model and discusses its usefulness in the context of preclinical evaluation of drug candidates or promising therapeutic targets against AD.","author":[{"dropping-particle":"","family":"Ismeurt","given":"Caroline","non-dropping-particle":"","parse-names":false,"suffix":""},{"dropping-particle":"","family":"Giannoni","given":"Patrizia","non-dropping-particle":"","parse-names":false,"suffix":""},{"dropping-particle":"","family":"Claeysen","given":"Sylvie","non-dropping-particle":"","parse-names":false,"suffix":""}],"container-title":"Diagnosis and Management in Dementia","editor":[{"dropping-particle":"","family":"Martin","given":"Colin R","non-dropping-particle":"","parse-names":false,"suffix":""},{"dropping-particle":"","family":"Preedy","given":"Victor R","non-dropping-particle":"","parse-names":false,"suffix":""}],"id":"ITEM-1","issued":{"date-parts":[["2020"]]},"page":"207-221","publisher":"Academic Press","title":"Chapter 13 - The 5×FAD mouse model of Alzheimer's disease","type":"chapter"},"uris":["http://www.mendeley.com/documents/?uuid=3c9029d4-95ca-4d70-80aa-6166eb11365e"]}],"mendeley":{"formattedCitation":"[22]","plainTextFormattedCitation":"[22]","previouslyFormattedCitation":"[22]"},"properties":{"noteIndex":0},"schema":"https://github.com/citation-style-language/schema/raw/master/csl-citation.json"}</w:instrText>
      </w:r>
      <w:r w:rsidR="00EC3E53" w:rsidRPr="00EC3E53">
        <w:rPr>
          <w:rFonts w:ascii="Times New Roman" w:hAnsi="Times New Roman" w:cs="Times New Roman"/>
          <w:color w:val="000000" w:themeColor="text1"/>
          <w:sz w:val="24"/>
          <w:szCs w:val="24"/>
          <w:shd w:val="clear" w:color="auto" w:fill="FFFFFF"/>
          <w:lang w:val="en-US"/>
        </w:rPr>
        <w:fldChar w:fldCharType="separate"/>
      </w:r>
      <w:r w:rsidR="00EC3E53" w:rsidRPr="00EC3E53">
        <w:rPr>
          <w:rFonts w:ascii="Times New Roman" w:hAnsi="Times New Roman" w:cs="Times New Roman"/>
          <w:noProof/>
          <w:color w:val="000000" w:themeColor="text1"/>
          <w:sz w:val="24"/>
          <w:szCs w:val="24"/>
          <w:shd w:val="clear" w:color="auto" w:fill="FFFFFF"/>
          <w:lang w:val="en-US"/>
        </w:rPr>
        <w:t>[22]</w:t>
      </w:r>
      <w:r w:rsidR="00EC3E53" w:rsidRPr="00EC3E53">
        <w:rPr>
          <w:rFonts w:ascii="Times New Roman" w:hAnsi="Times New Roman" w:cs="Times New Roman"/>
          <w:color w:val="000000" w:themeColor="text1"/>
          <w:sz w:val="24"/>
          <w:szCs w:val="24"/>
          <w:shd w:val="clear" w:color="auto" w:fill="FFFFFF"/>
          <w:lang w:val="en-US"/>
        </w:rPr>
        <w:fldChar w:fldCharType="end"/>
      </w:r>
      <w:r w:rsidR="00EC3E53" w:rsidRPr="00EC3E53">
        <w:rPr>
          <w:rFonts w:ascii="Times New Roman" w:hAnsi="Times New Roman" w:cs="Times New Roman"/>
          <w:color w:val="000000" w:themeColor="text1"/>
          <w:sz w:val="24"/>
          <w:szCs w:val="24"/>
          <w:shd w:val="clear" w:color="auto" w:fill="FFFFFF"/>
          <w:lang w:val="en-US"/>
        </w:rPr>
        <w:t>, it is the overproduction of toxic agents that is the cause of dysfunction in this model. We assume that the increased mitochondrial fission in this model is secondary and is related to the fact that the cells are trying to get rid of toxic amyloid in this way. In our experiments, inhibition of mitochondrial fission resulted in a cascade of reactions characteristic of 5xFAD culture. In addition to a pathologic increase in lipofuscin, we observed a decrease in neuronal density and compensatory overgrowth of astroglia, which within this model can be considered as a manifestation of astrogliosis. That is, cellular toxin accumulation and mitochondrial fission mediate each other.</w:t>
      </w:r>
    </w:p>
    <w:p w14:paraId="016E7F40" w14:textId="1C0C2B41" w:rsidR="00EC3E53" w:rsidRP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At the same time activation of cell division did not lead to such consequences. But we can assume that zinc is a toxic agent in general and its mechanism of operation is a reflection of how the introduction of an external toxic agent (similar to Aβ1-42 </w:t>
      </w:r>
      <w:r w:rsidR="00431E91" w:rsidRPr="00EC3E53">
        <w:rPr>
          <w:rFonts w:ascii="Times New Roman" w:hAnsi="Times New Roman" w:cs="Times New Roman"/>
          <w:sz w:val="24"/>
          <w:szCs w:val="24"/>
          <w:lang w:val="en-US"/>
        </w:rPr>
        <w:t>e</w:t>
      </w:r>
      <w:r w:rsidR="00431E91">
        <w:rPr>
          <w:rFonts w:ascii="Times New Roman" w:hAnsi="Times New Roman" w:cs="Times New Roman"/>
          <w:sz w:val="24"/>
          <w:szCs w:val="24"/>
          <w:lang w:val="en-US"/>
        </w:rPr>
        <w:t>x</w:t>
      </w:r>
      <w:r w:rsidR="00431E91" w:rsidRPr="00EC3E53">
        <w:rPr>
          <w:rFonts w:ascii="Times New Roman" w:hAnsi="Times New Roman" w:cs="Times New Roman"/>
          <w:sz w:val="24"/>
          <w:szCs w:val="24"/>
          <w:lang w:val="en-US"/>
        </w:rPr>
        <w:t>pression</w:t>
      </w:r>
      <w:r w:rsidRPr="00EC3E53">
        <w:rPr>
          <w:rFonts w:ascii="Times New Roman" w:hAnsi="Times New Roman" w:cs="Times New Roman"/>
          <w:sz w:val="24"/>
          <w:szCs w:val="24"/>
          <w:lang w:val="en-US"/>
        </w:rPr>
        <w:t xml:space="preserve"> in 5xFAD) leads to an attempt of mitochondria to clean themselves and the cell from contaminants.</w:t>
      </w:r>
    </w:p>
    <w:p w14:paraId="3447C20E" w14:textId="4E395E05" w:rsid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In doing so, the prolonged action of the fusion promoter resembles the depletion of internal resources in a healthy culture. This process of slow degeneration is broadly similar to what one pathway of cell culture degeneration looks </w:t>
      </w:r>
      <w:r w:rsidRPr="00A61548">
        <w:rPr>
          <w:rFonts w:ascii="Times New Roman" w:hAnsi="Times New Roman" w:cs="Times New Roman"/>
          <w:sz w:val="24"/>
          <w:szCs w:val="24"/>
          <w:lang w:val="en-US"/>
        </w:rPr>
        <w:t>like. It loses clustering and shrinks (</w:t>
      </w:r>
      <w:r w:rsidR="005C1DC6" w:rsidRPr="00A61548">
        <w:rPr>
          <w:rFonts w:ascii="Times New Roman" w:hAnsi="Times New Roman" w:cs="Times New Roman"/>
          <w:sz w:val="24"/>
          <w:szCs w:val="24"/>
          <w:lang w:val="en-US"/>
        </w:rPr>
        <w:t>although in general there is another pathway of culture degradation</w:t>
      </w:r>
      <w:r w:rsidRPr="00A61548">
        <w:rPr>
          <w:rFonts w:ascii="Times New Roman" w:hAnsi="Times New Roman" w:cs="Times New Roman"/>
          <w:sz w:val="24"/>
          <w:szCs w:val="24"/>
          <w:lang w:val="en-US"/>
        </w:rPr>
        <w:t xml:space="preserve">, abrupt </w:t>
      </w:r>
      <w:proofErr w:type="spellStart"/>
      <w:r w:rsidRPr="00A61548">
        <w:rPr>
          <w:rFonts w:ascii="Times New Roman" w:hAnsi="Times New Roman" w:cs="Times New Roman"/>
          <w:sz w:val="24"/>
          <w:szCs w:val="24"/>
          <w:lang w:val="en-US"/>
        </w:rPr>
        <w:t>neurosphere</w:t>
      </w:r>
      <w:proofErr w:type="spellEnd"/>
      <w:r w:rsidRPr="00A61548">
        <w:rPr>
          <w:rFonts w:ascii="Times New Roman" w:hAnsi="Times New Roman" w:cs="Times New Roman"/>
          <w:sz w:val="24"/>
          <w:szCs w:val="24"/>
          <w:lang w:val="en-US"/>
        </w:rPr>
        <w:t xml:space="preserve"> clustering, where</w:t>
      </w:r>
      <w:r w:rsidRPr="00EC3E53">
        <w:rPr>
          <w:rFonts w:ascii="Times New Roman" w:hAnsi="Times New Roman" w:cs="Times New Roman"/>
          <w:sz w:val="24"/>
          <w:szCs w:val="24"/>
          <w:lang w:val="en-US"/>
        </w:rPr>
        <w:t xml:space="preserve"> </w:t>
      </w:r>
      <w:r w:rsidRPr="00EC3E53">
        <w:rPr>
          <w:rFonts w:ascii="Times New Roman" w:hAnsi="Times New Roman" w:cs="Times New Roman"/>
          <w:sz w:val="24"/>
          <w:szCs w:val="24"/>
          <w:lang w:val="en-US"/>
        </w:rPr>
        <w:lastRenderedPageBreak/>
        <w:t xml:space="preserve">thin neuro-astrocytic strands stretch between densely packed </w:t>
      </w:r>
      <w:proofErr w:type="spellStart"/>
      <w:r w:rsidRPr="00EC3E53">
        <w:rPr>
          <w:rFonts w:ascii="Times New Roman" w:hAnsi="Times New Roman" w:cs="Times New Roman"/>
          <w:sz w:val="24"/>
          <w:szCs w:val="24"/>
          <w:lang w:val="en-US"/>
        </w:rPr>
        <w:t>neurospheres</w:t>
      </w:r>
      <w:proofErr w:type="spellEnd"/>
      <w:r w:rsidRPr="00EC3E53">
        <w:rPr>
          <w:rFonts w:ascii="Times New Roman" w:hAnsi="Times New Roman" w:cs="Times New Roman"/>
          <w:sz w:val="24"/>
          <w:szCs w:val="24"/>
          <w:lang w:val="en-US"/>
        </w:rPr>
        <w:t xml:space="preserve">, linking them to other </w:t>
      </w:r>
      <w:proofErr w:type="spellStart"/>
      <w:r w:rsidRPr="00EC3E53">
        <w:rPr>
          <w:rFonts w:ascii="Times New Roman" w:hAnsi="Times New Roman" w:cs="Times New Roman"/>
          <w:sz w:val="24"/>
          <w:szCs w:val="24"/>
          <w:lang w:val="en-US"/>
        </w:rPr>
        <w:t>neurospheres</w:t>
      </w:r>
      <w:proofErr w:type="spellEnd"/>
      <w:r w:rsidRPr="00EC3E53">
        <w:rPr>
          <w:rFonts w:ascii="Times New Roman" w:hAnsi="Times New Roman" w:cs="Times New Roman"/>
          <w:sz w:val="24"/>
          <w:szCs w:val="24"/>
          <w:lang w:val="en-US"/>
        </w:rPr>
        <w:t xml:space="preserve">, this is characteristic of primary cultures with high initial stem cell content or their increased level of activity). Mitochondria </w:t>
      </w:r>
      <w:r w:rsidR="00431E91" w:rsidRPr="00431E91">
        <w:rPr>
          <w:rFonts w:ascii="Times New Roman" w:hAnsi="Times New Roman" w:cs="Times New Roman"/>
          <w:sz w:val="24"/>
          <w:szCs w:val="24"/>
          <w:lang w:val="en-US"/>
        </w:rPr>
        <w:t>fusion</w:t>
      </w:r>
      <w:r w:rsidRPr="00EC3E53">
        <w:rPr>
          <w:rFonts w:ascii="Times New Roman" w:hAnsi="Times New Roman" w:cs="Times New Roman"/>
          <w:sz w:val="24"/>
          <w:szCs w:val="24"/>
          <w:lang w:val="en-US"/>
        </w:rPr>
        <w:t xml:space="preserve"> is thought to result in enhanced ATP energy supply to cells because they have more cristae, increased levels of dimerization and ATP synthase activity and support ATP synthesis </w:t>
      </w: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ADDIN CSL_CITATION {"citationItems":[{"id":"ITEM-1","itemData":{"DOI":"10.1002/bies.201400188","ISSN":"1521-1878 (Electronic)","PMID":"25847815","abstract":"Mitochondria can change their shape from discrete isolated organelles to a large  continuous reticulum. The cellular advantages underlying these fused networks are still incompletely understood. In this paper, we describe and compare hypotheses regarding the function of mitochondrial networks. We use mathematical and physical tools both to investigate existing hypotheses and to generate new ones, and we suggest experimental and modelling strategies. Among the novel insights we underline from this work are the possibilities that (i) selective mitophagy is not required for quality control because selective fusion is sufficient; (ii) increased connectivity may have non-linear effects on the diffusion rate of proteins; and (iii) fused networks can act to dampen biochemical fluctuations. We hope to convey to the reader that quantitative approaches can drive advances in the understanding of the physiological advantage of these morphological changes.","author":[{"dropping-particle":"","family":"Hoitzing","given":"Hanne","non-dropping-particle":"","parse-names":false,"suffix":""},{"dropping-particle":"","family":"Johnston","given":"Iain G","non-dropping-particle":"","parse-names":false,"suffix":""},{"dropping-particle":"","family":"Jones","given":"Nick S","non-dropping-particle":"","parse-names":false,"suffix":""}],"container-title":"BioEssays : news and reviews in molecular, cellular and developmental biology","id":"ITEM-1","issue":"6","issued":{"date-parts":[["2015","6"]]},"language":"eng","page":"687-700","publisher-place":"United States","title":"What is the function of mitochondrial networks? A theoretical assessment of  hypotheses and proposal for future research.","type":"article-journal","volume":"37"},"uris":["http://www.mendeley.com/documents/?uuid=f7ae4598-0cab-4e13-9f1c-d5e65affaa81"]},{"id":"ITEM-2","itemData":{"DOI":"10.1038/ncb2220","ISSN":"1476-4679 (Electronic)","PMID":"21478857","abstract":"A plethora of cellular processes, including apoptosis, depend on regulated  changes in mitochondrial shape and ultrastructure. The role of mitochondria and of their morphology during autophagy, a bulk degradation and recycling process of eukaryotic cells' constituents, is not well understood. Here we show that mitochondrial morphology determines the cellular response to macroautophagy. When autophagy is triggered, mitochondria elongate in vitro and in vivo. During starvation, cellular cyclic AMP levels increase and protein kinase A (PKA) is activated. PKA in turn phosphorylates the pro-fission dynamin-related protein 1 (DRP1), which is therefore retained in the cytoplasm, leading to unopposed mitochondrial fusion. Elongated mitochondria are spared from autophagic degradation, possess more cristae, increased levels of dimerization and activity of ATP synthase, and maintain ATP production. Conversely, when elongation is genetically or pharmacologically blocked, mitochondria consume ATP, precipitating starvation-induced death. Thus, regulated changes in mitochondrial morphology determine the fate of the cell during autophagy.","author":[{"dropping-particle":"","family":"Gomes","given":"Ligia C","non-dropping-particle":"","parse-names":false,"suffix":""},{"dropping-particle":"","family":"Benedetto","given":"Giulietta","non-dropping-particle":"Di","parse-names":false,"suffix":""},{"dropping-particle":"","family":"Scorrano","given":"Luca","non-dropping-particle":"","parse-names":false,"suffix":""}],"container-title":"Nature cell biology","id":"ITEM-2","issue":"5","issued":{"date-parts":[["2011","5"]]},"language":"eng","page":"589-598","publisher-place":"England","title":"During autophagy mitochondria elongate, are spared from degradation and sustain  cell viability.","type":"article-journal","volume":"13"},"uris":["http://www.mendeley.com/documents/?uuid=0e987f2f-c907-4fef-8a18-995c3d1f4d8e"]}],"mendeley":{"formattedCitation":"[23,24]","plainTextFormattedCitation":"[23,24]","previouslyFormattedCitation":"[23,24]"},"properties":{"noteIndex":0},"schema":"https://github.com/citation-style-language/schema/raw/master/csl-citation.json"}</w:instrText>
      </w:r>
      <w:r w:rsidRPr="00EC3E53">
        <w:rPr>
          <w:rFonts w:ascii="Times New Roman" w:hAnsi="Times New Roman" w:cs="Times New Roman"/>
          <w:sz w:val="24"/>
          <w:szCs w:val="24"/>
          <w:lang w:val="en-US"/>
        </w:rPr>
        <w:fldChar w:fldCharType="separate"/>
      </w:r>
      <w:r w:rsidRPr="00EC3E53">
        <w:rPr>
          <w:rFonts w:ascii="Times New Roman" w:hAnsi="Times New Roman" w:cs="Times New Roman"/>
          <w:noProof/>
          <w:sz w:val="24"/>
          <w:szCs w:val="24"/>
          <w:lang w:val="en-US"/>
        </w:rPr>
        <w:t>[23,24]</w:t>
      </w:r>
      <w:r w:rsidRPr="00EC3E53">
        <w:rPr>
          <w:rFonts w:ascii="Times New Roman" w:hAnsi="Times New Roman" w:cs="Times New Roman"/>
          <w:sz w:val="24"/>
          <w:szCs w:val="24"/>
          <w:lang w:val="en-US"/>
        </w:rPr>
        <w:fldChar w:fldCharType="end"/>
      </w:r>
      <w:r w:rsidRPr="00EC3E53">
        <w:rPr>
          <w:rFonts w:ascii="Times New Roman" w:hAnsi="Times New Roman" w:cs="Times New Roman"/>
          <w:sz w:val="24"/>
          <w:szCs w:val="24"/>
          <w:lang w:val="en-US"/>
        </w:rPr>
        <w:t xml:space="preserve">. However, excess </w:t>
      </w:r>
      <w:r w:rsidRPr="00A61548">
        <w:rPr>
          <w:rFonts w:ascii="Times New Roman" w:hAnsi="Times New Roman" w:cs="Times New Roman"/>
          <w:sz w:val="24"/>
          <w:szCs w:val="24"/>
          <w:lang w:val="en-US"/>
        </w:rPr>
        <w:t xml:space="preserve">ATP leads to neuronal dysfunction and death </w:t>
      </w:r>
      <w:r w:rsidRPr="00A61548">
        <w:rPr>
          <w:rFonts w:ascii="Times New Roman" w:hAnsi="Times New Roman" w:cs="Times New Roman"/>
          <w:sz w:val="24"/>
          <w:szCs w:val="24"/>
          <w:lang w:val="en-US"/>
        </w:rPr>
        <w:fldChar w:fldCharType="begin" w:fldLock="1"/>
      </w:r>
      <w:r w:rsidRPr="00A61548">
        <w:rPr>
          <w:rFonts w:ascii="Times New Roman" w:hAnsi="Times New Roman" w:cs="Times New Roman"/>
          <w:sz w:val="24"/>
          <w:szCs w:val="24"/>
          <w:lang w:val="en-US"/>
        </w:rPr>
        <w:instrText>ADDIN CSL_CITATION {"citationItems":[{"id":"ITEM-1","itemData":{"DOI":"10.1016/j.jmb.2015.06.021","ISSN":"1089-8638 (Electronic)","PMID":"26150063","abstract":"Adenosine triphosphate (ATP) is the energy currency of living cells. Even though  ATP powers virtually all energy-dependent activities, most cellular ATP is utilized in protein synthesis via tRNA aminoacylation and guanosine triphosphate regeneration. Magnesium (Mg(2+)), the most common divalent cation in living cells, plays crucial roles in protein synthesis by maintaining the structure of ribosomes, participating in the biochemistry of translation initiation and functioning as a counterion for ATP. A non-physiological increase in ATP levels hinders growth in cells experiencing Mg(2+) limitation because ATP is the most abundant nucleotide triphosphate in the cell, and Mg(2+) is also required for the stabilization of the cytoplasmic membrane and as a cofactor for essential enzymes. We propose that organisms cope with Mg(2+) limitation by decreasing ATP levels and ribosome production, thereby reallocating Mg(2+) to indispensable cellular processes.","author":[{"dropping-particle":"","family":"Pontes","given":"Mauricio H","non-dropping-particle":"","parse-names":false,"suffix":""},{"dropping-particle":"","family":"Sevostyanova","given":"Anastasia","non-dropping-particle":"","parse-names":false,"suffix":""},{"dropping-particle":"","family":"Groisman","given":"Eduardo A","non-dropping-particle":"","parse-names":false,"suffix":""}],"container-title":"Journal of molecular biology","id":"ITEM-1","issue":"16","issued":{"date-parts":[["2015","8"]]},"language":"eng","page":"2586-2594","publisher-place":"Netherlands","title":"When Too Much ATP Is Bad for Protein Synthesis.","type":"article-journal","volume":"427"},"uris":["http://www.mendeley.com/documents/?uuid=9453cecc-c862-4f95-8ce4-bc1d2c408fb7"]}],"mendeley":{"formattedCitation":"[25]","plainTextFormattedCitation":"[25]","previouslyFormattedCitation":"[25]"},"properties":{"noteIndex":0},"schema":"https://github.com/citation-style-language/schema/raw/master/csl-citation.json"}</w:instrText>
      </w:r>
      <w:r w:rsidRPr="00A61548">
        <w:rPr>
          <w:rFonts w:ascii="Times New Roman" w:hAnsi="Times New Roman" w:cs="Times New Roman"/>
          <w:sz w:val="24"/>
          <w:szCs w:val="24"/>
          <w:lang w:val="en-US"/>
        </w:rPr>
        <w:fldChar w:fldCharType="separate"/>
      </w:r>
      <w:r w:rsidRPr="00A61548">
        <w:rPr>
          <w:rFonts w:ascii="Times New Roman" w:hAnsi="Times New Roman" w:cs="Times New Roman"/>
          <w:noProof/>
          <w:sz w:val="24"/>
          <w:szCs w:val="24"/>
          <w:lang w:val="en-US"/>
        </w:rPr>
        <w:t>[25]</w:t>
      </w:r>
      <w:r w:rsidRPr="00A61548">
        <w:rPr>
          <w:rFonts w:ascii="Times New Roman" w:hAnsi="Times New Roman" w:cs="Times New Roman"/>
          <w:sz w:val="24"/>
          <w:szCs w:val="24"/>
          <w:lang w:val="en-US"/>
        </w:rPr>
        <w:fldChar w:fldCharType="end"/>
      </w:r>
      <w:r w:rsidRPr="00A61548">
        <w:rPr>
          <w:rFonts w:ascii="Times New Roman" w:hAnsi="Times New Roman" w:cs="Times New Roman"/>
          <w:sz w:val="24"/>
          <w:szCs w:val="24"/>
          <w:lang w:val="en-US"/>
        </w:rPr>
        <w:t xml:space="preserve"> and is a prerequisite for the realization of the cellular apoptosis cascade </w:t>
      </w:r>
      <w:r w:rsidRPr="00A61548">
        <w:rPr>
          <w:rFonts w:ascii="Times New Roman" w:hAnsi="Times New Roman" w:cs="Times New Roman"/>
          <w:sz w:val="24"/>
          <w:szCs w:val="24"/>
          <w:lang w:val="en-US"/>
        </w:rPr>
        <w:fldChar w:fldCharType="begin" w:fldLock="1"/>
      </w:r>
      <w:r w:rsidRPr="00A61548">
        <w:rPr>
          <w:rFonts w:ascii="Times New Roman" w:hAnsi="Times New Roman" w:cs="Times New Roman"/>
          <w:sz w:val="24"/>
          <w:szCs w:val="24"/>
          <w:lang w:val="en-US"/>
        </w:rPr>
        <w:instrText>ADDIN CSL_CITATION {"citationItems":[{"id":"ITEM-1","itemData":{"DOI":"10.1038/sj.cdd.4401661","ISSN":"1350-9047 (Print)","PMID":"15905877","abstract":"Apoptosis is a distinct form of cell death, which requires energy. Here, we made  real-time continuous measurements of the cytosolic ATP level throughout the apoptotic process in intact HeLa, PC12 and U937 cells transfected with the firefly luciferase gene. Apoptotic stimuli (staurosporine (STS), tumor necrosis factor alpha (TNFalpha), etoposide) induced significant elevation of the cytosolic ATP level. The cytosolic ATP level remained at a higher level than in the control for up to 6 h during which activation of caspase-3 and internucleosomal DNA fragmentation took place. When the STS-induced ATP response was abolished by glucose deprivation-induced inhibition of glycolysis, both caspase activation and DNA laddering were completely inhibited. Annexin V-binding induced by STS or TNFalpha was largely suppressed by glycolysis inhibition. Thus, it is suggested that the cells die with increased cytosolic ATP, and elevation of cytosolic ATP level is a requisite to the apoptotic cell death process.","author":[{"dropping-particle":"V","family":"Zamaraeva","given":"M","non-dropping-particle":"","parse-names":false,"suffix":""},{"dropping-particle":"","family":"Sabirov","given":"R Z","non-dropping-particle":"","parse-names":false,"suffix":""},{"dropping-particle":"","family":"Maeno","given":"E","non-dropping-particle":"","parse-names":false,"suffix":""},{"dropping-particle":"","family":"Ando-Akatsuka","given":"Y","non-dropping-particle":"","parse-names":false,"suffix":""},{"dropping-particle":"V","family":"Bessonova","given":"S","non-dropping-particle":"","parse-names":false,"suffix":""},{"dropping-particle":"","family":"Okada","given":"Y","non-dropping-particle":"","parse-names":false,"suffix":""}],"container-title":"Cell death and differentiation","id":"ITEM-1","issue":"11","issued":{"date-parts":[["2005","11"]]},"language":"eng","page":"1390-1397","publisher-place":"England","title":"Cells die with increased cytosolic ATP during apoptosis: a bioluminescence study  with intracellular luciferase.","type":"article-journal","volume":"12"},"uris":["http://www.mendeley.com/documents/?uuid=80f58be9-9ee5-44a7-877f-8418fe2dae4c"]}],"mendeley":{"formattedCitation":"[26]","plainTextFormattedCitation":"[26]"},"properties":{"noteIndex":0},"schema":"https://github.com/citation-style-language/schema/raw/master/csl-citation.json"}</w:instrText>
      </w:r>
      <w:r w:rsidRPr="00A61548">
        <w:rPr>
          <w:rFonts w:ascii="Times New Roman" w:hAnsi="Times New Roman" w:cs="Times New Roman"/>
          <w:sz w:val="24"/>
          <w:szCs w:val="24"/>
          <w:lang w:val="en-US"/>
        </w:rPr>
        <w:fldChar w:fldCharType="separate"/>
      </w:r>
      <w:r w:rsidRPr="00A61548">
        <w:rPr>
          <w:rFonts w:ascii="Times New Roman" w:hAnsi="Times New Roman" w:cs="Times New Roman"/>
          <w:noProof/>
          <w:sz w:val="24"/>
          <w:szCs w:val="24"/>
          <w:lang w:val="en-US"/>
        </w:rPr>
        <w:t>[26]</w:t>
      </w:r>
      <w:r w:rsidRPr="00A61548">
        <w:rPr>
          <w:rFonts w:ascii="Times New Roman" w:hAnsi="Times New Roman" w:cs="Times New Roman"/>
          <w:sz w:val="24"/>
          <w:szCs w:val="24"/>
          <w:lang w:val="en-US"/>
        </w:rPr>
        <w:fldChar w:fldCharType="end"/>
      </w:r>
      <w:r w:rsidRPr="00A61548">
        <w:rPr>
          <w:rFonts w:ascii="Times New Roman" w:hAnsi="Times New Roman" w:cs="Times New Roman"/>
          <w:sz w:val="24"/>
          <w:szCs w:val="24"/>
          <w:lang w:val="en-US"/>
        </w:rPr>
        <w:t>. In this case, the mitochondria resulting from fusion may be too large for mitochondrial transport. We find it difficult to say what the mechanism of culture degeneration is in this case. However, the absence of oxidative stress and the drop in lipofuscin levels</w:t>
      </w:r>
      <w:r w:rsidRPr="00EC3E53">
        <w:rPr>
          <w:rFonts w:ascii="Times New Roman" w:hAnsi="Times New Roman" w:cs="Times New Roman"/>
          <w:sz w:val="24"/>
          <w:szCs w:val="24"/>
          <w:lang w:val="en-US"/>
        </w:rPr>
        <w:t xml:space="preserve"> shows that this process is more likely a controlled extinction of activity rather than an abrupt pathology. It can be stated unequivocally that only harmonious functioning of this system can ensure normal physiological functions of mitochondria, and any shift to one side of the dynamic process leads to disorders.</w:t>
      </w:r>
    </w:p>
    <w:p w14:paraId="46451293" w14:textId="18D09ECC" w:rsidR="00EC3E53" w:rsidRPr="00B95E8E" w:rsidRDefault="00B95E8E" w:rsidP="00B01E7F">
      <w:pPr>
        <w:spacing w:line="240" w:lineRule="auto"/>
        <w:rPr>
          <w:rFonts w:ascii="Times New Roman" w:hAnsi="Times New Roman" w:cs="Times New Roman"/>
          <w:b/>
          <w:bCs/>
          <w:sz w:val="24"/>
          <w:szCs w:val="24"/>
          <w:lang w:val="en-US"/>
        </w:rPr>
      </w:pPr>
      <w:r w:rsidRPr="00B95E8E">
        <w:rPr>
          <w:rFonts w:ascii="Times New Roman" w:hAnsi="Times New Roman" w:cs="Times New Roman"/>
          <w:b/>
          <w:bCs/>
          <w:sz w:val="24"/>
          <w:szCs w:val="24"/>
          <w:lang w:val="en-US"/>
        </w:rPr>
        <w:t>5. CONCLUSIONS</w:t>
      </w:r>
    </w:p>
    <w:p w14:paraId="2964097A" w14:textId="3860BE37" w:rsidR="00EC3E53" w:rsidRDefault="00EC3E53"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t xml:space="preserve">Forced alteration of mitochondrial fusion and fission leads to morphologic changes in primary </w:t>
      </w:r>
      <w:r w:rsidR="00C317A9" w:rsidRPr="00EC3E53">
        <w:rPr>
          <w:rFonts w:ascii="Times New Roman" w:hAnsi="Times New Roman" w:cs="Times New Roman"/>
          <w:sz w:val="24"/>
          <w:szCs w:val="24"/>
          <w:lang w:val="en-US"/>
        </w:rPr>
        <w:t xml:space="preserve">neuro-astrocytic </w:t>
      </w:r>
      <w:r w:rsidRPr="00EC3E53">
        <w:rPr>
          <w:rFonts w:ascii="Times New Roman" w:hAnsi="Times New Roman" w:cs="Times New Roman"/>
          <w:sz w:val="24"/>
          <w:szCs w:val="24"/>
          <w:lang w:val="en-US"/>
        </w:rPr>
        <w:t xml:space="preserve">cultures of mouse hippocampus. Activation of </w:t>
      </w:r>
      <w:r w:rsidRPr="00A61548">
        <w:rPr>
          <w:rFonts w:ascii="Times New Roman" w:hAnsi="Times New Roman" w:cs="Times New Roman"/>
          <w:sz w:val="24"/>
          <w:szCs w:val="24"/>
          <w:lang w:val="en-US"/>
        </w:rPr>
        <w:t>mitochondrial fusion leads to slow depletion of the culture in the absence of visible degenerative processes and oxidative stress. Inhibition of mitochondrial fission leads to a cascade of events reminiscent</w:t>
      </w:r>
      <w:r w:rsidRPr="00EC3E53">
        <w:rPr>
          <w:rFonts w:ascii="Times New Roman" w:hAnsi="Times New Roman" w:cs="Times New Roman"/>
          <w:sz w:val="24"/>
          <w:szCs w:val="24"/>
          <w:lang w:val="en-US"/>
        </w:rPr>
        <w:t xml:space="preserve"> of those occurring in a culture of 5xFAD animals (a genetic model of AD) - astrogliosis, decreased neuronal density, and increased lipofuscin levels. Exogenous zinc induces mitochondrial fission and provokes compensatory astrogliosis at toxic concentrations, and at lower concentrations leads to a slow decrease in culture clustering, changes in astrocyte immunoreactivity to GFAP and its aggregation, whereas lipofuscin fluorescence was still decreased. We suggest that mitochondrial fission in models with toxic mitochondrial damage is a compensatory process in which mitochondria strive to clear the cell of toxic agents, but which may lead to a cascade of reactions that provoke further development of pathologies.</w:t>
      </w:r>
    </w:p>
    <w:p w14:paraId="20AAC8A8" w14:textId="6DC4AD91"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6. DECLARATION</w:t>
      </w:r>
    </w:p>
    <w:p w14:paraId="3B8A29F4" w14:textId="47E2CB43"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Acknowledgments</w:t>
      </w:r>
    </w:p>
    <w:p w14:paraId="395FE9FC" w14:textId="4CDEB526" w:rsidR="00117C40" w:rsidRPr="00117C40" w:rsidRDefault="00117C40"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The authors extend their appreciation to V.I. Kovalev for constructive feedback during the preparation of the manuscript.</w:t>
      </w:r>
    </w:p>
    <w:p w14:paraId="4E9296F0" w14:textId="456C3F25"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Authors’ contributions</w:t>
      </w:r>
    </w:p>
    <w:p w14:paraId="6BEC2DE4" w14:textId="1279327D" w:rsidR="00487D77" w:rsidRDefault="00487D77" w:rsidP="00B01E7F">
      <w:pPr>
        <w:spacing w:line="240" w:lineRule="auto"/>
        <w:rPr>
          <w:rFonts w:ascii="Times New Roman" w:hAnsi="Times New Roman" w:cs="Times New Roman"/>
          <w:sz w:val="24"/>
          <w:szCs w:val="24"/>
          <w:lang w:val="en-US"/>
        </w:rPr>
      </w:pPr>
      <w:r w:rsidRPr="00487D77">
        <w:rPr>
          <w:rFonts w:ascii="Times New Roman" w:hAnsi="Times New Roman" w:cs="Times New Roman"/>
          <w:sz w:val="24"/>
          <w:szCs w:val="24"/>
          <w:lang w:val="en-US"/>
        </w:rPr>
        <w:t>The authors contributed equally to the preparation of the study.</w:t>
      </w:r>
    </w:p>
    <w:p w14:paraId="5853CC2E" w14:textId="77E96019" w:rsidR="00487D77" w:rsidRDefault="00487D77" w:rsidP="00B01E7F">
      <w:pPr>
        <w:spacing w:line="240" w:lineRule="auto"/>
        <w:rPr>
          <w:rFonts w:ascii="Times New Roman" w:hAnsi="Times New Roman" w:cs="Times New Roman"/>
          <w:b/>
          <w:bCs/>
          <w:sz w:val="24"/>
          <w:szCs w:val="24"/>
          <w:lang w:val="en-US"/>
        </w:rPr>
      </w:pPr>
      <w:r w:rsidRPr="00487D77">
        <w:rPr>
          <w:rFonts w:ascii="Times New Roman" w:hAnsi="Times New Roman" w:cs="Times New Roman"/>
          <w:b/>
          <w:bCs/>
          <w:sz w:val="24"/>
          <w:szCs w:val="24"/>
          <w:lang w:val="en-US"/>
        </w:rPr>
        <w:t>Availability of data and materials</w:t>
      </w:r>
    </w:p>
    <w:p w14:paraId="4E0EDF45" w14:textId="0AB27FA0" w:rsidR="00487D77" w:rsidRPr="00F75695" w:rsidRDefault="00487D77" w:rsidP="00B01E7F">
      <w:pPr>
        <w:spacing w:line="240" w:lineRule="auto"/>
        <w:rPr>
          <w:rFonts w:ascii="Times New Roman" w:hAnsi="Times New Roman" w:cs="Times New Roman"/>
          <w:sz w:val="24"/>
          <w:szCs w:val="24"/>
        </w:rPr>
      </w:pPr>
      <w:r w:rsidRPr="00A61548">
        <w:rPr>
          <w:rFonts w:ascii="Times New Roman" w:hAnsi="Times New Roman" w:cs="Times New Roman"/>
          <w:sz w:val="24"/>
          <w:szCs w:val="24"/>
          <w:lang w:val="en-US"/>
        </w:rPr>
        <w:t xml:space="preserve">The results of the work can be found at the google link. Or write to the corresponding author. </w:t>
      </w:r>
      <w:hyperlink r:id="rId12" w:history="1">
        <w:r w:rsidR="00117C40" w:rsidRPr="00A61548">
          <w:rPr>
            <w:rStyle w:val="a3"/>
            <w:rFonts w:ascii="Times New Roman" w:hAnsi="Times New Roman" w:cs="Times New Roman"/>
            <w:i/>
            <w:iCs/>
            <w:color w:val="auto"/>
            <w:sz w:val="24"/>
            <w:szCs w:val="24"/>
            <w:u w:val="none"/>
            <w:lang w:val="en-US"/>
          </w:rPr>
          <w:t>https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docs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google</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com</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spreadsheets</w:t>
        </w:r>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d</w:t>
        </w:r>
        <w:r w:rsidR="00117C40" w:rsidRPr="00A61548">
          <w:rPr>
            <w:rStyle w:val="a3"/>
            <w:rFonts w:ascii="Times New Roman" w:hAnsi="Times New Roman" w:cs="Times New Roman"/>
            <w:i/>
            <w:iCs/>
            <w:color w:val="auto"/>
            <w:sz w:val="24"/>
            <w:szCs w:val="24"/>
            <w:u w:val="none"/>
          </w:rPr>
          <w:t>/1</w:t>
        </w:r>
        <w:proofErr w:type="spellStart"/>
        <w:r w:rsidR="00117C40" w:rsidRPr="00A61548">
          <w:rPr>
            <w:rStyle w:val="a3"/>
            <w:rFonts w:ascii="Times New Roman" w:hAnsi="Times New Roman" w:cs="Times New Roman"/>
            <w:i/>
            <w:iCs/>
            <w:color w:val="auto"/>
            <w:sz w:val="24"/>
            <w:szCs w:val="24"/>
            <w:u w:val="none"/>
            <w:lang w:val="en-US"/>
          </w:rPr>
          <w:t>qnVotSWUwW</w:t>
        </w:r>
        <w:proofErr w:type="spellEnd"/>
        <w:r w:rsidR="00117C40" w:rsidRPr="00A61548">
          <w:rPr>
            <w:rStyle w:val="a3"/>
            <w:rFonts w:ascii="Times New Roman" w:hAnsi="Times New Roman" w:cs="Times New Roman"/>
            <w:i/>
            <w:iCs/>
            <w:color w:val="auto"/>
            <w:sz w:val="24"/>
            <w:szCs w:val="24"/>
            <w:u w:val="none"/>
          </w:rPr>
          <w:t>1</w:t>
        </w:r>
        <w:proofErr w:type="spellStart"/>
        <w:r w:rsidR="00117C40" w:rsidRPr="00A61548">
          <w:rPr>
            <w:rStyle w:val="a3"/>
            <w:rFonts w:ascii="Times New Roman" w:hAnsi="Times New Roman" w:cs="Times New Roman"/>
            <w:i/>
            <w:iCs/>
            <w:color w:val="auto"/>
            <w:sz w:val="24"/>
            <w:szCs w:val="24"/>
            <w:u w:val="none"/>
            <w:lang w:val="en-US"/>
          </w:rPr>
          <w:t>XUEAVkRCA</w:t>
        </w:r>
        <w:proofErr w:type="spellEnd"/>
        <w:r w:rsidR="00117C40" w:rsidRPr="00A61548">
          <w:rPr>
            <w:rStyle w:val="a3"/>
            <w:rFonts w:ascii="Times New Roman" w:hAnsi="Times New Roman" w:cs="Times New Roman"/>
            <w:i/>
            <w:iCs/>
            <w:color w:val="auto"/>
            <w:sz w:val="24"/>
            <w:szCs w:val="24"/>
            <w:u w:val="none"/>
          </w:rPr>
          <w:t>3</w:t>
        </w:r>
        <w:proofErr w:type="spellStart"/>
        <w:r w:rsidR="00117C40" w:rsidRPr="00A61548">
          <w:rPr>
            <w:rStyle w:val="a3"/>
            <w:rFonts w:ascii="Times New Roman" w:hAnsi="Times New Roman" w:cs="Times New Roman"/>
            <w:i/>
            <w:iCs/>
            <w:color w:val="auto"/>
            <w:sz w:val="24"/>
            <w:szCs w:val="24"/>
            <w:u w:val="none"/>
            <w:lang w:val="en-US"/>
          </w:rPr>
          <w:t>HBqfkvMVetg</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edit</w:t>
        </w:r>
        <w:r w:rsidR="00117C40" w:rsidRPr="00A61548">
          <w:rPr>
            <w:rStyle w:val="a3"/>
            <w:rFonts w:ascii="Times New Roman" w:hAnsi="Times New Roman" w:cs="Times New Roman"/>
            <w:i/>
            <w:iCs/>
            <w:color w:val="auto"/>
            <w:sz w:val="24"/>
            <w:szCs w:val="24"/>
            <w:u w:val="none"/>
          </w:rPr>
          <w:t>?</w:t>
        </w:r>
        <w:proofErr w:type="spellStart"/>
        <w:r w:rsidR="00117C40" w:rsidRPr="00A61548">
          <w:rPr>
            <w:rStyle w:val="a3"/>
            <w:rFonts w:ascii="Times New Roman" w:hAnsi="Times New Roman" w:cs="Times New Roman"/>
            <w:i/>
            <w:iCs/>
            <w:color w:val="auto"/>
            <w:sz w:val="24"/>
            <w:szCs w:val="24"/>
            <w:u w:val="none"/>
            <w:lang w:val="en-US"/>
          </w:rPr>
          <w:t>usp</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sharing</w:t>
        </w:r>
        <w:r w:rsidR="00117C40" w:rsidRPr="00A61548">
          <w:rPr>
            <w:rStyle w:val="a3"/>
            <w:rFonts w:ascii="Times New Roman" w:hAnsi="Times New Roman" w:cs="Times New Roman"/>
            <w:i/>
            <w:iCs/>
            <w:color w:val="auto"/>
            <w:sz w:val="24"/>
            <w:szCs w:val="24"/>
            <w:u w:val="none"/>
          </w:rPr>
          <w:t>&amp;</w:t>
        </w:r>
        <w:proofErr w:type="spellStart"/>
        <w:r w:rsidR="00117C40" w:rsidRPr="00A61548">
          <w:rPr>
            <w:rStyle w:val="a3"/>
            <w:rFonts w:ascii="Times New Roman" w:hAnsi="Times New Roman" w:cs="Times New Roman"/>
            <w:i/>
            <w:iCs/>
            <w:color w:val="auto"/>
            <w:sz w:val="24"/>
            <w:szCs w:val="24"/>
            <w:u w:val="none"/>
            <w:lang w:val="en-US"/>
          </w:rPr>
          <w:t>ouid</w:t>
        </w:r>
        <w:proofErr w:type="spellEnd"/>
        <w:r w:rsidR="00117C40" w:rsidRPr="00A61548">
          <w:rPr>
            <w:rStyle w:val="a3"/>
            <w:rFonts w:ascii="Times New Roman" w:hAnsi="Times New Roman" w:cs="Times New Roman"/>
            <w:i/>
            <w:iCs/>
            <w:color w:val="auto"/>
            <w:sz w:val="24"/>
            <w:szCs w:val="24"/>
            <w:u w:val="none"/>
          </w:rPr>
          <w:t>=105509595749562341769&amp;</w:t>
        </w:r>
        <w:proofErr w:type="spellStart"/>
        <w:r w:rsidR="00117C40" w:rsidRPr="00A61548">
          <w:rPr>
            <w:rStyle w:val="a3"/>
            <w:rFonts w:ascii="Times New Roman" w:hAnsi="Times New Roman" w:cs="Times New Roman"/>
            <w:i/>
            <w:iCs/>
            <w:color w:val="auto"/>
            <w:sz w:val="24"/>
            <w:szCs w:val="24"/>
            <w:u w:val="none"/>
            <w:lang w:val="en-US"/>
          </w:rPr>
          <w:t>rtpof</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true</w:t>
        </w:r>
        <w:r w:rsidR="00117C40" w:rsidRPr="00A61548">
          <w:rPr>
            <w:rStyle w:val="a3"/>
            <w:rFonts w:ascii="Times New Roman" w:hAnsi="Times New Roman" w:cs="Times New Roman"/>
            <w:i/>
            <w:iCs/>
            <w:color w:val="auto"/>
            <w:sz w:val="24"/>
            <w:szCs w:val="24"/>
            <w:u w:val="none"/>
          </w:rPr>
          <w:t>&amp;</w:t>
        </w:r>
        <w:proofErr w:type="spellStart"/>
        <w:r w:rsidR="00117C40" w:rsidRPr="00A61548">
          <w:rPr>
            <w:rStyle w:val="a3"/>
            <w:rFonts w:ascii="Times New Roman" w:hAnsi="Times New Roman" w:cs="Times New Roman"/>
            <w:i/>
            <w:iCs/>
            <w:color w:val="auto"/>
            <w:sz w:val="24"/>
            <w:szCs w:val="24"/>
            <w:u w:val="none"/>
            <w:lang w:val="en-US"/>
          </w:rPr>
          <w:t>sd</w:t>
        </w:r>
        <w:proofErr w:type="spellEnd"/>
        <w:r w:rsidR="00117C40" w:rsidRPr="00A61548">
          <w:rPr>
            <w:rStyle w:val="a3"/>
            <w:rFonts w:ascii="Times New Roman" w:hAnsi="Times New Roman" w:cs="Times New Roman"/>
            <w:i/>
            <w:iCs/>
            <w:color w:val="auto"/>
            <w:sz w:val="24"/>
            <w:szCs w:val="24"/>
            <w:u w:val="none"/>
          </w:rPr>
          <w:t>=</w:t>
        </w:r>
        <w:r w:rsidR="00117C40" w:rsidRPr="00A61548">
          <w:rPr>
            <w:rStyle w:val="a3"/>
            <w:rFonts w:ascii="Times New Roman" w:hAnsi="Times New Roman" w:cs="Times New Roman"/>
            <w:i/>
            <w:iCs/>
            <w:color w:val="auto"/>
            <w:sz w:val="24"/>
            <w:szCs w:val="24"/>
            <w:u w:val="none"/>
            <w:lang w:val="en-US"/>
          </w:rPr>
          <w:t>true</w:t>
        </w:r>
      </w:hyperlink>
    </w:p>
    <w:p w14:paraId="6C303140" w14:textId="251173D7" w:rsidR="00117C40" w:rsidRDefault="00117C40"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Financial support and sponsorship</w:t>
      </w:r>
    </w:p>
    <w:p w14:paraId="370147EC" w14:textId="77777777" w:rsidR="00786711" w:rsidRDefault="00786711" w:rsidP="00B01E7F">
      <w:pPr>
        <w:spacing w:line="240" w:lineRule="auto"/>
        <w:rPr>
          <w:rFonts w:ascii="Times New Roman" w:hAnsi="Times New Roman" w:cs="Times New Roman"/>
          <w:sz w:val="24"/>
          <w:szCs w:val="24"/>
          <w:lang w:val="en-US"/>
        </w:rPr>
      </w:pPr>
      <w:r w:rsidRPr="00786711">
        <w:rPr>
          <w:rFonts w:ascii="Times New Roman" w:hAnsi="Times New Roman" w:cs="Times New Roman"/>
          <w:sz w:val="24"/>
          <w:szCs w:val="24"/>
          <w:lang w:val="en-US"/>
        </w:rPr>
        <w:t>This work was supported by the Russian Science Foundation (RSF), project No. 23-25-00485.</w:t>
      </w:r>
    </w:p>
    <w:p w14:paraId="2D14F288" w14:textId="6FE4C909" w:rsidR="00117C40" w:rsidRPr="00786711" w:rsidRDefault="00117C40" w:rsidP="00B01E7F">
      <w:pPr>
        <w:spacing w:line="240" w:lineRule="auto"/>
        <w:rPr>
          <w:rFonts w:ascii="Times New Roman" w:hAnsi="Times New Roman" w:cs="Times New Roman"/>
          <w:b/>
          <w:bCs/>
          <w:sz w:val="24"/>
          <w:szCs w:val="24"/>
          <w:lang w:val="en-US"/>
        </w:rPr>
      </w:pPr>
      <w:r w:rsidRPr="00786711">
        <w:rPr>
          <w:rFonts w:ascii="Times New Roman" w:hAnsi="Times New Roman" w:cs="Times New Roman"/>
          <w:b/>
          <w:bCs/>
          <w:sz w:val="24"/>
          <w:szCs w:val="24"/>
          <w:lang w:val="en-US"/>
        </w:rPr>
        <w:t>Conflicts of interest</w:t>
      </w:r>
    </w:p>
    <w:p w14:paraId="577479E6" w14:textId="40F0644E" w:rsidR="00117C40" w:rsidRDefault="00117C40" w:rsidP="00B01E7F">
      <w:pPr>
        <w:spacing w:line="240" w:lineRule="auto"/>
        <w:rPr>
          <w:rFonts w:ascii="Times New Roman" w:hAnsi="Times New Roman" w:cs="Times New Roman"/>
          <w:sz w:val="24"/>
          <w:szCs w:val="24"/>
          <w:lang w:val="en-US"/>
        </w:rPr>
      </w:pPr>
      <w:r w:rsidRPr="00117C40">
        <w:rPr>
          <w:rFonts w:ascii="Times New Roman" w:hAnsi="Times New Roman" w:cs="Times New Roman"/>
          <w:sz w:val="24"/>
          <w:szCs w:val="24"/>
          <w:lang w:val="en-US"/>
        </w:rPr>
        <w:t>All authors declared that there are no conflicts of interest.</w:t>
      </w:r>
    </w:p>
    <w:p w14:paraId="7BE008A3" w14:textId="0080CCAA" w:rsidR="00117C40" w:rsidRDefault="00117C40" w:rsidP="00B01E7F">
      <w:pPr>
        <w:spacing w:line="240" w:lineRule="auto"/>
        <w:rPr>
          <w:rFonts w:ascii="Times New Roman" w:hAnsi="Times New Roman" w:cs="Times New Roman"/>
          <w:b/>
          <w:bCs/>
          <w:sz w:val="24"/>
          <w:szCs w:val="24"/>
          <w:lang w:val="en-US"/>
        </w:rPr>
      </w:pPr>
      <w:r w:rsidRPr="00117C40">
        <w:rPr>
          <w:rFonts w:ascii="Times New Roman" w:hAnsi="Times New Roman" w:cs="Times New Roman"/>
          <w:b/>
          <w:bCs/>
          <w:sz w:val="24"/>
          <w:szCs w:val="24"/>
          <w:lang w:val="en-US"/>
        </w:rPr>
        <w:t>Ethical approval and consent to participate</w:t>
      </w:r>
    </w:p>
    <w:p w14:paraId="6963F9A1" w14:textId="77777777" w:rsidR="00A61548" w:rsidRDefault="00A61548" w:rsidP="00B01E7F">
      <w:pPr>
        <w:spacing w:line="240" w:lineRule="auto"/>
        <w:rPr>
          <w:rFonts w:ascii="Times New Roman" w:hAnsi="Times New Roman" w:cs="Times New Roman"/>
          <w:color w:val="000000" w:themeColor="text1"/>
          <w:sz w:val="24"/>
          <w:szCs w:val="24"/>
          <w:lang w:val="en-US"/>
        </w:rPr>
      </w:pPr>
      <w:r w:rsidRPr="00A61548">
        <w:rPr>
          <w:rFonts w:ascii="Times New Roman" w:hAnsi="Times New Roman" w:cs="Times New Roman"/>
          <w:color w:val="000000" w:themeColor="text1"/>
          <w:sz w:val="24"/>
          <w:szCs w:val="24"/>
          <w:lang w:val="en-US"/>
        </w:rPr>
        <w:lastRenderedPageBreak/>
        <w:t xml:space="preserve">The laboratory animals were treated in accordance with the European Convention for the Protection of Vertebrates used for experimental and other purposes (Strasbourg, 1986) and the principles of the Helsinki Declaration (2000). All animal procedures performed with </w:t>
      </w:r>
      <w:proofErr w:type="spellStart"/>
      <w:r w:rsidRPr="00A61548">
        <w:rPr>
          <w:rFonts w:ascii="Times New Roman" w:hAnsi="Times New Roman" w:cs="Times New Roman"/>
          <w:color w:val="000000" w:themeColor="text1"/>
          <w:sz w:val="24"/>
          <w:szCs w:val="24"/>
          <w:lang w:val="en-US"/>
        </w:rPr>
        <w:t>mices</w:t>
      </w:r>
      <w:proofErr w:type="spellEnd"/>
      <w:r w:rsidRPr="00A61548">
        <w:rPr>
          <w:rFonts w:ascii="Times New Roman" w:hAnsi="Times New Roman" w:cs="Times New Roman"/>
          <w:color w:val="000000" w:themeColor="text1"/>
          <w:sz w:val="24"/>
          <w:szCs w:val="24"/>
          <w:lang w:val="en-US"/>
        </w:rPr>
        <w:t xml:space="preserve"> were approved by the Commission on Biosafety and Bioethics (Institute of Cell Biophysics – </w:t>
      </w:r>
      <w:proofErr w:type="spellStart"/>
      <w:r w:rsidRPr="00A61548">
        <w:rPr>
          <w:rFonts w:ascii="Times New Roman" w:hAnsi="Times New Roman" w:cs="Times New Roman"/>
          <w:color w:val="000000" w:themeColor="text1"/>
          <w:sz w:val="24"/>
          <w:szCs w:val="24"/>
          <w:lang w:val="en-US"/>
        </w:rPr>
        <w:t>Pushchino</w:t>
      </w:r>
      <w:proofErr w:type="spellEnd"/>
      <w:r w:rsidRPr="00A61548">
        <w:rPr>
          <w:rFonts w:ascii="Times New Roman" w:hAnsi="Times New Roman" w:cs="Times New Roman"/>
          <w:color w:val="000000" w:themeColor="text1"/>
          <w:sz w:val="24"/>
          <w:szCs w:val="24"/>
          <w:lang w:val="en-US"/>
        </w:rPr>
        <w:t xml:space="preserve"> Scientific Center for Biological Research of the Russian Academy of Sciences) in accordance with Directive 2010/63/EU of the European Parliament.</w:t>
      </w:r>
    </w:p>
    <w:p w14:paraId="73AC62D2" w14:textId="58D7C9C2" w:rsidR="00431E91" w:rsidRPr="00431E91" w:rsidRDefault="00487D77" w:rsidP="00B01E7F">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00431E91">
        <w:rPr>
          <w:rFonts w:ascii="Times New Roman" w:hAnsi="Times New Roman" w:cs="Times New Roman"/>
          <w:b/>
          <w:bCs/>
          <w:sz w:val="24"/>
          <w:szCs w:val="24"/>
          <w:lang w:val="en-US"/>
        </w:rPr>
        <w:t xml:space="preserve">. </w:t>
      </w:r>
      <w:r w:rsidR="00431E91" w:rsidRPr="00431E91">
        <w:rPr>
          <w:rFonts w:ascii="Times New Roman" w:hAnsi="Times New Roman" w:cs="Times New Roman"/>
          <w:b/>
          <w:bCs/>
          <w:sz w:val="24"/>
          <w:szCs w:val="24"/>
          <w:lang w:val="en-US"/>
        </w:rPr>
        <w:t>REFERENCES</w:t>
      </w:r>
    </w:p>
    <w:p w14:paraId="39974FAA" w14:textId="26C3BCFE" w:rsidR="00EC3E53" w:rsidRPr="0045186E" w:rsidRDefault="00846CBD"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EC3E53">
        <w:rPr>
          <w:rFonts w:ascii="Times New Roman" w:hAnsi="Times New Roman" w:cs="Times New Roman"/>
          <w:sz w:val="24"/>
          <w:szCs w:val="24"/>
          <w:lang w:val="en-US"/>
        </w:rPr>
        <w:fldChar w:fldCharType="begin" w:fldLock="1"/>
      </w:r>
      <w:r w:rsidRPr="00EC3E53">
        <w:rPr>
          <w:rFonts w:ascii="Times New Roman" w:hAnsi="Times New Roman" w:cs="Times New Roman"/>
          <w:sz w:val="24"/>
          <w:szCs w:val="24"/>
          <w:lang w:val="en-US"/>
        </w:rPr>
        <w:instrText xml:space="preserve">ADDIN Mendeley Bibliography CSL_BIBLIOGRAPHY </w:instrText>
      </w:r>
      <w:r w:rsidRPr="00EC3E53">
        <w:rPr>
          <w:rFonts w:ascii="Times New Roman" w:hAnsi="Times New Roman" w:cs="Times New Roman"/>
          <w:sz w:val="24"/>
          <w:szCs w:val="24"/>
          <w:lang w:val="en-US"/>
        </w:rPr>
        <w:fldChar w:fldCharType="separate"/>
      </w:r>
      <w:r w:rsidR="00EC3E53" w:rsidRPr="0045186E">
        <w:rPr>
          <w:rFonts w:ascii="Times New Roman" w:hAnsi="Times New Roman" w:cs="Times New Roman"/>
          <w:noProof/>
          <w:sz w:val="24"/>
          <w:szCs w:val="24"/>
          <w:lang w:val="en-US"/>
        </w:rPr>
        <w:t>[1]</w:t>
      </w:r>
      <w:r w:rsidR="00EC3E53" w:rsidRPr="0045186E">
        <w:rPr>
          <w:rFonts w:ascii="Times New Roman" w:hAnsi="Times New Roman" w:cs="Times New Roman"/>
          <w:noProof/>
          <w:sz w:val="24"/>
          <w:szCs w:val="24"/>
          <w:lang w:val="en-US"/>
        </w:rPr>
        <w:tab/>
        <w:t xml:space="preserve">Wang W, Zhao F, Ma X, Perry G, Zhu X. Mitochondria Dysfunction in the Pathogenesis of Alzheimer’s Disease: Recent  Advances. </w:t>
      </w:r>
      <w:r w:rsidR="00EC3E53" w:rsidRPr="0045186E">
        <w:rPr>
          <w:rFonts w:ascii="Times New Roman" w:hAnsi="Times New Roman" w:cs="Times New Roman"/>
          <w:i/>
          <w:iCs/>
          <w:noProof/>
          <w:sz w:val="24"/>
          <w:szCs w:val="24"/>
          <w:lang w:val="en-US"/>
        </w:rPr>
        <w:t>Molecular Neurodegeneration</w:t>
      </w:r>
      <w:r w:rsidR="00EC3E53" w:rsidRPr="0045186E">
        <w:rPr>
          <w:rFonts w:ascii="Times New Roman" w:hAnsi="Times New Roman" w:cs="Times New Roman"/>
          <w:noProof/>
          <w:sz w:val="24"/>
          <w:szCs w:val="24"/>
          <w:lang w:val="en-US"/>
        </w:rPr>
        <w:t>, 2020, 15(1): 30.</w:t>
      </w:r>
    </w:p>
    <w:p w14:paraId="7CD7F536"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w:t>
      </w:r>
      <w:r w:rsidRPr="0045186E">
        <w:rPr>
          <w:rFonts w:ascii="Times New Roman" w:hAnsi="Times New Roman" w:cs="Times New Roman"/>
          <w:noProof/>
          <w:sz w:val="24"/>
          <w:szCs w:val="24"/>
          <w:lang w:val="en-US"/>
        </w:rPr>
        <w:tab/>
        <w:t xml:space="preserve">Peng Y, Gao P, Shi L, Chen L, Liu J, Long J. Central and Peripheral Metabolic Defects Contribute to the Pathogenesis of  Alzheimer’s Disease: Targeting Mitochondria for Diagnosis and Prevention. </w:t>
      </w:r>
      <w:r w:rsidRPr="0045186E">
        <w:rPr>
          <w:rFonts w:ascii="Times New Roman" w:hAnsi="Times New Roman" w:cs="Times New Roman"/>
          <w:i/>
          <w:iCs/>
          <w:noProof/>
          <w:sz w:val="24"/>
          <w:szCs w:val="24"/>
          <w:lang w:val="en-US"/>
        </w:rPr>
        <w:t>Antioxidants &amp; Redox Signaling</w:t>
      </w:r>
      <w:r w:rsidRPr="0045186E">
        <w:rPr>
          <w:rFonts w:ascii="Times New Roman" w:hAnsi="Times New Roman" w:cs="Times New Roman"/>
          <w:noProof/>
          <w:sz w:val="24"/>
          <w:szCs w:val="24"/>
          <w:lang w:val="en-US"/>
        </w:rPr>
        <w:t>, 2020, 32(16): 1188–1236.</w:t>
      </w:r>
    </w:p>
    <w:p w14:paraId="03E70B43"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[3]</w:t>
      </w:r>
      <w:r w:rsidRPr="0045186E">
        <w:rPr>
          <w:rFonts w:ascii="Times New Roman" w:hAnsi="Times New Roman" w:cs="Times New Roman"/>
          <w:noProof/>
          <w:sz w:val="24"/>
          <w:szCs w:val="24"/>
          <w:lang w:val="en-US"/>
        </w:rPr>
        <w:tab/>
        <w:t>Sorrentino V, Romani M, Mouchiroud L, Beck JS, Zhang H, D’Amico D, Moullan N, Potenza F, Schmid AW, Rietsch S, Counts SE, Auwerx J. Enhancing Mitochondrial Proteostasis Reduces Amyloid-</w:t>
      </w:r>
      <w:r w:rsidRPr="00EC3E53">
        <w:rPr>
          <w:rFonts w:ascii="Times New Roman" w:hAnsi="Times New Roman" w:cs="Times New Roman"/>
          <w:noProof/>
          <w:sz w:val="24"/>
          <w:szCs w:val="24"/>
        </w:rPr>
        <w:t>β</w:t>
      </w:r>
      <w:r w:rsidRPr="0045186E">
        <w:rPr>
          <w:rFonts w:ascii="Times New Roman" w:hAnsi="Times New Roman" w:cs="Times New Roman"/>
          <w:noProof/>
          <w:sz w:val="24"/>
          <w:szCs w:val="24"/>
          <w:lang w:val="en-US"/>
        </w:rPr>
        <w:t xml:space="preserve"> Proteotoxicity. </w:t>
      </w:r>
      <w:r w:rsidRPr="0045186E">
        <w:rPr>
          <w:rFonts w:ascii="Times New Roman" w:hAnsi="Times New Roman" w:cs="Times New Roman"/>
          <w:i/>
          <w:iCs/>
          <w:noProof/>
          <w:sz w:val="24"/>
          <w:szCs w:val="24"/>
          <w:lang w:val="en-US"/>
        </w:rPr>
        <w:t>Nature</w:t>
      </w:r>
      <w:r w:rsidRPr="0045186E">
        <w:rPr>
          <w:rFonts w:ascii="Times New Roman" w:hAnsi="Times New Roman" w:cs="Times New Roman"/>
          <w:noProof/>
          <w:sz w:val="24"/>
          <w:szCs w:val="24"/>
          <w:lang w:val="en-US"/>
        </w:rPr>
        <w:t>, 2017, 552(7684): 187–193.</w:t>
      </w:r>
    </w:p>
    <w:p w14:paraId="51A7B98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[4]</w:t>
      </w:r>
      <w:r w:rsidRPr="0045186E">
        <w:rPr>
          <w:rFonts w:ascii="Times New Roman" w:hAnsi="Times New Roman" w:cs="Times New Roman"/>
          <w:noProof/>
          <w:sz w:val="24"/>
          <w:szCs w:val="24"/>
          <w:lang w:val="en-US"/>
        </w:rPr>
        <w:tab/>
        <w:t xml:space="preserve">Wang X, Wang W, Li L, Perry G, Lee H, Zhu X. Oxidative Stress and Mitochondrial Dysfunction in Alzheimer’s Disease. </w:t>
      </w:r>
      <w:r w:rsidRPr="0045186E">
        <w:rPr>
          <w:rFonts w:ascii="Times New Roman" w:hAnsi="Times New Roman" w:cs="Times New Roman"/>
          <w:i/>
          <w:iCs/>
          <w:noProof/>
          <w:sz w:val="24"/>
          <w:szCs w:val="24"/>
          <w:lang w:val="en-US"/>
        </w:rPr>
        <w:t>Biochimica et Biophysica Acta (BBA) - Molecular Basis of Disease</w:t>
      </w:r>
      <w:r w:rsidRPr="0045186E">
        <w:rPr>
          <w:rFonts w:ascii="Times New Roman" w:hAnsi="Times New Roman" w:cs="Times New Roman"/>
          <w:noProof/>
          <w:sz w:val="24"/>
          <w:szCs w:val="24"/>
          <w:lang w:val="en-US"/>
        </w:rPr>
        <w:t>, 2014, 1842(8): 1240–1247.</w:t>
      </w:r>
    </w:p>
    <w:p w14:paraId="2A84F54A"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[5]</w:t>
      </w:r>
      <w:r w:rsidRPr="0045186E">
        <w:rPr>
          <w:rFonts w:ascii="Times New Roman" w:hAnsi="Times New Roman" w:cs="Times New Roman"/>
          <w:noProof/>
          <w:sz w:val="24"/>
          <w:szCs w:val="24"/>
          <w:lang w:val="en-US"/>
        </w:rPr>
        <w:tab/>
        <w:t xml:space="preserve">Archer SL. Mitochondrial Dynamics--Mitochondrial Fission and Fusion in Human Diseases. </w:t>
      </w:r>
      <w:r w:rsidRPr="0045186E">
        <w:rPr>
          <w:rFonts w:ascii="Times New Roman" w:hAnsi="Times New Roman" w:cs="Times New Roman"/>
          <w:i/>
          <w:iCs/>
          <w:noProof/>
          <w:sz w:val="24"/>
          <w:szCs w:val="24"/>
          <w:lang w:val="en-US"/>
        </w:rPr>
        <w:t>The New England Journal of Medicine</w:t>
      </w:r>
      <w:r w:rsidRPr="0045186E">
        <w:rPr>
          <w:rFonts w:ascii="Times New Roman" w:hAnsi="Times New Roman" w:cs="Times New Roman"/>
          <w:noProof/>
          <w:sz w:val="24"/>
          <w:szCs w:val="24"/>
          <w:lang w:val="en-US"/>
        </w:rPr>
        <w:t>, 2013, 369(23): 2236–2251.</w:t>
      </w:r>
    </w:p>
    <w:p w14:paraId="49C2E6C8"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[6]</w:t>
      </w:r>
      <w:r w:rsidRPr="0045186E">
        <w:rPr>
          <w:rFonts w:ascii="Times New Roman" w:hAnsi="Times New Roman" w:cs="Times New Roman"/>
          <w:noProof/>
          <w:sz w:val="24"/>
          <w:szCs w:val="24"/>
          <w:lang w:val="en-US"/>
        </w:rPr>
        <w:tab/>
        <w:t xml:space="preserve">Stefanova NA, Kozhevnikova OS, Vitovtov AO, Maksimova KY, Logvinov S V, Rudnitskaya EA, Korbolina EE, Muraleva NA, Kolosova NG. Senescence-Accelerated OXYS Rats: A Model of Age-Related Cognitive Decline with  Relevance to Abnormalities in Alzheimer Disease. </w:t>
      </w:r>
      <w:r w:rsidRPr="0045186E">
        <w:rPr>
          <w:rFonts w:ascii="Times New Roman" w:hAnsi="Times New Roman" w:cs="Times New Roman"/>
          <w:i/>
          <w:iCs/>
          <w:noProof/>
          <w:sz w:val="24"/>
          <w:szCs w:val="24"/>
          <w:lang w:val="en-US"/>
        </w:rPr>
        <w:t>Cell Cycle (Georgetown, Tex.)</w:t>
      </w:r>
      <w:r w:rsidRPr="0045186E">
        <w:rPr>
          <w:rFonts w:ascii="Times New Roman" w:hAnsi="Times New Roman" w:cs="Times New Roman"/>
          <w:noProof/>
          <w:sz w:val="24"/>
          <w:szCs w:val="24"/>
          <w:lang w:val="en-US"/>
        </w:rPr>
        <w:t>, 2014, 13(6): 898–909.</w:t>
      </w:r>
    </w:p>
    <w:p w14:paraId="551C6AC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[7]</w:t>
      </w:r>
      <w:r w:rsidRPr="0045186E">
        <w:rPr>
          <w:rFonts w:ascii="Times New Roman" w:hAnsi="Times New Roman" w:cs="Times New Roman"/>
          <w:noProof/>
          <w:sz w:val="24"/>
          <w:szCs w:val="24"/>
          <w:lang w:val="en-US"/>
        </w:rPr>
        <w:tab/>
        <w:t xml:space="preserve">Avetisyan A V, Samokhin AN, Alexandrova IY, Zinovkin RA, Simonyan RA, Bobkova N V. Mitochondrial Dysfunction in Neocortex and Hippocampus of Olfactory Bulbectomized  Mice, a Model of Alzheimer’s Disease. </w:t>
      </w:r>
      <w:r w:rsidRPr="0045186E">
        <w:rPr>
          <w:rFonts w:ascii="Times New Roman" w:hAnsi="Times New Roman" w:cs="Times New Roman"/>
          <w:i/>
          <w:iCs/>
          <w:noProof/>
          <w:sz w:val="24"/>
          <w:szCs w:val="24"/>
          <w:lang w:val="en-US"/>
        </w:rPr>
        <w:t>Biochemistry. Biokhimiia</w:t>
      </w:r>
      <w:r w:rsidRPr="0045186E">
        <w:rPr>
          <w:rFonts w:ascii="Times New Roman" w:hAnsi="Times New Roman" w:cs="Times New Roman"/>
          <w:noProof/>
          <w:sz w:val="24"/>
          <w:szCs w:val="24"/>
          <w:lang w:val="en-US"/>
        </w:rPr>
        <w:t>, 2016, 81(6): 615–623.</w:t>
      </w:r>
    </w:p>
    <w:p w14:paraId="3E388817"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[8]</w:t>
      </w:r>
      <w:r w:rsidRPr="0045186E">
        <w:rPr>
          <w:rFonts w:ascii="Times New Roman" w:hAnsi="Times New Roman" w:cs="Times New Roman"/>
          <w:noProof/>
          <w:sz w:val="24"/>
          <w:szCs w:val="24"/>
          <w:lang w:val="en-US"/>
        </w:rPr>
        <w:tab/>
        <w:t xml:space="preserve">Calkins MJ, Manczak M, Mao P, Shirendeb U, Reddy PH. Impaired Mitochondrial Biogenesis, Defective Axonal Transport of Mitochondria,  Abnormal Mitochondrial Dynamics and Synaptic Degeneration in a Mouse Model of Alzheimer’s Disease. </w:t>
      </w:r>
      <w:r w:rsidRPr="0045186E">
        <w:rPr>
          <w:rFonts w:ascii="Times New Roman" w:hAnsi="Times New Roman" w:cs="Times New Roman"/>
          <w:i/>
          <w:iCs/>
          <w:noProof/>
          <w:sz w:val="24"/>
          <w:szCs w:val="24"/>
          <w:lang w:val="en-US"/>
        </w:rPr>
        <w:t>Human Molecular Genetics</w:t>
      </w:r>
      <w:r w:rsidRPr="0045186E">
        <w:rPr>
          <w:rFonts w:ascii="Times New Roman" w:hAnsi="Times New Roman" w:cs="Times New Roman"/>
          <w:noProof/>
          <w:sz w:val="24"/>
          <w:szCs w:val="24"/>
          <w:lang w:val="en-US"/>
        </w:rPr>
        <w:t>, 2011, 20(23): 4515–4529.</w:t>
      </w:r>
    </w:p>
    <w:p w14:paraId="19C9BE9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[9]</w:t>
      </w:r>
      <w:r w:rsidRPr="0045186E">
        <w:rPr>
          <w:rFonts w:ascii="Times New Roman" w:hAnsi="Times New Roman" w:cs="Times New Roman"/>
          <w:noProof/>
          <w:sz w:val="24"/>
          <w:szCs w:val="24"/>
          <w:lang w:val="en-US"/>
        </w:rPr>
        <w:tab/>
        <w:t xml:space="preserve">Zhang L, Trushin S, Christensen TA, Tripathi U, Hong C, Geroux RE, Howell KG, Poduslo JF, Trushina E. Differential Effect of Amyloid Beta Peptides on Mitochondrial Axonal Trafficking  Depends on Their State of Aggregation and Binding to the Plasma Membrane. </w:t>
      </w:r>
      <w:r w:rsidRPr="0045186E">
        <w:rPr>
          <w:rFonts w:ascii="Times New Roman" w:hAnsi="Times New Roman" w:cs="Times New Roman"/>
          <w:i/>
          <w:iCs/>
          <w:noProof/>
          <w:sz w:val="24"/>
          <w:szCs w:val="24"/>
          <w:lang w:val="en-US"/>
        </w:rPr>
        <w:t>Neurobiology of Disease</w:t>
      </w:r>
      <w:r w:rsidRPr="0045186E">
        <w:rPr>
          <w:rFonts w:ascii="Times New Roman" w:hAnsi="Times New Roman" w:cs="Times New Roman"/>
          <w:noProof/>
          <w:sz w:val="24"/>
          <w:szCs w:val="24"/>
          <w:lang w:val="en-US"/>
        </w:rPr>
        <w:t>, 2018, 114: 1–16.</w:t>
      </w:r>
    </w:p>
    <w:p w14:paraId="6BA241DB"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[10]</w:t>
      </w:r>
      <w:r w:rsidRPr="0045186E">
        <w:rPr>
          <w:rFonts w:ascii="Times New Roman" w:hAnsi="Times New Roman" w:cs="Times New Roman"/>
          <w:noProof/>
          <w:sz w:val="24"/>
          <w:szCs w:val="24"/>
          <w:lang w:val="en-US"/>
        </w:rPr>
        <w:tab/>
        <w:t xml:space="preserve">Bilkei-Gorzo A. Genetic Mouse Models of Brain Ageing and Alzheimer’s Disease. </w:t>
      </w:r>
      <w:r w:rsidRPr="0045186E">
        <w:rPr>
          <w:rFonts w:ascii="Times New Roman" w:hAnsi="Times New Roman" w:cs="Times New Roman"/>
          <w:i/>
          <w:iCs/>
          <w:noProof/>
          <w:sz w:val="24"/>
          <w:szCs w:val="24"/>
          <w:lang w:val="en-US"/>
        </w:rPr>
        <w:t>Pharmacology &amp; Therapeutics</w:t>
      </w:r>
      <w:r w:rsidRPr="0045186E">
        <w:rPr>
          <w:rFonts w:ascii="Times New Roman" w:hAnsi="Times New Roman" w:cs="Times New Roman"/>
          <w:noProof/>
          <w:sz w:val="24"/>
          <w:szCs w:val="24"/>
          <w:lang w:val="en-US"/>
        </w:rPr>
        <w:t>, 2014, 142(2): 244–257.</w:t>
      </w:r>
    </w:p>
    <w:p w14:paraId="4AC570EF" w14:textId="79BD10C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[11]</w:t>
      </w:r>
      <w:r w:rsidRPr="0045186E">
        <w:rPr>
          <w:rFonts w:ascii="Times New Roman" w:hAnsi="Times New Roman" w:cs="Times New Roman"/>
          <w:noProof/>
          <w:sz w:val="24"/>
          <w:szCs w:val="24"/>
          <w:lang w:val="en-US"/>
        </w:rPr>
        <w:tab/>
      </w:r>
      <w:r w:rsidR="00F80789" w:rsidRPr="00F80789">
        <w:rPr>
          <w:rFonts w:ascii="Times New Roman" w:hAnsi="Times New Roman" w:cs="Times New Roman"/>
          <w:noProof/>
          <w:sz w:val="24"/>
          <w:szCs w:val="24"/>
          <w:lang w:val="en-US"/>
        </w:rPr>
        <w:t>AUTHOR'S ARTICLE</w:t>
      </w:r>
      <w:r w:rsidRPr="0045186E">
        <w:rPr>
          <w:rFonts w:ascii="Times New Roman" w:hAnsi="Times New Roman" w:cs="Times New Roman"/>
          <w:noProof/>
          <w:sz w:val="24"/>
          <w:szCs w:val="24"/>
          <w:lang w:val="en-US"/>
        </w:rPr>
        <w:t>, 2023.</w:t>
      </w:r>
    </w:p>
    <w:p w14:paraId="138A5CC4" w14:textId="5DD350E9"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[12]</w:t>
      </w:r>
      <w:r w:rsidRPr="0045186E">
        <w:rPr>
          <w:rFonts w:ascii="Times New Roman" w:hAnsi="Times New Roman" w:cs="Times New Roman"/>
          <w:noProof/>
          <w:sz w:val="24"/>
          <w:szCs w:val="24"/>
          <w:lang w:val="en-US"/>
        </w:rPr>
        <w:tab/>
      </w:r>
      <w:r w:rsidR="00F80789" w:rsidRPr="00F80789">
        <w:rPr>
          <w:rFonts w:ascii="Times New Roman" w:hAnsi="Times New Roman" w:cs="Times New Roman"/>
          <w:noProof/>
          <w:sz w:val="24"/>
          <w:szCs w:val="24"/>
          <w:lang w:val="en-US"/>
        </w:rPr>
        <w:t>AUTHOR'S ARTICLE</w:t>
      </w:r>
      <w:r w:rsidRPr="0045186E">
        <w:rPr>
          <w:rFonts w:ascii="Times New Roman" w:hAnsi="Times New Roman" w:cs="Times New Roman"/>
          <w:noProof/>
          <w:sz w:val="24"/>
          <w:szCs w:val="24"/>
          <w:lang w:val="en-US"/>
        </w:rPr>
        <w:t xml:space="preserve"> 2018.</w:t>
      </w:r>
    </w:p>
    <w:p w14:paraId="3E1579CF"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lastRenderedPageBreak/>
        <w:t>[13]</w:t>
      </w:r>
      <w:r w:rsidRPr="0045186E">
        <w:rPr>
          <w:rFonts w:ascii="Times New Roman" w:hAnsi="Times New Roman" w:cs="Times New Roman"/>
          <w:noProof/>
          <w:sz w:val="24"/>
          <w:szCs w:val="24"/>
          <w:lang w:val="en-US"/>
        </w:rPr>
        <w:tab/>
        <w:t xml:space="preserve">Knies KA, Li Y V. Zinc Cytotoxicity Induces Mitochondrial Morphology Changes in Hela Cell Line. </w:t>
      </w:r>
      <w:r w:rsidRPr="0045186E">
        <w:rPr>
          <w:rFonts w:ascii="Times New Roman" w:hAnsi="Times New Roman" w:cs="Times New Roman"/>
          <w:i/>
          <w:iCs/>
          <w:noProof/>
          <w:sz w:val="24"/>
          <w:szCs w:val="24"/>
          <w:lang w:val="en-US"/>
        </w:rPr>
        <w:t>International Journal of Physiology, Pathophysiology and Pharmacology</w:t>
      </w:r>
      <w:r w:rsidRPr="0045186E">
        <w:rPr>
          <w:rFonts w:ascii="Times New Roman" w:hAnsi="Times New Roman" w:cs="Times New Roman"/>
          <w:noProof/>
          <w:sz w:val="24"/>
          <w:szCs w:val="24"/>
          <w:lang w:val="en-US"/>
        </w:rPr>
        <w:t>, 2021, 13(2): 43–51.</w:t>
      </w:r>
    </w:p>
    <w:p w14:paraId="58EED34A"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[14]</w:t>
      </w:r>
      <w:r w:rsidRPr="0045186E">
        <w:rPr>
          <w:rFonts w:ascii="Times New Roman" w:hAnsi="Times New Roman" w:cs="Times New Roman"/>
          <w:noProof/>
          <w:sz w:val="24"/>
          <w:szCs w:val="24"/>
          <w:lang w:val="en-US"/>
        </w:rPr>
        <w:tab/>
        <w:t xml:space="preserve">Rodolfo C, Campello S, Cecconi F. Mitophagy in Neurodegenerative Diseases. </w:t>
      </w:r>
      <w:r w:rsidRPr="0045186E">
        <w:rPr>
          <w:rFonts w:ascii="Times New Roman" w:hAnsi="Times New Roman" w:cs="Times New Roman"/>
          <w:i/>
          <w:iCs/>
          <w:noProof/>
          <w:sz w:val="24"/>
          <w:szCs w:val="24"/>
          <w:lang w:val="en-US"/>
        </w:rPr>
        <w:t>Neurochemistry International</w:t>
      </w:r>
      <w:r w:rsidRPr="0045186E">
        <w:rPr>
          <w:rFonts w:ascii="Times New Roman" w:hAnsi="Times New Roman" w:cs="Times New Roman"/>
          <w:noProof/>
          <w:sz w:val="24"/>
          <w:szCs w:val="24"/>
          <w:lang w:val="en-US"/>
        </w:rPr>
        <w:t>, 2018, 117: 156–166.</w:t>
      </w:r>
    </w:p>
    <w:p w14:paraId="5D2C9699"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[15]</w:t>
      </w:r>
      <w:r w:rsidRPr="0045186E">
        <w:rPr>
          <w:rFonts w:ascii="Times New Roman" w:hAnsi="Times New Roman" w:cs="Times New Roman"/>
          <w:noProof/>
          <w:sz w:val="24"/>
          <w:szCs w:val="24"/>
          <w:lang w:val="en-US"/>
        </w:rPr>
        <w:tab/>
        <w:t xml:space="preserve">Kikugawa K, Kato T, Beppu M, Hayasaka A. Fluorescent and Cross-Linked Proteins Formed by Free Radical and Aldehyde Species  Generated during Lipid Oxidation. </w:t>
      </w:r>
      <w:r w:rsidRPr="0045186E">
        <w:rPr>
          <w:rFonts w:ascii="Times New Roman" w:hAnsi="Times New Roman" w:cs="Times New Roman"/>
          <w:i/>
          <w:iCs/>
          <w:noProof/>
          <w:sz w:val="24"/>
          <w:szCs w:val="24"/>
          <w:lang w:val="en-US"/>
        </w:rPr>
        <w:t>Advances in Experimental Medicine and Biology</w:t>
      </w:r>
      <w:r w:rsidRPr="0045186E">
        <w:rPr>
          <w:rFonts w:ascii="Times New Roman" w:hAnsi="Times New Roman" w:cs="Times New Roman"/>
          <w:noProof/>
          <w:sz w:val="24"/>
          <w:szCs w:val="24"/>
          <w:lang w:val="en-US"/>
        </w:rPr>
        <w:t>, 1989, 266: 345–56; discussion 357.</w:t>
      </w:r>
    </w:p>
    <w:p w14:paraId="129A47D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[16]</w:t>
      </w:r>
      <w:r w:rsidRPr="0045186E">
        <w:rPr>
          <w:rFonts w:ascii="Times New Roman" w:hAnsi="Times New Roman" w:cs="Times New Roman"/>
          <w:noProof/>
          <w:sz w:val="24"/>
          <w:szCs w:val="24"/>
          <w:lang w:val="en-US"/>
        </w:rPr>
        <w:tab/>
        <w:t xml:space="preserve">Dehkordi SK, Walker J, Sah E, Bennett E, Atrian F, Frost B, Woost B, Bennett RE, Orr TC, Zhou Y, Andhey PS, Colonna M, Sudmant PH, Xu P, Wang M, Zhang B, Zare H, Orr ME. Profiling Senescent Cells in Human Brains Reveals Neurons with CDKN2D/P19 and Tau  Neuropathology. </w:t>
      </w:r>
      <w:r w:rsidRPr="0045186E">
        <w:rPr>
          <w:rFonts w:ascii="Times New Roman" w:hAnsi="Times New Roman" w:cs="Times New Roman"/>
          <w:i/>
          <w:iCs/>
          <w:noProof/>
          <w:sz w:val="24"/>
          <w:szCs w:val="24"/>
          <w:lang w:val="en-US"/>
        </w:rPr>
        <w:t>Nature Aging</w:t>
      </w:r>
      <w:r w:rsidRPr="0045186E">
        <w:rPr>
          <w:rFonts w:ascii="Times New Roman" w:hAnsi="Times New Roman" w:cs="Times New Roman"/>
          <w:noProof/>
          <w:sz w:val="24"/>
          <w:szCs w:val="24"/>
          <w:lang w:val="en-US"/>
        </w:rPr>
        <w:t>, 2021, 1(12): 1107–1116.</w:t>
      </w:r>
    </w:p>
    <w:p w14:paraId="43C20DC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[17]</w:t>
      </w:r>
      <w:r w:rsidRPr="0045186E">
        <w:rPr>
          <w:rFonts w:ascii="Times New Roman" w:hAnsi="Times New Roman" w:cs="Times New Roman"/>
          <w:noProof/>
          <w:sz w:val="24"/>
          <w:szCs w:val="24"/>
          <w:lang w:val="en-US"/>
        </w:rPr>
        <w:tab/>
        <w:t xml:space="preserve">Moreno-García A, Kun A, Calero O, Medina M, Calero M. An Overview of the Role of Lipofuscin in Age-Related Neurodegeneration. </w:t>
      </w:r>
      <w:r w:rsidRPr="0045186E">
        <w:rPr>
          <w:rFonts w:ascii="Times New Roman" w:hAnsi="Times New Roman" w:cs="Times New Roman"/>
          <w:i/>
          <w:iCs/>
          <w:noProof/>
          <w:sz w:val="24"/>
          <w:szCs w:val="24"/>
          <w:lang w:val="en-US"/>
        </w:rPr>
        <w:t>Frontiers in Neuroscience</w:t>
      </w:r>
      <w:r w:rsidRPr="0045186E">
        <w:rPr>
          <w:rFonts w:ascii="Times New Roman" w:hAnsi="Times New Roman" w:cs="Times New Roman"/>
          <w:noProof/>
          <w:sz w:val="24"/>
          <w:szCs w:val="24"/>
          <w:lang w:val="en-US"/>
        </w:rPr>
        <w:t>, 2018, 12: 464.</w:t>
      </w:r>
    </w:p>
    <w:p w14:paraId="0697072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[18]</w:t>
      </w:r>
      <w:r w:rsidRPr="0045186E">
        <w:rPr>
          <w:rFonts w:ascii="Times New Roman" w:hAnsi="Times New Roman" w:cs="Times New Roman"/>
          <w:noProof/>
          <w:sz w:val="24"/>
          <w:szCs w:val="24"/>
          <w:lang w:val="en-US"/>
        </w:rPr>
        <w:tab/>
        <w:t xml:space="preserve">Serwer P, Wright ET, Hunter B. Additions to Alpha-Sheet Based Hypotheses for the Cause of Alzheimer’s Disease. </w:t>
      </w:r>
      <w:r w:rsidRPr="0045186E">
        <w:rPr>
          <w:rFonts w:ascii="Times New Roman" w:hAnsi="Times New Roman" w:cs="Times New Roman"/>
          <w:i/>
          <w:iCs/>
          <w:noProof/>
          <w:sz w:val="24"/>
          <w:szCs w:val="24"/>
          <w:lang w:val="en-US"/>
        </w:rPr>
        <w:t>Journal of Alzheimer’s Disease : JAD</w:t>
      </w:r>
      <w:r w:rsidRPr="0045186E">
        <w:rPr>
          <w:rFonts w:ascii="Times New Roman" w:hAnsi="Times New Roman" w:cs="Times New Roman"/>
          <w:noProof/>
          <w:sz w:val="24"/>
          <w:szCs w:val="24"/>
          <w:lang w:val="en-US"/>
        </w:rPr>
        <w:t>, 2022, 88(2): 429–438.</w:t>
      </w:r>
    </w:p>
    <w:p w14:paraId="6AFAFD3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[19]</w:t>
      </w:r>
      <w:r w:rsidRPr="0045186E">
        <w:rPr>
          <w:rFonts w:ascii="Times New Roman" w:hAnsi="Times New Roman" w:cs="Times New Roman"/>
          <w:noProof/>
          <w:sz w:val="24"/>
          <w:szCs w:val="24"/>
          <w:lang w:val="en-US"/>
        </w:rPr>
        <w:tab/>
        <w:t xml:space="preserve">Liesa M, Shirihai OS. Mitochondrial Dynamics in the Regulation of Nutrient Utilization and Energy Expenditure. </w:t>
      </w:r>
      <w:r w:rsidRPr="0045186E">
        <w:rPr>
          <w:rFonts w:ascii="Times New Roman" w:hAnsi="Times New Roman" w:cs="Times New Roman"/>
          <w:i/>
          <w:iCs/>
          <w:noProof/>
          <w:sz w:val="24"/>
          <w:szCs w:val="24"/>
          <w:lang w:val="en-US"/>
        </w:rPr>
        <w:t>Cell Metabolism</w:t>
      </w:r>
      <w:r w:rsidRPr="0045186E">
        <w:rPr>
          <w:rFonts w:ascii="Times New Roman" w:hAnsi="Times New Roman" w:cs="Times New Roman"/>
          <w:noProof/>
          <w:sz w:val="24"/>
          <w:szCs w:val="24"/>
          <w:lang w:val="en-US"/>
        </w:rPr>
        <w:t>, 2013, 17(4): 491–506.</w:t>
      </w:r>
    </w:p>
    <w:p w14:paraId="39D05BAE"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[20]</w:t>
      </w:r>
      <w:r w:rsidRPr="0045186E">
        <w:rPr>
          <w:rFonts w:ascii="Times New Roman" w:hAnsi="Times New Roman" w:cs="Times New Roman"/>
          <w:noProof/>
          <w:sz w:val="24"/>
          <w:szCs w:val="24"/>
          <w:lang w:val="en-US"/>
        </w:rPr>
        <w:tab/>
        <w:t xml:space="preserve">Wang L, Guo L, Lu L, Sun H, Shao M, Beck SJ, Li L, Ramachandran J, Du Y, Du H. Synaptosomal Mitochondrial Dysfunction in 5xFAD Mouse Model of Alzheimer’s  Disease. </w:t>
      </w:r>
      <w:r w:rsidRPr="0045186E">
        <w:rPr>
          <w:rFonts w:ascii="Times New Roman" w:hAnsi="Times New Roman" w:cs="Times New Roman"/>
          <w:i/>
          <w:iCs/>
          <w:noProof/>
          <w:sz w:val="24"/>
          <w:szCs w:val="24"/>
          <w:lang w:val="en-US"/>
        </w:rPr>
        <w:t>PloS One</w:t>
      </w:r>
      <w:r w:rsidRPr="0045186E">
        <w:rPr>
          <w:rFonts w:ascii="Times New Roman" w:hAnsi="Times New Roman" w:cs="Times New Roman"/>
          <w:noProof/>
          <w:sz w:val="24"/>
          <w:szCs w:val="24"/>
          <w:lang w:val="en-US"/>
        </w:rPr>
        <w:t>, 2016, 11(3): e0150441.</w:t>
      </w:r>
    </w:p>
    <w:p w14:paraId="0959E713"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[21]</w:t>
      </w:r>
      <w:r w:rsidRPr="0045186E">
        <w:rPr>
          <w:rFonts w:ascii="Times New Roman" w:hAnsi="Times New Roman" w:cs="Times New Roman"/>
          <w:noProof/>
          <w:sz w:val="24"/>
          <w:szCs w:val="24"/>
          <w:lang w:val="en-US"/>
        </w:rPr>
        <w:tab/>
        <w:t xml:space="preserve">Shields LY, Li H, Nguyen K, Kim H, Doric Z, Garcia JH, Gill TM, Haddad D, Vossel K, Calvert M, Nakamura K. Mitochondrial Fission Is a Critical Modulator of Mutant APP-Induced Neural  Toxicity. </w:t>
      </w:r>
      <w:r w:rsidRPr="0045186E">
        <w:rPr>
          <w:rFonts w:ascii="Times New Roman" w:hAnsi="Times New Roman" w:cs="Times New Roman"/>
          <w:i/>
          <w:iCs/>
          <w:noProof/>
          <w:sz w:val="24"/>
          <w:szCs w:val="24"/>
          <w:lang w:val="en-US"/>
        </w:rPr>
        <w:t>The Journal of Biological Chemistry</w:t>
      </w:r>
      <w:r w:rsidRPr="0045186E">
        <w:rPr>
          <w:rFonts w:ascii="Times New Roman" w:hAnsi="Times New Roman" w:cs="Times New Roman"/>
          <w:noProof/>
          <w:sz w:val="24"/>
          <w:szCs w:val="24"/>
          <w:lang w:val="en-US"/>
        </w:rPr>
        <w:t>, 2021, 296: 100469.</w:t>
      </w:r>
    </w:p>
    <w:p w14:paraId="5902749B"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[22]</w:t>
      </w:r>
      <w:r w:rsidRPr="0045186E">
        <w:rPr>
          <w:rFonts w:ascii="Times New Roman" w:hAnsi="Times New Roman" w:cs="Times New Roman"/>
          <w:noProof/>
          <w:sz w:val="24"/>
          <w:szCs w:val="24"/>
          <w:lang w:val="en-US"/>
        </w:rPr>
        <w:tab/>
        <w:t>Ismeurt C, Giannoni P, Claeysen S. Chapter 13 - The 5×FAD Mouse Model of Alzheimer’s Disease. In:. Martin CR, Preedy VR (eds). Diagnosis Manag. Dement. Academic Press 2020; 207–221.</w:t>
      </w:r>
    </w:p>
    <w:p w14:paraId="4E403AB2"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[23]</w:t>
      </w:r>
      <w:r w:rsidRPr="0045186E">
        <w:rPr>
          <w:rFonts w:ascii="Times New Roman" w:hAnsi="Times New Roman" w:cs="Times New Roman"/>
          <w:noProof/>
          <w:sz w:val="24"/>
          <w:szCs w:val="24"/>
          <w:lang w:val="en-US"/>
        </w:rPr>
        <w:tab/>
        <w:t xml:space="preserve">Hoitzing H, Johnston IG, Jones NS. What Is the Function of Mitochondrial Networks? A Theoretical Assessment of  Hypotheses and Proposal for Future Research. </w:t>
      </w:r>
      <w:r w:rsidRPr="0045186E">
        <w:rPr>
          <w:rFonts w:ascii="Times New Roman" w:hAnsi="Times New Roman" w:cs="Times New Roman"/>
          <w:i/>
          <w:iCs/>
          <w:noProof/>
          <w:sz w:val="24"/>
          <w:szCs w:val="24"/>
          <w:lang w:val="en-US"/>
        </w:rPr>
        <w:t>BioEssays : News and Reviews in Molecular, Cellular and Developmental Biology</w:t>
      </w:r>
      <w:r w:rsidRPr="0045186E">
        <w:rPr>
          <w:rFonts w:ascii="Times New Roman" w:hAnsi="Times New Roman" w:cs="Times New Roman"/>
          <w:noProof/>
          <w:sz w:val="24"/>
          <w:szCs w:val="24"/>
          <w:lang w:val="en-US"/>
        </w:rPr>
        <w:t>, 2015, 37(6): 687–700.</w:t>
      </w:r>
    </w:p>
    <w:p w14:paraId="11189715"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[24]</w:t>
      </w:r>
      <w:r w:rsidRPr="0045186E">
        <w:rPr>
          <w:rFonts w:ascii="Times New Roman" w:hAnsi="Times New Roman" w:cs="Times New Roman"/>
          <w:noProof/>
          <w:sz w:val="24"/>
          <w:szCs w:val="24"/>
          <w:lang w:val="en-US"/>
        </w:rPr>
        <w:tab/>
        <w:t xml:space="preserve">Gomes LC, Di Benedetto G, Scorrano L. During Autophagy Mitochondria Elongate, Are Spared from Degradation and Sustain  Cell Viability. </w:t>
      </w:r>
      <w:r w:rsidRPr="0045186E">
        <w:rPr>
          <w:rFonts w:ascii="Times New Roman" w:hAnsi="Times New Roman" w:cs="Times New Roman"/>
          <w:i/>
          <w:iCs/>
          <w:noProof/>
          <w:sz w:val="24"/>
          <w:szCs w:val="24"/>
          <w:lang w:val="en-US"/>
        </w:rPr>
        <w:t>Nature Cell Biology</w:t>
      </w:r>
      <w:r w:rsidRPr="0045186E">
        <w:rPr>
          <w:rFonts w:ascii="Times New Roman" w:hAnsi="Times New Roman" w:cs="Times New Roman"/>
          <w:noProof/>
          <w:sz w:val="24"/>
          <w:szCs w:val="24"/>
          <w:lang w:val="en-US"/>
        </w:rPr>
        <w:t>, 2011, 13(5): 589–598.</w:t>
      </w:r>
    </w:p>
    <w:p w14:paraId="7768C0FD" w14:textId="77777777" w:rsidR="00EC3E53" w:rsidRPr="0045186E"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lang w:val="en-US"/>
        </w:rPr>
      </w:pPr>
      <w:r w:rsidRPr="0045186E">
        <w:rPr>
          <w:rFonts w:ascii="Times New Roman" w:hAnsi="Times New Roman" w:cs="Times New Roman"/>
          <w:noProof/>
          <w:sz w:val="24"/>
          <w:szCs w:val="24"/>
          <w:lang w:val="en-US"/>
        </w:rPr>
        <w:t>[25]</w:t>
      </w:r>
      <w:r w:rsidRPr="0045186E">
        <w:rPr>
          <w:rFonts w:ascii="Times New Roman" w:hAnsi="Times New Roman" w:cs="Times New Roman"/>
          <w:noProof/>
          <w:sz w:val="24"/>
          <w:szCs w:val="24"/>
          <w:lang w:val="en-US"/>
        </w:rPr>
        <w:tab/>
        <w:t xml:space="preserve">Pontes MH, Sevostyanova A, Groisman EA. When Too Much ATP Is Bad for Protein Synthesis. </w:t>
      </w:r>
      <w:r w:rsidRPr="0045186E">
        <w:rPr>
          <w:rFonts w:ascii="Times New Roman" w:hAnsi="Times New Roman" w:cs="Times New Roman"/>
          <w:i/>
          <w:iCs/>
          <w:noProof/>
          <w:sz w:val="24"/>
          <w:szCs w:val="24"/>
          <w:lang w:val="en-US"/>
        </w:rPr>
        <w:t>Journal of Molecular Biology</w:t>
      </w:r>
      <w:r w:rsidRPr="0045186E">
        <w:rPr>
          <w:rFonts w:ascii="Times New Roman" w:hAnsi="Times New Roman" w:cs="Times New Roman"/>
          <w:noProof/>
          <w:sz w:val="24"/>
          <w:szCs w:val="24"/>
          <w:lang w:val="en-US"/>
        </w:rPr>
        <w:t>, 2015, 427(16): 2586–2594.</w:t>
      </w:r>
    </w:p>
    <w:p w14:paraId="08C0AB3D" w14:textId="77777777" w:rsidR="00EC3E53" w:rsidRPr="00EC3E53" w:rsidRDefault="00EC3E53" w:rsidP="00B01E7F">
      <w:pPr>
        <w:widowControl w:val="0"/>
        <w:autoSpaceDE w:val="0"/>
        <w:autoSpaceDN w:val="0"/>
        <w:adjustRightInd w:val="0"/>
        <w:spacing w:line="240" w:lineRule="auto"/>
        <w:ind w:left="640" w:hanging="640"/>
        <w:rPr>
          <w:rFonts w:ascii="Times New Roman" w:hAnsi="Times New Roman" w:cs="Times New Roman"/>
          <w:noProof/>
          <w:sz w:val="24"/>
          <w:szCs w:val="24"/>
        </w:rPr>
      </w:pPr>
      <w:r w:rsidRPr="0045186E">
        <w:rPr>
          <w:rFonts w:ascii="Times New Roman" w:hAnsi="Times New Roman" w:cs="Times New Roman"/>
          <w:noProof/>
          <w:sz w:val="24"/>
          <w:szCs w:val="24"/>
          <w:lang w:val="en-US"/>
        </w:rPr>
        <w:t>[26]</w:t>
      </w:r>
      <w:r w:rsidRPr="0045186E">
        <w:rPr>
          <w:rFonts w:ascii="Times New Roman" w:hAnsi="Times New Roman" w:cs="Times New Roman"/>
          <w:noProof/>
          <w:sz w:val="24"/>
          <w:szCs w:val="24"/>
          <w:lang w:val="en-US"/>
        </w:rPr>
        <w:tab/>
        <w:t xml:space="preserve">Zamaraeva M V, Sabirov RZ, Maeno E, Ando-Akatsuka Y, Bessonova S V, Okada Y. Cells Die with Increased Cytosolic ATP during Apoptosis: A Bioluminescence Study  with Intracellular Luciferase. </w:t>
      </w:r>
      <w:r w:rsidRPr="00EC3E53">
        <w:rPr>
          <w:rFonts w:ascii="Times New Roman" w:hAnsi="Times New Roman" w:cs="Times New Roman"/>
          <w:i/>
          <w:iCs/>
          <w:noProof/>
          <w:sz w:val="24"/>
          <w:szCs w:val="24"/>
        </w:rPr>
        <w:t>Cell Death and Differentiation</w:t>
      </w:r>
      <w:r w:rsidRPr="00EC3E53">
        <w:rPr>
          <w:rFonts w:ascii="Times New Roman" w:hAnsi="Times New Roman" w:cs="Times New Roman"/>
          <w:noProof/>
          <w:sz w:val="24"/>
          <w:szCs w:val="24"/>
        </w:rPr>
        <w:t>, 2005, 12(11): 1390–1397.</w:t>
      </w:r>
    </w:p>
    <w:p w14:paraId="1485EECB" w14:textId="3DB5FE55" w:rsidR="00E02374" w:rsidRPr="00EC3E53" w:rsidRDefault="00846CBD" w:rsidP="00B01E7F">
      <w:pPr>
        <w:spacing w:line="240" w:lineRule="auto"/>
        <w:rPr>
          <w:rFonts w:ascii="Times New Roman" w:hAnsi="Times New Roman" w:cs="Times New Roman"/>
          <w:sz w:val="24"/>
          <w:szCs w:val="24"/>
          <w:lang w:val="en-US"/>
        </w:rPr>
      </w:pPr>
      <w:r w:rsidRPr="00EC3E53">
        <w:rPr>
          <w:rFonts w:ascii="Times New Roman" w:hAnsi="Times New Roman" w:cs="Times New Roman"/>
          <w:sz w:val="24"/>
          <w:szCs w:val="24"/>
          <w:lang w:val="en-US"/>
        </w:rPr>
        <w:fldChar w:fldCharType="end"/>
      </w:r>
    </w:p>
    <w:sectPr w:rsidR="00E02374" w:rsidRPr="00EC3E53" w:rsidSect="00A34000">
      <w:footerReference w:type="default" r:id="rId13"/>
      <w:pgSz w:w="11906" w:h="16838"/>
      <w:pgMar w:top="1134" w:right="850"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97008" w14:textId="77777777" w:rsidR="00A34000" w:rsidRDefault="00A34000" w:rsidP="00B95E8E">
      <w:pPr>
        <w:spacing w:after="0" w:line="240" w:lineRule="auto"/>
      </w:pPr>
      <w:r>
        <w:separator/>
      </w:r>
    </w:p>
  </w:endnote>
  <w:endnote w:type="continuationSeparator" w:id="0">
    <w:p w14:paraId="0C05C05F" w14:textId="77777777" w:rsidR="00A34000" w:rsidRDefault="00A34000" w:rsidP="00B9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087960"/>
      <w:docPartObj>
        <w:docPartGallery w:val="Page Numbers (Bottom of Page)"/>
        <w:docPartUnique/>
      </w:docPartObj>
    </w:sdtPr>
    <w:sdtEndPr/>
    <w:sdtContent>
      <w:p w14:paraId="3E79D386" w14:textId="41DC4364" w:rsidR="00B95E8E" w:rsidRDefault="00B95E8E">
        <w:pPr>
          <w:pStyle w:val="aa"/>
        </w:pPr>
        <w:r>
          <w:fldChar w:fldCharType="begin"/>
        </w:r>
        <w:r>
          <w:instrText>PAGE   \* MERGEFORMAT</w:instrText>
        </w:r>
        <w:r>
          <w:fldChar w:fldCharType="separate"/>
        </w:r>
        <w:r>
          <w:t>2</w:t>
        </w:r>
        <w:r>
          <w:fldChar w:fldCharType="end"/>
        </w:r>
      </w:p>
    </w:sdtContent>
  </w:sdt>
  <w:p w14:paraId="0B0B1DD8" w14:textId="77777777" w:rsidR="00B95E8E" w:rsidRDefault="00B95E8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EAF9" w14:textId="77777777" w:rsidR="00A34000" w:rsidRDefault="00A34000" w:rsidP="00B95E8E">
      <w:pPr>
        <w:spacing w:after="0" w:line="240" w:lineRule="auto"/>
      </w:pPr>
      <w:r>
        <w:separator/>
      </w:r>
    </w:p>
  </w:footnote>
  <w:footnote w:type="continuationSeparator" w:id="0">
    <w:p w14:paraId="38D71E7D" w14:textId="77777777" w:rsidR="00A34000" w:rsidRDefault="00A34000" w:rsidP="00B95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A677D"/>
    <w:multiLevelType w:val="hybridMultilevel"/>
    <w:tmpl w:val="042EB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18499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F3"/>
    <w:rsid w:val="00075881"/>
    <w:rsid w:val="00077223"/>
    <w:rsid w:val="000D26B9"/>
    <w:rsid w:val="00117C40"/>
    <w:rsid w:val="0013501C"/>
    <w:rsid w:val="00156E27"/>
    <w:rsid w:val="001B6787"/>
    <w:rsid w:val="001C1DEE"/>
    <w:rsid w:val="001E2BA3"/>
    <w:rsid w:val="001F3468"/>
    <w:rsid w:val="00286D49"/>
    <w:rsid w:val="002F239F"/>
    <w:rsid w:val="00354863"/>
    <w:rsid w:val="003A36F2"/>
    <w:rsid w:val="00410789"/>
    <w:rsid w:val="00431E91"/>
    <w:rsid w:val="0045186E"/>
    <w:rsid w:val="00487D77"/>
    <w:rsid w:val="00501085"/>
    <w:rsid w:val="005C1DC6"/>
    <w:rsid w:val="005F2E40"/>
    <w:rsid w:val="0066269D"/>
    <w:rsid w:val="006C273B"/>
    <w:rsid w:val="00786711"/>
    <w:rsid w:val="00831859"/>
    <w:rsid w:val="00846CBD"/>
    <w:rsid w:val="009176BE"/>
    <w:rsid w:val="009C4122"/>
    <w:rsid w:val="00A34000"/>
    <w:rsid w:val="00A61548"/>
    <w:rsid w:val="00AA17CB"/>
    <w:rsid w:val="00AA701B"/>
    <w:rsid w:val="00B01E7F"/>
    <w:rsid w:val="00B35940"/>
    <w:rsid w:val="00B82255"/>
    <w:rsid w:val="00B83F4E"/>
    <w:rsid w:val="00B95E8E"/>
    <w:rsid w:val="00B967A5"/>
    <w:rsid w:val="00BA5464"/>
    <w:rsid w:val="00C317A9"/>
    <w:rsid w:val="00D1548A"/>
    <w:rsid w:val="00D15AE0"/>
    <w:rsid w:val="00D54168"/>
    <w:rsid w:val="00DA4C46"/>
    <w:rsid w:val="00DE59B6"/>
    <w:rsid w:val="00DF4C20"/>
    <w:rsid w:val="00E02374"/>
    <w:rsid w:val="00E47C87"/>
    <w:rsid w:val="00E925DD"/>
    <w:rsid w:val="00EC3E53"/>
    <w:rsid w:val="00EC45C1"/>
    <w:rsid w:val="00EF53F3"/>
    <w:rsid w:val="00F0260F"/>
    <w:rsid w:val="00F437F9"/>
    <w:rsid w:val="00F75695"/>
    <w:rsid w:val="00F77476"/>
    <w:rsid w:val="00F80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1087"/>
  <w15:chartTrackingRefBased/>
  <w15:docId w15:val="{888950AA-C85D-4815-B495-95332356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F3"/>
    <w:pPr>
      <w:spacing w:after="200" w:line="276" w:lineRule="auto"/>
    </w:pPr>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EF5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F53F3"/>
    <w:rPr>
      <w:rFonts w:ascii="Courier New" w:eastAsia="Times New Roman" w:hAnsi="Courier New" w:cs="Courier New"/>
      <w:kern w:val="0"/>
      <w:sz w:val="20"/>
      <w:szCs w:val="20"/>
      <w:lang w:eastAsia="ru-RU"/>
      <w14:ligatures w14:val="none"/>
    </w:rPr>
  </w:style>
  <w:style w:type="character" w:customStyle="1" w:styleId="mixed-citation">
    <w:name w:val="mixed-citation"/>
    <w:basedOn w:val="a0"/>
    <w:rsid w:val="00EF53F3"/>
  </w:style>
  <w:style w:type="character" w:customStyle="1" w:styleId="ref-title">
    <w:name w:val="ref-title"/>
    <w:basedOn w:val="a0"/>
    <w:rsid w:val="00EF53F3"/>
  </w:style>
  <w:style w:type="character" w:customStyle="1" w:styleId="ref-journal">
    <w:name w:val="ref-journal"/>
    <w:basedOn w:val="a0"/>
    <w:rsid w:val="00EF53F3"/>
  </w:style>
  <w:style w:type="character" w:customStyle="1" w:styleId="ref-vol">
    <w:name w:val="ref-vol"/>
    <w:basedOn w:val="a0"/>
    <w:rsid w:val="00EF53F3"/>
  </w:style>
  <w:style w:type="character" w:customStyle="1" w:styleId="nowrap">
    <w:name w:val="nowrap"/>
    <w:basedOn w:val="a0"/>
    <w:rsid w:val="00EF53F3"/>
  </w:style>
  <w:style w:type="character" w:styleId="a3">
    <w:name w:val="Hyperlink"/>
    <w:basedOn w:val="a0"/>
    <w:uiPriority w:val="99"/>
    <w:unhideWhenUsed/>
    <w:rsid w:val="00EF53F3"/>
    <w:rPr>
      <w:color w:val="0000FF"/>
      <w:u w:val="single"/>
    </w:rPr>
  </w:style>
  <w:style w:type="character" w:styleId="a4">
    <w:name w:val="Unresolved Mention"/>
    <w:basedOn w:val="a0"/>
    <w:uiPriority w:val="99"/>
    <w:semiHidden/>
    <w:unhideWhenUsed/>
    <w:rsid w:val="00EF53F3"/>
    <w:rPr>
      <w:color w:val="605E5C"/>
      <w:shd w:val="clear" w:color="auto" w:fill="E1DFDD"/>
    </w:rPr>
  </w:style>
  <w:style w:type="paragraph" w:styleId="a5">
    <w:name w:val="Normal (Web)"/>
    <w:basedOn w:val="a"/>
    <w:uiPriority w:val="99"/>
    <w:unhideWhenUsed/>
    <w:rsid w:val="00EF53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1C1DEE"/>
    <w:rPr>
      <w:color w:val="954F72" w:themeColor="followedHyperlink"/>
      <w:u w:val="single"/>
    </w:rPr>
  </w:style>
  <w:style w:type="character" w:styleId="a7">
    <w:name w:val="line number"/>
    <w:basedOn w:val="a0"/>
    <w:uiPriority w:val="99"/>
    <w:semiHidden/>
    <w:unhideWhenUsed/>
    <w:rsid w:val="00EC3E53"/>
  </w:style>
  <w:style w:type="paragraph" w:styleId="a8">
    <w:name w:val="header"/>
    <w:basedOn w:val="a"/>
    <w:link w:val="a9"/>
    <w:uiPriority w:val="99"/>
    <w:unhideWhenUsed/>
    <w:rsid w:val="00B95E8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5E8E"/>
    <w:rPr>
      <w:kern w:val="0"/>
      <w14:ligatures w14:val="none"/>
    </w:rPr>
  </w:style>
  <w:style w:type="paragraph" w:styleId="aa">
    <w:name w:val="footer"/>
    <w:basedOn w:val="a"/>
    <w:link w:val="ab"/>
    <w:uiPriority w:val="99"/>
    <w:unhideWhenUsed/>
    <w:rsid w:val="00B95E8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5E8E"/>
    <w:rPr>
      <w:kern w:val="0"/>
      <w14:ligatures w14:val="none"/>
    </w:rPr>
  </w:style>
  <w:style w:type="paragraph" w:styleId="ac">
    <w:name w:val="List Paragraph"/>
    <w:basedOn w:val="a"/>
    <w:uiPriority w:val="34"/>
    <w:qFormat/>
    <w:rsid w:val="00431E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4362083/"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qnVotSWUwW1XUEAVkRCA3HBqfkvMVetg/edit?usp=sharing&amp;ouid=105509595749562341769&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CCCA4-0D6D-4DAD-89DC-D4CC0E3D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16327</Words>
  <Characters>93068</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Pusa Grande</dc:creator>
  <cp:keywords/>
  <dc:description/>
  <cp:lastModifiedBy>Pusa Grande</cp:lastModifiedBy>
  <cp:revision>2</cp:revision>
  <dcterms:created xsi:type="dcterms:W3CDTF">2024-02-04T18:08:00Z</dcterms:created>
  <dcterms:modified xsi:type="dcterms:W3CDTF">2024-02-04T18:08:00Z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http://csl.mendeley.com/styles/675338191/APT</vt:lpwstr>
  </property>
  <property fmtid="{D5CDD505-2E9C-101B-9397-08002B2CF9AE}" pid="3" name="Mendeley Recent Style Name 0_1">
    <vt:lpwstr>Aging Pathobiology and Therapeutics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http://csl.mendeley.com/styles/603038481/Biological-membranes</vt:lpwstr>
  </property>
  <property fmtid="{D5CDD505-2E9C-101B-9397-08002B2CF9AE}" pid="7" name="Mendeley Recent Style Name 2_1">
    <vt:lpwstr>Biomembrannes_Kolesnikov</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http://www.zotero.org/styles/earthquake-engineering-and-structural-dynamics</vt:lpwstr>
  </property>
  <property fmtid="{D5CDD505-2E9C-101B-9397-08002B2CF9AE}" pid="13" name="Mendeley Recent Style Name 5_1">
    <vt:lpwstr>Earthquake Engineering &amp; Structural Dynamics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http://csl.mendeley.com/styles/603038481/GostDoi-4</vt:lpwstr>
  </property>
  <property fmtid="{D5CDD505-2E9C-101B-9397-08002B2CF9AE}" pid="17" name="Mendeley Recent Style Name 7_1">
    <vt:lpwstr>International Journal of Simulation Modelling - Vladimir Kovalev</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b9d552f2-d51a-3536-8435-c68928ef0f30</vt:lpwstr>
  </property>
  <property fmtid="{D5CDD505-2E9C-101B-9397-08002B2CF9AE}" pid="24" name="Mendeley Citation Style_1">
    <vt:lpwstr>http://csl.mendeley.com/styles/675338191/APT</vt:lpwstr>
  </property>
</Properties>
</file>