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396A1" w14:textId="27414ABD" w:rsidR="00D54168" w:rsidRDefault="00D54168" w:rsidP="00B01E7F">
      <w:pPr>
        <w:pStyle w:val="HTML"/>
        <w:shd w:val="clear" w:color="auto" w:fill="FFFFFF"/>
        <w:rPr>
          <w:rFonts w:ascii="Times New Roman" w:hAnsi="Times New Roman" w:cs="Times New Roman"/>
          <w:b/>
          <w:bCs/>
          <w:color w:val="000000" w:themeColor="text1"/>
          <w:sz w:val="24"/>
          <w:szCs w:val="24"/>
          <w:lang w:val="en-US"/>
        </w:rPr>
      </w:pPr>
      <w:r w:rsidRPr="00D54168">
        <w:rPr>
          <w:rFonts w:ascii="Times New Roman" w:hAnsi="Times New Roman" w:cs="Times New Roman"/>
          <w:b/>
          <w:bCs/>
          <w:color w:val="000000" w:themeColor="text1"/>
          <w:sz w:val="24"/>
          <w:szCs w:val="24"/>
          <w:lang w:val="en-US"/>
        </w:rPr>
        <w:t>Research Article</w:t>
      </w:r>
    </w:p>
    <w:p w14:paraId="1869D086" w14:textId="707C02FD" w:rsidR="00D54168" w:rsidRPr="0066269D" w:rsidRDefault="00D54168" w:rsidP="00B01E7F">
      <w:pPr>
        <w:pStyle w:val="HTML"/>
        <w:shd w:val="clear" w:color="auto" w:fill="FFFFFF"/>
        <w:rPr>
          <w:rFonts w:ascii="Times New Roman" w:hAnsi="Times New Roman" w:cs="Times New Roman"/>
          <w:b/>
          <w:bCs/>
          <w:color w:val="000000" w:themeColor="text1"/>
          <w:sz w:val="28"/>
          <w:szCs w:val="28"/>
          <w:lang w:val="en-US"/>
        </w:rPr>
      </w:pPr>
      <w:r w:rsidRPr="0066269D">
        <w:rPr>
          <w:rFonts w:ascii="Times New Roman" w:hAnsi="Times New Roman" w:cs="Times New Roman"/>
          <w:b/>
          <w:bCs/>
          <w:color w:val="000000" w:themeColor="text1"/>
          <w:sz w:val="28"/>
          <w:szCs w:val="28"/>
          <w:lang w:val="en-US"/>
        </w:rPr>
        <w:t xml:space="preserve">Title: </w:t>
      </w:r>
      <w:r w:rsidR="0066269D" w:rsidRPr="0066269D">
        <w:rPr>
          <w:rFonts w:ascii="Times New Roman" w:hAnsi="Times New Roman" w:cs="Times New Roman"/>
          <w:b/>
          <w:bCs/>
          <w:color w:val="000000" w:themeColor="text1"/>
          <w:sz w:val="28"/>
          <w:szCs w:val="28"/>
          <w:lang w:val="en-US"/>
        </w:rPr>
        <w:t>Effects of mitochondrial fusion and fission regulation on mouse hippocampal primary cultures: relevance to Alzheimer's disease</w:t>
      </w:r>
    </w:p>
    <w:p w14:paraId="45FA8F84" w14:textId="27CF718B" w:rsidR="00D54168" w:rsidRPr="00D1548A" w:rsidRDefault="0066269D" w:rsidP="00B01E7F">
      <w:pPr>
        <w:pStyle w:val="HTML"/>
        <w:shd w:val="clear" w:color="auto" w:fill="FFFFFF"/>
        <w:rPr>
          <w:rFonts w:ascii="Times New Roman" w:hAnsi="Times New Roman" w:cs="Times New Roman"/>
          <w:b/>
          <w:bCs/>
          <w:color w:val="000000" w:themeColor="text1"/>
          <w:sz w:val="24"/>
          <w:szCs w:val="24"/>
          <w:vertAlign w:val="superscript"/>
          <w:lang w:val="en-US"/>
        </w:rPr>
      </w:pPr>
      <w:r w:rsidRPr="00D1548A">
        <w:rPr>
          <w:rFonts w:ascii="Times New Roman" w:hAnsi="Times New Roman" w:cs="Times New Roman"/>
          <w:b/>
          <w:bCs/>
          <w:color w:val="000000" w:themeColor="text1"/>
          <w:sz w:val="24"/>
          <w:szCs w:val="24"/>
          <w:lang w:val="en-US"/>
        </w:rPr>
        <w:t xml:space="preserve">A. V. </w:t>
      </w:r>
      <w:proofErr w:type="spellStart"/>
      <w:r w:rsidRPr="00D1548A">
        <w:rPr>
          <w:rFonts w:ascii="Times New Roman" w:hAnsi="Times New Roman" w:cs="Times New Roman"/>
          <w:b/>
          <w:bCs/>
          <w:color w:val="000000" w:themeColor="text1"/>
          <w:sz w:val="24"/>
          <w:szCs w:val="24"/>
          <w:lang w:val="en-US"/>
        </w:rPr>
        <w:t>Chaplygina</w:t>
      </w:r>
      <w:r w:rsidRPr="00D1548A">
        <w:rPr>
          <w:rFonts w:ascii="Times New Roman" w:hAnsi="Times New Roman" w:cs="Times New Roman"/>
          <w:b/>
          <w:bCs/>
          <w:color w:val="000000" w:themeColor="text1"/>
          <w:sz w:val="24"/>
          <w:szCs w:val="24"/>
          <w:vertAlign w:val="superscript"/>
          <w:lang w:val="en-US"/>
        </w:rPr>
        <w:t>a</w:t>
      </w:r>
      <w:proofErr w:type="spellEnd"/>
      <w:r w:rsidRPr="00D1548A">
        <w:rPr>
          <w:rFonts w:ascii="Times New Roman" w:hAnsi="Times New Roman" w:cs="Times New Roman"/>
          <w:b/>
          <w:bCs/>
          <w:color w:val="000000" w:themeColor="text1"/>
          <w:sz w:val="24"/>
          <w:szCs w:val="24"/>
          <w:lang w:val="en-US"/>
        </w:rPr>
        <w:t xml:space="preserve">, D. Y. </w:t>
      </w:r>
      <w:proofErr w:type="spellStart"/>
      <w:r w:rsidRPr="00D1548A">
        <w:rPr>
          <w:rFonts w:ascii="Times New Roman" w:hAnsi="Times New Roman" w:cs="Times New Roman"/>
          <w:b/>
          <w:bCs/>
          <w:color w:val="000000" w:themeColor="text1"/>
          <w:sz w:val="24"/>
          <w:szCs w:val="24"/>
          <w:lang w:val="en-US"/>
        </w:rPr>
        <w:t>Zhdanova</w:t>
      </w:r>
      <w:r w:rsidRPr="00D1548A">
        <w:rPr>
          <w:rFonts w:ascii="Times New Roman" w:hAnsi="Times New Roman" w:cs="Times New Roman"/>
          <w:b/>
          <w:bCs/>
          <w:color w:val="000000" w:themeColor="text1"/>
          <w:sz w:val="24"/>
          <w:szCs w:val="24"/>
          <w:vertAlign w:val="superscript"/>
          <w:lang w:val="en-US"/>
        </w:rPr>
        <w:t>a</w:t>
      </w:r>
      <w:proofErr w:type="spellEnd"/>
    </w:p>
    <w:p w14:paraId="279DC229" w14:textId="1CC26967" w:rsidR="0066269D" w:rsidRPr="00D1548A" w:rsidRDefault="0066269D" w:rsidP="00B01E7F">
      <w:pPr>
        <w:pStyle w:val="HTML"/>
        <w:shd w:val="clear" w:color="auto" w:fill="FFFFFF"/>
        <w:rPr>
          <w:rFonts w:ascii="Times New Roman" w:hAnsi="Times New Roman" w:cs="Times New Roman"/>
          <w:i/>
          <w:iCs/>
          <w:color w:val="000000" w:themeColor="text1"/>
          <w:sz w:val="24"/>
          <w:szCs w:val="24"/>
          <w:lang w:val="en-US"/>
        </w:rPr>
      </w:pPr>
      <w:proofErr w:type="spellStart"/>
      <w:proofErr w:type="gramStart"/>
      <w:r w:rsidRPr="00D1548A">
        <w:rPr>
          <w:rFonts w:ascii="Times New Roman" w:hAnsi="Times New Roman" w:cs="Times New Roman"/>
          <w:i/>
          <w:iCs/>
          <w:color w:val="000000" w:themeColor="text1"/>
          <w:sz w:val="24"/>
          <w:szCs w:val="24"/>
          <w:vertAlign w:val="superscript"/>
          <w:lang w:val="en-US"/>
        </w:rPr>
        <w:t>a</w:t>
      </w:r>
      <w:proofErr w:type="spellEnd"/>
      <w:proofErr w:type="gramEnd"/>
      <w:r w:rsidR="00D1548A" w:rsidRPr="00D1548A">
        <w:rPr>
          <w:lang w:val="en-US"/>
        </w:rPr>
        <w:t xml:space="preserve"> </w:t>
      </w:r>
      <w:r w:rsidR="00D1548A" w:rsidRPr="00D1548A">
        <w:rPr>
          <w:rFonts w:ascii="Times New Roman" w:hAnsi="Times New Roman" w:cs="Times New Roman"/>
          <w:i/>
          <w:iCs/>
          <w:color w:val="000000" w:themeColor="text1"/>
          <w:sz w:val="24"/>
          <w:szCs w:val="24"/>
          <w:lang w:val="en-US"/>
        </w:rPr>
        <w:t xml:space="preserve">Institute of Cell Biophysics, Russian Academy of Sciences — a Separate Division of Federal Research Center </w:t>
      </w:r>
      <w:proofErr w:type="spellStart"/>
      <w:r w:rsidR="00D1548A" w:rsidRPr="00D1548A">
        <w:rPr>
          <w:rFonts w:ascii="Times New Roman" w:hAnsi="Times New Roman" w:cs="Times New Roman"/>
          <w:i/>
          <w:iCs/>
          <w:color w:val="000000" w:themeColor="text1"/>
          <w:sz w:val="24"/>
          <w:szCs w:val="24"/>
          <w:lang w:val="en-US"/>
        </w:rPr>
        <w:t>Pushchino</w:t>
      </w:r>
      <w:proofErr w:type="spellEnd"/>
      <w:r w:rsidR="00D1548A" w:rsidRPr="00D1548A">
        <w:rPr>
          <w:rFonts w:ascii="Times New Roman" w:hAnsi="Times New Roman" w:cs="Times New Roman"/>
          <w:i/>
          <w:iCs/>
          <w:color w:val="000000" w:themeColor="text1"/>
          <w:sz w:val="24"/>
          <w:szCs w:val="24"/>
          <w:lang w:val="en-US"/>
        </w:rPr>
        <w:t xml:space="preserve"> Research Center for Biological Studies, Russian Academy of Sciences (ICB RAS)</w:t>
      </w:r>
      <w:r w:rsidRPr="00D1548A">
        <w:rPr>
          <w:rFonts w:ascii="Times New Roman" w:hAnsi="Times New Roman" w:cs="Times New Roman"/>
          <w:i/>
          <w:iCs/>
          <w:color w:val="000000" w:themeColor="text1"/>
          <w:sz w:val="24"/>
          <w:szCs w:val="24"/>
          <w:lang w:val="en-US"/>
        </w:rPr>
        <w:t>, 142290 Russia</w:t>
      </w:r>
    </w:p>
    <w:p w14:paraId="54564715" w14:textId="74018F01" w:rsidR="0066269D" w:rsidRDefault="0066269D" w:rsidP="00B01E7F">
      <w:pPr>
        <w:pStyle w:val="HTML"/>
        <w:shd w:val="clear" w:color="auto" w:fill="FFFFFF"/>
        <w:rPr>
          <w:rFonts w:ascii="Times New Roman" w:hAnsi="Times New Roman" w:cs="Times New Roman"/>
          <w:color w:val="000000" w:themeColor="text1"/>
          <w:sz w:val="24"/>
          <w:szCs w:val="24"/>
          <w:lang w:val="en-US"/>
        </w:rPr>
      </w:pPr>
      <w:r w:rsidRPr="00D1548A">
        <w:rPr>
          <w:rFonts w:ascii="Times New Roman" w:hAnsi="Times New Roman" w:cs="Times New Roman"/>
          <w:b/>
          <w:bCs/>
          <w:color w:val="000000" w:themeColor="text1"/>
          <w:sz w:val="24"/>
          <w:szCs w:val="24"/>
          <w:lang w:val="en-US"/>
        </w:rPr>
        <w:t xml:space="preserve">Correspondence to: </w:t>
      </w:r>
      <w:r w:rsidRPr="00D1548A">
        <w:rPr>
          <w:rFonts w:ascii="Times New Roman" w:hAnsi="Times New Roman" w:cs="Times New Roman"/>
          <w:color w:val="000000" w:themeColor="text1"/>
          <w:sz w:val="24"/>
          <w:szCs w:val="24"/>
          <w:lang w:val="en-US"/>
        </w:rPr>
        <w:t>A.V. Chaplygina, Institute of Cell Biophysics, Russian Academy of Sciences</w:t>
      </w:r>
      <w:r w:rsidR="00D1548A" w:rsidRPr="00D1548A">
        <w:rPr>
          <w:rFonts w:ascii="Times New Roman" w:hAnsi="Times New Roman" w:cs="Times New Roman"/>
          <w:color w:val="000000" w:themeColor="text1"/>
          <w:sz w:val="24"/>
          <w:szCs w:val="24"/>
          <w:lang w:val="en-US"/>
        </w:rPr>
        <w:t xml:space="preserve"> </w:t>
      </w:r>
      <w:r w:rsidR="00D1548A" w:rsidRPr="00D1548A">
        <w:rPr>
          <w:rFonts w:ascii="Times New Roman" w:hAnsi="Times New Roman" w:cs="Times New Roman"/>
          <w:i/>
          <w:iCs/>
          <w:color w:val="000000" w:themeColor="text1"/>
          <w:sz w:val="24"/>
          <w:szCs w:val="24"/>
          <w:lang w:val="en-US"/>
        </w:rPr>
        <w:t xml:space="preserve">— a Separate Division of Federal Research Center </w:t>
      </w:r>
      <w:proofErr w:type="spellStart"/>
      <w:r w:rsidR="00D1548A" w:rsidRPr="00D1548A">
        <w:rPr>
          <w:rFonts w:ascii="Times New Roman" w:hAnsi="Times New Roman" w:cs="Times New Roman"/>
          <w:i/>
          <w:iCs/>
          <w:color w:val="000000" w:themeColor="text1"/>
          <w:sz w:val="24"/>
          <w:szCs w:val="24"/>
          <w:lang w:val="en-US"/>
        </w:rPr>
        <w:t>Pushchino</w:t>
      </w:r>
      <w:proofErr w:type="spellEnd"/>
      <w:r w:rsidR="00D1548A" w:rsidRPr="00D1548A">
        <w:rPr>
          <w:rFonts w:ascii="Times New Roman" w:hAnsi="Times New Roman" w:cs="Times New Roman"/>
          <w:i/>
          <w:iCs/>
          <w:color w:val="000000" w:themeColor="text1"/>
          <w:sz w:val="24"/>
          <w:szCs w:val="24"/>
          <w:lang w:val="en-US"/>
        </w:rPr>
        <w:t xml:space="preserve"> Research Center for Biological Studies, Russian Academy of Sciences</w:t>
      </w:r>
      <w:r w:rsidRPr="00D1548A">
        <w:rPr>
          <w:rFonts w:ascii="Times New Roman" w:hAnsi="Times New Roman" w:cs="Times New Roman"/>
          <w:color w:val="000000" w:themeColor="text1"/>
          <w:sz w:val="24"/>
          <w:szCs w:val="24"/>
          <w:lang w:val="en-US"/>
        </w:rPr>
        <w:t xml:space="preserve">, </w:t>
      </w:r>
      <w:proofErr w:type="spellStart"/>
      <w:r w:rsidRPr="00286D49">
        <w:rPr>
          <w:rFonts w:ascii="Times New Roman" w:hAnsi="Times New Roman" w:cs="Times New Roman"/>
          <w:i/>
          <w:iCs/>
          <w:color w:val="000000" w:themeColor="text1"/>
          <w:sz w:val="24"/>
          <w:szCs w:val="24"/>
          <w:lang w:val="en-US"/>
        </w:rPr>
        <w:t>Pushchino</w:t>
      </w:r>
      <w:proofErr w:type="spellEnd"/>
      <w:r w:rsidRPr="00286D49">
        <w:rPr>
          <w:rFonts w:ascii="Times New Roman" w:hAnsi="Times New Roman" w:cs="Times New Roman"/>
          <w:i/>
          <w:iCs/>
          <w:color w:val="000000" w:themeColor="text1"/>
          <w:sz w:val="24"/>
          <w:szCs w:val="24"/>
          <w:lang w:val="en-US"/>
        </w:rPr>
        <w:t xml:space="preserve">, </w:t>
      </w:r>
      <w:r w:rsidR="00D1548A" w:rsidRPr="00286D49">
        <w:rPr>
          <w:rFonts w:ascii="Times New Roman" w:hAnsi="Times New Roman" w:cs="Times New Roman"/>
          <w:i/>
          <w:iCs/>
          <w:color w:val="000000" w:themeColor="text1"/>
          <w:sz w:val="24"/>
          <w:szCs w:val="24"/>
          <w:lang w:val="en-US"/>
        </w:rPr>
        <w:t>Moscow region,</w:t>
      </w:r>
      <w:r w:rsidRPr="00286D49">
        <w:rPr>
          <w:rFonts w:ascii="Times New Roman" w:hAnsi="Times New Roman" w:cs="Times New Roman"/>
          <w:i/>
          <w:iCs/>
          <w:color w:val="000000" w:themeColor="text1"/>
          <w:sz w:val="24"/>
          <w:szCs w:val="24"/>
          <w:lang w:val="en-US"/>
        </w:rPr>
        <w:t xml:space="preserve"> 142290 Russia</w:t>
      </w:r>
    </w:p>
    <w:p w14:paraId="3BE4C7C0" w14:textId="09BC7FA8" w:rsidR="0066269D" w:rsidRDefault="0066269D" w:rsidP="00B01E7F">
      <w:pPr>
        <w:pStyle w:val="HTML"/>
        <w:shd w:val="clear" w:color="auto" w:fill="FFFFFF"/>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e-mail: shadowhao@yandex.ru</w:t>
      </w:r>
    </w:p>
    <w:p w14:paraId="55860EDF" w14:textId="40BDA1F2" w:rsidR="00EF53F3" w:rsidRPr="00B95E8E" w:rsidRDefault="00EF53F3" w:rsidP="00B01E7F">
      <w:pPr>
        <w:pStyle w:val="HTML"/>
        <w:shd w:val="clear" w:color="auto" w:fill="FFFFFF"/>
        <w:rPr>
          <w:rFonts w:ascii="Times New Roman" w:hAnsi="Times New Roman" w:cs="Times New Roman"/>
          <w:b/>
          <w:bCs/>
          <w:color w:val="000000" w:themeColor="text1"/>
          <w:sz w:val="24"/>
          <w:szCs w:val="24"/>
          <w:lang w:val="en-US"/>
        </w:rPr>
      </w:pPr>
      <w:r w:rsidRPr="00B95E8E">
        <w:rPr>
          <w:rFonts w:ascii="Times New Roman" w:hAnsi="Times New Roman" w:cs="Times New Roman"/>
          <w:b/>
          <w:bCs/>
          <w:color w:val="000000" w:themeColor="text1"/>
          <w:sz w:val="24"/>
          <w:szCs w:val="24"/>
          <w:lang w:val="en-US"/>
        </w:rPr>
        <w:t>Abstract.</w:t>
      </w:r>
    </w:p>
    <w:p w14:paraId="3465F199" w14:textId="7BACBA6B" w:rsidR="00075881" w:rsidRPr="00EC3E53" w:rsidRDefault="00EF53F3" w:rsidP="00B01E7F">
      <w:pPr>
        <w:spacing w:line="240" w:lineRule="auto"/>
        <w:rPr>
          <w:rFonts w:ascii="Times New Roman" w:hAnsi="Times New Roman" w:cs="Times New Roman"/>
          <w:sz w:val="24"/>
          <w:szCs w:val="24"/>
          <w:lang w:val="en-US"/>
        </w:rPr>
      </w:pPr>
      <w:r w:rsidRPr="00B95E8E">
        <w:rPr>
          <w:rFonts w:ascii="Times New Roman" w:hAnsi="Times New Roman" w:cs="Times New Roman"/>
          <w:b/>
          <w:bCs/>
          <w:color w:val="000000" w:themeColor="text1"/>
          <w:sz w:val="24"/>
          <w:szCs w:val="24"/>
          <w:lang w:val="en-US"/>
        </w:rPr>
        <w:t>Background:</w:t>
      </w:r>
      <w:r w:rsidRPr="00EC3E53">
        <w:rPr>
          <w:rFonts w:ascii="Times New Roman" w:hAnsi="Times New Roman" w:cs="Times New Roman"/>
          <w:color w:val="000000" w:themeColor="text1"/>
          <w:sz w:val="24"/>
          <w:szCs w:val="24"/>
          <w:lang w:val="en-US"/>
        </w:rPr>
        <w:t xml:space="preserve"> </w:t>
      </w:r>
      <w:r w:rsidRPr="00EC3E53">
        <w:rPr>
          <w:rFonts w:ascii="Times New Roman" w:hAnsi="Times New Roman" w:cs="Times New Roman"/>
          <w:sz w:val="24"/>
          <w:szCs w:val="24"/>
          <w:lang w:val="en-US"/>
        </w:rPr>
        <w:t>Alzheimer's disease is a complex disease that begins long before the first well-known pathophysiological signs appear and requires, among other things, new diagnostic approaches. This is primarily due to the lack of effective treatment due to the lack of understanding of the disease mechanisms and the absence of correct biological models reflecting the cause-and-effect relationships in pathogenesis. One of the dysfunctional changes in AD is the disruption of mitochondrial fission and fusion processes.</w:t>
      </w:r>
    </w:p>
    <w:p w14:paraId="62CA365D" w14:textId="2A53AF23" w:rsidR="00EF53F3" w:rsidRPr="00EC3E53" w:rsidRDefault="00EF53F3" w:rsidP="00B01E7F">
      <w:pPr>
        <w:spacing w:line="240" w:lineRule="auto"/>
        <w:rPr>
          <w:rFonts w:ascii="Times New Roman" w:hAnsi="Times New Roman" w:cs="Times New Roman"/>
          <w:sz w:val="24"/>
          <w:szCs w:val="24"/>
          <w:lang w:val="en-US"/>
        </w:rPr>
      </w:pPr>
      <w:r w:rsidRPr="00B95E8E">
        <w:rPr>
          <w:rFonts w:ascii="Times New Roman" w:hAnsi="Times New Roman" w:cs="Times New Roman"/>
          <w:b/>
          <w:bCs/>
          <w:sz w:val="24"/>
          <w:szCs w:val="24"/>
          <w:lang w:val="en-US"/>
        </w:rPr>
        <w:t>Methods:</w:t>
      </w:r>
      <w:r w:rsidRPr="00EC3E53">
        <w:rPr>
          <w:rFonts w:ascii="Times New Roman" w:hAnsi="Times New Roman" w:cs="Times New Roman"/>
          <w:sz w:val="24"/>
          <w:szCs w:val="24"/>
          <w:lang w:val="en-US"/>
        </w:rPr>
        <w:t xml:space="preserve"> In this study, mitochondrial fusion and fission were regulated in primary neuro-astrocytic cultures of mouse hippocampus using mitochondrial fission inhibitor, mitochondrial fusion promoter and exogenous zinc. Changes in mitochondrial and cellular morphology were assessed, as well as lipofuscin levels as an early marker of mitochondrial dysfunction. Primary neuro-astrocytic hippocampal cultures of </w:t>
      </w:r>
      <w:r w:rsidR="00B82255" w:rsidRPr="00EC3E53">
        <w:rPr>
          <w:rFonts w:ascii="Times New Roman" w:hAnsi="Times New Roman" w:cs="Times New Roman"/>
          <w:sz w:val="24"/>
          <w:szCs w:val="24"/>
          <w:lang w:val="en-US"/>
        </w:rPr>
        <w:t xml:space="preserve">5xFAD </w:t>
      </w:r>
      <w:r w:rsidRPr="00EC3E53">
        <w:rPr>
          <w:rFonts w:ascii="Times New Roman" w:hAnsi="Times New Roman" w:cs="Times New Roman"/>
          <w:sz w:val="24"/>
          <w:szCs w:val="24"/>
          <w:lang w:val="en-US"/>
        </w:rPr>
        <w:t xml:space="preserve">mice, </w:t>
      </w:r>
      <w:r w:rsidR="009C4122" w:rsidRPr="009C4122">
        <w:rPr>
          <w:rFonts w:ascii="Times New Roman" w:hAnsi="Times New Roman" w:cs="Times New Roman"/>
          <w:sz w:val="24"/>
          <w:szCs w:val="24"/>
          <w:lang w:val="en-US"/>
        </w:rPr>
        <w:t xml:space="preserve">representing a model of hereditary </w:t>
      </w:r>
      <w:r w:rsidR="009C4122">
        <w:rPr>
          <w:rFonts w:ascii="Times New Roman" w:hAnsi="Times New Roman" w:cs="Times New Roman"/>
          <w:sz w:val="24"/>
          <w:szCs w:val="24"/>
          <w:lang w:val="en-US"/>
        </w:rPr>
        <w:t>AD</w:t>
      </w:r>
      <w:r w:rsidRPr="00EC3E53">
        <w:rPr>
          <w:rFonts w:ascii="Times New Roman" w:hAnsi="Times New Roman" w:cs="Times New Roman"/>
          <w:sz w:val="24"/>
          <w:szCs w:val="24"/>
          <w:lang w:val="en-US"/>
        </w:rPr>
        <w:t>, were used for comparison.</w:t>
      </w:r>
    </w:p>
    <w:p w14:paraId="162A0AF7" w14:textId="313B268B" w:rsidR="00EF53F3" w:rsidRPr="00EC3E53" w:rsidRDefault="00EF53F3" w:rsidP="00B01E7F">
      <w:pPr>
        <w:spacing w:line="240" w:lineRule="auto"/>
        <w:rPr>
          <w:rFonts w:ascii="Times New Roman" w:hAnsi="Times New Roman" w:cs="Times New Roman"/>
          <w:sz w:val="24"/>
          <w:szCs w:val="24"/>
          <w:lang w:val="en-US"/>
        </w:rPr>
      </w:pPr>
      <w:r w:rsidRPr="00B95E8E">
        <w:rPr>
          <w:rFonts w:ascii="Times New Roman" w:hAnsi="Times New Roman" w:cs="Times New Roman"/>
          <w:b/>
          <w:bCs/>
          <w:sz w:val="24"/>
          <w:szCs w:val="24"/>
          <w:lang w:val="en-US"/>
        </w:rPr>
        <w:t>Results:</w:t>
      </w:r>
      <w:r w:rsidRPr="00EC3E53">
        <w:rPr>
          <w:rFonts w:ascii="Times New Roman" w:hAnsi="Times New Roman" w:cs="Times New Roman"/>
          <w:sz w:val="24"/>
          <w:szCs w:val="24"/>
          <w:lang w:val="en-US"/>
        </w:rPr>
        <w:t xml:space="preserve"> Use of the mitochondrial fusion promoter converts the mitochondrial network to a pool of fused mitochondria and results in a drop in neuronal density by day 5 of exposure with a concomitant drop in astrocyte density by days 1 and 5 of exposure, accompanied by a drop in lipofuscin fluorescence intensity in culture. The use of mitochondrial fission inhibitor resulted in the appearance of fused mitochondria and disappearance of the pool of smallest mitochondria. This was accompanied by a decrease in neuronal density and an increase in astrocyte density with a concomitant increase in lipofuscin fluorescence intensity to the level of 5xFAD culture. Exogenous zinc induces mitochondrial fragmentation and at high concentrations leads to compensatory astrogliosis and neurodegeneration, while at low concentrations it decreases lipofuscin fluorescence intensity and affects culture morphology and changes in astrocyte immunoreactivity to GFAP.</w:t>
      </w:r>
    </w:p>
    <w:p w14:paraId="25F25FBF" w14:textId="67D563CC" w:rsidR="00B95E8E" w:rsidRPr="00EC3E53" w:rsidRDefault="00EF53F3" w:rsidP="00B01E7F">
      <w:pPr>
        <w:spacing w:line="240" w:lineRule="auto"/>
        <w:rPr>
          <w:rFonts w:ascii="Times New Roman" w:hAnsi="Times New Roman" w:cs="Times New Roman"/>
          <w:sz w:val="24"/>
          <w:szCs w:val="24"/>
          <w:lang w:val="en-US"/>
        </w:rPr>
      </w:pPr>
      <w:r w:rsidRPr="00B95E8E">
        <w:rPr>
          <w:rFonts w:ascii="Times New Roman" w:hAnsi="Times New Roman" w:cs="Times New Roman"/>
          <w:b/>
          <w:bCs/>
          <w:sz w:val="24"/>
          <w:szCs w:val="24"/>
          <w:lang w:val="en-US"/>
        </w:rPr>
        <w:t>Conclusions:</w:t>
      </w:r>
      <w:r w:rsidRPr="00EC3E53">
        <w:rPr>
          <w:rFonts w:ascii="Times New Roman" w:hAnsi="Times New Roman" w:cs="Times New Roman"/>
          <w:sz w:val="24"/>
          <w:szCs w:val="24"/>
          <w:lang w:val="en-US"/>
        </w:rPr>
        <w:t xml:space="preserve"> The study demonstrates that changing the processes of mitochondrial dynamics affects the morphology </w:t>
      </w:r>
      <w:r w:rsidRPr="00D1548A">
        <w:rPr>
          <w:rFonts w:ascii="Times New Roman" w:hAnsi="Times New Roman" w:cs="Times New Roman"/>
          <w:sz w:val="24"/>
          <w:szCs w:val="24"/>
          <w:lang w:val="en-US"/>
        </w:rPr>
        <w:t>of adult cell cultures and can lead to processes similar to those observed in 5xFAD transgenic cultures.</w:t>
      </w:r>
    </w:p>
    <w:p w14:paraId="7421CCD3" w14:textId="77777777" w:rsidR="00431E91" w:rsidRDefault="00EF53F3" w:rsidP="00B01E7F">
      <w:pPr>
        <w:spacing w:line="240" w:lineRule="auto"/>
        <w:rPr>
          <w:rFonts w:ascii="Times New Roman" w:hAnsi="Times New Roman" w:cs="Times New Roman"/>
          <w:sz w:val="24"/>
          <w:szCs w:val="24"/>
          <w:lang w:val="en-US"/>
        </w:rPr>
      </w:pPr>
      <w:r w:rsidRPr="00B95E8E">
        <w:rPr>
          <w:rFonts w:ascii="Times New Roman" w:hAnsi="Times New Roman" w:cs="Times New Roman"/>
          <w:b/>
          <w:bCs/>
          <w:sz w:val="24"/>
          <w:szCs w:val="24"/>
          <w:lang w:val="en-US"/>
        </w:rPr>
        <w:t>Keywords:</w:t>
      </w:r>
      <w:r w:rsidRPr="00EC3E53">
        <w:rPr>
          <w:rFonts w:ascii="Times New Roman" w:hAnsi="Times New Roman" w:cs="Times New Roman"/>
          <w:sz w:val="24"/>
          <w:szCs w:val="24"/>
          <w:lang w:val="en-US"/>
        </w:rPr>
        <w:t xml:space="preserve"> mitochondria, mitochondrial fusion and fission, 5xFAD, lipofuscin, Alzheimer's disease, primary hippocampal culture</w:t>
      </w:r>
    </w:p>
    <w:p w14:paraId="1B767B0A" w14:textId="1BB1911B" w:rsidR="00431E91" w:rsidRPr="00431E91" w:rsidRDefault="00431E91" w:rsidP="00B01E7F">
      <w:pPr>
        <w:spacing w:line="24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1. </w:t>
      </w:r>
      <w:r w:rsidR="00B95E8E" w:rsidRPr="00431E91">
        <w:rPr>
          <w:rFonts w:ascii="Times New Roman" w:hAnsi="Times New Roman" w:cs="Times New Roman"/>
          <w:b/>
          <w:bCs/>
          <w:color w:val="000000" w:themeColor="text1"/>
          <w:sz w:val="24"/>
          <w:szCs w:val="24"/>
          <w:lang w:val="en-US"/>
        </w:rPr>
        <w:t>INTRODUCTION</w:t>
      </w:r>
    </w:p>
    <w:p w14:paraId="577DA68D" w14:textId="4AB84D33" w:rsidR="00EF53F3" w:rsidRPr="00431E91" w:rsidRDefault="00EF53F3" w:rsidP="00B01E7F">
      <w:pPr>
        <w:spacing w:line="240" w:lineRule="auto"/>
        <w:rPr>
          <w:rFonts w:ascii="Times New Roman" w:hAnsi="Times New Roman" w:cs="Times New Roman"/>
          <w:color w:val="000000" w:themeColor="text1"/>
          <w:sz w:val="24"/>
          <w:szCs w:val="24"/>
          <w:lang w:val="en-US"/>
        </w:rPr>
      </w:pPr>
      <w:r w:rsidRPr="00431E91">
        <w:rPr>
          <w:rFonts w:ascii="Times New Roman" w:hAnsi="Times New Roman" w:cs="Times New Roman"/>
          <w:sz w:val="24"/>
          <w:szCs w:val="24"/>
          <w:lang w:val="en-US"/>
        </w:rPr>
        <w:t xml:space="preserve">Alzheimer's disease (AD) is one of the most common neurodegenerative diseases associated with impaired cognitive function and progressive neuronal loss. Currently, researchers have no doubts that mitochondria are involved in the pathogenesis of AD; moreover, there are hypotheses that place mitochondrial dysfunction in the leading role in the onset of AD </w:t>
      </w:r>
      <w:r w:rsidR="001E2BA3" w:rsidRPr="00431E91">
        <w:rPr>
          <w:rFonts w:ascii="Times New Roman" w:hAnsi="Times New Roman" w:cs="Times New Roman"/>
          <w:color w:val="000000" w:themeColor="text1"/>
          <w:sz w:val="24"/>
          <w:szCs w:val="24"/>
          <w:lang w:val="en-US"/>
        </w:rPr>
        <w:fldChar w:fldCharType="begin" w:fldLock="1"/>
      </w:r>
      <w:r w:rsidR="00846CBD" w:rsidRPr="00431E91">
        <w:rPr>
          <w:rFonts w:ascii="Times New Roman" w:hAnsi="Times New Roman" w:cs="Times New Roman"/>
          <w:color w:val="000000" w:themeColor="text1"/>
          <w:sz w:val="24"/>
          <w:szCs w:val="24"/>
          <w:lang w:val="en-US"/>
        </w:rPr>
        <w:instrText>ADDIN CSL_CITATION {"citationItems":[{"id":"ITEM-1","itemData":{"DOI":"10.1186/s13024-020-00376-6","ISSN":"1750-1326 (Electronic)","PMID":"32471464","abstract":"Alzheimer's disease (AD) is one of the most prevalent neurodegenerative diseases,  characterized by impaired cognitive function due to progressive loss of neurons in the brain. Under the microscope, neuronal accumulation of abnormal tau proteins and amyloid plaques are two pathological hallmarks in affected brain regions. Although the detailed mechanism of the pathogenesis of AD is still elusive, a large body of evidence suggests that damaged mitochondria likely play fundamental roles in the pathogenesis of AD. It is believed that a healthy pool of mitochondria not only supports neuronal activity by providing enough energy supply and other related mitochondrial functions to neurons, but also guards neurons by minimizing mitochondrial related oxidative damage. In this regard, exploration of the multitude of mitochondrial mechanisms altered in the pathogenesis of AD constitutes novel promising therapeutic targets for the disease. In this review, we will summarize recent progress that underscores the essential role of mitochondria dysfunction in the pathogenesis of AD and discuss mechanisms underlying mitochondrial dysfunction with a focus on the loss of mitochondrial structural and functional integrity in AD including mitochondrial biogenesis and dynamics, axonal transport, ER-mitochondria interaction, mitophagy and mitochondrial proteostasis.","author":[{"dropping-particle":"","family":"Wang","given":"Wenzhang","non-dropping-particle":"","parse-names":false,"suffix":""},{"dropping-particle":"","family":"Zhao","given":"Fanpeng","non-dropping-particle":"","parse-names":false,"suffix":""},{"dropping-particle":"","family":"Ma","given":"Xiaopin","non-dropping-particle":"","parse-names":false,"suffix":""},{"dropping-particle":"","family":"Perry","given":"George","non-dropping-particle":"","parse-names":false,"suffix":""},{"dropping-particle":"","family":"Zhu","given":"Xiongwei","non-dropping-particle":"","parse-names":false,"suffix":""}],"container-title":"Molecular neurodegeneration","id":"ITEM-1","issue":"1","issued":{"date-parts":[["2020","5"]]},"language":"eng","page":"30","publisher-place":"England","title":"Mitochondria dysfunction in the pathogenesis of Alzheimer's disease: recent  advances.","type":"article-journal","volume":"15"},"uris":["http://www.mendeley.com/documents/?uuid=50ea7172-4cac-4026-beb2-bc22d6fc5747"]},{"id":"ITEM-2","itemData":{"DOI":"10.1089/ars.2019.7763","ISSN":"1557-7716 (Electronic)","PMID":"32050773","abstract":"Significance: Epidemiological studies indicate that metabolic disorders are  associated with an increased risk for Alzheimer's disease (AD). Metabolic remodeling occurs in the central nervous system (CNS) and periphery, even in the early stages of AD. Mitochondrial dysfunction has been widely accepted as a molecular mechanism underlying metabolic disorders. Therefore, focusing on early metabolic changes, especially from the perspective of mitochondria, could be of interest for early AD diagnosis and intervention. Recent Advances: We and others have identified that the levels of several metabolites are fluctuated in the periphery before their accumulation in the CNS, which plays an important role in the pathogenesis of AD. Mitochondrial remodeling is likely one of the earliest signs of AD, linking nutritional imbalance to cognitive deficits. Notably, by improving mitochondrial function, mitochondrial nutrients efficiently rescue cellular metabolic dysfunction in the CNS and periphery in individuals with AD. Critical Issues: Peripheral metabolic disorders should be intensively explored and evaluated for the early diagnosis of AD. The circulating metabolites derived from mitochondrial remodeling represent novel potential diagnostic biomarkers for AD that are more readily detected than CNS-oriented biomarkers. Moreover, mitochondrial nutrients provide a promising approach to preventing and delaying AD progression. Future Directions: Abnormal mitochondrial metabolism in the CNS and periphery is involved in AD pathogenesis. More clinical studies provide evidence for the suitability and reliability of circulating metabolites and cytokines for the early diagnosis of AD. Targeting mitochondria to rewire cellular metabolism is a promising approach to preventing AD and ameliorating AD-related metabolic disorders.","author":[{"dropping-particle":"","family":"Peng","given":"Yunhua","non-dropping-particle":"","parse-names":false,"suffix":""},{"dropping-particle":"","family":"Gao","given":"Peipei","non-dropping-particle":"","parse-names":false,"suffix":""},{"dropping-particle":"","family":"Shi","given":"Le","non-dropping-particle":"","parse-names":false,"suffix":""},{"dropping-particle":"","family":"Chen","given":"Lei","non-dropping-particle":"","parse-names":false,"suffix":""},{"dropping-particle":"","family":"Liu","given":"Jiankang","non-dropping-particle":"","parse-names":false,"suffix":""},{"dropping-particle":"","family":"Long","given":"Jiangang","non-dropping-particle":"","parse-names":false,"suffix":""}],"container-title":"Antioxidants &amp; redox signaling","id":"ITEM-2","issue":"16","issued":{"date-parts":[["2020","6"]]},"language":"eng","page":"1188-1236","publisher-place":"United States","title":"Central and Peripheral Metabolic Defects Contribute to the Pathogenesis of  Alzheimer's Disease: Targeting Mitochondria for Diagnosis and Prevention.","type":"article-journal","volume":"32"},"uris":["http://www.mendeley.com/documents/?uuid=47816f52-ff5e-4ec0-9f7d-b679a6e14d6c"]}],"mendeley":{"formattedCitation":"[1,2]","plainTextFormattedCitation":"[1,2]","previouslyFormattedCitation":"[1,2]"},"properties":{"noteIndex":0},"schema":"https://github.com/citation-style-language/schema/raw/master/csl-citation.json"}</w:instrText>
      </w:r>
      <w:r w:rsidR="001E2BA3" w:rsidRPr="00431E91">
        <w:rPr>
          <w:rFonts w:ascii="Times New Roman" w:hAnsi="Times New Roman" w:cs="Times New Roman"/>
          <w:color w:val="000000" w:themeColor="text1"/>
          <w:sz w:val="24"/>
          <w:szCs w:val="24"/>
          <w:lang w:val="en-US"/>
        </w:rPr>
        <w:fldChar w:fldCharType="separate"/>
      </w:r>
      <w:r w:rsidR="001E2BA3" w:rsidRPr="00431E91">
        <w:rPr>
          <w:rFonts w:ascii="Times New Roman" w:hAnsi="Times New Roman" w:cs="Times New Roman"/>
          <w:noProof/>
          <w:color w:val="000000" w:themeColor="text1"/>
          <w:sz w:val="24"/>
          <w:szCs w:val="24"/>
          <w:lang w:val="en-US"/>
        </w:rPr>
        <w:t>[1,2]</w:t>
      </w:r>
      <w:r w:rsidR="001E2BA3" w:rsidRPr="00431E91">
        <w:rPr>
          <w:rFonts w:ascii="Times New Roman" w:hAnsi="Times New Roman" w:cs="Times New Roman"/>
          <w:color w:val="000000" w:themeColor="text1"/>
          <w:sz w:val="24"/>
          <w:szCs w:val="24"/>
          <w:lang w:val="en-US"/>
        </w:rPr>
        <w:fldChar w:fldCharType="end"/>
      </w:r>
      <w:r w:rsidRPr="00431E91">
        <w:rPr>
          <w:rFonts w:ascii="Times New Roman" w:hAnsi="Times New Roman" w:cs="Times New Roman"/>
          <w:color w:val="000000" w:themeColor="text1"/>
          <w:sz w:val="24"/>
          <w:szCs w:val="24"/>
          <w:lang w:val="en-US"/>
        </w:rPr>
        <w:t xml:space="preserve">. Decreased respiratory capacity, increased mitochondrial fragmentation, and fractures in mitochondrial cristae structure occur in the brain in Alzheimer's disease, and abnormalities in mitochondria </w:t>
      </w:r>
      <w:r w:rsidRPr="00431E91">
        <w:rPr>
          <w:rFonts w:ascii="Times New Roman" w:hAnsi="Times New Roman" w:cs="Times New Roman"/>
          <w:color w:val="000000" w:themeColor="text1"/>
          <w:sz w:val="24"/>
          <w:szCs w:val="24"/>
          <w:lang w:val="en-US"/>
        </w:rPr>
        <w:lastRenderedPageBreak/>
        <w:t xml:space="preserve">appear before deposition of pathologic Aβ plaques </w:t>
      </w:r>
      <w:r w:rsidR="00846CBD" w:rsidRPr="00431E91">
        <w:rPr>
          <w:rFonts w:ascii="Times New Roman" w:hAnsi="Times New Roman" w:cs="Times New Roman"/>
          <w:color w:val="000000" w:themeColor="text1"/>
          <w:sz w:val="24"/>
          <w:szCs w:val="24"/>
          <w:lang w:val="en-US"/>
        </w:rPr>
        <w:fldChar w:fldCharType="begin" w:fldLock="1"/>
      </w:r>
      <w:r w:rsidR="00846CBD" w:rsidRPr="00431E91">
        <w:rPr>
          <w:rFonts w:ascii="Times New Roman" w:hAnsi="Times New Roman" w:cs="Times New Roman"/>
          <w:color w:val="000000" w:themeColor="text1"/>
          <w:sz w:val="24"/>
          <w:szCs w:val="24"/>
          <w:lang w:val="en-US"/>
        </w:rPr>
        <w:instrText>ADDIN CSL_CITATION {"citationItems":[{"id":"ITEM-1","itemData":{"DOI":"10.1038/nature25143","ISSN":"1476-4687 (Electronic)","PMID":"29211722","abstract":"Alzheimer's disease is a common and devastating disease characterized by  aggregation of the amyloid-β peptide. However, we know relatively little about the underlying molecular mechanisms or how to treat patients with Alzheimer's disease. Here we provide bioinformatic and experimental evidence of a conserved mitochondrial stress response signature present in diseases involving amyloid-β proteotoxicity in human, mouse and Caenorhabditis elegans that involves the mitochondrial unfolded protein response and mitophagy pathways. Using a worm model of amyloid-β proteotoxicity, GMC101, we recapitulated mitochondrial features and confirmed that the induction of this mitochondrial stress response was essential for the maintenance of mitochondrial proteostasis and health. Notably, increasing mitochondrial proteostasis by pharmacologically and genetically targeting mitochondrial translation and mitophagy increases the fitness and lifespan of GMC101 worms and reduces amyloid aggregation in cells, worms and in transgenic mouse models of Alzheimer's disease. Our data support the relevance of enhancing mitochondrial proteostasis to delay amyloid-β proteotoxic diseases, such as Alzheimer's disease.","author":[{"dropping-particle":"","family":"Sorrentino","given":"Vincenzo","non-dropping-particle":"","parse-names":false,"suffix":""},{"dropping-particle":"","family":"Romani","given":"Mario","non-dropping-particle":"","parse-names":false,"suffix":""},{"dropping-particle":"","family":"Mouchiroud","given":"Laurent","non-dropping-particle":"","parse-names":false,"suffix":""},{"dropping-particle":"","family":"Beck","given":"John S","non-dropping-particle":"","parse-names":false,"suffix":""},{"dropping-particle":"","family":"Zhang","given":"Hongbo","non-dropping-particle":"","parse-names":false,"suffix":""},{"dropping-particle":"","family":"D'Amico","given":"Davide","non-dropping-particle":"","parse-names":false,"suffix":""},{"dropping-particle":"","family":"Moullan","given":"Norman","non-dropping-particle":"","parse-names":false,"suffix":""},{"dropping-particle":"","family":"Potenza","given":"Francesca","non-dropping-particle":"","parse-names":false,"suffix":""},{"dropping-particle":"","family":"Schmid","given":"Adrien W","non-dropping-particle":"","parse-names":false,"suffix":""},{"dropping-particle":"","family":"Rietsch","given":"Solène","non-dropping-particle":"","parse-names":false,"suffix":""},{"dropping-particle":"","family":"Counts","given":"Scott E","non-dropping-particle":"","parse-names":false,"suffix":""},{"dropping-particle":"","family":"Auwerx","given":"Johan","non-dropping-particle":"","parse-names":false,"suffix":""}],"container-title":"Nature","id":"ITEM-1","issue":"7684","issued":{"date-parts":[["2017","12"]]},"language":"eng","page":"187-193","publisher-place":"England","title":"Enhancing mitochondrial proteostasis reduces amyloid-β proteotoxicity.","type":"article-journal","volume":"552"},"uris":["http://www.mendeley.com/documents/?uuid=776b2cc5-6d7f-4eee-9ef2-67303a46a830"]}],"mendeley":{"formattedCitation":"[3]","plainTextFormattedCitation":"[3]","previouslyFormattedCitation":"[3]"},"properties":{"noteIndex":0},"schema":"https://github.com/citation-style-language/schema/raw/master/csl-citation.json"}</w:instrText>
      </w:r>
      <w:r w:rsidR="00846CBD" w:rsidRPr="00431E91">
        <w:rPr>
          <w:rFonts w:ascii="Times New Roman" w:hAnsi="Times New Roman" w:cs="Times New Roman"/>
          <w:color w:val="000000" w:themeColor="text1"/>
          <w:sz w:val="24"/>
          <w:szCs w:val="24"/>
          <w:lang w:val="en-US"/>
        </w:rPr>
        <w:fldChar w:fldCharType="separate"/>
      </w:r>
      <w:r w:rsidR="00846CBD" w:rsidRPr="00431E91">
        <w:rPr>
          <w:rFonts w:ascii="Times New Roman" w:hAnsi="Times New Roman" w:cs="Times New Roman"/>
          <w:noProof/>
          <w:color w:val="000000" w:themeColor="text1"/>
          <w:sz w:val="24"/>
          <w:szCs w:val="24"/>
          <w:lang w:val="en-US"/>
        </w:rPr>
        <w:t>[3]</w:t>
      </w:r>
      <w:r w:rsidR="00846CBD" w:rsidRPr="00431E91">
        <w:rPr>
          <w:rFonts w:ascii="Times New Roman" w:hAnsi="Times New Roman" w:cs="Times New Roman"/>
          <w:color w:val="000000" w:themeColor="text1"/>
          <w:sz w:val="24"/>
          <w:szCs w:val="24"/>
          <w:lang w:val="en-US"/>
        </w:rPr>
        <w:fldChar w:fldCharType="end"/>
      </w:r>
      <w:r w:rsidRPr="00431E91">
        <w:rPr>
          <w:rFonts w:ascii="Times New Roman" w:hAnsi="Times New Roman" w:cs="Times New Roman"/>
          <w:color w:val="000000" w:themeColor="text1"/>
          <w:sz w:val="24"/>
          <w:szCs w:val="24"/>
          <w:lang w:val="en-US"/>
        </w:rPr>
        <w:t xml:space="preserve"> Consistent with the observation that impaired energy metabolism invariably precedes the clinical onset of Alzheimer's disease, mitochondrial dysfunction has been established as an early and prominent feature of the disease</w:t>
      </w:r>
      <w:r w:rsidR="00846CBD" w:rsidRPr="00431E91">
        <w:rPr>
          <w:rFonts w:ascii="Times New Roman" w:hAnsi="Times New Roman" w:cs="Times New Roman"/>
          <w:color w:val="000000" w:themeColor="text1"/>
          <w:sz w:val="24"/>
          <w:szCs w:val="24"/>
          <w:lang w:val="en-US"/>
        </w:rPr>
        <w:t xml:space="preserve"> </w:t>
      </w:r>
      <w:r w:rsidR="00846CBD" w:rsidRPr="00431E91">
        <w:rPr>
          <w:rFonts w:ascii="Times New Roman" w:hAnsi="Times New Roman" w:cs="Times New Roman"/>
          <w:color w:val="000000" w:themeColor="text1"/>
          <w:sz w:val="24"/>
          <w:szCs w:val="24"/>
          <w:lang w:val="en-US"/>
        </w:rPr>
        <w:fldChar w:fldCharType="begin" w:fldLock="1"/>
      </w:r>
      <w:r w:rsidR="00846CBD" w:rsidRPr="00431E91">
        <w:rPr>
          <w:rFonts w:ascii="Times New Roman" w:hAnsi="Times New Roman" w:cs="Times New Roman"/>
          <w:color w:val="000000" w:themeColor="text1"/>
          <w:sz w:val="24"/>
          <w:szCs w:val="24"/>
          <w:lang w:val="en-US"/>
        </w:rPr>
        <w:instrText>ADDIN CSL_CITATION {"citationItems":[{"id":"ITEM-1","itemData":{"DOI":"https://doi.org/10.1016/j.bbadis.2013.10.015","ISSN":"0925-4439","abstract":"Alzheimer's disease (AD) exhibits extensive oxidative stress throughout the body, being detected peripherally as well as associated with the vulnerable regions of the brain affected in disease. Abundant evidence not only demonstrates the full spectrum of oxidative damage to neuronal macromolecules, but also reveals the occurrence of oxidative events early in the course of the disease and prior to the formation of the pathology, which support an important role of oxidative stress in AD. As a disease of abnormal aging, AD demonstrates oxidative damage at levels that significantly surpass that of elderly controls, which suggests the involvement of additional factor(s). Structurally and functionally damaged mitochondria, which are more proficient at producing reactive oxygen species but less so in ATP, are also an early and prominent feature of the disease. Since mitochondria are also vulnerable to oxidative stress, it is likely that a vicious downward spiral involving the interactions between mitochondrial dysfunction and oxidative stress contributes to the initiation and/or amplification of reactive oxygen species that is critical to the pathogenesis of AD. This article is part of a Special Issue entitled: Misfolded Proteins, Mitochondrial Dysfunction and Neurodegenerative Diseases.","author":[{"dropping-particle":"","family":"Wang","given":"Xinglong","non-dropping-particle":"","parse-names":false,"suffix":""},{"dropping-particle":"","family":"Wang","given":"Wenzhang","non-dropping-particle":"","parse-names":false,"suffix":""},{"dropping-particle":"","family":"Li","given":"Li","non-dropping-particle":"","parse-names":false,"suffix":""},{"dropping-particle":"","family":"Perry","given":"George","non-dropping-particle":"","parse-names":false,"suffix":""},{"dropping-particle":"","family":"Lee","given":"Hyoung-gon","non-dropping-particle":"","parse-names":false,"suffix":""},{"dropping-particle":"","family":"Zhu","given":"Xiongwei","non-dropping-particle":"","parse-names":false,"suffix":""}],"container-title":"Biochimica et Biophysica Acta (BBA) - Molecular Basis of Disease","id":"ITEM-1","issue":"8","issued":{"date-parts":[["2014"]]},"note":"Misfolded Proteins, Mitochondrial Dysfunction, and Neurodegenerative Diseases","page":"1240-1247","title":"Oxidative stress and mitochondrial dysfunction in Alzheimer's disease","type":"article-journal","volume":"1842"},"uris":["http://www.mendeley.com/documents/?uuid=17c33f34-ec7f-446e-939c-7d0afba8fc3e"]}],"mendeley":{"formattedCitation":"[4]","plainTextFormattedCitation":"[4]","previouslyFormattedCitation":"[4]"},"properties":{"noteIndex":0},"schema":"https://github.com/citation-style-language/schema/raw/master/csl-citation.json"}</w:instrText>
      </w:r>
      <w:r w:rsidR="00846CBD" w:rsidRPr="00431E91">
        <w:rPr>
          <w:rFonts w:ascii="Times New Roman" w:hAnsi="Times New Roman" w:cs="Times New Roman"/>
          <w:color w:val="000000" w:themeColor="text1"/>
          <w:sz w:val="24"/>
          <w:szCs w:val="24"/>
          <w:lang w:val="en-US"/>
        </w:rPr>
        <w:fldChar w:fldCharType="separate"/>
      </w:r>
      <w:r w:rsidR="00846CBD" w:rsidRPr="00431E91">
        <w:rPr>
          <w:rFonts w:ascii="Times New Roman" w:hAnsi="Times New Roman" w:cs="Times New Roman"/>
          <w:noProof/>
          <w:color w:val="000000" w:themeColor="text1"/>
          <w:sz w:val="24"/>
          <w:szCs w:val="24"/>
          <w:lang w:val="en-US"/>
        </w:rPr>
        <w:t>[4]</w:t>
      </w:r>
      <w:r w:rsidR="00846CBD" w:rsidRPr="00431E91">
        <w:rPr>
          <w:rFonts w:ascii="Times New Roman" w:hAnsi="Times New Roman" w:cs="Times New Roman"/>
          <w:color w:val="000000" w:themeColor="text1"/>
          <w:sz w:val="24"/>
          <w:szCs w:val="24"/>
          <w:lang w:val="en-US"/>
        </w:rPr>
        <w:fldChar w:fldCharType="end"/>
      </w:r>
      <w:r w:rsidRPr="00431E91">
        <w:rPr>
          <w:rFonts w:ascii="Times New Roman" w:hAnsi="Times New Roman" w:cs="Times New Roman"/>
          <w:color w:val="000000" w:themeColor="text1"/>
          <w:sz w:val="24"/>
          <w:szCs w:val="24"/>
          <w:shd w:val="clear" w:color="auto" w:fill="FFFFFF"/>
          <w:lang w:val="en-US"/>
        </w:rPr>
        <w:t xml:space="preserve">. </w:t>
      </w:r>
    </w:p>
    <w:p w14:paraId="5B6DD207" w14:textId="38B0A6E3" w:rsidR="00EF53F3" w:rsidRPr="00EC3E53" w:rsidRDefault="00EF53F3" w:rsidP="00B01E7F">
      <w:pPr>
        <w:spacing w:line="240" w:lineRule="auto"/>
        <w:rPr>
          <w:rFonts w:ascii="Times New Roman" w:hAnsi="Times New Roman" w:cs="Times New Roman"/>
          <w:color w:val="000000" w:themeColor="text1"/>
          <w:sz w:val="24"/>
          <w:szCs w:val="24"/>
          <w:lang w:val="en-US"/>
        </w:rPr>
      </w:pPr>
      <w:r w:rsidRPr="00EC3E53">
        <w:rPr>
          <w:rFonts w:ascii="Times New Roman" w:hAnsi="Times New Roman" w:cs="Times New Roman"/>
          <w:sz w:val="24"/>
          <w:szCs w:val="24"/>
          <w:lang w:val="en-US"/>
        </w:rPr>
        <w:t xml:space="preserve">Cell functionality is highly dependent on the state of mitochondria, which are essential for ATP production (general support of cell metabolism) and for maintaining calcium homeostasis (regulation of neurotransmitters and communication with other cells). There are different fractions of mitochondria in different parts of the cell at the same time, performing different functions. These fractions must be in constant turnover, which maintains the normal physiological state of the cell. </w:t>
      </w:r>
      <w:r w:rsidRPr="00B95E8E">
        <w:rPr>
          <w:rFonts w:ascii="Times New Roman" w:hAnsi="Times New Roman" w:cs="Times New Roman"/>
          <w:sz w:val="24"/>
          <w:szCs w:val="24"/>
          <w:lang w:val="en-US"/>
        </w:rPr>
        <w:t xml:space="preserve">This form of mitochondrial dynamics is known as mitochondrial fission and fusion processes </w:t>
      </w:r>
      <w:r w:rsidR="00846CBD" w:rsidRPr="00B95E8E">
        <w:rPr>
          <w:rFonts w:ascii="Times New Roman" w:hAnsi="Times New Roman" w:cs="Times New Roman"/>
          <w:sz w:val="24"/>
          <w:szCs w:val="24"/>
          <w:lang w:val="en-US"/>
        </w:rPr>
        <w:fldChar w:fldCharType="begin" w:fldLock="1"/>
      </w:r>
      <w:r w:rsidR="001C1DEE" w:rsidRPr="00B95E8E">
        <w:rPr>
          <w:rFonts w:ascii="Times New Roman" w:hAnsi="Times New Roman" w:cs="Times New Roman"/>
          <w:sz w:val="24"/>
          <w:szCs w:val="24"/>
          <w:lang w:val="en-US"/>
        </w:rPr>
        <w:instrText>ADDIN CSL_CITATION {"citationItems":[{"id":"ITEM-1","itemData":{"DOI":"10.1056/NEJMra1215233","ISSN":"1533-4406 (Electronic)","PMID":"24304053","author":[{"dropping-particle":"","family":"Archer","given":"Stephen L","non-dropping-particle":"","parse-names":false,"suffix":""}],"container-title":"The New England journal of medicine","id":"ITEM-1","issue":"23","issued":{"date-parts":[["2013","12"]]},"language":"eng","page":"2236-2251","publisher-place":"United States","title":"Mitochondrial dynamics--mitochondrial fission and fusion in human diseases.","type":"article-journal","volume":"369"},"uris":["http://www.mendeley.com/documents/?uuid=c24737cc-5c79-4d89-8a7d-0129519127a0"]}],"mendeley":{"formattedCitation":"[5]","plainTextFormattedCitation":"[5]","previouslyFormattedCitation":"[5]"},"properties":{"noteIndex":0},"schema":"https://github.com/citation-style-language/schema/raw/master/csl-citation.json"}</w:instrText>
      </w:r>
      <w:r w:rsidR="00846CBD" w:rsidRPr="00B95E8E">
        <w:rPr>
          <w:rFonts w:ascii="Times New Roman" w:hAnsi="Times New Roman" w:cs="Times New Roman"/>
          <w:sz w:val="24"/>
          <w:szCs w:val="24"/>
          <w:lang w:val="en-US"/>
        </w:rPr>
        <w:fldChar w:fldCharType="separate"/>
      </w:r>
      <w:r w:rsidR="00846CBD" w:rsidRPr="00B95E8E">
        <w:rPr>
          <w:rFonts w:ascii="Times New Roman" w:hAnsi="Times New Roman" w:cs="Times New Roman"/>
          <w:noProof/>
          <w:sz w:val="24"/>
          <w:szCs w:val="24"/>
          <w:lang w:val="en-US"/>
        </w:rPr>
        <w:t>[5]</w:t>
      </w:r>
      <w:r w:rsidR="00846CBD" w:rsidRPr="00B95E8E">
        <w:rPr>
          <w:rFonts w:ascii="Times New Roman" w:hAnsi="Times New Roman" w:cs="Times New Roman"/>
          <w:sz w:val="24"/>
          <w:szCs w:val="24"/>
          <w:lang w:val="en-US"/>
        </w:rPr>
        <w:fldChar w:fldCharType="end"/>
      </w:r>
      <w:r w:rsidRPr="00B95E8E">
        <w:rPr>
          <w:rFonts w:ascii="Times New Roman" w:hAnsi="Times New Roman" w:cs="Times New Roman"/>
          <w:color w:val="000000" w:themeColor="text1"/>
          <w:sz w:val="24"/>
          <w:szCs w:val="24"/>
          <w:lang w:val="en-US"/>
        </w:rPr>
        <w:t>.</w:t>
      </w:r>
      <w:r w:rsidRPr="00EC3E53">
        <w:rPr>
          <w:rFonts w:ascii="Times New Roman" w:hAnsi="Times New Roman" w:cs="Times New Roman"/>
          <w:color w:val="000000" w:themeColor="text1"/>
          <w:sz w:val="24"/>
          <w:szCs w:val="24"/>
          <w:lang w:val="en-US"/>
        </w:rPr>
        <w:t xml:space="preserve"> In normal conditions, mitochondrial fusion and fission occur continuously. A constant balance is maintained between mitochondria in the fusion-division process, which deviates from one side to the other in response to the energy and metabolic needs of the cell. </w:t>
      </w:r>
    </w:p>
    <w:p w14:paraId="56E72017" w14:textId="48493107" w:rsidR="001C1DEE" w:rsidRPr="00EC3E53" w:rsidRDefault="00EF53F3" w:rsidP="00B01E7F">
      <w:pPr>
        <w:spacing w:line="240" w:lineRule="auto"/>
        <w:rPr>
          <w:rFonts w:ascii="Times New Roman" w:hAnsi="Times New Roman" w:cs="Times New Roman"/>
          <w:color w:val="000000" w:themeColor="text1"/>
          <w:sz w:val="24"/>
          <w:szCs w:val="24"/>
          <w:lang w:val="en-US"/>
        </w:rPr>
      </w:pPr>
      <w:r w:rsidRPr="00EC3E53">
        <w:rPr>
          <w:rFonts w:ascii="Times New Roman" w:hAnsi="Times New Roman" w:cs="Times New Roman"/>
          <w:color w:val="000000" w:themeColor="text1"/>
          <w:sz w:val="24"/>
          <w:szCs w:val="24"/>
          <w:lang w:val="en-US"/>
        </w:rPr>
        <w:t xml:space="preserve">The search for a model of sporadic AD is incomplete, primarily due to the inability to understand and reproduce the mechanism of disease development. This leads researchers to the fact that one obvious imbalance process is reproduced on models (disturbance of balance in the systems of generation and detoxification of reactive oxygen species in rats of OXYS line </w:t>
      </w:r>
      <w:r w:rsidR="001C1DEE" w:rsidRPr="00EC3E53">
        <w:rPr>
          <w:rFonts w:ascii="Times New Roman" w:hAnsi="Times New Roman" w:cs="Times New Roman"/>
          <w:color w:val="000000" w:themeColor="text1"/>
          <w:sz w:val="24"/>
          <w:szCs w:val="24"/>
          <w:lang w:val="en-US"/>
        </w:rPr>
        <w:fldChar w:fldCharType="begin" w:fldLock="1"/>
      </w:r>
      <w:r w:rsidR="001C1DEE" w:rsidRPr="00EC3E53">
        <w:rPr>
          <w:rFonts w:ascii="Times New Roman" w:hAnsi="Times New Roman" w:cs="Times New Roman"/>
          <w:color w:val="000000" w:themeColor="text1"/>
          <w:sz w:val="24"/>
          <w:szCs w:val="24"/>
          <w:lang w:val="en-US"/>
        </w:rPr>
        <w:instrText>ADDIN CSL_CITATION {"citationItems":[{"id":"ITEM-1","itemData":{"DOI":"10.4161/cc.28255","ISSN":"1551-4005 (Electronic)","PMID":"24552807","abstract":"Senescence-accelerated OXYS rats are an experimental model of accelerated aging  that was established from Wistar stock via selection for susceptibility to cataractogenic effects of a galactose-rich diet and via subsequent inbreeding of highly susceptible rats. Currently, we have the 102nd generation of OXYS rats with spontaneously developing cataract and accelerated senescence syndrome, which means early development of a phenotype similar to human geriatric disorders, including accelerated brain aging. In recent years, our group found strong evidence that OXYS rats are a promising model for studies of the mechanisms of brain aging and neurodegenerative processes similar to those seen in Alzheimer disease (AD). The manifestation of behavioral alterations and learning and memory deficits develop since the fourth week of age, i.e., simultaneously with first signs of neurodegeneration detectable on magnetic resonance imaging and under a light microscope. In addition, impaired long-term potentiation has been demonstrated in OXYS rats by the age of 3 months. With age, neurodegenerative changes in the brain of OXYS rats become amplified. We have shown that this deterioration happens against the background of overproduction of amyloid precursor protein (AβPP), accumulation of β-amyloid (Aβ), and hyperphosphorylation of the tau protein in the hippocampus and cortex. The development of AMD-like retinopathy in OXYS rats is also accompanied by increased accumulation of Aβ in the retina. These published data suggest that the OXYS strain may serve as a spontaneous rat model of AD-like pathology and could help to decipher the pathogenesis of AD.","author":[{"dropping-particle":"","family":"Stefanova","given":"Natalia A","non-dropping-particle":"","parse-names":false,"suffix":""},{"dropping-particle":"","family":"Kozhevnikova","given":"Oyuna S","non-dropping-particle":"","parse-names":false,"suffix":""},{"dropping-particle":"","family":"Vitovtov","given":"Anton O","non-dropping-particle":"","parse-names":false,"suffix":""},{"dropping-particle":"","family":"Maksimova","given":"Kseniya Yi","non-dropping-particle":"","parse-names":false,"suffix":""},{"dropping-particle":"V","family":"Logvinov","given":"Sergey","non-dropping-particle":"","parse-names":false,"suffix":""},{"dropping-particle":"","family":"Rudnitskaya","given":"Ekaterina A","non-dropping-particle":"","parse-names":false,"suffix":""},{"dropping-particle":"","family":"Korbolina","given":"Elena E","non-dropping-particle":"","parse-names":false,"suffix":""},{"dropping-particle":"","family":"Muraleva","given":"Natalia A","non-dropping-particle":"","parse-names":false,"suffix":""},{"dropping-particle":"","family":"Kolosova","given":"Nataliya G","non-dropping-particle":"","parse-names":false,"suffix":""}],"container-title":"Cell cycle (Georgetown, Tex.)","id":"ITEM-1","issue":"6","issued":{"date-parts":[["2014"]]},"language":"eng","page":"898-909","publisher-place":"United States","title":"Senescence-accelerated OXYS rats: a model of age-related cognitive decline with  relevance to abnormalities in Alzheimer disease.","type":"article-journal","volume":"13"},"uris":["http://www.mendeley.com/documents/?uuid=22377b7f-0431-413f-9911-2e216ee4f91e"]}],"mendeley":{"formattedCitation":"[6]","plainTextFormattedCitation":"[6]","previouslyFormattedCitation":"[6]"},"properties":{"noteIndex":0},"schema":"https://github.com/citation-style-language/schema/raw/master/csl-citation.json"}</w:instrText>
      </w:r>
      <w:r w:rsidR="001C1DEE" w:rsidRPr="00EC3E53">
        <w:rPr>
          <w:rFonts w:ascii="Times New Roman" w:hAnsi="Times New Roman" w:cs="Times New Roman"/>
          <w:color w:val="000000" w:themeColor="text1"/>
          <w:sz w:val="24"/>
          <w:szCs w:val="24"/>
          <w:lang w:val="en-US"/>
        </w:rPr>
        <w:fldChar w:fldCharType="separate"/>
      </w:r>
      <w:r w:rsidR="001C1DEE" w:rsidRPr="00EC3E53">
        <w:rPr>
          <w:rFonts w:ascii="Times New Roman" w:hAnsi="Times New Roman" w:cs="Times New Roman"/>
          <w:noProof/>
          <w:color w:val="000000" w:themeColor="text1"/>
          <w:sz w:val="24"/>
          <w:szCs w:val="24"/>
          <w:lang w:val="en-US"/>
        </w:rPr>
        <w:t>[6]</w:t>
      </w:r>
      <w:r w:rsidR="001C1DEE" w:rsidRPr="00EC3E53">
        <w:rPr>
          <w:rFonts w:ascii="Times New Roman" w:hAnsi="Times New Roman" w:cs="Times New Roman"/>
          <w:color w:val="000000" w:themeColor="text1"/>
          <w:sz w:val="24"/>
          <w:szCs w:val="24"/>
          <w:lang w:val="en-US"/>
        </w:rPr>
        <w:fldChar w:fldCharType="end"/>
      </w:r>
      <w:r w:rsidRPr="00EC3E53">
        <w:rPr>
          <w:rFonts w:ascii="Times New Roman" w:hAnsi="Times New Roman" w:cs="Times New Roman"/>
          <w:color w:val="000000" w:themeColor="text1"/>
          <w:sz w:val="24"/>
          <w:szCs w:val="24"/>
          <w:lang w:val="en-US"/>
        </w:rPr>
        <w:t xml:space="preserve">, </w:t>
      </w:r>
      <w:r w:rsidR="000D26B9" w:rsidRPr="000D26B9">
        <w:rPr>
          <w:rFonts w:ascii="Times New Roman" w:hAnsi="Times New Roman" w:cs="Times New Roman"/>
          <w:color w:val="000000" w:themeColor="text1"/>
          <w:sz w:val="24"/>
          <w:szCs w:val="24"/>
          <w:lang w:val="en-US"/>
        </w:rPr>
        <w:t>mice with surgically removed</w:t>
      </w:r>
      <w:r w:rsidR="000D26B9">
        <w:rPr>
          <w:rFonts w:ascii="Times New Roman" w:hAnsi="Times New Roman" w:cs="Times New Roman"/>
          <w:color w:val="000000" w:themeColor="text1"/>
          <w:sz w:val="24"/>
          <w:szCs w:val="24"/>
          <w:lang w:val="en-US"/>
        </w:rPr>
        <w:t xml:space="preserve"> </w:t>
      </w:r>
      <w:r w:rsidR="000D26B9" w:rsidRPr="000D26B9">
        <w:rPr>
          <w:rFonts w:ascii="Times New Roman" w:hAnsi="Times New Roman" w:cs="Times New Roman"/>
          <w:color w:val="000000" w:themeColor="text1"/>
          <w:sz w:val="24"/>
          <w:szCs w:val="24"/>
          <w:lang w:val="en-US"/>
        </w:rPr>
        <w:t xml:space="preserve">olfactory bulbs </w:t>
      </w:r>
      <w:r w:rsidR="000D26B9">
        <w:rPr>
          <w:rFonts w:ascii="Times New Roman" w:hAnsi="Times New Roman" w:cs="Times New Roman"/>
          <w:color w:val="000000" w:themeColor="text1"/>
          <w:sz w:val="24"/>
          <w:szCs w:val="24"/>
          <w:lang w:val="en-US"/>
        </w:rPr>
        <w:t>(o</w:t>
      </w:r>
      <w:r w:rsidR="000D26B9" w:rsidRPr="000D26B9">
        <w:rPr>
          <w:rFonts w:ascii="Times New Roman" w:hAnsi="Times New Roman" w:cs="Times New Roman"/>
          <w:color w:val="000000" w:themeColor="text1"/>
          <w:sz w:val="24"/>
          <w:szCs w:val="24"/>
          <w:lang w:val="en-US"/>
        </w:rPr>
        <w:t xml:space="preserve">lfactory </w:t>
      </w:r>
      <w:r w:rsidR="000D26B9">
        <w:rPr>
          <w:rFonts w:ascii="Times New Roman" w:hAnsi="Times New Roman" w:cs="Times New Roman"/>
          <w:color w:val="000000" w:themeColor="text1"/>
          <w:sz w:val="24"/>
          <w:szCs w:val="24"/>
          <w:lang w:val="en-US"/>
        </w:rPr>
        <w:t>b</w:t>
      </w:r>
      <w:r w:rsidR="000D26B9" w:rsidRPr="000D26B9">
        <w:rPr>
          <w:rFonts w:ascii="Times New Roman" w:hAnsi="Times New Roman" w:cs="Times New Roman"/>
          <w:color w:val="000000" w:themeColor="text1"/>
          <w:sz w:val="24"/>
          <w:szCs w:val="24"/>
          <w:lang w:val="en-US"/>
        </w:rPr>
        <w:t xml:space="preserve">ulbectomized </w:t>
      </w:r>
      <w:r w:rsidR="000D26B9">
        <w:rPr>
          <w:rFonts w:ascii="Times New Roman" w:hAnsi="Times New Roman" w:cs="Times New Roman"/>
          <w:color w:val="000000" w:themeColor="text1"/>
          <w:sz w:val="24"/>
          <w:szCs w:val="24"/>
          <w:lang w:val="en-US"/>
        </w:rPr>
        <w:t>m</w:t>
      </w:r>
      <w:r w:rsidR="000D26B9" w:rsidRPr="000D26B9">
        <w:rPr>
          <w:rFonts w:ascii="Times New Roman" w:hAnsi="Times New Roman" w:cs="Times New Roman"/>
          <w:color w:val="000000" w:themeColor="text1"/>
          <w:sz w:val="24"/>
          <w:szCs w:val="24"/>
          <w:lang w:val="en-US"/>
        </w:rPr>
        <w:t>ice</w:t>
      </w:r>
      <w:r w:rsidR="000D26B9">
        <w:rPr>
          <w:rFonts w:ascii="Times New Roman" w:hAnsi="Times New Roman" w:cs="Times New Roman"/>
          <w:color w:val="000000" w:themeColor="text1"/>
          <w:sz w:val="24"/>
          <w:szCs w:val="24"/>
          <w:lang w:val="en-US"/>
        </w:rPr>
        <w:t>)</w:t>
      </w:r>
      <w:r w:rsidR="000D26B9" w:rsidRPr="000D26B9">
        <w:rPr>
          <w:rFonts w:ascii="Times New Roman" w:hAnsi="Times New Roman" w:cs="Times New Roman"/>
          <w:color w:val="000000" w:themeColor="text1"/>
          <w:sz w:val="24"/>
          <w:szCs w:val="24"/>
          <w:lang w:val="en-US"/>
        </w:rPr>
        <w:t xml:space="preserve"> </w:t>
      </w:r>
      <w:r w:rsidR="001C1DEE" w:rsidRPr="00EC3E53">
        <w:rPr>
          <w:rFonts w:ascii="Times New Roman" w:hAnsi="Times New Roman" w:cs="Times New Roman"/>
          <w:color w:val="000000" w:themeColor="text1"/>
          <w:sz w:val="24"/>
          <w:szCs w:val="24"/>
          <w:lang w:val="en-US"/>
        </w:rPr>
        <w:fldChar w:fldCharType="begin" w:fldLock="1"/>
      </w:r>
      <w:r w:rsidR="001C1DEE" w:rsidRPr="00EC3E53">
        <w:rPr>
          <w:rFonts w:ascii="Times New Roman" w:hAnsi="Times New Roman" w:cs="Times New Roman"/>
          <w:color w:val="000000" w:themeColor="text1"/>
          <w:sz w:val="24"/>
          <w:szCs w:val="24"/>
          <w:lang w:val="en-US"/>
        </w:rPr>
        <w:instrText>ADDIN CSL_CITATION {"citationItems":[{"id":"ITEM-1","itemData":{"DOI":"10.1134/S0006297916060080","ISSN":"1608-3040 (Electronic)","PMID":"27301290","abstract":"Structural and functional impairments of mitochondria in brain tissues in the  pathogenesis of Alzheimer's disease (AD) cause energy deficiency, increased generation of reactive oxygen species (ROS), and premature neuronal death. However, the causal relations between accumulation of beta-amyloid (Aβ) peptide in mitochondria and mitochondrial dysfunction, as well as molecular mechanisms underlying deleterious effects of both these factors in sporadic AD, the most common form in humans, remain unknown. Here we used olfactory bulbectomized (OBX) mice of NMRI strain as a model for sporadic AD. Five weeks after surgery, the OBX mice developed major behavioral and biochemical features of AD neurodegeneration, including spatial memory loss, increased brain levels of Aβ, and energy deficiency. Mitochondria isolated from the neocortex and hippocampus of OBX mice displayed severe functional impairments, such as low NADH oxidation rate, reduced transmembrane potential, and decreased cytochrome c oxidase (complex IV) activity that correlated with high levels of soluble Aβ1-40. Mitochondria from OBX mice showed increased contents of lipid peroxidation products, indicative of the development of oxidative stress. We found that neurodegeneration caused by olfactory bulbectomy is accompanied by energy metabolism disturbances and oxidative stress in brain mitochondria similar to those occurring in transgenic animals - familial AD models and patients with sporadic AD. Therefore, OBX mice can serve as a valid AD model for investigating the mechanisms of AD neurodegeneration, drug testing, and development of therapeutic strategies for AD treatment.","author":[{"dropping-particle":"V","family":"Avetisyan","given":"A","non-dropping-particle":"","parse-names":false,"suffix":""},{"dropping-particle":"","family":"Samokhin","given":"A N","non-dropping-particle":"","parse-names":false,"suffix":""},{"dropping-particle":"","family":"Alexandrova","given":"I Y","non-dropping-particle":"","parse-names":false,"suffix":""},{"dropping-particle":"","family":"Zinovkin","given":"R A","non-dropping-particle":"","parse-names":false,"suffix":""},{"dropping-particle":"","family":"Simonyan","given":"R A","non-dropping-particle":"","parse-names":false,"suffix":""},{"dropping-particle":"V","family":"Bobkova","given":"N","non-dropping-particle":"","parse-names":false,"suffix":""}],"container-title":"Biochemistry. Biokhimiia","id":"ITEM-1","issue":"6","issued":{"date-parts":[["2016","6"]]},"language":"eng","page":"615-623","publisher-place":"United States","title":"Mitochondrial Dysfunction in Neocortex and Hippocampus of Olfactory Bulbectomized  Mice, a Model of Alzheimer's Disease.","type":"article-journal","volume":"81"},"uris":["http://www.mendeley.com/documents/?uuid=b86451d0-fe02-4167-9c16-1de6bc1c69f3"]}],"mendeley":{"formattedCitation":"[7]","plainTextFormattedCitation":"[7]","previouslyFormattedCitation":"[7]"},"properties":{"noteIndex":0},"schema":"https://github.com/citation-style-language/schema/raw/master/csl-citation.json"}</w:instrText>
      </w:r>
      <w:r w:rsidR="001C1DEE" w:rsidRPr="00EC3E53">
        <w:rPr>
          <w:rFonts w:ascii="Times New Roman" w:hAnsi="Times New Roman" w:cs="Times New Roman"/>
          <w:color w:val="000000" w:themeColor="text1"/>
          <w:sz w:val="24"/>
          <w:szCs w:val="24"/>
          <w:lang w:val="en-US"/>
        </w:rPr>
        <w:fldChar w:fldCharType="separate"/>
      </w:r>
      <w:r w:rsidR="001C1DEE" w:rsidRPr="00EC3E53">
        <w:rPr>
          <w:rFonts w:ascii="Times New Roman" w:hAnsi="Times New Roman" w:cs="Times New Roman"/>
          <w:noProof/>
          <w:color w:val="000000" w:themeColor="text1"/>
          <w:sz w:val="24"/>
          <w:szCs w:val="24"/>
          <w:lang w:val="en-US"/>
        </w:rPr>
        <w:t>[7]</w:t>
      </w:r>
      <w:r w:rsidR="001C1DEE" w:rsidRPr="00EC3E53">
        <w:rPr>
          <w:rFonts w:ascii="Times New Roman" w:hAnsi="Times New Roman" w:cs="Times New Roman"/>
          <w:color w:val="000000" w:themeColor="text1"/>
          <w:sz w:val="24"/>
          <w:szCs w:val="24"/>
          <w:lang w:val="en-US"/>
        </w:rPr>
        <w:fldChar w:fldCharType="end"/>
      </w:r>
      <w:r w:rsidRPr="00EC3E53">
        <w:rPr>
          <w:rFonts w:ascii="Times New Roman" w:hAnsi="Times New Roman" w:cs="Times New Roman"/>
          <w:color w:val="000000" w:themeColor="text1"/>
          <w:sz w:val="24"/>
          <w:szCs w:val="24"/>
          <w:lang w:val="en-US"/>
        </w:rPr>
        <w:t xml:space="preserve"> or direct introduction of pathological tau protein or beta-amyloid into the culture of neurons</w:t>
      </w:r>
      <w:r w:rsidR="001C1DEE" w:rsidRPr="00EC3E53">
        <w:rPr>
          <w:rFonts w:ascii="Times New Roman" w:hAnsi="Times New Roman" w:cs="Times New Roman"/>
          <w:color w:val="000000" w:themeColor="text1"/>
          <w:sz w:val="24"/>
          <w:szCs w:val="24"/>
          <w:lang w:val="en-US"/>
        </w:rPr>
        <w:t xml:space="preserve"> </w:t>
      </w:r>
      <w:r w:rsidR="001C1DEE" w:rsidRPr="00EC3E53">
        <w:rPr>
          <w:rFonts w:ascii="Times New Roman" w:hAnsi="Times New Roman" w:cs="Times New Roman"/>
          <w:color w:val="000000" w:themeColor="text1"/>
          <w:sz w:val="24"/>
          <w:szCs w:val="24"/>
          <w:lang w:val="en-US"/>
        </w:rPr>
        <w:fldChar w:fldCharType="begin" w:fldLock="1"/>
      </w:r>
      <w:r w:rsidR="001C1DEE" w:rsidRPr="00EC3E53">
        <w:rPr>
          <w:rFonts w:ascii="Times New Roman" w:hAnsi="Times New Roman" w:cs="Times New Roman"/>
          <w:color w:val="000000" w:themeColor="text1"/>
          <w:sz w:val="24"/>
          <w:szCs w:val="24"/>
          <w:lang w:val="en-US"/>
        </w:rPr>
        <w:instrText>ADDIN CSL_CITATION {"citationItems":[{"id":"ITEM-1","itemData":{"DOI":"10.1093/hmg/ddr381","ISSN":"1460-2083 (Electronic)","PMID":"21873260","abstract":"Increasing evidence suggests that the accumulation of amyloid beta (Aβ) in  synapses and synaptic mitochondria causes synaptic mitochondrial failure and synaptic degeneration in Alzheimer's disease (AD). The purpose of this study was to better understand the effects of Aβ in mitochondrial activity and synaptic alterations in neurons from a mouse model of AD. Using primary neurons from a well-characterized Aβ precursor protein transgenic (AβPP) mouse model (Tg2576 mouse line), for the first time, we studied mitochondrial activity, including axonal transport of mitochondria, mitochondrial dynamics, morphology and function. Further, we also studied the nature of Aβ-induced synaptic alterations, and cell death in primary neurons from Tg2576 mice, and we sought to determine whether the mitochondria-targeted antioxidant SS31 could mitigate the effects of oligomeric Aβ. We found significantly decreased anterograde mitochondrial movement, increased mitochondrial fission and decreased fusion, abnormal mitochondrial and synaptic proteins and defective mitochondrial function in primary neurons from AβPP mice compared with wild-type (WT) neurons. Transmission electron microscopy revealed a large number of small mitochondria and structurally damaged mitochondria, with broken cristae in AβPP primary neurons. We also found an increased accumulation of oligomeric Aβ and increased apoptotic neuronal death in the primary neurons from the AβPP mice relative to the WT neurons. Our results revealed an accumulation of intraneuronal oligomeric Aβ, leading to mitochondrial and synaptic deficiencies, and ultimately causing neurodegeneration in AβPP cultures. However, we found that the mitochondria-targeted antioxidant SS31 restored mitochondrial transport and synaptic viability, and decreased the percentage of defective mitochondria, indicating that SS31 protects mitochondria and synapses from Aβ toxicity.","author":[{"dropping-particle":"","family":"Calkins","given":"Marcus J","non-dropping-particle":"","parse-names":false,"suffix":""},{"dropping-particle":"","family":"Manczak","given":"Maria","non-dropping-particle":"","parse-names":false,"suffix":""},{"dropping-particle":"","family":"Mao","given":"Peizhong","non-dropping-particle":"","parse-names":false,"suffix":""},{"dropping-particle":"","family":"Shirendeb","given":"Ulziibat","non-dropping-particle":"","parse-names":false,"suffix":""},{"dropping-particle":"","family":"Reddy","given":"P Hemachandra","non-dropping-particle":"","parse-names":false,"suffix":""}],"container-title":"Human molecular genetics","id":"ITEM-1","issue":"23","issued":{"date-parts":[["2011","12"]]},"language":"eng","page":"4515-4529","publisher-place":"England","title":"Impaired mitochondrial biogenesis, defective axonal transport of mitochondria,  abnormal mitochondrial dynamics and synaptic degeneration in a mouse model of Alzheimer's disease.","type":"article-journal","volume":"20"},"uris":["http://www.mendeley.com/documents/?uuid=5658a2f1-1472-42d7-9760-39689819ac74"]},{"id":"ITEM-2","itemData":{"DOI":"10.1016/j.nbd.2018.02.003","ISSN":"1095-953X (Electronic)","PMID":"29477640","abstract":"Inhibition of mitochondrial axonal trafficking by amyloid beta (Aβ) peptides has  been implicated in early pathophysiology of Alzheimer's Disease (AD). Yet, it remains unclear whether the loss of motility inevitably induces the loss of mitochondrial function, and whether restoration of axonal trafficking represents a valid therapeutic target. Moreover, while some investigations identify Aβ oligomers as the culprit of trafficking inhibition, others propose that fibrils play the detrimental role. We have examined the effect of a panel of Aβ peptides with different mutations found in familial AD on mitochondrial motility in primary cortical mouse neurons. Peptides with higher propensity to aggregate inhibit mitochondrial trafficking to a greater extent with fibrils inducing the strongest inhibition. Binding of Aβ peptides to the plasma membrane was sufficient to induce trafficking inhibition where peptides with reduced plasma membrane binding and internalization had lesser effect on mitochondrial motility. We also found that Aβ peptide with Icelandic mutation A673T affects axonal trafficking of mitochondria but has very low rates of plasma membrane binding and internalization in neurons, which could explain its relatively low toxicity. Inhibition of mitochondrial dynamics caused by Aβ peptides or fibrils did not instantly affect mitochondrial bioenergetic and function. Our results support a mechanism where inhibition of axonal trafficking is initiated at the plasma membrane by soluble low molecular weight Aβ species and is exacerbated by fibrils. Since trafficking inhibition does not coincide with the loss of mitochondrial function, restoration of axonal transport could be beneficial at early stages of AD progression. However, strategies designed to block Aβ aggregation or fibril formation alone without ensuring the efficient clearance of soluble Aβ may not be sufficient to alleviate the trafficking phenotype.","author":[{"dropping-particle":"","family":"Zhang","given":"Liang","non-dropping-particle":"","parse-names":false,"suffix":""},{"dropping-particle":"","family":"Trushin","given":"Sergey","non-dropping-particle":"","parse-names":false,"suffix":""},{"dropping-particle":"","family":"Christensen","given":"Trace A","non-dropping-particle":"","parse-names":false,"suffix":""},{"dropping-particle":"","family":"Tripathi","given":"Utkarsh","non-dropping-particle":"","parse-names":false,"suffix":""},{"dropping-particle":"","family":"Hong","given":"Courtney","non-dropping-particle":"","parse-names":false,"suffix":""},{"dropping-particle":"","family":"Geroux","given":"Rachel E","non-dropping-particle":"","parse-names":false,"suffix":""},{"dropping-particle":"","family":"Howell","given":"Kyle G","non-dropping-particle":"","parse-names":false,"suffix":""},{"dropping-particle":"","family":"Poduslo","given":"Joseph F","non-dropping-particle":"","parse-names":false,"suffix":""},{"dropping-particle":"","family":"Trushina","given":"Eugenia","non-dropping-particle":"","parse-names":false,"suffix":""}],"container-title":"Neurobiology of disease","id":"ITEM-2","issued":{"date-parts":[["2018","6"]]},"language":"eng","page":"1-16","publisher-place":"United States","title":"Differential effect of amyloid beta peptides on mitochondrial axonal trafficking  depends on their state of aggregation and binding to the plasma membrane.","type":"article-journal","volume":"114"},"uris":["http://www.mendeley.com/documents/?uuid=dc4834c6-c7b7-4eec-8a93-8370e29d37c5"]}],"mendeley":{"formattedCitation":"[8,9]","plainTextFormattedCitation":"[8,9]","previouslyFormattedCitation":"[8,9]"},"properties":{"noteIndex":0},"schema":"https://github.com/citation-style-language/schema/raw/master/csl-citation.json"}</w:instrText>
      </w:r>
      <w:r w:rsidR="001C1DEE" w:rsidRPr="00EC3E53">
        <w:rPr>
          <w:rFonts w:ascii="Times New Roman" w:hAnsi="Times New Roman" w:cs="Times New Roman"/>
          <w:color w:val="000000" w:themeColor="text1"/>
          <w:sz w:val="24"/>
          <w:szCs w:val="24"/>
          <w:lang w:val="en-US"/>
        </w:rPr>
        <w:fldChar w:fldCharType="separate"/>
      </w:r>
      <w:r w:rsidR="001C1DEE" w:rsidRPr="00EC3E53">
        <w:rPr>
          <w:rFonts w:ascii="Times New Roman" w:hAnsi="Times New Roman" w:cs="Times New Roman"/>
          <w:noProof/>
          <w:color w:val="000000" w:themeColor="text1"/>
          <w:sz w:val="24"/>
          <w:szCs w:val="24"/>
          <w:lang w:val="en-US"/>
        </w:rPr>
        <w:t>[8,9]</w:t>
      </w:r>
      <w:r w:rsidR="001C1DEE" w:rsidRPr="00EC3E53">
        <w:rPr>
          <w:rFonts w:ascii="Times New Roman" w:hAnsi="Times New Roman" w:cs="Times New Roman"/>
          <w:color w:val="000000" w:themeColor="text1"/>
          <w:sz w:val="24"/>
          <w:szCs w:val="24"/>
          <w:lang w:val="en-US"/>
        </w:rPr>
        <w:fldChar w:fldCharType="end"/>
      </w:r>
      <w:r w:rsidR="001C1DEE" w:rsidRPr="00EC3E53">
        <w:rPr>
          <w:rFonts w:ascii="Times New Roman" w:hAnsi="Times New Roman" w:cs="Times New Roman"/>
          <w:color w:val="000000" w:themeColor="text1"/>
          <w:sz w:val="24"/>
          <w:szCs w:val="24"/>
          <w:lang w:val="en-US"/>
        </w:rPr>
        <w:t>.</w:t>
      </w:r>
    </w:p>
    <w:p w14:paraId="35C10B8B" w14:textId="375553B2" w:rsidR="00B95E8E" w:rsidRDefault="00EF53F3" w:rsidP="00B01E7F">
      <w:pPr>
        <w:spacing w:line="240" w:lineRule="auto"/>
        <w:rPr>
          <w:rFonts w:ascii="Times New Roman" w:hAnsi="Times New Roman" w:cs="Times New Roman"/>
          <w:color w:val="000000" w:themeColor="text1"/>
          <w:sz w:val="24"/>
          <w:szCs w:val="24"/>
          <w:lang w:val="en-US"/>
        </w:rPr>
      </w:pPr>
      <w:r w:rsidRPr="00EC3E53">
        <w:rPr>
          <w:rFonts w:ascii="Times New Roman" w:hAnsi="Times New Roman" w:cs="Times New Roman"/>
          <w:sz w:val="24"/>
          <w:szCs w:val="24"/>
          <w:lang w:val="en-US"/>
        </w:rPr>
        <w:t xml:space="preserve">In this work, we wanted to investigate whether disruption of mitochondrial dynamics in healthy cultures could lead to a </w:t>
      </w:r>
      <w:r w:rsidRPr="00A61548">
        <w:rPr>
          <w:rFonts w:ascii="Times New Roman" w:hAnsi="Times New Roman" w:cs="Times New Roman"/>
          <w:sz w:val="24"/>
          <w:szCs w:val="24"/>
          <w:lang w:val="en-US"/>
        </w:rPr>
        <w:t>process similar to the pathology manifestation in the 5xFAD mouse line.</w:t>
      </w:r>
      <w:r w:rsidRPr="00EC3E53">
        <w:rPr>
          <w:rFonts w:ascii="Times New Roman" w:hAnsi="Times New Roman" w:cs="Times New Roman"/>
          <w:sz w:val="24"/>
          <w:szCs w:val="24"/>
          <w:lang w:val="en-US"/>
        </w:rPr>
        <w:t xml:space="preserve"> </w:t>
      </w:r>
      <w:r w:rsidR="000D26B9">
        <w:rPr>
          <w:rFonts w:ascii="Times New Roman" w:hAnsi="Times New Roman" w:cs="Times New Roman"/>
          <w:sz w:val="24"/>
          <w:szCs w:val="24"/>
          <w:lang w:val="en-US"/>
        </w:rPr>
        <w:t>W</w:t>
      </w:r>
      <w:r w:rsidRPr="00EC3E53">
        <w:rPr>
          <w:rFonts w:ascii="Times New Roman" w:hAnsi="Times New Roman" w:cs="Times New Roman"/>
          <w:sz w:val="24"/>
          <w:szCs w:val="24"/>
          <w:lang w:val="en-US"/>
        </w:rPr>
        <w:t xml:space="preserve">e directly affect the mitochondrial fusion-division system in primary mixed neuro-astrocyte hippocampal cultures of mice by inducing shifts toward a prevalence of fusion, </w:t>
      </w:r>
      <w:r w:rsidRPr="00D1548A">
        <w:rPr>
          <w:rFonts w:ascii="Times New Roman" w:hAnsi="Times New Roman" w:cs="Times New Roman"/>
          <w:sz w:val="24"/>
          <w:szCs w:val="24"/>
          <w:lang w:val="en-US"/>
        </w:rPr>
        <w:t>or fission. We use</w:t>
      </w:r>
      <w:r w:rsidR="00D1548A" w:rsidRPr="00D1548A">
        <w:rPr>
          <w:rFonts w:ascii="Times New Roman" w:hAnsi="Times New Roman" w:cs="Times New Roman"/>
          <w:sz w:val="24"/>
          <w:szCs w:val="24"/>
          <w:lang w:val="en-US"/>
        </w:rPr>
        <w:t>d</w:t>
      </w:r>
      <w:r w:rsidRPr="00D1548A">
        <w:rPr>
          <w:rFonts w:ascii="Times New Roman" w:hAnsi="Times New Roman" w:cs="Times New Roman"/>
          <w:sz w:val="24"/>
          <w:szCs w:val="24"/>
          <w:lang w:val="en-US"/>
        </w:rPr>
        <w:t xml:space="preserve"> primary hippocampal cell culture of 5xFAD transgenic mice </w:t>
      </w:r>
      <w:r w:rsidR="00D1548A" w:rsidRPr="00D1548A">
        <w:rPr>
          <w:rFonts w:ascii="Times New Roman" w:hAnsi="Times New Roman" w:cs="Times New Roman"/>
          <w:sz w:val="24"/>
          <w:szCs w:val="24"/>
          <w:lang w:val="en-US"/>
        </w:rPr>
        <w:t>for comparison</w:t>
      </w:r>
      <w:r w:rsidRPr="00D1548A">
        <w:rPr>
          <w:rFonts w:ascii="Times New Roman" w:hAnsi="Times New Roman" w:cs="Times New Roman"/>
          <w:sz w:val="24"/>
          <w:szCs w:val="24"/>
          <w:lang w:val="en-US"/>
        </w:rPr>
        <w:t>. Cells</w:t>
      </w:r>
      <w:r w:rsidRPr="00EC3E53">
        <w:rPr>
          <w:rFonts w:ascii="Times New Roman" w:hAnsi="Times New Roman" w:cs="Times New Roman"/>
          <w:sz w:val="24"/>
          <w:szCs w:val="24"/>
          <w:lang w:val="en-US"/>
        </w:rPr>
        <w:t xml:space="preserve"> in the transgenic culture gradually accumulate high levels of the neurotoxic agent beta-amyloid from the beginning of their lives, causing neurodegeneration similar to AD</w:t>
      </w:r>
      <w:r w:rsidR="001C1DEE" w:rsidRPr="00EC3E53">
        <w:rPr>
          <w:rFonts w:ascii="Times New Roman" w:hAnsi="Times New Roman" w:cs="Times New Roman"/>
          <w:sz w:val="24"/>
          <w:szCs w:val="24"/>
          <w:lang w:val="en-US"/>
        </w:rPr>
        <w:t xml:space="preserve"> </w:t>
      </w:r>
      <w:r w:rsidR="001C1DEE" w:rsidRPr="00EC3E53">
        <w:rPr>
          <w:rFonts w:ascii="Times New Roman" w:hAnsi="Times New Roman" w:cs="Times New Roman"/>
          <w:sz w:val="24"/>
          <w:szCs w:val="24"/>
          <w:lang w:val="en-US"/>
        </w:rPr>
        <w:fldChar w:fldCharType="begin" w:fldLock="1"/>
      </w:r>
      <w:r w:rsidR="00AA17CB" w:rsidRPr="00EC3E53">
        <w:rPr>
          <w:rFonts w:ascii="Times New Roman" w:hAnsi="Times New Roman" w:cs="Times New Roman"/>
          <w:sz w:val="24"/>
          <w:szCs w:val="24"/>
          <w:lang w:val="en-US"/>
        </w:rPr>
        <w:instrText>ADDIN CSL_CITATION {"citationItems":[{"id":"ITEM-1","itemData":{"DOI":"10.1016/j.pharmthera.2013.12.009","ISSN":"1879-016X (Electronic)","PMID":"24362083","abstract":"Progression of brain ageing is influenced by a complex interaction of genetic and  environmental factors. Analysis of genetically modified animals with uniform genetic backgrounds in a standardised, controlled environment enables the dissection of critical determinants of brain ageing on a molecular level. Human and animal studies suggest that increased load of damaged macromolecules, efficacy of DNA maintenance, mitochondrial activity, and cellular stress defences are critical determinants of brain ageing. Surprisingly, mouse lines with genetic impairment of anti-oxidative capacity generally did not show enhanced cognitive ageing but rather an increased sensitivity to oxidative challenge. Mouse lines with impaired mitochondrial activity had critically short life spans or severe and rapidly progressing neurodegeneration. Strains with impaired clearance in damaged macromolecules or defects in the regulation of cellular stress defences showed alterations in the onset and progression of cognitive decline. Importantly, reduced insulin/insulin-like growth factor signalling generally increased life span but impaired cognitive functions revealing a complex interaction between ageing of the brain and of the body. Brain ageing is accompanied by an increased risk of developing Alzheimer's disease. Transgenic mouse models expressing high levels of mutant human amyloid precursor protein showed a number of symptoms and pathophysiological processes typical for early phase of Alzheimer's disease. Generally, therapeutic strategies effective against Alzheimer's disease in humans were also active in the Tg2576, APP23, APP/PS1 and 5xFAD lines, but a large number of false positive findings were also reported. The 3xtg AD model likely has the highest face and construct validity but further studies are needed.","author":[{"dropping-particle":"","family":"Bilkei-Gorzo","given":"Andras","non-dropping-particle":"","parse-names":false,"suffix":""}],"container-title":"Pharmacology &amp; therapeutics","id":"ITEM-1","issue":"2","issued":{"date-parts":[["2014","5"]]},"language":"eng","page":"244-257","publisher-place":"England","title":"Genetic mouse models of brain ageing and Alzheimer's disease.","type":"article-journal","volume":"142"},"uris":["http://www.mendeley.com/documents/?uuid=63f67971-2c0a-4ddb-bd82-f6e53a7ade56"]}],"mendeley":{"formattedCitation":"[10]","plainTextFormattedCitation":"[10]","previouslyFormattedCitation":"[10]"},"properties":{"noteIndex":0},"schema":"https://github.com/citation-style-language/schema/raw/master/csl-citation.json"}</w:instrText>
      </w:r>
      <w:r w:rsidR="001C1DEE" w:rsidRPr="00EC3E53">
        <w:rPr>
          <w:rFonts w:ascii="Times New Roman" w:hAnsi="Times New Roman" w:cs="Times New Roman"/>
          <w:sz w:val="24"/>
          <w:szCs w:val="24"/>
          <w:lang w:val="en-US"/>
        </w:rPr>
        <w:fldChar w:fldCharType="separate"/>
      </w:r>
      <w:r w:rsidR="001C1DEE" w:rsidRPr="00EC3E53">
        <w:rPr>
          <w:rFonts w:ascii="Times New Roman" w:hAnsi="Times New Roman" w:cs="Times New Roman"/>
          <w:noProof/>
          <w:sz w:val="24"/>
          <w:szCs w:val="24"/>
          <w:lang w:val="en-US"/>
        </w:rPr>
        <w:t>[10]</w:t>
      </w:r>
      <w:r w:rsidR="001C1DEE" w:rsidRPr="00EC3E53">
        <w:rPr>
          <w:rFonts w:ascii="Times New Roman" w:hAnsi="Times New Roman" w:cs="Times New Roman"/>
          <w:sz w:val="24"/>
          <w:szCs w:val="24"/>
          <w:lang w:val="en-US"/>
        </w:rPr>
        <w:fldChar w:fldCharType="end"/>
      </w:r>
      <w:hyperlink r:id="rId8" w:history="1"/>
      <w:r w:rsidRPr="00EC3E53">
        <w:rPr>
          <w:rFonts w:ascii="Times New Roman" w:hAnsi="Times New Roman" w:cs="Times New Roman"/>
          <w:color w:val="000000" w:themeColor="text1"/>
          <w:sz w:val="24"/>
          <w:szCs w:val="24"/>
          <w:lang w:val="en-US"/>
        </w:rPr>
        <w:t>. In addition to the formation of amyloid plaques, it is characterized by marked astrogliosis and loss of neuronal and synaptic density, as well as increased levels of lipofuscin, an early marker of cellular pathology</w:t>
      </w:r>
      <w:r w:rsidR="00AA17CB" w:rsidRPr="00EC3E53">
        <w:rPr>
          <w:rFonts w:ascii="Times New Roman" w:hAnsi="Times New Roman" w:cs="Times New Roman"/>
          <w:color w:val="000000" w:themeColor="text1"/>
          <w:sz w:val="24"/>
          <w:szCs w:val="24"/>
          <w:lang w:val="en-US"/>
        </w:rPr>
        <w:t xml:space="preserve"> </w:t>
      </w:r>
      <w:r w:rsidR="00AA17CB" w:rsidRPr="00B95E8E">
        <w:rPr>
          <w:rFonts w:ascii="Times New Roman" w:hAnsi="Times New Roman" w:cs="Times New Roman"/>
          <w:color w:val="000000" w:themeColor="text1"/>
          <w:sz w:val="24"/>
          <w:szCs w:val="24"/>
          <w:lang w:val="en-US"/>
        </w:rPr>
        <w:fldChar w:fldCharType="begin" w:fldLock="1"/>
      </w:r>
      <w:r w:rsidR="00AA17CB" w:rsidRPr="00B95E8E">
        <w:rPr>
          <w:rFonts w:ascii="Times New Roman" w:hAnsi="Times New Roman" w:cs="Times New Roman"/>
          <w:color w:val="000000" w:themeColor="text1"/>
          <w:sz w:val="24"/>
          <w:szCs w:val="24"/>
          <w:lang w:val="en-US"/>
        </w:rPr>
        <w:instrText>ADDIN CSL_CITATION {"citationItems":[{"id":"ITEM-1","itemData":{"ISSN":"1561-9125 (Print)","PMID":"38180372","abstract":"In this study, we evaluated the change in the level of lipofuscin, an  autofluorescent aging pigment, in brain and peripheral tissues in a transgenic mouse model of Alzheimer's disease (AD) - 5xFAD. A comparative analysis of the content of lipofuscin in homogenates of the liver, kidneys, heart, and various parts of the brain of 5xFAD mice, as well as control mice from the same litters of different ages, was carried out. The data obtained correlate well with the concept of lipofuscin as an aging pigment - its amount increases with age in both control and 5xFAD mice. We noted accumulation of lipofuscin progressive with age in 5xFAD mice, which is detected both in different parts of the brain and in peripheral organs. At the same time, the level of lipofuscin was increased even in newborn day-old mice 5xFAD. Thus, an increase in the level of lipofuscin in 5xFAD mice is one of the earliest disorders that manifests itself not only in the brain, but also in other organs.","author":[{"dropping-particle":"V","family":"Chaplygina","given":"A","non-dropping-particle":"","parse-names":false,"suffix":""},{"dropping-particle":"","family":"Kovalev","given":"V I","non-dropping-particle":"","parse-names":false,"suffix":""},{"dropping-particle":"","family":"Zhdanova","given":"D Y","non-dropping-particle":"","parse-names":false,"suffix":""}],"container-title":"Advances in gerontology = Uspekhi gerontologii","id":"ITEM-1","issue":"5","issued":{"date-parts":[["2023"]]},"language":"rus","page":"720-728","publisher-place":"Russia (Federation)","title":"[The study of lipofuscin levels in the 5xFAD mouse model of Alzheimer's  disease.].","type":"article-journal","volume":"36"},"uris":["http://www.mendeley.com/documents/?uuid=98d4c6b7-e75c-4fff-aac8-78efd035f7c5"]}],"mendeley":{"formattedCitation":"[11]","plainTextFormattedCitation":"[11]","previouslyFormattedCitation":"[11]"},"properties":{"noteIndex":0},"schema":"https://github.com/citation-style-language/schema/raw/master/csl-citation.json"}</w:instrText>
      </w:r>
      <w:r w:rsidR="00AA17CB" w:rsidRPr="00B95E8E">
        <w:rPr>
          <w:rFonts w:ascii="Times New Roman" w:hAnsi="Times New Roman" w:cs="Times New Roman"/>
          <w:color w:val="000000" w:themeColor="text1"/>
          <w:sz w:val="24"/>
          <w:szCs w:val="24"/>
          <w:lang w:val="en-US"/>
        </w:rPr>
        <w:fldChar w:fldCharType="separate"/>
      </w:r>
      <w:r w:rsidR="00AA17CB" w:rsidRPr="00B95E8E">
        <w:rPr>
          <w:rFonts w:ascii="Times New Roman" w:hAnsi="Times New Roman" w:cs="Times New Roman"/>
          <w:noProof/>
          <w:color w:val="000000" w:themeColor="text1"/>
          <w:sz w:val="24"/>
          <w:szCs w:val="24"/>
          <w:lang w:val="en-US"/>
        </w:rPr>
        <w:t>[11]</w:t>
      </w:r>
      <w:r w:rsidR="00AA17CB" w:rsidRPr="00B95E8E">
        <w:rPr>
          <w:rFonts w:ascii="Times New Roman" w:hAnsi="Times New Roman" w:cs="Times New Roman"/>
          <w:color w:val="000000" w:themeColor="text1"/>
          <w:sz w:val="24"/>
          <w:szCs w:val="24"/>
          <w:lang w:val="en-US"/>
        </w:rPr>
        <w:fldChar w:fldCharType="end"/>
      </w:r>
      <w:r w:rsidRPr="00B95E8E">
        <w:rPr>
          <w:rFonts w:ascii="Times New Roman" w:hAnsi="Times New Roman" w:cs="Times New Roman"/>
          <w:color w:val="000000" w:themeColor="text1"/>
          <w:sz w:val="24"/>
          <w:szCs w:val="24"/>
          <w:lang w:val="en-US"/>
        </w:rPr>
        <w:t>. Alteration</w:t>
      </w:r>
      <w:r w:rsidRPr="00EC3E53">
        <w:rPr>
          <w:rFonts w:ascii="Times New Roman" w:hAnsi="Times New Roman" w:cs="Times New Roman"/>
          <w:color w:val="000000" w:themeColor="text1"/>
          <w:sz w:val="24"/>
          <w:szCs w:val="24"/>
          <w:lang w:val="en-US"/>
        </w:rPr>
        <w:t xml:space="preserve"> of the balance of fusion-division processes in native primary cell cultures of the hippocampus creates conditions under which an already adult neuronal culture with no pathologies encounters a forced disturbance of cellular homeostasis. In 5xFAD mice, it is amyloid overproduction that triggers a cascade of reactions affecting cellular and subcellular morphology, modeling the typical visible processes occurring in Alzheimer's disease.</w:t>
      </w:r>
    </w:p>
    <w:p w14:paraId="245C8594" w14:textId="0B5C9611" w:rsidR="00B95E8E" w:rsidRDefault="00B95E8E"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 xml:space="preserve">2. MATERIALS AND METHODS </w:t>
      </w:r>
    </w:p>
    <w:p w14:paraId="6E8DB666" w14:textId="5C25773F" w:rsidR="00B95E8E" w:rsidRDefault="00B95E8E"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2.1 Animal Models</w:t>
      </w:r>
    </w:p>
    <w:p w14:paraId="08656D37" w14:textId="30AD9551" w:rsidR="00EF53F3" w:rsidRPr="00786711" w:rsidRDefault="00EF53F3" w:rsidP="00B01E7F">
      <w:pPr>
        <w:spacing w:line="240" w:lineRule="auto"/>
        <w:rPr>
          <w:rFonts w:ascii="Times New Roman" w:hAnsi="Times New Roman" w:cs="Times New Roman"/>
          <w:color w:val="000000" w:themeColor="text1"/>
          <w:sz w:val="24"/>
          <w:szCs w:val="24"/>
          <w:lang w:val="en-US"/>
        </w:rPr>
      </w:pPr>
      <w:r w:rsidRPr="00EC3E53">
        <w:rPr>
          <w:rFonts w:ascii="Times New Roman" w:hAnsi="Times New Roman" w:cs="Times New Roman"/>
          <w:sz w:val="24"/>
          <w:szCs w:val="24"/>
          <w:lang w:val="en-US"/>
        </w:rPr>
        <w:t>The work was performed on animals that are a model of Alzheimer's disease: transgenic mice of 5XFAD (TG6799) line and healthy littermates. Cells in the transgenic culture gradually accumulate high levels of the neurotoxic agent beta-amyloid, which causes neurodegeneration in AD, from the beginning of their life. Mice of the 5xFAD line</w:t>
      </w:r>
      <w:r w:rsidR="00501085">
        <w:rPr>
          <w:rFonts w:ascii="Times New Roman" w:hAnsi="Times New Roman" w:cs="Times New Roman"/>
          <w:sz w:val="24"/>
          <w:szCs w:val="24"/>
          <w:lang w:val="en-US"/>
        </w:rPr>
        <w:t xml:space="preserve"> </w:t>
      </w:r>
      <w:r w:rsidRPr="00EC3E53">
        <w:rPr>
          <w:rFonts w:ascii="Times New Roman" w:hAnsi="Times New Roman" w:cs="Times New Roman"/>
          <w:sz w:val="24"/>
          <w:szCs w:val="24"/>
          <w:lang w:val="en-US"/>
        </w:rPr>
        <w:t xml:space="preserve">were obtained on a congenic SJL/C57B16 background to minimize concerns related to allelic segregation and high variability in the original hybrid background. 5xFAD transgenic mice overexpress the following five FAD mutations: the </w:t>
      </w:r>
      <w:proofErr w:type="gramStart"/>
      <w:r w:rsidRPr="00EC3E53">
        <w:rPr>
          <w:rFonts w:ascii="Times New Roman" w:hAnsi="Times New Roman" w:cs="Times New Roman"/>
          <w:sz w:val="24"/>
          <w:szCs w:val="24"/>
          <w:lang w:val="en-US"/>
        </w:rPr>
        <w:t>APP(</w:t>
      </w:r>
      <w:proofErr w:type="gramEnd"/>
      <w:r w:rsidRPr="00EC3E53">
        <w:rPr>
          <w:rFonts w:ascii="Times New Roman" w:hAnsi="Times New Roman" w:cs="Times New Roman"/>
          <w:sz w:val="24"/>
          <w:szCs w:val="24"/>
          <w:lang w:val="en-US"/>
        </w:rPr>
        <w:t xml:space="preserve">695) transgene contains the Swedish (K670N, M671L), Florid (I716V), and London (V7171) mutations, and the PSEN1 transgene contains the M146L and L286V mutations. Expression of both transgenes is regulated by murine Thy1.promoter elements to drive their overexpression specifically in neurons. The transgenes are inserted at a single locus Chr3:6297836, where they have no effect on any known genes. Animals were kept in a </w:t>
      </w:r>
      <w:r w:rsidRPr="00A61548">
        <w:rPr>
          <w:rFonts w:ascii="Times New Roman" w:hAnsi="Times New Roman" w:cs="Times New Roman"/>
          <w:sz w:val="24"/>
          <w:szCs w:val="24"/>
          <w:lang w:val="en-US"/>
        </w:rPr>
        <w:t xml:space="preserve">specialized vivarium with free access to water and standardized feed at 22 - 24°C and natural </w:t>
      </w:r>
      <w:r w:rsidRPr="00A61548">
        <w:rPr>
          <w:rFonts w:ascii="Times New Roman" w:hAnsi="Times New Roman" w:cs="Times New Roman"/>
          <w:sz w:val="24"/>
          <w:szCs w:val="24"/>
          <w:lang w:val="en-US"/>
        </w:rPr>
        <w:lastRenderedPageBreak/>
        <w:t xml:space="preserve">light. </w:t>
      </w:r>
      <w:r w:rsidR="00786711" w:rsidRPr="00A61548">
        <w:rPr>
          <w:rFonts w:ascii="Times New Roman" w:hAnsi="Times New Roman" w:cs="Times New Roman"/>
          <w:color w:val="000000" w:themeColor="text1"/>
          <w:sz w:val="24"/>
          <w:szCs w:val="24"/>
          <w:lang w:val="en-US"/>
        </w:rPr>
        <w:t xml:space="preserve">The laboratory animals were treated in accordance with the European Convention for the Protection of Vertebrates used for experimental and other purposes (Strasbourg, 1986) and the principles of the Helsinki Declaration (2000). All animal procedures performed with </w:t>
      </w:r>
      <w:proofErr w:type="spellStart"/>
      <w:r w:rsidR="00786711" w:rsidRPr="00A61548">
        <w:rPr>
          <w:rFonts w:ascii="Times New Roman" w:hAnsi="Times New Roman" w:cs="Times New Roman"/>
          <w:color w:val="000000" w:themeColor="text1"/>
          <w:sz w:val="24"/>
          <w:szCs w:val="24"/>
          <w:lang w:val="en-US"/>
        </w:rPr>
        <w:t>mices</w:t>
      </w:r>
      <w:proofErr w:type="spellEnd"/>
      <w:r w:rsidR="00786711" w:rsidRPr="00A61548">
        <w:rPr>
          <w:rFonts w:ascii="Times New Roman" w:hAnsi="Times New Roman" w:cs="Times New Roman"/>
          <w:color w:val="000000" w:themeColor="text1"/>
          <w:sz w:val="24"/>
          <w:szCs w:val="24"/>
          <w:lang w:val="en-US"/>
        </w:rPr>
        <w:t xml:space="preserve"> were approved by the Commission on Biosafety and Bioethics (Institute of Cell Biophysics – </w:t>
      </w:r>
      <w:proofErr w:type="spellStart"/>
      <w:r w:rsidR="00786711" w:rsidRPr="00A61548">
        <w:rPr>
          <w:rFonts w:ascii="Times New Roman" w:hAnsi="Times New Roman" w:cs="Times New Roman"/>
          <w:color w:val="000000" w:themeColor="text1"/>
          <w:sz w:val="24"/>
          <w:szCs w:val="24"/>
          <w:lang w:val="en-US"/>
        </w:rPr>
        <w:t>Pushchino</w:t>
      </w:r>
      <w:proofErr w:type="spellEnd"/>
      <w:r w:rsidR="00786711" w:rsidRPr="00A61548">
        <w:rPr>
          <w:rFonts w:ascii="Times New Roman" w:hAnsi="Times New Roman" w:cs="Times New Roman"/>
          <w:color w:val="000000" w:themeColor="text1"/>
          <w:sz w:val="24"/>
          <w:szCs w:val="24"/>
          <w:lang w:val="en-US"/>
        </w:rPr>
        <w:t xml:space="preserve"> Scientific Center for Biological Research of the Russian Academy of Sciences) in accordance with Directive 2010/63/EU of the European Parliament.</w:t>
      </w:r>
    </w:p>
    <w:p w14:paraId="570A0DB7" w14:textId="1FF5D65C" w:rsidR="003A36F2"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First, to form groups of animals for breeding, mice were genotyped by classical PCR using DNA isolated from ear biopsy specimens. The presence of a </w:t>
      </w:r>
      <w:proofErr w:type="spellStart"/>
      <w:r w:rsidRPr="00EC3E53">
        <w:rPr>
          <w:rFonts w:ascii="Times New Roman" w:hAnsi="Times New Roman" w:cs="Times New Roman"/>
          <w:sz w:val="24"/>
          <w:szCs w:val="24"/>
          <w:lang w:val="en-US"/>
        </w:rPr>
        <w:t>Tg</w:t>
      </w:r>
      <w:proofErr w:type="spellEnd"/>
      <w:r w:rsidRPr="00EC3E53">
        <w:rPr>
          <w:rFonts w:ascii="Times New Roman" w:hAnsi="Times New Roman" w:cs="Times New Roman"/>
          <w:sz w:val="24"/>
          <w:szCs w:val="24"/>
          <w:lang w:val="en-US"/>
        </w:rPr>
        <w:t xml:space="preserve"> cassette of 377 bp in length was detected using primers 5'-AGG ACT GAC CAC TCG ACC AG-3' and 5'-CGG GGG TCT AGT TCT GCA T-3', followed by electrophoretic visualization.</w:t>
      </w:r>
    </w:p>
    <w:p w14:paraId="74F4D8A2" w14:textId="77777777" w:rsidR="003A36F2" w:rsidRPr="00B95E8E" w:rsidRDefault="003A36F2"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2.1 Primary culture of brain hippocampus.</w:t>
      </w:r>
    </w:p>
    <w:p w14:paraId="25F3DBCD" w14:textId="30E7E8AD" w:rsidR="003A36F2"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After genotyping and formation of groups of healthy and 5xFAD animals for breeding, mice (age 0-1 day) were genotyped to further obtain primary hippocampal cell culture. For this purpose, the hippocampus was mechanically crushed and treated with Trypsin-EDTA solution (Gibco, USA). The cell suspension obtained by enzymatic and mechanical dissociation was then added to the wells of a 12-well plate coated with Poly-D-Lysine support substrate (Gibco, USA) or to slides, cells were added to 2 or 1 ml of Neurobasal Medium (Gibco, USA) containing 2% B-27 Supplement (Gibco, USA) and 1% Penicillin-Streptomycin-</w:t>
      </w:r>
      <w:r w:rsidRPr="00A61548">
        <w:rPr>
          <w:rFonts w:ascii="Times New Roman" w:hAnsi="Times New Roman" w:cs="Times New Roman"/>
          <w:sz w:val="24"/>
          <w:szCs w:val="24"/>
          <w:lang w:val="en-US"/>
        </w:rPr>
        <w:t>Glutamine (Gibco, USA), respectively. Half of the medium was replaced with new medium every five days. Cells</w:t>
      </w:r>
      <w:r w:rsidRPr="00EC3E53">
        <w:rPr>
          <w:rFonts w:ascii="Times New Roman" w:hAnsi="Times New Roman" w:cs="Times New Roman"/>
          <w:sz w:val="24"/>
          <w:szCs w:val="24"/>
          <w:lang w:val="en-US"/>
        </w:rPr>
        <w:t xml:space="preserve"> were cultured until the required time in a CO2 incubator at 37°C and 5% CO2. Thus, we obtained both control transgenic</w:t>
      </w:r>
      <w:r w:rsidR="00AA17CB" w:rsidRPr="00EC3E53">
        <w:rPr>
          <w:rFonts w:ascii="Times New Roman" w:hAnsi="Times New Roman" w:cs="Times New Roman"/>
          <w:sz w:val="24"/>
          <w:szCs w:val="24"/>
          <w:lang w:val="en-US"/>
        </w:rPr>
        <w:t xml:space="preserve"> (</w:t>
      </w:r>
      <w:proofErr w:type="spellStart"/>
      <w:r w:rsidR="00AA17CB" w:rsidRPr="00EC3E53">
        <w:rPr>
          <w:rFonts w:ascii="Times New Roman" w:hAnsi="Times New Roman" w:cs="Times New Roman"/>
          <w:sz w:val="24"/>
          <w:szCs w:val="24"/>
          <w:lang w:val="en-US"/>
        </w:rPr>
        <w:t>Tg</w:t>
      </w:r>
      <w:proofErr w:type="spellEnd"/>
      <w:r w:rsidR="00AA17CB" w:rsidRPr="00EC3E53">
        <w:rPr>
          <w:rFonts w:ascii="Times New Roman" w:hAnsi="Times New Roman" w:cs="Times New Roman"/>
          <w:sz w:val="24"/>
          <w:szCs w:val="24"/>
          <w:lang w:val="en-US"/>
        </w:rPr>
        <w:t>)</w:t>
      </w:r>
      <w:r w:rsidRPr="00EC3E53">
        <w:rPr>
          <w:rFonts w:ascii="Times New Roman" w:hAnsi="Times New Roman" w:cs="Times New Roman"/>
          <w:sz w:val="24"/>
          <w:szCs w:val="24"/>
          <w:lang w:val="en-US"/>
        </w:rPr>
        <w:t xml:space="preserve"> culture and </w:t>
      </w:r>
      <w:proofErr w:type="spellStart"/>
      <w:r w:rsidRPr="00EC3E53">
        <w:rPr>
          <w:rFonts w:ascii="Times New Roman" w:hAnsi="Times New Roman" w:cs="Times New Roman"/>
          <w:sz w:val="24"/>
          <w:szCs w:val="24"/>
          <w:lang w:val="en-US"/>
        </w:rPr>
        <w:t>nontransgenic</w:t>
      </w:r>
      <w:proofErr w:type="spellEnd"/>
      <w:r w:rsidRPr="00EC3E53">
        <w:rPr>
          <w:rFonts w:ascii="Times New Roman" w:hAnsi="Times New Roman" w:cs="Times New Roman"/>
          <w:sz w:val="24"/>
          <w:szCs w:val="24"/>
          <w:lang w:val="en-US"/>
        </w:rPr>
        <w:t xml:space="preserve"> </w:t>
      </w:r>
      <w:r w:rsidR="00AA17CB" w:rsidRPr="00EC3E53">
        <w:rPr>
          <w:rFonts w:ascii="Times New Roman" w:hAnsi="Times New Roman" w:cs="Times New Roman"/>
          <w:sz w:val="24"/>
          <w:szCs w:val="24"/>
          <w:lang w:val="en-US"/>
        </w:rPr>
        <w:t>(</w:t>
      </w:r>
      <w:proofErr w:type="spellStart"/>
      <w:r w:rsidR="00AA17CB" w:rsidRPr="00EC3E53">
        <w:rPr>
          <w:rFonts w:ascii="Times New Roman" w:hAnsi="Times New Roman" w:cs="Times New Roman"/>
          <w:sz w:val="24"/>
          <w:szCs w:val="24"/>
          <w:lang w:val="en-US"/>
        </w:rPr>
        <w:t>nTg</w:t>
      </w:r>
      <w:proofErr w:type="spellEnd"/>
      <w:r w:rsidR="00AA17CB" w:rsidRPr="00EC3E53">
        <w:rPr>
          <w:rFonts w:ascii="Times New Roman" w:hAnsi="Times New Roman" w:cs="Times New Roman"/>
          <w:sz w:val="24"/>
          <w:szCs w:val="24"/>
          <w:lang w:val="en-US"/>
        </w:rPr>
        <w:t xml:space="preserve">) </w:t>
      </w:r>
      <w:r w:rsidRPr="00EC3E53">
        <w:rPr>
          <w:rFonts w:ascii="Times New Roman" w:hAnsi="Times New Roman" w:cs="Times New Roman"/>
          <w:sz w:val="24"/>
          <w:szCs w:val="24"/>
          <w:lang w:val="en-US"/>
        </w:rPr>
        <w:t>culture from hippocampi of littermate animals. Cultures 14 days old were used in the experiments. At this term transgenic cultures already well reproduce such characteristic features of AD as: decrease in neuronal density on the background of increase in astrocyte density, decrease in the number of synaptic contacts, as well as a significant increase in the concentration of beta-amyloid.</w:t>
      </w:r>
    </w:p>
    <w:p w14:paraId="07EA4409" w14:textId="77777777" w:rsidR="003A36F2" w:rsidRPr="00B95E8E" w:rsidRDefault="003A36F2"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2.3 Regulation of mitochondrial fusion and fission processes.</w:t>
      </w:r>
    </w:p>
    <w:p w14:paraId="475BDD3B" w14:textId="7D373E68" w:rsidR="00431E91"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Two substances with similar functions but different pathways were selected for mitochondrial fusion shifts. The first substance, Mitochondrial Division Inhibitor 1 (Sigma-Aldrich 475856) (</w:t>
      </w:r>
      <w:r w:rsidR="0045186E">
        <w:rPr>
          <w:rFonts w:ascii="Times New Roman" w:hAnsi="Times New Roman" w:cs="Times New Roman"/>
          <w:sz w:val="24"/>
          <w:szCs w:val="24"/>
          <w:lang w:val="en-US"/>
        </w:rPr>
        <w:t>m</w:t>
      </w:r>
      <w:r w:rsidRPr="00EC3E53">
        <w:rPr>
          <w:rFonts w:ascii="Times New Roman" w:hAnsi="Times New Roman" w:cs="Times New Roman"/>
          <w:sz w:val="24"/>
          <w:szCs w:val="24"/>
          <w:lang w:val="en-US"/>
        </w:rPr>
        <w:t>divi-1), is a cell-permeable quinazolinone compound that reversibly inhibits dynamin-like proteins (Drp1) (dynamin-related GTPases) responsible for mitochondrial fission. The second substance: Mitochondrial Fusion Promoter M1 (Sigma-Aldrich SML0629)</w:t>
      </w:r>
      <w:r w:rsidR="00354863">
        <w:rPr>
          <w:rFonts w:ascii="Times New Roman" w:hAnsi="Times New Roman" w:cs="Times New Roman"/>
          <w:sz w:val="24"/>
          <w:szCs w:val="24"/>
          <w:lang w:val="en-US"/>
        </w:rPr>
        <w:t xml:space="preserve"> </w:t>
      </w:r>
      <w:r w:rsidRPr="00EC3E53">
        <w:rPr>
          <w:rFonts w:ascii="Times New Roman" w:hAnsi="Times New Roman" w:cs="Times New Roman"/>
          <w:sz w:val="24"/>
          <w:szCs w:val="24"/>
          <w:lang w:val="en-US"/>
        </w:rPr>
        <w:t>(MFP), is a cell-permeable hydrazone that enhances mitochondrial fusion and does not affect the morphology of the endoplasmic network and lysosomes. Preparation of solutions of substances and application into wells was performed according to the manufacturer's recommendations. In our experiments, we used short (1 day) and long (5 days) observation after Mdivi-1 and MFP administration to evaluate the response and dynamics of changes in the structure of the primary hippocampal culture over time.</w:t>
      </w:r>
    </w:p>
    <w:p w14:paraId="23FDDE23" w14:textId="6AC29F08" w:rsidR="003A36F2"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Forcing mitochondrial fission seemed to be a much more difficult task. Currently, the commercial market cannot provide compounds capable of directly affecting mitochondrial fission processes. In our experiments we used the introduction of zinc chloride solution of high (1μM) and low concentration (0.1μM) into the cultures. "Overloading" the culture cells with zinc causes too much cellular and mitochondrial stress, which directly affects both mitochondrial and culture morphology, so this experiment was performed within a single day only. The concentration we chose allowed for effects on mitochondrial morphology without causing immediate cytotoxicity, which is primarily reflected in the integrity of the neurite structure. This experiment reflects short (1 day) and long (5 days) follow-up.</w:t>
      </w:r>
    </w:p>
    <w:p w14:paraId="10EC4461" w14:textId="77777777" w:rsidR="003A36F2" w:rsidRPr="00B95E8E" w:rsidRDefault="003A36F2"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 xml:space="preserve">2.4 Visualization of mitochondria. </w:t>
      </w:r>
    </w:p>
    <w:p w14:paraId="530800FA" w14:textId="77777777" w:rsidR="003A36F2" w:rsidRPr="00EC3E53"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lastRenderedPageBreak/>
        <w:t xml:space="preserve">To visualize mitochondria in cells, we used transduction/transfection of cell cultures with the </w:t>
      </w:r>
      <w:proofErr w:type="spellStart"/>
      <w:r w:rsidRPr="00EC3E53">
        <w:rPr>
          <w:rFonts w:ascii="Times New Roman" w:hAnsi="Times New Roman" w:cs="Times New Roman"/>
          <w:sz w:val="24"/>
          <w:szCs w:val="24"/>
          <w:lang w:val="en-US"/>
        </w:rPr>
        <w:t>CellLight</w:t>
      </w:r>
      <w:proofErr w:type="spellEnd"/>
      <w:r w:rsidRPr="00EC3E53">
        <w:rPr>
          <w:rFonts w:ascii="Times New Roman" w:hAnsi="Times New Roman" w:cs="Times New Roman"/>
          <w:sz w:val="24"/>
          <w:szCs w:val="24"/>
          <w:lang w:val="en-US"/>
        </w:rPr>
        <w:t xml:space="preserve"> </w:t>
      </w:r>
      <w:proofErr w:type="spellStart"/>
      <w:r w:rsidRPr="00EC3E53">
        <w:rPr>
          <w:rFonts w:ascii="Times New Roman" w:hAnsi="Times New Roman" w:cs="Times New Roman"/>
          <w:sz w:val="24"/>
          <w:szCs w:val="24"/>
          <w:lang w:val="en-US"/>
        </w:rPr>
        <w:t>BacMam</w:t>
      </w:r>
      <w:proofErr w:type="spellEnd"/>
      <w:r w:rsidRPr="00EC3E53">
        <w:rPr>
          <w:rFonts w:ascii="Times New Roman" w:hAnsi="Times New Roman" w:cs="Times New Roman"/>
          <w:sz w:val="24"/>
          <w:szCs w:val="24"/>
          <w:lang w:val="en-US"/>
        </w:rPr>
        <w:t xml:space="preserve"> 2.0 Red system. This ready-to-use construct is transduced/transfected into cells using </w:t>
      </w:r>
      <w:proofErr w:type="spellStart"/>
      <w:r w:rsidRPr="00EC3E53">
        <w:rPr>
          <w:rFonts w:ascii="Times New Roman" w:hAnsi="Times New Roman" w:cs="Times New Roman"/>
          <w:sz w:val="24"/>
          <w:szCs w:val="24"/>
          <w:lang w:val="en-US"/>
        </w:rPr>
        <w:t>BacMam</w:t>
      </w:r>
      <w:proofErr w:type="spellEnd"/>
      <w:r w:rsidRPr="00EC3E53">
        <w:rPr>
          <w:rFonts w:ascii="Times New Roman" w:hAnsi="Times New Roman" w:cs="Times New Roman"/>
          <w:sz w:val="24"/>
          <w:szCs w:val="24"/>
          <w:lang w:val="en-US"/>
        </w:rPr>
        <w:t xml:space="preserve"> 2.0 technology, where it expresses a fluorescent protein fused to the E1-alpha-pyruvate dehydrogenase leader sequence. A suitable volume of reagent is injected into a cell culture of desired density (reagent calculation is based on the number of cells in the culture according to the manufacturer's recommendations) and gently mixed. The cells are returned to the culture incubator overnight, and after approximately 16 hours, the culture is ready for experiments. </w:t>
      </w:r>
    </w:p>
    <w:p w14:paraId="00BB210D" w14:textId="72859FA4" w:rsidR="003A36F2"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Mitochondrial morphology was examined on a Leica DM IL LED microscope (Leica, Germany) using a x100 oil-immersion objective. We found that fixation of nerve cells disrupts mitochondrial morphology and triggers an immediate cascade of </w:t>
      </w:r>
      <w:proofErr w:type="spellStart"/>
      <w:r w:rsidRPr="00EC3E53">
        <w:rPr>
          <w:rFonts w:ascii="Times New Roman" w:hAnsi="Times New Roman" w:cs="Times New Roman"/>
          <w:sz w:val="24"/>
          <w:szCs w:val="24"/>
          <w:lang w:val="en-US"/>
        </w:rPr>
        <w:t>mitoptosis</w:t>
      </w:r>
      <w:proofErr w:type="spellEnd"/>
      <w:r w:rsidRPr="00EC3E53">
        <w:rPr>
          <w:rFonts w:ascii="Times New Roman" w:hAnsi="Times New Roman" w:cs="Times New Roman"/>
          <w:sz w:val="24"/>
          <w:szCs w:val="24"/>
          <w:lang w:val="en-US"/>
        </w:rPr>
        <w:t xml:space="preserve"> reactions with displacement of mitochondrial material together with fluorescent agent from the cell, which is especially noticeable when working with astrocyt</w:t>
      </w:r>
      <w:r w:rsidR="00AA701B">
        <w:rPr>
          <w:rFonts w:ascii="Times New Roman" w:hAnsi="Times New Roman" w:cs="Times New Roman"/>
          <w:sz w:val="24"/>
          <w:szCs w:val="24"/>
          <w:lang w:val="en-US"/>
        </w:rPr>
        <w:t>es</w:t>
      </w:r>
      <w:r w:rsidRPr="00EC3E53">
        <w:rPr>
          <w:rFonts w:ascii="Times New Roman" w:hAnsi="Times New Roman" w:cs="Times New Roman"/>
          <w:sz w:val="24"/>
          <w:szCs w:val="24"/>
          <w:lang w:val="en-US"/>
        </w:rPr>
        <w:t>. Therefore, all data on mitochondrial morphology were obtained on live, unfixed cell cultures.</w:t>
      </w:r>
    </w:p>
    <w:p w14:paraId="272DEE36" w14:textId="77777777" w:rsidR="003A36F2" w:rsidRPr="00B95E8E" w:rsidRDefault="003A36F2"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2.5 Detection of intracellular lipofuscin</w:t>
      </w:r>
    </w:p>
    <w:p w14:paraId="2E59DFAF" w14:textId="4699FAFA" w:rsidR="003A36F2" w:rsidRPr="00EC3E53"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We also used spectrofluorimetric detection of lipofuscin, an </w:t>
      </w:r>
      <w:proofErr w:type="spellStart"/>
      <w:r w:rsidRPr="00EC3E53">
        <w:rPr>
          <w:rFonts w:ascii="Times New Roman" w:hAnsi="Times New Roman" w:cs="Times New Roman"/>
          <w:sz w:val="24"/>
          <w:szCs w:val="24"/>
          <w:lang w:val="en-US"/>
        </w:rPr>
        <w:t>autofluorescent</w:t>
      </w:r>
      <w:proofErr w:type="spellEnd"/>
      <w:r w:rsidRPr="00EC3E53">
        <w:rPr>
          <w:rFonts w:ascii="Times New Roman" w:hAnsi="Times New Roman" w:cs="Times New Roman"/>
          <w:sz w:val="24"/>
          <w:szCs w:val="24"/>
          <w:lang w:val="en-US"/>
        </w:rPr>
        <w:t xml:space="preserve"> aging pigment, as a marker of changes in cellular metabolism. For this purpose, culture plates with primary hippocampal cultures were washed three times from the medium with PBS and poured into a solution of 5% sodium dodecyl sulfate in water for 5 minutes with simultaneous stirring on a shaker equipped with a refrigerant, which allowed to completely destroy cell cultures and transfer them into solution. The resulting suspensions were frozen and further used for experiments. Sodium dodecyl sulfate, disintegrates protein complexes, destroying cell membranes, but does not destroy lipofuscin, due to its N-substituted imines - Schiff bases. The addition of detergent in our experiments, in addition to chemical dissociation, reduced light scattering and eliminated the effect of Tyndall-Rayleigh </w:t>
      </w:r>
      <w:proofErr w:type="spellStart"/>
      <w:r w:rsidRPr="00EC3E53">
        <w:rPr>
          <w:rFonts w:ascii="Times New Roman" w:hAnsi="Times New Roman" w:cs="Times New Roman"/>
          <w:sz w:val="24"/>
          <w:szCs w:val="24"/>
          <w:lang w:val="en-US"/>
        </w:rPr>
        <w:t>hypochromism</w:t>
      </w:r>
      <w:proofErr w:type="spellEnd"/>
      <w:r w:rsidRPr="00EC3E53">
        <w:rPr>
          <w:rFonts w:ascii="Times New Roman" w:hAnsi="Times New Roman" w:cs="Times New Roman"/>
          <w:sz w:val="24"/>
          <w:szCs w:val="24"/>
          <w:lang w:val="en-US"/>
        </w:rPr>
        <w:t xml:space="preserve">, directly affecting the registration of spectral characteristics. </w:t>
      </w:r>
    </w:p>
    <w:p w14:paraId="6454F26A" w14:textId="2E394718" w:rsidR="003A36F2" w:rsidRPr="00EC3E53" w:rsidRDefault="003A36F2" w:rsidP="00B01E7F">
      <w:pPr>
        <w:spacing w:line="240" w:lineRule="auto"/>
        <w:rPr>
          <w:rFonts w:ascii="Times New Roman" w:hAnsi="Times New Roman" w:cs="Times New Roman"/>
          <w:color w:val="000000" w:themeColor="text1"/>
          <w:sz w:val="24"/>
          <w:szCs w:val="24"/>
          <w:lang w:val="en-US"/>
        </w:rPr>
      </w:pPr>
      <w:r w:rsidRPr="00EC3E53">
        <w:rPr>
          <w:rFonts w:ascii="Times New Roman" w:hAnsi="Times New Roman" w:cs="Times New Roman"/>
          <w:sz w:val="24"/>
          <w:szCs w:val="24"/>
          <w:lang w:val="en-US"/>
        </w:rPr>
        <w:t xml:space="preserve">Protein concentration in the obtained suspensions was determined and equilibrated by the Lowry method and UV-express method by the optical density of tryptophan protein </w:t>
      </w:r>
      <w:r w:rsidRPr="00B95E8E">
        <w:rPr>
          <w:rFonts w:ascii="Times New Roman" w:hAnsi="Times New Roman" w:cs="Times New Roman"/>
          <w:sz w:val="24"/>
          <w:szCs w:val="24"/>
          <w:lang w:val="en-US"/>
        </w:rPr>
        <w:t xml:space="preserve">in ultraviolet at 286 nm </w:t>
      </w:r>
      <w:r w:rsidR="00AA17CB" w:rsidRPr="00B95E8E">
        <w:rPr>
          <w:rFonts w:ascii="Times New Roman" w:hAnsi="Times New Roman" w:cs="Times New Roman"/>
          <w:sz w:val="24"/>
          <w:szCs w:val="24"/>
          <w:lang w:val="en-US"/>
        </w:rPr>
        <w:fldChar w:fldCharType="begin" w:fldLock="1"/>
      </w:r>
      <w:r w:rsidR="00DA4C46" w:rsidRPr="00B95E8E">
        <w:rPr>
          <w:rFonts w:ascii="Times New Roman" w:hAnsi="Times New Roman" w:cs="Times New Roman"/>
          <w:sz w:val="24"/>
          <w:szCs w:val="24"/>
          <w:lang w:val="en-US"/>
        </w:rPr>
        <w:instrText>ADDIN CSL_CITATION {"citationItems":[{"id":"ITEM-1","itemData":{"ISSN":"1561-9125 (Print)","PMID":"30080326","abstract":"A comparison of the lipofuscin (aging pigment) content in four organs (liver,  kidney, heart, brain) of young and adult rats, as well as in a suspension of hepatic mitochondria, was made. It was demonstrated that mitochondrial lipofuscin - mitolipofuscin, fluorescing in the blue region, makes the main contribution to hepatic lipofuscin. It is assumed that mitolipofuscin in other organs also makes a significant contribution. It is shown that accumulation of lipofuscin with age occurs in all organs of rats, but least of all in the brain. In addition to fluorescent lipofuscin, non-fluorescent protein aggregates are found in all organs, the largest number of which is found in the heart. Among them, a significant proportion is covalently cross-linked aggregates that are not destroyed by detergents. Their number also increases with age.","author":[{"dropping-particle":"V","family":"Chaplygina","given":"A","non-dropping-particle":"","parse-names":false,"suffix":""},{"dropping-particle":"","family":"Vekshin","given":"N L","non-dropping-particle":"","parse-names":false,"suffix":""}],"container-title":"Advances in gerontology = Uspekhi gerontologii","id":"ITEM-1","issue":"2","issued":{"date-parts":[["2018"]]},"language":"rus","page":"197-202","publisher-place":"Russia (Federation)","title":"[Lipofuscin and mitolipofuscin in organs of young and adult rats.].","type":"article-journal","volume":"31"},"uris":["http://www.mendeley.com/documents/?uuid=b3ebcffd-107a-4edb-80a6-734bed615cba"]}],"mendeley":{"formattedCitation":"[12]","plainTextFormattedCitation":"[12]","previouslyFormattedCitation":"[12]"},"properties":{"noteIndex":0},"schema":"https://github.com/citation-style-language/schema/raw/master/csl-citation.json"}</w:instrText>
      </w:r>
      <w:r w:rsidR="00AA17CB" w:rsidRPr="00B95E8E">
        <w:rPr>
          <w:rFonts w:ascii="Times New Roman" w:hAnsi="Times New Roman" w:cs="Times New Roman"/>
          <w:sz w:val="24"/>
          <w:szCs w:val="24"/>
          <w:lang w:val="en-US"/>
        </w:rPr>
        <w:fldChar w:fldCharType="separate"/>
      </w:r>
      <w:r w:rsidR="00AA17CB" w:rsidRPr="00B95E8E">
        <w:rPr>
          <w:rFonts w:ascii="Times New Roman" w:hAnsi="Times New Roman" w:cs="Times New Roman"/>
          <w:noProof/>
          <w:sz w:val="24"/>
          <w:szCs w:val="24"/>
          <w:lang w:val="en-US"/>
        </w:rPr>
        <w:t>[12]</w:t>
      </w:r>
      <w:r w:rsidR="00AA17CB" w:rsidRPr="00B95E8E">
        <w:rPr>
          <w:rFonts w:ascii="Times New Roman" w:hAnsi="Times New Roman" w:cs="Times New Roman"/>
          <w:sz w:val="24"/>
          <w:szCs w:val="24"/>
          <w:lang w:val="en-US"/>
        </w:rPr>
        <w:fldChar w:fldCharType="end"/>
      </w:r>
      <w:r w:rsidRPr="00B95E8E">
        <w:rPr>
          <w:rFonts w:ascii="Times New Roman" w:hAnsi="Times New Roman" w:cs="Times New Roman"/>
          <w:color w:val="000000" w:themeColor="text1"/>
          <w:sz w:val="24"/>
          <w:szCs w:val="24"/>
          <w:lang w:val="en-US"/>
        </w:rPr>
        <w:t>. UV</w:t>
      </w:r>
      <w:r w:rsidRPr="00EC3E53">
        <w:rPr>
          <w:rFonts w:ascii="Times New Roman" w:hAnsi="Times New Roman" w:cs="Times New Roman"/>
          <w:color w:val="000000" w:themeColor="text1"/>
          <w:sz w:val="24"/>
          <w:szCs w:val="24"/>
          <w:lang w:val="en-US"/>
        </w:rPr>
        <w:t xml:space="preserve"> spectroscopy methods are based on the ability of solutions to absorb light at around 280 nm due to the presence of the </w:t>
      </w:r>
      <w:r w:rsidR="00AA17CB" w:rsidRPr="00EC3E53">
        <w:rPr>
          <w:rFonts w:ascii="Times New Roman" w:hAnsi="Times New Roman" w:cs="Times New Roman"/>
          <w:color w:val="000000" w:themeColor="text1"/>
          <w:sz w:val="24"/>
          <w:szCs w:val="24"/>
          <w:lang w:val="en-US"/>
        </w:rPr>
        <w:t>amino acids’</w:t>
      </w:r>
      <w:r w:rsidRPr="00EC3E53">
        <w:rPr>
          <w:rFonts w:ascii="Times New Roman" w:hAnsi="Times New Roman" w:cs="Times New Roman"/>
          <w:color w:val="000000" w:themeColor="text1"/>
          <w:sz w:val="24"/>
          <w:szCs w:val="24"/>
          <w:lang w:val="en-US"/>
        </w:rPr>
        <w:t xml:space="preserve"> tryptophan, tyrosine and phenylalanine in proteins. The detection results are directly proportional to the content of these amino acids in proteins. To obtain reliable and accurate results, the optical density values of the solutions must meet the requirements of linearity over the range of protein concentrations to be determined.</w:t>
      </w:r>
    </w:p>
    <w:p w14:paraId="73340AD8" w14:textId="36F87453" w:rsidR="003A36F2"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Lipofuscin formation was detected by a characteristic fluorescence band at about 450 nm under excitation at a wavelength of 360 nm. Lipofuscin content in homogenates was determined on a Perkin Elmer MPF-44B </w:t>
      </w:r>
      <w:proofErr w:type="spellStart"/>
      <w:r w:rsidRPr="00EC3E53">
        <w:rPr>
          <w:rFonts w:ascii="Times New Roman" w:hAnsi="Times New Roman" w:cs="Times New Roman"/>
          <w:sz w:val="24"/>
          <w:szCs w:val="24"/>
          <w:lang w:val="en-US"/>
        </w:rPr>
        <w:t>spectrofluorimeter</w:t>
      </w:r>
      <w:proofErr w:type="spellEnd"/>
      <w:r w:rsidRPr="00EC3E53">
        <w:rPr>
          <w:rFonts w:ascii="Times New Roman" w:hAnsi="Times New Roman" w:cs="Times New Roman"/>
          <w:sz w:val="24"/>
          <w:szCs w:val="24"/>
          <w:lang w:val="en-US"/>
        </w:rPr>
        <w:t xml:space="preserve"> (USA) in multiway mirror microcuvettes for measuring fluorescence of weakly absorbing solutions. The cuvettes provide multiple enhancement of fluorescence intensity due to the increased optical path length of the excitation light and the added light collection of the emission. Excitation light entering through a narrow window in the frontal mirror wall of the cuvette passes through the solution and onto the mirror opposite side, is deflected and undergoes two or three reflections within the cuvette. The radiation is collected at right angles. Additional light collection of radiation is provided by a mirror side wall that directs the fluorescence into the registration channel. When it is used, light losses and artifact polarization are minimal compared to a conventional cuvette located near concave mirrors.</w:t>
      </w:r>
    </w:p>
    <w:p w14:paraId="402B4B94" w14:textId="77777777" w:rsidR="003A36F2" w:rsidRPr="00B95E8E" w:rsidRDefault="003A36F2"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 xml:space="preserve">2.6 Immunocytochemistry </w:t>
      </w:r>
    </w:p>
    <w:p w14:paraId="54F591B5" w14:textId="57FF43E8" w:rsidR="003A36F2"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lastRenderedPageBreak/>
        <w:t>For immunocytochemical staining for neuronal and astrocyte markers, cell cultures were fixed for 10 minutes with 4% paraformaldehyde. Membrane permeability was then increased using 0.2% Triton X-100 solution and nonspecific binding to antigens was blocked for one hour at room temperature in PBST (PBS+0.1% Tween 20) + 1% BSA solution using 10% normalized donkey serum (Abcam, ab7475) and 5% normalized goat serum (Invitrogen, 31872). Cultures were left overnight at 4°C for incubation with primary antibodies. After incubation with primary antibodies, binding was performed with appropriate secondary antibodies conjugated to fluorescent tags for 2 hours at room temperature. After each treatment, cells were washed 3 times with PBS solution (pH 7.4) for 5 minutes each. The following primary and secondary antibodies were used to stain for neurons - Anti-MAP2 antibody (ab32454, 1:200) and corresponding Alexa594nm (ab150080, 1:400); astrocytes - Anti-GFAP antibody (ab4674, 1:800); Alexa488nm (ab150169, 1:1000).</w:t>
      </w:r>
    </w:p>
    <w:p w14:paraId="27C4D567" w14:textId="77777777" w:rsidR="003A36F2" w:rsidRPr="00B95E8E" w:rsidRDefault="003A36F2"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2.7 Statistical Analysis</w:t>
      </w:r>
    </w:p>
    <w:p w14:paraId="17218783" w14:textId="0E3C0388" w:rsidR="003A36F2"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Statistical analysis of the results was performed using Sigma Plot 12.5 software. Data are presented as mean and standard error of mean for visual convenience. The hypothesis of normal distribution was tested using the Shapiro-Wilk test. One-factor ANOVA analysis of variance with a posteriori comparison of groups using Dunn's </w:t>
      </w:r>
      <w:r w:rsidR="00F0260F">
        <w:rPr>
          <w:rFonts w:ascii="Times New Roman" w:hAnsi="Times New Roman" w:cs="Times New Roman"/>
          <w:sz w:val="24"/>
          <w:szCs w:val="24"/>
          <w:lang w:val="en-US"/>
        </w:rPr>
        <w:t xml:space="preserve">and </w:t>
      </w:r>
      <w:r w:rsidR="00F0260F" w:rsidRPr="00831859">
        <w:rPr>
          <w:rFonts w:ascii="Times New Roman" w:hAnsi="Times New Roman" w:cs="Times New Roman"/>
          <w:sz w:val="24"/>
          <w:szCs w:val="24"/>
          <w:lang w:val="en-US"/>
        </w:rPr>
        <w:t>Bonferroni</w:t>
      </w:r>
      <w:r w:rsidR="00F0260F" w:rsidRPr="00EC3E53">
        <w:rPr>
          <w:rFonts w:ascii="Times New Roman" w:hAnsi="Times New Roman" w:cs="Times New Roman"/>
          <w:sz w:val="24"/>
          <w:szCs w:val="24"/>
          <w:lang w:val="en-US"/>
        </w:rPr>
        <w:t xml:space="preserve"> </w:t>
      </w:r>
      <w:r w:rsidRPr="00EC3E53">
        <w:rPr>
          <w:rFonts w:ascii="Times New Roman" w:hAnsi="Times New Roman" w:cs="Times New Roman"/>
          <w:sz w:val="24"/>
          <w:szCs w:val="24"/>
          <w:lang w:val="en-US"/>
        </w:rPr>
        <w:t>method</w:t>
      </w:r>
      <w:r w:rsidR="00F0260F">
        <w:rPr>
          <w:rFonts w:ascii="Times New Roman" w:hAnsi="Times New Roman" w:cs="Times New Roman"/>
          <w:sz w:val="24"/>
          <w:szCs w:val="24"/>
          <w:lang w:val="en-US"/>
        </w:rPr>
        <w:t>s</w:t>
      </w:r>
      <w:r w:rsidRPr="00EC3E53">
        <w:rPr>
          <w:rFonts w:ascii="Times New Roman" w:hAnsi="Times New Roman" w:cs="Times New Roman"/>
          <w:sz w:val="24"/>
          <w:szCs w:val="24"/>
          <w:lang w:val="en-US"/>
        </w:rPr>
        <w:t xml:space="preserve"> w</w:t>
      </w:r>
      <w:r w:rsidR="00F0260F">
        <w:rPr>
          <w:rFonts w:ascii="Times New Roman" w:hAnsi="Times New Roman" w:cs="Times New Roman"/>
          <w:sz w:val="24"/>
          <w:szCs w:val="24"/>
          <w:lang w:val="en-US"/>
        </w:rPr>
        <w:t xml:space="preserve">ere </w:t>
      </w:r>
      <w:r w:rsidRPr="00EC3E53">
        <w:rPr>
          <w:rFonts w:ascii="Times New Roman" w:hAnsi="Times New Roman" w:cs="Times New Roman"/>
          <w:sz w:val="24"/>
          <w:szCs w:val="24"/>
          <w:lang w:val="en-US"/>
        </w:rPr>
        <w:t>used to compare differences between groups and to determine statistical significance.</w:t>
      </w:r>
    </w:p>
    <w:p w14:paraId="2B7D70AA" w14:textId="4BF01215" w:rsidR="003A36F2" w:rsidRPr="00B95E8E" w:rsidRDefault="00B95E8E"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3. RESULTS</w:t>
      </w:r>
    </w:p>
    <w:p w14:paraId="6E1EED3E" w14:textId="0657FEF5" w:rsidR="003A36F2" w:rsidRPr="00431E91" w:rsidRDefault="003A36F2" w:rsidP="00B01E7F">
      <w:pPr>
        <w:spacing w:line="240" w:lineRule="auto"/>
        <w:rPr>
          <w:rFonts w:ascii="Times New Roman" w:hAnsi="Times New Roman" w:cs="Times New Roman"/>
          <w:b/>
          <w:bCs/>
          <w:sz w:val="24"/>
          <w:szCs w:val="24"/>
          <w:lang w:val="en-US"/>
        </w:rPr>
      </w:pPr>
      <w:r w:rsidRPr="00431E91">
        <w:rPr>
          <w:rFonts w:ascii="Times New Roman" w:hAnsi="Times New Roman" w:cs="Times New Roman"/>
          <w:b/>
          <w:bCs/>
          <w:sz w:val="24"/>
          <w:szCs w:val="24"/>
          <w:lang w:val="en-US"/>
        </w:rPr>
        <w:t>3.1 Forced activation of mitochondrial fusion leads to slow degradation of the culture.</w:t>
      </w:r>
    </w:p>
    <w:p w14:paraId="42B0AFC8" w14:textId="2AFF2760" w:rsidR="003A36F2" w:rsidRDefault="00D54168" w:rsidP="00B01E7F">
      <w:pPr>
        <w:spacing w:line="240" w:lineRule="auto"/>
        <w:rPr>
          <w:rFonts w:ascii="Times New Roman" w:hAnsi="Times New Roman" w:cs="Times New Roman"/>
          <w:sz w:val="24"/>
          <w:szCs w:val="24"/>
          <w:lang w:val="en-US"/>
        </w:rPr>
      </w:pPr>
      <w:r w:rsidRPr="00D54168">
        <w:rPr>
          <w:rFonts w:ascii="Times New Roman" w:hAnsi="Times New Roman" w:cs="Times New Roman"/>
          <w:sz w:val="24"/>
          <w:szCs w:val="24"/>
          <w:lang w:val="en-US"/>
        </w:rPr>
        <w:t xml:space="preserve">Utilization of the mitochondrial fusion promoter M1 (MFP) in astrocytes converts the mitochondrial network into a pool of fused and hyperfused mitochondria </w:t>
      </w:r>
      <w:r w:rsidR="003A36F2" w:rsidRPr="00EC3E53">
        <w:rPr>
          <w:rFonts w:ascii="Times New Roman" w:hAnsi="Times New Roman" w:cs="Times New Roman"/>
          <w:sz w:val="24"/>
          <w:szCs w:val="24"/>
          <w:lang w:val="en-US"/>
        </w:rPr>
        <w:t>(</w:t>
      </w:r>
      <w:r w:rsidR="003A36F2" w:rsidRPr="00D54168">
        <w:rPr>
          <w:rFonts w:ascii="Times New Roman" w:hAnsi="Times New Roman" w:cs="Times New Roman"/>
          <w:b/>
          <w:bCs/>
          <w:sz w:val="24"/>
          <w:szCs w:val="24"/>
          <w:lang w:val="en-US"/>
        </w:rPr>
        <w:t>Fig</w:t>
      </w:r>
      <w:r w:rsidRPr="00D54168">
        <w:rPr>
          <w:rFonts w:ascii="Times New Roman" w:hAnsi="Times New Roman" w:cs="Times New Roman"/>
          <w:b/>
          <w:bCs/>
          <w:sz w:val="24"/>
          <w:szCs w:val="24"/>
          <w:lang w:val="en-US"/>
        </w:rPr>
        <w:t>ure 1 C</w:t>
      </w:r>
      <w:r w:rsidR="003A36F2" w:rsidRPr="00EC3E53">
        <w:rPr>
          <w:rFonts w:ascii="Times New Roman" w:hAnsi="Times New Roman" w:cs="Times New Roman"/>
          <w:sz w:val="24"/>
          <w:szCs w:val="24"/>
          <w:lang w:val="en-US"/>
        </w:rPr>
        <w:t xml:space="preserve">). A similar pattern is observed in neurons, in which fused mitochondria become like elongated sticks or become large </w:t>
      </w:r>
      <w:r w:rsidR="003A36F2" w:rsidRPr="00117C40">
        <w:rPr>
          <w:rFonts w:ascii="Times New Roman" w:hAnsi="Times New Roman" w:cs="Times New Roman"/>
          <w:sz w:val="24"/>
          <w:szCs w:val="24"/>
          <w:lang w:val="en-US"/>
        </w:rPr>
        <w:t>fused mitochondria (</w:t>
      </w:r>
      <w:r w:rsidRPr="00117C40">
        <w:rPr>
          <w:rFonts w:ascii="Times New Roman" w:hAnsi="Times New Roman" w:cs="Times New Roman"/>
          <w:b/>
          <w:bCs/>
          <w:sz w:val="24"/>
          <w:szCs w:val="24"/>
          <w:lang w:val="en-US"/>
        </w:rPr>
        <w:t>Figure 1, C1</w:t>
      </w:r>
      <w:r w:rsidR="003A36F2" w:rsidRPr="00117C40">
        <w:rPr>
          <w:rFonts w:ascii="Times New Roman" w:hAnsi="Times New Roman" w:cs="Times New Roman"/>
          <w:sz w:val="24"/>
          <w:szCs w:val="24"/>
          <w:lang w:val="en-US"/>
        </w:rPr>
        <w:t xml:space="preserve">). </w:t>
      </w:r>
      <w:r w:rsidR="003A36F2" w:rsidRPr="00117C40">
        <w:rPr>
          <w:rFonts w:ascii="Times New Roman" w:hAnsi="Times New Roman" w:cs="Times New Roman"/>
          <w:b/>
          <w:bCs/>
          <w:sz w:val="24"/>
          <w:szCs w:val="24"/>
          <w:lang w:val="en-US"/>
        </w:rPr>
        <w:t>Fig</w:t>
      </w:r>
      <w:r w:rsidR="00431E91" w:rsidRPr="00117C40">
        <w:rPr>
          <w:rFonts w:ascii="Times New Roman" w:hAnsi="Times New Roman" w:cs="Times New Roman"/>
          <w:b/>
          <w:bCs/>
          <w:sz w:val="24"/>
          <w:szCs w:val="24"/>
          <w:lang w:val="en-US"/>
        </w:rPr>
        <w:t>ure</w:t>
      </w:r>
      <w:r w:rsidR="003A36F2" w:rsidRPr="00117C40">
        <w:rPr>
          <w:rFonts w:ascii="Times New Roman" w:hAnsi="Times New Roman" w:cs="Times New Roman"/>
          <w:b/>
          <w:bCs/>
          <w:sz w:val="24"/>
          <w:szCs w:val="24"/>
          <w:lang w:val="en-US"/>
        </w:rPr>
        <w:t xml:space="preserve"> 2, B-B1</w:t>
      </w:r>
      <w:r w:rsidR="00431E91" w:rsidRPr="00117C40">
        <w:rPr>
          <w:rFonts w:ascii="Times New Roman" w:hAnsi="Times New Roman" w:cs="Times New Roman"/>
          <w:sz w:val="24"/>
          <w:szCs w:val="24"/>
          <w:lang w:val="en-US"/>
        </w:rPr>
        <w:t xml:space="preserve"> is</w:t>
      </w:r>
      <w:r w:rsidR="003A36F2" w:rsidRPr="00117C40">
        <w:rPr>
          <w:rFonts w:ascii="Times New Roman" w:hAnsi="Times New Roman" w:cs="Times New Roman"/>
          <w:sz w:val="24"/>
          <w:szCs w:val="24"/>
          <w:lang w:val="en-US"/>
        </w:rPr>
        <w:t xml:space="preserve"> a tendency for neuronal density to fall by day 1 of exposure, and it falls significantly relative to the control native culture level by day 5 (47.4±</w:t>
      </w:r>
      <w:r w:rsidR="009176BE" w:rsidRPr="00117C40">
        <w:rPr>
          <w:rFonts w:ascii="Times New Roman" w:hAnsi="Times New Roman" w:cs="Times New Roman"/>
          <w:sz w:val="24"/>
          <w:szCs w:val="24"/>
          <w:lang w:val="en-US"/>
        </w:rPr>
        <w:t>1</w:t>
      </w:r>
      <w:r w:rsidR="003A36F2" w:rsidRPr="00117C40">
        <w:rPr>
          <w:rFonts w:ascii="Times New Roman" w:hAnsi="Times New Roman" w:cs="Times New Roman"/>
          <w:sz w:val="24"/>
          <w:szCs w:val="24"/>
          <w:lang w:val="en-US"/>
        </w:rPr>
        <w:t xml:space="preserve"> at native level, 3</w:t>
      </w:r>
      <w:r w:rsidR="009176BE" w:rsidRPr="00117C40">
        <w:rPr>
          <w:rFonts w:ascii="Times New Roman" w:hAnsi="Times New Roman" w:cs="Times New Roman"/>
          <w:sz w:val="24"/>
          <w:szCs w:val="24"/>
          <w:lang w:val="en-US"/>
        </w:rPr>
        <w:t>6</w:t>
      </w:r>
      <w:r w:rsidR="003A36F2" w:rsidRPr="00117C40">
        <w:rPr>
          <w:rFonts w:ascii="Times New Roman" w:hAnsi="Times New Roman" w:cs="Times New Roman"/>
          <w:sz w:val="24"/>
          <w:szCs w:val="24"/>
          <w:lang w:val="en-US"/>
        </w:rPr>
        <w:t>.</w:t>
      </w:r>
      <w:r w:rsidR="009176BE" w:rsidRPr="00117C40">
        <w:rPr>
          <w:rFonts w:ascii="Times New Roman" w:hAnsi="Times New Roman" w:cs="Times New Roman"/>
          <w:sz w:val="24"/>
          <w:szCs w:val="24"/>
          <w:lang w:val="en-US"/>
        </w:rPr>
        <w:t>7</w:t>
      </w:r>
      <w:r w:rsidR="003A36F2" w:rsidRPr="00117C40">
        <w:rPr>
          <w:rFonts w:ascii="Times New Roman" w:hAnsi="Times New Roman" w:cs="Times New Roman"/>
          <w:sz w:val="24"/>
          <w:szCs w:val="24"/>
          <w:lang w:val="en-US"/>
        </w:rPr>
        <w:t>±</w:t>
      </w:r>
      <w:r w:rsidR="009176BE" w:rsidRPr="00117C40">
        <w:rPr>
          <w:rFonts w:ascii="Times New Roman" w:hAnsi="Times New Roman" w:cs="Times New Roman"/>
          <w:sz w:val="24"/>
          <w:szCs w:val="24"/>
          <w:lang w:val="en-US"/>
        </w:rPr>
        <w:t>1</w:t>
      </w:r>
      <w:r w:rsidR="003A36F2" w:rsidRPr="00117C40">
        <w:rPr>
          <w:rFonts w:ascii="Times New Roman" w:hAnsi="Times New Roman" w:cs="Times New Roman"/>
          <w:sz w:val="24"/>
          <w:szCs w:val="24"/>
          <w:lang w:val="en-US"/>
        </w:rPr>
        <w:t>.</w:t>
      </w:r>
      <w:r w:rsidR="009176BE" w:rsidRPr="00117C40">
        <w:rPr>
          <w:rFonts w:ascii="Times New Roman" w:hAnsi="Times New Roman" w:cs="Times New Roman"/>
          <w:sz w:val="24"/>
          <w:szCs w:val="24"/>
          <w:lang w:val="en-US"/>
        </w:rPr>
        <w:t>4</w:t>
      </w:r>
      <w:r w:rsidR="003A36F2" w:rsidRPr="00117C40">
        <w:rPr>
          <w:rFonts w:ascii="Times New Roman" w:hAnsi="Times New Roman" w:cs="Times New Roman"/>
          <w:sz w:val="24"/>
          <w:szCs w:val="24"/>
          <w:lang w:val="en-US"/>
        </w:rPr>
        <w:t xml:space="preserve"> at day 5, p &lt; 0.05, one-way ANOVA followed by Dunn's post-tests). There was a decrease in astrocytic density by day 1 (5</w:t>
      </w:r>
      <w:r w:rsidR="00F77476" w:rsidRPr="00117C40">
        <w:rPr>
          <w:rFonts w:ascii="Times New Roman" w:hAnsi="Times New Roman" w:cs="Times New Roman"/>
          <w:sz w:val="24"/>
          <w:szCs w:val="24"/>
          <w:lang w:val="en-US"/>
        </w:rPr>
        <w:t>2,3</w:t>
      </w:r>
      <w:r w:rsidR="003A36F2" w:rsidRPr="00117C40">
        <w:rPr>
          <w:rFonts w:ascii="Times New Roman" w:hAnsi="Times New Roman" w:cs="Times New Roman"/>
          <w:sz w:val="24"/>
          <w:szCs w:val="24"/>
          <w:lang w:val="en-US"/>
        </w:rPr>
        <w:t>±</w:t>
      </w:r>
      <w:r w:rsidR="009176BE" w:rsidRPr="00117C40">
        <w:rPr>
          <w:rFonts w:ascii="Times New Roman" w:hAnsi="Times New Roman" w:cs="Times New Roman"/>
          <w:sz w:val="24"/>
          <w:szCs w:val="24"/>
          <w:lang w:val="en-US"/>
        </w:rPr>
        <w:t>1</w:t>
      </w:r>
      <w:r w:rsidR="003A36F2" w:rsidRPr="00117C40">
        <w:rPr>
          <w:rFonts w:ascii="Times New Roman" w:hAnsi="Times New Roman" w:cs="Times New Roman"/>
          <w:sz w:val="24"/>
          <w:szCs w:val="24"/>
          <w:lang w:val="en-US"/>
        </w:rPr>
        <w:t xml:space="preserve"> in control, </w:t>
      </w:r>
      <w:r w:rsidR="00F77476" w:rsidRPr="00117C40">
        <w:rPr>
          <w:rFonts w:ascii="Times New Roman" w:hAnsi="Times New Roman" w:cs="Times New Roman"/>
          <w:sz w:val="24"/>
          <w:szCs w:val="24"/>
          <w:lang w:val="en-US"/>
        </w:rPr>
        <w:t>48,6</w:t>
      </w:r>
      <w:r w:rsidR="003A36F2" w:rsidRPr="00117C40">
        <w:rPr>
          <w:rFonts w:ascii="Times New Roman" w:hAnsi="Times New Roman" w:cs="Times New Roman"/>
          <w:sz w:val="24"/>
          <w:szCs w:val="24"/>
          <w:lang w:val="en-US"/>
        </w:rPr>
        <w:t>±1.6 at day 1, p &lt; 0.05, one-way ANOVA followed by Dunn's post-tests), and a further progressive decrease in density by day 5 (37.</w:t>
      </w:r>
      <w:r w:rsidR="00F77476" w:rsidRPr="00117C40">
        <w:rPr>
          <w:rFonts w:ascii="Times New Roman" w:hAnsi="Times New Roman" w:cs="Times New Roman"/>
          <w:sz w:val="24"/>
          <w:szCs w:val="24"/>
          <w:lang w:val="en-US"/>
        </w:rPr>
        <w:t>9</w:t>
      </w:r>
      <w:r w:rsidR="003A36F2" w:rsidRPr="00117C40">
        <w:rPr>
          <w:rFonts w:ascii="Times New Roman" w:hAnsi="Times New Roman" w:cs="Times New Roman"/>
          <w:sz w:val="24"/>
          <w:szCs w:val="24"/>
          <w:lang w:val="en-US"/>
        </w:rPr>
        <w:t>±</w:t>
      </w:r>
      <w:r w:rsidR="00F77476" w:rsidRPr="00117C40">
        <w:rPr>
          <w:rFonts w:ascii="Times New Roman" w:hAnsi="Times New Roman" w:cs="Times New Roman"/>
          <w:sz w:val="24"/>
          <w:szCs w:val="24"/>
          <w:lang w:val="en-US"/>
        </w:rPr>
        <w:t>1,5</w:t>
      </w:r>
      <w:r w:rsidR="003A36F2" w:rsidRPr="00117C40">
        <w:rPr>
          <w:rFonts w:ascii="Times New Roman" w:hAnsi="Times New Roman" w:cs="Times New Roman"/>
          <w:sz w:val="24"/>
          <w:szCs w:val="24"/>
          <w:lang w:val="en-US"/>
        </w:rPr>
        <w:t xml:space="preserve"> at day 5, p &lt; 0.05, one-way ANOVA followed by Dunn's post-tests). We also observe an interesting effect of decreasing lipofuscin fluorescence by day 1 (34</w:t>
      </w:r>
      <w:r w:rsidR="00831859" w:rsidRPr="00117C40">
        <w:rPr>
          <w:rFonts w:ascii="Times New Roman" w:hAnsi="Times New Roman" w:cs="Times New Roman"/>
          <w:sz w:val="24"/>
          <w:szCs w:val="24"/>
          <w:lang w:val="en-US"/>
        </w:rPr>
        <w:t>5</w:t>
      </w:r>
      <w:r w:rsidR="003A36F2" w:rsidRPr="00117C40">
        <w:rPr>
          <w:rFonts w:ascii="Times New Roman" w:hAnsi="Times New Roman" w:cs="Times New Roman"/>
          <w:sz w:val="24"/>
          <w:szCs w:val="24"/>
          <w:lang w:val="en-US"/>
        </w:rPr>
        <w:t>±</w:t>
      </w:r>
      <w:r w:rsidR="00831859" w:rsidRPr="00117C40">
        <w:rPr>
          <w:rFonts w:ascii="Times New Roman" w:hAnsi="Times New Roman" w:cs="Times New Roman"/>
          <w:sz w:val="24"/>
          <w:szCs w:val="24"/>
          <w:lang w:val="en-US"/>
        </w:rPr>
        <w:t>2</w:t>
      </w:r>
      <w:r w:rsidR="003A36F2" w:rsidRPr="00117C40">
        <w:rPr>
          <w:rFonts w:ascii="Times New Roman" w:hAnsi="Times New Roman" w:cs="Times New Roman"/>
          <w:sz w:val="24"/>
          <w:szCs w:val="24"/>
          <w:lang w:val="en-US"/>
        </w:rPr>
        <w:t xml:space="preserve"> in native levels, 2</w:t>
      </w:r>
      <w:r w:rsidR="00831859" w:rsidRPr="00117C40">
        <w:rPr>
          <w:rFonts w:ascii="Times New Roman" w:hAnsi="Times New Roman" w:cs="Times New Roman"/>
          <w:sz w:val="24"/>
          <w:szCs w:val="24"/>
          <w:lang w:val="en-US"/>
        </w:rPr>
        <w:t>77</w:t>
      </w:r>
      <w:r w:rsidR="003A36F2" w:rsidRPr="00117C40">
        <w:rPr>
          <w:rFonts w:ascii="Times New Roman" w:hAnsi="Times New Roman" w:cs="Times New Roman"/>
          <w:sz w:val="24"/>
          <w:szCs w:val="24"/>
          <w:lang w:val="en-US"/>
        </w:rPr>
        <w:t>±</w:t>
      </w:r>
      <w:r w:rsidR="00831859" w:rsidRPr="00117C40">
        <w:rPr>
          <w:rFonts w:ascii="Times New Roman" w:hAnsi="Times New Roman" w:cs="Times New Roman"/>
          <w:sz w:val="24"/>
          <w:szCs w:val="24"/>
          <w:lang w:val="en-US"/>
        </w:rPr>
        <w:t>2</w:t>
      </w:r>
      <w:r w:rsidR="003A36F2" w:rsidRPr="00117C40">
        <w:rPr>
          <w:rFonts w:ascii="Times New Roman" w:hAnsi="Times New Roman" w:cs="Times New Roman"/>
          <w:sz w:val="24"/>
          <w:szCs w:val="24"/>
          <w:lang w:val="en-US"/>
        </w:rPr>
        <w:t xml:space="preserve"> at day 1, p&lt;0.001 one-way ANOVA followed by </w:t>
      </w:r>
      <w:r w:rsidR="00831859" w:rsidRPr="00117C40">
        <w:rPr>
          <w:rFonts w:ascii="Times New Roman" w:hAnsi="Times New Roman" w:cs="Times New Roman"/>
          <w:sz w:val="24"/>
          <w:szCs w:val="24"/>
          <w:lang w:val="en-US"/>
        </w:rPr>
        <w:t>Dunn's</w:t>
      </w:r>
      <w:r w:rsidR="003A36F2" w:rsidRPr="00117C40">
        <w:rPr>
          <w:rFonts w:ascii="Times New Roman" w:hAnsi="Times New Roman" w:cs="Times New Roman"/>
          <w:sz w:val="24"/>
          <w:szCs w:val="24"/>
          <w:lang w:val="en-US"/>
        </w:rPr>
        <w:t xml:space="preserve"> post-tests) and day 5 (13</w:t>
      </w:r>
      <w:r w:rsidR="00831859" w:rsidRPr="00117C40">
        <w:rPr>
          <w:rFonts w:ascii="Times New Roman" w:hAnsi="Times New Roman" w:cs="Times New Roman"/>
          <w:sz w:val="24"/>
          <w:szCs w:val="24"/>
          <w:lang w:val="en-US"/>
        </w:rPr>
        <w:t>1</w:t>
      </w:r>
      <w:r w:rsidR="003A36F2" w:rsidRPr="00117C40">
        <w:rPr>
          <w:rFonts w:ascii="Times New Roman" w:hAnsi="Times New Roman" w:cs="Times New Roman"/>
          <w:sz w:val="24"/>
          <w:szCs w:val="24"/>
          <w:lang w:val="en-US"/>
        </w:rPr>
        <w:t>±</w:t>
      </w:r>
      <w:r w:rsidR="00831859" w:rsidRPr="00117C40">
        <w:rPr>
          <w:rFonts w:ascii="Times New Roman" w:hAnsi="Times New Roman" w:cs="Times New Roman"/>
          <w:sz w:val="24"/>
          <w:szCs w:val="24"/>
          <w:lang w:val="en-US"/>
        </w:rPr>
        <w:t>1,5</w:t>
      </w:r>
      <w:r w:rsidR="003A36F2" w:rsidRPr="00117C40">
        <w:rPr>
          <w:rFonts w:ascii="Times New Roman" w:hAnsi="Times New Roman" w:cs="Times New Roman"/>
          <w:sz w:val="24"/>
          <w:szCs w:val="24"/>
          <w:lang w:val="en-US"/>
        </w:rPr>
        <w:t xml:space="preserve">, p&lt;0.001 one-way ANOVA followed by </w:t>
      </w:r>
      <w:r w:rsidR="00831859" w:rsidRPr="00117C40">
        <w:rPr>
          <w:rFonts w:ascii="Times New Roman" w:hAnsi="Times New Roman" w:cs="Times New Roman"/>
          <w:sz w:val="24"/>
          <w:szCs w:val="24"/>
          <w:lang w:val="en-US"/>
        </w:rPr>
        <w:t>Dunn's</w:t>
      </w:r>
      <w:r w:rsidR="003A36F2" w:rsidRPr="00117C40">
        <w:rPr>
          <w:rFonts w:ascii="Times New Roman" w:hAnsi="Times New Roman" w:cs="Times New Roman"/>
          <w:sz w:val="24"/>
          <w:szCs w:val="24"/>
          <w:lang w:val="en-US"/>
        </w:rPr>
        <w:t xml:space="preserve"> post-tests) of fusion activator exposure </w:t>
      </w:r>
      <w:r w:rsidR="00431E91" w:rsidRPr="00117C40">
        <w:rPr>
          <w:rFonts w:ascii="Times New Roman" w:hAnsi="Times New Roman" w:cs="Times New Roman"/>
          <w:sz w:val="24"/>
          <w:szCs w:val="24"/>
          <w:lang w:val="en-US"/>
        </w:rPr>
        <w:t xml:space="preserve">at </w:t>
      </w:r>
      <w:r w:rsidR="003A36F2" w:rsidRPr="00117C40">
        <w:rPr>
          <w:rFonts w:ascii="Times New Roman" w:hAnsi="Times New Roman" w:cs="Times New Roman"/>
          <w:b/>
          <w:bCs/>
          <w:sz w:val="24"/>
          <w:szCs w:val="24"/>
          <w:lang w:val="en-US"/>
        </w:rPr>
        <w:t>Fig</w:t>
      </w:r>
      <w:r w:rsidR="00431E91" w:rsidRPr="00117C40">
        <w:rPr>
          <w:rFonts w:ascii="Times New Roman" w:hAnsi="Times New Roman" w:cs="Times New Roman"/>
          <w:b/>
          <w:bCs/>
          <w:sz w:val="24"/>
          <w:szCs w:val="24"/>
          <w:lang w:val="en-US"/>
        </w:rPr>
        <w:t>ure</w:t>
      </w:r>
      <w:r w:rsidR="003A36F2" w:rsidRPr="00117C40">
        <w:rPr>
          <w:rFonts w:ascii="Times New Roman" w:hAnsi="Times New Roman" w:cs="Times New Roman"/>
          <w:b/>
          <w:bCs/>
          <w:sz w:val="24"/>
          <w:szCs w:val="24"/>
          <w:lang w:val="en-US"/>
        </w:rPr>
        <w:t xml:space="preserve"> 3, B.</w:t>
      </w:r>
      <w:r w:rsidR="003A36F2" w:rsidRPr="00117C40">
        <w:rPr>
          <w:rFonts w:ascii="Times New Roman" w:hAnsi="Times New Roman" w:cs="Times New Roman"/>
          <w:sz w:val="24"/>
          <w:szCs w:val="24"/>
          <w:lang w:val="en-US"/>
        </w:rPr>
        <w:t xml:space="preserve"> Overall, prolonged exposure to MFP resembles a depletion of internal culture resources.</w:t>
      </w:r>
    </w:p>
    <w:p w14:paraId="66BBD898" w14:textId="77777777" w:rsidR="00B01E7F" w:rsidRPr="009C5E07" w:rsidRDefault="00B01E7F" w:rsidP="00B01E7F">
      <w:pPr>
        <w:rPr>
          <w:rFonts w:ascii="Times New Roman" w:hAnsi="Times New Roman" w:cs="Times New Roman"/>
          <w:sz w:val="24"/>
          <w:szCs w:val="24"/>
        </w:rPr>
      </w:pPr>
      <w:r w:rsidRPr="009C5E07">
        <w:rPr>
          <w:rFonts w:ascii="Times New Roman" w:hAnsi="Times New Roman" w:cs="Times New Roman"/>
          <w:noProof/>
          <w:sz w:val="24"/>
          <w:szCs w:val="24"/>
        </w:rPr>
        <w:lastRenderedPageBreak/>
        <w:drawing>
          <wp:inline distT="0" distB="0" distL="0" distR="0" wp14:anchorId="463C082D" wp14:editId="08126E48">
            <wp:extent cx="5022850" cy="9245600"/>
            <wp:effectExtent l="0" t="0" r="6350" b="0"/>
            <wp:docPr id="12123703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2850" cy="9245600"/>
                    </a:xfrm>
                    <a:prstGeom prst="rect">
                      <a:avLst/>
                    </a:prstGeom>
                    <a:noFill/>
                    <a:ln>
                      <a:noFill/>
                    </a:ln>
                  </pic:spPr>
                </pic:pic>
              </a:graphicData>
            </a:graphic>
          </wp:inline>
        </w:drawing>
      </w:r>
    </w:p>
    <w:p w14:paraId="4F713CF3" w14:textId="77777777" w:rsidR="00B01E7F" w:rsidRPr="005E3A19" w:rsidRDefault="00B01E7F" w:rsidP="00B01E7F">
      <w:pPr>
        <w:rPr>
          <w:rFonts w:ascii="Times New Roman" w:hAnsi="Times New Roman" w:cs="Times New Roman"/>
          <w:sz w:val="24"/>
          <w:szCs w:val="24"/>
          <w:lang w:val="en-US"/>
        </w:rPr>
      </w:pPr>
      <w:r w:rsidRPr="009C5E07">
        <w:rPr>
          <w:rFonts w:ascii="Times New Roman" w:hAnsi="Times New Roman" w:cs="Times New Roman"/>
          <w:b/>
          <w:bCs/>
          <w:sz w:val="24"/>
          <w:szCs w:val="24"/>
          <w:lang w:val="en-US"/>
        </w:rPr>
        <w:lastRenderedPageBreak/>
        <w:t>Figure 1.</w:t>
      </w:r>
      <w:r>
        <w:rPr>
          <w:rFonts w:ascii="Times New Roman" w:hAnsi="Times New Roman" w:cs="Times New Roman"/>
          <w:b/>
          <w:bCs/>
          <w:sz w:val="24"/>
          <w:szCs w:val="24"/>
          <w:lang w:val="en-US"/>
        </w:rPr>
        <w:t xml:space="preserve"> </w:t>
      </w:r>
      <w:r w:rsidRPr="00B01E7F">
        <w:rPr>
          <w:rFonts w:ascii="Times New Roman" w:hAnsi="Times New Roman" w:cs="Times New Roman"/>
          <w:i/>
          <w:iCs/>
          <w:sz w:val="24"/>
          <w:szCs w:val="24"/>
          <w:lang w:val="en-US"/>
        </w:rPr>
        <w:t xml:space="preserve">Alteration of mitochondrial morphology under the action of different fusion and fission modulators. Mitochondria staining was performed by transfection/transduction with the </w:t>
      </w:r>
      <w:proofErr w:type="spellStart"/>
      <w:r w:rsidRPr="00B01E7F">
        <w:rPr>
          <w:rFonts w:ascii="Times New Roman" w:hAnsi="Times New Roman" w:cs="Times New Roman"/>
          <w:i/>
          <w:iCs/>
          <w:sz w:val="24"/>
          <w:szCs w:val="24"/>
          <w:lang w:val="en-US"/>
        </w:rPr>
        <w:t>CellLight</w:t>
      </w:r>
      <w:proofErr w:type="spellEnd"/>
      <w:r w:rsidRPr="00B01E7F">
        <w:rPr>
          <w:rFonts w:ascii="Times New Roman" w:hAnsi="Times New Roman" w:cs="Times New Roman"/>
          <w:i/>
          <w:iCs/>
          <w:sz w:val="24"/>
          <w:szCs w:val="24"/>
          <w:lang w:val="en-US"/>
        </w:rPr>
        <w:t xml:space="preserve"> </w:t>
      </w:r>
      <w:proofErr w:type="spellStart"/>
      <w:r w:rsidRPr="00B01E7F">
        <w:rPr>
          <w:rFonts w:ascii="Times New Roman" w:hAnsi="Times New Roman" w:cs="Times New Roman"/>
          <w:i/>
          <w:iCs/>
          <w:sz w:val="24"/>
          <w:szCs w:val="24"/>
          <w:lang w:val="en-US"/>
        </w:rPr>
        <w:t>BacMam</w:t>
      </w:r>
      <w:proofErr w:type="spellEnd"/>
      <w:r w:rsidRPr="00B01E7F">
        <w:rPr>
          <w:rFonts w:ascii="Times New Roman" w:hAnsi="Times New Roman" w:cs="Times New Roman"/>
          <w:i/>
          <w:iCs/>
          <w:sz w:val="24"/>
          <w:szCs w:val="24"/>
          <w:lang w:val="en-US"/>
        </w:rPr>
        <w:t xml:space="preserve"> 2.0 system. Mitochondrial morphology was examined on a Leica DM IL LED microscope using a x100 oil-immersion objective. А - mitochondrial network with a tendency to mitochondrial fusion in 5xFAD astrocytes. А1 - mitochondria with a tendency to reduce their size in the neuron of cultures of 5xFAD mice (arrow indicates the body of the neuron). B - Mitochondrial network in healthy astrocytes, has more elongated mitochondria. B1 - Neurons in healthy cultures, you can see </w:t>
      </w:r>
      <w:proofErr w:type="spellStart"/>
      <w:r w:rsidRPr="00B01E7F">
        <w:rPr>
          <w:rFonts w:ascii="Times New Roman" w:hAnsi="Times New Roman" w:cs="Times New Roman"/>
          <w:i/>
          <w:iCs/>
          <w:sz w:val="24"/>
          <w:szCs w:val="24"/>
          <w:lang w:val="en-US"/>
        </w:rPr>
        <w:t>mitochordria</w:t>
      </w:r>
      <w:proofErr w:type="spellEnd"/>
      <w:r w:rsidRPr="00B01E7F">
        <w:rPr>
          <w:rFonts w:ascii="Times New Roman" w:hAnsi="Times New Roman" w:cs="Times New Roman"/>
          <w:i/>
          <w:iCs/>
          <w:sz w:val="24"/>
          <w:szCs w:val="24"/>
          <w:lang w:val="en-US"/>
        </w:rPr>
        <w:t xml:space="preserve"> of different sizes (arrow indicates the body of the neuron). C - Mitochondria under the action of MFP in astrocytes fuse into grouped round (fused) or hyperfused mitochondria. Bright examples are indicated by the arrow. C1 - Mitochondria in neurons become larger under the action of MFP (arrow indicates neuron bodies). D - Mitochondria in astrocytes under the action of mdivi-1 lose the shape of the mitochondrial network and the number of smallest mitochondria also decreases. D1 - Mitochondria in neurons under the influence of mdivi-1 become larger, the smallest mitochondria disappear (arrow indicates neuron bodies). E - Mitochondria in astrocytes under the action of zinc completely lose the shape of the network. E1 - Mitochondria in neurons under the action of zinc become small (arrow indicates neuron bodies).</w:t>
      </w:r>
    </w:p>
    <w:p w14:paraId="53793AD5" w14:textId="77777777" w:rsidR="00E02374" w:rsidRPr="00117C40" w:rsidRDefault="00E02374" w:rsidP="00B01E7F">
      <w:pPr>
        <w:spacing w:line="240" w:lineRule="auto"/>
        <w:rPr>
          <w:rFonts w:ascii="Times New Roman" w:hAnsi="Times New Roman" w:cs="Times New Roman"/>
          <w:b/>
          <w:bCs/>
          <w:sz w:val="24"/>
          <w:szCs w:val="24"/>
          <w:lang w:val="en-US"/>
        </w:rPr>
      </w:pPr>
      <w:r w:rsidRPr="00117C40">
        <w:rPr>
          <w:rFonts w:ascii="Times New Roman" w:hAnsi="Times New Roman" w:cs="Times New Roman"/>
          <w:b/>
          <w:bCs/>
          <w:sz w:val="24"/>
          <w:szCs w:val="24"/>
          <w:lang w:val="en-US"/>
        </w:rPr>
        <w:t>3.2 Inhibition of mitochondrial fission makes the culture similar to that of 5xFAD.</w:t>
      </w:r>
    </w:p>
    <w:p w14:paraId="7C839A25" w14:textId="5DC3C78A" w:rsidR="003A36F2" w:rsidRDefault="00E02374" w:rsidP="00B01E7F">
      <w:pPr>
        <w:spacing w:line="240" w:lineRule="auto"/>
        <w:rPr>
          <w:rFonts w:ascii="Times New Roman" w:hAnsi="Times New Roman" w:cs="Times New Roman"/>
          <w:sz w:val="24"/>
          <w:szCs w:val="24"/>
          <w:lang w:val="en-US"/>
        </w:rPr>
      </w:pPr>
      <w:r w:rsidRPr="00117C40">
        <w:rPr>
          <w:rFonts w:ascii="Times New Roman" w:hAnsi="Times New Roman" w:cs="Times New Roman"/>
          <w:sz w:val="24"/>
          <w:szCs w:val="24"/>
          <w:lang w:val="en-US"/>
        </w:rPr>
        <w:t xml:space="preserve">Morphologically, the use of the mitochondrial fission inhibitor mdivi-1 resulted in larger mitochondria being found in neuron bodies and neurites. At the same time, in astrocytes there was fragmentation of the mitochondrial network and instead fused mitochondria were found in greater numbers. We also observed a decrease in the pool of smallest mitochondria, which almost completely disappeared in astrocytes and remained only in neurons </w:t>
      </w:r>
      <w:r w:rsidR="00D54168" w:rsidRPr="00117C40">
        <w:rPr>
          <w:rFonts w:ascii="Times New Roman" w:hAnsi="Times New Roman" w:cs="Times New Roman"/>
          <w:sz w:val="24"/>
          <w:szCs w:val="24"/>
          <w:lang w:val="en-US"/>
        </w:rPr>
        <w:t>(</w:t>
      </w:r>
      <w:r w:rsidR="00D54168" w:rsidRPr="00117C40">
        <w:rPr>
          <w:rFonts w:ascii="Times New Roman" w:hAnsi="Times New Roman" w:cs="Times New Roman"/>
          <w:b/>
          <w:bCs/>
          <w:sz w:val="24"/>
          <w:szCs w:val="24"/>
          <w:lang w:val="en-US"/>
        </w:rPr>
        <w:t>Figure 1, D-D1</w:t>
      </w:r>
      <w:r w:rsidR="00D54168" w:rsidRPr="00117C40">
        <w:rPr>
          <w:rFonts w:ascii="Times New Roman" w:hAnsi="Times New Roman" w:cs="Times New Roman"/>
          <w:sz w:val="24"/>
          <w:szCs w:val="24"/>
          <w:lang w:val="en-US"/>
        </w:rPr>
        <w:t>)</w:t>
      </w:r>
      <w:r w:rsidRPr="00117C40">
        <w:rPr>
          <w:rFonts w:ascii="Times New Roman" w:hAnsi="Times New Roman" w:cs="Times New Roman"/>
          <w:sz w:val="24"/>
          <w:szCs w:val="24"/>
          <w:lang w:val="en-US"/>
        </w:rPr>
        <w:t>. After one day of mitochondrial fission inhibition, neuronal density decreased relative to the control group (47</w:t>
      </w:r>
      <w:r w:rsidR="00F77476" w:rsidRPr="00117C40">
        <w:rPr>
          <w:rFonts w:ascii="Times New Roman" w:hAnsi="Times New Roman" w:cs="Times New Roman"/>
          <w:sz w:val="24"/>
          <w:szCs w:val="24"/>
          <w:lang w:val="en-US"/>
        </w:rPr>
        <w:t>,</w:t>
      </w:r>
      <w:r w:rsidRPr="00117C40">
        <w:rPr>
          <w:rFonts w:ascii="Times New Roman" w:hAnsi="Times New Roman" w:cs="Times New Roman"/>
          <w:sz w:val="24"/>
          <w:szCs w:val="24"/>
          <w:lang w:val="en-US"/>
        </w:rPr>
        <w:t>4±</w:t>
      </w:r>
      <w:r w:rsidR="009176BE" w:rsidRPr="00117C40">
        <w:rPr>
          <w:rFonts w:ascii="Times New Roman" w:hAnsi="Times New Roman" w:cs="Times New Roman"/>
          <w:sz w:val="24"/>
          <w:szCs w:val="24"/>
          <w:lang w:val="en-US"/>
        </w:rPr>
        <w:t>1</w:t>
      </w:r>
      <w:r w:rsidRPr="00117C40">
        <w:rPr>
          <w:rFonts w:ascii="Times New Roman" w:hAnsi="Times New Roman" w:cs="Times New Roman"/>
          <w:sz w:val="24"/>
          <w:szCs w:val="24"/>
          <w:lang w:val="en-US"/>
        </w:rPr>
        <w:t xml:space="preserve"> at native level, 3</w:t>
      </w:r>
      <w:r w:rsidR="00F77476" w:rsidRPr="00117C40">
        <w:rPr>
          <w:rFonts w:ascii="Times New Roman" w:hAnsi="Times New Roman" w:cs="Times New Roman"/>
          <w:sz w:val="24"/>
          <w:szCs w:val="24"/>
          <w:lang w:val="en-US"/>
        </w:rPr>
        <w:t>5</w:t>
      </w:r>
      <w:r w:rsidRPr="00117C40">
        <w:rPr>
          <w:rFonts w:ascii="Times New Roman" w:hAnsi="Times New Roman" w:cs="Times New Roman"/>
          <w:sz w:val="24"/>
          <w:szCs w:val="24"/>
          <w:lang w:val="en-US"/>
        </w:rPr>
        <w:t>±2 at day 1, p&lt;0.05, one-way ANOVA followed by Dunn's post-tests) and did not decrease further by day 5. There was an increase in astrocytic density by day 1, and by day 5 (5</w:t>
      </w:r>
      <w:r w:rsidR="00F77476" w:rsidRPr="00117C40">
        <w:rPr>
          <w:rFonts w:ascii="Times New Roman" w:hAnsi="Times New Roman" w:cs="Times New Roman"/>
          <w:sz w:val="24"/>
          <w:szCs w:val="24"/>
          <w:lang w:val="en-US"/>
        </w:rPr>
        <w:t>2,3</w:t>
      </w:r>
      <w:r w:rsidRPr="00117C40">
        <w:rPr>
          <w:rFonts w:ascii="Times New Roman" w:hAnsi="Times New Roman" w:cs="Times New Roman"/>
          <w:sz w:val="24"/>
          <w:szCs w:val="24"/>
          <w:lang w:val="en-US"/>
        </w:rPr>
        <w:t>±1.</w:t>
      </w:r>
      <w:r w:rsidR="00F77476" w:rsidRPr="00117C40">
        <w:rPr>
          <w:rFonts w:ascii="Times New Roman" w:hAnsi="Times New Roman" w:cs="Times New Roman"/>
          <w:sz w:val="24"/>
          <w:szCs w:val="24"/>
          <w:lang w:val="en-US"/>
        </w:rPr>
        <w:t>2</w:t>
      </w:r>
      <w:r w:rsidRPr="00117C40">
        <w:rPr>
          <w:rFonts w:ascii="Times New Roman" w:hAnsi="Times New Roman" w:cs="Times New Roman"/>
          <w:sz w:val="24"/>
          <w:szCs w:val="24"/>
          <w:lang w:val="en-US"/>
        </w:rPr>
        <w:t xml:space="preserve"> at native level, </w:t>
      </w:r>
      <w:r w:rsidR="00F77476" w:rsidRPr="00117C40">
        <w:rPr>
          <w:rFonts w:ascii="Times New Roman" w:hAnsi="Times New Roman" w:cs="Times New Roman"/>
          <w:sz w:val="24"/>
          <w:szCs w:val="24"/>
          <w:lang w:val="en-US"/>
        </w:rPr>
        <w:t xml:space="preserve">58,2±1,7 at day 1, </w:t>
      </w:r>
      <w:r w:rsidRPr="00117C40">
        <w:rPr>
          <w:rFonts w:ascii="Times New Roman" w:hAnsi="Times New Roman" w:cs="Times New Roman"/>
          <w:sz w:val="24"/>
          <w:szCs w:val="24"/>
          <w:lang w:val="en-US"/>
        </w:rPr>
        <w:t>6</w:t>
      </w:r>
      <w:r w:rsidR="00F77476" w:rsidRPr="00117C40">
        <w:rPr>
          <w:rFonts w:ascii="Times New Roman" w:hAnsi="Times New Roman" w:cs="Times New Roman"/>
          <w:sz w:val="24"/>
          <w:szCs w:val="24"/>
          <w:lang w:val="en-US"/>
        </w:rPr>
        <w:t>8,1</w:t>
      </w:r>
      <w:r w:rsidRPr="00117C40">
        <w:rPr>
          <w:rFonts w:ascii="Times New Roman" w:hAnsi="Times New Roman" w:cs="Times New Roman"/>
          <w:sz w:val="24"/>
          <w:szCs w:val="24"/>
          <w:lang w:val="en-US"/>
        </w:rPr>
        <w:t>±</w:t>
      </w:r>
      <w:r w:rsidR="00F77476" w:rsidRPr="00117C40">
        <w:rPr>
          <w:rFonts w:ascii="Times New Roman" w:hAnsi="Times New Roman" w:cs="Times New Roman"/>
          <w:sz w:val="24"/>
          <w:szCs w:val="24"/>
          <w:lang w:val="en-US"/>
        </w:rPr>
        <w:t>1,8</w:t>
      </w:r>
      <w:r w:rsidRPr="00117C40">
        <w:rPr>
          <w:rFonts w:ascii="Times New Roman" w:hAnsi="Times New Roman" w:cs="Times New Roman"/>
          <w:sz w:val="24"/>
          <w:szCs w:val="24"/>
          <w:lang w:val="en-US"/>
        </w:rPr>
        <w:t xml:space="preserve"> at day </w:t>
      </w:r>
      <w:r w:rsidR="00F77476" w:rsidRPr="00117C40">
        <w:rPr>
          <w:rFonts w:ascii="Times New Roman" w:hAnsi="Times New Roman" w:cs="Times New Roman"/>
          <w:sz w:val="24"/>
          <w:szCs w:val="24"/>
          <w:lang w:val="en-US"/>
        </w:rPr>
        <w:t>5,</w:t>
      </w:r>
      <w:r w:rsidRPr="00117C40">
        <w:rPr>
          <w:rFonts w:ascii="Times New Roman" w:hAnsi="Times New Roman" w:cs="Times New Roman"/>
          <w:sz w:val="24"/>
          <w:szCs w:val="24"/>
          <w:lang w:val="en-US"/>
        </w:rPr>
        <w:t xml:space="preserve"> p&lt;0.05, one-way ANOVA followed by Dunn's post-tests). In addition, there was a significant increase in lipofuscin fluorescence correlating with the time of mdivi-1 exposure </w:t>
      </w:r>
      <w:r w:rsidRPr="00117C40">
        <w:rPr>
          <w:rFonts w:ascii="Times New Roman" w:hAnsi="Times New Roman" w:cs="Times New Roman"/>
          <w:b/>
          <w:bCs/>
          <w:sz w:val="24"/>
          <w:szCs w:val="24"/>
          <w:lang w:val="en-US"/>
        </w:rPr>
        <w:t>(Fig</w:t>
      </w:r>
      <w:r w:rsidR="00D54168" w:rsidRPr="00117C40">
        <w:rPr>
          <w:rFonts w:ascii="Times New Roman" w:hAnsi="Times New Roman" w:cs="Times New Roman"/>
          <w:b/>
          <w:bCs/>
          <w:sz w:val="24"/>
          <w:szCs w:val="24"/>
          <w:lang w:val="en-US"/>
        </w:rPr>
        <w:t>ure</w:t>
      </w:r>
      <w:r w:rsidRPr="00117C40">
        <w:rPr>
          <w:rFonts w:ascii="Times New Roman" w:hAnsi="Times New Roman" w:cs="Times New Roman"/>
          <w:b/>
          <w:bCs/>
          <w:sz w:val="24"/>
          <w:szCs w:val="24"/>
          <w:lang w:val="en-US"/>
        </w:rPr>
        <w:t xml:space="preserve"> 3, C</w:t>
      </w:r>
      <w:r w:rsidRPr="00117C40">
        <w:rPr>
          <w:rFonts w:ascii="Times New Roman" w:hAnsi="Times New Roman" w:cs="Times New Roman"/>
          <w:sz w:val="24"/>
          <w:szCs w:val="24"/>
          <w:lang w:val="en-US"/>
        </w:rPr>
        <w:t>). Moreover, by day 5 of mitochondrial fission inhibition, the intensity of lipofuscin fluorescence increased such that it was not significantly different from lipofuscin fluorescence in transgenic culture (57</w:t>
      </w:r>
      <w:r w:rsidR="00831859" w:rsidRPr="00117C40">
        <w:rPr>
          <w:rFonts w:ascii="Times New Roman" w:hAnsi="Times New Roman" w:cs="Times New Roman"/>
          <w:sz w:val="24"/>
          <w:szCs w:val="24"/>
          <w:lang w:val="en-US"/>
        </w:rPr>
        <w:t>1</w:t>
      </w:r>
      <w:r w:rsidRPr="00117C40">
        <w:rPr>
          <w:rFonts w:ascii="Times New Roman" w:hAnsi="Times New Roman" w:cs="Times New Roman"/>
          <w:sz w:val="24"/>
          <w:szCs w:val="24"/>
          <w:lang w:val="en-US"/>
        </w:rPr>
        <w:t>±</w:t>
      </w:r>
      <w:r w:rsidR="00831859" w:rsidRPr="00117C40">
        <w:rPr>
          <w:rFonts w:ascii="Times New Roman" w:hAnsi="Times New Roman" w:cs="Times New Roman"/>
          <w:sz w:val="24"/>
          <w:szCs w:val="24"/>
          <w:lang w:val="en-US"/>
        </w:rPr>
        <w:t>3</w:t>
      </w:r>
      <w:r w:rsidRPr="00117C40">
        <w:rPr>
          <w:rFonts w:ascii="Times New Roman" w:hAnsi="Times New Roman" w:cs="Times New Roman"/>
          <w:sz w:val="24"/>
          <w:szCs w:val="24"/>
          <w:lang w:val="en-US"/>
        </w:rPr>
        <w:t xml:space="preserve"> in </w:t>
      </w:r>
      <w:proofErr w:type="spellStart"/>
      <w:r w:rsidRPr="00117C40">
        <w:rPr>
          <w:rFonts w:ascii="Times New Roman" w:hAnsi="Times New Roman" w:cs="Times New Roman"/>
          <w:sz w:val="24"/>
          <w:szCs w:val="24"/>
          <w:lang w:val="en-US"/>
        </w:rPr>
        <w:t>Tg</w:t>
      </w:r>
      <w:proofErr w:type="spellEnd"/>
      <w:r w:rsidRPr="00117C40">
        <w:rPr>
          <w:rFonts w:ascii="Times New Roman" w:hAnsi="Times New Roman" w:cs="Times New Roman"/>
          <w:sz w:val="24"/>
          <w:szCs w:val="24"/>
          <w:lang w:val="en-US"/>
        </w:rPr>
        <w:t xml:space="preserve"> culture, </w:t>
      </w:r>
      <w:r w:rsidR="00831859" w:rsidRPr="00117C40">
        <w:rPr>
          <w:rFonts w:ascii="Times New Roman" w:hAnsi="Times New Roman" w:cs="Times New Roman"/>
          <w:sz w:val="24"/>
          <w:szCs w:val="24"/>
          <w:lang w:val="en-US"/>
        </w:rPr>
        <w:t>571</w:t>
      </w:r>
      <w:r w:rsidRPr="00117C40">
        <w:rPr>
          <w:rFonts w:ascii="Times New Roman" w:hAnsi="Times New Roman" w:cs="Times New Roman"/>
          <w:sz w:val="24"/>
          <w:szCs w:val="24"/>
          <w:lang w:val="en-US"/>
        </w:rPr>
        <w:t>±</w:t>
      </w:r>
      <w:r w:rsidR="00831859" w:rsidRPr="00117C40">
        <w:rPr>
          <w:rFonts w:ascii="Times New Roman" w:hAnsi="Times New Roman" w:cs="Times New Roman"/>
          <w:sz w:val="24"/>
          <w:szCs w:val="24"/>
          <w:lang w:val="en-US"/>
        </w:rPr>
        <w:t>2</w:t>
      </w:r>
      <w:r w:rsidRPr="00117C40">
        <w:rPr>
          <w:rFonts w:ascii="Times New Roman" w:hAnsi="Times New Roman" w:cs="Times New Roman"/>
          <w:sz w:val="24"/>
          <w:szCs w:val="24"/>
          <w:lang w:val="en-US"/>
        </w:rPr>
        <w:t xml:space="preserve"> at day 5 p&lt;0.0</w:t>
      </w:r>
      <w:r w:rsidR="00831859" w:rsidRPr="00117C40">
        <w:rPr>
          <w:rFonts w:ascii="Times New Roman" w:hAnsi="Times New Roman" w:cs="Times New Roman"/>
          <w:sz w:val="24"/>
          <w:szCs w:val="24"/>
          <w:lang w:val="en-US"/>
        </w:rPr>
        <w:t>01</w:t>
      </w:r>
      <w:r w:rsidRPr="00117C40">
        <w:rPr>
          <w:rFonts w:ascii="Times New Roman" w:hAnsi="Times New Roman" w:cs="Times New Roman"/>
          <w:sz w:val="24"/>
          <w:szCs w:val="24"/>
          <w:lang w:val="en-US"/>
        </w:rPr>
        <w:t xml:space="preserve"> one-way ANOVA followed by </w:t>
      </w:r>
      <w:r w:rsidR="00831859" w:rsidRPr="00117C40">
        <w:rPr>
          <w:rFonts w:ascii="Times New Roman" w:hAnsi="Times New Roman" w:cs="Times New Roman"/>
          <w:sz w:val="24"/>
          <w:szCs w:val="24"/>
          <w:lang w:val="en-US"/>
        </w:rPr>
        <w:t>Bonferroni</w:t>
      </w:r>
      <w:r w:rsidRPr="00117C40">
        <w:rPr>
          <w:rFonts w:ascii="Times New Roman" w:hAnsi="Times New Roman" w:cs="Times New Roman"/>
          <w:sz w:val="24"/>
          <w:szCs w:val="24"/>
          <w:lang w:val="en-US"/>
        </w:rPr>
        <w:t xml:space="preserve"> post-tests). Thus, inhibition of mitochondrial fission in healthy cultures leads to a cascade of events reminiscent of those in transgenic culture </w:t>
      </w:r>
      <w:r w:rsidRPr="00117C40">
        <w:rPr>
          <w:rFonts w:ascii="Times New Roman" w:hAnsi="Times New Roman" w:cs="Times New Roman"/>
          <w:b/>
          <w:bCs/>
          <w:sz w:val="24"/>
          <w:szCs w:val="24"/>
          <w:lang w:val="en-US"/>
        </w:rPr>
        <w:t>(Fig</w:t>
      </w:r>
      <w:r w:rsidR="00D54168" w:rsidRPr="00117C40">
        <w:rPr>
          <w:rFonts w:ascii="Times New Roman" w:hAnsi="Times New Roman" w:cs="Times New Roman"/>
          <w:b/>
          <w:bCs/>
          <w:sz w:val="24"/>
          <w:szCs w:val="24"/>
          <w:lang w:val="en-US"/>
        </w:rPr>
        <w:t>ure</w:t>
      </w:r>
      <w:r w:rsidRPr="00117C40">
        <w:rPr>
          <w:rFonts w:ascii="Times New Roman" w:hAnsi="Times New Roman" w:cs="Times New Roman"/>
          <w:b/>
          <w:bCs/>
          <w:sz w:val="24"/>
          <w:szCs w:val="24"/>
          <w:lang w:val="en-US"/>
        </w:rPr>
        <w:t xml:space="preserve"> 2, C</w:t>
      </w:r>
      <w:r w:rsidRPr="00117C40">
        <w:rPr>
          <w:rFonts w:ascii="Times New Roman" w:hAnsi="Times New Roman" w:cs="Times New Roman"/>
          <w:sz w:val="24"/>
          <w:szCs w:val="24"/>
          <w:lang w:val="en-US"/>
        </w:rPr>
        <w:t>).</w:t>
      </w:r>
    </w:p>
    <w:p w14:paraId="04E6F063" w14:textId="24AA3A3B" w:rsidR="00B01E7F" w:rsidRDefault="00B01E7F" w:rsidP="00B01E7F">
      <w:pPr>
        <w:spacing w:line="240" w:lineRule="auto"/>
        <w:rPr>
          <w:rFonts w:ascii="Times New Roman" w:hAnsi="Times New Roman" w:cs="Times New Roman"/>
          <w:sz w:val="24"/>
          <w:szCs w:val="24"/>
          <w:lang w:val="en-US"/>
        </w:rPr>
      </w:pPr>
      <w:r w:rsidRPr="009C5E07">
        <w:rPr>
          <w:rFonts w:ascii="Times New Roman" w:hAnsi="Times New Roman" w:cs="Times New Roman"/>
          <w:noProof/>
          <w:sz w:val="24"/>
          <w:szCs w:val="24"/>
        </w:rPr>
        <w:lastRenderedPageBreak/>
        <w:drawing>
          <wp:inline distT="0" distB="0" distL="0" distR="0" wp14:anchorId="3188BC88" wp14:editId="65B571BD">
            <wp:extent cx="5937250" cy="6946900"/>
            <wp:effectExtent l="0" t="0" r="6350" b="6350"/>
            <wp:docPr id="17462008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250" cy="6946900"/>
                    </a:xfrm>
                    <a:prstGeom prst="rect">
                      <a:avLst/>
                    </a:prstGeom>
                    <a:noFill/>
                    <a:ln>
                      <a:noFill/>
                    </a:ln>
                  </pic:spPr>
                </pic:pic>
              </a:graphicData>
            </a:graphic>
          </wp:inline>
        </w:drawing>
      </w:r>
    </w:p>
    <w:p w14:paraId="5DD329DF" w14:textId="77777777" w:rsidR="00B01E7F" w:rsidRPr="005E3A19" w:rsidRDefault="00B01E7F" w:rsidP="00B01E7F">
      <w:pPr>
        <w:rPr>
          <w:rFonts w:ascii="Times New Roman" w:hAnsi="Times New Roman" w:cs="Times New Roman"/>
          <w:sz w:val="24"/>
          <w:szCs w:val="24"/>
          <w:lang w:val="en-US"/>
        </w:rPr>
      </w:pPr>
      <w:r w:rsidRPr="005E3A19">
        <w:rPr>
          <w:rFonts w:ascii="Times New Roman" w:hAnsi="Times New Roman" w:cs="Times New Roman"/>
          <w:b/>
          <w:bCs/>
          <w:sz w:val="24"/>
          <w:szCs w:val="24"/>
          <w:lang w:val="en-US"/>
        </w:rPr>
        <w:t xml:space="preserve">Figure 2. </w:t>
      </w:r>
      <w:r w:rsidRPr="00B01E7F">
        <w:rPr>
          <w:rFonts w:ascii="Times New Roman" w:hAnsi="Times New Roman" w:cs="Times New Roman"/>
          <w:i/>
          <w:iCs/>
          <w:sz w:val="24"/>
          <w:szCs w:val="24"/>
          <w:lang w:val="en-US"/>
        </w:rPr>
        <w:t>Immunopositivity to an astrocyte marker (GFAP in green) and a neuronal marker (MAP2 in red) in primary neuronal cultures under the influence of fusion and fission activators. A - Control transgenic 5xFAD culture that served as a reference for modeling pathogenesis and control healthy culture. B - Effect of MFP on culture morphology after 1 and 5 days of administration. B1 - Neuronal and astrocytic densities (in %) under the effect of MFP. C - Effect of mdivi-1 on culture morphology after 1 and 5 days of administration. C1 - Neuronal and astrocytic densities (in %) under the effect of mdivi-1. D1 - Effect of Zn on culture morphology after 1 and 5 days of administration. D1 - Neuronal and astrocytic densities (in %) under the effect of Zn.</w:t>
      </w:r>
    </w:p>
    <w:p w14:paraId="750C9B79" w14:textId="77777777" w:rsidR="00E02374" w:rsidRPr="00117C40" w:rsidRDefault="00E02374" w:rsidP="00B01E7F">
      <w:pPr>
        <w:spacing w:line="240" w:lineRule="auto"/>
        <w:rPr>
          <w:rFonts w:ascii="Times New Roman" w:hAnsi="Times New Roman" w:cs="Times New Roman"/>
          <w:b/>
          <w:bCs/>
          <w:sz w:val="24"/>
          <w:szCs w:val="24"/>
          <w:lang w:val="en-US"/>
        </w:rPr>
      </w:pPr>
      <w:r w:rsidRPr="00117C40">
        <w:rPr>
          <w:rFonts w:ascii="Times New Roman" w:hAnsi="Times New Roman" w:cs="Times New Roman"/>
          <w:b/>
          <w:bCs/>
          <w:sz w:val="24"/>
          <w:szCs w:val="24"/>
          <w:lang w:val="en-US"/>
        </w:rPr>
        <w:lastRenderedPageBreak/>
        <w:t>3.3 Exogenous zinc induces mitochondrial fission, alters cell culture morphology and induces GFAP aggregation.</w:t>
      </w:r>
    </w:p>
    <w:p w14:paraId="3403AEE3" w14:textId="149ACB83" w:rsidR="00E02374" w:rsidRDefault="00E02374" w:rsidP="00B01E7F">
      <w:pPr>
        <w:spacing w:line="240" w:lineRule="auto"/>
        <w:rPr>
          <w:rFonts w:ascii="Times New Roman" w:hAnsi="Times New Roman" w:cs="Times New Roman"/>
          <w:sz w:val="24"/>
          <w:szCs w:val="24"/>
          <w:lang w:val="en-US"/>
        </w:rPr>
      </w:pPr>
      <w:r w:rsidRPr="00117C40">
        <w:rPr>
          <w:rFonts w:ascii="Times New Roman" w:hAnsi="Times New Roman" w:cs="Times New Roman"/>
          <w:sz w:val="24"/>
          <w:szCs w:val="24"/>
          <w:lang w:val="en-US"/>
        </w:rPr>
        <w:t>We used exogenous zinc chloride solution to modulate mitochondrial fission. In this case, zinc overload at high, rather uncomfortable concentrations for nerve cells, induces cellular and mitochondrial stress affecting mitochondrial morphology, which is consistent with the results of</w:t>
      </w:r>
      <w:r w:rsidR="00DA4C46" w:rsidRPr="00117C40">
        <w:rPr>
          <w:rFonts w:ascii="Times New Roman" w:hAnsi="Times New Roman" w:cs="Times New Roman"/>
          <w:sz w:val="24"/>
          <w:szCs w:val="24"/>
          <w:lang w:val="en-US"/>
        </w:rPr>
        <w:t xml:space="preserve"> </w:t>
      </w:r>
      <w:r w:rsidR="00DA4C46" w:rsidRPr="00117C40">
        <w:rPr>
          <w:rFonts w:ascii="Times New Roman" w:hAnsi="Times New Roman" w:cs="Times New Roman"/>
          <w:sz w:val="24"/>
          <w:szCs w:val="24"/>
          <w:lang w:val="en-US"/>
        </w:rPr>
        <w:fldChar w:fldCharType="begin" w:fldLock="1"/>
      </w:r>
      <w:r w:rsidR="00DA4C46" w:rsidRPr="00117C40">
        <w:rPr>
          <w:rFonts w:ascii="Times New Roman" w:hAnsi="Times New Roman" w:cs="Times New Roman"/>
          <w:sz w:val="24"/>
          <w:szCs w:val="24"/>
          <w:lang w:val="en-US"/>
        </w:rPr>
        <w:instrText>ADDIN CSL_CITATION {"citationItems":[{"id":"ITEM-1","itemData":{"ISSN":"1944-8171 (Print)","PMID":"34093965","abstract":"Zinc (Zn(2+)) is important in cellular processes. In the cell, free zinc is  tightly regulated and found in minuscule amounts. However, in an unhealthy cellular environment, such as hypoxia, zinc increases in the cell and zinc overload may occur. Studies have shown that zinc overload causes cellular and mitochondrial stress. Mitochondrial stress affects mitochondrial morphology. In normal cells, mitochondrial morphology resembles a long, tubular shape. In unhealthy cells, mitochondrial morphology resembles fragmented, circular shape. To address whether zinc overload contributes directly to the abnormal changes of mitochondrial morphology, we imaged and analyzed mitochondria that were treated with the application of exogenous zinc. In the first part of the study, exogenous zinc was applied to HeLa cells at 1 µM, 10 µM, 50 µM, 100 µM, or 200 µM zinc chloride along with 10 µM pyrithione. Mitochondrial morphology was analyzed with Mito-Morphology micro in ImageJ. Mitochondrial morphology changed from a healthy tubular shape to an unhealthy circular shape and fragmentation. Mitochondrial morphology changes were observed in a dose-dependent fashion. The second part of the study involved applying the metal ion chelator TPEN after applying 50 µM zinc chloride along with 10 µM pyrithione. TPEN reduced zinc-induced abnormal mitochondrial morphology after zinc treatment. This present study supports that zinc overload may cause morphology changes induced by mitochondrial stress that may lead to cell death.","author":[{"dropping-particle":"","family":"Knies","given":"Katherine A","non-dropping-particle":"","parse-names":false,"suffix":""},{"dropping-particle":"V","family":"Li","given":"Yang","non-dropping-particle":"","parse-names":false,"suffix":""}],"container-title":"International journal of physiology, pathophysiology and pharmacology","id":"ITEM-1","issue":"2","issued":{"date-parts":[["2021"]]},"language":"eng","page":"43-51","publisher-place":"United States","title":"Zinc cytotoxicity induces mitochondrial morphology changes in hela cell line.","type":"article-journal","volume":"13"},"uris":["http://www.mendeley.com/documents/?uuid=134fba87-a581-4c5b-a714-9c7862a48caf"]}],"mendeley":{"formattedCitation":"[13]","plainTextFormattedCitation":"[13]","previouslyFormattedCitation":"[13]"},"properties":{"noteIndex":0},"schema":"https://github.com/citation-style-language/schema/raw/master/csl-citation.json"}</w:instrText>
      </w:r>
      <w:r w:rsidR="00DA4C46" w:rsidRPr="00117C40">
        <w:rPr>
          <w:rFonts w:ascii="Times New Roman" w:hAnsi="Times New Roman" w:cs="Times New Roman"/>
          <w:sz w:val="24"/>
          <w:szCs w:val="24"/>
          <w:lang w:val="en-US"/>
        </w:rPr>
        <w:fldChar w:fldCharType="separate"/>
      </w:r>
      <w:r w:rsidR="00DA4C46" w:rsidRPr="00117C40">
        <w:rPr>
          <w:rFonts w:ascii="Times New Roman" w:hAnsi="Times New Roman" w:cs="Times New Roman"/>
          <w:noProof/>
          <w:sz w:val="24"/>
          <w:szCs w:val="24"/>
          <w:lang w:val="en-US"/>
        </w:rPr>
        <w:t>[13]</w:t>
      </w:r>
      <w:r w:rsidR="00DA4C46" w:rsidRPr="00117C40">
        <w:rPr>
          <w:rFonts w:ascii="Times New Roman" w:hAnsi="Times New Roman" w:cs="Times New Roman"/>
          <w:sz w:val="24"/>
          <w:szCs w:val="24"/>
          <w:lang w:val="en-US"/>
        </w:rPr>
        <w:fldChar w:fldCharType="end"/>
      </w:r>
      <w:r w:rsidRPr="00117C40">
        <w:rPr>
          <w:rFonts w:ascii="Times New Roman" w:hAnsi="Times New Roman" w:cs="Times New Roman"/>
          <w:sz w:val="24"/>
          <w:szCs w:val="24"/>
          <w:lang w:val="en-US"/>
        </w:rPr>
        <w:t xml:space="preserve">. </w:t>
      </w:r>
      <w:r w:rsidRPr="00D1548A">
        <w:rPr>
          <w:rFonts w:ascii="Times New Roman" w:hAnsi="Times New Roman" w:cs="Times New Roman"/>
          <w:sz w:val="24"/>
          <w:szCs w:val="24"/>
          <w:lang w:val="en-US"/>
        </w:rPr>
        <w:t xml:space="preserve">Primary culture neurons are the first to suffer from zinc overload, </w:t>
      </w:r>
      <w:r w:rsidR="001B6787" w:rsidRPr="001B6787">
        <w:rPr>
          <w:rFonts w:ascii="Times New Roman" w:hAnsi="Times New Roman" w:cs="Times New Roman"/>
          <w:sz w:val="24"/>
          <w:szCs w:val="24"/>
          <w:lang w:val="en-US"/>
        </w:rPr>
        <w:t>at the same time in culture</w:t>
      </w:r>
      <w:r w:rsidR="001B6787">
        <w:rPr>
          <w:rFonts w:ascii="Times New Roman" w:hAnsi="Times New Roman" w:cs="Times New Roman"/>
          <w:sz w:val="24"/>
          <w:szCs w:val="24"/>
          <w:lang w:val="en-US"/>
        </w:rPr>
        <w:t xml:space="preserve"> </w:t>
      </w:r>
      <w:r w:rsidR="001B6787" w:rsidRPr="001B6787">
        <w:rPr>
          <w:rFonts w:ascii="Times New Roman" w:hAnsi="Times New Roman" w:cs="Times New Roman"/>
          <w:sz w:val="24"/>
          <w:szCs w:val="24"/>
          <w:lang w:val="en-US"/>
        </w:rPr>
        <w:t xml:space="preserve">it was </w:t>
      </w:r>
      <w:r w:rsidR="001B6787" w:rsidRPr="00D1548A">
        <w:rPr>
          <w:rFonts w:ascii="Times New Roman" w:hAnsi="Times New Roman" w:cs="Times New Roman"/>
          <w:sz w:val="24"/>
          <w:szCs w:val="24"/>
          <w:lang w:val="en-US"/>
        </w:rPr>
        <w:t>observed</w:t>
      </w:r>
      <w:r w:rsidRPr="00D1548A">
        <w:rPr>
          <w:rFonts w:ascii="Times New Roman" w:hAnsi="Times New Roman" w:cs="Times New Roman"/>
          <w:sz w:val="24"/>
          <w:szCs w:val="24"/>
          <w:lang w:val="en-US"/>
        </w:rPr>
        <w:t xml:space="preserve"> compensatory astrogliosis</w:t>
      </w:r>
      <w:r w:rsidRPr="00117C40">
        <w:rPr>
          <w:rFonts w:ascii="Times New Roman" w:hAnsi="Times New Roman" w:cs="Times New Roman"/>
          <w:sz w:val="24"/>
          <w:szCs w:val="24"/>
          <w:lang w:val="en-US"/>
        </w:rPr>
        <w:t xml:space="preserve"> (</w:t>
      </w:r>
      <w:r w:rsidRPr="00117C40">
        <w:rPr>
          <w:rFonts w:ascii="Times New Roman" w:hAnsi="Times New Roman" w:cs="Times New Roman"/>
          <w:b/>
          <w:bCs/>
          <w:sz w:val="24"/>
          <w:szCs w:val="24"/>
          <w:lang w:val="en-US"/>
        </w:rPr>
        <w:t>Fig</w:t>
      </w:r>
      <w:r w:rsidR="00D54168" w:rsidRPr="00117C40">
        <w:rPr>
          <w:rFonts w:ascii="Times New Roman" w:hAnsi="Times New Roman" w:cs="Times New Roman"/>
          <w:b/>
          <w:bCs/>
          <w:sz w:val="24"/>
          <w:szCs w:val="24"/>
          <w:lang w:val="en-US"/>
        </w:rPr>
        <w:t>ure</w:t>
      </w:r>
      <w:r w:rsidR="0045186E" w:rsidRPr="00117C40">
        <w:rPr>
          <w:rFonts w:ascii="Times New Roman" w:hAnsi="Times New Roman" w:cs="Times New Roman"/>
          <w:b/>
          <w:bCs/>
          <w:sz w:val="24"/>
          <w:szCs w:val="24"/>
          <w:lang w:val="en-US"/>
        </w:rPr>
        <w:t xml:space="preserve"> </w:t>
      </w:r>
      <w:r w:rsidR="00D54168" w:rsidRPr="00117C40">
        <w:rPr>
          <w:rFonts w:ascii="Times New Roman" w:hAnsi="Times New Roman" w:cs="Times New Roman"/>
          <w:b/>
          <w:bCs/>
          <w:sz w:val="24"/>
          <w:szCs w:val="24"/>
          <w:lang w:val="en-US"/>
        </w:rPr>
        <w:t>2</w:t>
      </w:r>
      <w:r w:rsidR="0045186E" w:rsidRPr="00117C40">
        <w:rPr>
          <w:rFonts w:ascii="Times New Roman" w:hAnsi="Times New Roman" w:cs="Times New Roman"/>
          <w:b/>
          <w:bCs/>
          <w:sz w:val="24"/>
          <w:szCs w:val="24"/>
          <w:lang w:val="en-US"/>
        </w:rPr>
        <w:t>, D</w:t>
      </w:r>
      <w:r w:rsidRPr="00117C40">
        <w:rPr>
          <w:rFonts w:ascii="Times New Roman" w:hAnsi="Times New Roman" w:cs="Times New Roman"/>
          <w:b/>
          <w:bCs/>
          <w:sz w:val="24"/>
          <w:szCs w:val="24"/>
          <w:lang w:val="en-US"/>
        </w:rPr>
        <w:t>).</w:t>
      </w:r>
      <w:r w:rsidRPr="00117C40">
        <w:rPr>
          <w:rFonts w:ascii="Times New Roman" w:hAnsi="Times New Roman" w:cs="Times New Roman"/>
          <w:sz w:val="24"/>
          <w:szCs w:val="24"/>
          <w:lang w:val="en-US"/>
        </w:rPr>
        <w:t xml:space="preserve"> Treatment of cultures with excessive zinc resulted in neurite destruction and a drop in neuronal density relative to control cultures (47</w:t>
      </w:r>
      <w:r w:rsidR="0045186E" w:rsidRPr="00117C40">
        <w:rPr>
          <w:rFonts w:ascii="Times New Roman" w:hAnsi="Times New Roman" w:cs="Times New Roman"/>
          <w:sz w:val="24"/>
          <w:szCs w:val="24"/>
          <w:lang w:val="en-US"/>
        </w:rPr>
        <w:t>,</w:t>
      </w:r>
      <w:r w:rsidRPr="00117C40">
        <w:rPr>
          <w:rFonts w:ascii="Times New Roman" w:hAnsi="Times New Roman" w:cs="Times New Roman"/>
          <w:sz w:val="24"/>
          <w:szCs w:val="24"/>
          <w:lang w:val="en-US"/>
        </w:rPr>
        <w:t>4±</w:t>
      </w:r>
      <w:r w:rsidR="009176BE" w:rsidRPr="00117C40">
        <w:rPr>
          <w:rFonts w:ascii="Times New Roman" w:hAnsi="Times New Roman" w:cs="Times New Roman"/>
          <w:sz w:val="24"/>
          <w:szCs w:val="24"/>
          <w:lang w:val="en-US"/>
        </w:rPr>
        <w:t>1</w:t>
      </w:r>
      <w:r w:rsidRPr="00117C40">
        <w:rPr>
          <w:rFonts w:ascii="Times New Roman" w:hAnsi="Times New Roman" w:cs="Times New Roman"/>
          <w:sz w:val="24"/>
          <w:szCs w:val="24"/>
          <w:lang w:val="en-US"/>
        </w:rPr>
        <w:t xml:space="preserve"> in native, 2</w:t>
      </w:r>
      <w:r w:rsidR="009176BE" w:rsidRPr="00117C40">
        <w:rPr>
          <w:rFonts w:ascii="Times New Roman" w:hAnsi="Times New Roman" w:cs="Times New Roman"/>
          <w:sz w:val="24"/>
          <w:szCs w:val="24"/>
          <w:lang w:val="en-US"/>
        </w:rPr>
        <w:t>9</w:t>
      </w:r>
      <w:r w:rsidRPr="00117C40">
        <w:rPr>
          <w:rFonts w:ascii="Times New Roman" w:hAnsi="Times New Roman" w:cs="Times New Roman"/>
          <w:sz w:val="24"/>
          <w:szCs w:val="24"/>
          <w:lang w:val="en-US"/>
        </w:rPr>
        <w:t>±</w:t>
      </w:r>
      <w:r w:rsidR="009176BE" w:rsidRPr="00117C40">
        <w:rPr>
          <w:rFonts w:ascii="Times New Roman" w:hAnsi="Times New Roman" w:cs="Times New Roman"/>
          <w:sz w:val="24"/>
          <w:szCs w:val="24"/>
          <w:lang w:val="en-US"/>
        </w:rPr>
        <w:t>1,</w:t>
      </w:r>
      <w:r w:rsidRPr="00117C40">
        <w:rPr>
          <w:rFonts w:ascii="Times New Roman" w:hAnsi="Times New Roman" w:cs="Times New Roman"/>
          <w:sz w:val="24"/>
          <w:szCs w:val="24"/>
          <w:lang w:val="en-US"/>
        </w:rPr>
        <w:t>5 under toxic influence, p &lt; 0.001, one-way ANOVA followed by Dunn's post-tests), while there was a strong compensatory astrocyte overgrowth (5</w:t>
      </w:r>
      <w:r w:rsidR="009176BE" w:rsidRPr="00117C40">
        <w:rPr>
          <w:rFonts w:ascii="Times New Roman" w:hAnsi="Times New Roman" w:cs="Times New Roman"/>
          <w:sz w:val="24"/>
          <w:szCs w:val="24"/>
          <w:lang w:val="en-US"/>
        </w:rPr>
        <w:t>2,3</w:t>
      </w:r>
      <w:r w:rsidRPr="00117C40">
        <w:rPr>
          <w:rFonts w:ascii="Times New Roman" w:hAnsi="Times New Roman" w:cs="Times New Roman"/>
          <w:sz w:val="24"/>
          <w:szCs w:val="24"/>
          <w:lang w:val="en-US"/>
        </w:rPr>
        <w:t>8±</w:t>
      </w:r>
      <w:r w:rsidR="009176BE" w:rsidRPr="00117C40">
        <w:rPr>
          <w:rFonts w:ascii="Times New Roman" w:hAnsi="Times New Roman" w:cs="Times New Roman"/>
          <w:sz w:val="24"/>
          <w:szCs w:val="24"/>
          <w:lang w:val="en-US"/>
        </w:rPr>
        <w:t>1</w:t>
      </w:r>
      <w:r w:rsidRPr="00117C40">
        <w:rPr>
          <w:rFonts w:ascii="Times New Roman" w:hAnsi="Times New Roman" w:cs="Times New Roman"/>
          <w:sz w:val="24"/>
          <w:szCs w:val="24"/>
          <w:lang w:val="en-US"/>
        </w:rPr>
        <w:t xml:space="preserve"> in native, 6</w:t>
      </w:r>
      <w:r w:rsidR="009176BE" w:rsidRPr="00117C40">
        <w:rPr>
          <w:rFonts w:ascii="Times New Roman" w:hAnsi="Times New Roman" w:cs="Times New Roman"/>
          <w:sz w:val="24"/>
          <w:szCs w:val="24"/>
          <w:lang w:val="en-US"/>
        </w:rPr>
        <w:t>2,</w:t>
      </w:r>
      <w:r w:rsidRPr="00117C40">
        <w:rPr>
          <w:rFonts w:ascii="Times New Roman" w:hAnsi="Times New Roman" w:cs="Times New Roman"/>
          <w:sz w:val="24"/>
          <w:szCs w:val="24"/>
          <w:lang w:val="en-US"/>
        </w:rPr>
        <w:t>7±</w:t>
      </w:r>
      <w:r w:rsidR="009176BE" w:rsidRPr="00117C40">
        <w:rPr>
          <w:rFonts w:ascii="Times New Roman" w:hAnsi="Times New Roman" w:cs="Times New Roman"/>
          <w:sz w:val="24"/>
          <w:szCs w:val="24"/>
          <w:lang w:val="en-US"/>
        </w:rPr>
        <w:t>2,2</w:t>
      </w:r>
      <w:r w:rsidRPr="00117C40">
        <w:rPr>
          <w:rFonts w:ascii="Times New Roman" w:hAnsi="Times New Roman" w:cs="Times New Roman"/>
          <w:sz w:val="24"/>
          <w:szCs w:val="24"/>
          <w:lang w:val="en-US"/>
        </w:rPr>
        <w:t xml:space="preserve"> under toxic influence, p&lt;0.0</w:t>
      </w:r>
      <w:r w:rsidR="00831859" w:rsidRPr="00117C40">
        <w:rPr>
          <w:rFonts w:ascii="Times New Roman" w:hAnsi="Times New Roman" w:cs="Times New Roman"/>
          <w:sz w:val="24"/>
          <w:szCs w:val="24"/>
          <w:lang w:val="en-US"/>
        </w:rPr>
        <w:t>01</w:t>
      </w:r>
      <w:r w:rsidRPr="00117C40">
        <w:rPr>
          <w:rFonts w:ascii="Times New Roman" w:hAnsi="Times New Roman" w:cs="Times New Roman"/>
          <w:sz w:val="24"/>
          <w:szCs w:val="24"/>
          <w:lang w:val="en-US"/>
        </w:rPr>
        <w:t>, one-way ANOVA followed by Dunn's post-tests) and an increase in lipofuscin fluorescence intensity (</w:t>
      </w:r>
      <w:r w:rsidRPr="00117C40">
        <w:rPr>
          <w:rFonts w:ascii="Times New Roman" w:hAnsi="Times New Roman" w:cs="Times New Roman"/>
          <w:b/>
          <w:bCs/>
          <w:sz w:val="24"/>
          <w:szCs w:val="24"/>
          <w:lang w:val="en-US"/>
        </w:rPr>
        <w:t>Fig</w:t>
      </w:r>
      <w:r w:rsidR="00D54168" w:rsidRPr="00117C40">
        <w:rPr>
          <w:rFonts w:ascii="Times New Roman" w:hAnsi="Times New Roman" w:cs="Times New Roman"/>
          <w:b/>
          <w:bCs/>
          <w:sz w:val="24"/>
          <w:szCs w:val="24"/>
          <w:lang w:val="en-US"/>
        </w:rPr>
        <w:t>ure</w:t>
      </w:r>
      <w:r w:rsidRPr="00117C40">
        <w:rPr>
          <w:rFonts w:ascii="Times New Roman" w:hAnsi="Times New Roman" w:cs="Times New Roman"/>
          <w:b/>
          <w:bCs/>
          <w:sz w:val="24"/>
          <w:szCs w:val="24"/>
          <w:lang w:val="en-US"/>
        </w:rPr>
        <w:t xml:space="preserve"> 3, D</w:t>
      </w:r>
      <w:r w:rsidRPr="00117C40">
        <w:rPr>
          <w:rFonts w:ascii="Times New Roman" w:hAnsi="Times New Roman" w:cs="Times New Roman"/>
          <w:sz w:val="24"/>
          <w:szCs w:val="24"/>
          <w:lang w:val="en-US"/>
        </w:rPr>
        <w:t>) (</w:t>
      </w:r>
      <w:r w:rsidR="00831859" w:rsidRPr="00117C40">
        <w:rPr>
          <w:rFonts w:ascii="Times New Roman" w:hAnsi="Times New Roman" w:cs="Times New Roman"/>
          <w:sz w:val="24"/>
          <w:szCs w:val="24"/>
          <w:lang w:val="en-US"/>
        </w:rPr>
        <w:t>344,9</w:t>
      </w:r>
      <w:r w:rsidRPr="00117C40">
        <w:rPr>
          <w:rFonts w:ascii="Times New Roman" w:hAnsi="Times New Roman" w:cs="Times New Roman"/>
          <w:sz w:val="24"/>
          <w:szCs w:val="24"/>
          <w:lang w:val="en-US"/>
        </w:rPr>
        <w:t>±</w:t>
      </w:r>
      <w:r w:rsidR="00831859" w:rsidRPr="00117C40">
        <w:rPr>
          <w:rFonts w:ascii="Times New Roman" w:hAnsi="Times New Roman" w:cs="Times New Roman"/>
          <w:sz w:val="24"/>
          <w:szCs w:val="24"/>
          <w:lang w:val="en-US"/>
        </w:rPr>
        <w:t>2,7</w:t>
      </w:r>
      <w:r w:rsidRPr="00117C40">
        <w:rPr>
          <w:rFonts w:ascii="Times New Roman" w:hAnsi="Times New Roman" w:cs="Times New Roman"/>
          <w:sz w:val="24"/>
          <w:szCs w:val="24"/>
          <w:lang w:val="en-US"/>
        </w:rPr>
        <w:t xml:space="preserve"> in native, </w:t>
      </w:r>
      <w:r w:rsidR="00831859" w:rsidRPr="00117C40">
        <w:rPr>
          <w:rFonts w:ascii="Times New Roman" w:hAnsi="Times New Roman" w:cs="Times New Roman"/>
          <w:sz w:val="24"/>
          <w:szCs w:val="24"/>
          <w:lang w:val="en-US"/>
        </w:rPr>
        <w:t>440</w:t>
      </w:r>
      <w:r w:rsidRPr="00117C40">
        <w:rPr>
          <w:rFonts w:ascii="Times New Roman" w:hAnsi="Times New Roman" w:cs="Times New Roman"/>
          <w:sz w:val="24"/>
          <w:szCs w:val="24"/>
          <w:lang w:val="en-US"/>
        </w:rPr>
        <w:t>±</w:t>
      </w:r>
      <w:r w:rsidR="00831859" w:rsidRPr="00117C40">
        <w:rPr>
          <w:rFonts w:ascii="Times New Roman" w:hAnsi="Times New Roman" w:cs="Times New Roman"/>
          <w:sz w:val="24"/>
          <w:szCs w:val="24"/>
          <w:lang w:val="en-US"/>
        </w:rPr>
        <w:t>1,2</w:t>
      </w:r>
      <w:r w:rsidRPr="00117C40">
        <w:rPr>
          <w:rFonts w:ascii="Times New Roman" w:hAnsi="Times New Roman" w:cs="Times New Roman"/>
          <w:sz w:val="24"/>
          <w:szCs w:val="24"/>
          <w:lang w:val="en-US"/>
        </w:rPr>
        <w:t xml:space="preserve"> under toxic influence, p&lt;0.05 one-way ANOVA followed by Dunn's post-tests). Using lower concentrations of zinc chloride solution allowed us to achieve the same morphologically detectable mitochondrial fission (</w:t>
      </w:r>
      <w:r w:rsidRPr="00117C40">
        <w:rPr>
          <w:rFonts w:ascii="Times New Roman" w:hAnsi="Times New Roman" w:cs="Times New Roman"/>
          <w:b/>
          <w:bCs/>
          <w:sz w:val="24"/>
          <w:szCs w:val="24"/>
          <w:lang w:val="en-US"/>
        </w:rPr>
        <w:t>Fig</w:t>
      </w:r>
      <w:r w:rsidR="00D54168" w:rsidRPr="00117C40">
        <w:rPr>
          <w:rFonts w:ascii="Times New Roman" w:hAnsi="Times New Roman" w:cs="Times New Roman"/>
          <w:b/>
          <w:bCs/>
          <w:sz w:val="24"/>
          <w:szCs w:val="24"/>
          <w:lang w:val="en-US"/>
        </w:rPr>
        <w:t>ure 1, E-E1</w:t>
      </w:r>
      <w:r w:rsidRPr="00117C40">
        <w:rPr>
          <w:rFonts w:ascii="Times New Roman" w:hAnsi="Times New Roman" w:cs="Times New Roman"/>
          <w:sz w:val="24"/>
          <w:szCs w:val="24"/>
          <w:lang w:val="en-US"/>
        </w:rPr>
        <w:t>), in which neurites do not receive such a high zinc overload (</w:t>
      </w:r>
      <w:r w:rsidRPr="00117C40">
        <w:rPr>
          <w:rFonts w:ascii="Times New Roman" w:hAnsi="Times New Roman" w:cs="Times New Roman"/>
          <w:b/>
          <w:bCs/>
          <w:sz w:val="24"/>
          <w:szCs w:val="24"/>
          <w:lang w:val="en-US"/>
        </w:rPr>
        <w:t>Fig</w:t>
      </w:r>
      <w:r w:rsidR="00D54168" w:rsidRPr="00117C40">
        <w:rPr>
          <w:rFonts w:ascii="Times New Roman" w:hAnsi="Times New Roman" w:cs="Times New Roman"/>
          <w:b/>
          <w:bCs/>
          <w:sz w:val="24"/>
          <w:szCs w:val="24"/>
          <w:lang w:val="en-US"/>
        </w:rPr>
        <w:t>ure</w:t>
      </w:r>
      <w:r w:rsidRPr="00117C40">
        <w:rPr>
          <w:rFonts w:ascii="Times New Roman" w:hAnsi="Times New Roman" w:cs="Times New Roman"/>
          <w:b/>
          <w:bCs/>
          <w:sz w:val="24"/>
          <w:szCs w:val="24"/>
          <w:lang w:val="en-US"/>
        </w:rPr>
        <w:t xml:space="preserve"> 2, D).</w:t>
      </w:r>
      <w:r w:rsidRPr="00117C40">
        <w:rPr>
          <w:rFonts w:ascii="Times New Roman" w:hAnsi="Times New Roman" w:cs="Times New Roman"/>
          <w:sz w:val="24"/>
          <w:szCs w:val="24"/>
          <w:lang w:val="en-US"/>
        </w:rPr>
        <w:t xml:space="preserve"> Low zinc concentrations caused no significant change in neuronal and astrocytic density by day 1, but reduced lipofuscin fluorescence intensity (</w:t>
      </w:r>
      <w:r w:rsidR="00831859" w:rsidRPr="00117C40">
        <w:rPr>
          <w:rFonts w:ascii="Times New Roman" w:hAnsi="Times New Roman" w:cs="Times New Roman"/>
          <w:sz w:val="24"/>
          <w:szCs w:val="24"/>
          <w:lang w:val="en-US"/>
        </w:rPr>
        <w:t>265</w:t>
      </w:r>
      <w:r w:rsidRPr="00117C40">
        <w:rPr>
          <w:rFonts w:ascii="Times New Roman" w:hAnsi="Times New Roman" w:cs="Times New Roman"/>
          <w:sz w:val="24"/>
          <w:szCs w:val="24"/>
          <w:lang w:val="en-US"/>
        </w:rPr>
        <w:t>±1 at day 1, p&lt;0.05 one-way ANOVA followed by Dunn's post-tests). However, on day 5 (</w:t>
      </w:r>
      <w:r w:rsidRPr="00117C40">
        <w:rPr>
          <w:rFonts w:ascii="Times New Roman" w:hAnsi="Times New Roman" w:cs="Times New Roman"/>
          <w:b/>
          <w:bCs/>
          <w:sz w:val="24"/>
          <w:szCs w:val="24"/>
          <w:lang w:val="en-US"/>
        </w:rPr>
        <w:t>Fig</w:t>
      </w:r>
      <w:r w:rsidR="00D54168" w:rsidRPr="00117C40">
        <w:rPr>
          <w:rFonts w:ascii="Times New Roman" w:hAnsi="Times New Roman" w:cs="Times New Roman"/>
          <w:b/>
          <w:bCs/>
          <w:sz w:val="24"/>
          <w:szCs w:val="24"/>
          <w:lang w:val="en-US"/>
        </w:rPr>
        <w:t>ure</w:t>
      </w:r>
      <w:r w:rsidRPr="00117C40">
        <w:rPr>
          <w:rFonts w:ascii="Times New Roman" w:hAnsi="Times New Roman" w:cs="Times New Roman"/>
          <w:b/>
          <w:bCs/>
          <w:sz w:val="24"/>
          <w:szCs w:val="24"/>
          <w:lang w:val="en-US"/>
        </w:rPr>
        <w:t xml:space="preserve"> 2, D1)</w:t>
      </w:r>
      <w:r w:rsidRPr="00117C40">
        <w:rPr>
          <w:rFonts w:ascii="Times New Roman" w:hAnsi="Times New Roman" w:cs="Times New Roman"/>
          <w:sz w:val="24"/>
          <w:szCs w:val="24"/>
          <w:lang w:val="en-US"/>
        </w:rPr>
        <w:t xml:space="preserve"> of the experiment, a fall in neuronal density was already again observed (47.4±1 at native, 27</w:t>
      </w:r>
      <w:r w:rsidR="009176BE" w:rsidRPr="00117C40">
        <w:rPr>
          <w:rFonts w:ascii="Times New Roman" w:hAnsi="Times New Roman" w:cs="Times New Roman"/>
          <w:sz w:val="24"/>
          <w:szCs w:val="24"/>
          <w:lang w:val="en-US"/>
        </w:rPr>
        <w:t>,7</w:t>
      </w:r>
      <w:r w:rsidRPr="00117C40">
        <w:rPr>
          <w:rFonts w:ascii="Times New Roman" w:hAnsi="Times New Roman" w:cs="Times New Roman"/>
          <w:sz w:val="24"/>
          <w:szCs w:val="24"/>
          <w:lang w:val="en-US"/>
        </w:rPr>
        <w:t>±1</w:t>
      </w:r>
      <w:r w:rsidR="009176BE" w:rsidRPr="00117C40">
        <w:rPr>
          <w:rFonts w:ascii="Times New Roman" w:hAnsi="Times New Roman" w:cs="Times New Roman"/>
          <w:sz w:val="24"/>
          <w:szCs w:val="24"/>
          <w:lang w:val="en-US"/>
        </w:rPr>
        <w:t>,3</w:t>
      </w:r>
      <w:r w:rsidRPr="00117C40">
        <w:rPr>
          <w:rFonts w:ascii="Times New Roman" w:hAnsi="Times New Roman" w:cs="Times New Roman"/>
          <w:sz w:val="24"/>
          <w:szCs w:val="24"/>
          <w:lang w:val="en-US"/>
        </w:rPr>
        <w:t xml:space="preserve"> at day 5, p&lt;0.001, one-way ANOVA followed by Dunn's post-tests) with a concomitant drop in astrocyte density (5</w:t>
      </w:r>
      <w:r w:rsidR="009176BE" w:rsidRPr="00117C40">
        <w:rPr>
          <w:rFonts w:ascii="Times New Roman" w:hAnsi="Times New Roman" w:cs="Times New Roman"/>
          <w:sz w:val="24"/>
          <w:szCs w:val="24"/>
          <w:lang w:val="en-US"/>
        </w:rPr>
        <w:t>2,3</w:t>
      </w:r>
      <w:r w:rsidRPr="00117C40">
        <w:rPr>
          <w:rFonts w:ascii="Times New Roman" w:hAnsi="Times New Roman" w:cs="Times New Roman"/>
          <w:sz w:val="24"/>
          <w:szCs w:val="24"/>
          <w:lang w:val="en-US"/>
        </w:rPr>
        <w:t>±1 at native, 3</w:t>
      </w:r>
      <w:r w:rsidR="009176BE" w:rsidRPr="00117C40">
        <w:rPr>
          <w:rFonts w:ascii="Times New Roman" w:hAnsi="Times New Roman" w:cs="Times New Roman"/>
          <w:sz w:val="24"/>
          <w:szCs w:val="24"/>
          <w:lang w:val="en-US"/>
        </w:rPr>
        <w:t>5,4</w:t>
      </w:r>
      <w:r w:rsidRPr="00117C40">
        <w:rPr>
          <w:rFonts w:ascii="Times New Roman" w:hAnsi="Times New Roman" w:cs="Times New Roman"/>
          <w:sz w:val="24"/>
          <w:szCs w:val="24"/>
          <w:lang w:val="en-US"/>
        </w:rPr>
        <w:t>±</w:t>
      </w:r>
      <w:r w:rsidR="009176BE" w:rsidRPr="00117C40">
        <w:rPr>
          <w:rFonts w:ascii="Times New Roman" w:hAnsi="Times New Roman" w:cs="Times New Roman"/>
          <w:sz w:val="24"/>
          <w:szCs w:val="24"/>
          <w:lang w:val="en-US"/>
        </w:rPr>
        <w:t>1,8</w:t>
      </w:r>
      <w:r w:rsidRPr="00117C40">
        <w:rPr>
          <w:rFonts w:ascii="Times New Roman" w:hAnsi="Times New Roman" w:cs="Times New Roman"/>
          <w:sz w:val="24"/>
          <w:szCs w:val="24"/>
          <w:lang w:val="en-US"/>
        </w:rPr>
        <w:t xml:space="preserve"> at day 5, p &lt; 0.001, one-way ANOVA followed by Dunn's post-tests), and the cluster morphology of the culture was impaired, neurons became less likely to assemble into clustered structures, and </w:t>
      </w:r>
      <w:r w:rsidR="00286D49" w:rsidRPr="00286D49">
        <w:rPr>
          <w:rFonts w:ascii="Times New Roman" w:hAnsi="Times New Roman" w:cs="Times New Roman"/>
          <w:sz w:val="24"/>
          <w:szCs w:val="24"/>
          <w:lang w:val="en-US"/>
        </w:rPr>
        <w:t>began to show altered immunoreactivity to glial fibrillary acidic protein, and pathologic aggregation of GFAP increased</w:t>
      </w:r>
      <w:r w:rsidRPr="00117C40">
        <w:rPr>
          <w:rFonts w:ascii="Times New Roman" w:hAnsi="Times New Roman" w:cs="Times New Roman"/>
          <w:sz w:val="24"/>
          <w:szCs w:val="24"/>
          <w:lang w:val="en-US"/>
        </w:rPr>
        <w:t>, however, lipofuscin fluorescence intensity was still reduced (19</w:t>
      </w:r>
      <w:r w:rsidR="00831859" w:rsidRPr="00117C40">
        <w:rPr>
          <w:rFonts w:ascii="Times New Roman" w:hAnsi="Times New Roman" w:cs="Times New Roman"/>
          <w:sz w:val="24"/>
          <w:szCs w:val="24"/>
          <w:lang w:val="en-US"/>
        </w:rPr>
        <w:t>0</w:t>
      </w:r>
      <w:r w:rsidRPr="00117C40">
        <w:rPr>
          <w:rFonts w:ascii="Times New Roman" w:hAnsi="Times New Roman" w:cs="Times New Roman"/>
          <w:sz w:val="24"/>
          <w:szCs w:val="24"/>
          <w:lang w:val="en-US"/>
        </w:rPr>
        <w:t>±</w:t>
      </w:r>
      <w:r w:rsidR="00831859" w:rsidRPr="00117C40">
        <w:rPr>
          <w:rFonts w:ascii="Times New Roman" w:hAnsi="Times New Roman" w:cs="Times New Roman"/>
          <w:sz w:val="24"/>
          <w:szCs w:val="24"/>
          <w:lang w:val="en-US"/>
        </w:rPr>
        <w:t>3</w:t>
      </w:r>
      <w:r w:rsidRPr="00117C40">
        <w:rPr>
          <w:rFonts w:ascii="Times New Roman" w:hAnsi="Times New Roman" w:cs="Times New Roman"/>
          <w:sz w:val="24"/>
          <w:szCs w:val="24"/>
          <w:lang w:val="en-US"/>
        </w:rPr>
        <w:t xml:space="preserve"> at day 5, p&lt;0.05 one-way ANOVA followed by Dunn's post-tests).</w:t>
      </w:r>
    </w:p>
    <w:p w14:paraId="54D8E340" w14:textId="5BF3A9C1" w:rsidR="00B01E7F" w:rsidRDefault="00B01E7F" w:rsidP="00B01E7F">
      <w:pPr>
        <w:spacing w:line="240" w:lineRule="auto"/>
        <w:rPr>
          <w:rFonts w:ascii="Times New Roman" w:hAnsi="Times New Roman" w:cs="Times New Roman"/>
          <w:sz w:val="24"/>
          <w:szCs w:val="24"/>
          <w:lang w:val="en-US"/>
        </w:rPr>
      </w:pPr>
      <w:r w:rsidRPr="009C5E07">
        <w:rPr>
          <w:rFonts w:ascii="Times New Roman" w:hAnsi="Times New Roman" w:cs="Times New Roman"/>
          <w:noProof/>
          <w:sz w:val="24"/>
          <w:szCs w:val="24"/>
        </w:rPr>
        <w:lastRenderedPageBreak/>
        <w:drawing>
          <wp:inline distT="0" distB="0" distL="0" distR="0" wp14:anchorId="2DC446FA" wp14:editId="5DE3B3F1">
            <wp:extent cx="5930900" cy="5981700"/>
            <wp:effectExtent l="0" t="0" r="0" b="0"/>
            <wp:docPr id="19358203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900" cy="5981700"/>
                    </a:xfrm>
                    <a:prstGeom prst="rect">
                      <a:avLst/>
                    </a:prstGeom>
                    <a:noFill/>
                    <a:ln>
                      <a:noFill/>
                    </a:ln>
                  </pic:spPr>
                </pic:pic>
              </a:graphicData>
            </a:graphic>
          </wp:inline>
        </w:drawing>
      </w:r>
    </w:p>
    <w:p w14:paraId="761DC6DF" w14:textId="77777777" w:rsidR="00B01E7F" w:rsidRPr="005E3A19" w:rsidRDefault="00B01E7F" w:rsidP="00B01E7F">
      <w:pPr>
        <w:rPr>
          <w:rFonts w:ascii="Times New Roman" w:hAnsi="Times New Roman" w:cs="Times New Roman"/>
          <w:sz w:val="24"/>
          <w:szCs w:val="24"/>
          <w:lang w:val="en-US"/>
        </w:rPr>
      </w:pPr>
      <w:r w:rsidRPr="00B01E7F">
        <w:rPr>
          <w:rFonts w:ascii="Times New Roman" w:hAnsi="Times New Roman" w:cs="Times New Roman"/>
          <w:b/>
          <w:bCs/>
          <w:sz w:val="24"/>
          <w:szCs w:val="24"/>
          <w:lang w:val="en-US"/>
        </w:rPr>
        <w:t>Figure 3</w:t>
      </w:r>
      <w:r>
        <w:rPr>
          <w:rFonts w:ascii="Times New Roman" w:hAnsi="Times New Roman" w:cs="Times New Roman"/>
          <w:sz w:val="24"/>
          <w:szCs w:val="24"/>
          <w:lang w:val="en-US"/>
        </w:rPr>
        <w:t xml:space="preserve">. </w:t>
      </w:r>
      <w:r w:rsidRPr="00B01E7F">
        <w:rPr>
          <w:rFonts w:ascii="Times New Roman" w:hAnsi="Times New Roman" w:cs="Times New Roman"/>
          <w:i/>
          <w:iCs/>
          <w:sz w:val="24"/>
          <w:szCs w:val="24"/>
          <w:lang w:val="en-US"/>
        </w:rPr>
        <w:t>Emission spectra of lipofuscin fluorescence (360/450) and fluorescence intensity at the maximum point. A - Fluorescence emission spectra in 5xFAD hippocampal cultures and healthy cultures. B - Effect of MFP on lipofuscin fluorescence intensity. C - Effect of mdivi-1 on lipofuscin fluorescence intensity. D - Effect of Zn on the intensity of lipofuscin fluorescence. E - Suggested mechanism of lipofuscin formation from mitochondria.</w:t>
      </w:r>
    </w:p>
    <w:p w14:paraId="03899C9E" w14:textId="4F093342" w:rsidR="00E02374" w:rsidRPr="00117C40" w:rsidRDefault="00B95E8E" w:rsidP="00B01E7F">
      <w:pPr>
        <w:spacing w:line="240" w:lineRule="auto"/>
        <w:rPr>
          <w:rFonts w:ascii="Times New Roman" w:hAnsi="Times New Roman" w:cs="Times New Roman"/>
          <w:b/>
          <w:bCs/>
          <w:sz w:val="24"/>
          <w:szCs w:val="24"/>
          <w:lang w:val="en-US"/>
        </w:rPr>
      </w:pPr>
      <w:r w:rsidRPr="00117C40">
        <w:rPr>
          <w:rFonts w:ascii="Times New Roman" w:hAnsi="Times New Roman" w:cs="Times New Roman"/>
          <w:b/>
          <w:bCs/>
          <w:sz w:val="24"/>
          <w:szCs w:val="24"/>
          <w:lang w:val="en-US"/>
        </w:rPr>
        <w:t>4. DISCUSSION</w:t>
      </w:r>
    </w:p>
    <w:p w14:paraId="514A0FF2" w14:textId="197B31D1" w:rsidR="00E02374" w:rsidRPr="00EC3E53" w:rsidRDefault="00E02374" w:rsidP="00B01E7F">
      <w:pPr>
        <w:spacing w:line="240" w:lineRule="auto"/>
        <w:rPr>
          <w:rFonts w:ascii="Times New Roman" w:hAnsi="Times New Roman" w:cs="Times New Roman"/>
          <w:sz w:val="24"/>
          <w:szCs w:val="24"/>
          <w:lang w:val="en-US"/>
        </w:rPr>
      </w:pPr>
      <w:r w:rsidRPr="00117C40">
        <w:rPr>
          <w:rFonts w:ascii="Times New Roman" w:hAnsi="Times New Roman" w:cs="Times New Roman"/>
          <w:sz w:val="24"/>
          <w:szCs w:val="24"/>
          <w:lang w:val="en-US"/>
        </w:rPr>
        <w:t xml:space="preserve">Normal </w:t>
      </w:r>
      <w:r w:rsidRPr="00A61548">
        <w:rPr>
          <w:rFonts w:ascii="Times New Roman" w:hAnsi="Times New Roman" w:cs="Times New Roman"/>
          <w:sz w:val="24"/>
          <w:szCs w:val="24"/>
          <w:lang w:val="en-US"/>
        </w:rPr>
        <w:t>mitochondrial fusion and fission dynamics is the basis for maintaining a healthy mitochondrial pool also through mitophagy,</w:t>
      </w:r>
      <w:r w:rsidRPr="00117C40">
        <w:rPr>
          <w:rFonts w:ascii="Times New Roman" w:hAnsi="Times New Roman" w:cs="Times New Roman"/>
          <w:sz w:val="24"/>
          <w:szCs w:val="24"/>
          <w:lang w:val="en-US"/>
        </w:rPr>
        <w:t xml:space="preserve"> the disruption of which leads to the degradation of mitochondria into lipofuscin granules </w:t>
      </w:r>
      <w:r w:rsidR="00DA4C46" w:rsidRPr="00117C40">
        <w:rPr>
          <w:rFonts w:ascii="Times New Roman" w:hAnsi="Times New Roman" w:cs="Times New Roman"/>
          <w:sz w:val="24"/>
          <w:szCs w:val="24"/>
          <w:lang w:val="en-US"/>
        </w:rPr>
        <w:fldChar w:fldCharType="begin" w:fldLock="1"/>
      </w:r>
      <w:r w:rsidR="00DA4C46" w:rsidRPr="00117C40">
        <w:rPr>
          <w:rFonts w:ascii="Times New Roman" w:hAnsi="Times New Roman" w:cs="Times New Roman"/>
          <w:sz w:val="24"/>
          <w:szCs w:val="24"/>
          <w:lang w:val="en-US"/>
        </w:rPr>
        <w:instrText>ADDIN CSL_CITATION {"citationItems":[{"id":"ITEM-1","itemData":{"DOI":"10.1016/j.neuint.2017.08.004","ISSN":"1872-9754 (Electronic)","PMID":"28797885","abstract":"Neurodegenerative diseases, such as Parkinson's disease (PD), Alzheimer's disease  (AD), Huntington's disease (HD), and Amyotrophic Lateral Sclerosis (ALS), are a complex \"family\" of pathologies, characterised by the progressive loss of neurons and/or neuronal functions, leading to severe physical and cognitive inabilities in affected patients. These syndromes, despite differences in the causative events, the onset, and the progression of the disease, share as common features the presence of aggregate-prone neuro-toxic proteins, in the form of aggresomes and/or inclusion bodies, perturbing cellular homeostasis and neuronal function (Popovic et al., 2014), and the presence of dysfunctional mitochondria. The removal of protein aggregates and of damaged organelles, through the ubiquitin-proteasome system (UPS) and/or the autophagy/lysosome machinery, is a crucial step for the maintenance of neuronal homeostasis. Indeed, their impairment has been reported as associated with the development of these diseases. In this review, we focus on the role played by mitophagy, a specialised form of autophagy, in the onset and progression of major neurodegenerative diseases, as well as on possible therapeutic approaches involving mitophagy modulation.","author":[{"dropping-particle":"","family":"Rodolfo","given":"Carlo","non-dropping-particle":"","parse-names":false,"suffix":""},{"dropping-particle":"","family":"Campello","given":"Silvia","non-dropping-particle":"","parse-names":false,"suffix":""},{"dropping-particle":"","family":"Cecconi","given":"Francesco","non-dropping-particle":"","parse-names":false,"suffix":""}],"container-title":"Neurochemistry international","id":"ITEM-1","issued":{"date-parts":[["2018","7"]]},"language":"eng","page":"156-166","publisher-place":"England","title":"Mitophagy in neurodegenerative diseases.","type":"article-journal","volume":"117"},"uris":["http://www.mendeley.com/documents/?uuid=67130804-75bb-4341-b1ab-972c301d45d2"]}],"mendeley":{"formattedCitation":"[14]","plainTextFormattedCitation":"[14]","previouslyFormattedCitation":"[14]"},"properties":{"noteIndex":0},"schema":"https://github.com/citation-style-language/schema/raw/master/csl-citation.json"}</w:instrText>
      </w:r>
      <w:r w:rsidR="00DA4C46" w:rsidRPr="00117C40">
        <w:rPr>
          <w:rFonts w:ascii="Times New Roman" w:hAnsi="Times New Roman" w:cs="Times New Roman"/>
          <w:sz w:val="24"/>
          <w:szCs w:val="24"/>
          <w:lang w:val="en-US"/>
        </w:rPr>
        <w:fldChar w:fldCharType="separate"/>
      </w:r>
      <w:r w:rsidR="00DA4C46" w:rsidRPr="00117C40">
        <w:rPr>
          <w:rFonts w:ascii="Times New Roman" w:hAnsi="Times New Roman" w:cs="Times New Roman"/>
          <w:noProof/>
          <w:sz w:val="24"/>
          <w:szCs w:val="24"/>
          <w:lang w:val="en-US"/>
        </w:rPr>
        <w:t>[14]</w:t>
      </w:r>
      <w:r w:rsidR="00DA4C46" w:rsidRPr="00117C40">
        <w:rPr>
          <w:rFonts w:ascii="Times New Roman" w:hAnsi="Times New Roman" w:cs="Times New Roman"/>
          <w:sz w:val="24"/>
          <w:szCs w:val="24"/>
          <w:lang w:val="en-US"/>
        </w:rPr>
        <w:fldChar w:fldCharType="end"/>
      </w:r>
      <w:r w:rsidRPr="00117C40">
        <w:rPr>
          <w:rFonts w:ascii="Times New Roman" w:hAnsi="Times New Roman" w:cs="Times New Roman"/>
          <w:sz w:val="24"/>
          <w:szCs w:val="24"/>
          <w:lang w:val="en-US"/>
        </w:rPr>
        <w:t>.</w:t>
      </w:r>
      <w:r w:rsidRPr="00EC3E53">
        <w:rPr>
          <w:rFonts w:ascii="Times New Roman" w:hAnsi="Times New Roman" w:cs="Times New Roman"/>
          <w:sz w:val="24"/>
          <w:szCs w:val="24"/>
          <w:lang w:val="en-US"/>
        </w:rPr>
        <w:t xml:space="preserve"> </w:t>
      </w:r>
    </w:p>
    <w:p w14:paraId="25610766" w14:textId="19B05F24" w:rsidR="00E02374" w:rsidRPr="00EC3E53" w:rsidRDefault="00E02374"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First, we would like to talk about lipofuscin. It is a substance consisting of oxidized lipids, covalently cross-linked proteins, oligosaccharides and metals </w:t>
      </w:r>
      <w:r w:rsidR="00DA4C46" w:rsidRPr="00EC3E53">
        <w:rPr>
          <w:rFonts w:ascii="Times New Roman" w:hAnsi="Times New Roman" w:cs="Times New Roman"/>
          <w:sz w:val="24"/>
          <w:szCs w:val="24"/>
          <w:lang w:val="en-US"/>
        </w:rPr>
        <w:fldChar w:fldCharType="begin" w:fldLock="1"/>
      </w:r>
      <w:r w:rsidR="00DA4C46" w:rsidRPr="00EC3E53">
        <w:rPr>
          <w:rFonts w:ascii="Times New Roman" w:hAnsi="Times New Roman" w:cs="Times New Roman"/>
          <w:sz w:val="24"/>
          <w:szCs w:val="24"/>
          <w:lang w:val="en-US"/>
        </w:rPr>
        <w:instrText>ADDIN CSL_CITATION {"citationItems":[{"id":"ITEM-1","itemData":{"DOI":"10.1007/978-1-4899-5339-1_25","ISSN":"0065-2598 (Print)","PMID":"2486162","abstract":"One of the mechanisms for the formation of lipofuscin-like fluorescent substances  is considered to be related to lipid oxidation of tissues. Induction of lipid oxidation in tissues or cells produces cross-links and borohydride-reducible functions together with fluorescence in proteins. In order to elucidate the structures of fluorophores, cross-links and borohydride-reducible functions produced in proteins by lipid oxidation, the reactions of a lipid peroxy free radical with amino acids and proteins, and those of an aldehyde with primary amines were investigated. We demonstrated here two possible types of the reactions that produce the modified proteins. A peroxy free radical generated during lipid oxidation may attack the tyrosine residue in proteins to form the tyrosine radical which may be in turn dimerized into fluorescent and cross-linked tyrosine dimer. aldehyde species formed by degradation of the peroxy free radical may be polymerized into dimer, trimer, tetramer and so on, which may react with the amino groups of protein to produce fluorescence, cross-links and borohydride-reducible functions. Cross-links can be produced by the formation of Schiff base between the tetrameric dialdehyde and the amino groups of proteins.","author":[{"dropping-particle":"","family":"Kikugawa","given":"K","non-dropping-particle":"","parse-names":false,"suffix":""},{"dropping-particle":"","family":"Kato","given":"T","non-dropping-particle":"","parse-names":false,"suffix":""},{"dropping-particle":"","family":"Beppu","given":"M","non-dropping-particle":"","parse-names":false,"suffix":""},{"dropping-particle":"","family":"Hayasaka","given":"A","non-dropping-particle":"","parse-names":false,"suffix":""}],"container-title":"Advances in experimental medicine and biology","id":"ITEM-1","issued":{"date-parts":[["1989"]]},"language":"eng","page":"345-56; discussion 357","publisher-place":"United States","title":"Fluorescent and cross-linked proteins formed by free radical and aldehyde species  generated during lipid oxidation.","type":"article-journal","volume":"266"},"uris":["http://www.mendeley.com/documents/?uuid=466ee736-bf2b-4825-ad04-79bae34968ed"]}],"mendeley":{"formattedCitation":"[15]","plainTextFormattedCitation":"[15]","previouslyFormattedCitation":"[15]"},"properties":{"noteIndex":0},"schema":"https://github.com/citation-style-language/schema/raw/master/csl-citation.json"}</w:instrText>
      </w:r>
      <w:r w:rsidR="00DA4C46" w:rsidRPr="00EC3E53">
        <w:rPr>
          <w:rFonts w:ascii="Times New Roman" w:hAnsi="Times New Roman" w:cs="Times New Roman"/>
          <w:sz w:val="24"/>
          <w:szCs w:val="24"/>
          <w:lang w:val="en-US"/>
        </w:rPr>
        <w:fldChar w:fldCharType="separate"/>
      </w:r>
      <w:r w:rsidR="00DA4C46" w:rsidRPr="00EC3E53">
        <w:rPr>
          <w:rFonts w:ascii="Times New Roman" w:hAnsi="Times New Roman" w:cs="Times New Roman"/>
          <w:noProof/>
          <w:sz w:val="24"/>
          <w:szCs w:val="24"/>
          <w:lang w:val="en-US"/>
        </w:rPr>
        <w:t>[15]</w:t>
      </w:r>
      <w:r w:rsidR="00DA4C46" w:rsidRPr="00EC3E53">
        <w:rPr>
          <w:rFonts w:ascii="Times New Roman" w:hAnsi="Times New Roman" w:cs="Times New Roman"/>
          <w:sz w:val="24"/>
          <w:szCs w:val="24"/>
          <w:lang w:val="en-US"/>
        </w:rPr>
        <w:fldChar w:fldCharType="end"/>
      </w:r>
      <w:r w:rsidRPr="00EC3E53">
        <w:rPr>
          <w:rFonts w:ascii="Times New Roman" w:hAnsi="Times New Roman" w:cs="Times New Roman"/>
          <w:sz w:val="24"/>
          <w:szCs w:val="24"/>
          <w:lang w:val="en-US"/>
        </w:rPr>
        <w:t xml:space="preserve">. The composition of lipofuscin is largely dependent on the intracellular site of action of reactive oxygen species on proteins and lipids. Lipofuscin accumulation is directly proportional to pathologies of various genesis and also increases under conditions of oxidative stress and reactive oxygen species </w:t>
      </w:r>
      <w:r w:rsidRPr="00EC3E53">
        <w:rPr>
          <w:rFonts w:ascii="Times New Roman" w:hAnsi="Times New Roman" w:cs="Times New Roman"/>
          <w:sz w:val="24"/>
          <w:szCs w:val="24"/>
          <w:lang w:val="en-US"/>
        </w:rPr>
        <w:lastRenderedPageBreak/>
        <w:t xml:space="preserve">produced by damaged mitochondria </w:t>
      </w:r>
      <w:r w:rsidRPr="00117C40">
        <w:rPr>
          <w:rFonts w:ascii="Times New Roman" w:hAnsi="Times New Roman" w:cs="Times New Roman"/>
          <w:b/>
          <w:bCs/>
          <w:sz w:val="24"/>
          <w:szCs w:val="24"/>
          <w:lang w:val="en-US"/>
        </w:rPr>
        <w:t>(Fig</w:t>
      </w:r>
      <w:r w:rsidR="00117C40" w:rsidRPr="00117C40">
        <w:rPr>
          <w:rFonts w:ascii="Times New Roman" w:hAnsi="Times New Roman" w:cs="Times New Roman"/>
          <w:b/>
          <w:bCs/>
          <w:sz w:val="24"/>
          <w:szCs w:val="24"/>
          <w:lang w:val="en-US"/>
        </w:rPr>
        <w:t>ure</w:t>
      </w:r>
      <w:r w:rsidRPr="00117C40">
        <w:rPr>
          <w:rFonts w:ascii="Times New Roman" w:hAnsi="Times New Roman" w:cs="Times New Roman"/>
          <w:b/>
          <w:bCs/>
          <w:sz w:val="24"/>
          <w:szCs w:val="24"/>
          <w:lang w:val="en-US"/>
        </w:rPr>
        <w:t xml:space="preserve"> 2, E)</w:t>
      </w:r>
      <w:r w:rsidRPr="00EC3E53">
        <w:rPr>
          <w:rFonts w:ascii="Times New Roman" w:hAnsi="Times New Roman" w:cs="Times New Roman"/>
          <w:sz w:val="24"/>
          <w:szCs w:val="24"/>
          <w:lang w:val="en-US"/>
        </w:rPr>
        <w:t xml:space="preserve">. Although, lipofuscin is thought to be a marker of senescent cells, recent work shows its close association with pathologic tau protein and Aβ in AD </w:t>
      </w:r>
      <w:r w:rsidR="00DA4C46" w:rsidRPr="00EC3E53">
        <w:rPr>
          <w:rFonts w:ascii="Times New Roman" w:hAnsi="Times New Roman" w:cs="Times New Roman"/>
          <w:sz w:val="24"/>
          <w:szCs w:val="24"/>
          <w:lang w:val="en-US"/>
        </w:rPr>
        <w:fldChar w:fldCharType="begin" w:fldLock="1"/>
      </w:r>
      <w:r w:rsidR="00DA4C46" w:rsidRPr="00EC3E53">
        <w:rPr>
          <w:rFonts w:ascii="Times New Roman" w:hAnsi="Times New Roman" w:cs="Times New Roman"/>
          <w:sz w:val="24"/>
          <w:szCs w:val="24"/>
          <w:lang w:val="en-US"/>
        </w:rPr>
        <w:instrText>ADDIN CSL_CITATION {"citationItems":[{"id":"ITEM-1","itemData":{"DOI":"10.1038/s43587-021-00142-3","ISSN":"2662-8465 (Electronic)","PMID":"35531351","abstract":"Senescent cells contribute to pathology and dysfunction in animal models(1).  Their sparse distribution and heterogenous phenotype have presented challenges for detecting them in human tissues. We developed a senescence eigengene approach to identify these rare cells within large, diverse populations of postmortem human brain cells. Eigengenes are useful when no single gene reliably captures a phenotype, like senescence; they also help to reduce noise, which is important in large transcriptomic datasets where subtle signals from low-expressing genes can be lost. Each of our eigengenes detected ~2% senescent cells from a population of ~140,000 single nuclei derived from 76 postmortem human brains with various levels of Alzheimer's disease (AD) pathology. More than 97% of the senescent cells were excitatory neurons and overlapped with tau-containing neurofibrillary tangles (NFTs). Cyclin dependent kinase inhibitor 2D (CDKN2D/p19) was predicted as the most significant contributor to the primary senescence eigengene. RNAscope and immunofluorescence confirmed its elevated expression in AD brain tissue whereby p19-expressing neurons had 1.8-fold larger nuclei and significantly more cells with lipofuscin than p19-negative neurons. These hallmark senescence phenotypes were further elevated in the presence of NFTs. Collectively, CDKN2D/p19-expressing neurons with NFTs represent a unique cellular population in human AD with a senescence phenotype. The eigengenes developed may be useful in future senescence profiling studies as they accurately identified senescent cells in snRNASeq datasets and predicted biomarkers for histological investigation.","author":[{"dropping-particle":"","family":"Dehkordi","given":"Shiva Kazempour","non-dropping-particle":"","parse-names":false,"suffix":""},{"dropping-particle":"","family":"Walker","given":"Jamie","non-dropping-particle":"","parse-names":false,"suffix":""},{"dropping-particle":"","family":"Sah","given":"Eric","non-dropping-particle":"","parse-names":false,"suffix":""},{"dropping-particle":"","family":"Bennett","given":"Emma","non-dropping-particle":"","parse-names":false,"suffix":""},{"dropping-particle":"","family":"Atrian","given":"Farzaneh","non-dropping-particle":"","parse-names":false,"suffix":""},{"dropping-particle":"","family":"Frost","given":"Bess","non-dropping-particle":"","parse-names":false,"suffix":""},{"dropping-particle":"","family":"Woost","given":"Benjamin","non-dropping-particle":"","parse-names":false,"suffix":""},{"dropping-particle":"","family":"Bennett","given":"Rachel E","non-dropping-particle":"","parse-names":false,"suffix":""},{"dropping-particle":"","family":"Orr","given":"Timothy C","non-dropping-particle":"","parse-names":false,"suffix":""},{"dropping-particle":"","family":"Zhou","given":"Yingyue","non-dropping-particle":"","parse-names":false,"suffix":""},{"dropping-particle":"","family":"Andhey","given":"Prabhakar S","non-dropping-particle":"","parse-names":false,"suffix":""},{"dropping-particle":"","family":"Colonna","given":"Marco","non-dropping-particle":"","parse-names":false,"suffix":""},{"dropping-particle":"","family":"Sudmant","given":"Peter H","non-dropping-particle":"","parse-names":false,"suffix":""},{"dropping-particle":"","family":"Xu","given":"Peng","non-dropping-particle":"","parse-names":false,"suffix":""},{"dropping-particle":"","family":"Wang","given":"Minghui","non-dropping-particle":"","parse-names":false,"suffix":""},{"dropping-particle":"","family":"Zhang","given":"Bin","non-dropping-particle":"","parse-names":false,"suffix":""},{"dropping-particle":"","family":"Zare","given":"Habil","non-dropping-particle":"","parse-names":false,"suffix":""},{"dropping-particle":"","family":"Orr","given":"Miranda E","non-dropping-particle":"","parse-names":false,"suffix":""}],"container-title":"Nature aging","id":"ITEM-1","issue":"12","issued":{"date-parts":[["2021","12"]]},"language":"eng","page":"1107-1116","publisher-place":"United States","title":"Profiling senescent cells in human brains reveals neurons with CDKN2D/p19 and tau  neuropathology.","type":"article","volume":"1"},"uris":["http://www.mendeley.com/documents/?uuid=e89306f8-bf51-4d02-9c38-f58d600cd6ce"]},{"id":"ITEM-2","itemData":{"DOI":"10.3389/fnins.2018.00464","ISSN":"1662-4548 (Print)","PMID":"30026686","abstract":"Despite aging being by far the greatest risk factor for highly prevalent  neurodegenerative disorders, the molecular underpinnings of age-related brain changes are still not well understood, particularly the transition from normal healthy brain aging to neuropathological aging. Aging is an extremely complex, multifactorial process involving the simultaneous interplay of several processes operating at many levels of the functional organization. The buildup of potentially toxic protein aggregates and their spreading through various brain regions has been identified as a major contributor to these pathologies. One of the most striking morphologic changes in neurons during normal aging is the accumulation of lipofuscin (LF) aggregates, as well as, neuromelanin pigments. LF is an autofluorescent lipopigment formed by lipids, metals and misfolded proteins, which is especially abundant in nerve cells, cardiac muscle cells and skin. Within the Central Nervous System (CNS), LF accumulates as aggregates, delineating a specific senescence pattern in both physiological and pathological states, altering neuronal cytoskeleton and cellular trafficking and metabolism, and being associated with neuronal loss, and glial proliferation and activation. Traditionally, the accumulation of LF in the CNS has been considered a secondary consequence of the aging process, being a mere bystander of the pathological buildup associated with different neurodegenerative disorders. Here, we discuss recent evidence suggesting the possibility that LF aggregates may have an active role in neurodegeneration. We argue that LF is a relevant effector of aging that represents a risk factor or driver for neurodegenerative disorders.","author":[{"dropping-particle":"","family":"Moreno-García","given":"Alexandra","non-dropping-particle":"","parse-names":false,"suffix":""},{"dropping-particle":"","family":"Kun","given":"Alejandra","non-dropping-particle":"","parse-names":false,"suffix":""},{"dropping-particle":"","family":"Calero","given":"Olga","non-dropping-particle":"","parse-names":false,"suffix":""},{"dropping-particle":"","family":"Medina","given":"Miguel","non-dropping-particle":"","parse-names":false,"suffix":""},{"dropping-particle":"","family":"Calero","given":"Miguel","non-dropping-particle":"","parse-names":false,"suffix":""}],"container-title":"Frontiers in neuroscience","id":"ITEM-2","issued":{"date-parts":[["2018"]]},"language":"eng","page":"464","publisher-place":"Switzerland","title":"An Overview of the Role of Lipofuscin in Age-Related Neurodegeneration.","type":"article-journal","volume":"12"},"uris":["http://www.mendeley.com/documents/?uuid=9062a065-5eb3-4ae7-bab5-7bf5143e7a86"]}],"mendeley":{"formattedCitation":"[16,17]","plainTextFormattedCitation":"[16,17]","previouslyFormattedCitation":"[16,17]"},"properties":{"noteIndex":0},"schema":"https://github.com/citation-style-language/schema/raw/master/csl-citation.json"}</w:instrText>
      </w:r>
      <w:r w:rsidR="00DA4C46" w:rsidRPr="00EC3E53">
        <w:rPr>
          <w:rFonts w:ascii="Times New Roman" w:hAnsi="Times New Roman" w:cs="Times New Roman"/>
          <w:sz w:val="24"/>
          <w:szCs w:val="24"/>
          <w:lang w:val="en-US"/>
        </w:rPr>
        <w:fldChar w:fldCharType="separate"/>
      </w:r>
      <w:r w:rsidR="00DA4C46" w:rsidRPr="00EC3E53">
        <w:rPr>
          <w:rFonts w:ascii="Times New Roman" w:hAnsi="Times New Roman" w:cs="Times New Roman"/>
          <w:noProof/>
          <w:sz w:val="24"/>
          <w:szCs w:val="24"/>
          <w:lang w:val="en-US"/>
        </w:rPr>
        <w:t>[16,17]</w:t>
      </w:r>
      <w:r w:rsidR="00DA4C46" w:rsidRPr="00EC3E53">
        <w:rPr>
          <w:rFonts w:ascii="Times New Roman" w:hAnsi="Times New Roman" w:cs="Times New Roman"/>
          <w:sz w:val="24"/>
          <w:szCs w:val="24"/>
          <w:lang w:val="en-US"/>
        </w:rPr>
        <w:fldChar w:fldCharType="end"/>
      </w:r>
      <w:r w:rsidRPr="00EC3E53">
        <w:rPr>
          <w:rFonts w:ascii="Times New Roman" w:hAnsi="Times New Roman" w:cs="Times New Roman"/>
          <w:sz w:val="24"/>
          <w:szCs w:val="24"/>
          <w:lang w:val="en-US"/>
        </w:rPr>
        <w:t xml:space="preserve">. Moreover, a new study, shows that α-structured protein lipofuscin is a toxic component of β-structured amyloid plaques </w:t>
      </w:r>
      <w:r w:rsidR="00DA4C46" w:rsidRPr="00EC3E53">
        <w:rPr>
          <w:rFonts w:ascii="Times New Roman" w:hAnsi="Times New Roman" w:cs="Times New Roman"/>
          <w:sz w:val="24"/>
          <w:szCs w:val="24"/>
          <w:lang w:val="en-US"/>
        </w:rPr>
        <w:fldChar w:fldCharType="begin" w:fldLock="1"/>
      </w:r>
      <w:r w:rsidR="00DA4C46" w:rsidRPr="00EC3E53">
        <w:rPr>
          <w:rFonts w:ascii="Times New Roman" w:hAnsi="Times New Roman" w:cs="Times New Roman"/>
          <w:sz w:val="24"/>
          <w:szCs w:val="24"/>
          <w:lang w:val="en-US"/>
        </w:rPr>
        <w:instrText>ADDIN CSL_CITATION {"citationItems":[{"id":"ITEM-1","itemData":{"DOI":"10.3233/JAD-220311","ISSN":"1875-8908 (Electronic)","PMID":"35662126","abstract":"Protein amyloid-β (Aβ) oligomers with β-sheet-like backbone (β-structured) form  extracellular amyloid plaques associated with Alzheimer's disease (AD). However, the relationship to AD is not known. Some investigations suggest that the toxic Aβ component has α-sheet-like backbone (α-structured) subsequently detoxified by intracellular α-to-β conversion before plaque formation. Our objective is to compare this latter hypothesis with observations made by electron microscopy of thin sections of AD-cerebral cortex. We observe irregular, 200-2,000 nm, intracellular, lipofuscin-like inclusions. Some are light-staining and smooth. Others are dark-staining and made granular by fibers that are usually overlapping and are sometimes individually seen. Aspects unusual for lipofuscin include 1) dark and light inclusions interlocking as though previously one inclusion, 2) dark inclusion-contained 2.6 nm thick sub-fibers that are bent as though α-structured, and 3) presence of inclusions in lysosomes and apparent transfer of dark inclusion material to damaged, nearby lysosomal membranes. These data suggest the following additions to α-structure-based hypotheses: 1) Lipofuscin-associated, α-structured protein toxicity to lysosomal membranes is in the chain of AD causation; 2) α-to-β detoxification of α-structured protein occurs in lipofuscin and causes dark-to-light transition that, when incomplete, is the origin of cell-to-cell transmission essential for development of AD.","author":[{"dropping-particle":"","family":"Serwer","given":"Philip","non-dropping-particle":"","parse-names":false,"suffix":""},{"dropping-particle":"","family":"Wright","given":"Elena T","non-dropping-particle":"","parse-names":false,"suffix":""},{"dropping-particle":"","family":"Hunter","given":"Barbara","non-dropping-particle":"","parse-names":false,"suffix":""}],"container-title":"Journal of Alzheimer's disease : JAD","id":"ITEM-1","issue":"2","issued":{"date-parts":[["2022"]]},"language":"eng","page":"429-438","publisher-place":"Netherlands","title":"Additions to Alpha-Sheet Based Hypotheses for the Cause of Alzheimer's Disease.","type":"article-journal","volume":"88"},"uris":["http://www.mendeley.com/documents/?uuid=cd869186-f89d-4dd3-b9e3-1c2452221747"]}],"mendeley":{"formattedCitation":"[18]","plainTextFormattedCitation":"[18]","previouslyFormattedCitation":"[18]"},"properties":{"noteIndex":0},"schema":"https://github.com/citation-style-language/schema/raw/master/csl-citation.json"}</w:instrText>
      </w:r>
      <w:r w:rsidR="00DA4C46" w:rsidRPr="00EC3E53">
        <w:rPr>
          <w:rFonts w:ascii="Times New Roman" w:hAnsi="Times New Roman" w:cs="Times New Roman"/>
          <w:sz w:val="24"/>
          <w:szCs w:val="24"/>
          <w:lang w:val="en-US"/>
        </w:rPr>
        <w:fldChar w:fldCharType="separate"/>
      </w:r>
      <w:r w:rsidR="00DA4C46" w:rsidRPr="00EC3E53">
        <w:rPr>
          <w:rFonts w:ascii="Times New Roman" w:hAnsi="Times New Roman" w:cs="Times New Roman"/>
          <w:noProof/>
          <w:sz w:val="24"/>
          <w:szCs w:val="24"/>
          <w:lang w:val="en-US"/>
        </w:rPr>
        <w:t>[18]</w:t>
      </w:r>
      <w:r w:rsidR="00DA4C46" w:rsidRPr="00EC3E53">
        <w:rPr>
          <w:rFonts w:ascii="Times New Roman" w:hAnsi="Times New Roman" w:cs="Times New Roman"/>
          <w:sz w:val="24"/>
          <w:szCs w:val="24"/>
          <w:lang w:val="en-US"/>
        </w:rPr>
        <w:fldChar w:fldCharType="end"/>
      </w:r>
      <w:r w:rsidRPr="00EC3E53">
        <w:rPr>
          <w:rFonts w:ascii="Times New Roman" w:hAnsi="Times New Roman" w:cs="Times New Roman"/>
          <w:sz w:val="24"/>
          <w:szCs w:val="24"/>
          <w:lang w:val="en-US"/>
        </w:rPr>
        <w:t xml:space="preserve">. Since lipofuscin has the property of autofluorescence, it can be used as a marker of disorders even before the first morphologic manifestations. That said, one of the most frequent descriptions of lipofuscin sounds like "intracellular </w:t>
      </w:r>
      <w:r w:rsidR="00117C40" w:rsidRPr="00117C40">
        <w:rPr>
          <w:rFonts w:ascii="Times New Roman" w:hAnsi="Times New Roman" w:cs="Times New Roman"/>
          <w:sz w:val="24"/>
          <w:szCs w:val="24"/>
          <w:lang w:val="en-US"/>
        </w:rPr>
        <w:t>trash</w:t>
      </w:r>
      <w:r w:rsidRPr="00EC3E53">
        <w:rPr>
          <w:rFonts w:ascii="Times New Roman" w:hAnsi="Times New Roman" w:cs="Times New Roman"/>
          <w:sz w:val="24"/>
          <w:szCs w:val="24"/>
          <w:lang w:val="en-US"/>
        </w:rPr>
        <w:t>". This term denotes one of the interesting properties of lipofuscin - extreme resistance to cellular proteolysis, which is explained by "cross-linking" of aldehyde and amino groups of the peptide to form stable polymeric structures.</w:t>
      </w:r>
    </w:p>
    <w:p w14:paraId="0FDB8262" w14:textId="7A23C66A" w:rsidR="00E02374" w:rsidRPr="00EC3E53" w:rsidRDefault="00E02374"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We see that the accumulation of lipofuscin in our experiments occurs in two cases. The first is the toxic effect of high concentrations of exogenous zinc, which is quite explained by the activation of peroxidation and, in general, quite a common pathway of lipofuscin increase. The second is inhibition of mitochondrial fission. Thus, by day 5 of fission inhibition, the fluorescence intensity of lipofuscin in the experimental groups is compared to control 5xFAD transgenic animals. The </w:t>
      </w:r>
      <w:r w:rsidR="00DA4C46" w:rsidRPr="00EC3E53">
        <w:rPr>
          <w:rFonts w:ascii="Times New Roman" w:hAnsi="Times New Roman" w:cs="Times New Roman"/>
          <w:sz w:val="24"/>
          <w:szCs w:val="24"/>
          <w:lang w:val="en-US"/>
        </w:rPr>
        <w:t xml:space="preserve">issue </w:t>
      </w:r>
      <w:r w:rsidR="00DA4C46" w:rsidRPr="00EC3E53">
        <w:rPr>
          <w:rFonts w:ascii="Times New Roman" w:hAnsi="Times New Roman" w:cs="Times New Roman"/>
          <w:sz w:val="24"/>
          <w:szCs w:val="24"/>
          <w:lang w:val="en-US"/>
        </w:rPr>
        <w:fldChar w:fldCharType="begin" w:fldLock="1"/>
      </w:r>
      <w:r w:rsidR="00DA4C46" w:rsidRPr="00EC3E53">
        <w:rPr>
          <w:rFonts w:ascii="Times New Roman" w:hAnsi="Times New Roman" w:cs="Times New Roman"/>
          <w:sz w:val="24"/>
          <w:szCs w:val="24"/>
          <w:lang w:val="en-US"/>
        </w:rPr>
        <w:instrText>ADDIN CSL_CITATION {"citationItems":[{"id":"ITEM-1","itemData":{"DOI":"https://doi.org/10.1016/j.cmet.2013.03.002","ISSN":"1550-4131","abstract":"Mitochondrial fusion, fission, and mitophagy form an essential axis of mitochondrial quality control. However, quality control might not be the only task carried out by mitochondrial dynamics. Recent studies link mitochondrial dynamics to the balance between energy demand and nutrient supply, suggesting changes in mitochondrial architecture as a mechanism for bioenergetic adaptation to metabolic demands. By favoring either connected or fragmented architectures, mitochondrial dynamics regulates bioenergetic efficiency and energy expenditure. Placement of bioenergetic adaptation and quality control as competing tasks of mitochondrial dynamics might provide a new mechanism, linking excess nutrient environment to progressive mitochondrial dysfunction, common to age-related diseases.","author":[{"dropping-particle":"","family":"Liesa","given":"Marc","non-dropping-particle":"","parse-names":false,"suffix":""},{"dropping-particle":"","family":"Shirihai","given":"Orian S","non-dropping-particle":"","parse-names":false,"suffix":""}],"container-title":"Cell Metabolism","id":"ITEM-1","issue":"4","issued":{"date-parts":[["2013"]]},"page":"491-506","title":"Mitochondrial Dynamics in the Regulation of Nutrient Utilization and Energy Expenditure","type":"article-journal","volume":"17"},"uris":["http://www.mendeley.com/documents/?uuid=872b0710-cb15-49dc-baef-397d88af7eeb"]}],"mendeley":{"formattedCitation":"[19]","plainTextFormattedCitation":"[19]","previouslyFormattedCitation":"[19]"},"properties":{"noteIndex":0},"schema":"https://github.com/citation-style-language/schema/raw/master/csl-citation.json"}</w:instrText>
      </w:r>
      <w:r w:rsidR="00DA4C46" w:rsidRPr="00EC3E53">
        <w:rPr>
          <w:rFonts w:ascii="Times New Roman" w:hAnsi="Times New Roman" w:cs="Times New Roman"/>
          <w:sz w:val="24"/>
          <w:szCs w:val="24"/>
          <w:lang w:val="en-US"/>
        </w:rPr>
        <w:fldChar w:fldCharType="separate"/>
      </w:r>
      <w:r w:rsidR="00DA4C46" w:rsidRPr="00EC3E53">
        <w:rPr>
          <w:rFonts w:ascii="Times New Roman" w:hAnsi="Times New Roman" w:cs="Times New Roman"/>
          <w:noProof/>
          <w:sz w:val="24"/>
          <w:szCs w:val="24"/>
          <w:lang w:val="en-US"/>
        </w:rPr>
        <w:t>[19]</w:t>
      </w:r>
      <w:r w:rsidR="00DA4C46" w:rsidRPr="00EC3E53">
        <w:rPr>
          <w:rFonts w:ascii="Times New Roman" w:hAnsi="Times New Roman" w:cs="Times New Roman"/>
          <w:sz w:val="24"/>
          <w:szCs w:val="24"/>
          <w:lang w:val="en-US"/>
        </w:rPr>
        <w:fldChar w:fldCharType="end"/>
      </w:r>
      <w:r w:rsidRPr="00EC3E53">
        <w:rPr>
          <w:rFonts w:ascii="Times New Roman" w:hAnsi="Times New Roman" w:cs="Times New Roman"/>
          <w:sz w:val="24"/>
          <w:szCs w:val="24"/>
          <w:lang w:val="en-US"/>
        </w:rPr>
        <w:t xml:space="preserve"> states that the normal mitochondrial fission cycle involves the formation of two daughter mitochondria, one of which has a higher membrane potential and goes on to the fusion-fission cycle, and the other, with a more depolarized membrane, remains separated until membrane potential is restored or until elimination by autophagy. And we can assume that the increase in lipofuscin in this case is a process of accumulation of intracellular debris associated with </w:t>
      </w:r>
      <w:r w:rsidRPr="00A61548">
        <w:rPr>
          <w:rFonts w:ascii="Times New Roman" w:hAnsi="Times New Roman" w:cs="Times New Roman"/>
          <w:sz w:val="24"/>
          <w:szCs w:val="24"/>
          <w:lang w:val="en-US"/>
        </w:rPr>
        <w:t>insufficient mitochondrial division and clearance.</w:t>
      </w:r>
      <w:r w:rsidRPr="00EC3E53">
        <w:rPr>
          <w:rFonts w:ascii="Times New Roman" w:hAnsi="Times New Roman" w:cs="Times New Roman"/>
          <w:sz w:val="24"/>
          <w:szCs w:val="24"/>
          <w:lang w:val="en-US"/>
        </w:rPr>
        <w:t xml:space="preserve"> And therefore, activation of fission by non-toxic concentrations of zinc, although leading to deleterious effects in culture, decreased the level of lipofuscin. At the same time, the activation of mitochondrial fusion, although leading to the degradation of the culture, did not lead to the formation of lipofuscin. On the contrary, it decreased over time. This can be taken to mean that by acting on the fusion </w:t>
      </w:r>
      <w:r w:rsidRPr="00A61548">
        <w:rPr>
          <w:rFonts w:ascii="Times New Roman" w:hAnsi="Times New Roman" w:cs="Times New Roman"/>
          <w:sz w:val="24"/>
          <w:szCs w:val="24"/>
          <w:lang w:val="en-US"/>
        </w:rPr>
        <w:t xml:space="preserve">promoter, we are not blocking fission, and mitochondria still have the ability to maintain </w:t>
      </w:r>
      <w:r w:rsidR="00286D49" w:rsidRPr="00A61548">
        <w:rPr>
          <w:rFonts w:ascii="Times New Roman" w:hAnsi="Times New Roman" w:cs="Times New Roman"/>
          <w:sz w:val="24"/>
          <w:szCs w:val="24"/>
          <w:lang w:val="en-US"/>
        </w:rPr>
        <w:t>fission dynamics</w:t>
      </w:r>
      <w:r w:rsidRPr="00A61548">
        <w:rPr>
          <w:rFonts w:ascii="Times New Roman" w:hAnsi="Times New Roman" w:cs="Times New Roman"/>
          <w:sz w:val="24"/>
          <w:szCs w:val="24"/>
          <w:lang w:val="en-US"/>
        </w:rPr>
        <w:t>. Also, given the close relationship between lipofuscin and peroxidation, we can assume that when mitochondria fuse, cells are not subjected to oxidative stress.</w:t>
      </w:r>
    </w:p>
    <w:p w14:paraId="247D0993" w14:textId="6E8AFE32" w:rsidR="00DA4C46" w:rsidRPr="00EC3E53" w:rsidRDefault="00DA4C46" w:rsidP="00B01E7F">
      <w:pPr>
        <w:spacing w:line="240" w:lineRule="auto"/>
        <w:rPr>
          <w:rFonts w:ascii="Times New Roman" w:hAnsi="Times New Roman" w:cs="Times New Roman"/>
          <w:color w:val="000000" w:themeColor="text1"/>
          <w:sz w:val="24"/>
          <w:szCs w:val="24"/>
          <w:shd w:val="clear" w:color="auto" w:fill="FFFFFF"/>
          <w:lang w:val="en-US"/>
        </w:rPr>
      </w:pPr>
      <w:r w:rsidRPr="00EC3E53">
        <w:rPr>
          <w:rFonts w:ascii="Times New Roman" w:hAnsi="Times New Roman" w:cs="Times New Roman"/>
          <w:sz w:val="24"/>
          <w:szCs w:val="24"/>
          <w:lang w:val="en-US"/>
        </w:rPr>
        <w:t xml:space="preserve">It has been reported that 5xFAD transgenic mice and a reproducible neuro-astrocytic culture from them, which we considered as a control, already have a shift in mitochondrial balance toward excess fission </w:t>
      </w:r>
      <w:r w:rsidRPr="00EC3E53">
        <w:rPr>
          <w:rFonts w:ascii="Times New Roman" w:hAnsi="Times New Roman" w:cs="Times New Roman"/>
          <w:sz w:val="24"/>
          <w:szCs w:val="24"/>
          <w:lang w:val="en-US"/>
        </w:rPr>
        <w:fldChar w:fldCharType="begin" w:fldLock="1"/>
      </w:r>
      <w:r w:rsidRPr="00EC3E53">
        <w:rPr>
          <w:rFonts w:ascii="Times New Roman" w:hAnsi="Times New Roman" w:cs="Times New Roman"/>
          <w:sz w:val="24"/>
          <w:szCs w:val="24"/>
          <w:lang w:val="en-US"/>
        </w:rPr>
        <w:instrText>ADDIN CSL_CITATION {"citationItems":[{"id":"ITEM-1","itemData":{"DOI":"10.1371/journal.pone.0150441","ISSN":"1932-6203 (Electronic)","PMID":"26942905","abstract":"Brain mitochondrial dysfunction is hallmark pathology of Alzheimer's disease  (AD). Recently, the role of synaptosomal mitochondrial dysfunction in the development of synaptic injury in AD has received increasing attention. Synaptosomal mitochondria are a subgroup of neuronal mitochondria specifically locating at synapses. They play an essential role in fueling synaptic functions by providing energy on the site; and their defects may lead to synaptic failure, which is an early and pronounced pathology in AD. In our previous studies we have determined early synaptosomal mitochondrial dysfunction in an AD animal model (J20 line) overexpressing human Amyloid beta (Aβ), the key mediator of AD. In view of the limitations of J20 line mice in representing the full aspects of amyloidopathy in AD cases, we employed 5xFAD mice which are thought to be a desirable paradigm of amyloidopathy as seen in AD subjects. In addition, we have also examined the status of synaptosomal mitochondrial dynamics as well as Parkin-mediated mitophagy which have not been previously investigated in this mouse model. In comparison to nontransgenic (nonTg mice), 5xFAD mice demonstrated prominent synaptosomal mitochondrial dysfunction. Moreover, synaptosomal mitochondria from the AD mouse model displayed imbalanced mitochondrial dynamics towards fission along with activated Parkin and LC3BII recruitment correlating to spatial learning &amp; memory impairments in 5xFAD mice in an age-dependent manner. These results suggest that synaptosomal mitochondrial deficits are primary pathology in Aβ-rich environments and further confirm the relevance of synaptosomal mitochondrial deficits to the development of AD.","author":[{"dropping-particle":"","family":"Wang","given":"Lu","non-dropping-particle":"","parse-names":false,"suffix":""},{"dropping-particle":"","family":"Guo","given":"Lan","non-dropping-particle":"","parse-names":false,"suffix":""},{"dropping-particle":"","family":"Lu","given":"Lin","non-dropping-particle":"","parse-names":false,"suffix":""},{"dropping-particle":"","family":"Sun","given":"Huili","non-dropping-particle":"","parse-names":false,"suffix":""},{"dropping-particle":"","family":"Shao","given":"Muming","non-dropping-particle":"","parse-names":false,"suffix":""},{"dropping-particle":"","family":"Beck","given":"Simon J","non-dropping-particle":"","parse-names":false,"suffix":""},{"dropping-particle":"","family":"Li","given":"Lin","non-dropping-particle":"","parse-names":false,"suffix":""},{"dropping-particle":"","family":"Ramachandran","given":"Janani","non-dropping-particle":"","parse-names":false,"suffix":""},{"dropping-particle":"","family":"Du","given":"Yifeng","non-dropping-particle":"","parse-names":false,"suffix":""},{"dropping-particle":"","family":"Du","given":"Heng","non-dropping-particle":"","parse-names":false,"suffix":""}],"container-title":"PloS one","id":"ITEM-1","issue":"3","issued":{"date-parts":[["2016"]]},"language":"eng","page":"e0150441","publisher-place":"United States","title":"Synaptosomal Mitochondrial Dysfunction in 5xFAD Mouse Model of Alzheimer's  Disease.","type":"article-journal","volume":"11"},"uris":["http://www.mendeley.com/documents/?uuid=14d373af-e6c6-466d-8b75-55cb5ca132ce"]}],"mendeley":{"formattedCitation":"[20]","plainTextFormattedCitation":"[20]","previouslyFormattedCitation":"[20]"},"properties":{"noteIndex":0},"schema":"https://github.com/citation-style-language/schema/raw/master/csl-citation.json"}</w:instrText>
      </w:r>
      <w:r w:rsidRPr="00EC3E53">
        <w:rPr>
          <w:rFonts w:ascii="Times New Roman" w:hAnsi="Times New Roman" w:cs="Times New Roman"/>
          <w:sz w:val="24"/>
          <w:szCs w:val="24"/>
          <w:lang w:val="en-US"/>
        </w:rPr>
        <w:fldChar w:fldCharType="separate"/>
      </w:r>
      <w:r w:rsidRPr="00EC3E53">
        <w:rPr>
          <w:rFonts w:ascii="Times New Roman" w:hAnsi="Times New Roman" w:cs="Times New Roman"/>
          <w:noProof/>
          <w:sz w:val="24"/>
          <w:szCs w:val="24"/>
          <w:lang w:val="en-US"/>
        </w:rPr>
        <w:t>[20]</w:t>
      </w:r>
      <w:r w:rsidRPr="00EC3E53">
        <w:rPr>
          <w:rFonts w:ascii="Times New Roman" w:hAnsi="Times New Roman" w:cs="Times New Roman"/>
          <w:sz w:val="24"/>
          <w:szCs w:val="24"/>
          <w:lang w:val="en-US"/>
        </w:rPr>
        <w:fldChar w:fldCharType="end"/>
      </w:r>
      <w:r w:rsidR="00286D49">
        <w:rPr>
          <w:rFonts w:ascii="Times New Roman" w:hAnsi="Times New Roman" w:cs="Times New Roman"/>
          <w:sz w:val="24"/>
          <w:szCs w:val="24"/>
          <w:lang w:val="en-US"/>
        </w:rPr>
        <w:t>.</w:t>
      </w:r>
      <w:r w:rsidRPr="00EC3E53">
        <w:rPr>
          <w:rFonts w:ascii="Times New Roman" w:hAnsi="Times New Roman" w:cs="Times New Roman"/>
          <w:sz w:val="24"/>
          <w:szCs w:val="24"/>
          <w:lang w:val="en-US"/>
        </w:rPr>
        <w:t xml:space="preserve"> </w:t>
      </w:r>
      <w:r w:rsidR="00286D49" w:rsidRPr="00286D49">
        <w:rPr>
          <w:rFonts w:ascii="Times New Roman" w:hAnsi="Times New Roman" w:cs="Times New Roman"/>
          <w:sz w:val="24"/>
          <w:szCs w:val="24"/>
          <w:lang w:val="en-US"/>
        </w:rPr>
        <w:t xml:space="preserve">Also, loss of the central mitochondrial fission protein dynamin-related mitochondrial fission protein 1 (Drp1) increases the toxicity of mutant APP in vivo </w:t>
      </w:r>
      <w:r w:rsidRPr="00EC3E53">
        <w:rPr>
          <w:rFonts w:ascii="Times New Roman" w:hAnsi="Times New Roman" w:cs="Times New Roman"/>
          <w:sz w:val="24"/>
          <w:szCs w:val="24"/>
          <w:lang w:val="en-US"/>
        </w:rPr>
        <w:fldChar w:fldCharType="begin" w:fldLock="1"/>
      </w:r>
      <w:r w:rsidR="00EC3E53" w:rsidRPr="00EC3E53">
        <w:rPr>
          <w:rFonts w:ascii="Times New Roman" w:hAnsi="Times New Roman" w:cs="Times New Roman"/>
          <w:sz w:val="24"/>
          <w:szCs w:val="24"/>
          <w:lang w:val="en-US"/>
        </w:rPr>
        <w:instrText>ADDIN CSL_CITATION {"citationItems":[{"id":"ITEM-1","itemData":{"DOI":"10.1016/j.jbc.2021.100469","ISSN":"1083-351X (Electronic)","PMID":"33639169","abstract":"Alterations in mitochondrial fission may contribute to the pathophysiology of  several neurodegenerative diseases, including Alzheimer's disease (AD). However, we understand very little about the normal functions of fission or how fission disruption may interact with AD-associated proteins to modulate pathogenesis. Here we show that loss of the central mitochondrial fission protein dynamin-related protein 1 (Drp1) in CA1 and other forebrain neurons markedly worsens the learning and memory of mice expressing mutant human amyloid precursor protein (hAPP) in neurons. In cultured neurons, Drp1KO and hAPP converge to produce mitochondrial Ca(2+) (mitoCa(2+)) overload, despite decreasing mitochondria-associated ER membranes (MAMs) and cytosolic Ca(2+). This mitoCa(2+) overload occurs independently of ATP levels. These findings reveal a potential mechanism by which mitochondrial fission protects against hAPP-driven pathology.","author":[{"dropping-particle":"","family":"Shields","given":"Lauren Y","non-dropping-particle":"","parse-names":false,"suffix":""},{"dropping-particle":"","family":"Li","given":"Huihui","non-dropping-particle":"","parse-names":false,"suffix":""},{"dropping-particle":"","family":"Nguyen","given":"Kevin","non-dropping-particle":"","parse-names":false,"suffix":""},{"dropping-particle":"","family":"Kim","given":"Hwajin","non-dropping-particle":"","parse-names":false,"suffix":""},{"dropping-particle":"","family":"Doric","given":"Zak","non-dropping-particle":"","parse-names":false,"suffix":""},{"dropping-particle":"","family":"Garcia","given":"Joseph H","non-dropping-particle":"","parse-names":false,"suffix":""},{"dropping-particle":"","family":"Gill","given":"T Michael","non-dropping-particle":"","parse-names":false,"suffix":""},{"dropping-particle":"","family":"Haddad","given":"Dominik","non-dropping-particle":"","parse-names":false,"suffix":""},{"dropping-particle":"","family":"Vossel","given":"Keith","non-dropping-particle":"","parse-names":false,"suffix":""},{"dropping-particle":"","family":"Calvert","given":"Meredith","non-dropping-particle":"","parse-names":false,"suffix":""},{"dropping-particle":"","family":"Nakamura","given":"Ken","non-dropping-particle":"","parse-names":false,"suffix":""}],"container-title":"The Journal of biological chemistry","id":"ITEM-1","issued":{"date-parts":[["2021"]]},"language":"eng","page":"100469","publisher-place":"United States","title":"Mitochondrial fission is a critical modulator of mutant APP-induced neural  toxicity.","type":"article-journal","volume":"296"},"uris":["http://www.mendeley.com/documents/?uuid=49453f91-8bf5-481a-a48b-f2cdee0ca8fd"]}],"mendeley":{"formattedCitation":"[21]","plainTextFormattedCitation":"[21]","previouslyFormattedCitation":"[21]"},"properties":{"noteIndex":0},"schema":"https://github.com/citation-style-language/schema/raw/master/csl-citation.json"}</w:instrText>
      </w:r>
      <w:r w:rsidRPr="00EC3E53">
        <w:rPr>
          <w:rFonts w:ascii="Times New Roman" w:hAnsi="Times New Roman" w:cs="Times New Roman"/>
          <w:sz w:val="24"/>
          <w:szCs w:val="24"/>
          <w:lang w:val="en-US"/>
        </w:rPr>
        <w:fldChar w:fldCharType="separate"/>
      </w:r>
      <w:r w:rsidRPr="00EC3E53">
        <w:rPr>
          <w:rFonts w:ascii="Times New Roman" w:hAnsi="Times New Roman" w:cs="Times New Roman"/>
          <w:noProof/>
          <w:sz w:val="24"/>
          <w:szCs w:val="24"/>
          <w:lang w:val="en-US"/>
        </w:rPr>
        <w:t>[21]</w:t>
      </w:r>
      <w:r w:rsidRPr="00EC3E53">
        <w:rPr>
          <w:rFonts w:ascii="Times New Roman" w:hAnsi="Times New Roman" w:cs="Times New Roman"/>
          <w:sz w:val="24"/>
          <w:szCs w:val="24"/>
          <w:lang w:val="en-US"/>
        </w:rPr>
        <w:fldChar w:fldCharType="end"/>
      </w:r>
      <w:r w:rsidRPr="00EC3E53">
        <w:rPr>
          <w:rFonts w:ascii="Times New Roman" w:hAnsi="Times New Roman" w:cs="Times New Roman"/>
          <w:sz w:val="24"/>
          <w:szCs w:val="24"/>
          <w:lang w:val="en-US"/>
        </w:rPr>
        <w:t xml:space="preserve">. </w:t>
      </w:r>
      <w:r w:rsidR="00EC3E53" w:rsidRPr="00EC3E53">
        <w:rPr>
          <w:rFonts w:ascii="Times New Roman" w:hAnsi="Times New Roman" w:cs="Times New Roman"/>
          <w:color w:val="000000" w:themeColor="text1"/>
          <w:sz w:val="24"/>
          <w:szCs w:val="24"/>
          <w:shd w:val="clear" w:color="auto" w:fill="FFFFFF"/>
          <w:lang w:val="en-US"/>
        </w:rPr>
        <w:t>In the 5xFAD mouse model, all mutations target the hyperproduction of human A</w:t>
      </w:r>
      <w:r w:rsidR="00EC3E53" w:rsidRPr="00EC3E53">
        <w:rPr>
          <w:rFonts w:ascii="Times New Roman" w:hAnsi="Times New Roman" w:cs="Times New Roman"/>
          <w:color w:val="000000" w:themeColor="text1"/>
          <w:sz w:val="24"/>
          <w:szCs w:val="24"/>
          <w:shd w:val="clear" w:color="auto" w:fill="FFFFFF"/>
        </w:rPr>
        <w:t>β</w:t>
      </w:r>
      <w:r w:rsidR="00EC3E53" w:rsidRPr="00EC3E53">
        <w:rPr>
          <w:rFonts w:ascii="Times New Roman" w:hAnsi="Times New Roman" w:cs="Times New Roman"/>
          <w:color w:val="000000" w:themeColor="text1"/>
          <w:sz w:val="24"/>
          <w:szCs w:val="24"/>
          <w:shd w:val="clear" w:color="auto" w:fill="FFFFFF"/>
          <w:lang w:val="en-US"/>
        </w:rPr>
        <w:t xml:space="preserve">1-42 </w:t>
      </w:r>
      <w:r w:rsidR="00EC3E53" w:rsidRPr="00EC3E53">
        <w:rPr>
          <w:rFonts w:ascii="Times New Roman" w:hAnsi="Times New Roman" w:cs="Times New Roman"/>
          <w:color w:val="000000" w:themeColor="text1"/>
          <w:sz w:val="24"/>
          <w:szCs w:val="24"/>
          <w:shd w:val="clear" w:color="auto" w:fill="FFFFFF"/>
          <w:lang w:val="en-US"/>
        </w:rPr>
        <w:fldChar w:fldCharType="begin" w:fldLock="1"/>
      </w:r>
      <w:r w:rsidR="00EC3E53" w:rsidRPr="00EC3E53">
        <w:rPr>
          <w:rFonts w:ascii="Times New Roman" w:hAnsi="Times New Roman" w:cs="Times New Roman"/>
          <w:color w:val="000000" w:themeColor="text1"/>
          <w:sz w:val="24"/>
          <w:szCs w:val="24"/>
          <w:shd w:val="clear" w:color="auto" w:fill="FFFFFF"/>
          <w:lang w:val="en-US"/>
        </w:rPr>
        <w:instrText>ADDIN CSL_CITATION {"citationItems":[{"id":"ITEM-1","itemData":{"DOI":"https://doi.org/10.1016/B978-0-12-815854-8.00013-6","ISBN":"978-0-12-815854-8","abstract":"Since 2000, a plethora of transgenic mouse models have been developed to reproduce the main features of Alzheimer's disease (AD). Due to the complexity of the disease, no ideal animal model exists to date. The 5×FAD mouse line recapitulates numerous neuropathological insults and cognitive alterations found in human AD patients: from amyloid deposits to intense gliosis and neuroinflammation, including neurotransmission alteration, synaptic loss, neurodegeneration, and behavioral and memory deficits. The extremely aggressive amyloid pathology of these mice makes them a suitable model for early-onset AD. This chapter describes and illustrates the main characteristics of the 5×FAD mouse model and discusses its usefulness in the context of preclinical evaluation of drug candidates or promising therapeutic targets against AD.","author":[{"dropping-particle":"","family":"Ismeurt","given":"Caroline","non-dropping-particle":"","parse-names":false,"suffix":""},{"dropping-particle":"","family":"Giannoni","given":"Patrizia","non-dropping-particle":"","parse-names":false,"suffix":""},{"dropping-particle":"","family":"Claeysen","given":"Sylvie","non-dropping-particle":"","parse-names":false,"suffix":""}],"container-title":"Diagnosis and Management in Dementia","editor":[{"dropping-particle":"","family":"Martin","given":"Colin R","non-dropping-particle":"","parse-names":false,"suffix":""},{"dropping-particle":"","family":"Preedy","given":"Victor R","non-dropping-particle":"","parse-names":false,"suffix":""}],"id":"ITEM-1","issued":{"date-parts":[["2020"]]},"page":"207-221","publisher":"Academic Press","title":"Chapter 13 - The 5×FAD mouse model of Alzheimer's disease","type":"chapter"},"uris":["http://www.mendeley.com/documents/?uuid=3c9029d4-95ca-4d70-80aa-6166eb11365e"]}],"mendeley":{"formattedCitation":"[22]","plainTextFormattedCitation":"[22]","previouslyFormattedCitation":"[22]"},"properties":{"noteIndex":0},"schema":"https://github.com/citation-style-language/schema/raw/master/csl-citation.json"}</w:instrText>
      </w:r>
      <w:r w:rsidR="00EC3E53" w:rsidRPr="00EC3E53">
        <w:rPr>
          <w:rFonts w:ascii="Times New Roman" w:hAnsi="Times New Roman" w:cs="Times New Roman"/>
          <w:color w:val="000000" w:themeColor="text1"/>
          <w:sz w:val="24"/>
          <w:szCs w:val="24"/>
          <w:shd w:val="clear" w:color="auto" w:fill="FFFFFF"/>
          <w:lang w:val="en-US"/>
        </w:rPr>
        <w:fldChar w:fldCharType="separate"/>
      </w:r>
      <w:r w:rsidR="00EC3E53" w:rsidRPr="00EC3E53">
        <w:rPr>
          <w:rFonts w:ascii="Times New Roman" w:hAnsi="Times New Roman" w:cs="Times New Roman"/>
          <w:noProof/>
          <w:color w:val="000000" w:themeColor="text1"/>
          <w:sz w:val="24"/>
          <w:szCs w:val="24"/>
          <w:shd w:val="clear" w:color="auto" w:fill="FFFFFF"/>
          <w:lang w:val="en-US"/>
        </w:rPr>
        <w:t>[22]</w:t>
      </w:r>
      <w:r w:rsidR="00EC3E53" w:rsidRPr="00EC3E53">
        <w:rPr>
          <w:rFonts w:ascii="Times New Roman" w:hAnsi="Times New Roman" w:cs="Times New Roman"/>
          <w:color w:val="000000" w:themeColor="text1"/>
          <w:sz w:val="24"/>
          <w:szCs w:val="24"/>
          <w:shd w:val="clear" w:color="auto" w:fill="FFFFFF"/>
          <w:lang w:val="en-US"/>
        </w:rPr>
        <w:fldChar w:fldCharType="end"/>
      </w:r>
      <w:r w:rsidR="00EC3E53" w:rsidRPr="00EC3E53">
        <w:rPr>
          <w:rFonts w:ascii="Times New Roman" w:hAnsi="Times New Roman" w:cs="Times New Roman"/>
          <w:color w:val="000000" w:themeColor="text1"/>
          <w:sz w:val="24"/>
          <w:szCs w:val="24"/>
          <w:shd w:val="clear" w:color="auto" w:fill="FFFFFF"/>
          <w:lang w:val="en-US"/>
        </w:rPr>
        <w:t>, it is the overproduction of toxic agents that is the cause of dysfunction in this model. We assume that the increased mitochondrial fission in this model is secondary and is related to the fact that the cells are trying to get rid of toxic amyloid in this way. In our experiments, inhibition of mitochondrial fission resulted in a cascade of reactions characteristic of 5xFAD culture. In addition to a pathologic increase in lipofuscin, we observed a decrease in neuronal density and compensatory overgrowth of astroglia, which within this model can be considered as a manifestation of astrogliosis. That is, cellular toxin accumulation and mitochondrial fission mediate each other.</w:t>
      </w:r>
    </w:p>
    <w:p w14:paraId="016E7F40" w14:textId="1C0C2B41" w:rsidR="00EC3E53" w:rsidRPr="00EC3E53" w:rsidRDefault="00EC3E53"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At the same time activation of cell division did not lead to such consequences. But we can assume that zinc is a toxic agent in general and its mechanism of operation is a reflection of how the introduction of an external toxic agent (similar to Aβ1-42 </w:t>
      </w:r>
      <w:r w:rsidR="00431E91" w:rsidRPr="00EC3E53">
        <w:rPr>
          <w:rFonts w:ascii="Times New Roman" w:hAnsi="Times New Roman" w:cs="Times New Roman"/>
          <w:sz w:val="24"/>
          <w:szCs w:val="24"/>
          <w:lang w:val="en-US"/>
        </w:rPr>
        <w:t>e</w:t>
      </w:r>
      <w:r w:rsidR="00431E91">
        <w:rPr>
          <w:rFonts w:ascii="Times New Roman" w:hAnsi="Times New Roman" w:cs="Times New Roman"/>
          <w:sz w:val="24"/>
          <w:szCs w:val="24"/>
          <w:lang w:val="en-US"/>
        </w:rPr>
        <w:t>x</w:t>
      </w:r>
      <w:r w:rsidR="00431E91" w:rsidRPr="00EC3E53">
        <w:rPr>
          <w:rFonts w:ascii="Times New Roman" w:hAnsi="Times New Roman" w:cs="Times New Roman"/>
          <w:sz w:val="24"/>
          <w:szCs w:val="24"/>
          <w:lang w:val="en-US"/>
        </w:rPr>
        <w:t>pression</w:t>
      </w:r>
      <w:r w:rsidRPr="00EC3E53">
        <w:rPr>
          <w:rFonts w:ascii="Times New Roman" w:hAnsi="Times New Roman" w:cs="Times New Roman"/>
          <w:sz w:val="24"/>
          <w:szCs w:val="24"/>
          <w:lang w:val="en-US"/>
        </w:rPr>
        <w:t xml:space="preserve"> in 5xFAD) leads to an attempt of mitochondria to clean themselves and the cell from contaminants.</w:t>
      </w:r>
    </w:p>
    <w:p w14:paraId="3447C20E" w14:textId="4E395E05" w:rsidR="00EC3E53" w:rsidRDefault="00EC3E53"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In doing so, the prolonged action of the fusion promoter resembles the depletion of internal resources in a healthy culture. This process of slow degeneration is broadly similar to what one pathway of cell culture degeneration looks </w:t>
      </w:r>
      <w:r w:rsidRPr="00A61548">
        <w:rPr>
          <w:rFonts w:ascii="Times New Roman" w:hAnsi="Times New Roman" w:cs="Times New Roman"/>
          <w:sz w:val="24"/>
          <w:szCs w:val="24"/>
          <w:lang w:val="en-US"/>
        </w:rPr>
        <w:t>like. It loses clustering and shrinks (</w:t>
      </w:r>
      <w:r w:rsidR="005C1DC6" w:rsidRPr="00A61548">
        <w:rPr>
          <w:rFonts w:ascii="Times New Roman" w:hAnsi="Times New Roman" w:cs="Times New Roman"/>
          <w:sz w:val="24"/>
          <w:szCs w:val="24"/>
          <w:lang w:val="en-US"/>
        </w:rPr>
        <w:t>although in general there is another pathway of culture degradation</w:t>
      </w:r>
      <w:r w:rsidRPr="00A61548">
        <w:rPr>
          <w:rFonts w:ascii="Times New Roman" w:hAnsi="Times New Roman" w:cs="Times New Roman"/>
          <w:sz w:val="24"/>
          <w:szCs w:val="24"/>
          <w:lang w:val="en-US"/>
        </w:rPr>
        <w:t xml:space="preserve">, abrupt </w:t>
      </w:r>
      <w:proofErr w:type="spellStart"/>
      <w:r w:rsidRPr="00A61548">
        <w:rPr>
          <w:rFonts w:ascii="Times New Roman" w:hAnsi="Times New Roman" w:cs="Times New Roman"/>
          <w:sz w:val="24"/>
          <w:szCs w:val="24"/>
          <w:lang w:val="en-US"/>
        </w:rPr>
        <w:t>neurosphere</w:t>
      </w:r>
      <w:proofErr w:type="spellEnd"/>
      <w:r w:rsidRPr="00A61548">
        <w:rPr>
          <w:rFonts w:ascii="Times New Roman" w:hAnsi="Times New Roman" w:cs="Times New Roman"/>
          <w:sz w:val="24"/>
          <w:szCs w:val="24"/>
          <w:lang w:val="en-US"/>
        </w:rPr>
        <w:t xml:space="preserve"> clustering, where</w:t>
      </w:r>
      <w:r w:rsidRPr="00EC3E53">
        <w:rPr>
          <w:rFonts w:ascii="Times New Roman" w:hAnsi="Times New Roman" w:cs="Times New Roman"/>
          <w:sz w:val="24"/>
          <w:szCs w:val="24"/>
          <w:lang w:val="en-US"/>
        </w:rPr>
        <w:t xml:space="preserve"> </w:t>
      </w:r>
      <w:r w:rsidRPr="00EC3E53">
        <w:rPr>
          <w:rFonts w:ascii="Times New Roman" w:hAnsi="Times New Roman" w:cs="Times New Roman"/>
          <w:sz w:val="24"/>
          <w:szCs w:val="24"/>
          <w:lang w:val="en-US"/>
        </w:rPr>
        <w:lastRenderedPageBreak/>
        <w:t xml:space="preserve">thin neuro-astrocytic strands stretch between densely packed </w:t>
      </w:r>
      <w:proofErr w:type="spellStart"/>
      <w:r w:rsidRPr="00EC3E53">
        <w:rPr>
          <w:rFonts w:ascii="Times New Roman" w:hAnsi="Times New Roman" w:cs="Times New Roman"/>
          <w:sz w:val="24"/>
          <w:szCs w:val="24"/>
          <w:lang w:val="en-US"/>
        </w:rPr>
        <w:t>neurospheres</w:t>
      </w:r>
      <w:proofErr w:type="spellEnd"/>
      <w:r w:rsidRPr="00EC3E53">
        <w:rPr>
          <w:rFonts w:ascii="Times New Roman" w:hAnsi="Times New Roman" w:cs="Times New Roman"/>
          <w:sz w:val="24"/>
          <w:szCs w:val="24"/>
          <w:lang w:val="en-US"/>
        </w:rPr>
        <w:t xml:space="preserve">, linking them to other </w:t>
      </w:r>
      <w:proofErr w:type="spellStart"/>
      <w:r w:rsidRPr="00EC3E53">
        <w:rPr>
          <w:rFonts w:ascii="Times New Roman" w:hAnsi="Times New Roman" w:cs="Times New Roman"/>
          <w:sz w:val="24"/>
          <w:szCs w:val="24"/>
          <w:lang w:val="en-US"/>
        </w:rPr>
        <w:t>neurospheres</w:t>
      </w:r>
      <w:proofErr w:type="spellEnd"/>
      <w:r w:rsidRPr="00EC3E53">
        <w:rPr>
          <w:rFonts w:ascii="Times New Roman" w:hAnsi="Times New Roman" w:cs="Times New Roman"/>
          <w:sz w:val="24"/>
          <w:szCs w:val="24"/>
          <w:lang w:val="en-US"/>
        </w:rPr>
        <w:t xml:space="preserve">, this is characteristic of primary cultures with high initial stem cell content or their increased level of activity). Mitochondria </w:t>
      </w:r>
      <w:r w:rsidR="00431E91" w:rsidRPr="00431E91">
        <w:rPr>
          <w:rFonts w:ascii="Times New Roman" w:hAnsi="Times New Roman" w:cs="Times New Roman"/>
          <w:sz w:val="24"/>
          <w:szCs w:val="24"/>
          <w:lang w:val="en-US"/>
        </w:rPr>
        <w:t>fusion</w:t>
      </w:r>
      <w:r w:rsidRPr="00EC3E53">
        <w:rPr>
          <w:rFonts w:ascii="Times New Roman" w:hAnsi="Times New Roman" w:cs="Times New Roman"/>
          <w:sz w:val="24"/>
          <w:szCs w:val="24"/>
          <w:lang w:val="en-US"/>
        </w:rPr>
        <w:t xml:space="preserve"> is thought to result in enhanced ATP energy supply to cells because they have more cristae, increased levels of dimerization and ATP synthase activity and support ATP synthesis </w:t>
      </w:r>
      <w:r w:rsidRPr="00EC3E53">
        <w:rPr>
          <w:rFonts w:ascii="Times New Roman" w:hAnsi="Times New Roman" w:cs="Times New Roman"/>
          <w:sz w:val="24"/>
          <w:szCs w:val="24"/>
          <w:lang w:val="en-US"/>
        </w:rPr>
        <w:fldChar w:fldCharType="begin" w:fldLock="1"/>
      </w:r>
      <w:r w:rsidRPr="00EC3E53">
        <w:rPr>
          <w:rFonts w:ascii="Times New Roman" w:hAnsi="Times New Roman" w:cs="Times New Roman"/>
          <w:sz w:val="24"/>
          <w:szCs w:val="24"/>
          <w:lang w:val="en-US"/>
        </w:rPr>
        <w:instrText>ADDIN CSL_CITATION {"citationItems":[{"id":"ITEM-1","itemData":{"DOI":"10.1002/bies.201400188","ISSN":"1521-1878 (Electronic)","PMID":"25847815","abstract":"Mitochondria can change their shape from discrete isolated organelles to a large  continuous reticulum. The cellular advantages underlying these fused networks are still incompletely understood. In this paper, we describe and compare hypotheses regarding the function of mitochondrial networks. We use mathematical and physical tools both to investigate existing hypotheses and to generate new ones, and we suggest experimental and modelling strategies. Among the novel insights we underline from this work are the possibilities that (i) selective mitophagy is not required for quality control because selective fusion is sufficient; (ii) increased connectivity may have non-linear effects on the diffusion rate of proteins; and (iii) fused networks can act to dampen biochemical fluctuations. We hope to convey to the reader that quantitative approaches can drive advances in the understanding of the physiological advantage of these morphological changes.","author":[{"dropping-particle":"","family":"Hoitzing","given":"Hanne","non-dropping-particle":"","parse-names":false,"suffix":""},{"dropping-particle":"","family":"Johnston","given":"Iain G","non-dropping-particle":"","parse-names":false,"suffix":""},{"dropping-particle":"","family":"Jones","given":"Nick S","non-dropping-particle":"","parse-names":false,"suffix":""}],"container-title":"BioEssays : news and reviews in molecular, cellular and developmental biology","id":"ITEM-1","issue":"6","issued":{"date-parts":[["2015","6"]]},"language":"eng","page":"687-700","publisher-place":"United States","title":"What is the function of mitochondrial networks? A theoretical assessment of  hypotheses and proposal for future research.","type":"article-journal","volume":"37"},"uris":["http://www.mendeley.com/documents/?uuid=f7ae4598-0cab-4e13-9f1c-d5e65affaa81"]},{"id":"ITEM-2","itemData":{"DOI":"10.1038/ncb2220","ISSN":"1476-4679 (Electronic)","PMID":"21478857","abstract":"A plethora of cellular processes, including apoptosis, depend on regulated  changes in mitochondrial shape and ultrastructure. The role of mitochondria and of their morphology during autophagy, a bulk degradation and recycling process of eukaryotic cells' constituents, is not well understood. Here we show that mitochondrial morphology determines the cellular response to macroautophagy. When autophagy is triggered, mitochondria elongate in vitro and in vivo. During starvation, cellular cyclic AMP levels increase and protein kinase A (PKA) is activated. PKA in turn phosphorylates the pro-fission dynamin-related protein 1 (DRP1), which is therefore retained in the cytoplasm, leading to unopposed mitochondrial fusion. Elongated mitochondria are spared from autophagic degradation, possess more cristae, increased levels of dimerization and activity of ATP synthase, and maintain ATP production. Conversely, when elongation is genetically or pharmacologically blocked, mitochondria consume ATP, precipitating starvation-induced death. Thus, regulated changes in mitochondrial morphology determine the fate of the cell during autophagy.","author":[{"dropping-particle":"","family":"Gomes","given":"Ligia C","non-dropping-particle":"","parse-names":false,"suffix":""},{"dropping-particle":"","family":"Benedetto","given":"Giulietta","non-dropping-particle":"Di","parse-names":false,"suffix":""},{"dropping-particle":"","family":"Scorrano","given":"Luca","non-dropping-particle":"","parse-names":false,"suffix":""}],"container-title":"Nature cell biology","id":"ITEM-2","issue":"5","issued":{"date-parts":[["2011","5"]]},"language":"eng","page":"589-598","publisher-place":"England","title":"During autophagy mitochondria elongate, are spared from degradation and sustain  cell viability.","type":"article-journal","volume":"13"},"uris":["http://www.mendeley.com/documents/?uuid=0e987f2f-c907-4fef-8a18-995c3d1f4d8e"]}],"mendeley":{"formattedCitation":"[23,24]","plainTextFormattedCitation":"[23,24]","previouslyFormattedCitation":"[23,24]"},"properties":{"noteIndex":0},"schema":"https://github.com/citation-style-language/schema/raw/master/csl-citation.json"}</w:instrText>
      </w:r>
      <w:r w:rsidRPr="00EC3E53">
        <w:rPr>
          <w:rFonts w:ascii="Times New Roman" w:hAnsi="Times New Roman" w:cs="Times New Roman"/>
          <w:sz w:val="24"/>
          <w:szCs w:val="24"/>
          <w:lang w:val="en-US"/>
        </w:rPr>
        <w:fldChar w:fldCharType="separate"/>
      </w:r>
      <w:r w:rsidRPr="00EC3E53">
        <w:rPr>
          <w:rFonts w:ascii="Times New Roman" w:hAnsi="Times New Roman" w:cs="Times New Roman"/>
          <w:noProof/>
          <w:sz w:val="24"/>
          <w:szCs w:val="24"/>
          <w:lang w:val="en-US"/>
        </w:rPr>
        <w:t>[23,24]</w:t>
      </w:r>
      <w:r w:rsidRPr="00EC3E53">
        <w:rPr>
          <w:rFonts w:ascii="Times New Roman" w:hAnsi="Times New Roman" w:cs="Times New Roman"/>
          <w:sz w:val="24"/>
          <w:szCs w:val="24"/>
          <w:lang w:val="en-US"/>
        </w:rPr>
        <w:fldChar w:fldCharType="end"/>
      </w:r>
      <w:r w:rsidRPr="00EC3E53">
        <w:rPr>
          <w:rFonts w:ascii="Times New Roman" w:hAnsi="Times New Roman" w:cs="Times New Roman"/>
          <w:sz w:val="24"/>
          <w:szCs w:val="24"/>
          <w:lang w:val="en-US"/>
        </w:rPr>
        <w:t xml:space="preserve">. However, excess </w:t>
      </w:r>
      <w:r w:rsidRPr="00A61548">
        <w:rPr>
          <w:rFonts w:ascii="Times New Roman" w:hAnsi="Times New Roman" w:cs="Times New Roman"/>
          <w:sz w:val="24"/>
          <w:szCs w:val="24"/>
          <w:lang w:val="en-US"/>
        </w:rPr>
        <w:t xml:space="preserve">ATP leads to neuronal dysfunction and death </w:t>
      </w:r>
      <w:r w:rsidRPr="00A61548">
        <w:rPr>
          <w:rFonts w:ascii="Times New Roman" w:hAnsi="Times New Roman" w:cs="Times New Roman"/>
          <w:sz w:val="24"/>
          <w:szCs w:val="24"/>
          <w:lang w:val="en-US"/>
        </w:rPr>
        <w:fldChar w:fldCharType="begin" w:fldLock="1"/>
      </w:r>
      <w:r w:rsidRPr="00A61548">
        <w:rPr>
          <w:rFonts w:ascii="Times New Roman" w:hAnsi="Times New Roman" w:cs="Times New Roman"/>
          <w:sz w:val="24"/>
          <w:szCs w:val="24"/>
          <w:lang w:val="en-US"/>
        </w:rPr>
        <w:instrText>ADDIN CSL_CITATION {"citationItems":[{"id":"ITEM-1","itemData":{"DOI":"10.1016/j.jmb.2015.06.021","ISSN":"1089-8638 (Electronic)","PMID":"26150063","abstract":"Adenosine triphosphate (ATP) is the energy currency of living cells. Even though  ATP powers virtually all energy-dependent activities, most cellular ATP is utilized in protein synthesis via tRNA aminoacylation and guanosine triphosphate regeneration. Magnesium (Mg(2+)), the most common divalent cation in living cells, plays crucial roles in protein synthesis by maintaining the structure of ribosomes, participating in the biochemistry of translation initiation and functioning as a counterion for ATP. A non-physiological increase in ATP levels hinders growth in cells experiencing Mg(2+) limitation because ATP is the most abundant nucleotide triphosphate in the cell, and Mg(2+) is also required for the stabilization of the cytoplasmic membrane and as a cofactor for essential enzymes. We propose that organisms cope with Mg(2+) limitation by decreasing ATP levels and ribosome production, thereby reallocating Mg(2+) to indispensable cellular processes.","author":[{"dropping-particle":"","family":"Pontes","given":"Mauricio H","non-dropping-particle":"","parse-names":false,"suffix":""},{"dropping-particle":"","family":"Sevostyanova","given":"Anastasia","non-dropping-particle":"","parse-names":false,"suffix":""},{"dropping-particle":"","family":"Groisman","given":"Eduardo A","non-dropping-particle":"","parse-names":false,"suffix":""}],"container-title":"Journal of molecular biology","id":"ITEM-1","issue":"16","issued":{"date-parts":[["2015","8"]]},"language":"eng","page":"2586-2594","publisher-place":"Netherlands","title":"When Too Much ATP Is Bad for Protein Synthesis.","type":"article-journal","volume":"427"},"uris":["http://www.mendeley.com/documents/?uuid=9453cecc-c862-4f95-8ce4-bc1d2c408fb7"]}],"mendeley":{"formattedCitation":"[25]","plainTextFormattedCitation":"[25]","previouslyFormattedCitation":"[25]"},"properties":{"noteIndex":0},"schema":"https://github.com/citation-style-language/schema/raw/master/csl-citation.json"}</w:instrText>
      </w:r>
      <w:r w:rsidRPr="00A61548">
        <w:rPr>
          <w:rFonts w:ascii="Times New Roman" w:hAnsi="Times New Roman" w:cs="Times New Roman"/>
          <w:sz w:val="24"/>
          <w:szCs w:val="24"/>
          <w:lang w:val="en-US"/>
        </w:rPr>
        <w:fldChar w:fldCharType="separate"/>
      </w:r>
      <w:r w:rsidRPr="00A61548">
        <w:rPr>
          <w:rFonts w:ascii="Times New Roman" w:hAnsi="Times New Roman" w:cs="Times New Roman"/>
          <w:noProof/>
          <w:sz w:val="24"/>
          <w:szCs w:val="24"/>
          <w:lang w:val="en-US"/>
        </w:rPr>
        <w:t>[25]</w:t>
      </w:r>
      <w:r w:rsidRPr="00A61548">
        <w:rPr>
          <w:rFonts w:ascii="Times New Roman" w:hAnsi="Times New Roman" w:cs="Times New Roman"/>
          <w:sz w:val="24"/>
          <w:szCs w:val="24"/>
          <w:lang w:val="en-US"/>
        </w:rPr>
        <w:fldChar w:fldCharType="end"/>
      </w:r>
      <w:r w:rsidRPr="00A61548">
        <w:rPr>
          <w:rFonts w:ascii="Times New Roman" w:hAnsi="Times New Roman" w:cs="Times New Roman"/>
          <w:sz w:val="24"/>
          <w:szCs w:val="24"/>
          <w:lang w:val="en-US"/>
        </w:rPr>
        <w:t xml:space="preserve"> and is a prerequisite for the realization of the cellular apoptosis cascade </w:t>
      </w:r>
      <w:r w:rsidRPr="00A61548">
        <w:rPr>
          <w:rFonts w:ascii="Times New Roman" w:hAnsi="Times New Roman" w:cs="Times New Roman"/>
          <w:sz w:val="24"/>
          <w:szCs w:val="24"/>
          <w:lang w:val="en-US"/>
        </w:rPr>
        <w:fldChar w:fldCharType="begin" w:fldLock="1"/>
      </w:r>
      <w:r w:rsidRPr="00A61548">
        <w:rPr>
          <w:rFonts w:ascii="Times New Roman" w:hAnsi="Times New Roman" w:cs="Times New Roman"/>
          <w:sz w:val="24"/>
          <w:szCs w:val="24"/>
          <w:lang w:val="en-US"/>
        </w:rPr>
        <w:instrText>ADDIN CSL_CITATION {"citationItems":[{"id":"ITEM-1","itemData":{"DOI":"10.1038/sj.cdd.4401661","ISSN":"1350-9047 (Print)","PMID":"15905877","abstract":"Apoptosis is a distinct form of cell death, which requires energy. Here, we made  real-time continuous measurements of the cytosolic ATP level throughout the apoptotic process in intact HeLa, PC12 and U937 cells transfected with the firefly luciferase gene. Apoptotic stimuli (staurosporine (STS), tumor necrosis factor alpha (TNFalpha), etoposide) induced significant elevation of the cytosolic ATP level. The cytosolic ATP level remained at a higher level than in the control for up to 6 h during which activation of caspase-3 and internucleosomal DNA fragmentation took place. When the STS-induced ATP response was abolished by glucose deprivation-induced inhibition of glycolysis, both caspase activation and DNA laddering were completely inhibited. Annexin V-binding induced by STS or TNFalpha was largely suppressed by glycolysis inhibition. Thus, it is suggested that the cells die with increased cytosolic ATP, and elevation of cytosolic ATP level is a requisite to the apoptotic cell death process.","author":[{"dropping-particle":"V","family":"Zamaraeva","given":"M","non-dropping-particle":"","parse-names":false,"suffix":""},{"dropping-particle":"","family":"Sabirov","given":"R Z","non-dropping-particle":"","parse-names":false,"suffix":""},{"dropping-particle":"","family":"Maeno","given":"E","non-dropping-particle":"","parse-names":false,"suffix":""},{"dropping-particle":"","family":"Ando-Akatsuka","given":"Y","non-dropping-particle":"","parse-names":false,"suffix":""},{"dropping-particle":"V","family":"Bessonova","given":"S","non-dropping-particle":"","parse-names":false,"suffix":""},{"dropping-particle":"","family":"Okada","given":"Y","non-dropping-particle":"","parse-names":false,"suffix":""}],"container-title":"Cell death and differentiation","id":"ITEM-1","issue":"11","issued":{"date-parts":[["2005","11"]]},"language":"eng","page":"1390-1397","publisher-place":"England","title":"Cells die with increased cytosolic ATP during apoptosis: a bioluminescence study  with intracellular luciferase.","type":"article-journal","volume":"12"},"uris":["http://www.mendeley.com/documents/?uuid=80f58be9-9ee5-44a7-877f-8418fe2dae4c"]}],"mendeley":{"formattedCitation":"[26]","plainTextFormattedCitation":"[26]"},"properties":{"noteIndex":0},"schema":"https://github.com/citation-style-language/schema/raw/master/csl-citation.json"}</w:instrText>
      </w:r>
      <w:r w:rsidRPr="00A61548">
        <w:rPr>
          <w:rFonts w:ascii="Times New Roman" w:hAnsi="Times New Roman" w:cs="Times New Roman"/>
          <w:sz w:val="24"/>
          <w:szCs w:val="24"/>
          <w:lang w:val="en-US"/>
        </w:rPr>
        <w:fldChar w:fldCharType="separate"/>
      </w:r>
      <w:r w:rsidRPr="00A61548">
        <w:rPr>
          <w:rFonts w:ascii="Times New Roman" w:hAnsi="Times New Roman" w:cs="Times New Roman"/>
          <w:noProof/>
          <w:sz w:val="24"/>
          <w:szCs w:val="24"/>
          <w:lang w:val="en-US"/>
        </w:rPr>
        <w:t>[26]</w:t>
      </w:r>
      <w:r w:rsidRPr="00A61548">
        <w:rPr>
          <w:rFonts w:ascii="Times New Roman" w:hAnsi="Times New Roman" w:cs="Times New Roman"/>
          <w:sz w:val="24"/>
          <w:szCs w:val="24"/>
          <w:lang w:val="en-US"/>
        </w:rPr>
        <w:fldChar w:fldCharType="end"/>
      </w:r>
      <w:r w:rsidRPr="00A61548">
        <w:rPr>
          <w:rFonts w:ascii="Times New Roman" w:hAnsi="Times New Roman" w:cs="Times New Roman"/>
          <w:sz w:val="24"/>
          <w:szCs w:val="24"/>
          <w:lang w:val="en-US"/>
        </w:rPr>
        <w:t>. In this case, the mitochondria resulting from fusion may be too large for mitochondrial transport. We find it difficult to say what the mechanism of culture degeneration is in this case. However, the absence of oxidative stress and the drop in lipofuscin levels</w:t>
      </w:r>
      <w:r w:rsidRPr="00EC3E53">
        <w:rPr>
          <w:rFonts w:ascii="Times New Roman" w:hAnsi="Times New Roman" w:cs="Times New Roman"/>
          <w:sz w:val="24"/>
          <w:szCs w:val="24"/>
          <w:lang w:val="en-US"/>
        </w:rPr>
        <w:t xml:space="preserve"> shows that this process is more likely a controlled extinction of activity rather than an abrupt pathology. It can be stated unequivocally that only harmonious functioning of this system can ensure normal physiological functions of mitochondria, and any shift to one side of the dynamic process leads to disorders.</w:t>
      </w:r>
    </w:p>
    <w:p w14:paraId="46451293" w14:textId="18D09ECC" w:rsidR="00EC3E53" w:rsidRPr="00B95E8E" w:rsidRDefault="00B95E8E"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5. CONCLUSIONS</w:t>
      </w:r>
    </w:p>
    <w:p w14:paraId="2964097A" w14:textId="3860BE37" w:rsidR="00EC3E53" w:rsidRDefault="00EC3E53"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Forced alteration of mitochondrial fusion and fission leads to morphologic changes in primary </w:t>
      </w:r>
      <w:r w:rsidR="00C317A9" w:rsidRPr="00EC3E53">
        <w:rPr>
          <w:rFonts w:ascii="Times New Roman" w:hAnsi="Times New Roman" w:cs="Times New Roman"/>
          <w:sz w:val="24"/>
          <w:szCs w:val="24"/>
          <w:lang w:val="en-US"/>
        </w:rPr>
        <w:t xml:space="preserve">neuro-astrocytic </w:t>
      </w:r>
      <w:r w:rsidRPr="00EC3E53">
        <w:rPr>
          <w:rFonts w:ascii="Times New Roman" w:hAnsi="Times New Roman" w:cs="Times New Roman"/>
          <w:sz w:val="24"/>
          <w:szCs w:val="24"/>
          <w:lang w:val="en-US"/>
        </w:rPr>
        <w:t xml:space="preserve">cultures of mouse hippocampus. Activation of </w:t>
      </w:r>
      <w:r w:rsidRPr="00A61548">
        <w:rPr>
          <w:rFonts w:ascii="Times New Roman" w:hAnsi="Times New Roman" w:cs="Times New Roman"/>
          <w:sz w:val="24"/>
          <w:szCs w:val="24"/>
          <w:lang w:val="en-US"/>
        </w:rPr>
        <w:t>mitochondrial fusion leads to slow depletion of the culture in the absence of visible degenerative processes and oxidative stress. Inhibition of mitochondrial fission leads to a cascade of events reminiscent</w:t>
      </w:r>
      <w:r w:rsidRPr="00EC3E53">
        <w:rPr>
          <w:rFonts w:ascii="Times New Roman" w:hAnsi="Times New Roman" w:cs="Times New Roman"/>
          <w:sz w:val="24"/>
          <w:szCs w:val="24"/>
          <w:lang w:val="en-US"/>
        </w:rPr>
        <w:t xml:space="preserve"> of those occurring in a culture of 5xFAD animals (a genetic model of AD) - astrogliosis, decreased neuronal density, and increased lipofuscin levels. Exogenous zinc induces mitochondrial fission and provokes compensatory astrogliosis at toxic concentrations, and at lower concentrations leads to a slow decrease in culture clustering, changes in astrocyte immunoreactivity to GFAP and its aggregation, whereas lipofuscin fluorescence was still decreased. We suggest that mitochondrial fission in models with toxic mitochondrial damage is a compensatory process in which mitochondria strive to clear the cell of toxic agents, but which may lead to a cascade of reactions that provoke further development of pathologies.</w:t>
      </w:r>
    </w:p>
    <w:p w14:paraId="20AAC8A8" w14:textId="6DC4AD91" w:rsidR="00487D77" w:rsidRDefault="00487D77" w:rsidP="00B01E7F">
      <w:pPr>
        <w:spacing w:line="240" w:lineRule="auto"/>
        <w:rPr>
          <w:rFonts w:ascii="Times New Roman" w:hAnsi="Times New Roman" w:cs="Times New Roman"/>
          <w:b/>
          <w:bCs/>
          <w:sz w:val="24"/>
          <w:szCs w:val="24"/>
          <w:lang w:val="en-US"/>
        </w:rPr>
      </w:pPr>
      <w:r w:rsidRPr="00487D77">
        <w:rPr>
          <w:rFonts w:ascii="Times New Roman" w:hAnsi="Times New Roman" w:cs="Times New Roman"/>
          <w:b/>
          <w:bCs/>
          <w:sz w:val="24"/>
          <w:szCs w:val="24"/>
          <w:lang w:val="en-US"/>
        </w:rPr>
        <w:t>6. DECLARATION</w:t>
      </w:r>
    </w:p>
    <w:p w14:paraId="3B8A29F4" w14:textId="47E2CB43" w:rsidR="00487D77" w:rsidRDefault="00487D77" w:rsidP="00B01E7F">
      <w:pPr>
        <w:spacing w:line="240" w:lineRule="auto"/>
        <w:rPr>
          <w:rFonts w:ascii="Times New Roman" w:hAnsi="Times New Roman" w:cs="Times New Roman"/>
          <w:b/>
          <w:bCs/>
          <w:sz w:val="24"/>
          <w:szCs w:val="24"/>
          <w:lang w:val="en-US"/>
        </w:rPr>
      </w:pPr>
      <w:r w:rsidRPr="00487D77">
        <w:rPr>
          <w:rFonts w:ascii="Times New Roman" w:hAnsi="Times New Roman" w:cs="Times New Roman"/>
          <w:b/>
          <w:bCs/>
          <w:sz w:val="24"/>
          <w:szCs w:val="24"/>
          <w:lang w:val="en-US"/>
        </w:rPr>
        <w:t>Acknowledgments</w:t>
      </w:r>
    </w:p>
    <w:p w14:paraId="395FE9FC" w14:textId="4CDEB526" w:rsidR="00117C40" w:rsidRPr="00117C40" w:rsidRDefault="00117C40" w:rsidP="00B01E7F">
      <w:pPr>
        <w:spacing w:line="240" w:lineRule="auto"/>
        <w:rPr>
          <w:rFonts w:ascii="Times New Roman" w:hAnsi="Times New Roman" w:cs="Times New Roman"/>
          <w:sz w:val="24"/>
          <w:szCs w:val="24"/>
          <w:lang w:val="en-US"/>
        </w:rPr>
      </w:pPr>
      <w:r w:rsidRPr="00117C40">
        <w:rPr>
          <w:rFonts w:ascii="Times New Roman" w:hAnsi="Times New Roman" w:cs="Times New Roman"/>
          <w:sz w:val="24"/>
          <w:szCs w:val="24"/>
          <w:lang w:val="en-US"/>
        </w:rPr>
        <w:t>The authors extend their appreciation to V.I. Kovalev for constructive feedback during the preparation of the manuscript.</w:t>
      </w:r>
    </w:p>
    <w:p w14:paraId="4E9296F0" w14:textId="456C3F25" w:rsidR="00487D77" w:rsidRDefault="00487D77" w:rsidP="00B01E7F">
      <w:pPr>
        <w:spacing w:line="240" w:lineRule="auto"/>
        <w:rPr>
          <w:rFonts w:ascii="Times New Roman" w:hAnsi="Times New Roman" w:cs="Times New Roman"/>
          <w:b/>
          <w:bCs/>
          <w:sz w:val="24"/>
          <w:szCs w:val="24"/>
          <w:lang w:val="en-US"/>
        </w:rPr>
      </w:pPr>
      <w:r w:rsidRPr="00487D77">
        <w:rPr>
          <w:rFonts w:ascii="Times New Roman" w:hAnsi="Times New Roman" w:cs="Times New Roman"/>
          <w:b/>
          <w:bCs/>
          <w:sz w:val="24"/>
          <w:szCs w:val="24"/>
          <w:lang w:val="en-US"/>
        </w:rPr>
        <w:t>Authors’ contributions</w:t>
      </w:r>
    </w:p>
    <w:p w14:paraId="6BEC2DE4" w14:textId="1279327D" w:rsidR="00487D77" w:rsidRDefault="00487D77" w:rsidP="00B01E7F">
      <w:pPr>
        <w:spacing w:line="240" w:lineRule="auto"/>
        <w:rPr>
          <w:rFonts w:ascii="Times New Roman" w:hAnsi="Times New Roman" w:cs="Times New Roman"/>
          <w:sz w:val="24"/>
          <w:szCs w:val="24"/>
          <w:lang w:val="en-US"/>
        </w:rPr>
      </w:pPr>
      <w:r w:rsidRPr="00487D77">
        <w:rPr>
          <w:rFonts w:ascii="Times New Roman" w:hAnsi="Times New Roman" w:cs="Times New Roman"/>
          <w:sz w:val="24"/>
          <w:szCs w:val="24"/>
          <w:lang w:val="en-US"/>
        </w:rPr>
        <w:t>The authors contributed equally to the preparation of the study.</w:t>
      </w:r>
    </w:p>
    <w:p w14:paraId="5853CC2E" w14:textId="77E96019" w:rsidR="00487D77" w:rsidRDefault="00487D77" w:rsidP="00B01E7F">
      <w:pPr>
        <w:spacing w:line="240" w:lineRule="auto"/>
        <w:rPr>
          <w:rFonts w:ascii="Times New Roman" w:hAnsi="Times New Roman" w:cs="Times New Roman"/>
          <w:b/>
          <w:bCs/>
          <w:sz w:val="24"/>
          <w:szCs w:val="24"/>
          <w:lang w:val="en-US"/>
        </w:rPr>
      </w:pPr>
      <w:r w:rsidRPr="00487D77">
        <w:rPr>
          <w:rFonts w:ascii="Times New Roman" w:hAnsi="Times New Roman" w:cs="Times New Roman"/>
          <w:b/>
          <w:bCs/>
          <w:sz w:val="24"/>
          <w:szCs w:val="24"/>
          <w:lang w:val="en-US"/>
        </w:rPr>
        <w:t>Availability of data and materials</w:t>
      </w:r>
    </w:p>
    <w:p w14:paraId="4E0EDF45" w14:textId="0AB27FA0" w:rsidR="00487D77" w:rsidRPr="00F75695" w:rsidRDefault="00487D77" w:rsidP="00B01E7F">
      <w:pPr>
        <w:spacing w:line="240" w:lineRule="auto"/>
        <w:rPr>
          <w:rFonts w:ascii="Times New Roman" w:hAnsi="Times New Roman" w:cs="Times New Roman"/>
          <w:sz w:val="24"/>
          <w:szCs w:val="24"/>
        </w:rPr>
      </w:pPr>
      <w:r w:rsidRPr="00A61548">
        <w:rPr>
          <w:rFonts w:ascii="Times New Roman" w:hAnsi="Times New Roman" w:cs="Times New Roman"/>
          <w:sz w:val="24"/>
          <w:szCs w:val="24"/>
          <w:lang w:val="en-US"/>
        </w:rPr>
        <w:t xml:space="preserve">The results of the work can be found at the google link. Or write to the corresponding author. </w:t>
      </w:r>
      <w:hyperlink r:id="rId12" w:history="1">
        <w:r w:rsidR="00117C40" w:rsidRPr="00A61548">
          <w:rPr>
            <w:rStyle w:val="a3"/>
            <w:rFonts w:ascii="Times New Roman" w:hAnsi="Times New Roman" w:cs="Times New Roman"/>
            <w:i/>
            <w:iCs/>
            <w:color w:val="auto"/>
            <w:sz w:val="24"/>
            <w:szCs w:val="24"/>
            <w:u w:val="none"/>
            <w:lang w:val="en-US"/>
          </w:rPr>
          <w:t>https</w:t>
        </w:r>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docs</w:t>
        </w:r>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google</w:t>
        </w:r>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com</w:t>
        </w:r>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spreadsheets</w:t>
        </w:r>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d</w:t>
        </w:r>
        <w:r w:rsidR="00117C40" w:rsidRPr="00A61548">
          <w:rPr>
            <w:rStyle w:val="a3"/>
            <w:rFonts w:ascii="Times New Roman" w:hAnsi="Times New Roman" w:cs="Times New Roman"/>
            <w:i/>
            <w:iCs/>
            <w:color w:val="auto"/>
            <w:sz w:val="24"/>
            <w:szCs w:val="24"/>
            <w:u w:val="none"/>
          </w:rPr>
          <w:t>/1</w:t>
        </w:r>
        <w:proofErr w:type="spellStart"/>
        <w:r w:rsidR="00117C40" w:rsidRPr="00A61548">
          <w:rPr>
            <w:rStyle w:val="a3"/>
            <w:rFonts w:ascii="Times New Roman" w:hAnsi="Times New Roman" w:cs="Times New Roman"/>
            <w:i/>
            <w:iCs/>
            <w:color w:val="auto"/>
            <w:sz w:val="24"/>
            <w:szCs w:val="24"/>
            <w:u w:val="none"/>
            <w:lang w:val="en-US"/>
          </w:rPr>
          <w:t>qnVotSWUwW</w:t>
        </w:r>
        <w:proofErr w:type="spellEnd"/>
        <w:r w:rsidR="00117C40" w:rsidRPr="00A61548">
          <w:rPr>
            <w:rStyle w:val="a3"/>
            <w:rFonts w:ascii="Times New Roman" w:hAnsi="Times New Roman" w:cs="Times New Roman"/>
            <w:i/>
            <w:iCs/>
            <w:color w:val="auto"/>
            <w:sz w:val="24"/>
            <w:szCs w:val="24"/>
            <w:u w:val="none"/>
          </w:rPr>
          <w:t>1</w:t>
        </w:r>
        <w:proofErr w:type="spellStart"/>
        <w:r w:rsidR="00117C40" w:rsidRPr="00A61548">
          <w:rPr>
            <w:rStyle w:val="a3"/>
            <w:rFonts w:ascii="Times New Roman" w:hAnsi="Times New Roman" w:cs="Times New Roman"/>
            <w:i/>
            <w:iCs/>
            <w:color w:val="auto"/>
            <w:sz w:val="24"/>
            <w:szCs w:val="24"/>
            <w:u w:val="none"/>
            <w:lang w:val="en-US"/>
          </w:rPr>
          <w:t>XUEAVkRCA</w:t>
        </w:r>
        <w:proofErr w:type="spellEnd"/>
        <w:r w:rsidR="00117C40" w:rsidRPr="00A61548">
          <w:rPr>
            <w:rStyle w:val="a3"/>
            <w:rFonts w:ascii="Times New Roman" w:hAnsi="Times New Roman" w:cs="Times New Roman"/>
            <w:i/>
            <w:iCs/>
            <w:color w:val="auto"/>
            <w:sz w:val="24"/>
            <w:szCs w:val="24"/>
            <w:u w:val="none"/>
          </w:rPr>
          <w:t>3</w:t>
        </w:r>
        <w:proofErr w:type="spellStart"/>
        <w:r w:rsidR="00117C40" w:rsidRPr="00A61548">
          <w:rPr>
            <w:rStyle w:val="a3"/>
            <w:rFonts w:ascii="Times New Roman" w:hAnsi="Times New Roman" w:cs="Times New Roman"/>
            <w:i/>
            <w:iCs/>
            <w:color w:val="auto"/>
            <w:sz w:val="24"/>
            <w:szCs w:val="24"/>
            <w:u w:val="none"/>
            <w:lang w:val="en-US"/>
          </w:rPr>
          <w:t>HBqfkvMVetg</w:t>
        </w:r>
        <w:proofErr w:type="spellEnd"/>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edit</w:t>
        </w:r>
        <w:r w:rsidR="00117C40" w:rsidRPr="00A61548">
          <w:rPr>
            <w:rStyle w:val="a3"/>
            <w:rFonts w:ascii="Times New Roman" w:hAnsi="Times New Roman" w:cs="Times New Roman"/>
            <w:i/>
            <w:iCs/>
            <w:color w:val="auto"/>
            <w:sz w:val="24"/>
            <w:szCs w:val="24"/>
            <w:u w:val="none"/>
          </w:rPr>
          <w:t>?</w:t>
        </w:r>
        <w:proofErr w:type="spellStart"/>
        <w:r w:rsidR="00117C40" w:rsidRPr="00A61548">
          <w:rPr>
            <w:rStyle w:val="a3"/>
            <w:rFonts w:ascii="Times New Roman" w:hAnsi="Times New Roman" w:cs="Times New Roman"/>
            <w:i/>
            <w:iCs/>
            <w:color w:val="auto"/>
            <w:sz w:val="24"/>
            <w:szCs w:val="24"/>
            <w:u w:val="none"/>
            <w:lang w:val="en-US"/>
          </w:rPr>
          <w:t>usp</w:t>
        </w:r>
        <w:proofErr w:type="spellEnd"/>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sharing</w:t>
        </w:r>
        <w:r w:rsidR="00117C40" w:rsidRPr="00A61548">
          <w:rPr>
            <w:rStyle w:val="a3"/>
            <w:rFonts w:ascii="Times New Roman" w:hAnsi="Times New Roman" w:cs="Times New Roman"/>
            <w:i/>
            <w:iCs/>
            <w:color w:val="auto"/>
            <w:sz w:val="24"/>
            <w:szCs w:val="24"/>
            <w:u w:val="none"/>
          </w:rPr>
          <w:t>&amp;</w:t>
        </w:r>
        <w:proofErr w:type="spellStart"/>
        <w:r w:rsidR="00117C40" w:rsidRPr="00A61548">
          <w:rPr>
            <w:rStyle w:val="a3"/>
            <w:rFonts w:ascii="Times New Roman" w:hAnsi="Times New Roman" w:cs="Times New Roman"/>
            <w:i/>
            <w:iCs/>
            <w:color w:val="auto"/>
            <w:sz w:val="24"/>
            <w:szCs w:val="24"/>
            <w:u w:val="none"/>
            <w:lang w:val="en-US"/>
          </w:rPr>
          <w:t>ouid</w:t>
        </w:r>
        <w:proofErr w:type="spellEnd"/>
        <w:r w:rsidR="00117C40" w:rsidRPr="00A61548">
          <w:rPr>
            <w:rStyle w:val="a3"/>
            <w:rFonts w:ascii="Times New Roman" w:hAnsi="Times New Roman" w:cs="Times New Roman"/>
            <w:i/>
            <w:iCs/>
            <w:color w:val="auto"/>
            <w:sz w:val="24"/>
            <w:szCs w:val="24"/>
            <w:u w:val="none"/>
          </w:rPr>
          <w:t>=105509595749562341769&amp;</w:t>
        </w:r>
        <w:proofErr w:type="spellStart"/>
        <w:r w:rsidR="00117C40" w:rsidRPr="00A61548">
          <w:rPr>
            <w:rStyle w:val="a3"/>
            <w:rFonts w:ascii="Times New Roman" w:hAnsi="Times New Roman" w:cs="Times New Roman"/>
            <w:i/>
            <w:iCs/>
            <w:color w:val="auto"/>
            <w:sz w:val="24"/>
            <w:szCs w:val="24"/>
            <w:u w:val="none"/>
            <w:lang w:val="en-US"/>
          </w:rPr>
          <w:t>rtpof</w:t>
        </w:r>
        <w:proofErr w:type="spellEnd"/>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true</w:t>
        </w:r>
        <w:r w:rsidR="00117C40" w:rsidRPr="00A61548">
          <w:rPr>
            <w:rStyle w:val="a3"/>
            <w:rFonts w:ascii="Times New Roman" w:hAnsi="Times New Roman" w:cs="Times New Roman"/>
            <w:i/>
            <w:iCs/>
            <w:color w:val="auto"/>
            <w:sz w:val="24"/>
            <w:szCs w:val="24"/>
            <w:u w:val="none"/>
          </w:rPr>
          <w:t>&amp;</w:t>
        </w:r>
        <w:proofErr w:type="spellStart"/>
        <w:r w:rsidR="00117C40" w:rsidRPr="00A61548">
          <w:rPr>
            <w:rStyle w:val="a3"/>
            <w:rFonts w:ascii="Times New Roman" w:hAnsi="Times New Roman" w:cs="Times New Roman"/>
            <w:i/>
            <w:iCs/>
            <w:color w:val="auto"/>
            <w:sz w:val="24"/>
            <w:szCs w:val="24"/>
            <w:u w:val="none"/>
            <w:lang w:val="en-US"/>
          </w:rPr>
          <w:t>sd</w:t>
        </w:r>
        <w:proofErr w:type="spellEnd"/>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true</w:t>
        </w:r>
      </w:hyperlink>
    </w:p>
    <w:p w14:paraId="6C303140" w14:textId="251173D7" w:rsidR="00117C40" w:rsidRDefault="00117C40" w:rsidP="00B01E7F">
      <w:pPr>
        <w:spacing w:line="240" w:lineRule="auto"/>
        <w:rPr>
          <w:rFonts w:ascii="Times New Roman" w:hAnsi="Times New Roman" w:cs="Times New Roman"/>
          <w:b/>
          <w:bCs/>
          <w:sz w:val="24"/>
          <w:szCs w:val="24"/>
          <w:lang w:val="en-US"/>
        </w:rPr>
      </w:pPr>
      <w:r w:rsidRPr="00117C40">
        <w:rPr>
          <w:rFonts w:ascii="Times New Roman" w:hAnsi="Times New Roman" w:cs="Times New Roman"/>
          <w:b/>
          <w:bCs/>
          <w:sz w:val="24"/>
          <w:szCs w:val="24"/>
          <w:lang w:val="en-US"/>
        </w:rPr>
        <w:t>Financial support and sponsorship</w:t>
      </w:r>
    </w:p>
    <w:p w14:paraId="370147EC" w14:textId="77777777" w:rsidR="00786711" w:rsidRDefault="00786711" w:rsidP="00B01E7F">
      <w:pPr>
        <w:spacing w:line="240" w:lineRule="auto"/>
        <w:rPr>
          <w:rFonts w:ascii="Times New Roman" w:hAnsi="Times New Roman" w:cs="Times New Roman"/>
          <w:sz w:val="24"/>
          <w:szCs w:val="24"/>
          <w:lang w:val="en-US"/>
        </w:rPr>
      </w:pPr>
      <w:r w:rsidRPr="00786711">
        <w:rPr>
          <w:rFonts w:ascii="Times New Roman" w:hAnsi="Times New Roman" w:cs="Times New Roman"/>
          <w:sz w:val="24"/>
          <w:szCs w:val="24"/>
          <w:lang w:val="en-US"/>
        </w:rPr>
        <w:t>This work was supported by the Russian Science Foundation (RSF), project No. 23-25-00485.</w:t>
      </w:r>
    </w:p>
    <w:p w14:paraId="2D14F288" w14:textId="6FE4C909" w:rsidR="00117C40" w:rsidRPr="00786711" w:rsidRDefault="00117C40" w:rsidP="00B01E7F">
      <w:pPr>
        <w:spacing w:line="240" w:lineRule="auto"/>
        <w:rPr>
          <w:rFonts w:ascii="Times New Roman" w:hAnsi="Times New Roman" w:cs="Times New Roman"/>
          <w:b/>
          <w:bCs/>
          <w:sz w:val="24"/>
          <w:szCs w:val="24"/>
          <w:lang w:val="en-US"/>
        </w:rPr>
      </w:pPr>
      <w:r w:rsidRPr="00786711">
        <w:rPr>
          <w:rFonts w:ascii="Times New Roman" w:hAnsi="Times New Roman" w:cs="Times New Roman"/>
          <w:b/>
          <w:bCs/>
          <w:sz w:val="24"/>
          <w:szCs w:val="24"/>
          <w:lang w:val="en-US"/>
        </w:rPr>
        <w:t>Conflicts of interest</w:t>
      </w:r>
    </w:p>
    <w:p w14:paraId="577479E6" w14:textId="40F0644E" w:rsidR="00117C40" w:rsidRDefault="00117C40" w:rsidP="00B01E7F">
      <w:pPr>
        <w:spacing w:line="240" w:lineRule="auto"/>
        <w:rPr>
          <w:rFonts w:ascii="Times New Roman" w:hAnsi="Times New Roman" w:cs="Times New Roman"/>
          <w:sz w:val="24"/>
          <w:szCs w:val="24"/>
          <w:lang w:val="en-US"/>
        </w:rPr>
      </w:pPr>
      <w:r w:rsidRPr="00117C40">
        <w:rPr>
          <w:rFonts w:ascii="Times New Roman" w:hAnsi="Times New Roman" w:cs="Times New Roman"/>
          <w:sz w:val="24"/>
          <w:szCs w:val="24"/>
          <w:lang w:val="en-US"/>
        </w:rPr>
        <w:t>All authors declared that there are no conflicts of interest.</w:t>
      </w:r>
    </w:p>
    <w:p w14:paraId="7BE008A3" w14:textId="0080CCAA" w:rsidR="00117C40" w:rsidRDefault="00117C40" w:rsidP="00B01E7F">
      <w:pPr>
        <w:spacing w:line="240" w:lineRule="auto"/>
        <w:rPr>
          <w:rFonts w:ascii="Times New Roman" w:hAnsi="Times New Roman" w:cs="Times New Roman"/>
          <w:b/>
          <w:bCs/>
          <w:sz w:val="24"/>
          <w:szCs w:val="24"/>
          <w:lang w:val="en-US"/>
        </w:rPr>
      </w:pPr>
      <w:r w:rsidRPr="00117C40">
        <w:rPr>
          <w:rFonts w:ascii="Times New Roman" w:hAnsi="Times New Roman" w:cs="Times New Roman"/>
          <w:b/>
          <w:bCs/>
          <w:sz w:val="24"/>
          <w:szCs w:val="24"/>
          <w:lang w:val="en-US"/>
        </w:rPr>
        <w:t>Ethical approval and consent to participate</w:t>
      </w:r>
    </w:p>
    <w:p w14:paraId="6963F9A1" w14:textId="77777777" w:rsidR="00A61548" w:rsidRDefault="00A61548" w:rsidP="00B01E7F">
      <w:pPr>
        <w:spacing w:line="240" w:lineRule="auto"/>
        <w:rPr>
          <w:rFonts w:ascii="Times New Roman" w:hAnsi="Times New Roman" w:cs="Times New Roman"/>
          <w:color w:val="000000" w:themeColor="text1"/>
          <w:sz w:val="24"/>
          <w:szCs w:val="24"/>
          <w:lang w:val="en-US"/>
        </w:rPr>
      </w:pPr>
      <w:r w:rsidRPr="00A61548">
        <w:rPr>
          <w:rFonts w:ascii="Times New Roman" w:hAnsi="Times New Roman" w:cs="Times New Roman"/>
          <w:color w:val="000000" w:themeColor="text1"/>
          <w:sz w:val="24"/>
          <w:szCs w:val="24"/>
          <w:lang w:val="en-US"/>
        </w:rPr>
        <w:lastRenderedPageBreak/>
        <w:t xml:space="preserve">The laboratory animals were treated in accordance with the European Convention for the Protection of Vertebrates used for experimental and other purposes (Strasbourg, 1986) and the principles of the Helsinki Declaration (2000). All animal procedures performed with </w:t>
      </w:r>
      <w:proofErr w:type="spellStart"/>
      <w:r w:rsidRPr="00A61548">
        <w:rPr>
          <w:rFonts w:ascii="Times New Roman" w:hAnsi="Times New Roman" w:cs="Times New Roman"/>
          <w:color w:val="000000" w:themeColor="text1"/>
          <w:sz w:val="24"/>
          <w:szCs w:val="24"/>
          <w:lang w:val="en-US"/>
        </w:rPr>
        <w:t>mices</w:t>
      </w:r>
      <w:proofErr w:type="spellEnd"/>
      <w:r w:rsidRPr="00A61548">
        <w:rPr>
          <w:rFonts w:ascii="Times New Roman" w:hAnsi="Times New Roman" w:cs="Times New Roman"/>
          <w:color w:val="000000" w:themeColor="text1"/>
          <w:sz w:val="24"/>
          <w:szCs w:val="24"/>
          <w:lang w:val="en-US"/>
        </w:rPr>
        <w:t xml:space="preserve"> were approved by the Commission on Biosafety and Bioethics (Institute of Cell Biophysics – </w:t>
      </w:r>
      <w:proofErr w:type="spellStart"/>
      <w:r w:rsidRPr="00A61548">
        <w:rPr>
          <w:rFonts w:ascii="Times New Roman" w:hAnsi="Times New Roman" w:cs="Times New Roman"/>
          <w:color w:val="000000" w:themeColor="text1"/>
          <w:sz w:val="24"/>
          <w:szCs w:val="24"/>
          <w:lang w:val="en-US"/>
        </w:rPr>
        <w:t>Pushchino</w:t>
      </w:r>
      <w:proofErr w:type="spellEnd"/>
      <w:r w:rsidRPr="00A61548">
        <w:rPr>
          <w:rFonts w:ascii="Times New Roman" w:hAnsi="Times New Roman" w:cs="Times New Roman"/>
          <w:color w:val="000000" w:themeColor="text1"/>
          <w:sz w:val="24"/>
          <w:szCs w:val="24"/>
          <w:lang w:val="en-US"/>
        </w:rPr>
        <w:t xml:space="preserve"> Scientific Center for Biological Research of the Russian Academy of Sciences) in accordance with Directive 2010/63/EU of the European Parliament.</w:t>
      </w:r>
    </w:p>
    <w:p w14:paraId="73AC62D2" w14:textId="58D7C9C2" w:rsidR="00431E91" w:rsidRPr="00431E91" w:rsidRDefault="00487D77" w:rsidP="00B01E7F">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7</w:t>
      </w:r>
      <w:r w:rsidR="00431E91">
        <w:rPr>
          <w:rFonts w:ascii="Times New Roman" w:hAnsi="Times New Roman" w:cs="Times New Roman"/>
          <w:b/>
          <w:bCs/>
          <w:sz w:val="24"/>
          <w:szCs w:val="24"/>
          <w:lang w:val="en-US"/>
        </w:rPr>
        <w:t xml:space="preserve">. </w:t>
      </w:r>
      <w:r w:rsidR="00431E91" w:rsidRPr="00431E91">
        <w:rPr>
          <w:rFonts w:ascii="Times New Roman" w:hAnsi="Times New Roman" w:cs="Times New Roman"/>
          <w:b/>
          <w:bCs/>
          <w:sz w:val="24"/>
          <w:szCs w:val="24"/>
          <w:lang w:val="en-US"/>
        </w:rPr>
        <w:t>REFERENCES</w:t>
      </w:r>
    </w:p>
    <w:p w14:paraId="39974FAA" w14:textId="26C3BCFE" w:rsidR="00EC3E53" w:rsidRPr="0045186E" w:rsidRDefault="00846CBD"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EC3E53">
        <w:rPr>
          <w:rFonts w:ascii="Times New Roman" w:hAnsi="Times New Roman" w:cs="Times New Roman"/>
          <w:sz w:val="24"/>
          <w:szCs w:val="24"/>
          <w:lang w:val="en-US"/>
        </w:rPr>
        <w:fldChar w:fldCharType="begin" w:fldLock="1"/>
      </w:r>
      <w:r w:rsidRPr="00EC3E53">
        <w:rPr>
          <w:rFonts w:ascii="Times New Roman" w:hAnsi="Times New Roman" w:cs="Times New Roman"/>
          <w:sz w:val="24"/>
          <w:szCs w:val="24"/>
          <w:lang w:val="en-US"/>
        </w:rPr>
        <w:instrText xml:space="preserve">ADDIN Mendeley Bibliography CSL_BIBLIOGRAPHY </w:instrText>
      </w:r>
      <w:r w:rsidRPr="00EC3E53">
        <w:rPr>
          <w:rFonts w:ascii="Times New Roman" w:hAnsi="Times New Roman" w:cs="Times New Roman"/>
          <w:sz w:val="24"/>
          <w:szCs w:val="24"/>
          <w:lang w:val="en-US"/>
        </w:rPr>
        <w:fldChar w:fldCharType="separate"/>
      </w:r>
      <w:r w:rsidR="00EC3E53" w:rsidRPr="0045186E">
        <w:rPr>
          <w:rFonts w:ascii="Times New Roman" w:hAnsi="Times New Roman" w:cs="Times New Roman"/>
          <w:noProof/>
          <w:sz w:val="24"/>
          <w:szCs w:val="24"/>
          <w:lang w:val="en-US"/>
        </w:rPr>
        <w:t>[1]</w:t>
      </w:r>
      <w:r w:rsidR="00EC3E53" w:rsidRPr="0045186E">
        <w:rPr>
          <w:rFonts w:ascii="Times New Roman" w:hAnsi="Times New Roman" w:cs="Times New Roman"/>
          <w:noProof/>
          <w:sz w:val="24"/>
          <w:szCs w:val="24"/>
          <w:lang w:val="en-US"/>
        </w:rPr>
        <w:tab/>
        <w:t xml:space="preserve">Wang W, Zhao F, Ma X, Perry G, Zhu X. Mitochondria Dysfunction in the Pathogenesis of Alzheimer’s Disease: Recent  Advances. </w:t>
      </w:r>
      <w:r w:rsidR="00EC3E53" w:rsidRPr="0045186E">
        <w:rPr>
          <w:rFonts w:ascii="Times New Roman" w:hAnsi="Times New Roman" w:cs="Times New Roman"/>
          <w:i/>
          <w:iCs/>
          <w:noProof/>
          <w:sz w:val="24"/>
          <w:szCs w:val="24"/>
          <w:lang w:val="en-US"/>
        </w:rPr>
        <w:t>Molecular Neurodegeneration</w:t>
      </w:r>
      <w:r w:rsidR="00EC3E53" w:rsidRPr="0045186E">
        <w:rPr>
          <w:rFonts w:ascii="Times New Roman" w:hAnsi="Times New Roman" w:cs="Times New Roman"/>
          <w:noProof/>
          <w:sz w:val="24"/>
          <w:szCs w:val="24"/>
          <w:lang w:val="en-US"/>
        </w:rPr>
        <w:t>, 2020, 15(1): 30.</w:t>
      </w:r>
    </w:p>
    <w:p w14:paraId="7CD7F536"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[2]</w:t>
      </w:r>
      <w:r w:rsidRPr="0045186E">
        <w:rPr>
          <w:rFonts w:ascii="Times New Roman" w:hAnsi="Times New Roman" w:cs="Times New Roman"/>
          <w:noProof/>
          <w:sz w:val="24"/>
          <w:szCs w:val="24"/>
          <w:lang w:val="en-US"/>
        </w:rPr>
        <w:tab/>
        <w:t xml:space="preserve">Peng Y, Gao P, Shi L, Chen L, Liu J, Long J. Central and Peripheral Metabolic Defects Contribute to the Pathogenesis of  Alzheimer’s Disease: Targeting Mitochondria for Diagnosis and Prevention. </w:t>
      </w:r>
      <w:r w:rsidRPr="0045186E">
        <w:rPr>
          <w:rFonts w:ascii="Times New Roman" w:hAnsi="Times New Roman" w:cs="Times New Roman"/>
          <w:i/>
          <w:iCs/>
          <w:noProof/>
          <w:sz w:val="24"/>
          <w:szCs w:val="24"/>
          <w:lang w:val="en-US"/>
        </w:rPr>
        <w:t>Antioxidants &amp; Redox Signaling</w:t>
      </w:r>
      <w:r w:rsidRPr="0045186E">
        <w:rPr>
          <w:rFonts w:ascii="Times New Roman" w:hAnsi="Times New Roman" w:cs="Times New Roman"/>
          <w:noProof/>
          <w:sz w:val="24"/>
          <w:szCs w:val="24"/>
          <w:lang w:val="en-US"/>
        </w:rPr>
        <w:t>, 2020, 32(16): 1188–1236.</w:t>
      </w:r>
    </w:p>
    <w:p w14:paraId="03E70B43"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[3]</w:t>
      </w:r>
      <w:r w:rsidRPr="0045186E">
        <w:rPr>
          <w:rFonts w:ascii="Times New Roman" w:hAnsi="Times New Roman" w:cs="Times New Roman"/>
          <w:noProof/>
          <w:sz w:val="24"/>
          <w:szCs w:val="24"/>
          <w:lang w:val="en-US"/>
        </w:rPr>
        <w:tab/>
        <w:t>Sorrentino V, Romani M, Mouchiroud L, Beck JS, Zhang H, D’Amico D, Moullan N, Potenza F, Schmid AW, Rietsch S, Counts SE, Auwerx J. Enhancing Mitochondrial Proteostasis Reduces Amyloid-</w:t>
      </w:r>
      <w:r w:rsidRPr="00EC3E53">
        <w:rPr>
          <w:rFonts w:ascii="Times New Roman" w:hAnsi="Times New Roman" w:cs="Times New Roman"/>
          <w:noProof/>
          <w:sz w:val="24"/>
          <w:szCs w:val="24"/>
        </w:rPr>
        <w:t>β</w:t>
      </w:r>
      <w:r w:rsidRPr="0045186E">
        <w:rPr>
          <w:rFonts w:ascii="Times New Roman" w:hAnsi="Times New Roman" w:cs="Times New Roman"/>
          <w:noProof/>
          <w:sz w:val="24"/>
          <w:szCs w:val="24"/>
          <w:lang w:val="en-US"/>
        </w:rPr>
        <w:t xml:space="preserve"> Proteotoxicity. </w:t>
      </w:r>
      <w:r w:rsidRPr="0045186E">
        <w:rPr>
          <w:rFonts w:ascii="Times New Roman" w:hAnsi="Times New Roman" w:cs="Times New Roman"/>
          <w:i/>
          <w:iCs/>
          <w:noProof/>
          <w:sz w:val="24"/>
          <w:szCs w:val="24"/>
          <w:lang w:val="en-US"/>
        </w:rPr>
        <w:t>Nature</w:t>
      </w:r>
      <w:r w:rsidRPr="0045186E">
        <w:rPr>
          <w:rFonts w:ascii="Times New Roman" w:hAnsi="Times New Roman" w:cs="Times New Roman"/>
          <w:noProof/>
          <w:sz w:val="24"/>
          <w:szCs w:val="24"/>
          <w:lang w:val="en-US"/>
        </w:rPr>
        <w:t>, 2017, 552(7684): 187–193.</w:t>
      </w:r>
    </w:p>
    <w:p w14:paraId="51A7B985"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[4]</w:t>
      </w:r>
      <w:r w:rsidRPr="0045186E">
        <w:rPr>
          <w:rFonts w:ascii="Times New Roman" w:hAnsi="Times New Roman" w:cs="Times New Roman"/>
          <w:noProof/>
          <w:sz w:val="24"/>
          <w:szCs w:val="24"/>
          <w:lang w:val="en-US"/>
        </w:rPr>
        <w:tab/>
        <w:t xml:space="preserve">Wang X, Wang W, Li L, Perry G, Lee H, Zhu X. Oxidative Stress and Mitochondrial Dysfunction in Alzheimer’s Disease. </w:t>
      </w:r>
      <w:r w:rsidRPr="0045186E">
        <w:rPr>
          <w:rFonts w:ascii="Times New Roman" w:hAnsi="Times New Roman" w:cs="Times New Roman"/>
          <w:i/>
          <w:iCs/>
          <w:noProof/>
          <w:sz w:val="24"/>
          <w:szCs w:val="24"/>
          <w:lang w:val="en-US"/>
        </w:rPr>
        <w:t>Biochimica et Biophysica Acta (BBA) - Molecular Basis of Disease</w:t>
      </w:r>
      <w:r w:rsidRPr="0045186E">
        <w:rPr>
          <w:rFonts w:ascii="Times New Roman" w:hAnsi="Times New Roman" w:cs="Times New Roman"/>
          <w:noProof/>
          <w:sz w:val="24"/>
          <w:szCs w:val="24"/>
          <w:lang w:val="en-US"/>
        </w:rPr>
        <w:t>, 2014, 1842(8): 1240–1247.</w:t>
      </w:r>
    </w:p>
    <w:p w14:paraId="2A84F54A"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[5]</w:t>
      </w:r>
      <w:r w:rsidRPr="0045186E">
        <w:rPr>
          <w:rFonts w:ascii="Times New Roman" w:hAnsi="Times New Roman" w:cs="Times New Roman"/>
          <w:noProof/>
          <w:sz w:val="24"/>
          <w:szCs w:val="24"/>
          <w:lang w:val="en-US"/>
        </w:rPr>
        <w:tab/>
        <w:t xml:space="preserve">Archer SL. Mitochondrial Dynamics--Mitochondrial Fission and Fusion in Human Diseases. </w:t>
      </w:r>
      <w:r w:rsidRPr="0045186E">
        <w:rPr>
          <w:rFonts w:ascii="Times New Roman" w:hAnsi="Times New Roman" w:cs="Times New Roman"/>
          <w:i/>
          <w:iCs/>
          <w:noProof/>
          <w:sz w:val="24"/>
          <w:szCs w:val="24"/>
          <w:lang w:val="en-US"/>
        </w:rPr>
        <w:t>The New England Journal of Medicine</w:t>
      </w:r>
      <w:r w:rsidRPr="0045186E">
        <w:rPr>
          <w:rFonts w:ascii="Times New Roman" w:hAnsi="Times New Roman" w:cs="Times New Roman"/>
          <w:noProof/>
          <w:sz w:val="24"/>
          <w:szCs w:val="24"/>
          <w:lang w:val="en-US"/>
        </w:rPr>
        <w:t>, 2013, 369(23): 2236–2251.</w:t>
      </w:r>
    </w:p>
    <w:p w14:paraId="49C2E6C8"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[6]</w:t>
      </w:r>
      <w:r w:rsidRPr="0045186E">
        <w:rPr>
          <w:rFonts w:ascii="Times New Roman" w:hAnsi="Times New Roman" w:cs="Times New Roman"/>
          <w:noProof/>
          <w:sz w:val="24"/>
          <w:szCs w:val="24"/>
          <w:lang w:val="en-US"/>
        </w:rPr>
        <w:tab/>
        <w:t xml:space="preserve">Stefanova NA, Kozhevnikova OS, Vitovtov AO, Maksimova KY, Logvinov S V, Rudnitskaya EA, Korbolina EE, Muraleva NA, Kolosova NG. Senescence-Accelerated OXYS Rats: A Model of Age-Related Cognitive Decline with  Relevance to Abnormalities in Alzheimer Disease. </w:t>
      </w:r>
      <w:r w:rsidRPr="0045186E">
        <w:rPr>
          <w:rFonts w:ascii="Times New Roman" w:hAnsi="Times New Roman" w:cs="Times New Roman"/>
          <w:i/>
          <w:iCs/>
          <w:noProof/>
          <w:sz w:val="24"/>
          <w:szCs w:val="24"/>
          <w:lang w:val="en-US"/>
        </w:rPr>
        <w:t>Cell Cycle (Georgetown, Tex.)</w:t>
      </w:r>
      <w:r w:rsidRPr="0045186E">
        <w:rPr>
          <w:rFonts w:ascii="Times New Roman" w:hAnsi="Times New Roman" w:cs="Times New Roman"/>
          <w:noProof/>
          <w:sz w:val="24"/>
          <w:szCs w:val="24"/>
          <w:lang w:val="en-US"/>
        </w:rPr>
        <w:t>, 2014, 13(6): 898–909.</w:t>
      </w:r>
    </w:p>
    <w:p w14:paraId="551C6AC2"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[7]</w:t>
      </w:r>
      <w:r w:rsidRPr="0045186E">
        <w:rPr>
          <w:rFonts w:ascii="Times New Roman" w:hAnsi="Times New Roman" w:cs="Times New Roman"/>
          <w:noProof/>
          <w:sz w:val="24"/>
          <w:szCs w:val="24"/>
          <w:lang w:val="en-US"/>
        </w:rPr>
        <w:tab/>
        <w:t xml:space="preserve">Avetisyan A V, Samokhin AN, Alexandrova IY, Zinovkin RA, Simonyan RA, Bobkova N V. Mitochondrial Dysfunction in Neocortex and Hippocampus of Olfactory Bulbectomized  Mice, a Model of Alzheimer’s Disease. </w:t>
      </w:r>
      <w:r w:rsidRPr="0045186E">
        <w:rPr>
          <w:rFonts w:ascii="Times New Roman" w:hAnsi="Times New Roman" w:cs="Times New Roman"/>
          <w:i/>
          <w:iCs/>
          <w:noProof/>
          <w:sz w:val="24"/>
          <w:szCs w:val="24"/>
          <w:lang w:val="en-US"/>
        </w:rPr>
        <w:t>Biochemistry. Biokhimiia</w:t>
      </w:r>
      <w:r w:rsidRPr="0045186E">
        <w:rPr>
          <w:rFonts w:ascii="Times New Roman" w:hAnsi="Times New Roman" w:cs="Times New Roman"/>
          <w:noProof/>
          <w:sz w:val="24"/>
          <w:szCs w:val="24"/>
          <w:lang w:val="en-US"/>
        </w:rPr>
        <w:t>, 2016, 81(6): 615–623.</w:t>
      </w:r>
    </w:p>
    <w:p w14:paraId="3E388817"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[8]</w:t>
      </w:r>
      <w:r w:rsidRPr="0045186E">
        <w:rPr>
          <w:rFonts w:ascii="Times New Roman" w:hAnsi="Times New Roman" w:cs="Times New Roman"/>
          <w:noProof/>
          <w:sz w:val="24"/>
          <w:szCs w:val="24"/>
          <w:lang w:val="en-US"/>
        </w:rPr>
        <w:tab/>
        <w:t xml:space="preserve">Calkins MJ, Manczak M, Mao P, Shirendeb U, Reddy PH. Impaired Mitochondrial Biogenesis, Defective Axonal Transport of Mitochondria,  Abnormal Mitochondrial Dynamics and Synaptic Degeneration in a Mouse Model of Alzheimer’s Disease. </w:t>
      </w:r>
      <w:r w:rsidRPr="0045186E">
        <w:rPr>
          <w:rFonts w:ascii="Times New Roman" w:hAnsi="Times New Roman" w:cs="Times New Roman"/>
          <w:i/>
          <w:iCs/>
          <w:noProof/>
          <w:sz w:val="24"/>
          <w:szCs w:val="24"/>
          <w:lang w:val="en-US"/>
        </w:rPr>
        <w:t>Human Molecular Genetics</w:t>
      </w:r>
      <w:r w:rsidRPr="0045186E">
        <w:rPr>
          <w:rFonts w:ascii="Times New Roman" w:hAnsi="Times New Roman" w:cs="Times New Roman"/>
          <w:noProof/>
          <w:sz w:val="24"/>
          <w:szCs w:val="24"/>
          <w:lang w:val="en-US"/>
        </w:rPr>
        <w:t>, 2011, 20(23): 4515–4529.</w:t>
      </w:r>
    </w:p>
    <w:p w14:paraId="19C9BE9D"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[9]</w:t>
      </w:r>
      <w:r w:rsidRPr="0045186E">
        <w:rPr>
          <w:rFonts w:ascii="Times New Roman" w:hAnsi="Times New Roman" w:cs="Times New Roman"/>
          <w:noProof/>
          <w:sz w:val="24"/>
          <w:szCs w:val="24"/>
          <w:lang w:val="en-US"/>
        </w:rPr>
        <w:tab/>
        <w:t xml:space="preserve">Zhang L, Trushin S, Christensen TA, Tripathi U, Hong C, Geroux RE, Howell KG, Poduslo JF, Trushina E. Differential Effect of Amyloid Beta Peptides on Mitochondrial Axonal Trafficking  Depends on Their State of Aggregation and Binding to the Plasma Membrane. </w:t>
      </w:r>
      <w:r w:rsidRPr="0045186E">
        <w:rPr>
          <w:rFonts w:ascii="Times New Roman" w:hAnsi="Times New Roman" w:cs="Times New Roman"/>
          <w:i/>
          <w:iCs/>
          <w:noProof/>
          <w:sz w:val="24"/>
          <w:szCs w:val="24"/>
          <w:lang w:val="en-US"/>
        </w:rPr>
        <w:t>Neurobiology of Disease</w:t>
      </w:r>
      <w:r w:rsidRPr="0045186E">
        <w:rPr>
          <w:rFonts w:ascii="Times New Roman" w:hAnsi="Times New Roman" w:cs="Times New Roman"/>
          <w:noProof/>
          <w:sz w:val="24"/>
          <w:szCs w:val="24"/>
          <w:lang w:val="en-US"/>
        </w:rPr>
        <w:t>, 2018, 114: 1–16.</w:t>
      </w:r>
    </w:p>
    <w:p w14:paraId="6BA241DB"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[10]</w:t>
      </w:r>
      <w:r w:rsidRPr="0045186E">
        <w:rPr>
          <w:rFonts w:ascii="Times New Roman" w:hAnsi="Times New Roman" w:cs="Times New Roman"/>
          <w:noProof/>
          <w:sz w:val="24"/>
          <w:szCs w:val="24"/>
          <w:lang w:val="en-US"/>
        </w:rPr>
        <w:tab/>
        <w:t xml:space="preserve">Bilkei-Gorzo A. Genetic Mouse Models of Brain Ageing and Alzheimer’s Disease. </w:t>
      </w:r>
      <w:r w:rsidRPr="0045186E">
        <w:rPr>
          <w:rFonts w:ascii="Times New Roman" w:hAnsi="Times New Roman" w:cs="Times New Roman"/>
          <w:i/>
          <w:iCs/>
          <w:noProof/>
          <w:sz w:val="24"/>
          <w:szCs w:val="24"/>
          <w:lang w:val="en-US"/>
        </w:rPr>
        <w:t>Pharmacology &amp; Therapeutics</w:t>
      </w:r>
      <w:r w:rsidRPr="0045186E">
        <w:rPr>
          <w:rFonts w:ascii="Times New Roman" w:hAnsi="Times New Roman" w:cs="Times New Roman"/>
          <w:noProof/>
          <w:sz w:val="24"/>
          <w:szCs w:val="24"/>
          <w:lang w:val="en-US"/>
        </w:rPr>
        <w:t>, 2014, 142(2): 244–257.</w:t>
      </w:r>
    </w:p>
    <w:p w14:paraId="4AC570EF"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[11]</w:t>
      </w:r>
      <w:r w:rsidRPr="0045186E">
        <w:rPr>
          <w:rFonts w:ascii="Times New Roman" w:hAnsi="Times New Roman" w:cs="Times New Roman"/>
          <w:noProof/>
          <w:sz w:val="24"/>
          <w:szCs w:val="24"/>
          <w:lang w:val="en-US"/>
        </w:rPr>
        <w:tab/>
        <w:t xml:space="preserve">Chaplygina A V, Kovalev VI, Zhdanova DY. [The study of lipofuscin levels in the 5xFAD mouse model of Alzheimer’s  disease.]. </w:t>
      </w:r>
      <w:r w:rsidRPr="0045186E">
        <w:rPr>
          <w:rFonts w:ascii="Times New Roman" w:hAnsi="Times New Roman" w:cs="Times New Roman"/>
          <w:i/>
          <w:iCs/>
          <w:noProof/>
          <w:sz w:val="24"/>
          <w:szCs w:val="24"/>
          <w:lang w:val="en-US"/>
        </w:rPr>
        <w:t>Advances in gerontology = Uspekhi gerontologii</w:t>
      </w:r>
      <w:r w:rsidRPr="0045186E">
        <w:rPr>
          <w:rFonts w:ascii="Times New Roman" w:hAnsi="Times New Roman" w:cs="Times New Roman"/>
          <w:noProof/>
          <w:sz w:val="24"/>
          <w:szCs w:val="24"/>
          <w:lang w:val="en-US"/>
        </w:rPr>
        <w:t>, 2023, 36(5): 720–728.</w:t>
      </w:r>
    </w:p>
    <w:p w14:paraId="138A5CC4"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lastRenderedPageBreak/>
        <w:t>[12]</w:t>
      </w:r>
      <w:r w:rsidRPr="0045186E">
        <w:rPr>
          <w:rFonts w:ascii="Times New Roman" w:hAnsi="Times New Roman" w:cs="Times New Roman"/>
          <w:noProof/>
          <w:sz w:val="24"/>
          <w:szCs w:val="24"/>
          <w:lang w:val="en-US"/>
        </w:rPr>
        <w:tab/>
        <w:t xml:space="preserve">Chaplygina A V, Vekshin NL. [Lipofuscin and mitolipofuscin in organs of young and adult rats.]. </w:t>
      </w:r>
      <w:r w:rsidRPr="0045186E">
        <w:rPr>
          <w:rFonts w:ascii="Times New Roman" w:hAnsi="Times New Roman" w:cs="Times New Roman"/>
          <w:i/>
          <w:iCs/>
          <w:noProof/>
          <w:sz w:val="24"/>
          <w:szCs w:val="24"/>
          <w:lang w:val="en-US"/>
        </w:rPr>
        <w:t>Advances in gerontology = Uspekhi gerontologii</w:t>
      </w:r>
      <w:r w:rsidRPr="0045186E">
        <w:rPr>
          <w:rFonts w:ascii="Times New Roman" w:hAnsi="Times New Roman" w:cs="Times New Roman"/>
          <w:noProof/>
          <w:sz w:val="24"/>
          <w:szCs w:val="24"/>
          <w:lang w:val="en-US"/>
        </w:rPr>
        <w:t>, 2018, 31(2): 197–202.</w:t>
      </w:r>
    </w:p>
    <w:p w14:paraId="3E1579CF"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[13]</w:t>
      </w:r>
      <w:r w:rsidRPr="0045186E">
        <w:rPr>
          <w:rFonts w:ascii="Times New Roman" w:hAnsi="Times New Roman" w:cs="Times New Roman"/>
          <w:noProof/>
          <w:sz w:val="24"/>
          <w:szCs w:val="24"/>
          <w:lang w:val="en-US"/>
        </w:rPr>
        <w:tab/>
        <w:t xml:space="preserve">Knies KA, Li Y V. Zinc Cytotoxicity Induces Mitochondrial Morphology Changes in Hela Cell Line. </w:t>
      </w:r>
      <w:r w:rsidRPr="0045186E">
        <w:rPr>
          <w:rFonts w:ascii="Times New Roman" w:hAnsi="Times New Roman" w:cs="Times New Roman"/>
          <w:i/>
          <w:iCs/>
          <w:noProof/>
          <w:sz w:val="24"/>
          <w:szCs w:val="24"/>
          <w:lang w:val="en-US"/>
        </w:rPr>
        <w:t>International Journal of Physiology, Pathophysiology and Pharmacology</w:t>
      </w:r>
      <w:r w:rsidRPr="0045186E">
        <w:rPr>
          <w:rFonts w:ascii="Times New Roman" w:hAnsi="Times New Roman" w:cs="Times New Roman"/>
          <w:noProof/>
          <w:sz w:val="24"/>
          <w:szCs w:val="24"/>
          <w:lang w:val="en-US"/>
        </w:rPr>
        <w:t>, 2021, 13(2): 43–51.</w:t>
      </w:r>
    </w:p>
    <w:p w14:paraId="58EED34A"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[14]</w:t>
      </w:r>
      <w:r w:rsidRPr="0045186E">
        <w:rPr>
          <w:rFonts w:ascii="Times New Roman" w:hAnsi="Times New Roman" w:cs="Times New Roman"/>
          <w:noProof/>
          <w:sz w:val="24"/>
          <w:szCs w:val="24"/>
          <w:lang w:val="en-US"/>
        </w:rPr>
        <w:tab/>
        <w:t xml:space="preserve">Rodolfo C, Campello S, Cecconi F. Mitophagy in Neurodegenerative Diseases. </w:t>
      </w:r>
      <w:r w:rsidRPr="0045186E">
        <w:rPr>
          <w:rFonts w:ascii="Times New Roman" w:hAnsi="Times New Roman" w:cs="Times New Roman"/>
          <w:i/>
          <w:iCs/>
          <w:noProof/>
          <w:sz w:val="24"/>
          <w:szCs w:val="24"/>
          <w:lang w:val="en-US"/>
        </w:rPr>
        <w:t>Neurochemistry International</w:t>
      </w:r>
      <w:r w:rsidRPr="0045186E">
        <w:rPr>
          <w:rFonts w:ascii="Times New Roman" w:hAnsi="Times New Roman" w:cs="Times New Roman"/>
          <w:noProof/>
          <w:sz w:val="24"/>
          <w:szCs w:val="24"/>
          <w:lang w:val="en-US"/>
        </w:rPr>
        <w:t>, 2018, 117: 156–166.</w:t>
      </w:r>
    </w:p>
    <w:p w14:paraId="5D2C9699"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[15]</w:t>
      </w:r>
      <w:r w:rsidRPr="0045186E">
        <w:rPr>
          <w:rFonts w:ascii="Times New Roman" w:hAnsi="Times New Roman" w:cs="Times New Roman"/>
          <w:noProof/>
          <w:sz w:val="24"/>
          <w:szCs w:val="24"/>
          <w:lang w:val="en-US"/>
        </w:rPr>
        <w:tab/>
        <w:t xml:space="preserve">Kikugawa K, Kato T, Beppu M, Hayasaka A. Fluorescent and Cross-Linked Proteins Formed by Free Radical and Aldehyde Species  Generated during Lipid Oxidation. </w:t>
      </w:r>
      <w:r w:rsidRPr="0045186E">
        <w:rPr>
          <w:rFonts w:ascii="Times New Roman" w:hAnsi="Times New Roman" w:cs="Times New Roman"/>
          <w:i/>
          <w:iCs/>
          <w:noProof/>
          <w:sz w:val="24"/>
          <w:szCs w:val="24"/>
          <w:lang w:val="en-US"/>
        </w:rPr>
        <w:t>Advances in Experimental Medicine and Biology</w:t>
      </w:r>
      <w:r w:rsidRPr="0045186E">
        <w:rPr>
          <w:rFonts w:ascii="Times New Roman" w:hAnsi="Times New Roman" w:cs="Times New Roman"/>
          <w:noProof/>
          <w:sz w:val="24"/>
          <w:szCs w:val="24"/>
          <w:lang w:val="en-US"/>
        </w:rPr>
        <w:t>, 1989, 266: 345–56; discussion 357.</w:t>
      </w:r>
    </w:p>
    <w:p w14:paraId="129A47D2"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[16]</w:t>
      </w:r>
      <w:r w:rsidRPr="0045186E">
        <w:rPr>
          <w:rFonts w:ascii="Times New Roman" w:hAnsi="Times New Roman" w:cs="Times New Roman"/>
          <w:noProof/>
          <w:sz w:val="24"/>
          <w:szCs w:val="24"/>
          <w:lang w:val="en-US"/>
        </w:rPr>
        <w:tab/>
        <w:t xml:space="preserve">Dehkordi SK, Walker J, Sah E, Bennett E, Atrian F, Frost B, Woost B, Bennett RE, Orr TC, Zhou Y, Andhey PS, Colonna M, Sudmant PH, Xu P, Wang M, Zhang B, Zare H, Orr ME. Profiling Senescent Cells in Human Brains Reveals Neurons with CDKN2D/P19 and Tau  Neuropathology. </w:t>
      </w:r>
      <w:r w:rsidRPr="0045186E">
        <w:rPr>
          <w:rFonts w:ascii="Times New Roman" w:hAnsi="Times New Roman" w:cs="Times New Roman"/>
          <w:i/>
          <w:iCs/>
          <w:noProof/>
          <w:sz w:val="24"/>
          <w:szCs w:val="24"/>
          <w:lang w:val="en-US"/>
        </w:rPr>
        <w:t>Nature Aging</w:t>
      </w:r>
      <w:r w:rsidRPr="0045186E">
        <w:rPr>
          <w:rFonts w:ascii="Times New Roman" w:hAnsi="Times New Roman" w:cs="Times New Roman"/>
          <w:noProof/>
          <w:sz w:val="24"/>
          <w:szCs w:val="24"/>
          <w:lang w:val="en-US"/>
        </w:rPr>
        <w:t>, 2021, 1(12): 1107–1116.</w:t>
      </w:r>
    </w:p>
    <w:p w14:paraId="43C20DC5"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[17]</w:t>
      </w:r>
      <w:r w:rsidRPr="0045186E">
        <w:rPr>
          <w:rFonts w:ascii="Times New Roman" w:hAnsi="Times New Roman" w:cs="Times New Roman"/>
          <w:noProof/>
          <w:sz w:val="24"/>
          <w:szCs w:val="24"/>
          <w:lang w:val="en-US"/>
        </w:rPr>
        <w:tab/>
        <w:t xml:space="preserve">Moreno-García A, Kun A, Calero O, Medina M, Calero M. An Overview of the Role of Lipofuscin in Age-Related Neurodegeneration. </w:t>
      </w:r>
      <w:r w:rsidRPr="0045186E">
        <w:rPr>
          <w:rFonts w:ascii="Times New Roman" w:hAnsi="Times New Roman" w:cs="Times New Roman"/>
          <w:i/>
          <w:iCs/>
          <w:noProof/>
          <w:sz w:val="24"/>
          <w:szCs w:val="24"/>
          <w:lang w:val="en-US"/>
        </w:rPr>
        <w:t>Frontiers in Neuroscience</w:t>
      </w:r>
      <w:r w:rsidRPr="0045186E">
        <w:rPr>
          <w:rFonts w:ascii="Times New Roman" w:hAnsi="Times New Roman" w:cs="Times New Roman"/>
          <w:noProof/>
          <w:sz w:val="24"/>
          <w:szCs w:val="24"/>
          <w:lang w:val="en-US"/>
        </w:rPr>
        <w:t>, 2018, 12: 464.</w:t>
      </w:r>
    </w:p>
    <w:p w14:paraId="0697072D"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[18]</w:t>
      </w:r>
      <w:r w:rsidRPr="0045186E">
        <w:rPr>
          <w:rFonts w:ascii="Times New Roman" w:hAnsi="Times New Roman" w:cs="Times New Roman"/>
          <w:noProof/>
          <w:sz w:val="24"/>
          <w:szCs w:val="24"/>
          <w:lang w:val="en-US"/>
        </w:rPr>
        <w:tab/>
        <w:t xml:space="preserve">Serwer P, Wright ET, Hunter B. Additions to Alpha-Sheet Based Hypotheses for the Cause of Alzheimer’s Disease. </w:t>
      </w:r>
      <w:r w:rsidRPr="0045186E">
        <w:rPr>
          <w:rFonts w:ascii="Times New Roman" w:hAnsi="Times New Roman" w:cs="Times New Roman"/>
          <w:i/>
          <w:iCs/>
          <w:noProof/>
          <w:sz w:val="24"/>
          <w:szCs w:val="24"/>
          <w:lang w:val="en-US"/>
        </w:rPr>
        <w:t>Journal of Alzheimer’s Disease : JAD</w:t>
      </w:r>
      <w:r w:rsidRPr="0045186E">
        <w:rPr>
          <w:rFonts w:ascii="Times New Roman" w:hAnsi="Times New Roman" w:cs="Times New Roman"/>
          <w:noProof/>
          <w:sz w:val="24"/>
          <w:szCs w:val="24"/>
          <w:lang w:val="en-US"/>
        </w:rPr>
        <w:t>, 2022, 88(2): 429–438.</w:t>
      </w:r>
    </w:p>
    <w:p w14:paraId="6AFAFD32"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[19]</w:t>
      </w:r>
      <w:r w:rsidRPr="0045186E">
        <w:rPr>
          <w:rFonts w:ascii="Times New Roman" w:hAnsi="Times New Roman" w:cs="Times New Roman"/>
          <w:noProof/>
          <w:sz w:val="24"/>
          <w:szCs w:val="24"/>
          <w:lang w:val="en-US"/>
        </w:rPr>
        <w:tab/>
        <w:t xml:space="preserve">Liesa M, Shirihai OS. Mitochondrial Dynamics in the Regulation of Nutrient Utilization and Energy Expenditure. </w:t>
      </w:r>
      <w:r w:rsidRPr="0045186E">
        <w:rPr>
          <w:rFonts w:ascii="Times New Roman" w:hAnsi="Times New Roman" w:cs="Times New Roman"/>
          <w:i/>
          <w:iCs/>
          <w:noProof/>
          <w:sz w:val="24"/>
          <w:szCs w:val="24"/>
          <w:lang w:val="en-US"/>
        </w:rPr>
        <w:t>Cell Metabolism</w:t>
      </w:r>
      <w:r w:rsidRPr="0045186E">
        <w:rPr>
          <w:rFonts w:ascii="Times New Roman" w:hAnsi="Times New Roman" w:cs="Times New Roman"/>
          <w:noProof/>
          <w:sz w:val="24"/>
          <w:szCs w:val="24"/>
          <w:lang w:val="en-US"/>
        </w:rPr>
        <w:t>, 2013, 17(4): 491–506.</w:t>
      </w:r>
    </w:p>
    <w:p w14:paraId="39D05BAE"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[20]</w:t>
      </w:r>
      <w:r w:rsidRPr="0045186E">
        <w:rPr>
          <w:rFonts w:ascii="Times New Roman" w:hAnsi="Times New Roman" w:cs="Times New Roman"/>
          <w:noProof/>
          <w:sz w:val="24"/>
          <w:szCs w:val="24"/>
          <w:lang w:val="en-US"/>
        </w:rPr>
        <w:tab/>
        <w:t xml:space="preserve">Wang L, Guo L, Lu L, Sun H, Shao M, Beck SJ, Li L, Ramachandran J, Du Y, Du H. Synaptosomal Mitochondrial Dysfunction in 5xFAD Mouse Model of Alzheimer’s  Disease. </w:t>
      </w:r>
      <w:r w:rsidRPr="0045186E">
        <w:rPr>
          <w:rFonts w:ascii="Times New Roman" w:hAnsi="Times New Roman" w:cs="Times New Roman"/>
          <w:i/>
          <w:iCs/>
          <w:noProof/>
          <w:sz w:val="24"/>
          <w:szCs w:val="24"/>
          <w:lang w:val="en-US"/>
        </w:rPr>
        <w:t>PloS One</w:t>
      </w:r>
      <w:r w:rsidRPr="0045186E">
        <w:rPr>
          <w:rFonts w:ascii="Times New Roman" w:hAnsi="Times New Roman" w:cs="Times New Roman"/>
          <w:noProof/>
          <w:sz w:val="24"/>
          <w:szCs w:val="24"/>
          <w:lang w:val="en-US"/>
        </w:rPr>
        <w:t>, 2016, 11(3): e0150441.</w:t>
      </w:r>
    </w:p>
    <w:p w14:paraId="0959E713"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[21]</w:t>
      </w:r>
      <w:r w:rsidRPr="0045186E">
        <w:rPr>
          <w:rFonts w:ascii="Times New Roman" w:hAnsi="Times New Roman" w:cs="Times New Roman"/>
          <w:noProof/>
          <w:sz w:val="24"/>
          <w:szCs w:val="24"/>
          <w:lang w:val="en-US"/>
        </w:rPr>
        <w:tab/>
        <w:t xml:space="preserve">Shields LY, Li H, Nguyen K, Kim H, Doric Z, Garcia JH, Gill TM, Haddad D, Vossel K, Calvert M, Nakamura K. Mitochondrial Fission Is a Critical Modulator of Mutant APP-Induced Neural  Toxicity. </w:t>
      </w:r>
      <w:r w:rsidRPr="0045186E">
        <w:rPr>
          <w:rFonts w:ascii="Times New Roman" w:hAnsi="Times New Roman" w:cs="Times New Roman"/>
          <w:i/>
          <w:iCs/>
          <w:noProof/>
          <w:sz w:val="24"/>
          <w:szCs w:val="24"/>
          <w:lang w:val="en-US"/>
        </w:rPr>
        <w:t>The Journal of Biological Chemistry</w:t>
      </w:r>
      <w:r w:rsidRPr="0045186E">
        <w:rPr>
          <w:rFonts w:ascii="Times New Roman" w:hAnsi="Times New Roman" w:cs="Times New Roman"/>
          <w:noProof/>
          <w:sz w:val="24"/>
          <w:szCs w:val="24"/>
          <w:lang w:val="en-US"/>
        </w:rPr>
        <w:t>, 2021, 296: 100469.</w:t>
      </w:r>
    </w:p>
    <w:p w14:paraId="5902749B"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[22]</w:t>
      </w:r>
      <w:r w:rsidRPr="0045186E">
        <w:rPr>
          <w:rFonts w:ascii="Times New Roman" w:hAnsi="Times New Roman" w:cs="Times New Roman"/>
          <w:noProof/>
          <w:sz w:val="24"/>
          <w:szCs w:val="24"/>
          <w:lang w:val="en-US"/>
        </w:rPr>
        <w:tab/>
        <w:t>Ismeurt C, Giannoni P, Claeysen S. Chapter 13 - The 5×FAD Mouse Model of Alzheimer’s Disease. In:. Martin CR, Preedy VR (eds). Diagnosis Manag. Dement. Academic Press 2020; 207–221.</w:t>
      </w:r>
    </w:p>
    <w:p w14:paraId="4E403AB2"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[23]</w:t>
      </w:r>
      <w:r w:rsidRPr="0045186E">
        <w:rPr>
          <w:rFonts w:ascii="Times New Roman" w:hAnsi="Times New Roman" w:cs="Times New Roman"/>
          <w:noProof/>
          <w:sz w:val="24"/>
          <w:szCs w:val="24"/>
          <w:lang w:val="en-US"/>
        </w:rPr>
        <w:tab/>
        <w:t xml:space="preserve">Hoitzing H, Johnston IG, Jones NS. What Is the Function of Mitochondrial Networks? A Theoretical Assessment of  Hypotheses and Proposal for Future Research. </w:t>
      </w:r>
      <w:r w:rsidRPr="0045186E">
        <w:rPr>
          <w:rFonts w:ascii="Times New Roman" w:hAnsi="Times New Roman" w:cs="Times New Roman"/>
          <w:i/>
          <w:iCs/>
          <w:noProof/>
          <w:sz w:val="24"/>
          <w:szCs w:val="24"/>
          <w:lang w:val="en-US"/>
        </w:rPr>
        <w:t>BioEssays : News and Reviews in Molecular, Cellular and Developmental Biology</w:t>
      </w:r>
      <w:r w:rsidRPr="0045186E">
        <w:rPr>
          <w:rFonts w:ascii="Times New Roman" w:hAnsi="Times New Roman" w:cs="Times New Roman"/>
          <w:noProof/>
          <w:sz w:val="24"/>
          <w:szCs w:val="24"/>
          <w:lang w:val="en-US"/>
        </w:rPr>
        <w:t>, 2015, 37(6): 687–700.</w:t>
      </w:r>
    </w:p>
    <w:p w14:paraId="11189715"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[24]</w:t>
      </w:r>
      <w:r w:rsidRPr="0045186E">
        <w:rPr>
          <w:rFonts w:ascii="Times New Roman" w:hAnsi="Times New Roman" w:cs="Times New Roman"/>
          <w:noProof/>
          <w:sz w:val="24"/>
          <w:szCs w:val="24"/>
          <w:lang w:val="en-US"/>
        </w:rPr>
        <w:tab/>
        <w:t xml:space="preserve">Gomes LC, Di Benedetto G, Scorrano L. During Autophagy Mitochondria Elongate, Are Spared from Degradation and Sustain  Cell Viability. </w:t>
      </w:r>
      <w:r w:rsidRPr="0045186E">
        <w:rPr>
          <w:rFonts w:ascii="Times New Roman" w:hAnsi="Times New Roman" w:cs="Times New Roman"/>
          <w:i/>
          <w:iCs/>
          <w:noProof/>
          <w:sz w:val="24"/>
          <w:szCs w:val="24"/>
          <w:lang w:val="en-US"/>
        </w:rPr>
        <w:t>Nature Cell Biology</w:t>
      </w:r>
      <w:r w:rsidRPr="0045186E">
        <w:rPr>
          <w:rFonts w:ascii="Times New Roman" w:hAnsi="Times New Roman" w:cs="Times New Roman"/>
          <w:noProof/>
          <w:sz w:val="24"/>
          <w:szCs w:val="24"/>
          <w:lang w:val="en-US"/>
        </w:rPr>
        <w:t>, 2011, 13(5): 589–598.</w:t>
      </w:r>
    </w:p>
    <w:p w14:paraId="7768C0FD"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[25]</w:t>
      </w:r>
      <w:r w:rsidRPr="0045186E">
        <w:rPr>
          <w:rFonts w:ascii="Times New Roman" w:hAnsi="Times New Roman" w:cs="Times New Roman"/>
          <w:noProof/>
          <w:sz w:val="24"/>
          <w:szCs w:val="24"/>
          <w:lang w:val="en-US"/>
        </w:rPr>
        <w:tab/>
        <w:t xml:space="preserve">Pontes MH, Sevostyanova A, Groisman EA. When Too Much ATP Is Bad for Protein Synthesis. </w:t>
      </w:r>
      <w:r w:rsidRPr="0045186E">
        <w:rPr>
          <w:rFonts w:ascii="Times New Roman" w:hAnsi="Times New Roman" w:cs="Times New Roman"/>
          <w:i/>
          <w:iCs/>
          <w:noProof/>
          <w:sz w:val="24"/>
          <w:szCs w:val="24"/>
          <w:lang w:val="en-US"/>
        </w:rPr>
        <w:t>Journal of Molecular Biology</w:t>
      </w:r>
      <w:r w:rsidRPr="0045186E">
        <w:rPr>
          <w:rFonts w:ascii="Times New Roman" w:hAnsi="Times New Roman" w:cs="Times New Roman"/>
          <w:noProof/>
          <w:sz w:val="24"/>
          <w:szCs w:val="24"/>
          <w:lang w:val="en-US"/>
        </w:rPr>
        <w:t>, 2015, 427(16): 2586–2594.</w:t>
      </w:r>
    </w:p>
    <w:p w14:paraId="08C0AB3D" w14:textId="77777777" w:rsidR="00EC3E53" w:rsidRPr="00EC3E53"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rPr>
      </w:pPr>
      <w:r w:rsidRPr="0045186E">
        <w:rPr>
          <w:rFonts w:ascii="Times New Roman" w:hAnsi="Times New Roman" w:cs="Times New Roman"/>
          <w:noProof/>
          <w:sz w:val="24"/>
          <w:szCs w:val="24"/>
          <w:lang w:val="en-US"/>
        </w:rPr>
        <w:t>[26]</w:t>
      </w:r>
      <w:r w:rsidRPr="0045186E">
        <w:rPr>
          <w:rFonts w:ascii="Times New Roman" w:hAnsi="Times New Roman" w:cs="Times New Roman"/>
          <w:noProof/>
          <w:sz w:val="24"/>
          <w:szCs w:val="24"/>
          <w:lang w:val="en-US"/>
        </w:rPr>
        <w:tab/>
        <w:t xml:space="preserve">Zamaraeva M V, Sabirov RZ, Maeno E, Ando-Akatsuka Y, Bessonova S V, Okada Y. Cells Die with Increased Cytosolic ATP during Apoptosis: A Bioluminescence Study  with Intracellular Luciferase. </w:t>
      </w:r>
      <w:r w:rsidRPr="00EC3E53">
        <w:rPr>
          <w:rFonts w:ascii="Times New Roman" w:hAnsi="Times New Roman" w:cs="Times New Roman"/>
          <w:i/>
          <w:iCs/>
          <w:noProof/>
          <w:sz w:val="24"/>
          <w:szCs w:val="24"/>
        </w:rPr>
        <w:t>Cell Death and Differentiation</w:t>
      </w:r>
      <w:r w:rsidRPr="00EC3E53">
        <w:rPr>
          <w:rFonts w:ascii="Times New Roman" w:hAnsi="Times New Roman" w:cs="Times New Roman"/>
          <w:noProof/>
          <w:sz w:val="24"/>
          <w:szCs w:val="24"/>
        </w:rPr>
        <w:t>, 2005, 12(11): 1390–1397.</w:t>
      </w:r>
    </w:p>
    <w:p w14:paraId="1485EECB" w14:textId="3DB5FE55" w:rsidR="00E02374" w:rsidRPr="00EC3E53" w:rsidRDefault="00846CBD"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lastRenderedPageBreak/>
        <w:fldChar w:fldCharType="end"/>
      </w:r>
    </w:p>
    <w:sectPr w:rsidR="00E02374" w:rsidRPr="00EC3E53" w:rsidSect="00A34000">
      <w:footerReference w:type="default" r:id="rId13"/>
      <w:pgSz w:w="11906" w:h="16838"/>
      <w:pgMar w:top="1134" w:right="850" w:bottom="1134"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97008" w14:textId="77777777" w:rsidR="00A34000" w:rsidRDefault="00A34000" w:rsidP="00B95E8E">
      <w:pPr>
        <w:spacing w:after="0" w:line="240" w:lineRule="auto"/>
      </w:pPr>
      <w:r>
        <w:separator/>
      </w:r>
    </w:p>
  </w:endnote>
  <w:endnote w:type="continuationSeparator" w:id="0">
    <w:p w14:paraId="0C05C05F" w14:textId="77777777" w:rsidR="00A34000" w:rsidRDefault="00A34000" w:rsidP="00B95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087960"/>
      <w:docPartObj>
        <w:docPartGallery w:val="Page Numbers (Bottom of Page)"/>
        <w:docPartUnique/>
      </w:docPartObj>
    </w:sdtPr>
    <w:sdtEndPr/>
    <w:sdtContent>
      <w:p w14:paraId="3E79D386" w14:textId="41DC4364" w:rsidR="00B95E8E" w:rsidRDefault="00B95E8E">
        <w:pPr>
          <w:pStyle w:val="aa"/>
        </w:pPr>
        <w:r>
          <w:fldChar w:fldCharType="begin"/>
        </w:r>
        <w:r>
          <w:instrText>PAGE   \* MERGEFORMAT</w:instrText>
        </w:r>
        <w:r>
          <w:fldChar w:fldCharType="separate"/>
        </w:r>
        <w:r>
          <w:t>2</w:t>
        </w:r>
        <w:r>
          <w:fldChar w:fldCharType="end"/>
        </w:r>
      </w:p>
    </w:sdtContent>
  </w:sdt>
  <w:p w14:paraId="0B0B1DD8" w14:textId="77777777" w:rsidR="00B95E8E" w:rsidRDefault="00B95E8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4EAF9" w14:textId="77777777" w:rsidR="00A34000" w:rsidRDefault="00A34000" w:rsidP="00B95E8E">
      <w:pPr>
        <w:spacing w:after="0" w:line="240" w:lineRule="auto"/>
      </w:pPr>
      <w:r>
        <w:separator/>
      </w:r>
    </w:p>
  </w:footnote>
  <w:footnote w:type="continuationSeparator" w:id="0">
    <w:p w14:paraId="38D71E7D" w14:textId="77777777" w:rsidR="00A34000" w:rsidRDefault="00A34000" w:rsidP="00B95E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A677D"/>
    <w:multiLevelType w:val="hybridMultilevel"/>
    <w:tmpl w:val="042EB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18499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3F3"/>
    <w:rsid w:val="00075881"/>
    <w:rsid w:val="00077223"/>
    <w:rsid w:val="000D26B9"/>
    <w:rsid w:val="00117C40"/>
    <w:rsid w:val="0013501C"/>
    <w:rsid w:val="00156E27"/>
    <w:rsid w:val="001B6787"/>
    <w:rsid w:val="001C1DEE"/>
    <w:rsid w:val="001E2BA3"/>
    <w:rsid w:val="001F3468"/>
    <w:rsid w:val="00286D49"/>
    <w:rsid w:val="002F239F"/>
    <w:rsid w:val="00354863"/>
    <w:rsid w:val="003A36F2"/>
    <w:rsid w:val="00410789"/>
    <w:rsid w:val="00431E91"/>
    <w:rsid w:val="0045186E"/>
    <w:rsid w:val="00487D77"/>
    <w:rsid w:val="00501085"/>
    <w:rsid w:val="005C1DC6"/>
    <w:rsid w:val="005F2E40"/>
    <w:rsid w:val="0066269D"/>
    <w:rsid w:val="006C273B"/>
    <w:rsid w:val="00786711"/>
    <w:rsid w:val="00831859"/>
    <w:rsid w:val="00846CBD"/>
    <w:rsid w:val="009176BE"/>
    <w:rsid w:val="009C4122"/>
    <w:rsid w:val="00A34000"/>
    <w:rsid w:val="00A61548"/>
    <w:rsid w:val="00AA17CB"/>
    <w:rsid w:val="00AA701B"/>
    <w:rsid w:val="00B01E7F"/>
    <w:rsid w:val="00B35940"/>
    <w:rsid w:val="00B82255"/>
    <w:rsid w:val="00B83F4E"/>
    <w:rsid w:val="00B95E8E"/>
    <w:rsid w:val="00B967A5"/>
    <w:rsid w:val="00BA5464"/>
    <w:rsid w:val="00C317A9"/>
    <w:rsid w:val="00D1548A"/>
    <w:rsid w:val="00D15AE0"/>
    <w:rsid w:val="00D54168"/>
    <w:rsid w:val="00DA4C46"/>
    <w:rsid w:val="00DE59B6"/>
    <w:rsid w:val="00DF4C20"/>
    <w:rsid w:val="00E02374"/>
    <w:rsid w:val="00E47C87"/>
    <w:rsid w:val="00E925DD"/>
    <w:rsid w:val="00EC3E53"/>
    <w:rsid w:val="00EC45C1"/>
    <w:rsid w:val="00EF53F3"/>
    <w:rsid w:val="00F0260F"/>
    <w:rsid w:val="00F437F9"/>
    <w:rsid w:val="00F75695"/>
    <w:rsid w:val="00F774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91087"/>
  <w15:chartTrackingRefBased/>
  <w15:docId w15:val="{888950AA-C85D-4815-B495-95332356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53F3"/>
    <w:pPr>
      <w:spacing w:after="200" w:line="276" w:lineRule="auto"/>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EF5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F53F3"/>
    <w:rPr>
      <w:rFonts w:ascii="Courier New" w:eastAsia="Times New Roman" w:hAnsi="Courier New" w:cs="Courier New"/>
      <w:kern w:val="0"/>
      <w:sz w:val="20"/>
      <w:szCs w:val="20"/>
      <w:lang w:eastAsia="ru-RU"/>
      <w14:ligatures w14:val="none"/>
    </w:rPr>
  </w:style>
  <w:style w:type="character" w:customStyle="1" w:styleId="mixed-citation">
    <w:name w:val="mixed-citation"/>
    <w:basedOn w:val="a0"/>
    <w:rsid w:val="00EF53F3"/>
  </w:style>
  <w:style w:type="character" w:customStyle="1" w:styleId="ref-title">
    <w:name w:val="ref-title"/>
    <w:basedOn w:val="a0"/>
    <w:rsid w:val="00EF53F3"/>
  </w:style>
  <w:style w:type="character" w:customStyle="1" w:styleId="ref-journal">
    <w:name w:val="ref-journal"/>
    <w:basedOn w:val="a0"/>
    <w:rsid w:val="00EF53F3"/>
  </w:style>
  <w:style w:type="character" w:customStyle="1" w:styleId="ref-vol">
    <w:name w:val="ref-vol"/>
    <w:basedOn w:val="a0"/>
    <w:rsid w:val="00EF53F3"/>
  </w:style>
  <w:style w:type="character" w:customStyle="1" w:styleId="nowrap">
    <w:name w:val="nowrap"/>
    <w:basedOn w:val="a0"/>
    <w:rsid w:val="00EF53F3"/>
  </w:style>
  <w:style w:type="character" w:styleId="a3">
    <w:name w:val="Hyperlink"/>
    <w:basedOn w:val="a0"/>
    <w:uiPriority w:val="99"/>
    <w:unhideWhenUsed/>
    <w:rsid w:val="00EF53F3"/>
    <w:rPr>
      <w:color w:val="0000FF"/>
      <w:u w:val="single"/>
    </w:rPr>
  </w:style>
  <w:style w:type="character" w:styleId="a4">
    <w:name w:val="Unresolved Mention"/>
    <w:basedOn w:val="a0"/>
    <w:uiPriority w:val="99"/>
    <w:semiHidden/>
    <w:unhideWhenUsed/>
    <w:rsid w:val="00EF53F3"/>
    <w:rPr>
      <w:color w:val="605E5C"/>
      <w:shd w:val="clear" w:color="auto" w:fill="E1DFDD"/>
    </w:rPr>
  </w:style>
  <w:style w:type="paragraph" w:styleId="a5">
    <w:name w:val="Normal (Web)"/>
    <w:basedOn w:val="a"/>
    <w:uiPriority w:val="99"/>
    <w:unhideWhenUsed/>
    <w:rsid w:val="00EF53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FollowedHyperlink"/>
    <w:basedOn w:val="a0"/>
    <w:uiPriority w:val="99"/>
    <w:semiHidden/>
    <w:unhideWhenUsed/>
    <w:rsid w:val="001C1DEE"/>
    <w:rPr>
      <w:color w:val="954F72" w:themeColor="followedHyperlink"/>
      <w:u w:val="single"/>
    </w:rPr>
  </w:style>
  <w:style w:type="character" w:styleId="a7">
    <w:name w:val="line number"/>
    <w:basedOn w:val="a0"/>
    <w:uiPriority w:val="99"/>
    <w:semiHidden/>
    <w:unhideWhenUsed/>
    <w:rsid w:val="00EC3E53"/>
  </w:style>
  <w:style w:type="paragraph" w:styleId="a8">
    <w:name w:val="header"/>
    <w:basedOn w:val="a"/>
    <w:link w:val="a9"/>
    <w:uiPriority w:val="99"/>
    <w:unhideWhenUsed/>
    <w:rsid w:val="00B95E8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95E8E"/>
    <w:rPr>
      <w:kern w:val="0"/>
      <w14:ligatures w14:val="none"/>
    </w:rPr>
  </w:style>
  <w:style w:type="paragraph" w:styleId="aa">
    <w:name w:val="footer"/>
    <w:basedOn w:val="a"/>
    <w:link w:val="ab"/>
    <w:uiPriority w:val="99"/>
    <w:unhideWhenUsed/>
    <w:rsid w:val="00B95E8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95E8E"/>
    <w:rPr>
      <w:kern w:val="0"/>
      <w14:ligatures w14:val="none"/>
    </w:rPr>
  </w:style>
  <w:style w:type="paragraph" w:styleId="ac">
    <w:name w:val="List Paragraph"/>
    <w:basedOn w:val="a"/>
    <w:uiPriority w:val="34"/>
    <w:qFormat/>
    <w:rsid w:val="00431E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24362083/"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spreadsheets/d/1qnVotSWUwW1XUEAVkRCA3HBqfkvMVetg/edit?usp=sharing&amp;ouid=105509595749562341769&amp;rtpof=true&amp;sd=tr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CCCA4-0D6D-4DAD-89DC-D4CC0E3D3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Pages>
  <Words>16454</Words>
  <Characters>93792</Characters>
  <Application>Microsoft Office Word</Application>
  <DocSecurity>0</DocSecurity>
  <Lines>781</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Pusa Grande</dc:creator>
  <cp:keywords/>
  <dc:description/>
  <cp:lastModifiedBy>Pusa Grande</cp:lastModifiedBy>
  <cp:revision>3</cp:revision>
  <dcterms:created xsi:type="dcterms:W3CDTF">2024-02-04T16:34:00Z</dcterms:created>
  <dcterms:modified xsi:type="dcterms:W3CDTF">2024-02-04T18:05:00Z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http://csl.mendeley.com/styles/675338191/APT</vt:lpwstr>
  </property>
  <property fmtid="{D5CDD505-2E9C-101B-9397-08002B2CF9AE}" pid="3" name="Mendeley Recent Style Name 0_1">
    <vt:lpwstr>Aging Pathobiology and Therapeutics</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http://csl.mendeley.com/styles/603038481/Biological-membranes</vt:lpwstr>
  </property>
  <property fmtid="{D5CDD505-2E9C-101B-9397-08002B2CF9AE}" pid="7" name="Mendeley Recent Style Name 2_1">
    <vt:lpwstr>Biomembrannes_Kolesnikov</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http://www.zotero.org/styles/earthquake-engineering-and-structural-dynamics</vt:lpwstr>
  </property>
  <property fmtid="{D5CDD505-2E9C-101B-9397-08002B2CF9AE}" pid="13" name="Mendeley Recent Style Name 5_1">
    <vt:lpwstr>Earthquake Engineering &amp; Structural Dynamics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http://csl.mendeley.com/styles/603038481/GostDoi-4</vt:lpwstr>
  </property>
  <property fmtid="{D5CDD505-2E9C-101B-9397-08002B2CF9AE}" pid="17" name="Mendeley Recent Style Name 7_1">
    <vt:lpwstr>International Journal of Simulation Modelling - Vladimir Kovalev</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b9d552f2-d51a-3536-8435-c68928ef0f30</vt:lpwstr>
  </property>
  <property fmtid="{D5CDD505-2E9C-101B-9397-08002B2CF9AE}" pid="24" name="Mendeley Citation Style_1">
    <vt:lpwstr>http://csl.mendeley.com/styles/675338191/APT</vt:lpwstr>
  </property>
</Properties>
</file>